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E01D2" w14:textId="77777777" w:rsidR="00F57EDA" w:rsidRDefault="00F57EDA" w:rsidP="00F57ED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50E720A2" wp14:editId="41126C9E">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4FA71E" w14:textId="06BC33C7" w:rsidR="00C02410" w:rsidRPr="00F26A3E" w:rsidRDefault="00F57EDA" w:rsidP="00F57EDA">
      <w:pPr>
        <w:pStyle w:val="ProductNumber"/>
        <w:rPr>
          <w:lang w:val="en-GB"/>
        </w:rPr>
      </w:pPr>
      <w:r>
        <w:t>9B21M042</w:t>
      </w:r>
    </w:p>
    <w:p w14:paraId="16CB2BD4" w14:textId="77777777" w:rsidR="00D75295" w:rsidRPr="00F26A3E" w:rsidRDefault="00D75295" w:rsidP="00D75295">
      <w:pPr>
        <w:jc w:val="right"/>
        <w:rPr>
          <w:rFonts w:ascii="Arial" w:hAnsi="Arial"/>
          <w:b/>
          <w:lang w:val="en-GB"/>
        </w:rPr>
      </w:pPr>
    </w:p>
    <w:p w14:paraId="0B5D164C" w14:textId="77777777" w:rsidR="001901C0" w:rsidRPr="00F26A3E" w:rsidRDefault="001901C0" w:rsidP="00D75295">
      <w:pPr>
        <w:jc w:val="right"/>
        <w:rPr>
          <w:rFonts w:ascii="Arial" w:hAnsi="Arial"/>
          <w:b/>
          <w:lang w:val="en-GB"/>
        </w:rPr>
      </w:pPr>
    </w:p>
    <w:p w14:paraId="0D2D1085" w14:textId="051C2FAB" w:rsidR="00013360" w:rsidRPr="00F26A3E" w:rsidRDefault="000D7E4F" w:rsidP="00013360">
      <w:pPr>
        <w:pStyle w:val="CaseTitle"/>
        <w:spacing w:after="0" w:line="240" w:lineRule="auto"/>
        <w:rPr>
          <w:sz w:val="20"/>
          <w:szCs w:val="20"/>
          <w:lang w:val="en-GB"/>
        </w:rPr>
      </w:pPr>
      <w:r w:rsidRPr="00F26A3E">
        <w:rPr>
          <w:lang w:val="en-GB"/>
        </w:rPr>
        <w:t>Royal</w:t>
      </w:r>
      <w:r w:rsidR="006B6676">
        <w:rPr>
          <w:lang w:val="en-GB"/>
        </w:rPr>
        <w:t xml:space="preserve"> </w:t>
      </w:r>
      <w:r w:rsidRPr="00F26A3E">
        <w:rPr>
          <w:lang w:val="en-GB"/>
        </w:rPr>
        <w:t>Enfield:</w:t>
      </w:r>
      <w:r w:rsidR="006B6676">
        <w:rPr>
          <w:lang w:val="en-GB"/>
        </w:rPr>
        <w:t xml:space="preserve"> </w:t>
      </w:r>
      <w:r w:rsidRPr="00F26A3E">
        <w:rPr>
          <w:lang w:val="en-GB"/>
        </w:rPr>
        <w:t>Matchless</w:t>
      </w:r>
      <w:r w:rsidR="006B6676">
        <w:rPr>
          <w:lang w:val="en-GB"/>
        </w:rPr>
        <w:t xml:space="preserve"> </w:t>
      </w:r>
      <w:r w:rsidRPr="00F26A3E">
        <w:rPr>
          <w:lang w:val="en-GB"/>
        </w:rPr>
        <w:t>Growth</w:t>
      </w:r>
      <w:r w:rsidR="006B6676">
        <w:rPr>
          <w:lang w:val="en-GB"/>
        </w:rPr>
        <w:t xml:space="preserve"> </w:t>
      </w:r>
      <w:r w:rsidRPr="00F26A3E">
        <w:rPr>
          <w:lang w:val="en-GB"/>
        </w:rPr>
        <w:t>and</w:t>
      </w:r>
      <w:r w:rsidR="006B6676">
        <w:rPr>
          <w:lang w:val="en-GB"/>
        </w:rPr>
        <w:t xml:space="preserve"> </w:t>
      </w:r>
      <w:r w:rsidRPr="00F26A3E">
        <w:rPr>
          <w:lang w:val="en-GB"/>
        </w:rPr>
        <w:t>Dominance</w:t>
      </w:r>
      <w:r w:rsidR="00C67227">
        <w:rPr>
          <w:rStyle w:val="EndnoteReference"/>
          <w:lang w:val="en-GB"/>
        </w:rPr>
        <w:endnoteReference w:id="1"/>
      </w:r>
    </w:p>
    <w:p w14:paraId="14DF668E" w14:textId="77777777" w:rsidR="00CA3976" w:rsidRPr="00F26A3E" w:rsidRDefault="00CA3976" w:rsidP="00013360">
      <w:pPr>
        <w:pStyle w:val="CaseTitle"/>
        <w:spacing w:after="0" w:line="240" w:lineRule="auto"/>
        <w:rPr>
          <w:sz w:val="20"/>
          <w:szCs w:val="20"/>
          <w:lang w:val="en-GB"/>
        </w:rPr>
      </w:pPr>
    </w:p>
    <w:p w14:paraId="596E1DD1" w14:textId="77777777" w:rsidR="00013360" w:rsidRPr="00F26A3E" w:rsidRDefault="00013360" w:rsidP="00013360">
      <w:pPr>
        <w:pStyle w:val="CaseTitle"/>
        <w:spacing w:after="0" w:line="240" w:lineRule="auto"/>
        <w:rPr>
          <w:sz w:val="20"/>
          <w:szCs w:val="20"/>
          <w:lang w:val="en-GB"/>
        </w:rPr>
      </w:pPr>
    </w:p>
    <w:p w14:paraId="707AB8A9" w14:textId="22E80981" w:rsidR="00086B26" w:rsidRPr="00F26A3E" w:rsidRDefault="00B607FC" w:rsidP="00086B26">
      <w:pPr>
        <w:pStyle w:val="StyleCopyrightStatementAfter0ptBottomSinglesolidline1"/>
        <w:rPr>
          <w:lang w:val="en-GB"/>
        </w:rPr>
      </w:pPr>
      <w:r w:rsidRPr="00F26A3E">
        <w:rPr>
          <w:lang w:val="en-GB"/>
        </w:rPr>
        <w:t>Jagandeep</w:t>
      </w:r>
      <w:r w:rsidR="006B6676">
        <w:rPr>
          <w:lang w:val="en-GB"/>
        </w:rPr>
        <w:t xml:space="preserve"> </w:t>
      </w:r>
      <w:r w:rsidRPr="00F26A3E">
        <w:rPr>
          <w:lang w:val="en-GB"/>
        </w:rPr>
        <w:t>Singh</w:t>
      </w:r>
      <w:r w:rsidR="006B6676">
        <w:rPr>
          <w:lang w:val="en-GB"/>
        </w:rPr>
        <w:t xml:space="preserve"> </w:t>
      </w:r>
      <w:r w:rsidR="00086B26" w:rsidRPr="00F26A3E">
        <w:rPr>
          <w:lang w:val="en-GB"/>
        </w:rPr>
        <w:t>wrote</w:t>
      </w:r>
      <w:r w:rsidR="006B6676">
        <w:rPr>
          <w:lang w:val="en-GB"/>
        </w:rPr>
        <w:t xml:space="preserve"> </w:t>
      </w:r>
      <w:r w:rsidR="00086B26" w:rsidRPr="00F26A3E">
        <w:rPr>
          <w:lang w:val="en-GB"/>
        </w:rPr>
        <w:t>this</w:t>
      </w:r>
      <w:r w:rsidR="006B6676">
        <w:rPr>
          <w:lang w:val="en-GB"/>
        </w:rPr>
        <w:t xml:space="preserve"> </w:t>
      </w:r>
      <w:r w:rsidR="00086B26" w:rsidRPr="00F26A3E">
        <w:rPr>
          <w:lang w:val="en-GB"/>
        </w:rPr>
        <w:t>case</w:t>
      </w:r>
      <w:r w:rsidR="006B6676">
        <w:rPr>
          <w:lang w:val="en-GB"/>
        </w:rPr>
        <w:t xml:space="preserve"> </w:t>
      </w:r>
      <w:r w:rsidR="00086B26" w:rsidRPr="00F26A3E">
        <w:rPr>
          <w:lang w:val="en-GB"/>
        </w:rPr>
        <w:t>solely</w:t>
      </w:r>
      <w:r w:rsidR="006B6676">
        <w:rPr>
          <w:lang w:val="en-GB"/>
        </w:rPr>
        <w:t xml:space="preserve"> </w:t>
      </w:r>
      <w:r w:rsidR="00086B26" w:rsidRPr="00F26A3E">
        <w:rPr>
          <w:lang w:val="en-GB"/>
        </w:rPr>
        <w:t>to</w:t>
      </w:r>
      <w:r w:rsidR="006B6676">
        <w:rPr>
          <w:lang w:val="en-GB"/>
        </w:rPr>
        <w:t xml:space="preserve"> </w:t>
      </w:r>
      <w:r w:rsidR="00086B26" w:rsidRPr="00F26A3E">
        <w:rPr>
          <w:lang w:val="en-GB"/>
        </w:rPr>
        <w:t>provide</w:t>
      </w:r>
      <w:r w:rsidR="006B6676">
        <w:rPr>
          <w:lang w:val="en-GB"/>
        </w:rPr>
        <w:t xml:space="preserve"> </w:t>
      </w:r>
      <w:r w:rsidR="00086B26" w:rsidRPr="00F26A3E">
        <w:rPr>
          <w:lang w:val="en-GB"/>
        </w:rPr>
        <w:t>material</w:t>
      </w:r>
      <w:r w:rsidR="006B6676">
        <w:rPr>
          <w:lang w:val="en-GB"/>
        </w:rPr>
        <w:t xml:space="preserve"> </w:t>
      </w:r>
      <w:r w:rsidR="00086B26" w:rsidRPr="00F26A3E">
        <w:rPr>
          <w:lang w:val="en-GB"/>
        </w:rPr>
        <w:t>for</w:t>
      </w:r>
      <w:r w:rsidR="006B6676">
        <w:rPr>
          <w:lang w:val="en-GB"/>
        </w:rPr>
        <w:t xml:space="preserve"> </w:t>
      </w:r>
      <w:r w:rsidR="00086B26" w:rsidRPr="00F26A3E">
        <w:rPr>
          <w:lang w:val="en-GB"/>
        </w:rPr>
        <w:t>class</w:t>
      </w:r>
      <w:r w:rsidR="006B6676">
        <w:rPr>
          <w:lang w:val="en-GB"/>
        </w:rPr>
        <w:t xml:space="preserve"> </w:t>
      </w:r>
      <w:r w:rsidR="00086B26" w:rsidRPr="00F26A3E">
        <w:rPr>
          <w:lang w:val="en-GB"/>
        </w:rPr>
        <w:t>discussion.</w:t>
      </w:r>
      <w:r w:rsidR="006B6676">
        <w:rPr>
          <w:lang w:val="en-GB"/>
        </w:rPr>
        <w:t xml:space="preserve"> </w:t>
      </w:r>
      <w:r w:rsidR="00086B26" w:rsidRPr="00F26A3E">
        <w:rPr>
          <w:lang w:val="en-GB"/>
        </w:rPr>
        <w:t>The</w:t>
      </w:r>
      <w:r w:rsidR="006B6676">
        <w:rPr>
          <w:lang w:val="en-GB"/>
        </w:rPr>
        <w:t xml:space="preserve"> </w:t>
      </w:r>
      <w:r w:rsidR="00086B26" w:rsidRPr="00F26A3E">
        <w:rPr>
          <w:lang w:val="en-GB"/>
        </w:rPr>
        <w:t>author</w:t>
      </w:r>
      <w:r w:rsidR="006B6676">
        <w:rPr>
          <w:lang w:val="en-GB"/>
        </w:rPr>
        <w:t xml:space="preserve"> </w:t>
      </w:r>
      <w:r w:rsidR="00086B26" w:rsidRPr="00F26A3E">
        <w:rPr>
          <w:lang w:val="en-GB"/>
        </w:rPr>
        <w:t>do</w:t>
      </w:r>
      <w:r w:rsidR="00A820B4">
        <w:rPr>
          <w:lang w:val="en-GB"/>
        </w:rPr>
        <w:t>es</w:t>
      </w:r>
      <w:r w:rsidR="006B6676">
        <w:rPr>
          <w:lang w:val="en-GB"/>
        </w:rPr>
        <w:t xml:space="preserve"> </w:t>
      </w:r>
      <w:r w:rsidR="00086B26" w:rsidRPr="00F26A3E">
        <w:rPr>
          <w:lang w:val="en-GB"/>
        </w:rPr>
        <w:t>not</w:t>
      </w:r>
      <w:r w:rsidR="006B6676">
        <w:rPr>
          <w:lang w:val="en-GB"/>
        </w:rPr>
        <w:t xml:space="preserve"> </w:t>
      </w:r>
      <w:r w:rsidR="00086B26" w:rsidRPr="00F26A3E">
        <w:rPr>
          <w:lang w:val="en-GB"/>
        </w:rPr>
        <w:t>intend</w:t>
      </w:r>
      <w:r w:rsidR="006B6676">
        <w:rPr>
          <w:lang w:val="en-GB"/>
        </w:rPr>
        <w:t xml:space="preserve"> </w:t>
      </w:r>
      <w:r w:rsidR="00086B26" w:rsidRPr="00F26A3E">
        <w:rPr>
          <w:lang w:val="en-GB"/>
        </w:rPr>
        <w:t>to</w:t>
      </w:r>
      <w:r w:rsidR="006B6676">
        <w:rPr>
          <w:lang w:val="en-GB"/>
        </w:rPr>
        <w:t xml:space="preserve"> </w:t>
      </w:r>
      <w:r w:rsidR="00086B26" w:rsidRPr="00F26A3E">
        <w:rPr>
          <w:lang w:val="en-GB"/>
        </w:rPr>
        <w:t>illustrate</w:t>
      </w:r>
      <w:r w:rsidR="006B6676">
        <w:rPr>
          <w:lang w:val="en-GB"/>
        </w:rPr>
        <w:t xml:space="preserve"> </w:t>
      </w:r>
      <w:r w:rsidR="00086B26" w:rsidRPr="00F26A3E">
        <w:rPr>
          <w:lang w:val="en-GB"/>
        </w:rPr>
        <w:t>either</w:t>
      </w:r>
      <w:r w:rsidR="006B6676">
        <w:rPr>
          <w:lang w:val="en-GB"/>
        </w:rPr>
        <w:t xml:space="preserve"> </w:t>
      </w:r>
      <w:r w:rsidR="00086B26" w:rsidRPr="00F26A3E">
        <w:rPr>
          <w:lang w:val="en-GB"/>
        </w:rPr>
        <w:t>effective</w:t>
      </w:r>
      <w:r w:rsidR="006B6676">
        <w:rPr>
          <w:lang w:val="en-GB"/>
        </w:rPr>
        <w:t xml:space="preserve"> </w:t>
      </w:r>
      <w:r w:rsidR="00086B26" w:rsidRPr="00F26A3E">
        <w:rPr>
          <w:lang w:val="en-GB"/>
        </w:rPr>
        <w:t>or</w:t>
      </w:r>
      <w:r w:rsidR="006B6676">
        <w:rPr>
          <w:lang w:val="en-GB"/>
        </w:rPr>
        <w:t xml:space="preserve"> </w:t>
      </w:r>
      <w:r w:rsidR="00086B26" w:rsidRPr="00F26A3E">
        <w:rPr>
          <w:lang w:val="en-GB"/>
        </w:rPr>
        <w:t>ineffective</w:t>
      </w:r>
      <w:r w:rsidR="006B6676">
        <w:rPr>
          <w:lang w:val="en-GB"/>
        </w:rPr>
        <w:t xml:space="preserve"> </w:t>
      </w:r>
      <w:r w:rsidR="00086B26" w:rsidRPr="00F26A3E">
        <w:rPr>
          <w:lang w:val="en-GB"/>
        </w:rPr>
        <w:t>handling</w:t>
      </w:r>
      <w:r w:rsidR="006B6676">
        <w:rPr>
          <w:lang w:val="en-GB"/>
        </w:rPr>
        <w:t xml:space="preserve"> </w:t>
      </w:r>
      <w:r w:rsidR="00086B26" w:rsidRPr="00F26A3E">
        <w:rPr>
          <w:lang w:val="en-GB"/>
        </w:rPr>
        <w:t>of</w:t>
      </w:r>
      <w:r w:rsidR="006B6676">
        <w:rPr>
          <w:lang w:val="en-GB"/>
        </w:rPr>
        <w:t xml:space="preserve"> </w:t>
      </w:r>
      <w:r w:rsidR="00086B26" w:rsidRPr="00F26A3E">
        <w:rPr>
          <w:lang w:val="en-GB"/>
        </w:rPr>
        <w:t>a</w:t>
      </w:r>
      <w:r w:rsidR="006B6676">
        <w:rPr>
          <w:lang w:val="en-GB"/>
        </w:rPr>
        <w:t xml:space="preserve"> </w:t>
      </w:r>
      <w:r w:rsidR="00086B26" w:rsidRPr="00F26A3E">
        <w:rPr>
          <w:lang w:val="en-GB"/>
        </w:rPr>
        <w:t>managerial</w:t>
      </w:r>
      <w:r w:rsidR="006B6676">
        <w:rPr>
          <w:lang w:val="en-GB"/>
        </w:rPr>
        <w:t xml:space="preserve"> </w:t>
      </w:r>
      <w:r w:rsidR="00086B26" w:rsidRPr="00F26A3E">
        <w:rPr>
          <w:lang w:val="en-GB"/>
        </w:rPr>
        <w:t>situation.</w:t>
      </w:r>
      <w:r w:rsidR="006B6676">
        <w:rPr>
          <w:lang w:val="en-GB"/>
        </w:rPr>
        <w:t xml:space="preserve"> </w:t>
      </w:r>
      <w:r w:rsidR="00086B26" w:rsidRPr="00F26A3E">
        <w:rPr>
          <w:lang w:val="en-GB"/>
        </w:rPr>
        <w:t>The</w:t>
      </w:r>
      <w:r w:rsidR="006B6676">
        <w:rPr>
          <w:lang w:val="en-GB"/>
        </w:rPr>
        <w:t xml:space="preserve"> </w:t>
      </w:r>
      <w:r w:rsidR="00086B26" w:rsidRPr="00F26A3E">
        <w:rPr>
          <w:lang w:val="en-GB"/>
        </w:rPr>
        <w:t>author</w:t>
      </w:r>
      <w:r w:rsidR="006B6676">
        <w:rPr>
          <w:lang w:val="en-GB"/>
        </w:rPr>
        <w:t xml:space="preserve"> </w:t>
      </w:r>
      <w:r w:rsidR="00086B26" w:rsidRPr="00F26A3E">
        <w:rPr>
          <w:lang w:val="en-GB"/>
        </w:rPr>
        <w:t>may</w:t>
      </w:r>
      <w:r w:rsidR="006B6676">
        <w:rPr>
          <w:lang w:val="en-GB"/>
        </w:rPr>
        <w:t xml:space="preserve"> </w:t>
      </w:r>
      <w:r w:rsidR="00086B26" w:rsidRPr="00F26A3E">
        <w:rPr>
          <w:lang w:val="en-GB"/>
        </w:rPr>
        <w:t>have</w:t>
      </w:r>
      <w:r w:rsidR="006B6676">
        <w:rPr>
          <w:lang w:val="en-GB"/>
        </w:rPr>
        <w:t xml:space="preserve"> </w:t>
      </w:r>
      <w:r w:rsidR="00086B26" w:rsidRPr="00F26A3E">
        <w:rPr>
          <w:lang w:val="en-GB"/>
        </w:rPr>
        <w:t>disguised</w:t>
      </w:r>
      <w:r w:rsidR="006B6676">
        <w:rPr>
          <w:lang w:val="en-GB"/>
        </w:rPr>
        <w:t xml:space="preserve"> </w:t>
      </w:r>
      <w:r w:rsidR="00086B26" w:rsidRPr="00F26A3E">
        <w:rPr>
          <w:lang w:val="en-GB"/>
        </w:rPr>
        <w:t>certain</w:t>
      </w:r>
      <w:r w:rsidR="006B6676">
        <w:rPr>
          <w:lang w:val="en-GB"/>
        </w:rPr>
        <w:t xml:space="preserve"> </w:t>
      </w:r>
      <w:r w:rsidR="00086B26" w:rsidRPr="00F26A3E">
        <w:rPr>
          <w:lang w:val="en-GB"/>
        </w:rPr>
        <w:t>names</w:t>
      </w:r>
      <w:r w:rsidR="006B6676">
        <w:rPr>
          <w:lang w:val="en-GB"/>
        </w:rPr>
        <w:t xml:space="preserve"> </w:t>
      </w:r>
      <w:r w:rsidR="00086B26" w:rsidRPr="00F26A3E">
        <w:rPr>
          <w:lang w:val="en-GB"/>
        </w:rPr>
        <w:t>and</w:t>
      </w:r>
      <w:r w:rsidR="006B6676">
        <w:rPr>
          <w:lang w:val="en-GB"/>
        </w:rPr>
        <w:t xml:space="preserve"> </w:t>
      </w:r>
      <w:r w:rsidR="00086B26" w:rsidRPr="00F26A3E">
        <w:rPr>
          <w:lang w:val="en-GB"/>
        </w:rPr>
        <w:t>other</w:t>
      </w:r>
      <w:r w:rsidR="006B6676">
        <w:rPr>
          <w:lang w:val="en-GB"/>
        </w:rPr>
        <w:t xml:space="preserve"> </w:t>
      </w:r>
      <w:r w:rsidR="00086B26" w:rsidRPr="00F26A3E">
        <w:rPr>
          <w:lang w:val="en-GB"/>
        </w:rPr>
        <w:t>identifying</w:t>
      </w:r>
      <w:r w:rsidR="006B6676">
        <w:rPr>
          <w:lang w:val="en-GB"/>
        </w:rPr>
        <w:t xml:space="preserve"> </w:t>
      </w:r>
      <w:r w:rsidR="00086B26" w:rsidRPr="00F26A3E">
        <w:rPr>
          <w:lang w:val="en-GB"/>
        </w:rPr>
        <w:t>information</w:t>
      </w:r>
      <w:r w:rsidR="006B6676">
        <w:rPr>
          <w:lang w:val="en-GB"/>
        </w:rPr>
        <w:t xml:space="preserve"> </w:t>
      </w:r>
      <w:r w:rsidR="00086B26" w:rsidRPr="00F26A3E">
        <w:rPr>
          <w:lang w:val="en-GB"/>
        </w:rPr>
        <w:t>to</w:t>
      </w:r>
      <w:r w:rsidR="006B6676">
        <w:rPr>
          <w:lang w:val="en-GB"/>
        </w:rPr>
        <w:t xml:space="preserve"> </w:t>
      </w:r>
      <w:r w:rsidR="00086B26" w:rsidRPr="00F26A3E">
        <w:rPr>
          <w:lang w:val="en-GB"/>
        </w:rPr>
        <w:t>protect</w:t>
      </w:r>
      <w:r w:rsidR="006B6676">
        <w:rPr>
          <w:lang w:val="en-GB"/>
        </w:rPr>
        <w:t xml:space="preserve"> </w:t>
      </w:r>
      <w:r w:rsidR="00086B26" w:rsidRPr="00F26A3E">
        <w:rPr>
          <w:lang w:val="en-GB"/>
        </w:rPr>
        <w:t>confidentiality.</w:t>
      </w:r>
    </w:p>
    <w:p w14:paraId="2F0B0E27" w14:textId="77777777" w:rsidR="00086B26" w:rsidRPr="00F26A3E" w:rsidRDefault="00086B26" w:rsidP="00086B26">
      <w:pPr>
        <w:pStyle w:val="StyleCopyrightStatementAfter0ptBottomSinglesolidline1"/>
        <w:rPr>
          <w:lang w:val="en-GB"/>
        </w:rPr>
      </w:pPr>
    </w:p>
    <w:p w14:paraId="47AF578D" w14:textId="77777777" w:rsidR="00F57EDA" w:rsidRPr="00A323B0" w:rsidRDefault="00F57EDA" w:rsidP="00F57ED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CBEA99F" w14:textId="77777777" w:rsidR="00F57EDA" w:rsidRPr="00A323B0" w:rsidRDefault="00F57EDA" w:rsidP="00F57EDA">
      <w:pPr>
        <w:pStyle w:val="StyleStyleCopyrightStatementAfter0ptBottomSinglesolid"/>
        <w:rPr>
          <w:rFonts w:cs="Arial"/>
          <w:szCs w:val="16"/>
        </w:rPr>
      </w:pPr>
    </w:p>
    <w:p w14:paraId="01FAA629" w14:textId="31B860E7" w:rsidR="00751E0B" w:rsidRPr="00F26A3E" w:rsidRDefault="00F57EDA" w:rsidP="00F57EDA">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2021-05-05</w:t>
      </w:r>
    </w:p>
    <w:p w14:paraId="07C52360" w14:textId="77777777" w:rsidR="00751E0B" w:rsidRPr="00F26A3E" w:rsidRDefault="00751E0B" w:rsidP="00751E0B">
      <w:pPr>
        <w:pStyle w:val="StyleCopyrightStatementAfter0ptBottomSinglesolidline1"/>
        <w:rPr>
          <w:rFonts w:ascii="Times New Roman" w:hAnsi="Times New Roman"/>
          <w:sz w:val="20"/>
          <w:lang w:val="en-GB"/>
        </w:rPr>
      </w:pPr>
    </w:p>
    <w:p w14:paraId="30EAE15C" w14:textId="77777777" w:rsidR="00B87DC0" w:rsidRPr="00F26A3E" w:rsidRDefault="00B87DC0" w:rsidP="002B40FF">
      <w:pPr>
        <w:pStyle w:val="Casehead1"/>
        <w:rPr>
          <w:lang w:val="en-GB"/>
        </w:rPr>
      </w:pPr>
    </w:p>
    <w:p w14:paraId="3DD45BD5" w14:textId="050B8E67" w:rsidR="00CA6A0D" w:rsidRPr="00F26A3E" w:rsidRDefault="00725311" w:rsidP="00D726D3">
      <w:pPr>
        <w:jc w:val="both"/>
        <w:rPr>
          <w:sz w:val="22"/>
          <w:szCs w:val="22"/>
          <w:lang w:val="en-GB"/>
        </w:rPr>
      </w:pPr>
      <w:r>
        <w:rPr>
          <w:sz w:val="22"/>
          <w:szCs w:val="22"/>
          <w:lang w:val="en-GB"/>
        </w:rPr>
        <w:t>On</w:t>
      </w:r>
      <w:r w:rsidR="006B6676">
        <w:rPr>
          <w:sz w:val="22"/>
          <w:szCs w:val="22"/>
          <w:lang w:val="en-GB"/>
        </w:rPr>
        <w:t xml:space="preserve"> </w:t>
      </w:r>
      <w:r w:rsidR="00B607FC" w:rsidRPr="00F26A3E">
        <w:rPr>
          <w:sz w:val="22"/>
          <w:szCs w:val="22"/>
          <w:lang w:val="en-GB"/>
        </w:rPr>
        <w:t>January</w:t>
      </w:r>
      <w:r w:rsidR="006B6676">
        <w:rPr>
          <w:sz w:val="22"/>
          <w:szCs w:val="22"/>
          <w:lang w:val="en-GB"/>
        </w:rPr>
        <w:t xml:space="preserve"> </w:t>
      </w:r>
      <w:r w:rsidR="00B607FC" w:rsidRPr="00F26A3E">
        <w:rPr>
          <w:sz w:val="22"/>
          <w:szCs w:val="22"/>
          <w:lang w:val="en-GB"/>
        </w:rPr>
        <w:t>1,</w:t>
      </w:r>
      <w:r w:rsidR="006B6676">
        <w:rPr>
          <w:sz w:val="22"/>
          <w:szCs w:val="22"/>
          <w:lang w:val="en-GB"/>
        </w:rPr>
        <w:t xml:space="preserve"> </w:t>
      </w:r>
      <w:r w:rsidR="00B607FC" w:rsidRPr="00F26A3E">
        <w:rPr>
          <w:sz w:val="22"/>
          <w:szCs w:val="22"/>
          <w:lang w:val="en-GB"/>
        </w:rPr>
        <w:t>2020</w:t>
      </w:r>
      <w:r w:rsidR="00407D6D">
        <w:rPr>
          <w:sz w:val="22"/>
          <w:szCs w:val="22"/>
          <w:lang w:val="en-GB"/>
        </w:rPr>
        <w:t>,</w:t>
      </w:r>
      <w:r w:rsidR="006B6676">
        <w:rPr>
          <w:sz w:val="22"/>
          <w:szCs w:val="22"/>
          <w:lang w:val="en-GB"/>
        </w:rPr>
        <w:t xml:space="preserve"> </w:t>
      </w:r>
      <w:r w:rsidR="00B607FC" w:rsidRPr="00F26A3E">
        <w:rPr>
          <w:sz w:val="22"/>
          <w:szCs w:val="22"/>
          <w:lang w:val="en-GB"/>
        </w:rPr>
        <w:t>Royal</w:t>
      </w:r>
      <w:r w:rsidR="006B6676">
        <w:rPr>
          <w:sz w:val="22"/>
          <w:szCs w:val="22"/>
          <w:lang w:val="en-GB"/>
        </w:rPr>
        <w:t xml:space="preserve"> </w:t>
      </w:r>
      <w:r w:rsidR="00B607FC" w:rsidRPr="00F26A3E">
        <w:rPr>
          <w:sz w:val="22"/>
          <w:szCs w:val="22"/>
          <w:lang w:val="en-GB"/>
        </w:rPr>
        <w:t>Enfield,</w:t>
      </w:r>
      <w:r w:rsidR="006B6676">
        <w:rPr>
          <w:sz w:val="22"/>
          <w:szCs w:val="22"/>
          <w:lang w:val="en-GB"/>
        </w:rPr>
        <w:t xml:space="preserve"> </w:t>
      </w:r>
      <w:r w:rsidR="00B607FC" w:rsidRPr="00F26A3E">
        <w:rPr>
          <w:sz w:val="22"/>
          <w:szCs w:val="22"/>
          <w:lang w:val="en-GB"/>
        </w:rPr>
        <w:t>the</w:t>
      </w:r>
      <w:r w:rsidR="006B6676">
        <w:rPr>
          <w:sz w:val="22"/>
          <w:szCs w:val="22"/>
          <w:lang w:val="en-GB"/>
        </w:rPr>
        <w:t xml:space="preserve"> </w:t>
      </w:r>
      <w:r w:rsidR="00B607FC" w:rsidRPr="00F26A3E">
        <w:rPr>
          <w:sz w:val="22"/>
          <w:szCs w:val="22"/>
          <w:lang w:val="en-GB"/>
        </w:rPr>
        <w:t>motorcycle</w:t>
      </w:r>
      <w:r w:rsidR="006B6676">
        <w:rPr>
          <w:sz w:val="22"/>
          <w:szCs w:val="22"/>
          <w:lang w:val="en-GB"/>
        </w:rPr>
        <w:t xml:space="preserve"> </w:t>
      </w:r>
      <w:r w:rsidR="00B607FC" w:rsidRPr="00F26A3E">
        <w:rPr>
          <w:sz w:val="22"/>
          <w:szCs w:val="22"/>
          <w:lang w:val="en-GB"/>
        </w:rPr>
        <w:t>division</w:t>
      </w:r>
      <w:r w:rsidR="006B6676">
        <w:rPr>
          <w:sz w:val="22"/>
          <w:szCs w:val="22"/>
          <w:lang w:val="en-GB"/>
        </w:rPr>
        <w:t xml:space="preserve"> </w:t>
      </w:r>
      <w:r w:rsidR="00B607FC" w:rsidRPr="00F26A3E">
        <w:rPr>
          <w:sz w:val="22"/>
          <w:szCs w:val="22"/>
          <w:lang w:val="en-GB"/>
        </w:rPr>
        <w:t>of</w:t>
      </w:r>
      <w:r w:rsidR="006B6676">
        <w:rPr>
          <w:sz w:val="22"/>
          <w:szCs w:val="22"/>
          <w:lang w:val="en-GB"/>
        </w:rPr>
        <w:t xml:space="preserve"> </w:t>
      </w:r>
      <w:bookmarkStart w:id="0" w:name="_Hlk68876445"/>
      <w:r w:rsidR="00B607FC" w:rsidRPr="00F26A3E">
        <w:rPr>
          <w:sz w:val="22"/>
          <w:szCs w:val="22"/>
          <w:lang w:val="en-GB"/>
        </w:rPr>
        <w:t>Eicher</w:t>
      </w:r>
      <w:r w:rsidR="006B6676">
        <w:rPr>
          <w:sz w:val="22"/>
          <w:szCs w:val="22"/>
          <w:lang w:val="en-GB"/>
        </w:rPr>
        <w:t xml:space="preserve"> </w:t>
      </w:r>
      <w:r w:rsidR="00B607FC" w:rsidRPr="00F26A3E">
        <w:rPr>
          <w:sz w:val="22"/>
          <w:szCs w:val="22"/>
          <w:lang w:val="en-GB"/>
        </w:rPr>
        <w:t>Motors</w:t>
      </w:r>
      <w:r w:rsidR="006B6676">
        <w:rPr>
          <w:sz w:val="22"/>
          <w:szCs w:val="22"/>
          <w:lang w:val="en-GB"/>
        </w:rPr>
        <w:t xml:space="preserve"> </w:t>
      </w:r>
      <w:r w:rsidR="00B607FC" w:rsidRPr="00F26A3E">
        <w:rPr>
          <w:sz w:val="22"/>
          <w:szCs w:val="22"/>
          <w:lang w:val="en-GB"/>
        </w:rPr>
        <w:t>Limited</w:t>
      </w:r>
      <w:bookmarkEnd w:id="0"/>
      <w:r w:rsidR="006B6676">
        <w:rPr>
          <w:sz w:val="22"/>
          <w:szCs w:val="22"/>
          <w:lang w:val="en-GB"/>
        </w:rPr>
        <w:t xml:space="preserve"> </w:t>
      </w:r>
      <w:r w:rsidR="0019022D">
        <w:rPr>
          <w:sz w:val="22"/>
          <w:szCs w:val="22"/>
          <w:lang w:val="en-GB"/>
        </w:rPr>
        <w:t>(</w:t>
      </w:r>
      <w:r w:rsidR="0019022D" w:rsidRPr="00F26A3E">
        <w:rPr>
          <w:sz w:val="22"/>
          <w:szCs w:val="22"/>
          <w:lang w:val="en-GB"/>
        </w:rPr>
        <w:t>Eicher</w:t>
      </w:r>
      <w:r w:rsidR="0019022D">
        <w:rPr>
          <w:sz w:val="22"/>
          <w:szCs w:val="22"/>
          <w:lang w:val="en-GB"/>
        </w:rPr>
        <w:t>)</w:t>
      </w:r>
      <w:r w:rsidR="00B607FC" w:rsidRPr="00F26A3E">
        <w:rPr>
          <w:sz w:val="22"/>
          <w:szCs w:val="22"/>
          <w:lang w:val="en-GB"/>
        </w:rPr>
        <w:t>,</w:t>
      </w:r>
      <w:r w:rsidR="006B6676">
        <w:rPr>
          <w:sz w:val="22"/>
          <w:szCs w:val="22"/>
          <w:lang w:val="en-GB"/>
        </w:rPr>
        <w:t xml:space="preserve"> </w:t>
      </w:r>
      <w:r w:rsidR="00407D6D">
        <w:rPr>
          <w:sz w:val="22"/>
          <w:szCs w:val="22"/>
          <w:lang w:val="en-GB"/>
        </w:rPr>
        <w:t>recorded</w:t>
      </w:r>
      <w:r w:rsidR="006B6676">
        <w:rPr>
          <w:sz w:val="22"/>
          <w:szCs w:val="22"/>
          <w:lang w:val="en-GB"/>
        </w:rPr>
        <w:t xml:space="preserve"> </w:t>
      </w:r>
      <w:r w:rsidR="00407D6D">
        <w:rPr>
          <w:sz w:val="22"/>
          <w:szCs w:val="22"/>
          <w:lang w:val="en-GB"/>
        </w:rPr>
        <w:t>a</w:t>
      </w:r>
      <w:r w:rsidR="006B6676">
        <w:rPr>
          <w:sz w:val="22"/>
          <w:szCs w:val="22"/>
          <w:lang w:val="en-GB"/>
        </w:rPr>
        <w:t xml:space="preserve"> </w:t>
      </w:r>
      <w:r w:rsidR="00A820B4">
        <w:rPr>
          <w:sz w:val="22"/>
          <w:szCs w:val="22"/>
          <w:lang w:val="en-GB"/>
        </w:rPr>
        <w:t>15</w:t>
      </w:r>
      <w:r w:rsidR="006B6676">
        <w:rPr>
          <w:sz w:val="22"/>
          <w:szCs w:val="22"/>
          <w:lang w:val="en-GB"/>
        </w:rPr>
        <w:t xml:space="preserve"> </w:t>
      </w:r>
      <w:r w:rsidR="00A820B4">
        <w:rPr>
          <w:sz w:val="22"/>
          <w:szCs w:val="22"/>
          <w:lang w:val="en-GB"/>
        </w:rPr>
        <w:t>per</w:t>
      </w:r>
      <w:r w:rsidR="006B6676">
        <w:rPr>
          <w:sz w:val="22"/>
          <w:szCs w:val="22"/>
          <w:lang w:val="en-GB"/>
        </w:rPr>
        <w:t xml:space="preserve"> </w:t>
      </w:r>
      <w:r w:rsidR="00A820B4">
        <w:rPr>
          <w:sz w:val="22"/>
          <w:szCs w:val="22"/>
          <w:lang w:val="en-GB"/>
        </w:rPr>
        <w:t>cent</w:t>
      </w:r>
      <w:r w:rsidR="006B6676">
        <w:rPr>
          <w:sz w:val="22"/>
          <w:szCs w:val="22"/>
          <w:lang w:val="en-GB"/>
        </w:rPr>
        <w:t xml:space="preserve"> </w:t>
      </w:r>
      <w:r w:rsidR="006C0820">
        <w:rPr>
          <w:sz w:val="22"/>
          <w:szCs w:val="22"/>
          <w:lang w:val="en-GB"/>
        </w:rPr>
        <w:t>year-to-date</w:t>
      </w:r>
      <w:r w:rsidR="006B6676">
        <w:rPr>
          <w:sz w:val="22"/>
          <w:szCs w:val="22"/>
          <w:lang w:val="en-GB"/>
        </w:rPr>
        <w:t xml:space="preserve"> </w:t>
      </w:r>
      <w:r w:rsidR="00407D6D">
        <w:rPr>
          <w:sz w:val="22"/>
          <w:szCs w:val="22"/>
          <w:lang w:val="en-GB"/>
        </w:rPr>
        <w:t>drop</w:t>
      </w:r>
      <w:r w:rsidR="006B6676">
        <w:rPr>
          <w:sz w:val="22"/>
          <w:szCs w:val="22"/>
          <w:lang w:val="en-GB"/>
        </w:rPr>
        <w:t xml:space="preserve"> </w:t>
      </w:r>
      <w:r w:rsidR="00407D6D">
        <w:rPr>
          <w:sz w:val="22"/>
          <w:szCs w:val="22"/>
          <w:lang w:val="en-GB"/>
        </w:rPr>
        <w:t>in</w:t>
      </w:r>
      <w:r w:rsidR="006B6676">
        <w:rPr>
          <w:sz w:val="22"/>
          <w:szCs w:val="22"/>
          <w:lang w:val="en-GB"/>
        </w:rPr>
        <w:t xml:space="preserve"> </w:t>
      </w:r>
      <w:r w:rsidR="00A820B4">
        <w:rPr>
          <w:sz w:val="22"/>
          <w:szCs w:val="22"/>
          <w:lang w:val="en-GB"/>
        </w:rPr>
        <w:t>unit</w:t>
      </w:r>
      <w:r w:rsidR="006B6676">
        <w:rPr>
          <w:sz w:val="22"/>
          <w:szCs w:val="22"/>
          <w:lang w:val="en-GB"/>
        </w:rPr>
        <w:t xml:space="preserve"> </w:t>
      </w:r>
      <w:r w:rsidR="00407D6D">
        <w:rPr>
          <w:sz w:val="22"/>
          <w:szCs w:val="22"/>
          <w:lang w:val="en-GB"/>
        </w:rPr>
        <w:t>sales</w:t>
      </w:r>
      <w:r w:rsidR="00A820B4">
        <w:rPr>
          <w:sz w:val="22"/>
          <w:szCs w:val="22"/>
          <w:lang w:val="en-GB"/>
        </w:rPr>
        <w:t>.</w:t>
      </w:r>
      <w:r w:rsidR="006B6676">
        <w:rPr>
          <w:sz w:val="22"/>
          <w:szCs w:val="22"/>
          <w:lang w:val="en-GB"/>
        </w:rPr>
        <w:t xml:space="preserve"> </w:t>
      </w:r>
      <w:r w:rsidR="003B56D8">
        <w:rPr>
          <w:sz w:val="22"/>
          <w:szCs w:val="22"/>
          <w:lang w:val="en-GB"/>
        </w:rPr>
        <w:t>Unit</w:t>
      </w:r>
      <w:r w:rsidR="006B6676">
        <w:rPr>
          <w:sz w:val="22"/>
          <w:szCs w:val="22"/>
          <w:lang w:val="en-GB"/>
        </w:rPr>
        <w:t xml:space="preserve"> </w:t>
      </w:r>
      <w:r w:rsidR="003B56D8">
        <w:rPr>
          <w:sz w:val="22"/>
          <w:szCs w:val="22"/>
          <w:lang w:val="en-GB"/>
        </w:rPr>
        <w:t>s</w:t>
      </w:r>
      <w:r w:rsidR="00A820B4">
        <w:rPr>
          <w:sz w:val="22"/>
          <w:szCs w:val="22"/>
          <w:lang w:val="en-GB"/>
        </w:rPr>
        <w:t>ales</w:t>
      </w:r>
      <w:r w:rsidR="006B6676">
        <w:rPr>
          <w:sz w:val="22"/>
          <w:szCs w:val="22"/>
          <w:lang w:val="en-GB"/>
        </w:rPr>
        <w:t xml:space="preserve"> </w:t>
      </w:r>
      <w:r w:rsidR="00A820B4">
        <w:rPr>
          <w:sz w:val="22"/>
          <w:szCs w:val="22"/>
          <w:lang w:val="en-GB"/>
        </w:rPr>
        <w:t>had</w:t>
      </w:r>
      <w:r w:rsidR="006B6676">
        <w:rPr>
          <w:sz w:val="22"/>
          <w:szCs w:val="22"/>
          <w:lang w:val="en-GB"/>
        </w:rPr>
        <w:t xml:space="preserve"> </w:t>
      </w:r>
      <w:r w:rsidR="00A820B4">
        <w:rPr>
          <w:sz w:val="22"/>
          <w:szCs w:val="22"/>
          <w:lang w:val="en-GB"/>
        </w:rPr>
        <w:t>declined</w:t>
      </w:r>
      <w:r w:rsidR="006B6676">
        <w:rPr>
          <w:sz w:val="22"/>
          <w:szCs w:val="22"/>
          <w:lang w:val="en-GB"/>
        </w:rPr>
        <w:t xml:space="preserve"> </w:t>
      </w:r>
      <w:r w:rsidR="00B607FC" w:rsidRPr="00F26A3E">
        <w:rPr>
          <w:sz w:val="22"/>
          <w:szCs w:val="22"/>
          <w:lang w:val="en-GB"/>
        </w:rPr>
        <w:t>for</w:t>
      </w:r>
      <w:r w:rsidR="006B6676">
        <w:rPr>
          <w:sz w:val="22"/>
          <w:szCs w:val="22"/>
          <w:lang w:val="en-GB"/>
        </w:rPr>
        <w:t xml:space="preserve"> </w:t>
      </w:r>
      <w:r w:rsidR="00B607FC" w:rsidRPr="00F26A3E">
        <w:rPr>
          <w:sz w:val="22"/>
          <w:szCs w:val="22"/>
          <w:lang w:val="en-GB"/>
        </w:rPr>
        <w:t>the</w:t>
      </w:r>
      <w:r w:rsidR="006B6676">
        <w:rPr>
          <w:sz w:val="22"/>
          <w:szCs w:val="22"/>
          <w:lang w:val="en-GB"/>
        </w:rPr>
        <w:t xml:space="preserve"> </w:t>
      </w:r>
      <w:r w:rsidR="00B607FC" w:rsidRPr="00F26A3E">
        <w:rPr>
          <w:sz w:val="22"/>
          <w:szCs w:val="22"/>
          <w:lang w:val="en-GB"/>
        </w:rPr>
        <w:t>third</w:t>
      </w:r>
      <w:r w:rsidR="006B6676">
        <w:rPr>
          <w:sz w:val="22"/>
          <w:szCs w:val="22"/>
          <w:lang w:val="en-GB"/>
        </w:rPr>
        <w:t xml:space="preserve"> </w:t>
      </w:r>
      <w:r w:rsidR="00407D6D">
        <w:rPr>
          <w:sz w:val="22"/>
          <w:szCs w:val="22"/>
          <w:lang w:val="en-GB"/>
        </w:rPr>
        <w:t>con</w:t>
      </w:r>
      <w:r w:rsidR="00B607FC" w:rsidRPr="00F26A3E">
        <w:rPr>
          <w:sz w:val="22"/>
          <w:szCs w:val="22"/>
          <w:lang w:val="en-GB"/>
        </w:rPr>
        <w:t>s</w:t>
      </w:r>
      <w:r w:rsidR="00407D6D">
        <w:rPr>
          <w:sz w:val="22"/>
          <w:szCs w:val="22"/>
          <w:lang w:val="en-GB"/>
        </w:rPr>
        <w:t>ecut</w:t>
      </w:r>
      <w:r w:rsidR="00B607FC" w:rsidRPr="00F26A3E">
        <w:rPr>
          <w:sz w:val="22"/>
          <w:szCs w:val="22"/>
          <w:lang w:val="en-GB"/>
        </w:rPr>
        <w:t>ive</w:t>
      </w:r>
      <w:r w:rsidR="006B6676">
        <w:rPr>
          <w:sz w:val="22"/>
          <w:szCs w:val="22"/>
          <w:lang w:val="en-GB"/>
        </w:rPr>
        <w:t xml:space="preserve"> </w:t>
      </w:r>
      <w:r w:rsidR="00B607FC" w:rsidRPr="00F26A3E">
        <w:rPr>
          <w:sz w:val="22"/>
          <w:szCs w:val="22"/>
          <w:lang w:val="en-GB"/>
        </w:rPr>
        <w:t>quarter</w:t>
      </w:r>
      <w:r w:rsidR="006B6676">
        <w:rPr>
          <w:sz w:val="22"/>
          <w:szCs w:val="22"/>
          <w:lang w:val="en-GB"/>
        </w:rPr>
        <w:t xml:space="preserve"> </w:t>
      </w:r>
      <w:r w:rsidR="00B607FC" w:rsidRPr="00F26A3E">
        <w:rPr>
          <w:sz w:val="22"/>
          <w:szCs w:val="22"/>
          <w:lang w:val="en-GB"/>
        </w:rPr>
        <w:t>of</w:t>
      </w:r>
      <w:r w:rsidR="006B6676">
        <w:rPr>
          <w:sz w:val="22"/>
          <w:szCs w:val="22"/>
          <w:lang w:val="en-GB"/>
        </w:rPr>
        <w:t xml:space="preserve"> </w:t>
      </w:r>
      <w:r w:rsidR="00B607FC" w:rsidRPr="00F26A3E">
        <w:rPr>
          <w:sz w:val="22"/>
          <w:szCs w:val="22"/>
          <w:lang w:val="en-GB"/>
        </w:rPr>
        <w:t>fi</w:t>
      </w:r>
      <w:r w:rsidR="00001868">
        <w:rPr>
          <w:sz w:val="22"/>
          <w:szCs w:val="22"/>
          <w:lang w:val="en-GB"/>
        </w:rPr>
        <w:t>nancial</w:t>
      </w:r>
      <w:r w:rsidR="006B6676">
        <w:rPr>
          <w:sz w:val="22"/>
          <w:szCs w:val="22"/>
          <w:lang w:val="en-GB"/>
        </w:rPr>
        <w:t xml:space="preserve"> </w:t>
      </w:r>
      <w:r w:rsidR="00B607FC" w:rsidRPr="00F26A3E">
        <w:rPr>
          <w:sz w:val="22"/>
          <w:szCs w:val="22"/>
          <w:lang w:val="en-GB"/>
        </w:rPr>
        <w:t>year</w:t>
      </w:r>
      <w:r w:rsidR="006B6676">
        <w:rPr>
          <w:sz w:val="22"/>
          <w:szCs w:val="22"/>
          <w:lang w:val="en-GB"/>
        </w:rPr>
        <w:t xml:space="preserve"> </w:t>
      </w:r>
      <w:r w:rsidR="0074327F">
        <w:rPr>
          <w:sz w:val="22"/>
          <w:szCs w:val="22"/>
          <w:lang w:val="en-GB"/>
        </w:rPr>
        <w:t>(FY)</w:t>
      </w:r>
      <w:r w:rsidR="006B6676">
        <w:rPr>
          <w:sz w:val="22"/>
          <w:szCs w:val="22"/>
          <w:lang w:val="en-GB"/>
        </w:rPr>
        <w:t xml:space="preserve"> </w:t>
      </w:r>
      <w:r w:rsidR="00407D6D">
        <w:rPr>
          <w:sz w:val="22"/>
          <w:szCs w:val="22"/>
          <w:lang w:val="en-GB"/>
        </w:rPr>
        <w:t>2019–20</w:t>
      </w:r>
      <w:r w:rsidR="00B607FC" w:rsidRPr="00F26A3E">
        <w:rPr>
          <w:sz w:val="22"/>
          <w:szCs w:val="22"/>
          <w:lang w:val="en-GB"/>
        </w:rPr>
        <w:t>.</w:t>
      </w:r>
      <w:r w:rsidR="00CA6A0D" w:rsidRPr="00F26A3E">
        <w:rPr>
          <w:sz w:val="22"/>
          <w:szCs w:val="22"/>
          <w:vertAlign w:val="superscript"/>
          <w:lang w:val="en-GB"/>
        </w:rPr>
        <w:endnoteReference w:id="2"/>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FY</w:t>
      </w:r>
      <w:r w:rsidR="006B6676">
        <w:rPr>
          <w:sz w:val="22"/>
          <w:szCs w:val="22"/>
          <w:lang w:val="en-GB"/>
        </w:rPr>
        <w:t xml:space="preserve"> </w:t>
      </w:r>
      <w:r w:rsidR="00CA6A0D" w:rsidRPr="00F26A3E">
        <w:rPr>
          <w:sz w:val="22"/>
          <w:szCs w:val="22"/>
          <w:lang w:val="en-GB"/>
        </w:rPr>
        <w:t>2018</w:t>
      </w:r>
      <w:r w:rsidR="00CA6A0D">
        <w:rPr>
          <w:sz w:val="22"/>
          <w:szCs w:val="22"/>
          <w:lang w:val="en-GB"/>
        </w:rPr>
        <w:t>–</w:t>
      </w:r>
      <w:r w:rsidR="00CA6A0D" w:rsidRPr="00F26A3E">
        <w:rPr>
          <w:sz w:val="22"/>
          <w:szCs w:val="22"/>
          <w:lang w:val="en-GB"/>
        </w:rPr>
        <w:t>19</w:t>
      </w:r>
      <w:r w:rsidR="00CA6A0D">
        <w:rPr>
          <w:sz w:val="22"/>
          <w:szCs w:val="22"/>
          <w:lang w:val="en-GB"/>
        </w:rPr>
        <w:t>,</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company</w:t>
      </w:r>
      <w:r w:rsidR="006B6676">
        <w:rPr>
          <w:sz w:val="22"/>
          <w:szCs w:val="22"/>
          <w:lang w:val="en-GB"/>
        </w:rPr>
        <w:t xml:space="preserve"> </w:t>
      </w:r>
      <w:r w:rsidR="00CA6A0D">
        <w:rPr>
          <w:sz w:val="22"/>
          <w:szCs w:val="22"/>
          <w:lang w:val="en-GB"/>
        </w:rPr>
        <w:t>had</w:t>
      </w:r>
      <w:r w:rsidR="006B6676">
        <w:rPr>
          <w:sz w:val="22"/>
          <w:szCs w:val="22"/>
          <w:lang w:val="en-GB"/>
        </w:rPr>
        <w:t xml:space="preserve"> </w:t>
      </w:r>
      <w:r w:rsidR="00CA6A0D">
        <w:rPr>
          <w:sz w:val="22"/>
          <w:szCs w:val="22"/>
          <w:lang w:val="en-GB"/>
        </w:rPr>
        <w:t>sold</w:t>
      </w:r>
      <w:r w:rsidR="006B6676">
        <w:rPr>
          <w:sz w:val="22"/>
          <w:szCs w:val="22"/>
          <w:lang w:val="en-GB"/>
        </w:rPr>
        <w:t xml:space="preserve"> </w:t>
      </w:r>
      <w:r w:rsidR="00CA6A0D" w:rsidRPr="00F26A3E">
        <w:rPr>
          <w:sz w:val="22"/>
          <w:szCs w:val="22"/>
          <w:lang w:val="en-GB"/>
        </w:rPr>
        <w:t>823,828</w:t>
      </w:r>
      <w:r w:rsidR="006B6676">
        <w:rPr>
          <w:sz w:val="22"/>
          <w:szCs w:val="22"/>
          <w:lang w:val="en-GB"/>
        </w:rPr>
        <w:t xml:space="preserve"> </w:t>
      </w:r>
      <w:r w:rsidR="00CA6A0D" w:rsidRPr="00F26A3E">
        <w:rPr>
          <w:sz w:val="22"/>
          <w:szCs w:val="22"/>
          <w:lang w:val="en-GB"/>
        </w:rPr>
        <w:t>motorcycles</w:t>
      </w:r>
      <w:r w:rsidR="00CA6A0D">
        <w:rPr>
          <w:sz w:val="22"/>
          <w:szCs w:val="22"/>
          <w:lang w:val="en-GB"/>
        </w:rPr>
        <w:t>,</w:t>
      </w:r>
      <w:r w:rsidR="006B6676">
        <w:rPr>
          <w:sz w:val="22"/>
          <w:szCs w:val="22"/>
          <w:lang w:val="en-GB"/>
        </w:rPr>
        <w:t xml:space="preserve"> </w:t>
      </w:r>
      <w:r w:rsidR="00CA6A0D">
        <w:rPr>
          <w:sz w:val="22"/>
          <w:szCs w:val="22"/>
          <w:lang w:val="en-GB"/>
        </w:rPr>
        <w:t>which</w:t>
      </w:r>
      <w:r w:rsidR="006B6676">
        <w:rPr>
          <w:sz w:val="22"/>
          <w:szCs w:val="22"/>
          <w:lang w:val="en-GB"/>
        </w:rPr>
        <w:t xml:space="preserve"> </w:t>
      </w:r>
      <w:r w:rsidR="00CA6A0D">
        <w:rPr>
          <w:sz w:val="22"/>
          <w:szCs w:val="22"/>
          <w:lang w:val="en-GB"/>
        </w:rPr>
        <w:t>was</w:t>
      </w:r>
      <w:r w:rsidR="006B6676">
        <w:rPr>
          <w:sz w:val="22"/>
          <w:szCs w:val="22"/>
          <w:lang w:val="en-GB"/>
        </w:rPr>
        <w:t xml:space="preserve"> </w:t>
      </w:r>
      <w:r w:rsidR="00CA6A0D">
        <w:rPr>
          <w:sz w:val="22"/>
          <w:szCs w:val="22"/>
          <w:lang w:val="en-GB"/>
        </w:rPr>
        <w:t>only</w:t>
      </w:r>
      <w:r w:rsidR="006B6676">
        <w:rPr>
          <w:sz w:val="22"/>
          <w:szCs w:val="22"/>
          <w:lang w:val="en-GB"/>
        </w:rPr>
        <w:t xml:space="preserve"> </w:t>
      </w:r>
      <w:r w:rsidR="00CA6A0D">
        <w:rPr>
          <w:sz w:val="22"/>
          <w:szCs w:val="22"/>
          <w:lang w:val="en-GB"/>
        </w:rPr>
        <w:t>a</w:t>
      </w:r>
      <w:r w:rsidR="006B6676">
        <w:rPr>
          <w:sz w:val="22"/>
          <w:szCs w:val="22"/>
          <w:lang w:val="en-GB"/>
        </w:rPr>
        <w:t xml:space="preserve"> </w:t>
      </w:r>
      <w:r w:rsidR="00CA6A0D">
        <w:rPr>
          <w:sz w:val="22"/>
          <w:szCs w:val="22"/>
          <w:lang w:val="en-GB"/>
        </w:rPr>
        <w:t>slight</w:t>
      </w:r>
      <w:r w:rsidR="006B6676">
        <w:rPr>
          <w:sz w:val="22"/>
          <w:szCs w:val="22"/>
          <w:lang w:val="en-GB"/>
        </w:rPr>
        <w:t xml:space="preserve"> </w:t>
      </w:r>
      <w:r w:rsidR="00CA6A0D">
        <w:rPr>
          <w:sz w:val="22"/>
          <w:szCs w:val="22"/>
          <w:lang w:val="en-GB"/>
        </w:rPr>
        <w:t>increase</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unit</w:t>
      </w:r>
      <w:r w:rsidR="006B6676">
        <w:rPr>
          <w:sz w:val="22"/>
          <w:szCs w:val="22"/>
          <w:lang w:val="en-GB"/>
        </w:rPr>
        <w:t xml:space="preserve"> </w:t>
      </w:r>
      <w:r w:rsidR="00CA6A0D">
        <w:rPr>
          <w:sz w:val="22"/>
          <w:szCs w:val="22"/>
          <w:lang w:val="en-GB"/>
        </w:rPr>
        <w:t>sales</w:t>
      </w:r>
      <w:r w:rsidR="006B6676">
        <w:rPr>
          <w:sz w:val="22"/>
          <w:szCs w:val="22"/>
          <w:lang w:val="en-GB"/>
        </w:rPr>
        <w:t xml:space="preserve"> </w:t>
      </w:r>
      <w:r w:rsidR="00CA6A0D">
        <w:rPr>
          <w:sz w:val="22"/>
          <w:szCs w:val="22"/>
          <w:lang w:val="en-GB"/>
        </w:rPr>
        <w:t>from</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previous</w:t>
      </w:r>
      <w:r w:rsidR="006B6676">
        <w:rPr>
          <w:sz w:val="22"/>
          <w:szCs w:val="22"/>
          <w:lang w:val="en-GB"/>
        </w:rPr>
        <w:t xml:space="preserve"> </w:t>
      </w:r>
      <w:r w:rsidR="00CA6A0D">
        <w:rPr>
          <w:sz w:val="22"/>
          <w:szCs w:val="22"/>
          <w:lang w:val="en-GB"/>
        </w:rPr>
        <w:t>year</w:t>
      </w:r>
      <w:r w:rsidR="00CA6A0D" w:rsidRPr="00F26A3E">
        <w:rPr>
          <w:sz w:val="22"/>
          <w:szCs w:val="22"/>
          <w:lang w:val="en-GB"/>
        </w:rPr>
        <w:t>.</w:t>
      </w:r>
      <w:r w:rsidR="00CA6A0D" w:rsidRPr="00F26A3E">
        <w:rPr>
          <w:sz w:val="22"/>
          <w:szCs w:val="22"/>
          <w:vertAlign w:val="superscript"/>
          <w:lang w:val="en-GB"/>
        </w:rPr>
        <w:endnoteReference w:id="3"/>
      </w:r>
      <w:r w:rsidR="006B6676">
        <w:rPr>
          <w:sz w:val="22"/>
          <w:szCs w:val="22"/>
          <w:lang w:val="en-GB"/>
        </w:rPr>
        <w:t xml:space="preserve"> </w:t>
      </w:r>
      <w:r w:rsidR="00CA6A0D">
        <w:rPr>
          <w:sz w:val="22"/>
          <w:szCs w:val="22"/>
          <w:lang w:val="en-GB"/>
        </w:rPr>
        <w:t>This</w:t>
      </w:r>
      <w:r w:rsidR="006B6676">
        <w:rPr>
          <w:sz w:val="22"/>
          <w:szCs w:val="22"/>
          <w:lang w:val="en-GB"/>
        </w:rPr>
        <w:t xml:space="preserve"> </w:t>
      </w:r>
      <w:r w:rsidR="00CA6A0D">
        <w:rPr>
          <w:sz w:val="22"/>
          <w:szCs w:val="22"/>
          <w:lang w:val="en-GB"/>
        </w:rPr>
        <w:t>was</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contrast</w:t>
      </w:r>
      <w:r w:rsidR="006B6676">
        <w:rPr>
          <w:sz w:val="22"/>
          <w:szCs w:val="22"/>
          <w:lang w:val="en-GB"/>
        </w:rPr>
        <w:t xml:space="preserve"> </w:t>
      </w:r>
      <w:r w:rsidR="00CA6A0D">
        <w:rPr>
          <w:sz w:val="22"/>
          <w:szCs w:val="22"/>
          <w:lang w:val="en-GB"/>
        </w:rPr>
        <w:t>with</w:t>
      </w:r>
      <w:r w:rsidR="006B6676">
        <w:rPr>
          <w:sz w:val="22"/>
          <w:szCs w:val="22"/>
          <w:lang w:val="en-GB"/>
        </w:rPr>
        <w:t xml:space="preserve"> </w:t>
      </w:r>
      <w:r w:rsidR="00CA6A0D" w:rsidRPr="00F26A3E">
        <w:rPr>
          <w:sz w:val="22"/>
          <w:szCs w:val="22"/>
          <w:lang w:val="en-GB"/>
        </w:rPr>
        <w:t>Royal</w:t>
      </w:r>
      <w:r w:rsidR="006B6676">
        <w:rPr>
          <w:sz w:val="22"/>
          <w:szCs w:val="22"/>
          <w:lang w:val="en-GB"/>
        </w:rPr>
        <w:t xml:space="preserve"> </w:t>
      </w:r>
      <w:r w:rsidR="00CA6A0D" w:rsidRPr="00F26A3E">
        <w:rPr>
          <w:sz w:val="22"/>
          <w:szCs w:val="22"/>
          <w:lang w:val="en-GB"/>
        </w:rPr>
        <w:t>Enfield</w:t>
      </w:r>
      <w:r w:rsidR="00CA6A0D">
        <w:rPr>
          <w:sz w:val="22"/>
          <w:szCs w:val="22"/>
          <w:lang w:val="en-GB"/>
        </w:rPr>
        <w:t>’s</w:t>
      </w:r>
      <w:r w:rsidR="006B6676">
        <w:rPr>
          <w:sz w:val="22"/>
          <w:szCs w:val="22"/>
          <w:lang w:val="en-GB"/>
        </w:rPr>
        <w:t xml:space="preserve"> </w:t>
      </w:r>
      <w:r w:rsidR="00CA6A0D">
        <w:rPr>
          <w:sz w:val="22"/>
          <w:szCs w:val="22"/>
          <w:lang w:val="en-GB"/>
        </w:rPr>
        <w:t>overwhelming</w:t>
      </w:r>
      <w:r w:rsidR="006B6676">
        <w:rPr>
          <w:sz w:val="22"/>
          <w:szCs w:val="22"/>
          <w:lang w:val="en-GB"/>
        </w:rPr>
        <w:t xml:space="preserve"> </w:t>
      </w:r>
      <w:r w:rsidR="00CA6A0D" w:rsidRPr="00F26A3E">
        <w:rPr>
          <w:sz w:val="22"/>
          <w:szCs w:val="22"/>
          <w:lang w:val="en-GB"/>
        </w:rPr>
        <w:t>success</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past,</w:t>
      </w:r>
      <w:r w:rsidR="006B6676">
        <w:rPr>
          <w:sz w:val="22"/>
          <w:szCs w:val="22"/>
          <w:lang w:val="en-GB"/>
        </w:rPr>
        <w:t xml:space="preserve"> </w:t>
      </w:r>
      <w:r w:rsidR="00CA6A0D">
        <w:rPr>
          <w:sz w:val="22"/>
          <w:szCs w:val="22"/>
          <w:lang w:val="en-GB"/>
        </w:rPr>
        <w:t>when</w:t>
      </w:r>
      <w:r w:rsidR="006B6676">
        <w:rPr>
          <w:sz w:val="22"/>
          <w:szCs w:val="22"/>
          <w:lang w:val="en-GB"/>
        </w:rPr>
        <w:t xml:space="preserve"> </w:t>
      </w:r>
      <w:r w:rsidR="00CA6A0D">
        <w:rPr>
          <w:sz w:val="22"/>
          <w:szCs w:val="22"/>
          <w:lang w:val="en-GB"/>
        </w:rPr>
        <w:t>u</w:t>
      </w:r>
      <w:r w:rsidR="00CA6A0D" w:rsidRPr="00F26A3E">
        <w:rPr>
          <w:sz w:val="22"/>
          <w:szCs w:val="22"/>
          <w:lang w:val="en-GB"/>
        </w:rPr>
        <w:t>nit</w:t>
      </w:r>
      <w:r w:rsidR="006B6676">
        <w:rPr>
          <w:sz w:val="22"/>
          <w:szCs w:val="22"/>
          <w:lang w:val="en-GB"/>
        </w:rPr>
        <w:t xml:space="preserve"> </w:t>
      </w:r>
      <w:r w:rsidR="00CA6A0D" w:rsidRPr="00F26A3E">
        <w:rPr>
          <w:sz w:val="22"/>
          <w:szCs w:val="22"/>
          <w:lang w:val="en-GB"/>
        </w:rPr>
        <w:t>sales</w:t>
      </w:r>
      <w:r w:rsidR="006B6676">
        <w:rPr>
          <w:sz w:val="22"/>
          <w:szCs w:val="22"/>
          <w:lang w:val="en-GB"/>
        </w:rPr>
        <w:t xml:space="preserve"> </w:t>
      </w:r>
      <w:r w:rsidR="00CA6A0D">
        <w:rPr>
          <w:sz w:val="22"/>
          <w:szCs w:val="22"/>
          <w:lang w:val="en-GB"/>
        </w:rPr>
        <w:t>had</w:t>
      </w:r>
      <w:r w:rsidR="006B6676">
        <w:rPr>
          <w:sz w:val="22"/>
          <w:szCs w:val="22"/>
          <w:lang w:val="en-GB"/>
        </w:rPr>
        <w:t xml:space="preserve"> </w:t>
      </w:r>
      <w:r w:rsidR="00CA6A0D" w:rsidRPr="00F26A3E">
        <w:rPr>
          <w:sz w:val="22"/>
          <w:szCs w:val="22"/>
          <w:lang w:val="en-GB"/>
        </w:rPr>
        <w:t>increas</w:t>
      </w:r>
      <w:r w:rsidR="00CA6A0D">
        <w:rPr>
          <w:sz w:val="22"/>
          <w:szCs w:val="22"/>
          <w:lang w:val="en-GB"/>
        </w:rPr>
        <w:t>ed</w:t>
      </w:r>
      <w:r w:rsidR="006B6676">
        <w:rPr>
          <w:sz w:val="22"/>
          <w:szCs w:val="22"/>
          <w:lang w:val="en-GB"/>
        </w:rPr>
        <w:t xml:space="preserve"> </w:t>
      </w:r>
      <w:r w:rsidR="00CA6A0D">
        <w:rPr>
          <w:sz w:val="22"/>
          <w:szCs w:val="22"/>
          <w:lang w:val="en-GB"/>
        </w:rPr>
        <w:t>a</w:t>
      </w:r>
      <w:r w:rsidR="006B6676">
        <w:rPr>
          <w:sz w:val="22"/>
          <w:szCs w:val="22"/>
          <w:lang w:val="en-GB"/>
        </w:rPr>
        <w:t xml:space="preserve"> </w:t>
      </w:r>
      <w:r w:rsidR="00CA6A0D">
        <w:rPr>
          <w:sz w:val="22"/>
          <w:szCs w:val="22"/>
          <w:lang w:val="en-GB"/>
        </w:rPr>
        <w:t>multiple</w:t>
      </w:r>
      <w:r w:rsidR="006B6676">
        <w:rPr>
          <w:sz w:val="22"/>
          <w:szCs w:val="22"/>
          <w:lang w:val="en-GB"/>
        </w:rPr>
        <w:t xml:space="preserve"> </w:t>
      </w:r>
      <w:r w:rsidR="00CA6A0D">
        <w:rPr>
          <w:sz w:val="22"/>
          <w:szCs w:val="22"/>
          <w:lang w:val="en-GB"/>
        </w:rPr>
        <w:t>of</w:t>
      </w:r>
      <w:r w:rsidR="006B6676">
        <w:rPr>
          <w:sz w:val="22"/>
          <w:szCs w:val="22"/>
          <w:lang w:val="en-GB"/>
        </w:rPr>
        <w:t xml:space="preserve"> </w:t>
      </w:r>
      <w:r w:rsidR="00CA6A0D" w:rsidRPr="00F26A3E">
        <w:rPr>
          <w:sz w:val="22"/>
          <w:szCs w:val="22"/>
          <w:lang w:val="en-GB"/>
        </w:rPr>
        <w:t>19</w:t>
      </w:r>
      <w:r w:rsidR="006B6676">
        <w:rPr>
          <w:sz w:val="22"/>
          <w:szCs w:val="22"/>
          <w:lang w:val="en-GB"/>
        </w:rPr>
        <w:t xml:space="preserve"> </w:t>
      </w:r>
      <w:r w:rsidR="00CA6A0D">
        <w:rPr>
          <w:sz w:val="22"/>
          <w:szCs w:val="22"/>
          <w:lang w:val="en-GB"/>
        </w:rPr>
        <w:t>times.</w:t>
      </w:r>
      <w:r w:rsidR="006B6676">
        <w:rPr>
          <w:sz w:val="22"/>
          <w:szCs w:val="22"/>
          <w:lang w:val="en-GB"/>
        </w:rPr>
        <w:t xml:space="preserve"> </w:t>
      </w:r>
      <w:r w:rsidR="00CA6A0D">
        <w:rPr>
          <w:sz w:val="22"/>
          <w:szCs w:val="22"/>
          <w:lang w:val="en-GB"/>
        </w:rPr>
        <w:t>Specifically,</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company</w:t>
      </w:r>
      <w:r w:rsidR="006B6676">
        <w:rPr>
          <w:sz w:val="22"/>
          <w:szCs w:val="22"/>
          <w:lang w:val="en-GB"/>
        </w:rPr>
        <w:t xml:space="preserve"> </w:t>
      </w:r>
      <w:r w:rsidR="00CA6A0D">
        <w:rPr>
          <w:sz w:val="22"/>
          <w:szCs w:val="22"/>
          <w:lang w:val="en-GB"/>
        </w:rPr>
        <w:t>went</w:t>
      </w:r>
      <w:r w:rsidR="006B6676">
        <w:rPr>
          <w:sz w:val="22"/>
          <w:szCs w:val="22"/>
          <w:lang w:val="en-GB"/>
        </w:rPr>
        <w:t xml:space="preserve"> </w:t>
      </w:r>
      <w:r w:rsidR="00CA6A0D" w:rsidRPr="00F26A3E">
        <w:rPr>
          <w:sz w:val="22"/>
          <w:szCs w:val="22"/>
          <w:lang w:val="en-GB"/>
        </w:rPr>
        <w:t>from</w:t>
      </w:r>
      <w:r w:rsidR="006B6676">
        <w:rPr>
          <w:sz w:val="22"/>
          <w:szCs w:val="22"/>
          <w:lang w:val="en-GB"/>
        </w:rPr>
        <w:t xml:space="preserve"> </w:t>
      </w:r>
      <w:r w:rsidR="00CA6A0D">
        <w:rPr>
          <w:sz w:val="22"/>
          <w:szCs w:val="22"/>
          <w:lang w:val="en-GB"/>
        </w:rPr>
        <w:t>selling</w:t>
      </w:r>
      <w:r w:rsidR="006B6676">
        <w:rPr>
          <w:sz w:val="22"/>
          <w:szCs w:val="22"/>
          <w:lang w:val="en-GB"/>
        </w:rPr>
        <w:t xml:space="preserve"> </w:t>
      </w:r>
      <w:r w:rsidR="00CA6A0D" w:rsidRPr="00F26A3E">
        <w:rPr>
          <w:sz w:val="22"/>
          <w:szCs w:val="22"/>
          <w:lang w:val="en-GB"/>
        </w:rPr>
        <w:t>43,298</w:t>
      </w:r>
      <w:r w:rsidR="006B6676">
        <w:rPr>
          <w:sz w:val="22"/>
          <w:szCs w:val="22"/>
          <w:lang w:val="en-GB"/>
        </w:rPr>
        <w:t xml:space="preserve"> </w:t>
      </w:r>
      <w:r w:rsidR="00CA6A0D">
        <w:rPr>
          <w:sz w:val="22"/>
          <w:szCs w:val="22"/>
          <w:lang w:val="en-GB"/>
        </w:rPr>
        <w:t>motorcycles</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173537">
        <w:rPr>
          <w:sz w:val="22"/>
          <w:szCs w:val="22"/>
          <w:lang w:val="en-GB"/>
        </w:rPr>
        <w:t>calendar</w:t>
      </w:r>
      <w:r w:rsidR="006B6676">
        <w:rPr>
          <w:sz w:val="22"/>
          <w:szCs w:val="22"/>
          <w:lang w:val="en-GB"/>
        </w:rPr>
        <w:t xml:space="preserve"> </w:t>
      </w:r>
      <w:r w:rsidR="00173537">
        <w:rPr>
          <w:sz w:val="22"/>
          <w:szCs w:val="22"/>
          <w:lang w:val="en-GB"/>
        </w:rPr>
        <w:t>year</w:t>
      </w:r>
      <w:r w:rsidR="006B6676">
        <w:rPr>
          <w:sz w:val="22"/>
          <w:szCs w:val="22"/>
          <w:lang w:val="en-GB"/>
        </w:rPr>
        <w:t xml:space="preserve"> </w:t>
      </w:r>
      <w:r w:rsidR="00CA6A0D">
        <w:rPr>
          <w:sz w:val="22"/>
          <w:szCs w:val="22"/>
          <w:lang w:val="en-GB"/>
        </w:rPr>
        <w:t>2008</w:t>
      </w:r>
      <w:r w:rsidR="006B6676">
        <w:rPr>
          <w:sz w:val="22"/>
          <w:szCs w:val="22"/>
          <w:lang w:val="en-GB"/>
        </w:rPr>
        <w:t xml:space="preserve"> </w:t>
      </w:r>
      <w:r w:rsidR="00CA6A0D">
        <w:rPr>
          <w:sz w:val="22"/>
          <w:szCs w:val="22"/>
          <w:lang w:val="en-GB"/>
        </w:rPr>
        <w:t>to</w:t>
      </w:r>
      <w:r w:rsidR="006B6676">
        <w:rPr>
          <w:sz w:val="22"/>
          <w:szCs w:val="22"/>
          <w:lang w:val="en-GB"/>
        </w:rPr>
        <w:t xml:space="preserve"> </w:t>
      </w:r>
      <w:r w:rsidR="00CA6A0D">
        <w:rPr>
          <w:sz w:val="22"/>
          <w:szCs w:val="22"/>
          <w:lang w:val="en-GB"/>
        </w:rPr>
        <w:t>selling</w:t>
      </w:r>
      <w:r w:rsidR="006B6676">
        <w:rPr>
          <w:sz w:val="22"/>
          <w:szCs w:val="22"/>
          <w:lang w:val="en-GB"/>
        </w:rPr>
        <w:t xml:space="preserve"> </w:t>
      </w:r>
      <w:r w:rsidR="00CA6A0D" w:rsidRPr="00F26A3E">
        <w:rPr>
          <w:sz w:val="22"/>
          <w:szCs w:val="22"/>
          <w:lang w:val="en-GB"/>
        </w:rPr>
        <w:t>820,492</w:t>
      </w:r>
      <w:r w:rsidR="006B6676">
        <w:rPr>
          <w:sz w:val="22"/>
          <w:szCs w:val="22"/>
          <w:lang w:val="en-GB"/>
        </w:rPr>
        <w:t xml:space="preserve"> </w:t>
      </w:r>
      <w:r w:rsidR="00CA6A0D">
        <w:rPr>
          <w:sz w:val="22"/>
          <w:szCs w:val="22"/>
          <w:lang w:val="en-GB"/>
        </w:rPr>
        <w:t>motorcycles</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FY</w:t>
      </w:r>
      <w:r w:rsidR="006B6676">
        <w:rPr>
          <w:sz w:val="22"/>
          <w:szCs w:val="22"/>
          <w:lang w:val="en-GB"/>
        </w:rPr>
        <w:t xml:space="preserve"> </w:t>
      </w:r>
      <w:r w:rsidR="00CA6A0D">
        <w:rPr>
          <w:sz w:val="22"/>
          <w:szCs w:val="22"/>
          <w:lang w:val="en-GB"/>
        </w:rPr>
        <w:t>2017–18</w:t>
      </w:r>
      <w:r w:rsidR="00CA6A0D" w:rsidRPr="00F26A3E">
        <w:rPr>
          <w:sz w:val="22"/>
          <w:szCs w:val="22"/>
          <w:vertAlign w:val="superscript"/>
          <w:lang w:val="en-GB"/>
        </w:rPr>
        <w:endnoteReference w:id="4"/>
      </w:r>
      <w:r w:rsidR="006B6676">
        <w:rPr>
          <w:sz w:val="22"/>
          <w:szCs w:val="22"/>
          <w:lang w:val="en-GB"/>
        </w:rPr>
        <w:t xml:space="preserve"> </w:t>
      </w:r>
      <w:r w:rsidR="00CA6A0D">
        <w:rPr>
          <w:sz w:val="22"/>
          <w:szCs w:val="22"/>
          <w:lang w:val="en-GB"/>
        </w:rPr>
        <w:t>to</w:t>
      </w:r>
      <w:r w:rsidR="006B6676">
        <w:rPr>
          <w:sz w:val="22"/>
          <w:szCs w:val="22"/>
          <w:lang w:val="en-GB"/>
        </w:rPr>
        <w:t xml:space="preserve"> </w:t>
      </w:r>
      <w:r w:rsidR="00CA6A0D" w:rsidRPr="00F26A3E">
        <w:rPr>
          <w:sz w:val="22"/>
          <w:szCs w:val="22"/>
          <w:lang w:val="en-GB"/>
        </w:rPr>
        <w:t>capture</w:t>
      </w:r>
      <w:r w:rsidR="006B6676">
        <w:rPr>
          <w:sz w:val="22"/>
          <w:szCs w:val="22"/>
          <w:lang w:val="en-GB"/>
        </w:rPr>
        <w:t xml:space="preserve"> </w:t>
      </w:r>
      <w:r w:rsidR="00CA6A0D" w:rsidRPr="00F26A3E">
        <w:rPr>
          <w:sz w:val="22"/>
          <w:szCs w:val="22"/>
          <w:lang w:val="en-GB"/>
        </w:rPr>
        <w:t>96</w:t>
      </w:r>
      <w:r w:rsidR="006B6676">
        <w:rPr>
          <w:sz w:val="22"/>
          <w:szCs w:val="22"/>
          <w:lang w:val="en-GB"/>
        </w:rPr>
        <w:t xml:space="preserve"> </w:t>
      </w:r>
      <w:r w:rsidR="00CA6A0D" w:rsidRPr="00F26A3E">
        <w:rPr>
          <w:sz w:val="22"/>
          <w:szCs w:val="22"/>
          <w:lang w:val="en-GB"/>
        </w:rPr>
        <w:t>per</w:t>
      </w:r>
      <w:r w:rsidR="006B6676">
        <w:rPr>
          <w:sz w:val="22"/>
          <w:szCs w:val="22"/>
          <w:lang w:val="en-GB"/>
        </w:rPr>
        <w:t xml:space="preserve"> </w:t>
      </w:r>
      <w:r w:rsidR="00CA6A0D" w:rsidRPr="00F26A3E">
        <w:rPr>
          <w:sz w:val="22"/>
          <w:szCs w:val="22"/>
          <w:lang w:val="en-GB"/>
        </w:rPr>
        <w:t>cent</w:t>
      </w:r>
      <w:r w:rsidR="006B6676">
        <w:rPr>
          <w:sz w:val="22"/>
          <w:szCs w:val="22"/>
          <w:lang w:val="en-GB"/>
        </w:rPr>
        <w:t xml:space="preserve"> </w:t>
      </w:r>
      <w:r w:rsidR="00CA6A0D">
        <w:rPr>
          <w:sz w:val="22"/>
          <w:szCs w:val="22"/>
          <w:lang w:val="en-GB"/>
        </w:rPr>
        <w:t>of</w:t>
      </w:r>
      <w:r w:rsidR="006B6676">
        <w:rPr>
          <w:sz w:val="22"/>
          <w:szCs w:val="22"/>
          <w:lang w:val="en-GB"/>
        </w:rPr>
        <w:t xml:space="preserve"> </w:t>
      </w:r>
      <w:r w:rsidR="00CA6A0D">
        <w:rPr>
          <w:sz w:val="22"/>
          <w:szCs w:val="22"/>
          <w:lang w:val="en-GB"/>
        </w:rPr>
        <w:t>India’s</w:t>
      </w:r>
      <w:r w:rsidR="006B6676">
        <w:rPr>
          <w:sz w:val="22"/>
          <w:szCs w:val="22"/>
          <w:lang w:val="en-GB"/>
        </w:rPr>
        <w:t xml:space="preserve"> </w:t>
      </w:r>
      <w:r w:rsidR="00CA6A0D" w:rsidRPr="00F26A3E">
        <w:rPr>
          <w:sz w:val="22"/>
          <w:szCs w:val="22"/>
          <w:lang w:val="en-GB"/>
        </w:rPr>
        <w:t>market</w:t>
      </w:r>
      <w:r w:rsidR="006B6676">
        <w:rPr>
          <w:sz w:val="22"/>
          <w:szCs w:val="22"/>
          <w:lang w:val="en-GB"/>
        </w:rPr>
        <w:t xml:space="preserve"> </w:t>
      </w:r>
      <w:r w:rsidR="00CA6A0D">
        <w:rPr>
          <w:sz w:val="22"/>
          <w:szCs w:val="22"/>
          <w:lang w:val="en-GB"/>
        </w:rPr>
        <w:t>for</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sidRPr="00F26A3E">
        <w:rPr>
          <w:sz w:val="22"/>
          <w:szCs w:val="22"/>
          <w:lang w:val="en-GB"/>
        </w:rPr>
        <w:t>250</w:t>
      </w:r>
      <w:r w:rsidR="00CA6A0D">
        <w:rPr>
          <w:sz w:val="22"/>
          <w:szCs w:val="22"/>
          <w:lang w:val="en-GB"/>
        </w:rPr>
        <w:t>–</w:t>
      </w:r>
      <w:r w:rsidR="00CA6A0D" w:rsidRPr="00F26A3E">
        <w:rPr>
          <w:sz w:val="22"/>
          <w:szCs w:val="22"/>
          <w:lang w:val="en-GB"/>
        </w:rPr>
        <w:t>750</w:t>
      </w:r>
      <w:r w:rsidR="006B6676">
        <w:rPr>
          <w:sz w:val="22"/>
          <w:szCs w:val="22"/>
          <w:lang w:val="en-GB"/>
        </w:rPr>
        <w:t xml:space="preserve"> </w:t>
      </w:r>
      <w:r w:rsidR="00CA6A0D">
        <w:rPr>
          <w:sz w:val="22"/>
          <w:szCs w:val="22"/>
          <w:lang w:val="en-GB"/>
        </w:rPr>
        <w:t>cubic</w:t>
      </w:r>
      <w:r w:rsidR="006B6676">
        <w:rPr>
          <w:sz w:val="22"/>
          <w:szCs w:val="22"/>
          <w:lang w:val="en-GB"/>
        </w:rPr>
        <w:t xml:space="preserve"> </w:t>
      </w:r>
      <w:r w:rsidR="00CA6A0D">
        <w:rPr>
          <w:sz w:val="22"/>
          <w:szCs w:val="22"/>
          <w:lang w:val="en-GB"/>
        </w:rPr>
        <w:t>capacity</w:t>
      </w:r>
      <w:r w:rsidR="00CA6A0D">
        <w:rPr>
          <w:rStyle w:val="EndnoteReference"/>
          <w:sz w:val="22"/>
          <w:szCs w:val="22"/>
          <w:lang w:val="en-GB"/>
        </w:rPr>
        <w:endnoteReference w:id="5"/>
      </w:r>
      <w:r w:rsidR="006B6676">
        <w:rPr>
          <w:sz w:val="22"/>
          <w:szCs w:val="22"/>
          <w:lang w:val="en-GB"/>
        </w:rPr>
        <w:t xml:space="preserve"> </w:t>
      </w:r>
      <w:r w:rsidR="00CA6A0D">
        <w:rPr>
          <w:sz w:val="22"/>
          <w:szCs w:val="22"/>
          <w:lang w:val="en-GB"/>
        </w:rPr>
        <w:t>(</w:t>
      </w:r>
      <w:r w:rsidR="00CA6A0D" w:rsidRPr="00F26A3E">
        <w:rPr>
          <w:sz w:val="22"/>
          <w:szCs w:val="22"/>
          <w:lang w:val="en-GB"/>
        </w:rPr>
        <w:t>cc</w:t>
      </w:r>
      <w:r w:rsidR="00CA6A0D">
        <w:rPr>
          <w:sz w:val="22"/>
          <w:szCs w:val="22"/>
          <w:lang w:val="en-GB"/>
        </w:rPr>
        <w:t>)</w:t>
      </w:r>
      <w:r w:rsidR="006B6676">
        <w:rPr>
          <w:sz w:val="22"/>
          <w:szCs w:val="22"/>
          <w:lang w:val="en-GB"/>
        </w:rPr>
        <w:t xml:space="preserve"> </w:t>
      </w:r>
      <w:r w:rsidR="00CA6A0D" w:rsidRPr="00F26A3E">
        <w:rPr>
          <w:sz w:val="22"/>
          <w:szCs w:val="22"/>
          <w:lang w:val="en-GB"/>
        </w:rPr>
        <w:t>motorcycle</w:t>
      </w:r>
      <w:r w:rsidR="006B6676">
        <w:rPr>
          <w:sz w:val="22"/>
          <w:szCs w:val="22"/>
          <w:lang w:val="en-GB"/>
        </w:rPr>
        <w:t xml:space="preserve"> </w:t>
      </w:r>
      <w:r w:rsidR="00CA6A0D">
        <w:rPr>
          <w:sz w:val="22"/>
          <w:szCs w:val="22"/>
          <w:lang w:val="en-GB"/>
        </w:rPr>
        <w:t>market</w:t>
      </w:r>
      <w:r w:rsidR="006B6676">
        <w:rPr>
          <w:sz w:val="22"/>
          <w:szCs w:val="22"/>
          <w:lang w:val="en-GB"/>
        </w:rPr>
        <w:t xml:space="preserve"> </w:t>
      </w:r>
      <w:r w:rsidR="00CA6A0D">
        <w:rPr>
          <w:sz w:val="22"/>
          <w:szCs w:val="22"/>
          <w:lang w:val="en-GB"/>
        </w:rPr>
        <w:t>segment.</w:t>
      </w:r>
      <w:r w:rsidR="00CA6A0D" w:rsidRPr="00F26A3E">
        <w:rPr>
          <w:sz w:val="22"/>
          <w:szCs w:val="22"/>
          <w:vertAlign w:val="superscript"/>
          <w:lang w:val="en-GB"/>
        </w:rPr>
        <w:endnoteReference w:id="6"/>
      </w:r>
      <w:r w:rsidR="006B6676">
        <w:rPr>
          <w:sz w:val="22"/>
          <w:szCs w:val="22"/>
          <w:lang w:val="en-GB"/>
        </w:rPr>
        <w:t xml:space="preserve"> </w:t>
      </w:r>
      <w:r w:rsidR="00CA6A0D" w:rsidRPr="00F26A3E">
        <w:rPr>
          <w:sz w:val="22"/>
          <w:szCs w:val="22"/>
          <w:lang w:val="en-GB"/>
        </w:rPr>
        <w:t>However,</w:t>
      </w:r>
      <w:r w:rsidR="006B6676">
        <w:rPr>
          <w:sz w:val="22"/>
          <w:szCs w:val="22"/>
          <w:lang w:val="en-GB"/>
        </w:rPr>
        <w:t xml:space="preserve"> </w:t>
      </w:r>
      <w:r w:rsidR="00CA6A0D">
        <w:rPr>
          <w:sz w:val="22"/>
          <w:szCs w:val="22"/>
          <w:lang w:val="en-GB"/>
        </w:rPr>
        <w:t>with</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number</w:t>
      </w:r>
      <w:r w:rsidR="006B6676">
        <w:rPr>
          <w:sz w:val="22"/>
          <w:szCs w:val="22"/>
          <w:lang w:val="en-GB"/>
        </w:rPr>
        <w:t xml:space="preserve"> </w:t>
      </w:r>
      <w:r w:rsidR="00CA6A0D">
        <w:rPr>
          <w:sz w:val="22"/>
          <w:szCs w:val="22"/>
          <w:lang w:val="en-GB"/>
        </w:rPr>
        <w:t>of</w:t>
      </w:r>
      <w:r w:rsidR="006B6676">
        <w:rPr>
          <w:sz w:val="22"/>
          <w:szCs w:val="22"/>
          <w:lang w:val="en-GB"/>
        </w:rPr>
        <w:t xml:space="preserve"> </w:t>
      </w:r>
      <w:r w:rsidR="00CA6A0D">
        <w:rPr>
          <w:sz w:val="22"/>
          <w:szCs w:val="22"/>
          <w:lang w:val="en-GB"/>
        </w:rPr>
        <w:t>units</w:t>
      </w:r>
      <w:r w:rsidR="006B6676">
        <w:rPr>
          <w:sz w:val="22"/>
          <w:szCs w:val="22"/>
          <w:lang w:val="en-GB"/>
        </w:rPr>
        <w:t xml:space="preserve"> </w:t>
      </w:r>
      <w:r w:rsidR="00CA6A0D">
        <w:rPr>
          <w:sz w:val="22"/>
          <w:szCs w:val="22"/>
          <w:lang w:val="en-GB"/>
        </w:rPr>
        <w:t>sold</w:t>
      </w:r>
      <w:r w:rsidR="006B6676">
        <w:rPr>
          <w:sz w:val="22"/>
          <w:szCs w:val="22"/>
          <w:lang w:val="en-GB"/>
        </w:rPr>
        <w:t xml:space="preserve"> </w:t>
      </w:r>
      <w:r w:rsidR="00CA6A0D">
        <w:rPr>
          <w:sz w:val="22"/>
          <w:szCs w:val="22"/>
          <w:lang w:val="en-GB"/>
        </w:rPr>
        <w:t>increasing</w:t>
      </w:r>
      <w:r w:rsidR="006B6676">
        <w:rPr>
          <w:sz w:val="22"/>
          <w:szCs w:val="22"/>
          <w:lang w:val="en-GB"/>
        </w:rPr>
        <w:t xml:space="preserve"> </w:t>
      </w:r>
      <w:r w:rsidR="00CA6A0D">
        <w:rPr>
          <w:sz w:val="22"/>
          <w:szCs w:val="22"/>
          <w:lang w:val="en-GB"/>
        </w:rPr>
        <w:t>only</w:t>
      </w:r>
      <w:r w:rsidR="006B6676">
        <w:rPr>
          <w:sz w:val="22"/>
          <w:szCs w:val="22"/>
          <w:lang w:val="en-GB"/>
        </w:rPr>
        <w:t xml:space="preserve"> </w:t>
      </w:r>
      <w:r w:rsidR="00CA6A0D">
        <w:rPr>
          <w:sz w:val="22"/>
          <w:szCs w:val="22"/>
          <w:lang w:val="en-GB"/>
        </w:rPr>
        <w:t>slightly</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most</w:t>
      </w:r>
      <w:r w:rsidR="006B6676">
        <w:rPr>
          <w:sz w:val="22"/>
          <w:szCs w:val="22"/>
          <w:lang w:val="en-GB"/>
        </w:rPr>
        <w:t xml:space="preserve"> </w:t>
      </w:r>
      <w:r w:rsidR="00CA6A0D">
        <w:rPr>
          <w:sz w:val="22"/>
          <w:szCs w:val="22"/>
          <w:lang w:val="en-GB"/>
        </w:rPr>
        <w:t>recent</w:t>
      </w:r>
      <w:r w:rsidR="006B6676">
        <w:rPr>
          <w:sz w:val="22"/>
          <w:szCs w:val="22"/>
          <w:lang w:val="en-GB"/>
        </w:rPr>
        <w:t xml:space="preserve"> </w:t>
      </w:r>
      <w:r w:rsidR="00CA6A0D">
        <w:rPr>
          <w:sz w:val="22"/>
          <w:szCs w:val="22"/>
          <w:lang w:val="en-GB"/>
        </w:rPr>
        <w:t>year</w:t>
      </w:r>
      <w:r w:rsidR="006B6676">
        <w:rPr>
          <w:sz w:val="22"/>
          <w:szCs w:val="22"/>
          <w:lang w:val="en-GB"/>
        </w:rPr>
        <w:t xml:space="preserve"> </w:t>
      </w:r>
      <w:r w:rsidR="00CA6A0D">
        <w:rPr>
          <w:sz w:val="22"/>
          <w:szCs w:val="22"/>
          <w:lang w:val="en-GB"/>
        </w:rPr>
        <w:t>and</w:t>
      </w:r>
      <w:r w:rsidR="006B6676">
        <w:rPr>
          <w:sz w:val="22"/>
          <w:szCs w:val="22"/>
          <w:lang w:val="en-GB"/>
        </w:rPr>
        <w:t xml:space="preserve"> </w:t>
      </w:r>
      <w:r w:rsidR="00CA6A0D">
        <w:rPr>
          <w:sz w:val="22"/>
          <w:szCs w:val="22"/>
          <w:lang w:val="en-GB"/>
        </w:rPr>
        <w:t>then</w:t>
      </w:r>
      <w:r w:rsidR="006B6676">
        <w:rPr>
          <w:sz w:val="22"/>
          <w:szCs w:val="22"/>
          <w:lang w:val="en-GB"/>
        </w:rPr>
        <w:t xml:space="preserve"> </w:t>
      </w:r>
      <w:r w:rsidR="00CA6A0D">
        <w:rPr>
          <w:sz w:val="22"/>
          <w:szCs w:val="22"/>
          <w:lang w:val="en-GB"/>
        </w:rPr>
        <w:t>declining</w:t>
      </w:r>
      <w:r w:rsidR="006B6676">
        <w:rPr>
          <w:sz w:val="22"/>
          <w:szCs w:val="22"/>
          <w:lang w:val="en-GB"/>
        </w:rPr>
        <w:t xml:space="preserve"> </w:t>
      </w:r>
      <w:r w:rsidR="00CA6A0D">
        <w:rPr>
          <w:sz w:val="22"/>
          <w:szCs w:val="22"/>
          <w:lang w:val="en-GB"/>
        </w:rPr>
        <w:t>in</w:t>
      </w:r>
      <w:r w:rsidR="006B6676">
        <w:rPr>
          <w:sz w:val="22"/>
          <w:szCs w:val="22"/>
          <w:lang w:val="en-GB"/>
        </w:rPr>
        <w:t xml:space="preserve"> </w:t>
      </w:r>
      <w:r w:rsidR="00CA6A0D">
        <w:rPr>
          <w:sz w:val="22"/>
          <w:szCs w:val="22"/>
          <w:lang w:val="en-GB"/>
        </w:rPr>
        <w:t>the</w:t>
      </w:r>
      <w:r w:rsidR="006B6676">
        <w:rPr>
          <w:sz w:val="22"/>
          <w:szCs w:val="22"/>
          <w:lang w:val="en-GB"/>
        </w:rPr>
        <w:t xml:space="preserve"> </w:t>
      </w:r>
      <w:r w:rsidR="00CA6A0D">
        <w:rPr>
          <w:sz w:val="22"/>
          <w:szCs w:val="22"/>
          <w:lang w:val="en-GB"/>
        </w:rPr>
        <w:t>previous</w:t>
      </w:r>
      <w:r w:rsidR="006B6676">
        <w:rPr>
          <w:sz w:val="22"/>
          <w:szCs w:val="22"/>
          <w:lang w:val="en-GB"/>
        </w:rPr>
        <w:t xml:space="preserve"> </w:t>
      </w:r>
      <w:r w:rsidR="00CA6A0D">
        <w:rPr>
          <w:sz w:val="22"/>
          <w:szCs w:val="22"/>
          <w:lang w:val="en-GB"/>
        </w:rPr>
        <w:t>three</w:t>
      </w:r>
      <w:r w:rsidR="006B6676">
        <w:rPr>
          <w:sz w:val="22"/>
          <w:szCs w:val="22"/>
          <w:lang w:val="en-GB"/>
        </w:rPr>
        <w:t xml:space="preserve"> </w:t>
      </w:r>
      <w:r w:rsidR="00CA6A0D">
        <w:rPr>
          <w:sz w:val="22"/>
          <w:szCs w:val="22"/>
          <w:lang w:val="en-GB"/>
        </w:rPr>
        <w:t>consecutive</w:t>
      </w:r>
      <w:r w:rsidR="006B6676">
        <w:rPr>
          <w:sz w:val="22"/>
          <w:szCs w:val="22"/>
          <w:lang w:val="en-GB"/>
        </w:rPr>
        <w:t xml:space="preserve"> </w:t>
      </w:r>
      <w:r w:rsidR="00CA6A0D">
        <w:rPr>
          <w:sz w:val="22"/>
          <w:szCs w:val="22"/>
          <w:lang w:val="en-GB"/>
        </w:rPr>
        <w:t>quarters,</w:t>
      </w:r>
      <w:r w:rsidR="006B6676">
        <w:rPr>
          <w:sz w:val="22"/>
          <w:szCs w:val="22"/>
          <w:lang w:val="en-GB"/>
        </w:rPr>
        <w:t xml:space="preserve"> </w:t>
      </w:r>
      <w:r w:rsidR="00CA6A0D" w:rsidRPr="00F26A3E">
        <w:rPr>
          <w:sz w:val="22"/>
          <w:szCs w:val="22"/>
          <w:lang w:val="en-GB"/>
        </w:rPr>
        <w:t>Royal</w:t>
      </w:r>
      <w:r w:rsidR="006B6676">
        <w:rPr>
          <w:sz w:val="22"/>
          <w:szCs w:val="22"/>
          <w:lang w:val="en-GB"/>
        </w:rPr>
        <w:t xml:space="preserve"> </w:t>
      </w:r>
      <w:r w:rsidR="00CA6A0D" w:rsidRPr="00F26A3E">
        <w:rPr>
          <w:sz w:val="22"/>
          <w:szCs w:val="22"/>
          <w:lang w:val="en-GB"/>
        </w:rPr>
        <w:t>Enfield</w:t>
      </w:r>
      <w:r w:rsidR="006B6676">
        <w:rPr>
          <w:sz w:val="22"/>
          <w:szCs w:val="22"/>
          <w:lang w:val="en-GB"/>
        </w:rPr>
        <w:t xml:space="preserve"> </w:t>
      </w:r>
      <w:r w:rsidR="00CA6A0D">
        <w:rPr>
          <w:sz w:val="22"/>
          <w:szCs w:val="22"/>
          <w:lang w:val="en-GB"/>
        </w:rPr>
        <w:t>seemed</w:t>
      </w:r>
      <w:r w:rsidR="006B6676">
        <w:rPr>
          <w:sz w:val="22"/>
          <w:szCs w:val="22"/>
          <w:lang w:val="en-GB"/>
        </w:rPr>
        <w:t xml:space="preserve"> </w:t>
      </w:r>
      <w:r w:rsidR="00CA6A0D">
        <w:rPr>
          <w:sz w:val="22"/>
          <w:szCs w:val="22"/>
          <w:lang w:val="en-GB"/>
        </w:rPr>
        <w:t>to</w:t>
      </w:r>
      <w:r w:rsidR="006B6676">
        <w:rPr>
          <w:sz w:val="22"/>
          <w:szCs w:val="22"/>
          <w:lang w:val="en-GB"/>
        </w:rPr>
        <w:t xml:space="preserve"> </w:t>
      </w:r>
      <w:r w:rsidR="00CA6A0D" w:rsidRPr="00F26A3E">
        <w:rPr>
          <w:sz w:val="22"/>
          <w:szCs w:val="22"/>
          <w:lang w:val="en-GB"/>
        </w:rPr>
        <w:t>ha</w:t>
      </w:r>
      <w:r w:rsidR="00CA6A0D">
        <w:rPr>
          <w:sz w:val="22"/>
          <w:szCs w:val="22"/>
          <w:lang w:val="en-GB"/>
        </w:rPr>
        <w:t>ve</w:t>
      </w:r>
      <w:r w:rsidR="006B6676">
        <w:rPr>
          <w:sz w:val="22"/>
          <w:szCs w:val="22"/>
          <w:lang w:val="en-GB"/>
        </w:rPr>
        <w:t xml:space="preserve"> </w:t>
      </w:r>
      <w:r w:rsidR="00CA6A0D" w:rsidRPr="00F26A3E">
        <w:rPr>
          <w:sz w:val="22"/>
          <w:szCs w:val="22"/>
          <w:lang w:val="en-GB"/>
        </w:rPr>
        <w:t>hit</w:t>
      </w:r>
      <w:r w:rsidR="006B6676">
        <w:rPr>
          <w:sz w:val="22"/>
          <w:szCs w:val="22"/>
          <w:lang w:val="en-GB"/>
        </w:rPr>
        <w:t xml:space="preserve"> </w:t>
      </w:r>
      <w:r w:rsidR="00CA6A0D" w:rsidRPr="00F26A3E">
        <w:rPr>
          <w:sz w:val="22"/>
          <w:szCs w:val="22"/>
          <w:lang w:val="en-GB"/>
        </w:rPr>
        <w:t>a</w:t>
      </w:r>
      <w:r w:rsidR="006B6676">
        <w:rPr>
          <w:sz w:val="22"/>
          <w:szCs w:val="22"/>
          <w:lang w:val="en-GB"/>
        </w:rPr>
        <w:t xml:space="preserve"> </w:t>
      </w:r>
      <w:r w:rsidR="00CA6A0D" w:rsidRPr="00F26A3E">
        <w:rPr>
          <w:sz w:val="22"/>
          <w:szCs w:val="22"/>
          <w:lang w:val="en-GB"/>
        </w:rPr>
        <w:t>speed</w:t>
      </w:r>
      <w:r w:rsidR="006B6676">
        <w:rPr>
          <w:sz w:val="22"/>
          <w:szCs w:val="22"/>
          <w:lang w:val="en-GB"/>
        </w:rPr>
        <w:t xml:space="preserve"> </w:t>
      </w:r>
      <w:r w:rsidR="00CA6A0D" w:rsidRPr="00F26A3E">
        <w:rPr>
          <w:sz w:val="22"/>
          <w:szCs w:val="22"/>
          <w:lang w:val="en-GB"/>
        </w:rPr>
        <w:t>bump</w:t>
      </w:r>
      <w:r w:rsidR="006B6676">
        <w:rPr>
          <w:sz w:val="22"/>
          <w:szCs w:val="22"/>
          <w:lang w:val="en-GB"/>
        </w:rPr>
        <w:t xml:space="preserve"> </w:t>
      </w:r>
      <w:r w:rsidR="00CA6A0D" w:rsidRPr="00F26A3E">
        <w:rPr>
          <w:sz w:val="22"/>
          <w:szCs w:val="22"/>
          <w:lang w:val="en-GB"/>
        </w:rPr>
        <w:t>on</w:t>
      </w:r>
      <w:r w:rsidR="006B6676">
        <w:rPr>
          <w:sz w:val="22"/>
          <w:szCs w:val="22"/>
          <w:lang w:val="en-GB"/>
        </w:rPr>
        <w:t xml:space="preserve"> </w:t>
      </w:r>
      <w:r w:rsidR="00CA6A0D" w:rsidRPr="00F26A3E">
        <w:rPr>
          <w:sz w:val="22"/>
          <w:szCs w:val="22"/>
          <w:lang w:val="en-GB"/>
        </w:rPr>
        <w:t>its</w:t>
      </w:r>
      <w:r w:rsidR="006B6676">
        <w:rPr>
          <w:sz w:val="22"/>
          <w:szCs w:val="22"/>
          <w:lang w:val="en-GB"/>
        </w:rPr>
        <w:t xml:space="preserve"> </w:t>
      </w:r>
      <w:r w:rsidR="00CA6A0D" w:rsidRPr="00F26A3E">
        <w:rPr>
          <w:sz w:val="22"/>
          <w:szCs w:val="22"/>
          <w:lang w:val="en-GB"/>
        </w:rPr>
        <w:t>growth</w:t>
      </w:r>
      <w:r w:rsidR="006B6676">
        <w:rPr>
          <w:sz w:val="22"/>
          <w:szCs w:val="22"/>
          <w:lang w:val="en-GB"/>
        </w:rPr>
        <w:t xml:space="preserve"> </w:t>
      </w:r>
      <w:r w:rsidR="00CA6A0D" w:rsidRPr="00F26A3E">
        <w:rPr>
          <w:sz w:val="22"/>
          <w:szCs w:val="22"/>
          <w:lang w:val="en-GB"/>
        </w:rPr>
        <w:t>journey.</w:t>
      </w:r>
      <w:r w:rsidR="006B6676">
        <w:rPr>
          <w:sz w:val="22"/>
          <w:szCs w:val="22"/>
          <w:lang w:val="en-GB"/>
        </w:rPr>
        <w:t xml:space="preserve"> </w:t>
      </w:r>
    </w:p>
    <w:p w14:paraId="16D3C7AC" w14:textId="77777777" w:rsidR="00CA6A0D" w:rsidRPr="00F26A3E" w:rsidRDefault="00CA6A0D" w:rsidP="00B607FC">
      <w:pPr>
        <w:jc w:val="both"/>
        <w:rPr>
          <w:sz w:val="22"/>
          <w:szCs w:val="22"/>
          <w:lang w:val="en-GB"/>
        </w:rPr>
      </w:pPr>
    </w:p>
    <w:p w14:paraId="559FBFA4" w14:textId="1D2E3789" w:rsidR="00CA6A0D" w:rsidRPr="00F26A3E" w:rsidRDefault="00CA6A0D" w:rsidP="00B607FC">
      <w:pPr>
        <w:jc w:val="both"/>
        <w:rPr>
          <w:sz w:val="22"/>
          <w:szCs w:val="22"/>
          <w:lang w:val="en-GB"/>
        </w:rPr>
      </w:pPr>
      <w:r w:rsidRPr="00F26A3E">
        <w:rPr>
          <w:sz w:val="22"/>
          <w:szCs w:val="22"/>
          <w:lang w:val="en-GB"/>
        </w:rPr>
        <w:t>The</w:t>
      </w:r>
      <w:r w:rsidR="006B6676">
        <w:rPr>
          <w:sz w:val="22"/>
          <w:szCs w:val="22"/>
          <w:lang w:val="en-GB"/>
        </w:rPr>
        <w:t xml:space="preserve"> </w:t>
      </w:r>
      <w:r w:rsidRPr="00F26A3E">
        <w:rPr>
          <w:sz w:val="22"/>
          <w:szCs w:val="22"/>
          <w:lang w:val="en-GB"/>
        </w:rPr>
        <w:t>first</w:t>
      </w:r>
      <w:r w:rsidR="006B6676">
        <w:rPr>
          <w:sz w:val="22"/>
          <w:szCs w:val="22"/>
          <w:lang w:val="en-GB"/>
        </w:rPr>
        <w:t xml:space="preserve"> </w:t>
      </w:r>
      <w:r w:rsidRPr="00F26A3E">
        <w:rPr>
          <w:sz w:val="22"/>
          <w:szCs w:val="22"/>
          <w:lang w:val="en-GB"/>
        </w:rPr>
        <w:t>day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January</w:t>
      </w:r>
      <w:r w:rsidR="006B6676">
        <w:rPr>
          <w:sz w:val="22"/>
          <w:szCs w:val="22"/>
          <w:lang w:val="en-GB"/>
        </w:rPr>
        <w:t xml:space="preserve"> </w:t>
      </w:r>
      <w:r w:rsidRPr="00F26A3E">
        <w:rPr>
          <w:sz w:val="22"/>
          <w:szCs w:val="22"/>
          <w:lang w:val="en-GB"/>
        </w:rPr>
        <w:t>2020</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also</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launch</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strong</w:t>
      </w:r>
      <w:r w:rsidR="006B6676">
        <w:rPr>
          <w:sz w:val="22"/>
          <w:szCs w:val="22"/>
          <w:lang w:val="en-GB"/>
        </w:rPr>
        <w:t xml:space="preserve"> </w:t>
      </w:r>
      <w:r>
        <w:rPr>
          <w:sz w:val="22"/>
          <w:szCs w:val="22"/>
          <w:lang w:val="en-GB"/>
        </w:rPr>
        <w:t>competitor:</w:t>
      </w:r>
      <w:r w:rsidR="006B6676">
        <w:rPr>
          <w:sz w:val="22"/>
          <w:szCs w:val="22"/>
          <w:lang w:val="en-GB"/>
        </w:rPr>
        <w:t xml:space="preserve"> </w:t>
      </w:r>
      <w:r w:rsidRPr="00F26A3E">
        <w:rPr>
          <w:sz w:val="22"/>
          <w:szCs w:val="22"/>
          <w:lang w:val="en-GB"/>
        </w:rPr>
        <w:t>Jawa</w:t>
      </w:r>
      <w:r w:rsidR="006B6676">
        <w:rPr>
          <w:sz w:val="22"/>
          <w:szCs w:val="22"/>
          <w:lang w:val="en-GB"/>
        </w:rPr>
        <w:t xml:space="preserve"> </w:t>
      </w:r>
      <w:r w:rsidRPr="00F26A3E">
        <w:rPr>
          <w:sz w:val="22"/>
          <w:szCs w:val="22"/>
          <w:lang w:val="en-GB"/>
        </w:rPr>
        <w:t>Perak</w:t>
      </w:r>
      <w:r>
        <w:rPr>
          <w:sz w:val="22"/>
          <w:szCs w:val="22"/>
          <w:lang w:val="en-GB"/>
        </w:rPr>
        <w:t>.</w:t>
      </w:r>
      <w:r w:rsidR="006B6676">
        <w:rPr>
          <w:sz w:val="22"/>
          <w:szCs w:val="22"/>
          <w:lang w:val="en-GB"/>
        </w:rPr>
        <w:t xml:space="preserve"> </w:t>
      </w:r>
      <w:r>
        <w:rPr>
          <w:sz w:val="22"/>
          <w:szCs w:val="22"/>
          <w:lang w:val="en-GB"/>
        </w:rPr>
        <w:t>This</w:t>
      </w:r>
      <w:r w:rsidR="006B6676">
        <w:rPr>
          <w:sz w:val="22"/>
          <w:szCs w:val="22"/>
          <w:lang w:val="en-GB"/>
        </w:rPr>
        <w:t xml:space="preserve"> </w:t>
      </w:r>
      <w:r>
        <w:rPr>
          <w:sz w:val="22"/>
          <w:szCs w:val="22"/>
          <w:lang w:val="en-GB"/>
        </w:rPr>
        <w:t>was</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third</w:t>
      </w:r>
      <w:r w:rsidR="006B6676">
        <w:rPr>
          <w:sz w:val="22"/>
          <w:szCs w:val="22"/>
          <w:lang w:val="en-GB"/>
        </w:rPr>
        <w:t xml:space="preserve"> </w:t>
      </w:r>
      <w:r>
        <w:rPr>
          <w:sz w:val="22"/>
          <w:szCs w:val="22"/>
          <w:lang w:val="en-GB"/>
        </w:rPr>
        <w:t>motorcycle</w:t>
      </w:r>
      <w:r w:rsidR="006B6676">
        <w:rPr>
          <w:sz w:val="22"/>
          <w:szCs w:val="22"/>
          <w:lang w:val="en-GB"/>
        </w:rPr>
        <w:t xml:space="preserve"> </w:t>
      </w:r>
      <w:r w:rsidRPr="00F26A3E">
        <w:rPr>
          <w:sz w:val="22"/>
          <w:szCs w:val="22"/>
          <w:lang w:val="en-GB"/>
        </w:rPr>
        <w:t>model</w:t>
      </w:r>
      <w:r w:rsidR="006B6676">
        <w:rPr>
          <w:sz w:val="22"/>
          <w:szCs w:val="22"/>
          <w:lang w:val="en-GB"/>
        </w:rPr>
        <w:t xml:space="preserve"> </w:t>
      </w:r>
      <w:r>
        <w:rPr>
          <w:sz w:val="22"/>
          <w:szCs w:val="22"/>
          <w:lang w:val="en-GB"/>
        </w:rPr>
        <w:t>within</w:t>
      </w:r>
      <w:r w:rsidR="006B6676">
        <w:rPr>
          <w:sz w:val="22"/>
          <w:szCs w:val="22"/>
          <w:lang w:val="en-GB"/>
        </w:rPr>
        <w:t xml:space="preserve"> </w:t>
      </w:r>
      <w:r>
        <w:rPr>
          <w:sz w:val="22"/>
          <w:szCs w:val="22"/>
          <w:lang w:val="en-GB"/>
        </w:rPr>
        <w:t>two</w:t>
      </w:r>
      <w:r w:rsidR="006B6676">
        <w:rPr>
          <w:sz w:val="22"/>
          <w:szCs w:val="22"/>
          <w:lang w:val="en-GB"/>
        </w:rPr>
        <w:t xml:space="preserve"> </w:t>
      </w:r>
      <w:r>
        <w:rPr>
          <w:sz w:val="22"/>
          <w:szCs w:val="22"/>
          <w:lang w:val="en-GB"/>
        </w:rPr>
        <w:t>years</w:t>
      </w:r>
      <w:r w:rsidR="006B6676">
        <w:rPr>
          <w:sz w:val="22"/>
          <w:szCs w:val="22"/>
          <w:lang w:val="en-GB"/>
        </w:rPr>
        <w:t xml:space="preserve"> </w:t>
      </w:r>
      <w:r>
        <w:rPr>
          <w:sz w:val="22"/>
          <w:szCs w:val="22"/>
          <w:lang w:val="en-GB"/>
        </w:rPr>
        <w:t>that</w:t>
      </w:r>
      <w:r w:rsidR="006B6676">
        <w:rPr>
          <w:sz w:val="22"/>
          <w:szCs w:val="22"/>
          <w:lang w:val="en-GB"/>
        </w:rPr>
        <w:t xml:space="preserve"> </w:t>
      </w:r>
      <w:r w:rsidRPr="00F26A3E">
        <w:rPr>
          <w:sz w:val="22"/>
          <w:szCs w:val="22"/>
          <w:lang w:val="en-GB"/>
        </w:rPr>
        <w:t>Mahindra</w:t>
      </w:r>
      <w:r w:rsidR="006B6676">
        <w:rPr>
          <w:sz w:val="22"/>
          <w:szCs w:val="22"/>
          <w:lang w:val="en-GB"/>
        </w:rPr>
        <w:t xml:space="preserve"> </w:t>
      </w:r>
      <w:r w:rsidRPr="00F26A3E">
        <w:rPr>
          <w:sz w:val="22"/>
          <w:szCs w:val="22"/>
          <w:lang w:val="en-GB"/>
        </w:rPr>
        <w:t>&amp;</w:t>
      </w:r>
      <w:r w:rsidR="006B6676">
        <w:rPr>
          <w:sz w:val="22"/>
          <w:szCs w:val="22"/>
          <w:lang w:val="en-GB"/>
        </w:rPr>
        <w:t xml:space="preserve"> </w:t>
      </w:r>
      <w:r w:rsidRPr="00F26A3E">
        <w:rPr>
          <w:sz w:val="22"/>
          <w:szCs w:val="22"/>
          <w:lang w:val="en-GB"/>
        </w:rPr>
        <w:t>Mahindra</w:t>
      </w:r>
      <w:r w:rsidR="006B6676">
        <w:rPr>
          <w:sz w:val="22"/>
          <w:szCs w:val="22"/>
          <w:lang w:val="en-GB"/>
        </w:rPr>
        <w:t xml:space="preserve"> </w:t>
      </w:r>
      <w:r w:rsidRPr="00F26A3E">
        <w:rPr>
          <w:sz w:val="22"/>
          <w:szCs w:val="22"/>
          <w:lang w:val="en-GB"/>
        </w:rPr>
        <w:t>(Mahindra)</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launched</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India’s</w:t>
      </w:r>
      <w:r w:rsidR="006B6676">
        <w:rPr>
          <w:sz w:val="22"/>
          <w:szCs w:val="22"/>
          <w:lang w:val="en-GB"/>
        </w:rPr>
        <w:t xml:space="preserve"> </w:t>
      </w:r>
      <w:r w:rsidRPr="00F26A3E">
        <w:rPr>
          <w:sz w:val="22"/>
          <w:szCs w:val="22"/>
          <w:lang w:val="en-GB"/>
        </w:rPr>
        <w:t>mid-size</w:t>
      </w:r>
      <w:r w:rsidR="006B6676">
        <w:rPr>
          <w:sz w:val="22"/>
          <w:szCs w:val="22"/>
          <w:lang w:val="en-GB"/>
        </w:rPr>
        <w:t xml:space="preserve"> </w:t>
      </w:r>
      <w:r>
        <w:rPr>
          <w:sz w:val="22"/>
          <w:szCs w:val="22"/>
          <w:lang w:val="en-GB"/>
        </w:rPr>
        <w:t>motorcycle</w:t>
      </w:r>
      <w:r w:rsidR="006B6676">
        <w:rPr>
          <w:sz w:val="22"/>
          <w:szCs w:val="22"/>
          <w:lang w:val="en-GB"/>
        </w:rPr>
        <w:t xml:space="preserve"> </w:t>
      </w:r>
      <w:r w:rsidRPr="00F26A3E">
        <w:rPr>
          <w:sz w:val="22"/>
          <w:szCs w:val="22"/>
          <w:lang w:val="en-GB"/>
        </w:rPr>
        <w:t>m</w:t>
      </w:r>
      <w:r>
        <w:rPr>
          <w:sz w:val="22"/>
          <w:szCs w:val="22"/>
          <w:lang w:val="en-GB"/>
        </w:rPr>
        <w:t>arket</w:t>
      </w:r>
      <w:r w:rsidR="006B6676">
        <w:rPr>
          <w:sz w:val="22"/>
          <w:szCs w:val="22"/>
          <w:lang w:val="en-GB"/>
        </w:rPr>
        <w:t xml:space="preserve"> </w:t>
      </w:r>
      <w:r w:rsidRPr="00F26A3E">
        <w:rPr>
          <w:sz w:val="22"/>
          <w:szCs w:val="22"/>
          <w:lang w:val="en-GB"/>
        </w:rPr>
        <w:t>segment.</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2018,</w:t>
      </w:r>
      <w:r w:rsidR="006B6676">
        <w:rPr>
          <w:sz w:val="22"/>
          <w:szCs w:val="22"/>
          <w:lang w:val="en-GB"/>
        </w:rPr>
        <w:t xml:space="preserve"> </w:t>
      </w:r>
      <w:r w:rsidRPr="00F26A3E">
        <w:rPr>
          <w:sz w:val="22"/>
          <w:szCs w:val="22"/>
          <w:lang w:val="en-GB"/>
        </w:rPr>
        <w:t>M</w:t>
      </w:r>
      <w:r>
        <w:rPr>
          <w:sz w:val="22"/>
          <w:szCs w:val="22"/>
          <w:lang w:val="en-GB"/>
        </w:rPr>
        <w:t>ahindra</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marked</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entry</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segment</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launch</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Jawa</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Jawa</w:t>
      </w:r>
      <w:r w:rsidR="006B6676">
        <w:rPr>
          <w:sz w:val="22"/>
          <w:szCs w:val="22"/>
          <w:lang w:val="en-GB"/>
        </w:rPr>
        <w:t xml:space="preserve"> </w:t>
      </w:r>
      <w:r>
        <w:rPr>
          <w:sz w:val="22"/>
          <w:szCs w:val="22"/>
          <w:lang w:val="en-GB"/>
        </w:rPr>
        <w:t>Forty</w:t>
      </w:r>
      <w:r w:rsidR="006B6676">
        <w:rPr>
          <w:sz w:val="22"/>
          <w:szCs w:val="22"/>
          <w:lang w:val="en-GB"/>
        </w:rPr>
        <w:t xml:space="preserve"> </w:t>
      </w:r>
      <w:r>
        <w:rPr>
          <w:sz w:val="22"/>
          <w:szCs w:val="22"/>
          <w:lang w:val="en-GB"/>
        </w:rPr>
        <w:t>Two.</w:t>
      </w:r>
      <w:r w:rsidRPr="00F26A3E">
        <w:rPr>
          <w:sz w:val="22"/>
          <w:szCs w:val="22"/>
          <w:vertAlign w:val="superscript"/>
          <w:lang w:val="en-GB"/>
        </w:rPr>
        <w:endnoteReference w:id="7"/>
      </w:r>
      <w:r w:rsidR="006B6676">
        <w:rPr>
          <w:sz w:val="22"/>
          <w:szCs w:val="22"/>
          <w:lang w:val="en-GB"/>
        </w:rPr>
        <w:t xml:space="preserve"> </w:t>
      </w:r>
      <w:r w:rsidRPr="00F26A3E">
        <w:rPr>
          <w:sz w:val="22"/>
          <w:szCs w:val="22"/>
          <w:lang w:val="en-GB"/>
        </w:rPr>
        <w:t>Both</w:t>
      </w:r>
      <w:r w:rsidR="006B6676">
        <w:rPr>
          <w:sz w:val="22"/>
          <w:szCs w:val="22"/>
          <w:lang w:val="en-GB"/>
        </w:rPr>
        <w:t xml:space="preserve"> </w:t>
      </w:r>
      <w:r w:rsidRPr="00F26A3E">
        <w:rPr>
          <w:sz w:val="22"/>
          <w:szCs w:val="22"/>
          <w:lang w:val="en-GB"/>
        </w:rPr>
        <w:t>models</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00173537">
        <w:rPr>
          <w:sz w:val="22"/>
          <w:szCs w:val="22"/>
          <w:lang w:val="en-GB"/>
        </w:rPr>
        <w:t>been</w:t>
      </w:r>
      <w:r w:rsidR="006B6676">
        <w:rPr>
          <w:sz w:val="22"/>
          <w:szCs w:val="22"/>
          <w:lang w:val="en-GB"/>
        </w:rPr>
        <w:t xml:space="preserve"> </w:t>
      </w:r>
      <w:r w:rsidR="00173537">
        <w:rPr>
          <w:sz w:val="22"/>
          <w:szCs w:val="22"/>
          <w:lang w:val="en-GB"/>
        </w:rPr>
        <w:t>met</w:t>
      </w:r>
      <w:r w:rsidR="006B6676">
        <w:rPr>
          <w:sz w:val="22"/>
          <w:szCs w:val="22"/>
          <w:lang w:val="en-GB"/>
        </w:rPr>
        <w:t xml:space="preserve"> </w:t>
      </w:r>
      <w:r w:rsidR="00173537">
        <w:rPr>
          <w:sz w:val="22"/>
          <w:szCs w:val="22"/>
          <w:lang w:val="en-GB"/>
        </w:rPr>
        <w:t>with</w:t>
      </w:r>
      <w:r w:rsidR="006B6676">
        <w:rPr>
          <w:sz w:val="22"/>
          <w:szCs w:val="22"/>
          <w:lang w:val="en-GB"/>
        </w:rPr>
        <w:t xml:space="preserve"> </w:t>
      </w:r>
      <w:r w:rsidRPr="00F26A3E">
        <w:rPr>
          <w:sz w:val="22"/>
          <w:szCs w:val="22"/>
          <w:lang w:val="en-GB"/>
        </w:rPr>
        <w:t>an</w:t>
      </w:r>
      <w:r w:rsidR="006B6676">
        <w:rPr>
          <w:sz w:val="22"/>
          <w:szCs w:val="22"/>
          <w:lang w:val="en-GB"/>
        </w:rPr>
        <w:t xml:space="preserve"> </w:t>
      </w:r>
      <w:r w:rsidRPr="00F26A3E">
        <w:rPr>
          <w:sz w:val="22"/>
          <w:szCs w:val="22"/>
          <w:lang w:val="en-GB"/>
        </w:rPr>
        <w:t>overwhelming</w:t>
      </w:r>
      <w:r w:rsidR="006B6676">
        <w:rPr>
          <w:sz w:val="22"/>
          <w:szCs w:val="22"/>
          <w:lang w:val="en-GB"/>
        </w:rPr>
        <w:t xml:space="preserve"> </w:t>
      </w:r>
      <w:r w:rsidRPr="00F26A3E">
        <w:rPr>
          <w:sz w:val="22"/>
          <w:szCs w:val="22"/>
          <w:lang w:val="en-GB"/>
        </w:rPr>
        <w:t>response.</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motorcycles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sold</w:t>
      </w:r>
      <w:r w:rsidR="006B6676">
        <w:rPr>
          <w:sz w:val="22"/>
          <w:szCs w:val="22"/>
          <w:lang w:val="en-GB"/>
        </w:rPr>
        <w:t xml:space="preserve"> </w:t>
      </w:r>
      <w:r>
        <w:rPr>
          <w:sz w:val="22"/>
          <w:szCs w:val="22"/>
          <w:lang w:val="en-GB"/>
        </w:rPr>
        <w:t>out</w:t>
      </w:r>
      <w:r w:rsidR="006B6676">
        <w:rPr>
          <w:sz w:val="22"/>
          <w:szCs w:val="22"/>
          <w:lang w:val="en-GB"/>
        </w:rPr>
        <w:t xml:space="preserve"> </w:t>
      </w:r>
      <w:r>
        <w:rPr>
          <w:sz w:val="22"/>
          <w:szCs w:val="22"/>
          <w:lang w:val="en-GB"/>
        </w:rPr>
        <w:t>w</w:t>
      </w:r>
      <w:r w:rsidRPr="00F26A3E">
        <w:rPr>
          <w:sz w:val="22"/>
          <w:szCs w:val="22"/>
          <w:lang w:val="en-GB"/>
        </w:rPr>
        <w:t>ithin</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month</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their</w:t>
      </w:r>
      <w:r w:rsidR="006B6676">
        <w:rPr>
          <w:sz w:val="22"/>
          <w:szCs w:val="22"/>
          <w:lang w:val="en-GB"/>
        </w:rPr>
        <w:t xml:space="preserve"> </w:t>
      </w:r>
      <w:r>
        <w:rPr>
          <w:sz w:val="22"/>
          <w:szCs w:val="22"/>
          <w:lang w:val="en-GB"/>
        </w:rPr>
        <w:t>launch,</w:t>
      </w:r>
      <w:r w:rsidR="006B6676">
        <w:rPr>
          <w:sz w:val="22"/>
          <w:szCs w:val="22"/>
          <w:lang w:val="en-GB"/>
        </w:rPr>
        <w:t xml:space="preserve"> </w:t>
      </w:r>
      <w:r>
        <w:rPr>
          <w:sz w:val="22"/>
          <w:szCs w:val="22"/>
          <w:lang w:val="en-GB"/>
        </w:rPr>
        <w:t>despite</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nine</w:t>
      </w:r>
      <w:r>
        <w:rPr>
          <w:sz w:val="22"/>
          <w:szCs w:val="22"/>
          <w:lang w:val="en-GB"/>
        </w:rPr>
        <w:t>-</w:t>
      </w:r>
      <w:r w:rsidRPr="00F26A3E">
        <w:rPr>
          <w:sz w:val="22"/>
          <w:szCs w:val="22"/>
          <w:lang w:val="en-GB"/>
        </w:rPr>
        <w:t>month</w:t>
      </w:r>
      <w:r w:rsidR="006B6676">
        <w:rPr>
          <w:sz w:val="22"/>
          <w:szCs w:val="22"/>
          <w:lang w:val="en-GB"/>
        </w:rPr>
        <w:t xml:space="preserve"> </w:t>
      </w:r>
      <w:r w:rsidRPr="00F26A3E">
        <w:rPr>
          <w:sz w:val="22"/>
          <w:szCs w:val="22"/>
          <w:lang w:val="en-GB"/>
        </w:rPr>
        <w:t>waiting</w:t>
      </w:r>
      <w:r w:rsidR="006B6676">
        <w:rPr>
          <w:sz w:val="22"/>
          <w:szCs w:val="22"/>
          <w:lang w:val="en-GB"/>
        </w:rPr>
        <w:t xml:space="preserve"> </w:t>
      </w:r>
      <w:r w:rsidRPr="00F26A3E">
        <w:rPr>
          <w:sz w:val="22"/>
          <w:szCs w:val="22"/>
          <w:lang w:val="en-GB"/>
        </w:rPr>
        <w:t>period</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delivery</w:t>
      </w:r>
      <w:r w:rsidRPr="00F26A3E">
        <w:rPr>
          <w:sz w:val="22"/>
          <w:szCs w:val="22"/>
          <w:lang w:val="en-GB"/>
        </w:rPr>
        <w:t>.</w:t>
      </w:r>
      <w:r w:rsidR="006B6676">
        <w:rPr>
          <w:sz w:val="22"/>
          <w:szCs w:val="22"/>
          <w:lang w:val="en-GB"/>
        </w:rPr>
        <w:t xml:space="preserve"> </w:t>
      </w:r>
      <w:r>
        <w:rPr>
          <w:sz w:val="22"/>
          <w:szCs w:val="22"/>
          <w:lang w:val="en-GB"/>
        </w:rPr>
        <w:t>All</w:t>
      </w:r>
      <w:r w:rsidR="006B6676">
        <w:rPr>
          <w:sz w:val="22"/>
          <w:szCs w:val="22"/>
          <w:lang w:val="en-GB"/>
        </w:rPr>
        <w:t xml:space="preserve"> </w:t>
      </w:r>
      <w:r>
        <w:rPr>
          <w:sz w:val="22"/>
          <w:szCs w:val="22"/>
          <w:lang w:val="en-GB"/>
        </w:rPr>
        <w:t>three</w:t>
      </w:r>
      <w:r w:rsidR="006B6676">
        <w:rPr>
          <w:sz w:val="22"/>
          <w:szCs w:val="22"/>
          <w:lang w:val="en-GB"/>
        </w:rPr>
        <w:t xml:space="preserve"> </w:t>
      </w:r>
      <w:r>
        <w:rPr>
          <w:sz w:val="22"/>
          <w:szCs w:val="22"/>
          <w:lang w:val="en-GB"/>
        </w:rPr>
        <w:t>models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introduced</w:t>
      </w:r>
      <w:r w:rsidR="006B6676">
        <w:rPr>
          <w:sz w:val="22"/>
          <w:szCs w:val="22"/>
          <w:lang w:val="en-GB"/>
        </w:rPr>
        <w:t xml:space="preserve"> </w:t>
      </w:r>
      <w:r w:rsidRPr="00F26A3E">
        <w:rPr>
          <w:sz w:val="22"/>
          <w:szCs w:val="22"/>
          <w:lang w:val="en-GB"/>
        </w:rPr>
        <w:t>through</w:t>
      </w:r>
      <w:r w:rsidR="006B6676">
        <w:rPr>
          <w:sz w:val="22"/>
          <w:szCs w:val="22"/>
          <w:lang w:val="en-GB"/>
        </w:rPr>
        <w:t xml:space="preserve"> </w:t>
      </w:r>
      <w:r>
        <w:rPr>
          <w:sz w:val="22"/>
          <w:szCs w:val="22"/>
          <w:lang w:val="en-GB"/>
        </w:rPr>
        <w:t>Mahindra’s</w:t>
      </w:r>
      <w:r w:rsidR="006B6676">
        <w:rPr>
          <w:sz w:val="22"/>
          <w:szCs w:val="22"/>
          <w:lang w:val="en-GB"/>
        </w:rPr>
        <w:t xml:space="preserve"> </w:t>
      </w:r>
      <w:r w:rsidRPr="00F26A3E">
        <w:rPr>
          <w:sz w:val="22"/>
          <w:szCs w:val="22"/>
          <w:lang w:val="en-GB"/>
        </w:rPr>
        <w:t>subsidiary</w:t>
      </w:r>
      <w:r>
        <w:rPr>
          <w:sz w:val="22"/>
          <w:szCs w:val="22"/>
          <w:lang w:val="en-GB"/>
        </w:rPr>
        <w:t>,</w:t>
      </w:r>
      <w:r w:rsidR="006B6676">
        <w:rPr>
          <w:sz w:val="22"/>
          <w:szCs w:val="22"/>
          <w:lang w:val="en-GB"/>
        </w:rPr>
        <w:t xml:space="preserve"> </w:t>
      </w:r>
      <w:r w:rsidRPr="00F26A3E">
        <w:rPr>
          <w:sz w:val="22"/>
          <w:szCs w:val="22"/>
          <w:lang w:val="en-GB"/>
        </w:rPr>
        <w:t>Classic</w:t>
      </w:r>
      <w:r w:rsidR="006B6676">
        <w:rPr>
          <w:sz w:val="22"/>
          <w:szCs w:val="22"/>
          <w:lang w:val="en-GB"/>
        </w:rPr>
        <w:t xml:space="preserve"> </w:t>
      </w:r>
      <w:r w:rsidRPr="00F26A3E">
        <w:rPr>
          <w:sz w:val="22"/>
          <w:szCs w:val="22"/>
          <w:lang w:val="en-GB"/>
        </w:rPr>
        <w:t>Legends</w:t>
      </w:r>
      <w:r w:rsidR="006B6676">
        <w:rPr>
          <w:sz w:val="22"/>
          <w:szCs w:val="22"/>
          <w:lang w:val="en-GB"/>
        </w:rPr>
        <w:t xml:space="preserve"> </w:t>
      </w:r>
      <w:r w:rsidRPr="00F26A3E">
        <w:rPr>
          <w:sz w:val="22"/>
          <w:szCs w:val="22"/>
          <w:lang w:val="en-GB"/>
        </w:rPr>
        <w:t>Private</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sidRPr="00F26A3E">
        <w:rPr>
          <w:sz w:val="22"/>
          <w:szCs w:val="22"/>
          <w:lang w:val="en-GB"/>
        </w:rPr>
        <w:t>(CLPL)</w:t>
      </w:r>
      <w:r>
        <w:rPr>
          <w:sz w:val="22"/>
          <w:szCs w:val="22"/>
          <w:lang w:val="en-GB"/>
        </w:rPr>
        <w:t>.</w:t>
      </w:r>
      <w:r w:rsidR="006B6676">
        <w:rPr>
          <w:sz w:val="22"/>
          <w:szCs w:val="22"/>
          <w:lang w:val="en-GB"/>
        </w:rPr>
        <w:t xml:space="preserve"> </w:t>
      </w:r>
      <w:r>
        <w:rPr>
          <w:sz w:val="22"/>
          <w:szCs w:val="22"/>
          <w:lang w:val="en-GB"/>
        </w:rPr>
        <w:t>This</w:t>
      </w:r>
      <w:r w:rsidR="006B6676">
        <w:rPr>
          <w:sz w:val="22"/>
          <w:szCs w:val="22"/>
          <w:lang w:val="en-GB"/>
        </w:rPr>
        <w:t xml:space="preserve"> </w:t>
      </w:r>
      <w:r>
        <w:rPr>
          <w:sz w:val="22"/>
          <w:szCs w:val="22"/>
          <w:lang w:val="en-GB"/>
        </w:rPr>
        <w:t>time,</w:t>
      </w:r>
      <w:r w:rsidR="006B6676">
        <w:rPr>
          <w:sz w:val="22"/>
          <w:szCs w:val="22"/>
          <w:lang w:val="en-GB"/>
        </w:rPr>
        <w:t xml:space="preserve"> </w:t>
      </w:r>
      <w:r w:rsidRPr="00F26A3E">
        <w:rPr>
          <w:sz w:val="22"/>
          <w:szCs w:val="22"/>
          <w:lang w:val="en-GB"/>
        </w:rPr>
        <w:t>CLPL</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decided</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boost</w:t>
      </w:r>
      <w:r w:rsidR="006B6676">
        <w:rPr>
          <w:sz w:val="22"/>
          <w:szCs w:val="22"/>
          <w:lang w:val="en-GB"/>
        </w:rPr>
        <w:t xml:space="preserve"> </w:t>
      </w:r>
      <w:r w:rsidRPr="00F26A3E">
        <w:rPr>
          <w:sz w:val="22"/>
          <w:szCs w:val="22"/>
          <w:lang w:val="en-GB"/>
        </w:rPr>
        <w:t>production</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enhance</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distribution</w:t>
      </w:r>
      <w:r w:rsidR="006B6676">
        <w:rPr>
          <w:sz w:val="22"/>
          <w:szCs w:val="22"/>
          <w:lang w:val="en-GB"/>
        </w:rPr>
        <w:t xml:space="preserve"> </w:t>
      </w:r>
      <w:r w:rsidRPr="00F26A3E">
        <w:rPr>
          <w:sz w:val="22"/>
          <w:szCs w:val="22"/>
          <w:lang w:val="en-GB"/>
        </w:rPr>
        <w:t>network</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increase</w:t>
      </w:r>
      <w:r w:rsidR="006B6676">
        <w:rPr>
          <w:sz w:val="22"/>
          <w:szCs w:val="22"/>
          <w:lang w:val="en-GB"/>
        </w:rPr>
        <w:t xml:space="preserve"> </w:t>
      </w:r>
      <w:r w:rsidRPr="00F26A3E">
        <w:rPr>
          <w:sz w:val="22"/>
          <w:szCs w:val="22"/>
          <w:lang w:val="en-GB"/>
        </w:rPr>
        <w:t>sales</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better</w:t>
      </w:r>
      <w:r w:rsidR="006B6676">
        <w:rPr>
          <w:sz w:val="22"/>
          <w:szCs w:val="22"/>
          <w:lang w:val="en-GB"/>
        </w:rPr>
        <w:t xml:space="preserve"> </w:t>
      </w:r>
      <w:r>
        <w:rPr>
          <w:sz w:val="22"/>
          <w:szCs w:val="22"/>
          <w:lang w:val="en-GB"/>
        </w:rPr>
        <w:t>meet</w:t>
      </w:r>
      <w:r w:rsidR="006B6676">
        <w:rPr>
          <w:sz w:val="22"/>
          <w:szCs w:val="22"/>
          <w:lang w:val="en-GB"/>
        </w:rPr>
        <w:t xml:space="preserve"> </w:t>
      </w:r>
      <w:r>
        <w:rPr>
          <w:sz w:val="22"/>
          <w:szCs w:val="22"/>
          <w:lang w:val="en-GB"/>
        </w:rPr>
        <w:t>demand</w:t>
      </w:r>
      <w:r w:rsidR="006B6676">
        <w:rPr>
          <w:sz w:val="22"/>
          <w:szCs w:val="22"/>
          <w:lang w:val="en-GB"/>
        </w:rPr>
        <w:t xml:space="preserve"> </w:t>
      </w:r>
      <w:r>
        <w:rPr>
          <w:sz w:val="22"/>
          <w:szCs w:val="22"/>
          <w:lang w:val="en-GB"/>
        </w:rPr>
        <w:t>expectations.</w:t>
      </w:r>
      <w:r w:rsidRPr="00F26A3E">
        <w:rPr>
          <w:sz w:val="22"/>
          <w:szCs w:val="22"/>
          <w:vertAlign w:val="superscript"/>
          <w:lang w:val="en-GB"/>
        </w:rPr>
        <w:endnoteReference w:id="8"/>
      </w:r>
      <w:r w:rsidR="00987AA6">
        <w:rPr>
          <w:sz w:val="22"/>
          <w:szCs w:val="22"/>
          <w:lang w:val="en-GB"/>
        </w:rPr>
        <w:t xml:space="preserve"> US-based Harley-Davidson Inc. (Harley-Davidson) entered India’s motorcycle market in 2009. It was a key player in the high-end, 250–750 cc motorcycle segment. It was contemplating a down-market stretch. This move would pose a clear competitive threat for Royal Enfield.</w:t>
      </w:r>
      <w:r w:rsidR="00987AA6">
        <w:rPr>
          <w:rStyle w:val="EndnoteReference"/>
          <w:sz w:val="22"/>
          <w:szCs w:val="22"/>
          <w:lang w:val="en-GB"/>
        </w:rPr>
        <w:endnoteReference w:id="9"/>
      </w:r>
    </w:p>
    <w:p w14:paraId="6C87CC38" w14:textId="77777777" w:rsidR="00CA6A0D" w:rsidRPr="00F26A3E" w:rsidRDefault="00CA6A0D" w:rsidP="00B607FC">
      <w:pPr>
        <w:jc w:val="both"/>
        <w:rPr>
          <w:sz w:val="22"/>
          <w:szCs w:val="22"/>
          <w:lang w:val="en-GB"/>
        </w:rPr>
      </w:pPr>
    </w:p>
    <w:p w14:paraId="30B271C9" w14:textId="1AEAE79B" w:rsidR="00CA6A0D" w:rsidRPr="00F26A3E" w:rsidRDefault="00CA6A0D" w:rsidP="00B607FC">
      <w:pPr>
        <w:jc w:val="both"/>
        <w:rPr>
          <w:sz w:val="22"/>
          <w:szCs w:val="22"/>
          <w:lang w:val="en-GB"/>
        </w:rPr>
      </w:pPr>
      <w:r>
        <w:rPr>
          <w:sz w:val="22"/>
          <w:szCs w:val="22"/>
          <w:lang w:val="en-GB"/>
        </w:rPr>
        <w:t>After</w:t>
      </w:r>
      <w:r w:rsidR="006B6676">
        <w:rPr>
          <w:sz w:val="22"/>
          <w:szCs w:val="22"/>
          <w:lang w:val="en-GB"/>
        </w:rPr>
        <w:t xml:space="preserve"> </w:t>
      </w:r>
      <w:r>
        <w:rPr>
          <w:sz w:val="22"/>
          <w:szCs w:val="22"/>
          <w:lang w:val="en-GB"/>
        </w:rPr>
        <w:t>years</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near</w:t>
      </w:r>
      <w:r w:rsidR="006B6676">
        <w:rPr>
          <w:sz w:val="22"/>
          <w:szCs w:val="22"/>
          <w:lang w:val="en-GB"/>
        </w:rPr>
        <w:t xml:space="preserve"> </w:t>
      </w:r>
      <w:r w:rsidRPr="00F26A3E">
        <w:rPr>
          <w:sz w:val="22"/>
          <w:szCs w:val="22"/>
          <w:lang w:val="en-GB"/>
        </w:rPr>
        <w:t>monopoly</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India’s</w:t>
      </w:r>
      <w:r w:rsidR="006B6676">
        <w:rPr>
          <w:sz w:val="22"/>
          <w:szCs w:val="22"/>
          <w:lang w:val="en-GB"/>
        </w:rPr>
        <w:t xml:space="preserve"> </w:t>
      </w:r>
      <w:r w:rsidRPr="00F26A3E">
        <w:rPr>
          <w:sz w:val="22"/>
          <w:szCs w:val="22"/>
          <w:lang w:val="en-GB"/>
        </w:rPr>
        <w:t>250</w:t>
      </w:r>
      <w:r>
        <w:rPr>
          <w:sz w:val="22"/>
          <w:szCs w:val="22"/>
          <w:lang w:val="en-GB"/>
        </w:rPr>
        <w:t>–</w:t>
      </w:r>
      <w:r w:rsidRPr="00F26A3E">
        <w:rPr>
          <w:sz w:val="22"/>
          <w:szCs w:val="22"/>
          <w:lang w:val="en-GB"/>
        </w:rPr>
        <w:t>750cc</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Pr>
          <w:sz w:val="22"/>
          <w:szCs w:val="22"/>
          <w:lang w:val="en-GB"/>
        </w:rPr>
        <w: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facing</w:t>
      </w:r>
      <w:r w:rsidR="006B6676">
        <w:rPr>
          <w:sz w:val="22"/>
          <w:szCs w:val="22"/>
          <w:lang w:val="en-GB"/>
        </w:rPr>
        <w:t xml:space="preserve"> </w:t>
      </w:r>
      <w:r>
        <w:rPr>
          <w:sz w:val="22"/>
          <w:szCs w:val="22"/>
          <w:lang w:val="en-GB"/>
        </w:rPr>
        <w:t>fierce</w:t>
      </w:r>
      <w:r w:rsidR="006B6676">
        <w:rPr>
          <w:sz w:val="22"/>
          <w:szCs w:val="22"/>
          <w:lang w:val="en-GB"/>
        </w:rPr>
        <w:t xml:space="preserve"> </w:t>
      </w:r>
      <w:r>
        <w:rPr>
          <w:sz w:val="22"/>
          <w:szCs w:val="22"/>
          <w:lang w:val="en-GB"/>
        </w:rPr>
        <w:t>competition</w:t>
      </w:r>
      <w:r w:rsidRPr="00F26A3E">
        <w:rPr>
          <w:sz w:val="22"/>
          <w:szCs w:val="22"/>
          <w:lang w:val="en-GB"/>
        </w:rPr>
        <w:t>.</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last</w:t>
      </w:r>
      <w:r w:rsidR="006B6676">
        <w:rPr>
          <w:sz w:val="22"/>
          <w:szCs w:val="22"/>
          <w:lang w:val="en-GB"/>
        </w:rPr>
        <w:t xml:space="preserve"> </w:t>
      </w:r>
      <w:r>
        <w:rPr>
          <w:sz w:val="22"/>
          <w:szCs w:val="22"/>
          <w:lang w:val="en-GB"/>
        </w:rPr>
        <w:t>two</w:t>
      </w:r>
      <w:r w:rsidR="006B6676">
        <w:rPr>
          <w:sz w:val="22"/>
          <w:szCs w:val="22"/>
          <w:lang w:val="en-GB"/>
        </w:rPr>
        <w:t xml:space="preserve"> </w:t>
      </w:r>
      <w:r>
        <w:rPr>
          <w:sz w:val="22"/>
          <w:szCs w:val="22"/>
          <w:lang w:val="en-GB"/>
        </w:rPr>
        <w:t>years,</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sidRPr="00F26A3E">
        <w:rPr>
          <w:sz w:val="22"/>
          <w:szCs w:val="22"/>
          <w:lang w:val="en-GB"/>
        </w:rPr>
        <w:t>Jawa</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Pr>
          <w:sz w:val="22"/>
          <w:szCs w:val="22"/>
          <w:lang w:val="en-GB"/>
        </w:rPr>
        <w:t>brand</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emerged</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strong</w:t>
      </w:r>
      <w:r w:rsidR="006B6676">
        <w:rPr>
          <w:sz w:val="22"/>
          <w:szCs w:val="22"/>
          <w:lang w:val="en-GB"/>
        </w:rPr>
        <w:t xml:space="preserve"> </w:t>
      </w:r>
      <w:r w:rsidRPr="00F26A3E">
        <w:rPr>
          <w:sz w:val="22"/>
          <w:szCs w:val="22"/>
          <w:lang w:val="en-GB"/>
        </w:rPr>
        <w:t>challenger</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motorcycles</w:t>
      </w:r>
      <w:r>
        <w:rPr>
          <w:sz w:val="22"/>
          <w:szCs w:val="22"/>
          <w:lang w:val="en-GB"/>
        </w:rPr>
        <w:t>.</w:t>
      </w:r>
      <w:r w:rsidRPr="00F26A3E">
        <w:rPr>
          <w:sz w:val="22"/>
          <w:szCs w:val="22"/>
          <w:vertAlign w:val="superscript"/>
          <w:lang w:val="en-GB"/>
        </w:rPr>
        <w:endnoteReference w:id="10"/>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introduction</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Jawa</w:t>
      </w:r>
      <w:r w:rsidR="006B6676">
        <w:rPr>
          <w:sz w:val="22"/>
          <w:szCs w:val="22"/>
          <w:lang w:val="en-GB"/>
        </w:rPr>
        <w:t xml:space="preserve"> </w:t>
      </w:r>
      <w:r w:rsidRPr="00F26A3E">
        <w:rPr>
          <w:sz w:val="22"/>
          <w:szCs w:val="22"/>
          <w:lang w:val="en-GB"/>
        </w:rPr>
        <w:t>Perak</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2020</w:t>
      </w:r>
      <w:r w:rsidR="006B6676">
        <w:rPr>
          <w:sz w:val="22"/>
          <w:szCs w:val="22"/>
          <w:lang w:val="en-GB"/>
        </w:rPr>
        <w:t xml:space="preserve"> </w:t>
      </w:r>
      <w:r w:rsidRPr="00F26A3E">
        <w:rPr>
          <w:sz w:val="22"/>
          <w:szCs w:val="22"/>
          <w:lang w:val="en-GB"/>
        </w:rPr>
        <w:t>would</w:t>
      </w:r>
      <w:r w:rsidR="006B6676">
        <w:rPr>
          <w:sz w:val="22"/>
          <w:szCs w:val="22"/>
          <w:lang w:val="en-GB"/>
        </w:rPr>
        <w:t xml:space="preserve"> </w:t>
      </w:r>
      <w:r w:rsidRPr="00F26A3E">
        <w:rPr>
          <w:sz w:val="22"/>
          <w:szCs w:val="22"/>
          <w:lang w:val="en-GB"/>
        </w:rPr>
        <w:t>further</w:t>
      </w:r>
      <w:r w:rsidR="006B6676">
        <w:rPr>
          <w:sz w:val="22"/>
          <w:szCs w:val="22"/>
          <w:lang w:val="en-GB"/>
        </w:rPr>
        <w:t xml:space="preserve"> </w:t>
      </w:r>
      <w:r>
        <w:rPr>
          <w:sz w:val="22"/>
          <w:szCs w:val="22"/>
          <w:lang w:val="en-GB"/>
        </w:rPr>
        <w:t>threaten</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Enfield’s</w:t>
      </w:r>
      <w:r w:rsidR="006B6676">
        <w:rPr>
          <w:sz w:val="22"/>
          <w:szCs w:val="22"/>
          <w:lang w:val="en-GB"/>
        </w:rPr>
        <w:t xml:space="preserve"> </w:t>
      </w:r>
      <w:r>
        <w:rPr>
          <w:sz w:val="22"/>
          <w:szCs w:val="22"/>
          <w:lang w:val="en-GB"/>
        </w:rPr>
        <w:t>dominance</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segment</w:t>
      </w:r>
      <w:r w:rsidRPr="00F26A3E">
        <w:rPr>
          <w:sz w:val="22"/>
          <w:szCs w:val="22"/>
          <w:lang w:val="en-GB"/>
        </w:rPr>
        <w:t>.</w:t>
      </w:r>
      <w:r w:rsidR="006B6676">
        <w:rPr>
          <w:sz w:val="22"/>
          <w:szCs w:val="22"/>
          <w:lang w:val="en-GB"/>
        </w:rPr>
        <w:t xml:space="preserve"> </w:t>
      </w:r>
      <w:r w:rsidRPr="00F26A3E">
        <w:rPr>
          <w:sz w:val="22"/>
          <w:szCs w:val="22"/>
          <w:lang w:val="en-GB"/>
        </w:rPr>
        <w:t>What</w:t>
      </w:r>
      <w:r w:rsidR="006B6676">
        <w:rPr>
          <w:sz w:val="22"/>
          <w:szCs w:val="22"/>
          <w:lang w:val="en-GB"/>
        </w:rPr>
        <w:t xml:space="preserve"> </w:t>
      </w:r>
      <w:r w:rsidRPr="00F26A3E">
        <w:rPr>
          <w:sz w:val="22"/>
          <w:szCs w:val="22"/>
          <w:lang w:val="en-GB"/>
        </w:rPr>
        <w:t>strategic</w:t>
      </w:r>
      <w:r w:rsidR="006B6676">
        <w:rPr>
          <w:sz w:val="22"/>
          <w:szCs w:val="22"/>
          <w:lang w:val="en-GB"/>
        </w:rPr>
        <w:t xml:space="preserve"> </w:t>
      </w:r>
      <w:r w:rsidRPr="00F26A3E">
        <w:rPr>
          <w:sz w:val="22"/>
          <w:szCs w:val="22"/>
          <w:lang w:val="en-GB"/>
        </w:rPr>
        <w:t>options</w:t>
      </w:r>
      <w:r w:rsidR="006B6676">
        <w:rPr>
          <w:sz w:val="22"/>
          <w:szCs w:val="22"/>
          <w:lang w:val="en-GB"/>
        </w:rPr>
        <w:t xml:space="preserve"> </w:t>
      </w:r>
      <w:r>
        <w:rPr>
          <w:sz w:val="22"/>
          <w:szCs w:val="22"/>
          <w:lang w:val="en-GB"/>
        </w:rPr>
        <w:t>did</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have</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maintain</w:t>
      </w:r>
      <w:r w:rsidR="006B6676">
        <w:rPr>
          <w:sz w:val="22"/>
          <w:szCs w:val="22"/>
          <w:lang w:val="en-GB"/>
        </w:rPr>
        <w:t xml:space="preserve"> </w:t>
      </w:r>
      <w:r w:rsidRPr="00F26A3E">
        <w:rPr>
          <w:sz w:val="22"/>
          <w:szCs w:val="22"/>
          <w:lang w:val="en-GB"/>
        </w:rPr>
        <w:t>its</w:t>
      </w:r>
      <w:r w:rsidR="006B6676">
        <w:rPr>
          <w:sz w:val="22"/>
          <w:szCs w:val="22"/>
          <w:lang w:val="en-GB"/>
        </w:rPr>
        <w:t xml:space="preserve"> </w:t>
      </w:r>
      <w:r>
        <w:rPr>
          <w:sz w:val="22"/>
          <w:szCs w:val="22"/>
          <w:lang w:val="en-GB"/>
        </w:rPr>
        <w:t>un</w:t>
      </w:r>
      <w:r w:rsidRPr="00F26A3E">
        <w:rPr>
          <w:sz w:val="22"/>
          <w:szCs w:val="22"/>
          <w:lang w:val="en-GB"/>
        </w:rPr>
        <w:t>matche</w:t>
      </w:r>
      <w:r>
        <w:rPr>
          <w:sz w:val="22"/>
          <w:szCs w:val="22"/>
          <w:lang w:val="en-GB"/>
        </w:rPr>
        <w:t>d</w:t>
      </w:r>
      <w:r w:rsidR="006B6676">
        <w:rPr>
          <w:sz w:val="22"/>
          <w:szCs w:val="22"/>
          <w:lang w:val="en-GB"/>
        </w:rPr>
        <w:t xml:space="preserve"> </w:t>
      </w:r>
      <w:r w:rsidRPr="00F26A3E">
        <w:rPr>
          <w:sz w:val="22"/>
          <w:szCs w:val="22"/>
          <w:lang w:val="en-GB"/>
        </w:rPr>
        <w:t>growth</w:t>
      </w:r>
      <w:r w:rsidR="006B6676">
        <w:rPr>
          <w:sz w:val="22"/>
          <w:szCs w:val="22"/>
          <w:lang w:val="en-GB"/>
        </w:rPr>
        <w:t xml:space="preserve"> </w:t>
      </w:r>
      <w:r>
        <w:rPr>
          <w:sz w:val="22"/>
          <w:szCs w:val="22"/>
          <w:lang w:val="en-GB"/>
        </w:rPr>
        <w:t>rate</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unrivalled</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leadership</w:t>
      </w:r>
      <w:r w:rsidRPr="00F26A3E">
        <w:rPr>
          <w:sz w:val="22"/>
          <w:szCs w:val="22"/>
          <w:lang w:val="en-GB"/>
        </w:rPr>
        <w:t>?</w:t>
      </w:r>
      <w:r w:rsidR="006B6676">
        <w:rPr>
          <w:sz w:val="22"/>
          <w:szCs w:val="22"/>
          <w:lang w:val="en-GB"/>
        </w:rPr>
        <w:t xml:space="preserve"> </w:t>
      </w:r>
    </w:p>
    <w:p w14:paraId="48C40628" w14:textId="77777777" w:rsidR="00CA6A0D" w:rsidRPr="00F26A3E" w:rsidRDefault="00CA6A0D" w:rsidP="00B607FC">
      <w:pPr>
        <w:jc w:val="both"/>
        <w:rPr>
          <w:sz w:val="22"/>
          <w:szCs w:val="22"/>
          <w:lang w:val="en-GB"/>
        </w:rPr>
      </w:pPr>
    </w:p>
    <w:p w14:paraId="232D1A14" w14:textId="77777777" w:rsidR="00CA6A0D" w:rsidRPr="00F26A3E" w:rsidRDefault="00CA6A0D" w:rsidP="00B607FC">
      <w:pPr>
        <w:jc w:val="both"/>
        <w:rPr>
          <w:sz w:val="22"/>
          <w:szCs w:val="22"/>
          <w:lang w:val="en-GB"/>
        </w:rPr>
      </w:pPr>
    </w:p>
    <w:p w14:paraId="144E3A2D" w14:textId="33B6D053" w:rsidR="00CA6A0D" w:rsidRPr="00F26A3E" w:rsidRDefault="00CA6A0D" w:rsidP="00F57EDA">
      <w:pPr>
        <w:pStyle w:val="Casehead1"/>
        <w:keepNext/>
        <w:rPr>
          <w:lang w:val="en-GB"/>
        </w:rPr>
      </w:pPr>
      <w:r w:rsidRPr="00F26A3E">
        <w:rPr>
          <w:lang w:val="en-GB"/>
        </w:rPr>
        <w:lastRenderedPageBreak/>
        <w:t>Industry</w:t>
      </w:r>
      <w:r w:rsidR="006B6676">
        <w:rPr>
          <w:lang w:val="en-GB"/>
        </w:rPr>
        <w:t xml:space="preserve"> </w:t>
      </w:r>
      <w:r w:rsidRPr="00F26A3E">
        <w:rPr>
          <w:lang w:val="en-GB"/>
        </w:rPr>
        <w:t>Landscape</w:t>
      </w:r>
    </w:p>
    <w:p w14:paraId="181A79B6" w14:textId="77777777" w:rsidR="00CA6A0D" w:rsidRPr="00F26A3E" w:rsidRDefault="00CA6A0D" w:rsidP="00F57EDA">
      <w:pPr>
        <w:keepNext/>
        <w:jc w:val="both"/>
        <w:rPr>
          <w:sz w:val="22"/>
          <w:szCs w:val="22"/>
          <w:lang w:val="en-GB"/>
        </w:rPr>
      </w:pPr>
    </w:p>
    <w:p w14:paraId="4ABBF8C8" w14:textId="015A1431" w:rsidR="00CA6A0D" w:rsidRPr="00F26A3E" w:rsidRDefault="00CA6A0D" w:rsidP="00F57EDA">
      <w:pPr>
        <w:keepNext/>
        <w:jc w:val="both"/>
        <w:rPr>
          <w:sz w:val="22"/>
          <w:szCs w:val="22"/>
          <w:lang w:val="en-GB"/>
        </w:rPr>
      </w:pPr>
      <w:r>
        <w:rPr>
          <w:sz w:val="22"/>
          <w:szCs w:val="22"/>
          <w:lang w:val="en-GB"/>
        </w:rPr>
        <w:t>India’s</w:t>
      </w:r>
      <w:r w:rsidR="006B6676">
        <w:rPr>
          <w:sz w:val="22"/>
          <w:szCs w:val="22"/>
          <w:lang w:val="en-GB"/>
        </w:rPr>
        <w:t xml:space="preserve"> </w:t>
      </w:r>
      <w:r w:rsidRPr="00F26A3E">
        <w:rPr>
          <w:sz w:val="22"/>
          <w:szCs w:val="22"/>
          <w:lang w:val="en-GB"/>
        </w:rPr>
        <w:t>two</w:t>
      </w:r>
      <w:r>
        <w:rPr>
          <w:sz w:val="22"/>
          <w:szCs w:val="22"/>
          <w:lang w:val="en-GB"/>
        </w:rPr>
        <w:t>-</w:t>
      </w:r>
      <w:r w:rsidRPr="00F26A3E">
        <w:rPr>
          <w:sz w:val="22"/>
          <w:szCs w:val="22"/>
          <w:lang w:val="en-GB"/>
        </w:rPr>
        <w:t>wheeler</w:t>
      </w:r>
      <w:r w:rsidR="006B6676">
        <w:rPr>
          <w:sz w:val="22"/>
          <w:szCs w:val="22"/>
          <w:lang w:val="en-GB"/>
        </w:rPr>
        <w:t xml:space="preserve"> </w:t>
      </w:r>
      <w:r w:rsidRPr="00F26A3E">
        <w:rPr>
          <w:sz w:val="22"/>
          <w:szCs w:val="22"/>
          <w:lang w:val="en-GB"/>
        </w:rPr>
        <w:t>market</w:t>
      </w:r>
      <w:r w:rsidR="006B6676">
        <w:rPr>
          <w:sz w:val="22"/>
          <w:szCs w:val="22"/>
          <w:lang w:val="en-GB"/>
        </w:rPr>
        <w:t xml:space="preserve"> </w:t>
      </w:r>
      <w:r>
        <w:rPr>
          <w:sz w:val="22"/>
          <w:szCs w:val="22"/>
          <w:lang w:val="en-GB"/>
        </w:rPr>
        <w:t>included</w:t>
      </w:r>
      <w:r w:rsidR="006B6676">
        <w:rPr>
          <w:sz w:val="22"/>
          <w:szCs w:val="22"/>
          <w:lang w:val="en-GB"/>
        </w:rPr>
        <w:t xml:space="preserve"> </w:t>
      </w:r>
      <w:r w:rsidRPr="00F26A3E">
        <w:rPr>
          <w:sz w:val="22"/>
          <w:szCs w:val="22"/>
          <w:lang w:val="en-GB"/>
        </w:rPr>
        <w:t>scooters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mopeds</w:t>
      </w:r>
      <w:r>
        <w:rPr>
          <w:sz w:val="22"/>
          <w:szCs w:val="22"/>
          <w:lang w:val="en-GB"/>
        </w:rPr>
        <w:t>,</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well</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motorcycles</w:t>
      </w:r>
      <w:r w:rsidRPr="00F26A3E">
        <w:rPr>
          <w:sz w:val="22"/>
          <w:szCs w:val="22"/>
          <w:lang w:val="en-GB"/>
        </w:rPr>
        <w:t>.</w:t>
      </w:r>
      <w:r w:rsidR="006B6676">
        <w:rPr>
          <w:sz w:val="22"/>
          <w:szCs w:val="22"/>
          <w:lang w:val="en-GB"/>
        </w:rPr>
        <w:t xml:space="preserve"> </w:t>
      </w:r>
      <w:r>
        <w:rPr>
          <w:sz w:val="22"/>
          <w:szCs w:val="22"/>
          <w:lang w:val="en-GB"/>
        </w:rPr>
        <w:t>Overall,</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total</w:t>
      </w:r>
      <w:r w:rsidR="006B6676">
        <w:rPr>
          <w:sz w:val="22"/>
          <w:szCs w:val="22"/>
          <w:lang w:val="en-GB"/>
        </w:rPr>
        <w:t xml:space="preserve"> </w:t>
      </w:r>
      <w:r>
        <w:rPr>
          <w:sz w:val="22"/>
          <w:szCs w:val="22"/>
          <w:lang w:val="en-GB"/>
        </w:rPr>
        <w:t>number</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two-wheeler</w:t>
      </w:r>
      <w:r w:rsidR="006B6676">
        <w:rPr>
          <w:sz w:val="22"/>
          <w:szCs w:val="22"/>
          <w:lang w:val="en-GB"/>
        </w:rPr>
        <w:t xml:space="preserve"> </w:t>
      </w:r>
      <w:r>
        <w:rPr>
          <w:sz w:val="22"/>
          <w:szCs w:val="22"/>
          <w:lang w:val="en-GB"/>
        </w:rPr>
        <w:t>units</w:t>
      </w:r>
      <w:r w:rsidR="006B6676">
        <w:rPr>
          <w:sz w:val="22"/>
          <w:szCs w:val="22"/>
          <w:lang w:val="en-GB"/>
        </w:rPr>
        <w:t xml:space="preserve"> </w:t>
      </w:r>
      <w:r>
        <w:rPr>
          <w:sz w:val="22"/>
          <w:szCs w:val="22"/>
          <w:lang w:val="en-GB"/>
        </w:rPr>
        <w:t>sold</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India</w:t>
      </w:r>
      <w:r w:rsidR="006B6676">
        <w:rPr>
          <w:sz w:val="22"/>
          <w:szCs w:val="22"/>
          <w:lang w:val="en-GB"/>
        </w:rPr>
        <w:t xml:space="preserve"> </w:t>
      </w:r>
      <w:r>
        <w:rPr>
          <w:sz w:val="22"/>
          <w:szCs w:val="22"/>
          <w:lang w:val="en-GB"/>
        </w:rPr>
        <w:t>had</w:t>
      </w:r>
      <w:r w:rsidR="006B6676">
        <w:rPr>
          <w:sz w:val="22"/>
          <w:szCs w:val="22"/>
          <w:lang w:val="en-GB"/>
        </w:rPr>
        <w:t xml:space="preserve"> </w:t>
      </w:r>
      <w:r w:rsidRPr="00F26A3E">
        <w:rPr>
          <w:sz w:val="22"/>
          <w:szCs w:val="22"/>
          <w:lang w:val="en-GB"/>
        </w:rPr>
        <w:t>increased</w:t>
      </w:r>
      <w:r w:rsidR="006B6676">
        <w:rPr>
          <w:sz w:val="22"/>
          <w:szCs w:val="22"/>
          <w:lang w:val="en-GB"/>
        </w:rPr>
        <w:t xml:space="preserve"> </w:t>
      </w:r>
      <w:r>
        <w:rPr>
          <w:sz w:val="22"/>
          <w:szCs w:val="22"/>
          <w:lang w:val="en-GB"/>
        </w:rPr>
        <w:t>steadily</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previous</w:t>
      </w:r>
      <w:r w:rsidR="006B6676">
        <w:rPr>
          <w:sz w:val="22"/>
          <w:szCs w:val="22"/>
          <w:lang w:val="en-GB"/>
        </w:rPr>
        <w:t xml:space="preserve"> </w:t>
      </w:r>
      <w:r>
        <w:rPr>
          <w:sz w:val="22"/>
          <w:szCs w:val="22"/>
          <w:lang w:val="en-GB"/>
        </w:rPr>
        <w:t>five</w:t>
      </w:r>
      <w:r w:rsidR="006B6676">
        <w:rPr>
          <w:sz w:val="22"/>
          <w:szCs w:val="22"/>
          <w:lang w:val="en-GB"/>
        </w:rPr>
        <w:t xml:space="preserve"> </w:t>
      </w:r>
      <w:r>
        <w:rPr>
          <w:sz w:val="22"/>
          <w:szCs w:val="22"/>
          <w:lang w:val="en-GB"/>
        </w:rPr>
        <w:t>years,</w:t>
      </w:r>
      <w:r w:rsidR="006B6676">
        <w:rPr>
          <w:sz w:val="22"/>
          <w:szCs w:val="22"/>
          <w:lang w:val="en-GB"/>
        </w:rPr>
        <w:t xml:space="preserve"> </w:t>
      </w:r>
      <w:r>
        <w:rPr>
          <w:sz w:val="22"/>
          <w:szCs w:val="22"/>
          <w:lang w:val="en-GB"/>
        </w:rPr>
        <w:t>reaching</w:t>
      </w:r>
      <w:r w:rsidR="006B6676">
        <w:rPr>
          <w:sz w:val="22"/>
          <w:szCs w:val="22"/>
          <w:lang w:val="en-GB"/>
        </w:rPr>
        <w:t xml:space="preserve"> </w:t>
      </w:r>
      <w:r w:rsidRPr="00F26A3E">
        <w:rPr>
          <w:sz w:val="22"/>
          <w:szCs w:val="22"/>
          <w:lang w:val="en-GB"/>
        </w:rPr>
        <w:t>21.18</w:t>
      </w:r>
      <w:r w:rsidR="006B6676">
        <w:rPr>
          <w:sz w:val="22"/>
          <w:szCs w:val="22"/>
          <w:lang w:val="en-GB"/>
        </w:rPr>
        <w:t xml:space="preserve"> </w:t>
      </w:r>
      <w:r w:rsidRPr="00F26A3E">
        <w:rPr>
          <w:sz w:val="22"/>
          <w:szCs w:val="22"/>
          <w:lang w:val="en-GB"/>
        </w:rPr>
        <w:t>million</w:t>
      </w:r>
      <w:r w:rsidR="006B6676">
        <w:rPr>
          <w:sz w:val="22"/>
          <w:szCs w:val="22"/>
          <w:lang w:val="en-GB"/>
        </w:rPr>
        <w:t xml:space="preserve"> </w:t>
      </w:r>
      <w:r>
        <w:rPr>
          <w:sz w:val="22"/>
          <w:szCs w:val="22"/>
          <w:lang w:val="en-GB"/>
        </w:rPr>
        <w:t>units</w:t>
      </w:r>
      <w:r w:rsidR="006B6676">
        <w:rPr>
          <w:sz w:val="22"/>
          <w:szCs w:val="22"/>
          <w:lang w:val="en-GB"/>
        </w:rPr>
        <w:t xml:space="preserve"> </w:t>
      </w:r>
      <w:r>
        <w:rPr>
          <w:sz w:val="22"/>
          <w:szCs w:val="22"/>
          <w:lang w:val="en-GB"/>
        </w:rPr>
        <w:t>sold</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2018</w:t>
      </w:r>
      <w:r>
        <w:rPr>
          <w:sz w:val="22"/>
          <w:szCs w:val="22"/>
          <w:lang w:val="en-GB"/>
        </w:rPr>
        <w:t>–</w:t>
      </w:r>
      <w:r w:rsidRPr="00F26A3E">
        <w:rPr>
          <w:sz w:val="22"/>
          <w:szCs w:val="22"/>
          <w:lang w:val="en-GB"/>
        </w:rPr>
        <w:t>19</w:t>
      </w:r>
      <w:r w:rsidR="006B6676">
        <w:rPr>
          <w:sz w:val="22"/>
          <w:szCs w:val="22"/>
          <w:lang w:val="en-GB"/>
        </w:rPr>
        <w:t xml:space="preserve"> </w:t>
      </w:r>
      <w:r>
        <w:rPr>
          <w:sz w:val="22"/>
          <w:szCs w:val="22"/>
          <w:lang w:val="en-GB"/>
        </w:rPr>
        <w:t>(see</w:t>
      </w:r>
      <w:r w:rsidR="006B6676">
        <w:rPr>
          <w:sz w:val="22"/>
          <w:szCs w:val="22"/>
          <w:lang w:val="en-GB"/>
        </w:rPr>
        <w:t xml:space="preserve"> </w:t>
      </w:r>
      <w:r w:rsidRPr="00F26A3E">
        <w:rPr>
          <w:sz w:val="22"/>
          <w:szCs w:val="22"/>
          <w:lang w:val="en-GB"/>
        </w:rPr>
        <w:t>Exhibit</w:t>
      </w:r>
      <w:r w:rsidR="006B6676">
        <w:rPr>
          <w:sz w:val="22"/>
          <w:szCs w:val="22"/>
          <w:lang w:val="en-GB"/>
        </w:rPr>
        <w:t xml:space="preserve"> </w:t>
      </w:r>
      <w:r w:rsidRPr="00F26A3E">
        <w:rPr>
          <w:sz w:val="22"/>
          <w:szCs w:val="22"/>
          <w:lang w:val="en-GB"/>
        </w:rPr>
        <w:t>1</w:t>
      </w:r>
      <w:r>
        <w:rPr>
          <w:sz w:val="22"/>
          <w:szCs w:val="22"/>
          <w:lang w:val="en-GB"/>
        </w:rPr>
        <w:t>)</w:t>
      </w:r>
      <w:r w:rsidRPr="00F26A3E">
        <w:rPr>
          <w:sz w:val="22"/>
          <w:szCs w:val="22"/>
          <w:lang w:val="en-GB"/>
        </w:rPr>
        <w:t>.</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year,</w:t>
      </w:r>
      <w:r w:rsidR="006B6676">
        <w:rPr>
          <w:sz w:val="22"/>
          <w:szCs w:val="22"/>
          <w:lang w:val="en-GB"/>
        </w:rPr>
        <w:t xml:space="preserve"> </w:t>
      </w:r>
      <w:r>
        <w:rPr>
          <w:sz w:val="22"/>
          <w:szCs w:val="22"/>
          <w:lang w:val="en-GB"/>
        </w:rPr>
        <w:t>m</w:t>
      </w:r>
      <w:r w:rsidRPr="00F26A3E">
        <w:rPr>
          <w:sz w:val="22"/>
          <w:szCs w:val="22"/>
          <w:lang w:val="en-GB"/>
        </w:rPr>
        <w:t>otorcycles</w:t>
      </w:r>
      <w:r w:rsidR="006B6676">
        <w:rPr>
          <w:sz w:val="22"/>
          <w:szCs w:val="22"/>
          <w:lang w:val="en-GB"/>
        </w:rPr>
        <w:t xml:space="preserve"> </w:t>
      </w:r>
      <w:r w:rsidRPr="00F26A3E">
        <w:rPr>
          <w:sz w:val="22"/>
          <w:szCs w:val="22"/>
          <w:lang w:val="en-GB"/>
        </w:rPr>
        <w:t>accounted</w:t>
      </w:r>
      <w:r w:rsidR="006B6676">
        <w:rPr>
          <w:sz w:val="22"/>
          <w:szCs w:val="22"/>
          <w:lang w:val="en-GB"/>
        </w:rPr>
        <w:t xml:space="preserve"> </w:t>
      </w:r>
      <w:r w:rsidRPr="00F26A3E">
        <w:rPr>
          <w:sz w:val="22"/>
          <w:szCs w:val="22"/>
          <w:lang w:val="en-GB"/>
        </w:rPr>
        <w:t>for</w:t>
      </w:r>
      <w:r w:rsidR="006B6676">
        <w:rPr>
          <w:sz w:val="22"/>
          <w:szCs w:val="22"/>
          <w:lang w:val="en-GB"/>
        </w:rPr>
        <w:t xml:space="preserve"> </w:t>
      </w:r>
      <w:r w:rsidRPr="00F26A3E">
        <w:rPr>
          <w:sz w:val="22"/>
          <w:szCs w:val="22"/>
          <w:lang w:val="en-GB"/>
        </w:rPr>
        <w:t>64</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units</w:t>
      </w:r>
      <w:r w:rsidR="006B6676">
        <w:rPr>
          <w:sz w:val="22"/>
          <w:szCs w:val="22"/>
          <w:lang w:val="en-GB"/>
        </w:rPr>
        <w:t xml:space="preserve"> </w:t>
      </w:r>
      <w:r>
        <w:rPr>
          <w:sz w:val="22"/>
          <w:szCs w:val="22"/>
          <w:lang w:val="en-GB"/>
        </w:rPr>
        <w:t>sold</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scooters</w:t>
      </w:r>
      <w:r w:rsidR="006B6676">
        <w:rPr>
          <w:sz w:val="22"/>
          <w:szCs w:val="22"/>
          <w:lang w:val="en-GB"/>
        </w:rPr>
        <w:t xml:space="preserve"> </w:t>
      </w:r>
      <w:r>
        <w:rPr>
          <w:sz w:val="22"/>
          <w:szCs w:val="22"/>
          <w:lang w:val="en-GB"/>
        </w:rPr>
        <w:t>accounted</w:t>
      </w:r>
      <w:r w:rsidR="006B6676">
        <w:rPr>
          <w:sz w:val="22"/>
          <w:szCs w:val="22"/>
          <w:lang w:val="en-GB"/>
        </w:rPr>
        <w:t xml:space="preserve"> </w:t>
      </w:r>
      <w:r>
        <w:rPr>
          <w:sz w:val="22"/>
          <w:szCs w:val="22"/>
          <w:lang w:val="en-GB"/>
        </w:rPr>
        <w:t>for</w:t>
      </w:r>
      <w:r w:rsidR="006B6676">
        <w:rPr>
          <w:sz w:val="22"/>
          <w:szCs w:val="22"/>
          <w:lang w:val="en-GB"/>
        </w:rPr>
        <w:t xml:space="preserve"> </w:t>
      </w:r>
      <w:r w:rsidRPr="00F26A3E">
        <w:rPr>
          <w:sz w:val="22"/>
          <w:szCs w:val="22"/>
          <w:lang w:val="en-GB"/>
        </w:rPr>
        <w:t>32</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while</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remaining</w:t>
      </w:r>
      <w:r w:rsidR="006B6676">
        <w:rPr>
          <w:sz w:val="22"/>
          <w:szCs w:val="22"/>
          <w:lang w:val="en-GB"/>
        </w:rPr>
        <w:t xml:space="preserve"> </w:t>
      </w:r>
      <w:r w:rsidRPr="00F26A3E">
        <w:rPr>
          <w:sz w:val="22"/>
          <w:szCs w:val="22"/>
          <w:lang w:val="en-GB"/>
        </w:rPr>
        <w:t>4</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consisted</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mopeds.</w:t>
      </w:r>
      <w:r w:rsidRPr="00F26A3E">
        <w:rPr>
          <w:sz w:val="22"/>
          <w:szCs w:val="22"/>
          <w:vertAlign w:val="superscript"/>
          <w:lang w:val="en-GB"/>
        </w:rPr>
        <w:endnoteReference w:id="11"/>
      </w:r>
    </w:p>
    <w:p w14:paraId="33FB2B3C" w14:textId="77777777" w:rsidR="00173537" w:rsidRDefault="00173537" w:rsidP="00B607FC">
      <w:pPr>
        <w:jc w:val="both"/>
        <w:rPr>
          <w:sz w:val="22"/>
          <w:szCs w:val="22"/>
          <w:lang w:val="en-GB"/>
        </w:rPr>
      </w:pPr>
    </w:p>
    <w:p w14:paraId="2843FD4E" w14:textId="411AECA4" w:rsidR="00CA6A0D" w:rsidRPr="00F26A3E" w:rsidRDefault="00CA6A0D" w:rsidP="00B607FC">
      <w:pPr>
        <w:jc w:val="both"/>
        <w:rPr>
          <w:sz w:val="22"/>
          <w:szCs w:val="22"/>
          <w:lang w:val="en-GB"/>
        </w:rPr>
      </w:pPr>
      <w:r>
        <w:rPr>
          <w:sz w:val="22"/>
          <w:szCs w:val="22"/>
          <w:lang w:val="en-GB"/>
        </w:rPr>
        <w:t>India’s</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industry,</w:t>
      </w:r>
      <w:r w:rsidR="006B6676">
        <w:rPr>
          <w:sz w:val="22"/>
          <w:szCs w:val="22"/>
          <w:lang w:val="en-GB"/>
        </w:rPr>
        <w:t xml:space="preserve"> </w:t>
      </w:r>
      <w:r>
        <w:rPr>
          <w:sz w:val="22"/>
          <w:szCs w:val="22"/>
          <w:lang w:val="en-GB"/>
        </w:rPr>
        <w:t>which</w:t>
      </w:r>
      <w:r w:rsidR="006B6676">
        <w:rPr>
          <w:sz w:val="22"/>
          <w:szCs w:val="22"/>
          <w:lang w:val="en-GB"/>
        </w:rPr>
        <w:t xml:space="preserve"> </w:t>
      </w:r>
      <w:r>
        <w:rPr>
          <w:sz w:val="22"/>
          <w:szCs w:val="22"/>
          <w:lang w:val="en-GB"/>
        </w:rPr>
        <w:t>included</w:t>
      </w:r>
      <w:r w:rsidR="006B6676">
        <w:rPr>
          <w:sz w:val="22"/>
          <w:szCs w:val="22"/>
          <w:lang w:val="en-GB"/>
        </w:rPr>
        <w:t xml:space="preserve"> </w:t>
      </w:r>
      <w:r>
        <w:rPr>
          <w:sz w:val="22"/>
          <w:szCs w:val="22"/>
          <w:lang w:val="en-GB"/>
        </w:rPr>
        <w:t>various</w:t>
      </w:r>
      <w:r w:rsidR="006B6676">
        <w:rPr>
          <w:sz w:val="22"/>
          <w:szCs w:val="22"/>
          <w:lang w:val="en-GB"/>
        </w:rPr>
        <w:t xml:space="preserve"> </w:t>
      </w:r>
      <w:r>
        <w:rPr>
          <w:sz w:val="22"/>
          <w:szCs w:val="22"/>
          <w:lang w:val="en-GB"/>
        </w:rPr>
        <w:t>different</w:t>
      </w:r>
      <w:r w:rsidR="006B6676">
        <w:rPr>
          <w:sz w:val="22"/>
          <w:szCs w:val="22"/>
          <w:lang w:val="en-GB"/>
        </w:rPr>
        <w:t xml:space="preserve"> </w:t>
      </w:r>
      <w:r>
        <w:rPr>
          <w:sz w:val="22"/>
          <w:szCs w:val="22"/>
          <w:lang w:val="en-GB"/>
        </w:rPr>
        <w:t>classes</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segments,</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dominated</w:t>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several</w:t>
      </w:r>
      <w:r w:rsidR="006B6676">
        <w:rPr>
          <w:sz w:val="22"/>
          <w:szCs w:val="22"/>
          <w:lang w:val="en-GB"/>
        </w:rPr>
        <w:t xml:space="preserve"> </w:t>
      </w:r>
      <w:r>
        <w:rPr>
          <w:sz w:val="22"/>
          <w:szCs w:val="22"/>
          <w:lang w:val="en-GB"/>
        </w:rPr>
        <w:t>major</w:t>
      </w:r>
      <w:r w:rsidR="006B6676">
        <w:rPr>
          <w:sz w:val="22"/>
          <w:szCs w:val="22"/>
          <w:lang w:val="en-GB"/>
        </w:rPr>
        <w:t xml:space="preserve"> </w:t>
      </w:r>
      <w:r>
        <w:rPr>
          <w:sz w:val="22"/>
          <w:szCs w:val="22"/>
          <w:lang w:val="en-GB"/>
        </w:rPr>
        <w:t>companies</w:t>
      </w:r>
      <w:r w:rsidR="006B6676">
        <w:rPr>
          <w:sz w:val="22"/>
          <w:szCs w:val="22"/>
          <w:lang w:val="en-GB"/>
        </w:rPr>
        <w:t xml:space="preserve"> </w:t>
      </w:r>
      <w:r>
        <w:rPr>
          <w:sz w:val="22"/>
          <w:szCs w:val="22"/>
          <w:lang w:val="en-GB"/>
        </w:rPr>
        <w:t>including</w:t>
      </w:r>
      <w:r w:rsidR="006B6676">
        <w:rPr>
          <w:sz w:val="22"/>
          <w:szCs w:val="22"/>
          <w:lang w:val="en-GB"/>
        </w:rPr>
        <w:t xml:space="preserve"> </w:t>
      </w:r>
      <w:r w:rsidRPr="00F26A3E">
        <w:rPr>
          <w:sz w:val="22"/>
          <w:szCs w:val="22"/>
          <w:lang w:val="en-GB"/>
        </w:rPr>
        <w:t>Hero</w:t>
      </w:r>
      <w:r w:rsidR="006B6676">
        <w:rPr>
          <w:sz w:val="22"/>
          <w:szCs w:val="22"/>
          <w:lang w:val="en-GB"/>
        </w:rPr>
        <w:t xml:space="preserve"> </w:t>
      </w:r>
      <w:r w:rsidRPr="00F26A3E">
        <w:rPr>
          <w:sz w:val="22"/>
          <w:szCs w:val="22"/>
          <w:lang w:val="en-GB"/>
        </w:rPr>
        <w:t>MotoCorp</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Pr>
          <w:sz w:val="22"/>
          <w:szCs w:val="22"/>
          <w:lang w:val="en-GB"/>
        </w:rPr>
        <w:t>(Hero)</w:t>
      </w:r>
      <w:r w:rsidRPr="00F26A3E">
        <w:rPr>
          <w:sz w:val="22"/>
          <w:szCs w:val="22"/>
          <w:lang w:val="en-GB"/>
        </w:rPr>
        <w:t>,</w:t>
      </w:r>
      <w:r w:rsidR="006B6676">
        <w:rPr>
          <w:sz w:val="22"/>
          <w:szCs w:val="22"/>
          <w:lang w:val="en-GB"/>
        </w:rPr>
        <w:t xml:space="preserve"> </w:t>
      </w:r>
      <w:r w:rsidRPr="00F26A3E">
        <w:rPr>
          <w:sz w:val="22"/>
          <w:szCs w:val="22"/>
          <w:lang w:val="en-GB"/>
        </w:rPr>
        <w:t>Bajaj</w:t>
      </w:r>
      <w:r w:rsidR="006B6676">
        <w:rPr>
          <w:sz w:val="22"/>
          <w:szCs w:val="22"/>
          <w:lang w:val="en-GB"/>
        </w:rPr>
        <w:t xml:space="preserve"> </w:t>
      </w:r>
      <w:r w:rsidRPr="00F26A3E">
        <w:rPr>
          <w:sz w:val="22"/>
          <w:szCs w:val="22"/>
          <w:lang w:val="en-GB"/>
        </w:rPr>
        <w:t>Auto</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Pr>
          <w:sz w:val="22"/>
          <w:szCs w:val="22"/>
          <w:lang w:val="en-GB"/>
        </w:rPr>
        <w:t>(Bajaj)</w:t>
      </w:r>
      <w:r w:rsidRPr="00F26A3E">
        <w:rPr>
          <w:sz w:val="22"/>
          <w:szCs w:val="22"/>
          <w:lang w:val="en-GB"/>
        </w:rPr>
        <w:t>,</w:t>
      </w:r>
      <w:r w:rsidR="006B6676">
        <w:rPr>
          <w:sz w:val="22"/>
          <w:szCs w:val="22"/>
          <w:lang w:val="en-GB"/>
        </w:rPr>
        <w:t xml:space="preserve"> </w:t>
      </w:r>
      <w:r w:rsidRPr="00F26A3E">
        <w:rPr>
          <w:sz w:val="22"/>
          <w:szCs w:val="22"/>
          <w:lang w:val="en-GB"/>
        </w:rPr>
        <w:t>Honda</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Scooter</w:t>
      </w:r>
      <w:r w:rsidR="006B6676">
        <w:rPr>
          <w:sz w:val="22"/>
          <w:szCs w:val="22"/>
          <w:lang w:val="en-GB"/>
        </w:rPr>
        <w:t xml:space="preserve"> </w:t>
      </w:r>
      <w:r w:rsidRPr="00F26A3E">
        <w:rPr>
          <w:sz w:val="22"/>
          <w:szCs w:val="22"/>
          <w:lang w:val="en-GB"/>
        </w:rPr>
        <w:t>India</w:t>
      </w:r>
      <w:r w:rsidR="006B6676">
        <w:rPr>
          <w:sz w:val="22"/>
          <w:szCs w:val="22"/>
          <w:lang w:val="en-GB"/>
        </w:rPr>
        <w:t xml:space="preserve"> </w:t>
      </w:r>
      <w:r>
        <w:rPr>
          <w:sz w:val="22"/>
          <w:szCs w:val="22"/>
          <w:lang w:val="en-GB"/>
        </w:rPr>
        <w:t>(Honda),</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TVS</w:t>
      </w:r>
      <w:r w:rsidR="006B6676">
        <w:rPr>
          <w:sz w:val="22"/>
          <w:szCs w:val="22"/>
          <w:lang w:val="en-GB"/>
        </w:rPr>
        <w:t xml:space="preserve"> </w:t>
      </w:r>
      <w:r w:rsidRPr="00F26A3E">
        <w:rPr>
          <w:sz w:val="22"/>
          <w:szCs w:val="22"/>
          <w:lang w:val="en-GB"/>
        </w:rPr>
        <w:t>Motor</w:t>
      </w:r>
      <w:r w:rsidR="006B6676">
        <w:rPr>
          <w:sz w:val="22"/>
          <w:szCs w:val="22"/>
          <w:lang w:val="en-GB"/>
        </w:rPr>
        <w:t xml:space="preserve"> </w:t>
      </w:r>
      <w:r w:rsidRPr="00F26A3E">
        <w:rPr>
          <w:sz w:val="22"/>
          <w:szCs w:val="22"/>
          <w:lang w:val="en-GB"/>
        </w:rPr>
        <w:t>Company</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Pr>
          <w:sz w:val="22"/>
          <w:szCs w:val="22"/>
          <w:lang w:val="en-GB"/>
        </w:rPr>
        <w:t>(TVS)</w:t>
      </w:r>
      <w:r w:rsidRPr="00F26A3E">
        <w:rPr>
          <w:sz w:val="22"/>
          <w:szCs w:val="22"/>
          <w:lang w:val="en-GB"/>
        </w:rPr>
        <w:t>.</w:t>
      </w:r>
      <w:r w:rsidR="006B6676">
        <w:rPr>
          <w:sz w:val="22"/>
          <w:szCs w:val="22"/>
          <w:lang w:val="en-GB"/>
        </w:rPr>
        <w:t xml:space="preserve"> </w:t>
      </w:r>
      <w:r w:rsidRPr="00F26A3E">
        <w:rPr>
          <w:sz w:val="22"/>
          <w:szCs w:val="22"/>
          <w:lang w:val="en-GB"/>
        </w:rPr>
        <w:t>These</w:t>
      </w:r>
      <w:r w:rsidR="006B6676">
        <w:rPr>
          <w:sz w:val="22"/>
          <w:szCs w:val="22"/>
          <w:lang w:val="en-GB"/>
        </w:rPr>
        <w:t xml:space="preserve"> </w:t>
      </w:r>
      <w:r>
        <w:rPr>
          <w:sz w:val="22"/>
          <w:szCs w:val="22"/>
          <w:lang w:val="en-GB"/>
        </w:rPr>
        <w:t>companies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industry’s</w:t>
      </w:r>
      <w:r w:rsidR="006B6676">
        <w:rPr>
          <w:sz w:val="22"/>
          <w:szCs w:val="22"/>
          <w:lang w:val="en-GB"/>
        </w:rPr>
        <w:t xml:space="preserve"> </w:t>
      </w:r>
      <w:r w:rsidRPr="00F26A3E">
        <w:rPr>
          <w:sz w:val="22"/>
          <w:szCs w:val="22"/>
          <w:lang w:val="en-GB"/>
        </w:rPr>
        <w:t>mass</w:t>
      </w:r>
      <w:r w:rsidR="006B6676">
        <w:rPr>
          <w:sz w:val="22"/>
          <w:szCs w:val="22"/>
          <w:lang w:val="en-GB"/>
        </w:rPr>
        <w:t xml:space="preserve"> </w:t>
      </w:r>
      <w:r w:rsidRPr="00F26A3E">
        <w:rPr>
          <w:sz w:val="22"/>
          <w:szCs w:val="22"/>
          <w:lang w:val="en-GB"/>
        </w:rPr>
        <w:t>market</w:t>
      </w:r>
      <w:r w:rsidR="006B6676">
        <w:rPr>
          <w:sz w:val="22"/>
          <w:szCs w:val="22"/>
          <w:lang w:val="en-GB"/>
        </w:rPr>
        <w:t xml:space="preserve"> </w:t>
      </w:r>
      <w:r>
        <w:rPr>
          <w:sz w:val="22"/>
          <w:szCs w:val="22"/>
          <w:lang w:val="en-GB"/>
        </w:rPr>
        <w:t>giants.</w:t>
      </w:r>
      <w:r w:rsidR="006B6676">
        <w:rPr>
          <w:sz w:val="22"/>
          <w:szCs w:val="22"/>
          <w:lang w:val="en-GB"/>
        </w:rPr>
        <w:t xml:space="preserve"> </w:t>
      </w:r>
      <w:r>
        <w:rPr>
          <w:sz w:val="22"/>
          <w:szCs w:val="22"/>
          <w:lang w:val="en-GB"/>
        </w:rPr>
        <w:t>C</w:t>
      </w:r>
      <w:r w:rsidRPr="00F26A3E">
        <w:rPr>
          <w:sz w:val="22"/>
          <w:szCs w:val="22"/>
          <w:lang w:val="en-GB"/>
        </w:rPr>
        <w:t>ollectively</w:t>
      </w:r>
      <w:r>
        <w:rPr>
          <w:sz w:val="22"/>
          <w:szCs w:val="22"/>
          <w:lang w:val="en-GB"/>
        </w:rPr>
        <w:t>,</w:t>
      </w:r>
      <w:r w:rsidR="006B6676">
        <w:rPr>
          <w:sz w:val="22"/>
          <w:szCs w:val="22"/>
          <w:lang w:val="en-GB"/>
        </w:rPr>
        <w:t xml:space="preserve"> </w:t>
      </w:r>
      <w:r>
        <w:rPr>
          <w:sz w:val="22"/>
          <w:szCs w:val="22"/>
          <w:lang w:val="en-GB"/>
        </w:rPr>
        <w:t>they</w:t>
      </w:r>
      <w:r w:rsidR="006B6676">
        <w:rPr>
          <w:sz w:val="22"/>
          <w:szCs w:val="22"/>
          <w:lang w:val="en-GB"/>
        </w:rPr>
        <w:t xml:space="preserve"> </w:t>
      </w:r>
      <w:r w:rsidRPr="00F26A3E">
        <w:rPr>
          <w:sz w:val="22"/>
          <w:szCs w:val="22"/>
          <w:lang w:val="en-GB"/>
        </w:rPr>
        <w:t>accounted</w:t>
      </w:r>
      <w:r w:rsidR="006B6676">
        <w:rPr>
          <w:sz w:val="22"/>
          <w:szCs w:val="22"/>
          <w:lang w:val="en-GB"/>
        </w:rPr>
        <w:t xml:space="preserve"> </w:t>
      </w:r>
      <w:r w:rsidRPr="00F26A3E">
        <w:rPr>
          <w:sz w:val="22"/>
          <w:szCs w:val="22"/>
          <w:lang w:val="en-GB"/>
        </w:rPr>
        <w:t>for</w:t>
      </w:r>
      <w:r w:rsidR="006B6676">
        <w:rPr>
          <w:sz w:val="22"/>
          <w:szCs w:val="22"/>
          <w:lang w:val="en-GB"/>
        </w:rPr>
        <w:t xml:space="preserve"> </w:t>
      </w:r>
      <w:r w:rsidRPr="00F26A3E">
        <w:rPr>
          <w:sz w:val="22"/>
          <w:szCs w:val="22"/>
          <w:lang w:val="en-GB"/>
        </w:rPr>
        <w:t>more</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90</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market.</w:t>
      </w:r>
      <w:r w:rsidR="006B6676">
        <w:rPr>
          <w:sz w:val="22"/>
          <w:szCs w:val="22"/>
          <w:lang w:val="en-GB"/>
        </w:rPr>
        <w:t xml:space="preserve"> </w:t>
      </w:r>
      <w:r w:rsidRPr="00F26A3E">
        <w:rPr>
          <w:sz w:val="22"/>
          <w:szCs w:val="22"/>
          <w:lang w:val="en-GB"/>
        </w:rPr>
        <w:t>Hero</w:t>
      </w:r>
      <w:r w:rsidR="006B6676">
        <w:rPr>
          <w:sz w:val="22"/>
          <w:szCs w:val="22"/>
          <w:lang w:val="en-GB"/>
        </w:rPr>
        <w:t xml:space="preserve"> </w:t>
      </w:r>
      <w:r>
        <w:rPr>
          <w:sz w:val="22"/>
          <w:szCs w:val="22"/>
          <w:lang w:val="en-GB"/>
        </w:rPr>
        <w:t>was</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market</w:t>
      </w:r>
      <w:r w:rsidR="006B6676">
        <w:rPr>
          <w:sz w:val="22"/>
          <w:szCs w:val="22"/>
          <w:lang w:val="en-GB"/>
        </w:rPr>
        <w:t xml:space="preserve"> </w:t>
      </w:r>
      <w:r w:rsidRPr="00F26A3E">
        <w:rPr>
          <w:sz w:val="22"/>
          <w:szCs w:val="22"/>
          <w:lang w:val="en-GB"/>
        </w:rPr>
        <w:t>leader</w:t>
      </w:r>
      <w:r>
        <w:rPr>
          <w:sz w:val="22"/>
          <w:szCs w:val="22"/>
          <w:lang w:val="en-GB"/>
        </w:rPr>
        <w:t>,</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50.7</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share</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overall</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market.</w:t>
      </w:r>
      <w:r w:rsidRPr="00F26A3E">
        <w:rPr>
          <w:sz w:val="22"/>
          <w:szCs w:val="22"/>
          <w:vertAlign w:val="superscript"/>
          <w:lang w:val="en-GB"/>
        </w:rPr>
        <w:endnoteReference w:id="12"/>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number</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current</w:t>
      </w:r>
      <w:r w:rsidR="006B6676">
        <w:rPr>
          <w:sz w:val="22"/>
          <w:szCs w:val="22"/>
          <w:lang w:val="en-GB"/>
        </w:rPr>
        <w:t xml:space="preserve"> </w:t>
      </w:r>
      <w:r>
        <w:rPr>
          <w:sz w:val="22"/>
          <w:szCs w:val="22"/>
          <w:lang w:val="en-GB"/>
        </w:rPr>
        <w:t>owners</w:t>
      </w:r>
      <w:r w:rsidR="006B6676">
        <w:rPr>
          <w:sz w:val="22"/>
          <w:szCs w:val="22"/>
          <w:lang w:val="en-GB"/>
        </w:rPr>
        <w:t xml:space="preserve"> </w:t>
      </w:r>
      <w:r>
        <w:rPr>
          <w:sz w:val="22"/>
          <w:szCs w:val="22"/>
          <w:lang w:val="en-GB"/>
        </w:rPr>
        <w:t>looking</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replace</w:t>
      </w:r>
      <w:r w:rsidR="006B6676">
        <w:rPr>
          <w:sz w:val="22"/>
          <w:szCs w:val="22"/>
          <w:lang w:val="en-GB"/>
        </w:rPr>
        <w:t xml:space="preserve"> </w:t>
      </w:r>
      <w:r>
        <w:rPr>
          <w:sz w:val="22"/>
          <w:szCs w:val="22"/>
          <w:lang w:val="en-GB"/>
        </w:rPr>
        <w:t>their</w:t>
      </w:r>
      <w:r w:rsidR="006B6676">
        <w:rPr>
          <w:sz w:val="22"/>
          <w:szCs w:val="22"/>
          <w:lang w:val="en-GB"/>
        </w:rPr>
        <w:t xml:space="preserve"> </w:t>
      </w:r>
      <w:r w:rsidRPr="00F26A3E">
        <w:rPr>
          <w:sz w:val="22"/>
          <w:szCs w:val="22"/>
          <w:lang w:val="en-GB"/>
        </w:rPr>
        <w:t>100</w:t>
      </w:r>
      <w:r>
        <w:rPr>
          <w:sz w:val="22"/>
          <w:szCs w:val="22"/>
          <w:lang w:val="en-GB"/>
        </w:rPr>
        <w:t>–</w:t>
      </w:r>
      <w:r w:rsidRPr="00F26A3E">
        <w:rPr>
          <w:sz w:val="22"/>
          <w:szCs w:val="22"/>
          <w:lang w:val="en-GB"/>
        </w:rPr>
        <w:t>150cc</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was</w:t>
      </w:r>
      <w:r w:rsidR="006B6676">
        <w:rPr>
          <w:sz w:val="22"/>
          <w:szCs w:val="22"/>
          <w:lang w:val="en-GB"/>
        </w:rPr>
        <w:t xml:space="preserve"> </w:t>
      </w:r>
      <w:r>
        <w:rPr>
          <w:sz w:val="22"/>
          <w:szCs w:val="22"/>
          <w:lang w:val="en-GB"/>
        </w:rPr>
        <w:t>huge.</w:t>
      </w:r>
      <w:r w:rsidR="006B6676">
        <w:rPr>
          <w:sz w:val="22"/>
          <w:szCs w:val="22"/>
          <w:lang w:val="en-GB"/>
        </w:rPr>
        <w:t xml:space="preserve"> </w:t>
      </w:r>
      <w:r>
        <w:rPr>
          <w:sz w:val="22"/>
          <w:szCs w:val="22"/>
          <w:lang w:val="en-GB"/>
        </w:rPr>
        <w:t>Such</w:t>
      </w:r>
      <w:r w:rsidR="006B6676">
        <w:rPr>
          <w:sz w:val="22"/>
          <w:szCs w:val="22"/>
          <w:lang w:val="en-GB"/>
        </w:rPr>
        <w:t xml:space="preserve"> </w:t>
      </w:r>
      <w:r>
        <w:rPr>
          <w:sz w:val="22"/>
          <w:szCs w:val="22"/>
          <w:lang w:val="en-GB"/>
        </w:rPr>
        <w:t>replacement</w:t>
      </w:r>
      <w:r w:rsidR="006B6676">
        <w:rPr>
          <w:sz w:val="22"/>
          <w:szCs w:val="22"/>
          <w:lang w:val="en-GB"/>
        </w:rPr>
        <w:t xml:space="preserve"> </w:t>
      </w:r>
      <w:r>
        <w:rPr>
          <w:sz w:val="22"/>
          <w:szCs w:val="22"/>
          <w:lang w:val="en-GB"/>
        </w:rPr>
        <w:t>demand</w:t>
      </w:r>
      <w:r w:rsidR="006B6676">
        <w:rPr>
          <w:sz w:val="22"/>
          <w:szCs w:val="22"/>
          <w:lang w:val="en-GB"/>
        </w:rPr>
        <w:t xml:space="preserve"> </w:t>
      </w:r>
      <w:r>
        <w:rPr>
          <w:sz w:val="22"/>
          <w:szCs w:val="22"/>
          <w:lang w:val="en-GB"/>
        </w:rPr>
        <w:t>was</w:t>
      </w:r>
      <w:r w:rsidR="006B6676">
        <w:rPr>
          <w:sz w:val="22"/>
          <w:szCs w:val="22"/>
          <w:lang w:val="en-GB"/>
        </w:rPr>
        <w:t xml:space="preserve"> </w:t>
      </w:r>
      <w:r w:rsidRPr="00F26A3E">
        <w:rPr>
          <w:sz w:val="22"/>
          <w:szCs w:val="22"/>
          <w:lang w:val="en-GB"/>
        </w:rPr>
        <w:t>estimated</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be</w:t>
      </w:r>
      <w:r w:rsidR="006B6676">
        <w:rPr>
          <w:sz w:val="22"/>
          <w:szCs w:val="22"/>
          <w:lang w:val="en-GB"/>
        </w:rPr>
        <w:t xml:space="preserve"> </w:t>
      </w:r>
      <w:r w:rsidRPr="00F26A3E">
        <w:rPr>
          <w:sz w:val="22"/>
          <w:szCs w:val="22"/>
          <w:lang w:val="en-GB"/>
        </w:rPr>
        <w:t>1</w:t>
      </w:r>
      <w:r w:rsidR="006B6676">
        <w:rPr>
          <w:sz w:val="22"/>
          <w:szCs w:val="22"/>
          <w:lang w:val="en-GB"/>
        </w:rPr>
        <w:t xml:space="preserve"> </w:t>
      </w:r>
      <w:r w:rsidRPr="00F26A3E">
        <w:rPr>
          <w:sz w:val="22"/>
          <w:szCs w:val="22"/>
          <w:lang w:val="en-GB"/>
        </w:rPr>
        <w:t>million</w:t>
      </w:r>
      <w:r w:rsidR="006B6676">
        <w:rPr>
          <w:sz w:val="22"/>
          <w:szCs w:val="22"/>
          <w:lang w:val="en-GB"/>
        </w:rPr>
        <w:t xml:space="preserve"> </w:t>
      </w:r>
      <w:r>
        <w:rPr>
          <w:sz w:val="22"/>
          <w:szCs w:val="22"/>
          <w:lang w:val="en-GB"/>
        </w:rPr>
        <w:t>units</w:t>
      </w:r>
      <w:r w:rsidR="006B6676">
        <w:rPr>
          <w:sz w:val="22"/>
          <w:szCs w:val="22"/>
          <w:lang w:val="en-GB"/>
        </w:rPr>
        <w:t xml:space="preserve"> </w:t>
      </w:r>
      <w:r>
        <w:rPr>
          <w:sz w:val="22"/>
          <w:szCs w:val="22"/>
          <w:lang w:val="en-GB"/>
        </w:rPr>
        <w:t>per</w:t>
      </w:r>
      <w:r w:rsidR="006B6676">
        <w:rPr>
          <w:sz w:val="22"/>
          <w:szCs w:val="22"/>
          <w:lang w:val="en-GB"/>
        </w:rPr>
        <w:t xml:space="preserve"> </w:t>
      </w:r>
      <w:r>
        <w:rPr>
          <w:sz w:val="22"/>
          <w:szCs w:val="22"/>
          <w:lang w:val="en-GB"/>
        </w:rPr>
        <w:t>year.</w:t>
      </w:r>
      <w:r w:rsidRPr="00F26A3E">
        <w:rPr>
          <w:sz w:val="22"/>
          <w:szCs w:val="22"/>
          <w:vertAlign w:val="superscript"/>
          <w:lang w:val="en-GB"/>
        </w:rPr>
        <w:endnoteReference w:id="13"/>
      </w:r>
      <w:r w:rsidR="006B6676">
        <w:rPr>
          <w:sz w:val="22"/>
          <w:szCs w:val="22"/>
          <w:lang w:val="en-GB"/>
        </w:rPr>
        <w:t xml:space="preserve"> </w:t>
      </w:r>
      <w:r w:rsidRPr="00F26A3E">
        <w:rPr>
          <w:sz w:val="22"/>
          <w:szCs w:val="22"/>
          <w:lang w:val="en-GB"/>
        </w:rPr>
        <w:t>Customers</w:t>
      </w:r>
      <w:r w:rsidR="006B6676">
        <w:rPr>
          <w:sz w:val="22"/>
          <w:szCs w:val="22"/>
          <w:lang w:val="en-GB"/>
        </w:rPr>
        <w:t xml:space="preserve"> </w:t>
      </w:r>
      <w:r>
        <w:rPr>
          <w:sz w:val="22"/>
          <w:szCs w:val="22"/>
          <w:lang w:val="en-GB"/>
        </w:rPr>
        <w:t>who</w:t>
      </w:r>
      <w:r w:rsidR="006B6676">
        <w:rPr>
          <w:sz w:val="22"/>
          <w:szCs w:val="22"/>
          <w:lang w:val="en-GB"/>
        </w:rPr>
        <w:t xml:space="preserve"> </w:t>
      </w:r>
      <w:r>
        <w:rPr>
          <w:sz w:val="22"/>
          <w:szCs w:val="22"/>
          <w:lang w:val="en-GB"/>
        </w:rPr>
        <w:t>planned</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upgrade</w:t>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100</w:t>
      </w:r>
      <w:r>
        <w:rPr>
          <w:sz w:val="22"/>
          <w:szCs w:val="22"/>
          <w:lang w:val="en-GB"/>
        </w:rPr>
        <w:t>–</w:t>
      </w:r>
      <w:r w:rsidRPr="00F26A3E">
        <w:rPr>
          <w:sz w:val="22"/>
          <w:szCs w:val="22"/>
          <w:lang w:val="en-GB"/>
        </w:rPr>
        <w:t>150cc</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250</w:t>
      </w:r>
      <w:r>
        <w:rPr>
          <w:sz w:val="22"/>
          <w:szCs w:val="22"/>
          <w:lang w:val="en-GB"/>
        </w:rPr>
        <w:t>–</w:t>
      </w:r>
      <w:r w:rsidRPr="00F26A3E">
        <w:rPr>
          <w:sz w:val="22"/>
          <w:szCs w:val="22"/>
          <w:lang w:val="en-GB"/>
        </w:rPr>
        <w:t>750cc</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sidR="006B6676">
        <w:rPr>
          <w:sz w:val="22"/>
          <w:szCs w:val="22"/>
          <w:lang w:val="en-GB"/>
        </w:rPr>
        <w:t xml:space="preserve"> </w:t>
      </w:r>
      <w:r w:rsidRPr="00F26A3E">
        <w:rPr>
          <w:sz w:val="22"/>
          <w:szCs w:val="22"/>
          <w:lang w:val="en-GB"/>
        </w:rPr>
        <w:t>could</w:t>
      </w:r>
      <w:r w:rsidR="006B6676">
        <w:rPr>
          <w:sz w:val="22"/>
          <w:szCs w:val="22"/>
          <w:lang w:val="en-GB"/>
        </w:rPr>
        <w:t xml:space="preserve"> </w:t>
      </w:r>
      <w:r w:rsidRPr="00F26A3E">
        <w:rPr>
          <w:sz w:val="22"/>
          <w:szCs w:val="22"/>
          <w:lang w:val="en-GB"/>
        </w:rPr>
        <w:t>not</w:t>
      </w:r>
      <w:r w:rsidR="006B6676">
        <w:rPr>
          <w:sz w:val="22"/>
          <w:szCs w:val="22"/>
          <w:lang w:val="en-GB"/>
        </w:rPr>
        <w:t xml:space="preserve"> </w:t>
      </w:r>
      <w:r w:rsidRPr="00F26A3E">
        <w:rPr>
          <w:sz w:val="22"/>
          <w:szCs w:val="22"/>
          <w:lang w:val="en-GB"/>
        </w:rPr>
        <w:t>find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more</w:t>
      </w:r>
      <w:r w:rsidR="006B6676">
        <w:rPr>
          <w:sz w:val="22"/>
          <w:szCs w:val="22"/>
          <w:lang w:val="en-GB"/>
        </w:rPr>
        <w:t xml:space="preserve"> </w:t>
      </w:r>
      <w:r w:rsidRPr="00F26A3E">
        <w:rPr>
          <w:sz w:val="22"/>
          <w:szCs w:val="22"/>
          <w:lang w:val="en-GB"/>
        </w:rPr>
        <w:t>competitive</w:t>
      </w:r>
      <w:r>
        <w:rPr>
          <w:sz w:val="22"/>
          <w:szCs w:val="22"/>
          <w:lang w:val="en-GB"/>
        </w:rPr>
        <w:t>ly-</w:t>
      </w:r>
      <w:r w:rsidRPr="00F26A3E">
        <w:rPr>
          <w:sz w:val="22"/>
          <w:szCs w:val="22"/>
          <w:lang w:val="en-GB"/>
        </w:rPr>
        <w:t>priced</w:t>
      </w:r>
      <w:r w:rsidR="006B6676">
        <w:rPr>
          <w:sz w:val="22"/>
          <w:szCs w:val="22"/>
          <w:lang w:val="en-GB"/>
        </w:rPr>
        <w:t xml:space="preserve"> </w:t>
      </w:r>
      <w:r>
        <w:rPr>
          <w:sz w:val="22"/>
          <w:szCs w:val="22"/>
          <w:lang w:val="en-GB"/>
        </w:rPr>
        <w:t>option</w:t>
      </w:r>
      <w:r w:rsidR="006B6676">
        <w:rPr>
          <w:sz w:val="22"/>
          <w:szCs w:val="22"/>
          <w:lang w:val="en-GB"/>
        </w:rPr>
        <w:t xml:space="preserve"> </w:t>
      </w:r>
      <w:r>
        <w:rPr>
          <w:sz w:val="22"/>
          <w:szCs w:val="22"/>
          <w:lang w:val="en-GB"/>
        </w:rPr>
        <w:t>than</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p>
    <w:p w14:paraId="53595B59" w14:textId="77777777" w:rsidR="00CA6A0D" w:rsidRPr="00F26A3E" w:rsidRDefault="00CA6A0D" w:rsidP="00B607FC">
      <w:pPr>
        <w:jc w:val="both"/>
        <w:rPr>
          <w:sz w:val="22"/>
          <w:szCs w:val="22"/>
          <w:lang w:val="en-GB"/>
        </w:rPr>
      </w:pPr>
    </w:p>
    <w:p w14:paraId="26124026" w14:textId="4D4FC7C7" w:rsidR="00CA6A0D" w:rsidRPr="00F26A3E" w:rsidRDefault="00CA6A0D" w:rsidP="00B607FC">
      <w:pPr>
        <w:jc w:val="both"/>
        <w:rPr>
          <w:sz w:val="22"/>
          <w:szCs w:val="22"/>
          <w:lang w:val="en-GB"/>
        </w:rPr>
      </w:pPr>
      <w:r>
        <w:rPr>
          <w:sz w:val="22"/>
          <w:szCs w:val="22"/>
          <w:lang w:val="en-GB"/>
        </w:rPr>
        <w:t>The</w:t>
      </w:r>
      <w:r w:rsidR="006B6676">
        <w:rPr>
          <w:sz w:val="22"/>
          <w:szCs w:val="22"/>
          <w:lang w:val="en-GB"/>
        </w:rPr>
        <w:t xml:space="preserve"> </w:t>
      </w:r>
      <w:r w:rsidRPr="00F26A3E">
        <w:rPr>
          <w:sz w:val="22"/>
          <w:szCs w:val="22"/>
          <w:lang w:val="en-GB"/>
        </w:rPr>
        <w:t>upper</w:t>
      </w:r>
      <w:r w:rsidR="006B6676">
        <w:rPr>
          <w:sz w:val="22"/>
          <w:szCs w:val="22"/>
          <w:lang w:val="en-GB"/>
        </w:rPr>
        <w:t xml:space="preserve"> </w:t>
      </w:r>
      <w:r w:rsidRPr="00F26A3E">
        <w:rPr>
          <w:sz w:val="22"/>
          <w:szCs w:val="22"/>
          <w:lang w:val="en-GB"/>
        </w:rPr>
        <w:t>end</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dominated</w:t>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US</w:t>
      </w:r>
      <w:r w:rsidR="006B6676">
        <w:rPr>
          <w:sz w:val="22"/>
          <w:szCs w:val="22"/>
          <w:lang w:val="en-GB"/>
        </w:rPr>
        <w:t xml:space="preserve"> </w:t>
      </w:r>
      <w:r>
        <w:rPr>
          <w:sz w:val="22"/>
          <w:szCs w:val="22"/>
          <w:lang w:val="en-GB"/>
        </w:rPr>
        <w:t>global</w:t>
      </w:r>
      <w:r w:rsidR="006B6676">
        <w:rPr>
          <w:sz w:val="22"/>
          <w:szCs w:val="22"/>
          <w:lang w:val="en-GB"/>
        </w:rPr>
        <w:t xml:space="preserve"> </w:t>
      </w:r>
      <w:r>
        <w:rPr>
          <w:sz w:val="22"/>
          <w:szCs w:val="22"/>
          <w:lang w:val="en-GB"/>
        </w:rPr>
        <w:t>giant</w:t>
      </w:r>
      <w:r w:rsidR="006B6676">
        <w:rPr>
          <w:sz w:val="22"/>
          <w:szCs w:val="22"/>
          <w:lang w:val="en-GB"/>
        </w:rPr>
        <w:t xml:space="preserve"> </w:t>
      </w:r>
      <w:r w:rsidRPr="00F26A3E">
        <w:rPr>
          <w:sz w:val="22"/>
          <w:szCs w:val="22"/>
          <w:lang w:val="en-GB"/>
        </w:rPr>
        <w:t>Harley-Davidso</w:t>
      </w:r>
      <w:r>
        <w:rPr>
          <w:sz w:val="22"/>
          <w:szCs w:val="22"/>
          <w:lang w:val="en-GB"/>
        </w:rPr>
        <w:t>n,</w:t>
      </w:r>
      <w:r w:rsidR="006B6676">
        <w:rPr>
          <w:sz w:val="22"/>
          <w:szCs w:val="22"/>
          <w:lang w:val="en-GB"/>
        </w:rPr>
        <w:t xml:space="preserve"> </w:t>
      </w:r>
      <w:r>
        <w:rPr>
          <w:sz w:val="22"/>
          <w:szCs w:val="22"/>
          <w:lang w:val="en-GB"/>
        </w:rPr>
        <w:t>which</w:t>
      </w:r>
      <w:r w:rsidR="006B6676">
        <w:rPr>
          <w:sz w:val="22"/>
          <w:szCs w:val="22"/>
          <w:lang w:val="en-GB"/>
        </w:rPr>
        <w:t xml:space="preserve"> </w:t>
      </w:r>
      <w:r w:rsidRPr="00F26A3E">
        <w:rPr>
          <w:sz w:val="22"/>
          <w:szCs w:val="22"/>
          <w:lang w:val="en-GB"/>
        </w:rPr>
        <w:t>operated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lifestyle</w:t>
      </w:r>
      <w:r w:rsidR="006B6676">
        <w:rPr>
          <w:sz w:val="22"/>
          <w:szCs w:val="22"/>
          <w:lang w:val="en-GB"/>
        </w:rPr>
        <w:t xml:space="preserve"> </w:t>
      </w:r>
      <w:r w:rsidRPr="00F26A3E">
        <w:rPr>
          <w:sz w:val="22"/>
          <w:szCs w:val="22"/>
          <w:lang w:val="en-GB"/>
        </w:rPr>
        <w:t>premium</w:t>
      </w:r>
      <w:r w:rsidR="006B6676">
        <w:rPr>
          <w:sz w:val="22"/>
          <w:szCs w:val="22"/>
          <w:lang w:val="en-GB"/>
        </w:rPr>
        <w:t xml:space="preserve"> </w:t>
      </w:r>
      <w:r>
        <w:rPr>
          <w:sz w:val="22"/>
          <w:szCs w:val="22"/>
          <w:lang w:val="en-GB"/>
        </w:rPr>
        <w:t>segment</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600cc</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higher.</w:t>
      </w:r>
      <w:r w:rsidRPr="00F26A3E">
        <w:rPr>
          <w:sz w:val="22"/>
          <w:szCs w:val="22"/>
          <w:vertAlign w:val="superscript"/>
          <w:lang w:val="en-GB"/>
        </w:rPr>
        <w:endnoteReference w:id="14"/>
      </w:r>
      <w:r w:rsidR="006B6676">
        <w:rPr>
          <w:sz w:val="22"/>
          <w:szCs w:val="22"/>
          <w:lang w:val="en-GB"/>
        </w:rPr>
        <w:t xml:space="preserve"> </w:t>
      </w:r>
      <w:r>
        <w:rPr>
          <w:sz w:val="22"/>
          <w:szCs w:val="22"/>
          <w:lang w:val="en-GB"/>
        </w:rPr>
        <w:t>Although</w:t>
      </w:r>
      <w:r w:rsidR="006B6676">
        <w:rPr>
          <w:sz w:val="22"/>
          <w:szCs w:val="22"/>
          <w:lang w:val="en-GB"/>
        </w:rPr>
        <w:t xml:space="preserve"> </w:t>
      </w:r>
      <w:r w:rsidRPr="00F26A3E">
        <w:rPr>
          <w:sz w:val="22"/>
          <w:szCs w:val="22"/>
          <w:lang w:val="en-GB"/>
        </w:rPr>
        <w:t>Harley</w:t>
      </w:r>
      <w:r>
        <w:rPr>
          <w:sz w:val="22"/>
          <w:szCs w:val="22"/>
          <w:lang w:val="en-GB"/>
        </w:rPr>
        <w:t>-</w:t>
      </w:r>
      <w:r w:rsidRPr="00F26A3E">
        <w:rPr>
          <w:sz w:val="22"/>
          <w:szCs w:val="22"/>
          <w:lang w:val="en-GB"/>
        </w:rPr>
        <w:t>Davidson</w:t>
      </w:r>
      <w:r w:rsidR="006B6676">
        <w:rPr>
          <w:sz w:val="22"/>
          <w:szCs w:val="22"/>
          <w:lang w:val="en-GB"/>
        </w:rPr>
        <w:t xml:space="preserve"> </w:t>
      </w:r>
      <w:r w:rsidRPr="00F26A3E">
        <w:rPr>
          <w:sz w:val="22"/>
          <w:szCs w:val="22"/>
          <w:lang w:val="en-GB"/>
        </w:rPr>
        <w:t>imported</w:t>
      </w:r>
      <w:r w:rsidR="006B6676">
        <w:rPr>
          <w:sz w:val="22"/>
          <w:szCs w:val="22"/>
          <w:lang w:val="en-GB"/>
        </w:rPr>
        <w:t xml:space="preserve"> </w:t>
      </w:r>
      <w:r>
        <w:rPr>
          <w:sz w:val="22"/>
          <w:szCs w:val="22"/>
          <w:lang w:val="en-GB"/>
        </w:rPr>
        <w:t>some</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models</w:t>
      </w:r>
      <w:r w:rsidR="006B6676">
        <w:rPr>
          <w:sz w:val="22"/>
          <w:szCs w:val="22"/>
          <w:lang w:val="en-GB"/>
        </w:rPr>
        <w:t xml:space="preserve"> </w:t>
      </w:r>
      <w:r w:rsidRPr="00F26A3E">
        <w:rPr>
          <w:sz w:val="22"/>
          <w:szCs w:val="22"/>
          <w:lang w:val="en-GB"/>
        </w:rPr>
        <w:t>in</w:t>
      </w:r>
      <w:r>
        <w:rPr>
          <w:sz w:val="22"/>
          <w:szCs w:val="22"/>
          <w:lang w:val="en-GB"/>
        </w:rPr>
        <w:t>to</w:t>
      </w:r>
      <w:r w:rsidR="006B6676">
        <w:rPr>
          <w:sz w:val="22"/>
          <w:szCs w:val="22"/>
          <w:lang w:val="en-GB"/>
        </w:rPr>
        <w:t xml:space="preserve"> </w:t>
      </w:r>
      <w:r w:rsidRPr="00F26A3E">
        <w:rPr>
          <w:sz w:val="22"/>
          <w:szCs w:val="22"/>
          <w:lang w:val="en-GB"/>
        </w:rPr>
        <w:t>India</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completely</w:t>
      </w:r>
      <w:r w:rsidR="006B6676">
        <w:rPr>
          <w:sz w:val="22"/>
          <w:szCs w:val="22"/>
          <w:lang w:val="en-GB"/>
        </w:rPr>
        <w:t xml:space="preserve"> </w:t>
      </w:r>
      <w:r w:rsidRPr="00F26A3E">
        <w:rPr>
          <w:sz w:val="22"/>
          <w:szCs w:val="22"/>
          <w:lang w:val="en-GB"/>
        </w:rPr>
        <w:t>built</w:t>
      </w:r>
      <w:r w:rsidR="006B6676">
        <w:rPr>
          <w:sz w:val="22"/>
          <w:szCs w:val="22"/>
          <w:lang w:val="en-GB"/>
        </w:rPr>
        <w:t xml:space="preserve"> </w:t>
      </w:r>
      <w:r>
        <w:rPr>
          <w:sz w:val="22"/>
          <w:szCs w:val="22"/>
          <w:lang w:val="en-GB"/>
        </w:rPr>
        <w:t>units</w:t>
      </w:r>
      <w:r w:rsidR="006B6676">
        <w:rPr>
          <w:sz w:val="22"/>
          <w:szCs w:val="22"/>
          <w:lang w:val="en-GB"/>
        </w:rPr>
        <w:t xml:space="preserve"> </w:t>
      </w:r>
      <w:r w:rsidRPr="00F26A3E">
        <w:rPr>
          <w:sz w:val="22"/>
          <w:szCs w:val="22"/>
          <w:lang w:val="en-GB"/>
        </w:rPr>
        <w:t>(CBU)</w:t>
      </w:r>
      <w:r>
        <w:rPr>
          <w:sz w:val="22"/>
          <w:szCs w:val="22"/>
          <w:lang w:val="en-GB"/>
        </w:rPr>
        <w:t>,</w:t>
      </w:r>
      <w:r w:rsidR="006B6676">
        <w:rPr>
          <w:sz w:val="22"/>
          <w:szCs w:val="22"/>
          <w:lang w:val="en-GB"/>
        </w:rPr>
        <w:t xml:space="preserve"> </w:t>
      </w:r>
      <w:r>
        <w:rPr>
          <w:sz w:val="22"/>
          <w:szCs w:val="22"/>
          <w:lang w:val="en-GB"/>
        </w:rPr>
        <w:t>most</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imported</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completely</w:t>
      </w:r>
      <w:r w:rsidR="006B6676">
        <w:rPr>
          <w:sz w:val="22"/>
          <w:szCs w:val="22"/>
          <w:lang w:val="en-GB"/>
        </w:rPr>
        <w:t xml:space="preserve"> </w:t>
      </w:r>
      <w:r w:rsidRPr="00F26A3E">
        <w:rPr>
          <w:sz w:val="22"/>
          <w:szCs w:val="22"/>
          <w:lang w:val="en-GB"/>
        </w:rPr>
        <w:t>knocked</w:t>
      </w:r>
      <w:r w:rsidR="006B6676">
        <w:rPr>
          <w:sz w:val="22"/>
          <w:szCs w:val="22"/>
          <w:lang w:val="en-GB"/>
        </w:rPr>
        <w:t xml:space="preserve"> </w:t>
      </w:r>
      <w:r w:rsidRPr="00F26A3E">
        <w:rPr>
          <w:sz w:val="22"/>
          <w:szCs w:val="22"/>
          <w:lang w:val="en-GB"/>
        </w:rPr>
        <w:t>down</w:t>
      </w:r>
      <w:r w:rsidR="006B6676">
        <w:rPr>
          <w:sz w:val="22"/>
          <w:szCs w:val="22"/>
          <w:lang w:val="en-GB"/>
        </w:rPr>
        <w:t xml:space="preserve"> </w:t>
      </w:r>
      <w:r w:rsidRPr="00F26A3E">
        <w:rPr>
          <w:sz w:val="22"/>
          <w:szCs w:val="22"/>
          <w:lang w:val="en-GB"/>
        </w:rPr>
        <w:t>(CKD)</w:t>
      </w:r>
      <w:r w:rsidR="006B6676">
        <w:rPr>
          <w:sz w:val="22"/>
          <w:szCs w:val="22"/>
          <w:lang w:val="en-GB"/>
        </w:rPr>
        <w:t xml:space="preserve"> </w:t>
      </w:r>
      <w:r w:rsidRPr="00F26A3E">
        <w:rPr>
          <w:sz w:val="22"/>
          <w:szCs w:val="22"/>
          <w:lang w:val="en-GB"/>
        </w:rPr>
        <w:t>units</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were</w:t>
      </w:r>
      <w:r w:rsidR="006B6676">
        <w:rPr>
          <w:sz w:val="22"/>
          <w:szCs w:val="22"/>
          <w:lang w:val="en-GB"/>
        </w:rPr>
        <w:t xml:space="preserve"> </w:t>
      </w:r>
      <w:r w:rsidRPr="00F26A3E">
        <w:rPr>
          <w:sz w:val="22"/>
          <w:szCs w:val="22"/>
          <w:lang w:val="en-GB"/>
        </w:rPr>
        <w:t>assembled</w:t>
      </w:r>
      <w:r w:rsidR="006B6676">
        <w:rPr>
          <w:sz w:val="22"/>
          <w:szCs w:val="22"/>
          <w:lang w:val="en-GB"/>
        </w:rPr>
        <w:t xml:space="preserve"> </w:t>
      </w:r>
      <w:r w:rsidRPr="00F26A3E">
        <w:rPr>
          <w:sz w:val="22"/>
          <w:szCs w:val="22"/>
          <w:lang w:val="en-GB"/>
        </w:rPr>
        <w:t>locally</w:t>
      </w:r>
      <w:r>
        <w:rPr>
          <w:sz w:val="22"/>
          <w:szCs w:val="22"/>
          <w:lang w:val="en-GB"/>
        </w:rPr>
        <w:t>.</w:t>
      </w:r>
      <w:r w:rsidRPr="00F26A3E">
        <w:rPr>
          <w:sz w:val="22"/>
          <w:szCs w:val="22"/>
          <w:vertAlign w:val="superscript"/>
          <w:lang w:val="en-GB"/>
        </w:rPr>
        <w:endnoteReference w:id="15"/>
      </w:r>
      <w:r w:rsidR="006B6676">
        <w:rPr>
          <w:sz w:val="22"/>
          <w:szCs w:val="22"/>
          <w:lang w:val="en-GB"/>
        </w:rPr>
        <w:t xml:space="preserve"> </w:t>
      </w:r>
      <w:r w:rsidRPr="00F26A3E">
        <w:rPr>
          <w:sz w:val="22"/>
          <w:szCs w:val="22"/>
          <w:lang w:val="en-GB"/>
        </w:rPr>
        <w:t>Both</w:t>
      </w:r>
      <w:r w:rsidR="006B6676">
        <w:rPr>
          <w:sz w:val="22"/>
          <w:szCs w:val="22"/>
          <w:lang w:val="en-GB"/>
        </w:rPr>
        <w:t xml:space="preserve"> </w:t>
      </w:r>
      <w:r w:rsidRPr="00F26A3E">
        <w:rPr>
          <w:sz w:val="22"/>
          <w:szCs w:val="22"/>
          <w:lang w:val="en-GB"/>
        </w:rPr>
        <w:t>CBU</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CKD</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attracted</w:t>
      </w:r>
      <w:r w:rsidR="006B6676">
        <w:rPr>
          <w:sz w:val="22"/>
          <w:szCs w:val="22"/>
          <w:lang w:val="en-GB"/>
        </w:rPr>
        <w:t xml:space="preserve"> </w:t>
      </w:r>
      <w:r w:rsidRPr="00F26A3E">
        <w:rPr>
          <w:sz w:val="22"/>
          <w:szCs w:val="22"/>
          <w:lang w:val="en-GB"/>
        </w:rPr>
        <w:t>high</w:t>
      </w:r>
      <w:r w:rsidR="006B6676">
        <w:rPr>
          <w:sz w:val="22"/>
          <w:szCs w:val="22"/>
          <w:lang w:val="en-GB"/>
        </w:rPr>
        <w:t xml:space="preserve"> </w:t>
      </w:r>
      <w:r w:rsidRPr="00F26A3E">
        <w:rPr>
          <w:sz w:val="22"/>
          <w:szCs w:val="22"/>
          <w:lang w:val="en-GB"/>
        </w:rPr>
        <w:t>import</w:t>
      </w:r>
      <w:r w:rsidR="006B6676">
        <w:rPr>
          <w:sz w:val="22"/>
          <w:szCs w:val="22"/>
          <w:lang w:val="en-GB"/>
        </w:rPr>
        <w:t xml:space="preserve"> </w:t>
      </w:r>
      <w:r w:rsidRPr="00F26A3E">
        <w:rPr>
          <w:sz w:val="22"/>
          <w:szCs w:val="22"/>
          <w:lang w:val="en-GB"/>
        </w:rPr>
        <w:t>dut</w:t>
      </w:r>
      <w:r>
        <w:rPr>
          <w:sz w:val="22"/>
          <w:szCs w:val="22"/>
          <w:lang w:val="en-GB"/>
        </w:rPr>
        <w:t>ies</w:t>
      </w:r>
      <w:r w:rsidRPr="00F26A3E">
        <w:rPr>
          <w:sz w:val="22"/>
          <w:szCs w:val="22"/>
          <w:lang w:val="en-GB"/>
        </w:rPr>
        <w:t>.</w:t>
      </w:r>
      <w:r w:rsidR="006B6676">
        <w:rPr>
          <w:sz w:val="22"/>
          <w:szCs w:val="22"/>
          <w:lang w:val="en-GB"/>
        </w:rPr>
        <w:t xml:space="preserve"> </w:t>
      </w:r>
    </w:p>
    <w:p w14:paraId="2533AAFA" w14:textId="77777777" w:rsidR="00CA6A0D" w:rsidRPr="00F26A3E" w:rsidRDefault="00CA6A0D" w:rsidP="00B607FC">
      <w:pPr>
        <w:jc w:val="both"/>
        <w:rPr>
          <w:sz w:val="22"/>
          <w:szCs w:val="22"/>
          <w:lang w:val="en-GB"/>
        </w:rPr>
      </w:pPr>
    </w:p>
    <w:p w14:paraId="4A330300" w14:textId="2110702C" w:rsidR="00CA6A0D" w:rsidRPr="00F26A3E" w:rsidRDefault="00CA6A0D" w:rsidP="00B607FC">
      <w:pPr>
        <w:jc w:val="both"/>
        <w:rPr>
          <w:sz w:val="22"/>
          <w:szCs w:val="22"/>
          <w:lang w:val="en-GB"/>
        </w:rPr>
      </w:pPr>
      <w:r w:rsidRPr="00F26A3E">
        <w:rPr>
          <w:sz w:val="22"/>
          <w:szCs w:val="22"/>
          <w:lang w:val="en-GB"/>
        </w:rPr>
        <w:t>In</w:t>
      </w:r>
      <w:r w:rsidR="006B6676">
        <w:rPr>
          <w:sz w:val="22"/>
          <w:szCs w:val="22"/>
          <w:lang w:val="en-GB"/>
        </w:rPr>
        <w:t xml:space="preserve"> </w:t>
      </w:r>
      <w:r w:rsidRPr="00F26A3E">
        <w:rPr>
          <w:sz w:val="22"/>
          <w:szCs w:val="22"/>
          <w:lang w:val="en-GB"/>
        </w:rPr>
        <w:t>February</w:t>
      </w:r>
      <w:r w:rsidR="006B6676">
        <w:rPr>
          <w:sz w:val="22"/>
          <w:szCs w:val="22"/>
          <w:lang w:val="en-GB"/>
        </w:rPr>
        <w:t xml:space="preserve"> </w:t>
      </w:r>
      <w:r w:rsidRPr="00F26A3E">
        <w:rPr>
          <w:sz w:val="22"/>
          <w:szCs w:val="22"/>
          <w:lang w:val="en-GB"/>
        </w:rPr>
        <w:t>2018,</w:t>
      </w:r>
      <w:r w:rsidR="006B6676">
        <w:rPr>
          <w:sz w:val="22"/>
          <w:szCs w:val="22"/>
          <w:lang w:val="en-GB"/>
        </w:rPr>
        <w:t xml:space="preserve"> </w:t>
      </w:r>
      <w:r>
        <w:rPr>
          <w:sz w:val="22"/>
          <w:szCs w:val="22"/>
          <w:lang w:val="en-GB"/>
        </w:rPr>
        <w:t>India’s</w:t>
      </w:r>
      <w:r w:rsidR="006B6676">
        <w:rPr>
          <w:sz w:val="22"/>
          <w:szCs w:val="22"/>
          <w:lang w:val="en-GB"/>
        </w:rPr>
        <w:t xml:space="preserve"> </w:t>
      </w:r>
      <w:r w:rsidRPr="00F26A3E">
        <w:rPr>
          <w:sz w:val="22"/>
          <w:szCs w:val="22"/>
          <w:lang w:val="en-GB"/>
        </w:rPr>
        <w:t>Central</w:t>
      </w:r>
      <w:r w:rsidR="006B6676">
        <w:rPr>
          <w:sz w:val="22"/>
          <w:szCs w:val="22"/>
          <w:lang w:val="en-GB"/>
        </w:rPr>
        <w:t xml:space="preserve"> </w:t>
      </w:r>
      <w:r w:rsidRPr="00F26A3E">
        <w:rPr>
          <w:sz w:val="22"/>
          <w:szCs w:val="22"/>
          <w:lang w:val="en-GB"/>
        </w:rPr>
        <w:t>Board</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Excise</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Customs</w:t>
      </w:r>
      <w:r w:rsidR="006B6676">
        <w:rPr>
          <w:sz w:val="22"/>
          <w:szCs w:val="22"/>
          <w:lang w:val="en-GB"/>
        </w:rPr>
        <w:t xml:space="preserve"> </w:t>
      </w:r>
      <w:r>
        <w:rPr>
          <w:sz w:val="22"/>
          <w:szCs w:val="22"/>
          <w:lang w:val="en-GB"/>
        </w:rPr>
        <w:t>considerably</w:t>
      </w:r>
      <w:r w:rsidR="006B6676">
        <w:rPr>
          <w:sz w:val="22"/>
          <w:szCs w:val="22"/>
          <w:lang w:val="en-GB"/>
        </w:rPr>
        <w:t xml:space="preserve"> </w:t>
      </w:r>
      <w:r w:rsidRPr="00F26A3E">
        <w:rPr>
          <w:sz w:val="22"/>
          <w:szCs w:val="22"/>
          <w:lang w:val="en-GB"/>
        </w:rPr>
        <w:t>reduced</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previously</w:t>
      </w:r>
      <w:r w:rsidR="006B6676">
        <w:rPr>
          <w:sz w:val="22"/>
          <w:szCs w:val="22"/>
          <w:lang w:val="en-GB"/>
        </w:rPr>
        <w:t xml:space="preserve"> </w:t>
      </w:r>
      <w:r>
        <w:rPr>
          <w:sz w:val="22"/>
          <w:szCs w:val="22"/>
          <w:lang w:val="en-GB"/>
        </w:rPr>
        <w:t>high</w:t>
      </w:r>
      <w:r w:rsidR="006B6676">
        <w:rPr>
          <w:sz w:val="22"/>
          <w:szCs w:val="22"/>
          <w:lang w:val="en-GB"/>
        </w:rPr>
        <w:t xml:space="preserve"> </w:t>
      </w:r>
      <w:r w:rsidRPr="00F26A3E">
        <w:rPr>
          <w:sz w:val="22"/>
          <w:szCs w:val="22"/>
          <w:lang w:val="en-GB"/>
        </w:rPr>
        <w:t>import</w:t>
      </w:r>
      <w:r w:rsidR="006B6676">
        <w:rPr>
          <w:sz w:val="22"/>
          <w:szCs w:val="22"/>
          <w:lang w:val="en-GB"/>
        </w:rPr>
        <w:t xml:space="preserve"> </w:t>
      </w:r>
      <w:r w:rsidRPr="00F26A3E">
        <w:rPr>
          <w:sz w:val="22"/>
          <w:szCs w:val="22"/>
          <w:lang w:val="en-GB"/>
        </w:rPr>
        <w:t>dut</w:t>
      </w:r>
      <w:r>
        <w:rPr>
          <w:sz w:val="22"/>
          <w:szCs w:val="22"/>
          <w:lang w:val="en-GB"/>
        </w:rPr>
        <w:t>ies</w:t>
      </w:r>
      <w:r w:rsidR="006B6676">
        <w:rPr>
          <w:sz w:val="22"/>
          <w:szCs w:val="22"/>
          <w:lang w:val="en-GB"/>
        </w:rPr>
        <w:t xml:space="preserve"> </w:t>
      </w:r>
      <w:r>
        <w:rPr>
          <w:sz w:val="22"/>
          <w:szCs w:val="22"/>
          <w:lang w:val="en-GB"/>
        </w:rPr>
        <w:t>down</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50</w:t>
      </w:r>
      <w:r w:rsidR="006B6676">
        <w:rPr>
          <w:sz w:val="22"/>
          <w:szCs w:val="22"/>
          <w:lang w:val="en-GB"/>
        </w:rPr>
        <w:t xml:space="preserve"> </w:t>
      </w:r>
      <w:r>
        <w:rPr>
          <w:sz w:val="22"/>
          <w:szCs w:val="22"/>
          <w:lang w:val="en-GB"/>
        </w:rPr>
        <w:t>per</w:t>
      </w:r>
      <w:r w:rsidR="006B6676">
        <w:rPr>
          <w:sz w:val="22"/>
          <w:szCs w:val="22"/>
          <w:lang w:val="en-GB"/>
        </w:rPr>
        <w:t xml:space="preserve"> </w:t>
      </w:r>
      <w:r>
        <w:rPr>
          <w:sz w:val="22"/>
          <w:szCs w:val="22"/>
          <w:lang w:val="en-GB"/>
        </w:rPr>
        <w:t>cent</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CBU</w:t>
      </w:r>
      <w:r w:rsidR="006B6676">
        <w:rPr>
          <w:sz w:val="22"/>
          <w:szCs w:val="22"/>
          <w:lang w:val="en-GB"/>
        </w:rPr>
        <w:t xml:space="preserve"> </w:t>
      </w:r>
      <w:r w:rsidRPr="00F26A3E">
        <w:rPr>
          <w:sz w:val="22"/>
          <w:szCs w:val="22"/>
          <w:lang w:val="en-GB"/>
        </w:rPr>
        <w:t>units</w:t>
      </w:r>
      <w:r w:rsidRPr="00F26A3E">
        <w:rPr>
          <w:sz w:val="22"/>
          <w:szCs w:val="22"/>
          <w:vertAlign w:val="superscript"/>
          <w:lang w:val="en-GB"/>
        </w:rPr>
        <w:endnoteReference w:id="16"/>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only</w:t>
      </w:r>
      <w:r w:rsidR="006B6676">
        <w:rPr>
          <w:sz w:val="22"/>
          <w:szCs w:val="22"/>
          <w:lang w:val="en-GB"/>
        </w:rPr>
        <w:t xml:space="preserve"> </w:t>
      </w:r>
      <w:r w:rsidRPr="00F26A3E">
        <w:rPr>
          <w:sz w:val="22"/>
          <w:szCs w:val="22"/>
          <w:lang w:val="en-GB"/>
        </w:rPr>
        <w:t>25</w:t>
      </w:r>
      <w:r w:rsidR="006B6676">
        <w:rPr>
          <w:sz w:val="22"/>
          <w:szCs w:val="22"/>
          <w:lang w:val="en-GB"/>
        </w:rPr>
        <w:t xml:space="preserve"> </w:t>
      </w:r>
      <w:r>
        <w:rPr>
          <w:sz w:val="22"/>
          <w:szCs w:val="22"/>
          <w:lang w:val="en-GB"/>
        </w:rPr>
        <w:t>per</w:t>
      </w:r>
      <w:r w:rsidR="006B6676">
        <w:rPr>
          <w:sz w:val="22"/>
          <w:szCs w:val="22"/>
          <w:lang w:val="en-GB"/>
        </w:rPr>
        <w:t xml:space="preserve"> </w:t>
      </w:r>
      <w:r>
        <w:rPr>
          <w:sz w:val="22"/>
          <w:szCs w:val="22"/>
          <w:lang w:val="en-GB"/>
        </w:rPr>
        <w:t>cent</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CKD</w:t>
      </w:r>
      <w:r w:rsidR="006B6676">
        <w:rPr>
          <w:sz w:val="22"/>
          <w:szCs w:val="22"/>
          <w:lang w:val="en-GB"/>
        </w:rPr>
        <w:t xml:space="preserve"> </w:t>
      </w:r>
      <w:r w:rsidRPr="00F26A3E">
        <w:rPr>
          <w:sz w:val="22"/>
          <w:szCs w:val="22"/>
          <w:lang w:val="en-GB"/>
        </w:rPr>
        <w:t>units</w:t>
      </w:r>
      <w:r>
        <w:rPr>
          <w:sz w:val="22"/>
          <w:szCs w:val="22"/>
          <w:lang w:val="en-GB"/>
        </w:rPr>
        <w:t>.</w:t>
      </w:r>
      <w:r w:rsidRPr="00F26A3E">
        <w:rPr>
          <w:sz w:val="22"/>
          <w:szCs w:val="22"/>
          <w:vertAlign w:val="superscript"/>
          <w:lang w:val="en-GB"/>
        </w:rPr>
        <w:endnoteReference w:id="17"/>
      </w:r>
      <w:r w:rsidR="006B6676">
        <w:rPr>
          <w:sz w:val="22"/>
          <w:szCs w:val="22"/>
          <w:lang w:val="en-GB"/>
        </w:rPr>
        <w:t xml:space="preserve"> </w:t>
      </w:r>
      <w:r>
        <w:rPr>
          <w:sz w:val="22"/>
          <w:szCs w:val="22"/>
          <w:lang w:val="en-GB"/>
        </w:rPr>
        <w:t>However</w:t>
      </w:r>
      <w:r w:rsidRPr="00F26A3E">
        <w:rPr>
          <w:sz w:val="22"/>
          <w:szCs w:val="22"/>
          <w:lang w:val="en-GB"/>
        </w:rPr>
        <w:t>,</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custom</w:t>
      </w:r>
      <w:r w:rsidR="006B6676">
        <w:rPr>
          <w:sz w:val="22"/>
          <w:szCs w:val="22"/>
          <w:lang w:val="en-GB"/>
        </w:rPr>
        <w:t xml:space="preserve"> </w:t>
      </w:r>
      <w:r w:rsidRPr="00F26A3E">
        <w:rPr>
          <w:sz w:val="22"/>
          <w:szCs w:val="22"/>
          <w:lang w:val="en-GB"/>
        </w:rPr>
        <w:t>dut</w:t>
      </w:r>
      <w:r>
        <w:rPr>
          <w:sz w:val="22"/>
          <w:szCs w:val="22"/>
          <w:lang w:val="en-GB"/>
        </w:rPr>
        <w:t>ies</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engine</w:t>
      </w:r>
      <w:r>
        <w:rPr>
          <w:sz w:val="22"/>
          <w:szCs w:val="22"/>
          <w:lang w:val="en-GB"/>
        </w:rPr>
        <w:t>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gearbox</w:t>
      </w:r>
      <w:r>
        <w:rPr>
          <w:sz w:val="22"/>
          <w:szCs w:val="22"/>
          <w:lang w:val="en-GB"/>
        </w:rPr>
        <w:t>es</w:t>
      </w:r>
      <w:r w:rsidR="006B6676">
        <w:rPr>
          <w:sz w:val="22"/>
          <w:szCs w:val="22"/>
          <w:lang w:val="en-GB"/>
        </w:rPr>
        <w:t xml:space="preserve"> </w:t>
      </w:r>
      <w:r w:rsidRPr="00F26A3E">
        <w:rPr>
          <w:sz w:val="22"/>
          <w:szCs w:val="22"/>
          <w:lang w:val="en-GB"/>
        </w:rPr>
        <w:t>imported</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part</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CKD</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increased</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10</w:t>
      </w:r>
      <w:r w:rsidR="006B6676">
        <w:rPr>
          <w:sz w:val="22"/>
          <w:szCs w:val="22"/>
          <w:lang w:val="en-GB"/>
        </w:rPr>
        <w:t xml:space="preserve"> </w:t>
      </w:r>
      <w:r>
        <w:rPr>
          <w:sz w:val="22"/>
          <w:szCs w:val="22"/>
          <w:lang w:val="en-GB"/>
        </w:rPr>
        <w:t>per</w:t>
      </w:r>
      <w:r w:rsidR="006B6676">
        <w:rPr>
          <w:sz w:val="22"/>
          <w:szCs w:val="22"/>
          <w:lang w:val="en-GB"/>
        </w:rPr>
        <w:t xml:space="preserve"> </w:t>
      </w:r>
      <w:r>
        <w:rPr>
          <w:sz w:val="22"/>
          <w:szCs w:val="22"/>
          <w:lang w:val="en-GB"/>
        </w:rPr>
        <w:t>cent</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15</w:t>
      </w:r>
      <w:r w:rsidR="006B6676">
        <w:rPr>
          <w:sz w:val="22"/>
          <w:szCs w:val="22"/>
          <w:lang w:val="en-GB"/>
        </w:rPr>
        <w:t xml:space="preserve"> </w:t>
      </w:r>
      <w:r>
        <w:rPr>
          <w:sz w:val="22"/>
          <w:szCs w:val="22"/>
          <w:lang w:val="en-GB"/>
        </w:rPr>
        <w:t>per</w:t>
      </w:r>
      <w:r w:rsidR="006B6676">
        <w:rPr>
          <w:sz w:val="22"/>
          <w:szCs w:val="22"/>
          <w:lang w:val="en-GB"/>
        </w:rPr>
        <w:t xml:space="preserve"> </w:t>
      </w:r>
      <w:r>
        <w:rPr>
          <w:sz w:val="22"/>
          <w:szCs w:val="22"/>
          <w:lang w:val="en-GB"/>
        </w:rPr>
        <w:t>cent.</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sidRPr="00F26A3E">
        <w:rPr>
          <w:sz w:val="22"/>
          <w:szCs w:val="22"/>
          <w:lang w:val="en-GB"/>
        </w:rPr>
        <w:t>objective</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t</w:t>
      </w:r>
      <w:r w:rsidRPr="00F26A3E">
        <w:rPr>
          <w:sz w:val="22"/>
          <w:szCs w:val="22"/>
          <w:lang w:val="en-GB"/>
        </w:rPr>
        <w:t>o</w:t>
      </w:r>
      <w:r w:rsidR="006B6676">
        <w:rPr>
          <w:sz w:val="22"/>
          <w:szCs w:val="22"/>
          <w:lang w:val="en-GB"/>
        </w:rPr>
        <w:t xml:space="preserve"> </w:t>
      </w:r>
      <w:r w:rsidRPr="00F26A3E">
        <w:rPr>
          <w:sz w:val="22"/>
          <w:szCs w:val="22"/>
          <w:lang w:val="en-GB"/>
        </w:rPr>
        <w:t>promot</w:t>
      </w:r>
      <w:r>
        <w:rPr>
          <w:sz w:val="22"/>
          <w:szCs w:val="22"/>
          <w:lang w:val="en-GB"/>
        </w:rPr>
        <w:t>e</w:t>
      </w:r>
      <w:r w:rsidR="006B6676">
        <w:rPr>
          <w:sz w:val="22"/>
          <w:szCs w:val="22"/>
          <w:lang w:val="en-GB"/>
        </w:rPr>
        <w:t xml:space="preserve"> </w:t>
      </w:r>
      <w:r w:rsidRPr="00F26A3E">
        <w:rPr>
          <w:sz w:val="22"/>
          <w:szCs w:val="22"/>
          <w:lang w:val="en-GB"/>
        </w:rPr>
        <w:t>domestic</w:t>
      </w:r>
      <w:r w:rsidR="006B6676">
        <w:rPr>
          <w:sz w:val="22"/>
          <w:szCs w:val="22"/>
          <w:lang w:val="en-GB"/>
        </w:rPr>
        <w:t xml:space="preserve"> </w:t>
      </w:r>
      <w:r w:rsidRPr="00F26A3E">
        <w:rPr>
          <w:sz w:val="22"/>
          <w:szCs w:val="22"/>
          <w:lang w:val="en-GB"/>
        </w:rPr>
        <w:t>production</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these</w:t>
      </w:r>
      <w:r w:rsidR="006B6676">
        <w:rPr>
          <w:sz w:val="22"/>
          <w:szCs w:val="22"/>
          <w:lang w:val="en-GB"/>
        </w:rPr>
        <w:t xml:space="preserve"> </w:t>
      </w:r>
      <w:r w:rsidRPr="00F26A3E">
        <w:rPr>
          <w:sz w:val="22"/>
          <w:szCs w:val="22"/>
          <w:lang w:val="en-GB"/>
        </w:rPr>
        <w:t>parts</w:t>
      </w:r>
      <w:r>
        <w:rPr>
          <w:sz w:val="22"/>
          <w:szCs w:val="22"/>
          <w:lang w:val="en-GB"/>
        </w:rPr>
        <w:t>.</w:t>
      </w:r>
      <w:r w:rsidRPr="00F26A3E">
        <w:rPr>
          <w:sz w:val="22"/>
          <w:szCs w:val="22"/>
          <w:vertAlign w:val="superscript"/>
          <w:lang w:val="en-GB"/>
        </w:rPr>
        <w:endnoteReference w:id="18"/>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manufactured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India</w:t>
      </w:r>
      <w:r w:rsidR="006B6676">
        <w:rPr>
          <w:sz w:val="22"/>
          <w:szCs w:val="22"/>
          <w:lang w:val="en-GB"/>
        </w:rPr>
        <w:t xml:space="preserve"> </w:t>
      </w:r>
      <w:r w:rsidRPr="00F26A3E">
        <w:rPr>
          <w:sz w:val="22"/>
          <w:szCs w:val="22"/>
          <w:lang w:val="en-GB"/>
        </w:rPr>
        <w:t>attracted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tax</w:t>
      </w:r>
      <w:r w:rsidR="006B6676">
        <w:rPr>
          <w:sz w:val="22"/>
          <w:szCs w:val="22"/>
          <w:lang w:val="en-GB"/>
        </w:rPr>
        <w:t xml:space="preserve"> </w:t>
      </w:r>
      <w:r w:rsidRPr="00F26A3E">
        <w:rPr>
          <w:sz w:val="22"/>
          <w:szCs w:val="22"/>
          <w:lang w:val="en-GB"/>
        </w:rPr>
        <w:t>levy</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28</w:t>
      </w:r>
      <w:r>
        <w:rPr>
          <w:sz w:val="22"/>
          <w:szCs w:val="22"/>
          <w:lang w:val="en-GB"/>
        </w:rPr>
        <w:t>–</w:t>
      </w:r>
      <w:r w:rsidRPr="00F26A3E">
        <w:rPr>
          <w:sz w:val="22"/>
          <w:szCs w:val="22"/>
          <w:lang w:val="en-GB"/>
        </w:rPr>
        <w:t>35</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due</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imposition</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different</w:t>
      </w:r>
      <w:r w:rsidR="006B6676">
        <w:rPr>
          <w:sz w:val="22"/>
          <w:szCs w:val="22"/>
          <w:lang w:val="en-GB"/>
        </w:rPr>
        <w:t xml:space="preserve"> </w:t>
      </w:r>
      <w:r w:rsidRPr="00F26A3E">
        <w:rPr>
          <w:sz w:val="22"/>
          <w:szCs w:val="22"/>
          <w:lang w:val="en-GB"/>
        </w:rPr>
        <w:t>types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taxes.</w:t>
      </w:r>
      <w:r w:rsidRPr="00F26A3E">
        <w:rPr>
          <w:sz w:val="22"/>
          <w:szCs w:val="22"/>
          <w:vertAlign w:val="superscript"/>
          <w:lang w:val="en-GB"/>
        </w:rPr>
        <w:endnoteReference w:id="19"/>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example,</w:t>
      </w:r>
      <w:r w:rsidR="006B6676">
        <w:rPr>
          <w:sz w:val="22"/>
          <w:szCs w:val="22"/>
          <w:lang w:val="en-GB"/>
        </w:rPr>
        <w:t xml:space="preserve"> </w:t>
      </w:r>
      <w:r>
        <w:rPr>
          <w:sz w:val="22"/>
          <w:szCs w:val="22"/>
          <w:lang w:val="en-GB"/>
        </w:rPr>
        <w:t>after</w:t>
      </w:r>
      <w:r w:rsidR="006B6676">
        <w:rPr>
          <w:sz w:val="22"/>
          <w:szCs w:val="22"/>
          <w:lang w:val="en-GB"/>
        </w:rPr>
        <w:t xml:space="preserve"> </w:t>
      </w:r>
      <w:r w:rsidR="00173537">
        <w:rPr>
          <w:sz w:val="22"/>
          <w:szCs w:val="22"/>
          <w:lang w:val="en-GB"/>
        </w:rPr>
        <w:t>the</w:t>
      </w:r>
      <w:r w:rsidR="006B6676">
        <w:rPr>
          <w:sz w:val="22"/>
          <w:szCs w:val="22"/>
          <w:lang w:val="en-GB"/>
        </w:rPr>
        <w:t xml:space="preserve"> </w:t>
      </w:r>
      <w:r>
        <w:rPr>
          <w:sz w:val="22"/>
          <w:szCs w:val="22"/>
          <w:lang w:val="en-GB"/>
        </w:rPr>
        <w:t>Indian</w:t>
      </w:r>
      <w:r w:rsidR="006B6676">
        <w:rPr>
          <w:sz w:val="22"/>
          <w:szCs w:val="22"/>
          <w:lang w:val="en-GB"/>
        </w:rPr>
        <w:t xml:space="preserve"> </w:t>
      </w:r>
      <w:r>
        <w:rPr>
          <w:sz w:val="22"/>
          <w:szCs w:val="22"/>
          <w:lang w:val="en-GB"/>
        </w:rPr>
        <w:t>government</w:t>
      </w:r>
      <w:r w:rsidR="006B6676">
        <w:rPr>
          <w:sz w:val="22"/>
          <w:szCs w:val="22"/>
          <w:lang w:val="en-GB"/>
        </w:rPr>
        <w:t xml:space="preserve"> </w:t>
      </w:r>
      <w:r>
        <w:rPr>
          <w:sz w:val="22"/>
          <w:szCs w:val="22"/>
          <w:lang w:val="en-GB"/>
        </w:rPr>
        <w:t>implemented</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Goods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Services</w:t>
      </w:r>
      <w:r w:rsidR="006B6676">
        <w:rPr>
          <w:sz w:val="22"/>
          <w:szCs w:val="22"/>
          <w:lang w:val="en-GB"/>
        </w:rPr>
        <w:t xml:space="preserve"> </w:t>
      </w:r>
      <w:r w:rsidRPr="00F26A3E">
        <w:rPr>
          <w:sz w:val="22"/>
          <w:szCs w:val="22"/>
          <w:lang w:val="en-GB"/>
        </w:rPr>
        <w:t>Tax</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2010</w:t>
      </w:r>
      <w:r w:rsidRPr="00F26A3E">
        <w:rPr>
          <w:sz w:val="22"/>
          <w:szCs w:val="22"/>
          <w:lang w:val="en-GB"/>
        </w:rPr>
        <w:t>,</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with</w:t>
      </w:r>
      <w:r w:rsidR="006B6676">
        <w:rPr>
          <w:sz w:val="22"/>
          <w:szCs w:val="22"/>
          <w:lang w:val="en-GB"/>
        </w:rPr>
        <w:t xml:space="preserve"> </w:t>
      </w:r>
      <w:r>
        <w:rPr>
          <w:sz w:val="22"/>
          <w:szCs w:val="22"/>
          <w:lang w:val="en-GB"/>
        </w:rPr>
        <w:t>an</w:t>
      </w:r>
      <w:r w:rsidR="006B6676">
        <w:rPr>
          <w:sz w:val="22"/>
          <w:szCs w:val="22"/>
          <w:lang w:val="en-GB"/>
        </w:rPr>
        <w:t xml:space="preserve"> </w:t>
      </w:r>
      <w:r w:rsidRPr="00F26A3E">
        <w:rPr>
          <w:sz w:val="22"/>
          <w:szCs w:val="22"/>
          <w:lang w:val="en-GB"/>
        </w:rPr>
        <w:t>engine</w:t>
      </w:r>
      <w:r w:rsidR="006B6676">
        <w:rPr>
          <w:sz w:val="22"/>
          <w:szCs w:val="22"/>
          <w:lang w:val="en-GB"/>
        </w:rPr>
        <w:t xml:space="preserve"> </w:t>
      </w:r>
      <w:r w:rsidRPr="00F26A3E">
        <w:rPr>
          <w:sz w:val="22"/>
          <w:szCs w:val="22"/>
          <w:lang w:val="en-GB"/>
        </w:rPr>
        <w:t>displacement</w:t>
      </w:r>
      <w:r w:rsidR="006B6676">
        <w:rPr>
          <w:sz w:val="22"/>
          <w:szCs w:val="22"/>
          <w:lang w:val="en-GB"/>
        </w:rPr>
        <w:t xml:space="preserve"> </w:t>
      </w:r>
      <w:r>
        <w:rPr>
          <w:sz w:val="22"/>
          <w:szCs w:val="22"/>
          <w:lang w:val="en-GB"/>
        </w:rPr>
        <w:t>(i.e.,</w:t>
      </w:r>
      <w:r w:rsidR="006B6676">
        <w:rPr>
          <w:sz w:val="22"/>
          <w:szCs w:val="22"/>
          <w:lang w:val="en-GB"/>
        </w:rPr>
        <w:t xml:space="preserve"> </w:t>
      </w:r>
      <w:r>
        <w:rPr>
          <w:sz w:val="22"/>
          <w:szCs w:val="22"/>
          <w:lang w:val="en-GB"/>
        </w:rPr>
        <w:t>size</w:t>
      </w:r>
      <w:r w:rsidR="006B6676">
        <w:rPr>
          <w:sz w:val="22"/>
          <w:szCs w:val="22"/>
          <w:lang w:val="en-GB"/>
        </w:rPr>
        <w:t xml:space="preserve"> </w:t>
      </w:r>
      <w:r>
        <w:rPr>
          <w:sz w:val="22"/>
          <w:szCs w:val="22"/>
          <w:lang w:val="en-GB"/>
        </w:rPr>
        <w:t>or</w:t>
      </w:r>
      <w:r w:rsidR="006B6676">
        <w:rPr>
          <w:sz w:val="22"/>
          <w:szCs w:val="22"/>
          <w:lang w:val="en-GB"/>
        </w:rPr>
        <w:t xml:space="preserve"> </w:t>
      </w:r>
      <w:r>
        <w:rPr>
          <w:sz w:val="22"/>
          <w:szCs w:val="22"/>
          <w:lang w:val="en-GB"/>
        </w:rPr>
        <w:t>power)</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up</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350cc</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taxed</w:t>
      </w:r>
      <w:r w:rsidR="006B6676">
        <w:rPr>
          <w:sz w:val="22"/>
          <w:szCs w:val="22"/>
          <w:lang w:val="en-GB"/>
        </w:rPr>
        <w:t xml:space="preserve"> </w:t>
      </w:r>
      <w:r w:rsidRPr="00F26A3E">
        <w:rPr>
          <w:sz w:val="22"/>
          <w:szCs w:val="22"/>
          <w:lang w:val="en-GB"/>
        </w:rPr>
        <w:t>at</w:t>
      </w:r>
      <w:r w:rsidR="006B6676">
        <w:rPr>
          <w:sz w:val="22"/>
          <w:szCs w:val="22"/>
          <w:lang w:val="en-GB"/>
        </w:rPr>
        <w:t xml:space="preserve"> </w:t>
      </w:r>
      <w:r w:rsidRPr="00F26A3E">
        <w:rPr>
          <w:sz w:val="22"/>
          <w:szCs w:val="22"/>
          <w:lang w:val="en-GB"/>
        </w:rPr>
        <w:t>28</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Pr>
          <w:sz w:val="22"/>
          <w:szCs w:val="22"/>
          <w:lang w:val="en-GB"/>
        </w:rPr>
        <w:t>,</w:t>
      </w:r>
      <w:r w:rsidR="006B6676">
        <w:rPr>
          <w:sz w:val="22"/>
          <w:szCs w:val="22"/>
          <w:lang w:val="en-GB"/>
        </w:rPr>
        <w:t xml:space="preserve"> </w:t>
      </w:r>
      <w:r>
        <w:rPr>
          <w:sz w:val="22"/>
          <w:szCs w:val="22"/>
          <w:lang w:val="en-GB"/>
        </w:rPr>
        <w:t>whereas</w:t>
      </w:r>
      <w:r w:rsidR="006B6676">
        <w:rPr>
          <w:sz w:val="22"/>
          <w:szCs w:val="22"/>
          <w:lang w:val="en-GB"/>
        </w:rPr>
        <w:t xml:space="preserve"> </w:t>
      </w:r>
      <w:r>
        <w:rPr>
          <w:sz w:val="22"/>
          <w:szCs w:val="22"/>
          <w:lang w:val="en-GB"/>
        </w:rPr>
        <w:t>those</w:t>
      </w:r>
      <w:r w:rsidR="006B6676">
        <w:rPr>
          <w:sz w:val="22"/>
          <w:szCs w:val="22"/>
          <w:lang w:val="en-GB"/>
        </w:rPr>
        <w:t xml:space="preserve"> </w:t>
      </w:r>
      <w:r w:rsidR="00B94F30">
        <w:rPr>
          <w:sz w:val="22"/>
          <w:szCs w:val="22"/>
          <w:lang w:val="en-GB"/>
        </w:rPr>
        <w:t>more</w:t>
      </w:r>
      <w:r w:rsidR="006B6676">
        <w:rPr>
          <w:sz w:val="22"/>
          <w:szCs w:val="22"/>
          <w:lang w:val="en-GB"/>
        </w:rPr>
        <w:t xml:space="preserve"> </w:t>
      </w:r>
      <w:r w:rsidR="00B94F30">
        <w:rPr>
          <w:sz w:val="22"/>
          <w:szCs w:val="22"/>
          <w:lang w:val="en-GB"/>
        </w:rPr>
        <w:t>powerful</w:t>
      </w:r>
      <w:r w:rsidR="006B6676">
        <w:rPr>
          <w:sz w:val="22"/>
          <w:szCs w:val="22"/>
          <w:lang w:val="en-GB"/>
        </w:rPr>
        <w:t xml:space="preserve"> </w:t>
      </w:r>
      <w:r w:rsidR="00B94F30">
        <w:rPr>
          <w:sz w:val="22"/>
          <w:szCs w:val="22"/>
          <w:lang w:val="en-GB"/>
        </w:rPr>
        <w:t>models</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an</w:t>
      </w:r>
      <w:r w:rsidR="006B6676">
        <w:rPr>
          <w:sz w:val="22"/>
          <w:szCs w:val="22"/>
          <w:lang w:val="en-GB"/>
        </w:rPr>
        <w:t xml:space="preserve"> </w:t>
      </w:r>
      <w:r>
        <w:rPr>
          <w:sz w:val="22"/>
          <w:szCs w:val="22"/>
          <w:lang w:val="en-GB"/>
        </w:rPr>
        <w:t>engine</w:t>
      </w:r>
      <w:r w:rsidR="006B6676">
        <w:rPr>
          <w:sz w:val="22"/>
          <w:szCs w:val="22"/>
          <w:lang w:val="en-GB"/>
        </w:rPr>
        <w:t xml:space="preserve"> </w:t>
      </w:r>
      <w:r>
        <w:rPr>
          <w:sz w:val="22"/>
          <w:szCs w:val="22"/>
          <w:lang w:val="en-GB"/>
        </w:rPr>
        <w:t>displacement</w:t>
      </w:r>
      <w:r w:rsidR="006B6676">
        <w:rPr>
          <w:sz w:val="22"/>
          <w:szCs w:val="22"/>
          <w:lang w:val="en-GB"/>
        </w:rPr>
        <w:t xml:space="preserve"> </w:t>
      </w:r>
      <w:r>
        <w:rPr>
          <w:sz w:val="22"/>
          <w:szCs w:val="22"/>
          <w:lang w:val="en-GB"/>
        </w:rPr>
        <w:t>of</w:t>
      </w:r>
      <w:r w:rsidR="006B6676">
        <w:rPr>
          <w:sz w:val="22"/>
          <w:szCs w:val="22"/>
          <w:lang w:val="en-GB"/>
        </w:rPr>
        <w:t xml:space="preserve">  </w:t>
      </w:r>
      <w:r w:rsidR="00B94F30">
        <w:rPr>
          <w:sz w:val="22"/>
          <w:szCs w:val="22"/>
          <w:lang w:val="en-GB"/>
        </w:rPr>
        <w:t>greater</w:t>
      </w:r>
      <w:r w:rsidR="006B6676">
        <w:rPr>
          <w:sz w:val="22"/>
          <w:szCs w:val="22"/>
          <w:lang w:val="en-GB"/>
        </w:rPr>
        <w:t xml:space="preserve"> </w:t>
      </w:r>
      <w:r>
        <w:rPr>
          <w:sz w:val="22"/>
          <w:szCs w:val="22"/>
          <w:lang w:val="en-GB"/>
        </w:rPr>
        <w:t>than</w:t>
      </w:r>
      <w:r w:rsidR="006B6676">
        <w:rPr>
          <w:sz w:val="22"/>
          <w:szCs w:val="22"/>
          <w:lang w:val="en-GB"/>
        </w:rPr>
        <w:t xml:space="preserve"> </w:t>
      </w:r>
      <w:r>
        <w:rPr>
          <w:sz w:val="22"/>
          <w:szCs w:val="22"/>
          <w:lang w:val="en-GB"/>
        </w:rPr>
        <w:t>350</w:t>
      </w:r>
      <w:r w:rsidR="006B6676">
        <w:rPr>
          <w:sz w:val="22"/>
          <w:szCs w:val="22"/>
          <w:lang w:val="en-GB"/>
        </w:rPr>
        <w:t xml:space="preserve"> </w:t>
      </w:r>
      <w:r>
        <w:rPr>
          <w:sz w:val="22"/>
          <w:szCs w:val="22"/>
          <w:lang w:val="en-GB"/>
        </w:rPr>
        <w:t>cc</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taxed</w:t>
      </w:r>
      <w:r w:rsidR="006B6676">
        <w:rPr>
          <w:sz w:val="22"/>
          <w:szCs w:val="22"/>
          <w:lang w:val="en-GB"/>
        </w:rPr>
        <w:t xml:space="preserve"> </w:t>
      </w:r>
      <w:r>
        <w:rPr>
          <w:sz w:val="22"/>
          <w:szCs w:val="22"/>
          <w:lang w:val="en-GB"/>
        </w:rPr>
        <w:t>at</w:t>
      </w:r>
      <w:r w:rsidR="006B6676">
        <w:rPr>
          <w:sz w:val="22"/>
          <w:szCs w:val="22"/>
          <w:lang w:val="en-GB"/>
        </w:rPr>
        <w:t xml:space="preserve"> </w:t>
      </w:r>
      <w:r w:rsidRPr="00F26A3E">
        <w:rPr>
          <w:sz w:val="22"/>
          <w:szCs w:val="22"/>
          <w:lang w:val="en-GB"/>
        </w:rPr>
        <w:t>31</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Pr="00F26A3E">
        <w:rPr>
          <w:sz w:val="22"/>
          <w:szCs w:val="22"/>
          <w:vertAlign w:val="superscript"/>
          <w:lang w:val="en-GB"/>
        </w:rPr>
        <w:endnoteReference w:id="20"/>
      </w:r>
    </w:p>
    <w:p w14:paraId="2206EA19" w14:textId="77777777" w:rsidR="00CA6A0D" w:rsidRPr="00F26A3E" w:rsidRDefault="00CA6A0D" w:rsidP="00B607FC">
      <w:pPr>
        <w:jc w:val="both"/>
        <w:rPr>
          <w:sz w:val="22"/>
          <w:szCs w:val="22"/>
          <w:lang w:val="en-GB"/>
        </w:rPr>
      </w:pPr>
    </w:p>
    <w:p w14:paraId="7E4F856A" w14:textId="39A633E3" w:rsidR="00CA6A0D" w:rsidRPr="00195AC2" w:rsidRDefault="00CA6A0D" w:rsidP="00B607FC">
      <w:pPr>
        <w:jc w:val="both"/>
        <w:rPr>
          <w:spacing w:val="2"/>
          <w:sz w:val="22"/>
          <w:szCs w:val="22"/>
          <w:lang w:val="en-GB"/>
        </w:rPr>
      </w:pPr>
      <w:r w:rsidRPr="00195AC2">
        <w:rPr>
          <w:spacing w:val="2"/>
          <w:sz w:val="22"/>
          <w:szCs w:val="22"/>
          <w:lang w:val="en-GB"/>
        </w:rPr>
        <w:t>In</w:t>
      </w:r>
      <w:r w:rsidR="006B6676">
        <w:rPr>
          <w:spacing w:val="2"/>
          <w:sz w:val="22"/>
          <w:szCs w:val="22"/>
          <w:lang w:val="en-GB"/>
        </w:rPr>
        <w:t xml:space="preserve"> </w:t>
      </w:r>
      <w:r w:rsidRPr="00195AC2">
        <w:rPr>
          <w:spacing w:val="2"/>
          <w:sz w:val="22"/>
          <w:szCs w:val="22"/>
          <w:lang w:val="en-GB"/>
        </w:rPr>
        <w:t>India’s</w:t>
      </w:r>
      <w:r w:rsidR="006B6676">
        <w:rPr>
          <w:spacing w:val="2"/>
          <w:sz w:val="22"/>
          <w:szCs w:val="22"/>
          <w:lang w:val="en-GB"/>
        </w:rPr>
        <w:t xml:space="preserve"> </w:t>
      </w:r>
      <w:r w:rsidRPr="00195AC2">
        <w:rPr>
          <w:spacing w:val="2"/>
          <w:sz w:val="22"/>
          <w:szCs w:val="22"/>
          <w:lang w:val="en-GB"/>
        </w:rPr>
        <w:t>overall</w:t>
      </w:r>
      <w:r w:rsidR="006B6676">
        <w:rPr>
          <w:spacing w:val="2"/>
          <w:sz w:val="22"/>
          <w:szCs w:val="22"/>
          <w:lang w:val="en-GB"/>
        </w:rPr>
        <w:t xml:space="preserve"> </w:t>
      </w:r>
      <w:r w:rsidRPr="00195AC2">
        <w:rPr>
          <w:spacing w:val="2"/>
          <w:sz w:val="22"/>
          <w:szCs w:val="22"/>
          <w:lang w:val="en-GB"/>
        </w:rPr>
        <w:t>motorcycle</w:t>
      </w:r>
      <w:r w:rsidR="006B6676">
        <w:rPr>
          <w:spacing w:val="2"/>
          <w:sz w:val="22"/>
          <w:szCs w:val="22"/>
          <w:lang w:val="en-GB"/>
        </w:rPr>
        <w:t xml:space="preserve"> </w:t>
      </w:r>
      <w:r w:rsidRPr="00195AC2">
        <w:rPr>
          <w:spacing w:val="2"/>
          <w:sz w:val="22"/>
          <w:szCs w:val="22"/>
          <w:lang w:val="en-GB"/>
        </w:rPr>
        <w:t>market,</w:t>
      </w:r>
      <w:r w:rsidR="006B6676">
        <w:rPr>
          <w:spacing w:val="2"/>
          <w:sz w:val="22"/>
          <w:szCs w:val="22"/>
          <w:lang w:val="en-GB"/>
        </w:rPr>
        <w:t xml:space="preserve"> </w:t>
      </w:r>
      <w:r w:rsidRPr="00195AC2">
        <w:rPr>
          <w:spacing w:val="2"/>
          <w:sz w:val="22"/>
          <w:szCs w:val="22"/>
          <w:lang w:val="en-GB"/>
        </w:rPr>
        <w:t>Royal</w:t>
      </w:r>
      <w:r w:rsidR="006B6676">
        <w:rPr>
          <w:spacing w:val="2"/>
          <w:sz w:val="22"/>
          <w:szCs w:val="22"/>
          <w:lang w:val="en-GB"/>
        </w:rPr>
        <w:t xml:space="preserve"> </w:t>
      </w:r>
      <w:r w:rsidRPr="00195AC2">
        <w:rPr>
          <w:spacing w:val="2"/>
          <w:sz w:val="22"/>
          <w:szCs w:val="22"/>
          <w:lang w:val="en-GB"/>
        </w:rPr>
        <w:t>Enfield</w:t>
      </w:r>
      <w:r w:rsidR="006B6676">
        <w:rPr>
          <w:spacing w:val="2"/>
          <w:sz w:val="22"/>
          <w:szCs w:val="22"/>
          <w:lang w:val="en-GB"/>
        </w:rPr>
        <w:t xml:space="preserve"> </w:t>
      </w:r>
      <w:r w:rsidRPr="00195AC2">
        <w:rPr>
          <w:spacing w:val="2"/>
          <w:sz w:val="22"/>
          <w:szCs w:val="22"/>
          <w:lang w:val="en-GB"/>
        </w:rPr>
        <w:t>controlled</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share</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6</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Pr="00195AC2">
        <w:rPr>
          <w:spacing w:val="2"/>
          <w:sz w:val="22"/>
          <w:szCs w:val="22"/>
          <w:vertAlign w:val="superscript"/>
          <w:lang w:val="en-GB"/>
        </w:rPr>
        <w:endnoteReference w:id="21"/>
      </w:r>
      <w:r w:rsidR="006B6676">
        <w:rPr>
          <w:spacing w:val="2"/>
          <w:sz w:val="22"/>
          <w:szCs w:val="22"/>
          <w:lang w:val="en-GB"/>
        </w:rPr>
        <w:t xml:space="preserve"> </w:t>
      </w:r>
      <w:r w:rsidRPr="00195AC2">
        <w:rPr>
          <w:spacing w:val="2"/>
          <w:sz w:val="22"/>
          <w:szCs w:val="22"/>
          <w:lang w:val="en-GB"/>
        </w:rPr>
        <w:t>However,</w:t>
      </w:r>
      <w:r w:rsidR="006B6676">
        <w:rPr>
          <w:spacing w:val="2"/>
          <w:sz w:val="22"/>
          <w:szCs w:val="22"/>
          <w:lang w:val="en-GB"/>
        </w:rPr>
        <w:t xml:space="preserve"> </w:t>
      </w:r>
      <w:r w:rsidRPr="00195AC2">
        <w:rPr>
          <w:spacing w:val="2"/>
          <w:sz w:val="22"/>
          <w:szCs w:val="22"/>
          <w:lang w:val="en-GB"/>
        </w:rPr>
        <w:t>it</w:t>
      </w:r>
      <w:r w:rsidR="006B6676">
        <w:rPr>
          <w:spacing w:val="2"/>
          <w:sz w:val="22"/>
          <w:szCs w:val="22"/>
          <w:lang w:val="en-GB"/>
        </w:rPr>
        <w:t xml:space="preserve"> </w:t>
      </w:r>
      <w:r w:rsidRPr="00195AC2">
        <w:rPr>
          <w:spacing w:val="2"/>
          <w:sz w:val="22"/>
          <w:szCs w:val="22"/>
          <w:lang w:val="en-GB"/>
        </w:rPr>
        <w:t>commanded</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96</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006B6676">
        <w:rPr>
          <w:spacing w:val="2"/>
          <w:sz w:val="22"/>
          <w:szCs w:val="22"/>
          <w:lang w:val="en-GB"/>
        </w:rPr>
        <w:t xml:space="preserve"> </w:t>
      </w:r>
      <w:r w:rsidRPr="00195AC2">
        <w:rPr>
          <w:spacing w:val="2"/>
          <w:sz w:val="22"/>
          <w:szCs w:val="22"/>
          <w:lang w:val="en-GB"/>
        </w:rPr>
        <w:t>share</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250–750cc</w:t>
      </w:r>
      <w:r w:rsidR="006B6676">
        <w:rPr>
          <w:spacing w:val="2"/>
          <w:sz w:val="22"/>
          <w:szCs w:val="22"/>
          <w:lang w:val="en-GB"/>
        </w:rPr>
        <w:t xml:space="preserve"> </w:t>
      </w:r>
      <w:r w:rsidRPr="00195AC2">
        <w:rPr>
          <w:spacing w:val="2"/>
          <w:sz w:val="22"/>
          <w:szCs w:val="22"/>
          <w:lang w:val="en-GB"/>
        </w:rPr>
        <w:t>market</w:t>
      </w:r>
      <w:r w:rsidR="006B6676">
        <w:rPr>
          <w:spacing w:val="2"/>
          <w:sz w:val="22"/>
          <w:szCs w:val="22"/>
          <w:lang w:val="en-GB"/>
        </w:rPr>
        <w:t xml:space="preserve"> </w:t>
      </w:r>
      <w:r w:rsidRPr="00195AC2">
        <w:rPr>
          <w:spacing w:val="2"/>
          <w:sz w:val="22"/>
          <w:szCs w:val="22"/>
          <w:lang w:val="en-GB"/>
        </w:rPr>
        <w:t>segment,</w:t>
      </w:r>
      <w:r w:rsidR="006B6676">
        <w:rPr>
          <w:spacing w:val="2"/>
          <w:sz w:val="22"/>
          <w:szCs w:val="22"/>
          <w:lang w:val="en-GB"/>
        </w:rPr>
        <w:t xml:space="preserve"> </w:t>
      </w:r>
      <w:r w:rsidRPr="00195AC2">
        <w:rPr>
          <w:spacing w:val="2"/>
          <w:sz w:val="22"/>
          <w:szCs w:val="22"/>
          <w:lang w:val="en-GB"/>
        </w:rPr>
        <w:t>where</w:t>
      </w:r>
      <w:r w:rsidR="006B6676">
        <w:rPr>
          <w:spacing w:val="2"/>
          <w:sz w:val="22"/>
          <w:szCs w:val="22"/>
          <w:lang w:val="en-GB"/>
        </w:rPr>
        <w:t xml:space="preserve"> </w:t>
      </w:r>
      <w:r w:rsidRPr="00195AC2">
        <w:rPr>
          <w:spacing w:val="2"/>
          <w:sz w:val="22"/>
          <w:szCs w:val="22"/>
          <w:lang w:val="en-GB"/>
        </w:rPr>
        <w:t>it</w:t>
      </w:r>
      <w:r w:rsidR="006B6676">
        <w:rPr>
          <w:spacing w:val="2"/>
          <w:sz w:val="22"/>
          <w:szCs w:val="22"/>
          <w:lang w:val="en-GB"/>
        </w:rPr>
        <w:t xml:space="preserve"> </w:t>
      </w:r>
      <w:r w:rsidRPr="00195AC2">
        <w:rPr>
          <w:spacing w:val="2"/>
          <w:sz w:val="22"/>
          <w:szCs w:val="22"/>
          <w:lang w:val="en-GB"/>
        </w:rPr>
        <w:t>had</w:t>
      </w:r>
      <w:r w:rsidR="006B6676">
        <w:rPr>
          <w:spacing w:val="2"/>
          <w:sz w:val="22"/>
          <w:szCs w:val="22"/>
          <w:lang w:val="en-GB"/>
        </w:rPr>
        <w:t xml:space="preserve"> </w:t>
      </w:r>
      <w:r w:rsidRPr="00195AC2">
        <w:rPr>
          <w:spacing w:val="2"/>
          <w:sz w:val="22"/>
          <w:szCs w:val="22"/>
          <w:lang w:val="en-GB"/>
        </w:rPr>
        <w:t>very</w:t>
      </w:r>
      <w:r w:rsidR="006B6676">
        <w:rPr>
          <w:spacing w:val="2"/>
          <w:sz w:val="22"/>
          <w:szCs w:val="22"/>
          <w:lang w:val="en-GB"/>
        </w:rPr>
        <w:t xml:space="preserve"> </w:t>
      </w:r>
      <w:r w:rsidRPr="00195AC2">
        <w:rPr>
          <w:spacing w:val="2"/>
          <w:sz w:val="22"/>
          <w:szCs w:val="22"/>
          <w:lang w:val="en-GB"/>
        </w:rPr>
        <w:t>little</w:t>
      </w:r>
      <w:r w:rsidR="006B6676">
        <w:rPr>
          <w:spacing w:val="2"/>
          <w:sz w:val="22"/>
          <w:szCs w:val="22"/>
          <w:lang w:val="en-GB"/>
        </w:rPr>
        <w:t xml:space="preserve"> </w:t>
      </w:r>
      <w:r w:rsidRPr="00195AC2">
        <w:rPr>
          <w:spacing w:val="2"/>
          <w:sz w:val="22"/>
          <w:szCs w:val="22"/>
          <w:lang w:val="en-GB"/>
        </w:rPr>
        <w:t>competition.</w:t>
      </w:r>
      <w:r w:rsidR="006B6676">
        <w:rPr>
          <w:spacing w:val="2"/>
          <w:sz w:val="22"/>
          <w:szCs w:val="22"/>
          <w:lang w:val="en-GB"/>
        </w:rPr>
        <w:t xml:space="preserve"> </w:t>
      </w:r>
      <w:r w:rsidRPr="00195AC2">
        <w:rPr>
          <w:spacing w:val="2"/>
          <w:sz w:val="22"/>
          <w:szCs w:val="22"/>
          <w:lang w:val="en-GB"/>
        </w:rPr>
        <w:t>In</w:t>
      </w:r>
      <w:r w:rsidR="006B6676">
        <w:rPr>
          <w:spacing w:val="2"/>
          <w:sz w:val="22"/>
          <w:szCs w:val="22"/>
          <w:lang w:val="en-GB"/>
        </w:rPr>
        <w:t xml:space="preserve"> </w:t>
      </w:r>
      <w:r w:rsidRPr="00195AC2">
        <w:rPr>
          <w:spacing w:val="2"/>
          <w:sz w:val="22"/>
          <w:szCs w:val="22"/>
          <w:lang w:val="en-GB"/>
        </w:rPr>
        <w:t>FY</w:t>
      </w:r>
      <w:r w:rsidR="006B6676">
        <w:rPr>
          <w:spacing w:val="2"/>
          <w:sz w:val="22"/>
          <w:szCs w:val="22"/>
          <w:lang w:val="en-GB"/>
        </w:rPr>
        <w:t xml:space="preserve"> </w:t>
      </w:r>
      <w:r w:rsidRPr="00195AC2">
        <w:rPr>
          <w:spacing w:val="2"/>
          <w:sz w:val="22"/>
          <w:szCs w:val="22"/>
          <w:lang w:val="en-GB"/>
        </w:rPr>
        <w:t>2018–19,</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total</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3.28</w:t>
      </w:r>
      <w:r w:rsidR="006B6676">
        <w:rPr>
          <w:spacing w:val="2"/>
          <w:sz w:val="22"/>
          <w:szCs w:val="22"/>
          <w:lang w:val="en-GB"/>
        </w:rPr>
        <w:t xml:space="preserve"> </w:t>
      </w:r>
      <w:r w:rsidRPr="00195AC2">
        <w:rPr>
          <w:spacing w:val="2"/>
          <w:sz w:val="22"/>
          <w:szCs w:val="22"/>
          <w:lang w:val="en-GB"/>
        </w:rPr>
        <w:t>million</w:t>
      </w:r>
      <w:r w:rsidR="006B6676">
        <w:rPr>
          <w:spacing w:val="2"/>
          <w:sz w:val="22"/>
          <w:szCs w:val="22"/>
          <w:lang w:val="en-GB"/>
        </w:rPr>
        <w:t xml:space="preserve"> </w:t>
      </w:r>
      <w:r w:rsidRPr="00195AC2">
        <w:rPr>
          <w:spacing w:val="2"/>
          <w:sz w:val="22"/>
          <w:szCs w:val="22"/>
          <w:lang w:val="en-GB"/>
        </w:rPr>
        <w:t>two-wheeler</w:t>
      </w:r>
      <w:r w:rsidR="006B6676">
        <w:rPr>
          <w:spacing w:val="2"/>
          <w:sz w:val="22"/>
          <w:szCs w:val="22"/>
          <w:lang w:val="en-GB"/>
        </w:rPr>
        <w:t xml:space="preserve"> </w:t>
      </w:r>
      <w:r w:rsidRPr="00195AC2">
        <w:rPr>
          <w:spacing w:val="2"/>
          <w:sz w:val="22"/>
          <w:szCs w:val="22"/>
          <w:lang w:val="en-GB"/>
        </w:rPr>
        <w:t>vehicles</w:t>
      </w:r>
      <w:r w:rsidR="006B6676">
        <w:rPr>
          <w:spacing w:val="2"/>
          <w:sz w:val="22"/>
          <w:szCs w:val="22"/>
          <w:lang w:val="en-GB"/>
        </w:rPr>
        <w:t xml:space="preserve"> </w:t>
      </w:r>
      <w:r w:rsidRPr="00195AC2">
        <w:rPr>
          <w:spacing w:val="2"/>
          <w:sz w:val="22"/>
          <w:szCs w:val="22"/>
          <w:lang w:val="en-GB"/>
        </w:rPr>
        <w:t>were</w:t>
      </w:r>
      <w:r w:rsidR="006B6676">
        <w:rPr>
          <w:spacing w:val="2"/>
          <w:sz w:val="22"/>
          <w:szCs w:val="22"/>
          <w:lang w:val="en-GB"/>
        </w:rPr>
        <w:t xml:space="preserve"> </w:t>
      </w:r>
      <w:r w:rsidRPr="00195AC2">
        <w:rPr>
          <w:spacing w:val="2"/>
          <w:sz w:val="22"/>
          <w:szCs w:val="22"/>
          <w:lang w:val="en-GB"/>
        </w:rPr>
        <w:t>exported</w:t>
      </w:r>
      <w:r w:rsidR="006B6676">
        <w:rPr>
          <w:spacing w:val="2"/>
          <w:sz w:val="22"/>
          <w:szCs w:val="22"/>
          <w:lang w:val="en-GB"/>
        </w:rPr>
        <w:t xml:space="preserve"> </w:t>
      </w:r>
      <w:r w:rsidRPr="00195AC2">
        <w:rPr>
          <w:spacing w:val="2"/>
          <w:sz w:val="22"/>
          <w:szCs w:val="22"/>
          <w:lang w:val="en-GB"/>
        </w:rPr>
        <w:t>from</w:t>
      </w:r>
      <w:r w:rsidR="006B6676">
        <w:rPr>
          <w:spacing w:val="2"/>
          <w:sz w:val="22"/>
          <w:szCs w:val="22"/>
          <w:lang w:val="en-GB"/>
        </w:rPr>
        <w:t xml:space="preserve"> </w:t>
      </w:r>
      <w:r w:rsidRPr="00195AC2">
        <w:rPr>
          <w:spacing w:val="2"/>
          <w:sz w:val="22"/>
          <w:szCs w:val="22"/>
          <w:lang w:val="en-GB"/>
        </w:rPr>
        <w:t>India,</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which</w:t>
      </w:r>
      <w:r w:rsidR="006B6676">
        <w:rPr>
          <w:spacing w:val="2"/>
          <w:sz w:val="22"/>
          <w:szCs w:val="22"/>
          <w:lang w:val="en-GB"/>
        </w:rPr>
        <w:t xml:space="preserve"> </w:t>
      </w:r>
      <w:r w:rsidRPr="00195AC2">
        <w:rPr>
          <w:spacing w:val="2"/>
          <w:sz w:val="22"/>
          <w:szCs w:val="22"/>
          <w:lang w:val="en-GB"/>
        </w:rPr>
        <w:t>2.87</w:t>
      </w:r>
      <w:r w:rsidR="006B6676">
        <w:rPr>
          <w:spacing w:val="2"/>
          <w:sz w:val="22"/>
          <w:szCs w:val="22"/>
          <w:lang w:val="en-GB"/>
        </w:rPr>
        <w:t xml:space="preserve"> </w:t>
      </w:r>
      <w:r w:rsidRPr="00195AC2">
        <w:rPr>
          <w:spacing w:val="2"/>
          <w:sz w:val="22"/>
          <w:szCs w:val="22"/>
          <w:lang w:val="en-GB"/>
        </w:rPr>
        <w:t>million</w:t>
      </w:r>
      <w:r w:rsidR="006B6676">
        <w:rPr>
          <w:spacing w:val="2"/>
          <w:sz w:val="22"/>
          <w:szCs w:val="22"/>
          <w:lang w:val="en-GB"/>
        </w:rPr>
        <w:t xml:space="preserve"> </w:t>
      </w:r>
      <w:r w:rsidRPr="00195AC2">
        <w:rPr>
          <w:spacing w:val="2"/>
          <w:sz w:val="22"/>
          <w:szCs w:val="22"/>
          <w:lang w:val="en-GB"/>
        </w:rPr>
        <w:t>consisted</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motorcycles</w:t>
      </w:r>
      <w:r w:rsidR="006B6676">
        <w:rPr>
          <w:spacing w:val="2"/>
          <w:sz w:val="22"/>
          <w:szCs w:val="22"/>
          <w:lang w:val="en-GB"/>
        </w:rPr>
        <w:t xml:space="preserve"> </w:t>
      </w:r>
      <w:r w:rsidRPr="00195AC2">
        <w:rPr>
          <w:spacing w:val="2"/>
          <w:sz w:val="22"/>
          <w:szCs w:val="22"/>
          <w:lang w:val="en-GB"/>
        </w:rPr>
        <w:t>(see</w:t>
      </w:r>
      <w:r w:rsidR="006B6676">
        <w:rPr>
          <w:spacing w:val="2"/>
          <w:sz w:val="22"/>
          <w:szCs w:val="22"/>
          <w:lang w:val="en-GB"/>
        </w:rPr>
        <w:t xml:space="preserve"> </w:t>
      </w:r>
      <w:r w:rsidRPr="00195AC2">
        <w:rPr>
          <w:spacing w:val="2"/>
          <w:sz w:val="22"/>
          <w:szCs w:val="22"/>
          <w:lang w:val="en-GB"/>
        </w:rPr>
        <w:t>Exhibit</w:t>
      </w:r>
      <w:r w:rsidR="006B6676">
        <w:rPr>
          <w:spacing w:val="2"/>
          <w:sz w:val="22"/>
          <w:szCs w:val="22"/>
          <w:lang w:val="en-GB"/>
        </w:rPr>
        <w:t xml:space="preserve"> </w:t>
      </w:r>
      <w:r w:rsidRPr="00195AC2">
        <w:rPr>
          <w:spacing w:val="2"/>
          <w:sz w:val="22"/>
          <w:szCs w:val="22"/>
          <w:lang w:val="en-GB"/>
        </w:rPr>
        <w:t>1).</w:t>
      </w:r>
      <w:r w:rsidR="006B6676">
        <w:rPr>
          <w:spacing w:val="2"/>
          <w:sz w:val="22"/>
          <w:szCs w:val="22"/>
          <w:lang w:val="en-GB"/>
        </w:rPr>
        <w:t xml:space="preserve"> </w:t>
      </w:r>
      <w:r w:rsidRPr="00195AC2">
        <w:rPr>
          <w:spacing w:val="2"/>
          <w:sz w:val="22"/>
          <w:szCs w:val="22"/>
          <w:lang w:val="en-GB"/>
        </w:rPr>
        <w:t>That</w:t>
      </w:r>
      <w:r w:rsidR="006B6676">
        <w:rPr>
          <w:spacing w:val="2"/>
          <w:sz w:val="22"/>
          <w:szCs w:val="22"/>
          <w:lang w:val="en-GB"/>
        </w:rPr>
        <w:t xml:space="preserve"> </w:t>
      </w:r>
      <w:r w:rsidRPr="00195AC2">
        <w:rPr>
          <w:spacing w:val="2"/>
          <w:sz w:val="22"/>
          <w:szCs w:val="22"/>
          <w:lang w:val="en-GB"/>
        </w:rPr>
        <w:t>same</w:t>
      </w:r>
      <w:r w:rsidR="006B6676">
        <w:rPr>
          <w:spacing w:val="2"/>
          <w:sz w:val="22"/>
          <w:szCs w:val="22"/>
          <w:lang w:val="en-GB"/>
        </w:rPr>
        <w:t xml:space="preserve"> </w:t>
      </w:r>
      <w:r w:rsidRPr="00195AC2">
        <w:rPr>
          <w:spacing w:val="2"/>
          <w:sz w:val="22"/>
          <w:szCs w:val="22"/>
          <w:lang w:val="en-GB"/>
        </w:rPr>
        <w:t>year,</w:t>
      </w:r>
      <w:r w:rsidR="006B6676">
        <w:rPr>
          <w:spacing w:val="2"/>
          <w:sz w:val="22"/>
          <w:szCs w:val="22"/>
          <w:lang w:val="en-GB"/>
        </w:rPr>
        <w:t xml:space="preserve"> </w:t>
      </w:r>
      <w:r w:rsidRPr="00195AC2">
        <w:rPr>
          <w:spacing w:val="2"/>
          <w:sz w:val="22"/>
          <w:szCs w:val="22"/>
          <w:lang w:val="en-GB"/>
        </w:rPr>
        <w:t>India</w:t>
      </w:r>
      <w:r w:rsidR="006B6676">
        <w:rPr>
          <w:spacing w:val="2"/>
          <w:sz w:val="22"/>
          <w:szCs w:val="22"/>
          <w:lang w:val="en-GB"/>
        </w:rPr>
        <w:t xml:space="preserve"> </w:t>
      </w:r>
      <w:r w:rsidRPr="00195AC2">
        <w:rPr>
          <w:spacing w:val="2"/>
          <w:sz w:val="22"/>
          <w:szCs w:val="22"/>
          <w:lang w:val="en-GB"/>
        </w:rPr>
        <w:t>recorded</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total</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13.6</w:t>
      </w:r>
      <w:r w:rsidR="006B6676">
        <w:rPr>
          <w:spacing w:val="2"/>
          <w:sz w:val="22"/>
          <w:szCs w:val="22"/>
          <w:lang w:val="en-GB"/>
        </w:rPr>
        <w:t xml:space="preserve"> </w:t>
      </w:r>
      <w:r w:rsidRPr="00195AC2">
        <w:rPr>
          <w:spacing w:val="2"/>
          <w:sz w:val="22"/>
          <w:szCs w:val="22"/>
          <w:lang w:val="en-GB"/>
        </w:rPr>
        <w:t>million</w:t>
      </w:r>
      <w:r w:rsidR="006B6676">
        <w:rPr>
          <w:spacing w:val="2"/>
          <w:sz w:val="22"/>
          <w:szCs w:val="22"/>
          <w:lang w:val="en-GB"/>
        </w:rPr>
        <w:t xml:space="preserve"> </w:t>
      </w:r>
      <w:r w:rsidRPr="00195AC2">
        <w:rPr>
          <w:spacing w:val="2"/>
          <w:sz w:val="22"/>
          <w:szCs w:val="22"/>
          <w:lang w:val="en-GB"/>
        </w:rPr>
        <w:t>motorcycles</w:t>
      </w:r>
      <w:r w:rsidR="006B6676">
        <w:rPr>
          <w:spacing w:val="2"/>
          <w:sz w:val="22"/>
          <w:szCs w:val="22"/>
          <w:lang w:val="en-GB"/>
        </w:rPr>
        <w:t xml:space="preserve"> </w:t>
      </w:r>
      <w:r w:rsidRPr="00195AC2">
        <w:rPr>
          <w:spacing w:val="2"/>
          <w:sz w:val="22"/>
          <w:szCs w:val="22"/>
          <w:lang w:val="en-GB"/>
        </w:rPr>
        <w:t>sold</w:t>
      </w:r>
      <w:r w:rsidR="006B6676">
        <w:rPr>
          <w:spacing w:val="2"/>
          <w:sz w:val="22"/>
          <w:szCs w:val="22"/>
          <w:lang w:val="en-GB"/>
        </w:rPr>
        <w:t xml:space="preserve"> </w:t>
      </w:r>
      <w:r w:rsidRPr="00195AC2">
        <w:rPr>
          <w:spacing w:val="2"/>
          <w:sz w:val="22"/>
          <w:szCs w:val="22"/>
          <w:lang w:val="en-GB"/>
        </w:rPr>
        <w:t>domestically.</w:t>
      </w:r>
      <w:r w:rsidRPr="00195AC2">
        <w:rPr>
          <w:spacing w:val="2"/>
          <w:sz w:val="22"/>
          <w:szCs w:val="22"/>
          <w:vertAlign w:val="superscript"/>
          <w:lang w:val="en-GB"/>
        </w:rPr>
        <w:endnoteReference w:id="22"/>
      </w:r>
    </w:p>
    <w:p w14:paraId="4BBE2686" w14:textId="77777777" w:rsidR="00CA6A0D" w:rsidRPr="00F26A3E" w:rsidRDefault="00CA6A0D" w:rsidP="00B607FC">
      <w:pPr>
        <w:jc w:val="both"/>
        <w:rPr>
          <w:sz w:val="22"/>
          <w:szCs w:val="22"/>
          <w:lang w:val="en-GB"/>
        </w:rPr>
      </w:pPr>
    </w:p>
    <w:p w14:paraId="58D8B5A0" w14:textId="62885F93" w:rsidR="00CA6A0D" w:rsidRPr="00F26A3E" w:rsidRDefault="00CA6A0D" w:rsidP="00B607FC">
      <w:pPr>
        <w:jc w:val="both"/>
        <w:rPr>
          <w:sz w:val="22"/>
          <w:szCs w:val="22"/>
          <w:lang w:val="en-GB"/>
        </w:rPr>
      </w:pPr>
      <w:r w:rsidRPr="00F26A3E">
        <w:rPr>
          <w:sz w:val="22"/>
          <w:szCs w:val="22"/>
          <w:lang w:val="en-GB"/>
        </w:rPr>
        <w:t>The</w:t>
      </w:r>
      <w:r w:rsidR="006B6676">
        <w:rPr>
          <w:sz w:val="22"/>
          <w:szCs w:val="22"/>
          <w:lang w:val="en-GB"/>
        </w:rPr>
        <w:t xml:space="preserve"> </w:t>
      </w:r>
      <w:r w:rsidRPr="00F26A3E">
        <w:rPr>
          <w:sz w:val="22"/>
          <w:szCs w:val="22"/>
          <w:lang w:val="en-GB"/>
        </w:rPr>
        <w:t>growth</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00173537">
        <w:rPr>
          <w:sz w:val="22"/>
          <w:szCs w:val="22"/>
          <w:lang w:val="en-GB"/>
        </w:rPr>
        <w:t>the</w:t>
      </w:r>
      <w:r w:rsidR="006B6676">
        <w:rPr>
          <w:sz w:val="22"/>
          <w:szCs w:val="22"/>
          <w:lang w:val="en-GB"/>
        </w:rPr>
        <w:t xml:space="preserve"> </w:t>
      </w:r>
      <w:r w:rsidRPr="00F26A3E">
        <w:rPr>
          <w:sz w:val="22"/>
          <w:szCs w:val="22"/>
          <w:lang w:val="en-GB"/>
        </w:rPr>
        <w:t>Indian</w:t>
      </w:r>
      <w:r w:rsidR="006B6676">
        <w:rPr>
          <w:sz w:val="22"/>
          <w:szCs w:val="22"/>
          <w:lang w:val="en-GB"/>
        </w:rPr>
        <w:t xml:space="preserve"> </w:t>
      </w:r>
      <w:r w:rsidRPr="00F26A3E">
        <w:rPr>
          <w:sz w:val="22"/>
          <w:szCs w:val="22"/>
          <w:lang w:val="en-GB"/>
        </w:rPr>
        <w:t>economy</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slowed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recent</w:t>
      </w:r>
      <w:r w:rsidR="006B6676">
        <w:rPr>
          <w:sz w:val="22"/>
          <w:szCs w:val="22"/>
          <w:lang w:val="en-GB"/>
        </w:rPr>
        <w:t xml:space="preserve"> </w:t>
      </w:r>
      <w:r w:rsidRPr="00F26A3E">
        <w:rPr>
          <w:sz w:val="22"/>
          <w:szCs w:val="22"/>
          <w:lang w:val="en-GB"/>
        </w:rPr>
        <w:t>years.</w:t>
      </w:r>
      <w:r w:rsidR="006B6676">
        <w:rPr>
          <w:sz w:val="22"/>
          <w:szCs w:val="22"/>
          <w:lang w:val="en-GB"/>
        </w:rPr>
        <w:t xml:space="preserve"> </w:t>
      </w:r>
      <w:r w:rsidRPr="00F26A3E">
        <w:rPr>
          <w:sz w:val="22"/>
          <w:szCs w:val="22"/>
          <w:lang w:val="en-GB"/>
        </w:rPr>
        <w:t>India</w:t>
      </w:r>
      <w:r>
        <w:rPr>
          <w:sz w:val="22"/>
          <w:szCs w:val="22"/>
          <w:lang w:val="en-GB"/>
        </w:rPr>
        <w:t>’s</w:t>
      </w:r>
      <w:r w:rsidR="006B6676">
        <w:rPr>
          <w:sz w:val="22"/>
          <w:szCs w:val="22"/>
          <w:lang w:val="en-GB"/>
        </w:rPr>
        <w:t xml:space="preserve"> </w:t>
      </w:r>
      <w:r>
        <w:rPr>
          <w:sz w:val="22"/>
          <w:szCs w:val="22"/>
          <w:lang w:val="en-GB"/>
        </w:rPr>
        <w:t>gross</w:t>
      </w:r>
      <w:r w:rsidR="006B6676">
        <w:rPr>
          <w:sz w:val="22"/>
          <w:szCs w:val="22"/>
          <w:lang w:val="en-GB"/>
        </w:rPr>
        <w:t xml:space="preserve"> </w:t>
      </w:r>
      <w:r>
        <w:rPr>
          <w:sz w:val="22"/>
          <w:szCs w:val="22"/>
          <w:lang w:val="en-GB"/>
        </w:rPr>
        <w:t>domestic</w:t>
      </w:r>
      <w:r w:rsidR="006B6676">
        <w:rPr>
          <w:sz w:val="22"/>
          <w:szCs w:val="22"/>
          <w:lang w:val="en-GB"/>
        </w:rPr>
        <w:t xml:space="preserve"> </w:t>
      </w:r>
      <w:r>
        <w:rPr>
          <w:sz w:val="22"/>
          <w:szCs w:val="22"/>
          <w:lang w:val="en-GB"/>
        </w:rPr>
        <w:t>product</w:t>
      </w:r>
      <w:r w:rsidR="006B6676">
        <w:rPr>
          <w:sz w:val="22"/>
          <w:szCs w:val="22"/>
          <w:lang w:val="en-GB"/>
        </w:rPr>
        <w:t xml:space="preserve"> </w:t>
      </w:r>
      <w:r w:rsidRPr="00F26A3E">
        <w:rPr>
          <w:sz w:val="22"/>
          <w:szCs w:val="22"/>
          <w:lang w:val="en-GB"/>
        </w:rPr>
        <w:t>had</w:t>
      </w:r>
      <w:r w:rsidR="006B6676">
        <w:rPr>
          <w:sz w:val="22"/>
          <w:szCs w:val="22"/>
          <w:lang w:val="en-GB"/>
        </w:rPr>
        <w:t xml:space="preserve"> </w:t>
      </w:r>
      <w:r>
        <w:rPr>
          <w:sz w:val="22"/>
          <w:szCs w:val="22"/>
          <w:lang w:val="en-GB"/>
        </w:rPr>
        <w:t>dropped</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8.17</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2016</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7.17</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2017</w:t>
      </w:r>
      <w:r>
        <w:rPr>
          <w:sz w:val="22"/>
          <w:szCs w:val="22"/>
          <w:lang w:val="en-GB"/>
        </w:rPr>
        <w:t>,</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country</w:t>
      </w:r>
      <w:r w:rsidR="006B6676">
        <w:rPr>
          <w:sz w:val="22"/>
          <w:szCs w:val="22"/>
          <w:lang w:val="en-GB"/>
        </w:rPr>
        <w:t xml:space="preserve"> </w:t>
      </w:r>
      <w:r>
        <w:rPr>
          <w:sz w:val="22"/>
          <w:szCs w:val="22"/>
          <w:lang w:val="en-GB"/>
        </w:rPr>
        <w:t>recorded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continuing</w:t>
      </w:r>
      <w:r w:rsidR="006B6676">
        <w:rPr>
          <w:sz w:val="22"/>
          <w:szCs w:val="22"/>
          <w:lang w:val="en-GB"/>
        </w:rPr>
        <w:t xml:space="preserve"> </w:t>
      </w:r>
      <w:r w:rsidRPr="00F26A3E">
        <w:rPr>
          <w:sz w:val="22"/>
          <w:szCs w:val="22"/>
          <w:lang w:val="en-GB"/>
        </w:rPr>
        <w:t>downward</w:t>
      </w:r>
      <w:r w:rsidR="006B6676">
        <w:rPr>
          <w:sz w:val="22"/>
          <w:szCs w:val="22"/>
          <w:lang w:val="en-GB"/>
        </w:rPr>
        <w:t xml:space="preserve"> </w:t>
      </w:r>
      <w:r w:rsidRPr="00F26A3E">
        <w:rPr>
          <w:sz w:val="22"/>
          <w:szCs w:val="22"/>
          <w:lang w:val="en-GB"/>
        </w:rPr>
        <w:t>trend</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6.81</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2018.</w:t>
      </w:r>
      <w:r w:rsidRPr="00F26A3E">
        <w:rPr>
          <w:sz w:val="22"/>
          <w:szCs w:val="22"/>
          <w:vertAlign w:val="superscript"/>
          <w:lang w:val="en-GB"/>
        </w:rPr>
        <w:endnoteReference w:id="23"/>
      </w:r>
      <w:r w:rsidR="006B6676">
        <w:rPr>
          <w:sz w:val="22"/>
          <w:szCs w:val="22"/>
          <w:lang w:val="en-GB"/>
        </w:rPr>
        <w:t xml:space="preserve"> </w:t>
      </w:r>
      <w:r>
        <w:rPr>
          <w:sz w:val="22"/>
          <w:szCs w:val="22"/>
          <w:lang w:val="en-GB"/>
        </w:rPr>
        <w:t>During</w:t>
      </w:r>
      <w:r w:rsidR="006B6676">
        <w:rPr>
          <w:sz w:val="22"/>
          <w:szCs w:val="22"/>
          <w:lang w:val="en-GB"/>
        </w:rPr>
        <w:t xml:space="preserve"> </w:t>
      </w:r>
      <w:r>
        <w:rPr>
          <w:sz w:val="22"/>
          <w:szCs w:val="22"/>
          <w:lang w:val="en-GB"/>
        </w:rPr>
        <w:t>this</w:t>
      </w:r>
      <w:r w:rsidR="006B6676">
        <w:rPr>
          <w:sz w:val="22"/>
          <w:szCs w:val="22"/>
          <w:lang w:val="en-GB"/>
        </w:rPr>
        <w:t xml:space="preserve"> </w:t>
      </w:r>
      <w:r>
        <w:rPr>
          <w:sz w:val="22"/>
          <w:szCs w:val="22"/>
          <w:lang w:val="en-GB"/>
        </w:rPr>
        <w:t>time,</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t</w:t>
      </w:r>
      <w:r w:rsidRPr="00F26A3E">
        <w:rPr>
          <w:sz w:val="22"/>
          <w:szCs w:val="22"/>
          <w:lang w:val="en-GB"/>
        </w:rPr>
        <w:t>wo-wheeler</w:t>
      </w:r>
      <w:r w:rsidR="006B6676">
        <w:rPr>
          <w:sz w:val="22"/>
          <w:szCs w:val="22"/>
          <w:lang w:val="en-GB"/>
        </w:rPr>
        <w:t xml:space="preserve"> </w:t>
      </w:r>
      <w:r w:rsidRPr="00F26A3E">
        <w:rPr>
          <w:sz w:val="22"/>
          <w:szCs w:val="22"/>
          <w:lang w:val="en-GB"/>
        </w:rPr>
        <w:t>industry</w:t>
      </w:r>
      <w:r w:rsidR="006B6676">
        <w:rPr>
          <w:sz w:val="22"/>
          <w:szCs w:val="22"/>
          <w:lang w:val="en-GB"/>
        </w:rPr>
        <w:t xml:space="preserve"> </w:t>
      </w:r>
      <w:r>
        <w:rPr>
          <w:sz w:val="22"/>
          <w:szCs w:val="22"/>
          <w:lang w:val="en-GB"/>
        </w:rPr>
        <w:t>also</w:t>
      </w:r>
      <w:r w:rsidR="006B6676">
        <w:rPr>
          <w:sz w:val="22"/>
          <w:szCs w:val="22"/>
          <w:lang w:val="en-GB"/>
        </w:rPr>
        <w:t xml:space="preserve"> </w:t>
      </w:r>
      <w:r>
        <w:rPr>
          <w:sz w:val="22"/>
          <w:szCs w:val="22"/>
          <w:lang w:val="en-GB"/>
        </w:rPr>
        <w:t>saw</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reduction</w:t>
      </w:r>
      <w:r w:rsidRPr="00F26A3E">
        <w:rPr>
          <w:sz w:val="22"/>
          <w:szCs w:val="22"/>
          <w:lang w:val="en-GB"/>
        </w:rPr>
        <w:t>.</w:t>
      </w:r>
      <w:r w:rsidR="006B6676">
        <w:rPr>
          <w:sz w:val="22"/>
          <w:szCs w:val="22"/>
          <w:lang w:val="en-GB"/>
        </w:rPr>
        <w:t xml:space="preserve"> </w:t>
      </w:r>
      <w:r w:rsidRPr="00F26A3E">
        <w:rPr>
          <w:sz w:val="22"/>
          <w:szCs w:val="22"/>
          <w:lang w:val="en-GB"/>
        </w:rPr>
        <w:t>Sales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two</w:t>
      </w:r>
      <w:r>
        <w:rPr>
          <w:sz w:val="22"/>
          <w:szCs w:val="22"/>
          <w:lang w:val="en-GB"/>
        </w:rPr>
        <w:t>-</w:t>
      </w:r>
      <w:r w:rsidRPr="00F26A3E">
        <w:rPr>
          <w:sz w:val="22"/>
          <w:szCs w:val="22"/>
          <w:lang w:val="en-GB"/>
        </w:rPr>
        <w:t>wheeler</w:t>
      </w:r>
      <w:r w:rsidR="006B6676">
        <w:rPr>
          <w:sz w:val="22"/>
          <w:szCs w:val="22"/>
          <w:lang w:val="en-GB"/>
        </w:rPr>
        <w:t xml:space="preserve"> </w:t>
      </w:r>
      <w:r>
        <w:rPr>
          <w:sz w:val="22"/>
          <w:szCs w:val="22"/>
          <w:lang w:val="en-GB"/>
        </w:rPr>
        <w:t>vehicle</w:t>
      </w:r>
      <w:r w:rsidRPr="00F26A3E">
        <w:rPr>
          <w:sz w:val="22"/>
          <w:szCs w:val="22"/>
          <w:lang w:val="en-GB"/>
        </w:rPr>
        <w:t>s</w:t>
      </w:r>
      <w:r w:rsidR="006B6676">
        <w:rPr>
          <w:sz w:val="22"/>
          <w:szCs w:val="22"/>
          <w:lang w:val="en-GB"/>
        </w:rPr>
        <w:t xml:space="preserve"> </w:t>
      </w:r>
      <w:r w:rsidRPr="00F26A3E">
        <w:rPr>
          <w:sz w:val="22"/>
          <w:szCs w:val="22"/>
          <w:lang w:val="en-GB"/>
        </w:rPr>
        <w:t>d</w:t>
      </w:r>
      <w:r>
        <w:rPr>
          <w:sz w:val="22"/>
          <w:szCs w:val="22"/>
          <w:lang w:val="en-GB"/>
        </w:rPr>
        <w:t>ropp</w:t>
      </w:r>
      <w:r w:rsidRPr="00F26A3E">
        <w:rPr>
          <w:sz w:val="22"/>
          <w:szCs w:val="22"/>
          <w:lang w:val="en-GB"/>
        </w:rPr>
        <w:t>ed</w:t>
      </w:r>
      <w:r w:rsidR="006B6676">
        <w:rPr>
          <w:sz w:val="22"/>
          <w:szCs w:val="22"/>
          <w:lang w:val="en-GB"/>
        </w:rPr>
        <w:t xml:space="preserve"> </w:t>
      </w:r>
      <w:r>
        <w:rPr>
          <w:sz w:val="22"/>
          <w:szCs w:val="22"/>
          <w:lang w:val="en-GB"/>
        </w:rPr>
        <w:t>by</w:t>
      </w:r>
      <w:r w:rsidR="006B6676">
        <w:rPr>
          <w:sz w:val="22"/>
          <w:szCs w:val="22"/>
          <w:lang w:val="en-GB"/>
        </w:rPr>
        <w:t xml:space="preserve"> </w:t>
      </w:r>
      <w:r w:rsidRPr="00F26A3E">
        <w:rPr>
          <w:sz w:val="22"/>
          <w:szCs w:val="22"/>
          <w:lang w:val="en-GB"/>
        </w:rPr>
        <w:t>15.8</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during</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period</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April</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December</w:t>
      </w:r>
      <w:r w:rsidR="006B6676">
        <w:rPr>
          <w:sz w:val="22"/>
          <w:szCs w:val="22"/>
          <w:lang w:val="en-GB"/>
        </w:rPr>
        <w:t xml:space="preserve"> </w:t>
      </w:r>
      <w:r w:rsidRPr="00F26A3E">
        <w:rPr>
          <w:sz w:val="22"/>
          <w:szCs w:val="22"/>
          <w:lang w:val="en-GB"/>
        </w:rPr>
        <w:t>2019</w:t>
      </w:r>
      <w:r w:rsidR="006B6676">
        <w:rPr>
          <w:sz w:val="22"/>
          <w:szCs w:val="22"/>
          <w:lang w:val="en-GB"/>
        </w:rPr>
        <w:t xml:space="preserve"> </w:t>
      </w:r>
      <w:r w:rsidRPr="00F26A3E">
        <w:rPr>
          <w:sz w:val="22"/>
          <w:szCs w:val="22"/>
          <w:lang w:val="en-GB"/>
        </w:rPr>
        <w:t>compar</w:t>
      </w:r>
      <w:r>
        <w:rPr>
          <w:sz w:val="22"/>
          <w:szCs w:val="22"/>
          <w:lang w:val="en-GB"/>
        </w:rPr>
        <w:t>ed</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same</w:t>
      </w:r>
      <w:r w:rsidR="006B6676">
        <w:rPr>
          <w:sz w:val="22"/>
          <w:szCs w:val="22"/>
          <w:lang w:val="en-GB"/>
        </w:rPr>
        <w:t xml:space="preserve"> </w:t>
      </w:r>
      <w:r w:rsidRPr="00F26A3E">
        <w:rPr>
          <w:sz w:val="22"/>
          <w:szCs w:val="22"/>
          <w:lang w:val="en-GB"/>
        </w:rPr>
        <w:t>period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previous</w:t>
      </w:r>
      <w:r w:rsidR="006B6676">
        <w:rPr>
          <w:sz w:val="22"/>
          <w:szCs w:val="22"/>
          <w:lang w:val="en-GB"/>
        </w:rPr>
        <w:t xml:space="preserve"> </w:t>
      </w:r>
      <w:r w:rsidRPr="00F26A3E">
        <w:rPr>
          <w:sz w:val="22"/>
          <w:szCs w:val="22"/>
          <w:lang w:val="en-GB"/>
        </w:rPr>
        <w:t>year.</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overall</w:t>
      </w:r>
      <w:r w:rsidR="006B6676">
        <w:rPr>
          <w:sz w:val="22"/>
          <w:szCs w:val="22"/>
          <w:lang w:val="en-GB"/>
        </w:rPr>
        <w:t xml:space="preserve"> </w:t>
      </w:r>
      <w:r>
        <w:rPr>
          <w:sz w:val="22"/>
          <w:szCs w:val="22"/>
          <w:lang w:val="en-GB"/>
        </w:rPr>
        <w:t>two-wheeler</w:t>
      </w:r>
      <w:r w:rsidR="006B6676">
        <w:rPr>
          <w:sz w:val="22"/>
          <w:szCs w:val="22"/>
          <w:lang w:val="en-GB"/>
        </w:rPr>
        <w:t xml:space="preserve"> </w:t>
      </w:r>
      <w:r>
        <w:rPr>
          <w:sz w:val="22"/>
          <w:szCs w:val="22"/>
          <w:lang w:val="en-GB"/>
        </w:rPr>
        <w:t>market</w:t>
      </w:r>
      <w:r w:rsidR="006B6676">
        <w:rPr>
          <w:sz w:val="22"/>
          <w:szCs w:val="22"/>
          <w:lang w:val="en-GB"/>
        </w:rPr>
        <w:t xml:space="preserve"> </w:t>
      </w:r>
      <w:r w:rsidRPr="00F26A3E">
        <w:rPr>
          <w:sz w:val="22"/>
          <w:szCs w:val="22"/>
          <w:lang w:val="en-GB"/>
        </w:rPr>
        <w:t>registered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decline</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15.04</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during</w:t>
      </w:r>
      <w:r w:rsidR="006B6676">
        <w:rPr>
          <w:sz w:val="22"/>
          <w:szCs w:val="22"/>
          <w:lang w:val="en-GB"/>
        </w:rPr>
        <w:t xml:space="preserve"> </w:t>
      </w:r>
      <w:r w:rsidRPr="00F26A3E">
        <w:rPr>
          <w:sz w:val="22"/>
          <w:szCs w:val="22"/>
          <w:lang w:val="en-GB"/>
        </w:rPr>
        <w:t>this</w:t>
      </w:r>
      <w:r w:rsidR="006B6676">
        <w:rPr>
          <w:sz w:val="22"/>
          <w:szCs w:val="22"/>
          <w:lang w:val="en-GB"/>
        </w:rPr>
        <w:t xml:space="preserve"> </w:t>
      </w:r>
      <w:r>
        <w:rPr>
          <w:sz w:val="22"/>
          <w:szCs w:val="22"/>
          <w:lang w:val="en-GB"/>
        </w:rPr>
        <w:t>same</w:t>
      </w:r>
      <w:r w:rsidR="006B6676">
        <w:rPr>
          <w:sz w:val="22"/>
          <w:szCs w:val="22"/>
          <w:lang w:val="en-GB"/>
        </w:rPr>
        <w:t xml:space="preserve"> </w:t>
      </w:r>
      <w:r w:rsidRPr="00F26A3E">
        <w:rPr>
          <w:sz w:val="22"/>
          <w:szCs w:val="22"/>
          <w:lang w:val="en-GB"/>
        </w:rPr>
        <w:t>period</w:t>
      </w:r>
      <w:r>
        <w:rPr>
          <w:sz w:val="22"/>
          <w:szCs w:val="22"/>
          <w:lang w:val="en-GB"/>
        </w:rPr>
        <w:t>.</w:t>
      </w:r>
      <w:r w:rsidRPr="00F26A3E">
        <w:rPr>
          <w:sz w:val="22"/>
          <w:szCs w:val="22"/>
          <w:vertAlign w:val="superscript"/>
          <w:lang w:val="en-GB"/>
        </w:rPr>
        <w:endnoteReference w:id="24"/>
      </w:r>
    </w:p>
    <w:p w14:paraId="0CBC97E4" w14:textId="77777777" w:rsidR="00CA6A0D" w:rsidRPr="00F26A3E" w:rsidRDefault="00CA6A0D" w:rsidP="00B607FC">
      <w:pPr>
        <w:jc w:val="both"/>
        <w:rPr>
          <w:sz w:val="22"/>
          <w:szCs w:val="22"/>
          <w:lang w:val="en-GB"/>
        </w:rPr>
      </w:pPr>
    </w:p>
    <w:p w14:paraId="3A1BB45C" w14:textId="3CE056AD" w:rsidR="00CA6A0D" w:rsidRPr="00F26A3E" w:rsidRDefault="00CA6A0D" w:rsidP="00B607FC">
      <w:pPr>
        <w:jc w:val="both"/>
        <w:rPr>
          <w:sz w:val="22"/>
          <w:szCs w:val="22"/>
          <w:lang w:val="en-GB"/>
        </w:rPr>
      </w:pPr>
      <w:r>
        <w:rPr>
          <w:sz w:val="22"/>
          <w:szCs w:val="22"/>
          <w:lang w:val="en-GB"/>
        </w:rPr>
        <w:t>Consistent</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trend</w:t>
      </w:r>
      <w:r w:rsidR="006B6676">
        <w:rPr>
          <w:sz w:val="22"/>
          <w:szCs w:val="22"/>
          <w:lang w:val="en-GB"/>
        </w:rPr>
        <w:t xml:space="preserve"> </w:t>
      </w:r>
      <w:r>
        <w:rPr>
          <w:sz w:val="22"/>
          <w:szCs w:val="22"/>
          <w:lang w:val="en-GB"/>
        </w:rPr>
        <w:t>across</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country</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industry,</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also</w:t>
      </w:r>
      <w:r w:rsidR="006B6676">
        <w:rPr>
          <w:sz w:val="22"/>
          <w:szCs w:val="22"/>
          <w:lang w:val="en-GB"/>
        </w:rPr>
        <w:t xml:space="preserve"> </w:t>
      </w:r>
      <w:r w:rsidRPr="00F26A3E">
        <w:rPr>
          <w:sz w:val="22"/>
          <w:szCs w:val="22"/>
          <w:lang w:val="en-GB"/>
        </w:rPr>
        <w:t>registered</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drop</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15</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first</w:t>
      </w:r>
      <w:r w:rsidR="006B6676">
        <w:rPr>
          <w:sz w:val="22"/>
          <w:szCs w:val="22"/>
          <w:lang w:val="en-GB"/>
        </w:rPr>
        <w:t xml:space="preserve"> </w:t>
      </w:r>
      <w:r w:rsidRPr="00F26A3E">
        <w:rPr>
          <w:sz w:val="22"/>
          <w:szCs w:val="22"/>
          <w:lang w:val="en-GB"/>
        </w:rPr>
        <w:t>three</w:t>
      </w:r>
      <w:r w:rsidR="006B6676">
        <w:rPr>
          <w:sz w:val="22"/>
          <w:szCs w:val="22"/>
          <w:lang w:val="en-GB"/>
        </w:rPr>
        <w:t xml:space="preserve"> </w:t>
      </w:r>
      <w:r w:rsidRPr="00F26A3E">
        <w:rPr>
          <w:sz w:val="22"/>
          <w:szCs w:val="22"/>
          <w:lang w:val="en-GB"/>
        </w:rPr>
        <w:t>quarters</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2019</w:t>
      </w:r>
      <w:r>
        <w:rPr>
          <w:sz w:val="22"/>
          <w:szCs w:val="22"/>
          <w:lang w:val="en-GB"/>
        </w:rPr>
        <w:t>–</w:t>
      </w:r>
      <w:r w:rsidRPr="00F26A3E">
        <w:rPr>
          <w:sz w:val="22"/>
          <w:szCs w:val="22"/>
          <w:lang w:val="en-GB"/>
        </w:rPr>
        <w:t>20.</w:t>
      </w:r>
      <w:r w:rsidR="006B6676">
        <w:rPr>
          <w:sz w:val="22"/>
          <w:szCs w:val="22"/>
          <w:lang w:val="en-GB"/>
        </w:rPr>
        <w:t xml:space="preserve"> </w:t>
      </w:r>
      <w:r>
        <w:rPr>
          <w:sz w:val="22"/>
          <w:szCs w:val="22"/>
          <w:lang w:val="en-GB"/>
        </w:rPr>
        <w:t>Specifically,</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Pr>
          <w:sz w:val="22"/>
          <w:szCs w:val="22"/>
          <w:lang w:val="en-GB"/>
        </w:rPr>
        <w:t>sales</w:t>
      </w:r>
      <w:r w:rsidR="006B6676">
        <w:rPr>
          <w:sz w:val="22"/>
          <w:szCs w:val="22"/>
          <w:lang w:val="en-GB"/>
        </w:rPr>
        <w:t xml:space="preserve"> </w:t>
      </w:r>
      <w:r>
        <w:rPr>
          <w:sz w:val="22"/>
          <w:szCs w:val="22"/>
          <w:lang w:val="en-GB"/>
        </w:rPr>
        <w:t>were</w:t>
      </w:r>
      <w:r w:rsidR="006B6676">
        <w:rPr>
          <w:sz w:val="22"/>
          <w:szCs w:val="22"/>
          <w:lang w:val="en-GB"/>
        </w:rPr>
        <w:t xml:space="preserve"> </w:t>
      </w:r>
      <w:r w:rsidRPr="00F26A3E">
        <w:rPr>
          <w:sz w:val="22"/>
          <w:szCs w:val="22"/>
          <w:lang w:val="en-GB"/>
        </w:rPr>
        <w:t>18.54</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lower</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first</w:t>
      </w:r>
      <w:r w:rsidR="006B6676">
        <w:rPr>
          <w:sz w:val="22"/>
          <w:szCs w:val="22"/>
          <w:lang w:val="en-GB"/>
        </w:rPr>
        <w:t xml:space="preserve"> </w:t>
      </w:r>
      <w:r>
        <w:rPr>
          <w:sz w:val="22"/>
          <w:szCs w:val="22"/>
          <w:lang w:val="en-GB"/>
        </w:rPr>
        <w:t>quarter,</w:t>
      </w:r>
      <w:r w:rsidR="006B6676">
        <w:rPr>
          <w:sz w:val="22"/>
          <w:szCs w:val="22"/>
          <w:lang w:val="en-GB"/>
        </w:rPr>
        <w:t xml:space="preserve"> </w:t>
      </w:r>
      <w:r w:rsidRPr="00F26A3E">
        <w:rPr>
          <w:sz w:val="22"/>
          <w:szCs w:val="22"/>
          <w:lang w:val="en-GB"/>
        </w:rPr>
        <w:t>20.71</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lower</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second</w:t>
      </w:r>
      <w:r w:rsidR="006B6676">
        <w:rPr>
          <w:sz w:val="22"/>
          <w:szCs w:val="22"/>
          <w:lang w:val="en-GB"/>
        </w:rPr>
        <w:t xml:space="preserve"> </w:t>
      </w:r>
      <w:r>
        <w:rPr>
          <w:sz w:val="22"/>
          <w:szCs w:val="22"/>
          <w:lang w:val="en-GB"/>
        </w:rPr>
        <w:t>quarter,</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6.01</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Pr>
          <w:sz w:val="22"/>
          <w:szCs w:val="22"/>
          <w:lang w:val="en-GB"/>
        </w:rPr>
        <w:t>lower</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third</w:t>
      </w:r>
      <w:r w:rsidR="006B6676">
        <w:rPr>
          <w:sz w:val="22"/>
          <w:szCs w:val="22"/>
          <w:lang w:val="en-GB"/>
        </w:rPr>
        <w:t xml:space="preserve"> </w:t>
      </w:r>
      <w:r>
        <w:rPr>
          <w:sz w:val="22"/>
          <w:szCs w:val="22"/>
          <w:lang w:val="en-GB"/>
        </w:rPr>
        <w:t>quarter</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ended</w:t>
      </w:r>
      <w:r w:rsidR="006B6676">
        <w:rPr>
          <w:sz w:val="22"/>
          <w:szCs w:val="22"/>
          <w:lang w:val="en-GB"/>
        </w:rPr>
        <w:t xml:space="preserve"> </w:t>
      </w:r>
      <w:r>
        <w:rPr>
          <w:sz w:val="22"/>
          <w:szCs w:val="22"/>
          <w:lang w:val="en-GB"/>
        </w:rPr>
        <w:t>December</w:t>
      </w:r>
      <w:r w:rsidR="006B6676">
        <w:rPr>
          <w:sz w:val="22"/>
          <w:szCs w:val="22"/>
          <w:lang w:val="en-GB"/>
        </w:rPr>
        <w:t xml:space="preserve"> </w:t>
      </w:r>
      <w:r>
        <w:rPr>
          <w:sz w:val="22"/>
          <w:szCs w:val="22"/>
          <w:lang w:val="en-GB"/>
        </w:rPr>
        <w:t>31,</w:t>
      </w:r>
      <w:r w:rsidR="006B6676">
        <w:rPr>
          <w:sz w:val="22"/>
          <w:szCs w:val="22"/>
          <w:lang w:val="en-GB"/>
        </w:rPr>
        <w:t xml:space="preserve"> </w:t>
      </w:r>
      <w:r>
        <w:rPr>
          <w:sz w:val="22"/>
          <w:szCs w:val="22"/>
          <w:lang w:val="en-GB"/>
        </w:rPr>
        <w:t>2019</w:t>
      </w:r>
      <w:r w:rsidR="006B6676">
        <w:rPr>
          <w:sz w:val="22"/>
          <w:szCs w:val="22"/>
          <w:lang w:val="en-GB"/>
        </w:rPr>
        <w:t xml:space="preserve"> </w:t>
      </w:r>
      <w:r w:rsidRPr="00F26A3E">
        <w:rPr>
          <w:sz w:val="22"/>
          <w:szCs w:val="22"/>
          <w:lang w:val="en-GB"/>
        </w:rPr>
        <w:t>(</w:t>
      </w:r>
      <w:r>
        <w:rPr>
          <w:sz w:val="22"/>
          <w:szCs w:val="22"/>
          <w:lang w:val="en-GB"/>
        </w:rPr>
        <w:t>s</w:t>
      </w:r>
      <w:r w:rsidRPr="00F26A3E">
        <w:rPr>
          <w:sz w:val="22"/>
          <w:szCs w:val="22"/>
          <w:lang w:val="en-GB"/>
        </w:rPr>
        <w:t>ee</w:t>
      </w:r>
      <w:r w:rsidR="006B6676">
        <w:rPr>
          <w:sz w:val="22"/>
          <w:szCs w:val="22"/>
          <w:lang w:val="en-GB"/>
        </w:rPr>
        <w:t xml:space="preserve"> </w:t>
      </w:r>
      <w:r w:rsidRPr="00F26A3E">
        <w:rPr>
          <w:sz w:val="22"/>
          <w:szCs w:val="22"/>
          <w:lang w:val="en-GB"/>
        </w:rPr>
        <w:t>Exhibit</w:t>
      </w:r>
      <w:r w:rsidR="006B6676">
        <w:rPr>
          <w:sz w:val="22"/>
          <w:szCs w:val="22"/>
          <w:lang w:val="en-GB"/>
        </w:rPr>
        <w:t xml:space="preserve"> </w:t>
      </w:r>
      <w:r w:rsidRPr="00F26A3E">
        <w:rPr>
          <w:sz w:val="22"/>
          <w:szCs w:val="22"/>
          <w:lang w:val="en-GB"/>
        </w:rPr>
        <w:t>2).</w:t>
      </w:r>
      <w:r w:rsidR="006B6676">
        <w:rPr>
          <w:sz w:val="22"/>
          <w:szCs w:val="22"/>
          <w:lang w:val="en-GB"/>
        </w:rPr>
        <w:t xml:space="preserve"> </w:t>
      </w:r>
    </w:p>
    <w:p w14:paraId="53E2FF8B" w14:textId="77777777" w:rsidR="00CA6A0D" w:rsidRPr="00F26A3E" w:rsidRDefault="00CA6A0D" w:rsidP="00B607FC">
      <w:pPr>
        <w:jc w:val="both"/>
        <w:rPr>
          <w:sz w:val="22"/>
          <w:szCs w:val="22"/>
          <w:lang w:val="en-GB"/>
        </w:rPr>
      </w:pPr>
    </w:p>
    <w:p w14:paraId="46725455" w14:textId="77777777" w:rsidR="00CA6A0D" w:rsidRPr="00F26A3E" w:rsidRDefault="00CA6A0D" w:rsidP="00B607FC">
      <w:pPr>
        <w:jc w:val="both"/>
        <w:rPr>
          <w:sz w:val="22"/>
          <w:szCs w:val="22"/>
          <w:lang w:val="en-GB"/>
        </w:rPr>
      </w:pPr>
    </w:p>
    <w:p w14:paraId="2B1A1CBE" w14:textId="50E092FC" w:rsidR="00CA6A0D" w:rsidRPr="00F26A3E" w:rsidRDefault="00CA6A0D" w:rsidP="00485BE6">
      <w:pPr>
        <w:pStyle w:val="Casehead1"/>
        <w:keepNext/>
        <w:rPr>
          <w:lang w:val="en-GB"/>
        </w:rPr>
      </w:pPr>
      <w:r w:rsidRPr="00F26A3E">
        <w:rPr>
          <w:lang w:val="en-GB"/>
        </w:rPr>
        <w:lastRenderedPageBreak/>
        <w:t>About</w:t>
      </w:r>
      <w:r w:rsidR="006B6676">
        <w:rPr>
          <w:lang w:val="en-GB"/>
        </w:rPr>
        <w:t xml:space="preserve"> </w:t>
      </w:r>
      <w:r w:rsidRPr="00F26A3E">
        <w:rPr>
          <w:lang w:val="en-GB"/>
        </w:rPr>
        <w:t>Eicher</w:t>
      </w:r>
    </w:p>
    <w:p w14:paraId="23CD7307" w14:textId="77777777" w:rsidR="00CA6A0D" w:rsidRPr="00F26A3E" w:rsidRDefault="00CA6A0D" w:rsidP="00485BE6">
      <w:pPr>
        <w:keepNext/>
        <w:jc w:val="both"/>
        <w:rPr>
          <w:sz w:val="22"/>
          <w:szCs w:val="22"/>
          <w:lang w:val="en-GB"/>
        </w:rPr>
      </w:pPr>
    </w:p>
    <w:p w14:paraId="1BC28A65" w14:textId="4498FD80" w:rsidR="00CA6A0D" w:rsidRPr="00195AC2" w:rsidRDefault="00CA6A0D" w:rsidP="00485BE6">
      <w:pPr>
        <w:keepNext/>
        <w:jc w:val="both"/>
        <w:rPr>
          <w:spacing w:val="-2"/>
          <w:sz w:val="22"/>
          <w:szCs w:val="22"/>
          <w:lang w:val="en-GB"/>
        </w:rPr>
      </w:pPr>
      <w:r w:rsidRPr="00195AC2">
        <w:rPr>
          <w:spacing w:val="-2"/>
          <w:sz w:val="22"/>
          <w:szCs w:val="22"/>
          <w:lang w:val="en-GB"/>
        </w:rPr>
        <w:t>Eicher</w:t>
      </w:r>
      <w:r w:rsidR="006B6676">
        <w:rPr>
          <w:spacing w:val="-2"/>
          <w:sz w:val="22"/>
          <w:szCs w:val="22"/>
          <w:lang w:val="en-GB"/>
        </w:rPr>
        <w:t xml:space="preserve"> </w:t>
      </w:r>
      <w:r w:rsidRPr="00195AC2">
        <w:rPr>
          <w:spacing w:val="-2"/>
          <w:sz w:val="22"/>
          <w:szCs w:val="22"/>
          <w:lang w:val="en-GB"/>
        </w:rPr>
        <w:t>was</w:t>
      </w:r>
      <w:r w:rsidR="006B6676">
        <w:rPr>
          <w:spacing w:val="-2"/>
          <w:sz w:val="22"/>
          <w:szCs w:val="22"/>
          <w:lang w:val="en-GB"/>
        </w:rPr>
        <w:t xml:space="preserve"> </w:t>
      </w:r>
      <w:r w:rsidRPr="00195AC2">
        <w:rPr>
          <w:spacing w:val="-2"/>
          <w:sz w:val="22"/>
          <w:szCs w:val="22"/>
          <w:lang w:val="en-GB"/>
        </w:rPr>
        <w:t>incorporated</w:t>
      </w:r>
      <w:r w:rsidR="006B6676">
        <w:rPr>
          <w:spacing w:val="-2"/>
          <w:sz w:val="22"/>
          <w:szCs w:val="22"/>
          <w:lang w:val="en-GB"/>
        </w:rPr>
        <w:t xml:space="preserve"> </w:t>
      </w:r>
      <w:r w:rsidRPr="00195AC2">
        <w:rPr>
          <w:spacing w:val="-2"/>
          <w:sz w:val="22"/>
          <w:szCs w:val="22"/>
          <w:lang w:val="en-GB"/>
        </w:rPr>
        <w:t>in</w:t>
      </w:r>
      <w:r w:rsidR="006B6676">
        <w:rPr>
          <w:spacing w:val="-2"/>
          <w:sz w:val="22"/>
          <w:szCs w:val="22"/>
          <w:lang w:val="en-GB"/>
        </w:rPr>
        <w:t xml:space="preserve"> </w:t>
      </w:r>
      <w:r w:rsidRPr="00195AC2">
        <w:rPr>
          <w:spacing w:val="-2"/>
          <w:sz w:val="22"/>
          <w:szCs w:val="22"/>
          <w:lang w:val="en-GB"/>
        </w:rPr>
        <w:t>1982.</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company</w:t>
      </w:r>
      <w:r w:rsidR="006B6676">
        <w:rPr>
          <w:spacing w:val="-2"/>
          <w:sz w:val="22"/>
          <w:szCs w:val="22"/>
          <w:lang w:val="en-GB"/>
        </w:rPr>
        <w:t xml:space="preserve"> </w:t>
      </w:r>
      <w:r w:rsidRPr="00195AC2">
        <w:rPr>
          <w:spacing w:val="-2"/>
          <w:sz w:val="22"/>
          <w:szCs w:val="22"/>
          <w:lang w:val="en-GB"/>
        </w:rPr>
        <w:t>was</w:t>
      </w:r>
      <w:r w:rsidR="006B6676">
        <w:rPr>
          <w:spacing w:val="-2"/>
          <w:sz w:val="22"/>
          <w:szCs w:val="22"/>
          <w:lang w:val="en-GB"/>
        </w:rPr>
        <w:t xml:space="preserve"> </w:t>
      </w:r>
      <w:r w:rsidRPr="00195AC2">
        <w:rPr>
          <w:spacing w:val="-2"/>
          <w:sz w:val="22"/>
          <w:szCs w:val="22"/>
          <w:lang w:val="en-GB"/>
        </w:rPr>
        <w:t>among</w:t>
      </w:r>
      <w:r w:rsidR="006B6676">
        <w:rPr>
          <w:spacing w:val="-2"/>
          <w:sz w:val="22"/>
          <w:szCs w:val="22"/>
          <w:lang w:val="en-GB"/>
        </w:rPr>
        <w:t xml:space="preserve"> </w:t>
      </w:r>
      <w:r w:rsidR="00A93740" w:rsidRPr="00195AC2">
        <w:rPr>
          <w:spacing w:val="-2"/>
          <w:sz w:val="22"/>
          <w:szCs w:val="22"/>
          <w:lang w:val="en-GB"/>
        </w:rPr>
        <w:t>the</w:t>
      </w:r>
      <w:r w:rsidR="006B6676">
        <w:rPr>
          <w:spacing w:val="-2"/>
          <w:sz w:val="22"/>
          <w:szCs w:val="22"/>
          <w:lang w:val="en-GB"/>
        </w:rPr>
        <w:t xml:space="preserve"> </w:t>
      </w:r>
      <w:r w:rsidR="00A93740" w:rsidRPr="00195AC2">
        <w:rPr>
          <w:spacing w:val="-2"/>
          <w:sz w:val="22"/>
          <w:szCs w:val="22"/>
          <w:lang w:val="en-GB"/>
        </w:rPr>
        <w:t>market</w:t>
      </w:r>
      <w:r w:rsidR="006B6676">
        <w:rPr>
          <w:spacing w:val="-2"/>
          <w:sz w:val="22"/>
          <w:szCs w:val="22"/>
          <w:lang w:val="en-GB"/>
        </w:rPr>
        <w:t xml:space="preserve"> </w:t>
      </w:r>
      <w:r w:rsidRPr="00195AC2">
        <w:rPr>
          <w:spacing w:val="-2"/>
          <w:sz w:val="22"/>
          <w:szCs w:val="22"/>
          <w:lang w:val="en-GB"/>
        </w:rPr>
        <w:t>leaders</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India’s</w:t>
      </w:r>
      <w:r w:rsidR="006B6676">
        <w:rPr>
          <w:spacing w:val="-2"/>
          <w:sz w:val="22"/>
          <w:szCs w:val="22"/>
          <w:lang w:val="en-GB"/>
        </w:rPr>
        <w:t xml:space="preserve"> </w:t>
      </w:r>
      <w:r w:rsidRPr="00195AC2">
        <w:rPr>
          <w:spacing w:val="-2"/>
          <w:sz w:val="22"/>
          <w:szCs w:val="22"/>
          <w:lang w:val="en-GB"/>
        </w:rPr>
        <w:t>automobile</w:t>
      </w:r>
      <w:r w:rsidR="006B6676">
        <w:rPr>
          <w:spacing w:val="-2"/>
          <w:sz w:val="22"/>
          <w:szCs w:val="22"/>
          <w:lang w:val="en-GB"/>
        </w:rPr>
        <w:t xml:space="preserve"> </w:t>
      </w:r>
      <w:r w:rsidRPr="00195AC2">
        <w:rPr>
          <w:spacing w:val="-2"/>
          <w:sz w:val="22"/>
          <w:szCs w:val="22"/>
          <w:lang w:val="en-GB"/>
        </w:rPr>
        <w:t>industry,</w:t>
      </w:r>
      <w:r w:rsidR="006B6676">
        <w:rPr>
          <w:spacing w:val="-2"/>
          <w:sz w:val="22"/>
          <w:szCs w:val="22"/>
          <w:lang w:val="en-GB"/>
        </w:rPr>
        <w:t xml:space="preserve"> </w:t>
      </w:r>
      <w:r w:rsidRPr="00195AC2">
        <w:rPr>
          <w:spacing w:val="-2"/>
          <w:sz w:val="22"/>
          <w:szCs w:val="22"/>
          <w:lang w:val="en-GB"/>
        </w:rPr>
        <w:t>with</w:t>
      </w:r>
      <w:r w:rsidR="006B6676">
        <w:rPr>
          <w:spacing w:val="-2"/>
          <w:sz w:val="22"/>
          <w:szCs w:val="22"/>
          <w:lang w:val="en-GB"/>
        </w:rPr>
        <w:t xml:space="preserve"> </w:t>
      </w:r>
      <w:r w:rsidR="004A1C8C"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major</w:t>
      </w:r>
      <w:r w:rsidR="006B6676">
        <w:rPr>
          <w:spacing w:val="-2"/>
          <w:sz w:val="22"/>
          <w:szCs w:val="22"/>
          <w:lang w:val="en-GB"/>
        </w:rPr>
        <w:t xml:space="preserve"> </w:t>
      </w:r>
      <w:r w:rsidRPr="00195AC2">
        <w:rPr>
          <w:spacing w:val="-2"/>
          <w:sz w:val="22"/>
          <w:szCs w:val="22"/>
          <w:lang w:val="en-GB"/>
        </w:rPr>
        <w:t>presence</w:t>
      </w:r>
      <w:r w:rsidR="006B6676">
        <w:rPr>
          <w:spacing w:val="-2"/>
          <w:sz w:val="22"/>
          <w:szCs w:val="22"/>
          <w:lang w:val="en-GB"/>
        </w:rPr>
        <w:t xml:space="preserve"> </w:t>
      </w:r>
      <w:r w:rsidRPr="00195AC2">
        <w:rPr>
          <w:spacing w:val="-2"/>
          <w:sz w:val="22"/>
          <w:szCs w:val="22"/>
          <w:lang w:val="en-GB"/>
        </w:rPr>
        <w:t>in</w:t>
      </w:r>
      <w:r w:rsidR="006B6676">
        <w:rPr>
          <w:spacing w:val="-2"/>
          <w:sz w:val="22"/>
          <w:szCs w:val="22"/>
          <w:lang w:val="en-GB"/>
        </w:rPr>
        <w:t xml:space="preserve"> </w:t>
      </w:r>
      <w:r w:rsidRPr="00195AC2">
        <w:rPr>
          <w:spacing w:val="-2"/>
          <w:sz w:val="22"/>
          <w:szCs w:val="22"/>
          <w:lang w:val="en-GB"/>
        </w:rPr>
        <w:t>motorcycles</w:t>
      </w:r>
      <w:r w:rsidR="006B6676">
        <w:rPr>
          <w:spacing w:val="-2"/>
          <w:sz w:val="22"/>
          <w:szCs w:val="22"/>
          <w:lang w:val="en-GB"/>
        </w:rPr>
        <w:t xml:space="preserve"> </w:t>
      </w:r>
      <w:r w:rsidRPr="00195AC2">
        <w:rPr>
          <w:spacing w:val="-2"/>
          <w:sz w:val="22"/>
          <w:szCs w:val="22"/>
          <w:lang w:val="en-GB"/>
        </w:rPr>
        <w:t>and</w:t>
      </w:r>
      <w:r w:rsidR="006B6676">
        <w:rPr>
          <w:spacing w:val="-2"/>
          <w:sz w:val="22"/>
          <w:szCs w:val="22"/>
          <w:lang w:val="en-GB"/>
        </w:rPr>
        <w:t xml:space="preserve"> </w:t>
      </w:r>
      <w:r w:rsidRPr="00195AC2">
        <w:rPr>
          <w:spacing w:val="-2"/>
          <w:sz w:val="22"/>
          <w:szCs w:val="22"/>
          <w:lang w:val="en-GB"/>
        </w:rPr>
        <w:t>commercial</w:t>
      </w:r>
      <w:r w:rsidR="006B6676">
        <w:rPr>
          <w:spacing w:val="-2"/>
          <w:sz w:val="22"/>
          <w:szCs w:val="22"/>
          <w:lang w:val="en-GB"/>
        </w:rPr>
        <w:t xml:space="preserve"> </w:t>
      </w:r>
      <w:r w:rsidRPr="00195AC2">
        <w:rPr>
          <w:spacing w:val="-2"/>
          <w:sz w:val="22"/>
          <w:szCs w:val="22"/>
          <w:lang w:val="en-GB"/>
        </w:rPr>
        <w:t>vehicles.</w:t>
      </w:r>
      <w:r w:rsidR="006B6676">
        <w:rPr>
          <w:spacing w:val="-2"/>
          <w:sz w:val="22"/>
          <w:szCs w:val="22"/>
          <w:lang w:val="en-GB"/>
        </w:rPr>
        <w:t xml:space="preserve"> </w:t>
      </w:r>
      <w:r w:rsidRPr="00195AC2">
        <w:rPr>
          <w:spacing w:val="-2"/>
          <w:sz w:val="22"/>
          <w:szCs w:val="22"/>
          <w:lang w:val="en-GB"/>
        </w:rPr>
        <w:t>As</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March</w:t>
      </w:r>
      <w:r w:rsidR="006B6676">
        <w:rPr>
          <w:spacing w:val="-2"/>
          <w:sz w:val="22"/>
          <w:szCs w:val="22"/>
          <w:lang w:val="en-GB"/>
        </w:rPr>
        <w:t xml:space="preserve"> </w:t>
      </w:r>
      <w:r w:rsidRPr="00195AC2">
        <w:rPr>
          <w:spacing w:val="-2"/>
          <w:sz w:val="22"/>
          <w:szCs w:val="22"/>
          <w:lang w:val="en-GB"/>
        </w:rPr>
        <w:t>31,</w:t>
      </w:r>
      <w:r w:rsidR="006B6676">
        <w:rPr>
          <w:spacing w:val="-2"/>
          <w:sz w:val="22"/>
          <w:szCs w:val="22"/>
          <w:lang w:val="en-GB"/>
        </w:rPr>
        <w:t xml:space="preserve"> </w:t>
      </w:r>
      <w:r w:rsidRPr="00195AC2">
        <w:rPr>
          <w:spacing w:val="-2"/>
          <w:sz w:val="22"/>
          <w:szCs w:val="22"/>
          <w:lang w:val="en-GB"/>
        </w:rPr>
        <w:t>2019,</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company’s</w:t>
      </w:r>
      <w:r w:rsidR="006B6676">
        <w:rPr>
          <w:spacing w:val="-2"/>
          <w:sz w:val="22"/>
          <w:szCs w:val="22"/>
          <w:lang w:val="en-GB"/>
        </w:rPr>
        <w:t xml:space="preserve"> </w:t>
      </w:r>
      <w:r w:rsidRPr="00195AC2">
        <w:rPr>
          <w:spacing w:val="-2"/>
          <w:sz w:val="22"/>
          <w:szCs w:val="22"/>
          <w:lang w:val="en-GB"/>
        </w:rPr>
        <w:t>promoter</w:t>
      </w:r>
      <w:r w:rsidR="006B6676">
        <w:rPr>
          <w:spacing w:val="-2"/>
          <w:sz w:val="22"/>
          <w:szCs w:val="22"/>
          <w:lang w:val="en-GB"/>
        </w:rPr>
        <w:t xml:space="preserve"> </w:t>
      </w:r>
      <w:r w:rsidRPr="00195AC2">
        <w:rPr>
          <w:spacing w:val="-2"/>
          <w:sz w:val="22"/>
          <w:szCs w:val="22"/>
          <w:lang w:val="en-GB"/>
        </w:rPr>
        <w:t>group</w:t>
      </w:r>
      <w:r w:rsidR="006B6676">
        <w:rPr>
          <w:spacing w:val="-2"/>
          <w:sz w:val="22"/>
          <w:szCs w:val="22"/>
          <w:lang w:val="en-GB"/>
        </w:rPr>
        <w:t xml:space="preserve"> </w:t>
      </w:r>
      <w:r w:rsidRPr="00195AC2">
        <w:rPr>
          <w:spacing w:val="-2"/>
          <w:sz w:val="22"/>
          <w:szCs w:val="22"/>
          <w:lang w:val="en-GB"/>
        </w:rPr>
        <w:t>(i.e.,</w:t>
      </w:r>
      <w:r w:rsidR="006B6676">
        <w:rPr>
          <w:spacing w:val="-2"/>
          <w:sz w:val="22"/>
          <w:szCs w:val="22"/>
          <w:lang w:val="en-GB"/>
        </w:rPr>
        <w:t xml:space="preserve"> </w:t>
      </w:r>
      <w:r w:rsidRPr="00195AC2">
        <w:rPr>
          <w:spacing w:val="-2"/>
          <w:sz w:val="22"/>
          <w:szCs w:val="22"/>
          <w:lang w:val="en-GB"/>
        </w:rPr>
        <w:t>founding</w:t>
      </w:r>
      <w:r w:rsidR="006B6676">
        <w:rPr>
          <w:spacing w:val="-2"/>
          <w:sz w:val="22"/>
          <w:szCs w:val="22"/>
          <w:lang w:val="en-GB"/>
        </w:rPr>
        <w:t xml:space="preserve"> </w:t>
      </w:r>
      <w:r w:rsidRPr="00195AC2">
        <w:rPr>
          <w:spacing w:val="-2"/>
          <w:sz w:val="22"/>
          <w:szCs w:val="22"/>
          <w:lang w:val="en-GB"/>
        </w:rPr>
        <w:t>members)</w:t>
      </w:r>
      <w:r w:rsidR="006B6676">
        <w:rPr>
          <w:spacing w:val="-2"/>
          <w:sz w:val="22"/>
          <w:szCs w:val="22"/>
          <w:lang w:val="en-GB"/>
        </w:rPr>
        <w:t xml:space="preserve"> </w:t>
      </w:r>
      <w:r w:rsidRPr="00195AC2">
        <w:rPr>
          <w:spacing w:val="-2"/>
          <w:sz w:val="22"/>
          <w:szCs w:val="22"/>
          <w:lang w:val="en-GB"/>
        </w:rPr>
        <w:t>held</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49.32</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006B6676">
        <w:rPr>
          <w:spacing w:val="-2"/>
          <w:sz w:val="22"/>
          <w:szCs w:val="22"/>
          <w:lang w:val="en-GB"/>
        </w:rPr>
        <w:t xml:space="preserve"> </w:t>
      </w:r>
      <w:r w:rsidRPr="00195AC2">
        <w:rPr>
          <w:spacing w:val="-2"/>
          <w:sz w:val="22"/>
          <w:szCs w:val="22"/>
          <w:lang w:val="en-GB"/>
        </w:rPr>
        <w:t>stake</w:t>
      </w:r>
      <w:r w:rsidR="006B6676">
        <w:rPr>
          <w:spacing w:val="-2"/>
          <w:sz w:val="22"/>
          <w:szCs w:val="22"/>
          <w:lang w:val="en-GB"/>
        </w:rPr>
        <w:t xml:space="preserve"> </w:t>
      </w:r>
      <w:r w:rsidRPr="00195AC2">
        <w:rPr>
          <w:spacing w:val="-2"/>
          <w:sz w:val="22"/>
          <w:szCs w:val="22"/>
          <w:lang w:val="en-GB"/>
        </w:rPr>
        <w:t>in</w:t>
      </w:r>
      <w:r w:rsidR="006B6676">
        <w:rPr>
          <w:spacing w:val="-2"/>
          <w:sz w:val="22"/>
          <w:szCs w:val="22"/>
          <w:lang w:val="en-GB"/>
        </w:rPr>
        <w:t xml:space="preserve"> </w:t>
      </w:r>
      <w:r w:rsidRPr="00195AC2">
        <w:rPr>
          <w:spacing w:val="-2"/>
          <w:sz w:val="22"/>
          <w:szCs w:val="22"/>
          <w:lang w:val="en-GB"/>
        </w:rPr>
        <w:t>Eicher.</w:t>
      </w:r>
      <w:r w:rsidR="006B6676">
        <w:rPr>
          <w:spacing w:val="-2"/>
          <w:sz w:val="22"/>
          <w:szCs w:val="22"/>
          <w:lang w:val="en-GB"/>
        </w:rPr>
        <w:t xml:space="preserve"> </w:t>
      </w:r>
      <w:r w:rsidRPr="00195AC2">
        <w:rPr>
          <w:spacing w:val="-2"/>
          <w:sz w:val="22"/>
          <w:szCs w:val="22"/>
          <w:lang w:val="en-GB"/>
        </w:rPr>
        <w:t>Foreign</w:t>
      </w:r>
      <w:r w:rsidR="006B6676">
        <w:rPr>
          <w:spacing w:val="-2"/>
          <w:sz w:val="22"/>
          <w:szCs w:val="22"/>
          <w:lang w:val="en-GB"/>
        </w:rPr>
        <w:t xml:space="preserve"> </w:t>
      </w:r>
      <w:r w:rsidRPr="00195AC2">
        <w:rPr>
          <w:spacing w:val="-2"/>
          <w:sz w:val="22"/>
          <w:szCs w:val="22"/>
          <w:lang w:val="en-GB"/>
        </w:rPr>
        <w:t>institutional</w:t>
      </w:r>
      <w:r w:rsidR="006B6676">
        <w:rPr>
          <w:spacing w:val="-2"/>
          <w:sz w:val="22"/>
          <w:szCs w:val="22"/>
          <w:lang w:val="en-GB"/>
        </w:rPr>
        <w:t xml:space="preserve"> </w:t>
      </w:r>
      <w:r w:rsidRPr="00195AC2">
        <w:rPr>
          <w:spacing w:val="-2"/>
          <w:sz w:val="22"/>
          <w:szCs w:val="22"/>
          <w:lang w:val="en-GB"/>
        </w:rPr>
        <w:t>investors</w:t>
      </w:r>
      <w:r w:rsidR="006B6676">
        <w:rPr>
          <w:spacing w:val="-2"/>
          <w:sz w:val="22"/>
          <w:szCs w:val="22"/>
          <w:lang w:val="en-GB"/>
        </w:rPr>
        <w:t xml:space="preserve"> </w:t>
      </w:r>
      <w:r w:rsidRPr="00195AC2">
        <w:rPr>
          <w:spacing w:val="-2"/>
          <w:sz w:val="22"/>
          <w:szCs w:val="22"/>
          <w:lang w:val="en-GB"/>
        </w:rPr>
        <w:t>also</w:t>
      </w:r>
      <w:r w:rsidR="006B6676">
        <w:rPr>
          <w:spacing w:val="-2"/>
          <w:sz w:val="22"/>
          <w:szCs w:val="22"/>
          <w:lang w:val="en-GB"/>
        </w:rPr>
        <w:t xml:space="preserve"> </w:t>
      </w:r>
      <w:r w:rsidRPr="00195AC2">
        <w:rPr>
          <w:spacing w:val="-2"/>
          <w:sz w:val="22"/>
          <w:szCs w:val="22"/>
          <w:lang w:val="en-GB"/>
        </w:rPr>
        <w:t>held</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large</w:t>
      </w:r>
      <w:r w:rsidR="006B6676">
        <w:rPr>
          <w:spacing w:val="-2"/>
          <w:sz w:val="22"/>
          <w:szCs w:val="22"/>
          <w:lang w:val="en-GB"/>
        </w:rPr>
        <w:t xml:space="preserve"> </w:t>
      </w:r>
      <w:r w:rsidRPr="00195AC2">
        <w:rPr>
          <w:spacing w:val="-2"/>
          <w:sz w:val="22"/>
          <w:szCs w:val="22"/>
          <w:lang w:val="en-GB"/>
        </w:rPr>
        <w:t>share</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company,</w:t>
      </w:r>
      <w:r w:rsidR="006B6676">
        <w:rPr>
          <w:spacing w:val="-2"/>
          <w:sz w:val="22"/>
          <w:szCs w:val="22"/>
          <w:lang w:val="en-GB"/>
        </w:rPr>
        <w:t xml:space="preserve"> </w:t>
      </w:r>
      <w:r w:rsidRPr="00195AC2">
        <w:rPr>
          <w:spacing w:val="-2"/>
          <w:sz w:val="22"/>
          <w:szCs w:val="22"/>
          <w:lang w:val="en-GB"/>
        </w:rPr>
        <w:t>at</w:t>
      </w:r>
      <w:r w:rsidR="006B6676">
        <w:rPr>
          <w:spacing w:val="-2"/>
          <w:sz w:val="22"/>
          <w:szCs w:val="22"/>
          <w:lang w:val="en-GB"/>
        </w:rPr>
        <w:t xml:space="preserve"> </w:t>
      </w:r>
      <w:r w:rsidRPr="00195AC2">
        <w:rPr>
          <w:spacing w:val="-2"/>
          <w:sz w:val="22"/>
          <w:szCs w:val="22"/>
          <w:lang w:val="en-GB"/>
        </w:rPr>
        <w:t>32.49</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006B6676">
        <w:rPr>
          <w:spacing w:val="-2"/>
          <w:sz w:val="22"/>
          <w:szCs w:val="22"/>
          <w:lang w:val="en-GB"/>
        </w:rPr>
        <w:t xml:space="preserve"> </w:t>
      </w:r>
      <w:r w:rsidRPr="00195AC2">
        <w:rPr>
          <w:spacing w:val="-2"/>
          <w:sz w:val="22"/>
          <w:szCs w:val="22"/>
          <w:lang w:val="en-GB"/>
        </w:rPr>
        <w:t>whereas</w:t>
      </w:r>
      <w:r w:rsidR="006B6676">
        <w:rPr>
          <w:spacing w:val="-2"/>
          <w:sz w:val="22"/>
          <w:szCs w:val="22"/>
          <w:lang w:val="en-GB"/>
        </w:rPr>
        <w:t xml:space="preserve"> </w:t>
      </w:r>
      <w:r w:rsidRPr="00195AC2">
        <w:rPr>
          <w:spacing w:val="-2"/>
          <w:sz w:val="22"/>
          <w:szCs w:val="22"/>
          <w:lang w:val="en-GB"/>
        </w:rPr>
        <w:t>domestic</w:t>
      </w:r>
      <w:r w:rsidR="006B6676">
        <w:rPr>
          <w:spacing w:val="-2"/>
          <w:sz w:val="22"/>
          <w:szCs w:val="22"/>
          <w:lang w:val="en-GB"/>
        </w:rPr>
        <w:t xml:space="preserve"> </w:t>
      </w:r>
      <w:r w:rsidRPr="00195AC2">
        <w:rPr>
          <w:spacing w:val="-2"/>
          <w:sz w:val="22"/>
          <w:szCs w:val="22"/>
          <w:lang w:val="en-GB"/>
        </w:rPr>
        <w:t>investors</w:t>
      </w:r>
      <w:r w:rsidR="006B6676">
        <w:rPr>
          <w:spacing w:val="-2"/>
          <w:sz w:val="22"/>
          <w:szCs w:val="22"/>
          <w:lang w:val="en-GB"/>
        </w:rPr>
        <w:t xml:space="preserve"> </w:t>
      </w:r>
      <w:r w:rsidR="00A93740" w:rsidRPr="00195AC2">
        <w:rPr>
          <w:spacing w:val="-2"/>
          <w:sz w:val="22"/>
          <w:szCs w:val="22"/>
          <w:lang w:val="en-GB"/>
        </w:rPr>
        <w:t>held</w:t>
      </w:r>
      <w:r w:rsidR="006B6676">
        <w:rPr>
          <w:spacing w:val="-2"/>
          <w:sz w:val="22"/>
          <w:szCs w:val="22"/>
          <w:lang w:val="en-GB"/>
        </w:rPr>
        <w:t xml:space="preserve"> </w:t>
      </w:r>
      <w:r w:rsidR="004A1C8C" w:rsidRPr="00195AC2">
        <w:rPr>
          <w:spacing w:val="-2"/>
          <w:sz w:val="22"/>
          <w:szCs w:val="22"/>
          <w:lang w:val="en-GB"/>
        </w:rPr>
        <w:t>only</w:t>
      </w:r>
      <w:r w:rsidR="006B6676">
        <w:rPr>
          <w:spacing w:val="-2"/>
          <w:sz w:val="22"/>
          <w:szCs w:val="22"/>
          <w:lang w:val="en-GB"/>
        </w:rPr>
        <w:t xml:space="preserve"> </w:t>
      </w:r>
      <w:r w:rsidR="00A93740"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4.55</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006B6676">
        <w:rPr>
          <w:spacing w:val="-2"/>
          <w:sz w:val="22"/>
          <w:szCs w:val="22"/>
          <w:lang w:val="en-GB"/>
        </w:rPr>
        <w:t xml:space="preserve"> </w:t>
      </w:r>
      <w:r w:rsidRPr="00195AC2">
        <w:rPr>
          <w:spacing w:val="-2"/>
          <w:sz w:val="22"/>
          <w:szCs w:val="22"/>
          <w:lang w:val="en-GB"/>
        </w:rPr>
        <w:t>share.</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remaining</w:t>
      </w:r>
      <w:r w:rsidR="006B6676">
        <w:rPr>
          <w:spacing w:val="-2"/>
          <w:sz w:val="22"/>
          <w:szCs w:val="22"/>
          <w:lang w:val="en-GB"/>
        </w:rPr>
        <w:t xml:space="preserve"> </w:t>
      </w:r>
      <w:r w:rsidRPr="00195AC2">
        <w:rPr>
          <w:spacing w:val="-2"/>
          <w:sz w:val="22"/>
          <w:szCs w:val="22"/>
          <w:lang w:val="en-GB"/>
        </w:rPr>
        <w:t>13.64</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Eicher</w:t>
      </w:r>
      <w:r w:rsidR="006B6676">
        <w:rPr>
          <w:spacing w:val="-2"/>
          <w:sz w:val="22"/>
          <w:szCs w:val="22"/>
          <w:lang w:val="en-GB"/>
        </w:rPr>
        <w:t xml:space="preserve"> </w:t>
      </w:r>
      <w:r w:rsidRPr="00195AC2">
        <w:rPr>
          <w:spacing w:val="-2"/>
          <w:sz w:val="22"/>
          <w:szCs w:val="22"/>
          <w:lang w:val="en-GB"/>
        </w:rPr>
        <w:t>stock</w:t>
      </w:r>
      <w:r w:rsidR="006B6676">
        <w:rPr>
          <w:spacing w:val="-2"/>
          <w:sz w:val="22"/>
          <w:szCs w:val="22"/>
          <w:lang w:val="en-GB"/>
        </w:rPr>
        <w:t xml:space="preserve"> </w:t>
      </w:r>
      <w:r w:rsidRPr="00195AC2">
        <w:rPr>
          <w:spacing w:val="-2"/>
          <w:sz w:val="22"/>
          <w:szCs w:val="22"/>
          <w:lang w:val="en-GB"/>
        </w:rPr>
        <w:t>was</w:t>
      </w:r>
      <w:r w:rsidR="006B6676">
        <w:rPr>
          <w:spacing w:val="-2"/>
          <w:sz w:val="22"/>
          <w:szCs w:val="22"/>
          <w:lang w:val="en-GB"/>
        </w:rPr>
        <w:t xml:space="preserve"> </w:t>
      </w:r>
      <w:r w:rsidRPr="00195AC2">
        <w:rPr>
          <w:spacing w:val="-2"/>
          <w:sz w:val="22"/>
          <w:szCs w:val="22"/>
          <w:lang w:val="en-GB"/>
        </w:rPr>
        <w:t>held</w:t>
      </w:r>
      <w:r w:rsidR="006B6676">
        <w:rPr>
          <w:spacing w:val="-2"/>
          <w:sz w:val="22"/>
          <w:szCs w:val="22"/>
          <w:lang w:val="en-GB"/>
        </w:rPr>
        <w:t xml:space="preserve"> </w:t>
      </w:r>
      <w:r w:rsidRPr="00195AC2">
        <w:rPr>
          <w:spacing w:val="-2"/>
          <w:sz w:val="22"/>
          <w:szCs w:val="22"/>
          <w:lang w:val="en-GB"/>
        </w:rPr>
        <w:t>by</w:t>
      </w:r>
      <w:r w:rsidR="006B6676">
        <w:rPr>
          <w:spacing w:val="-2"/>
          <w:sz w:val="22"/>
          <w:szCs w:val="22"/>
          <w:lang w:val="en-GB"/>
        </w:rPr>
        <w:t xml:space="preserve"> </w:t>
      </w:r>
      <w:r w:rsidRPr="00195AC2">
        <w:rPr>
          <w:spacing w:val="-2"/>
          <w:sz w:val="22"/>
          <w:szCs w:val="22"/>
          <w:lang w:val="en-GB"/>
        </w:rPr>
        <w:t>various</w:t>
      </w:r>
      <w:r w:rsidR="006B6676">
        <w:rPr>
          <w:spacing w:val="-2"/>
          <w:sz w:val="22"/>
          <w:szCs w:val="22"/>
          <w:lang w:val="en-GB"/>
        </w:rPr>
        <w:t xml:space="preserve"> </w:t>
      </w:r>
      <w:r w:rsidRPr="00195AC2">
        <w:rPr>
          <w:spacing w:val="-2"/>
          <w:sz w:val="22"/>
          <w:szCs w:val="22"/>
          <w:lang w:val="en-GB"/>
        </w:rPr>
        <w:t>other</w:t>
      </w:r>
      <w:r w:rsidR="006B6676">
        <w:rPr>
          <w:spacing w:val="-2"/>
          <w:sz w:val="22"/>
          <w:szCs w:val="22"/>
          <w:lang w:val="en-GB"/>
        </w:rPr>
        <w:t xml:space="preserve"> </w:t>
      </w:r>
      <w:r w:rsidRPr="00195AC2">
        <w:rPr>
          <w:spacing w:val="-2"/>
          <w:sz w:val="22"/>
          <w:szCs w:val="22"/>
          <w:lang w:val="en-GB"/>
        </w:rPr>
        <w:t>shareholders.</w:t>
      </w:r>
      <w:r w:rsidRPr="00195AC2">
        <w:rPr>
          <w:spacing w:val="-2"/>
          <w:sz w:val="22"/>
          <w:szCs w:val="22"/>
          <w:vertAlign w:val="superscript"/>
          <w:lang w:val="en-GB"/>
        </w:rPr>
        <w:endnoteReference w:id="25"/>
      </w:r>
    </w:p>
    <w:p w14:paraId="1143F6AC" w14:textId="77777777" w:rsidR="00CA6A0D" w:rsidRPr="00F26A3E" w:rsidRDefault="00CA6A0D" w:rsidP="00B607FC">
      <w:pPr>
        <w:jc w:val="both"/>
        <w:rPr>
          <w:sz w:val="22"/>
          <w:szCs w:val="22"/>
          <w:lang w:val="en-GB"/>
        </w:rPr>
      </w:pPr>
    </w:p>
    <w:p w14:paraId="775ADDE0" w14:textId="7F377266" w:rsidR="00CA6A0D" w:rsidRPr="00F26A3E" w:rsidRDefault="00CA6A0D">
      <w:pPr>
        <w:jc w:val="both"/>
        <w:rPr>
          <w:sz w:val="22"/>
          <w:szCs w:val="22"/>
          <w:lang w:val="en-GB"/>
        </w:rPr>
      </w:pP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early</w:t>
      </w:r>
      <w:r w:rsidR="006B6676">
        <w:rPr>
          <w:sz w:val="22"/>
          <w:szCs w:val="22"/>
          <w:lang w:val="en-GB"/>
        </w:rPr>
        <w:t xml:space="preserve"> </w:t>
      </w:r>
      <w:r>
        <w:rPr>
          <w:sz w:val="22"/>
          <w:szCs w:val="22"/>
          <w:lang w:val="en-GB"/>
        </w:rPr>
        <w:t>2000s</w:t>
      </w:r>
      <w:r w:rsidRPr="00F26A3E">
        <w:rPr>
          <w:sz w:val="22"/>
          <w:szCs w:val="22"/>
          <w:lang w:val="en-GB"/>
        </w:rPr>
        <w:t>,</w:t>
      </w:r>
      <w:r w:rsidR="006B6676">
        <w:rPr>
          <w:sz w:val="22"/>
          <w:szCs w:val="22"/>
          <w:lang w:val="en-GB"/>
        </w:rPr>
        <w:t xml:space="preserve"> </w:t>
      </w:r>
      <w:r w:rsidRPr="00F26A3E">
        <w:rPr>
          <w:sz w:val="22"/>
          <w:szCs w:val="22"/>
          <w:lang w:val="en-GB"/>
        </w:rPr>
        <w:t>Eicher</w:t>
      </w:r>
      <w:r w:rsidR="006B6676">
        <w:rPr>
          <w:sz w:val="22"/>
          <w:szCs w:val="22"/>
          <w:lang w:val="en-GB"/>
        </w:rPr>
        <w:t xml:space="preserve"> </w:t>
      </w:r>
      <w:r>
        <w:rPr>
          <w:sz w:val="22"/>
          <w:szCs w:val="22"/>
          <w:lang w:val="en-GB"/>
        </w:rPr>
        <w:t>began</w:t>
      </w:r>
      <w:r w:rsidR="006B6676">
        <w:rPr>
          <w:sz w:val="22"/>
          <w:szCs w:val="22"/>
          <w:lang w:val="en-GB"/>
        </w:rPr>
        <w:t xml:space="preserve"> </w:t>
      </w:r>
      <w:r w:rsidRPr="00F26A3E">
        <w:rPr>
          <w:sz w:val="22"/>
          <w:szCs w:val="22"/>
          <w:lang w:val="en-GB"/>
        </w:rPr>
        <w:t>divest</w:t>
      </w:r>
      <w:r>
        <w:rPr>
          <w:sz w:val="22"/>
          <w:szCs w:val="22"/>
          <w:lang w:val="en-GB"/>
        </w:rPr>
        <w:t>ing</w:t>
      </w:r>
      <w:r w:rsidR="006B6676">
        <w:rPr>
          <w:sz w:val="22"/>
          <w:szCs w:val="22"/>
          <w:lang w:val="en-GB"/>
        </w:rPr>
        <w:t xml:space="preserve"> </w:t>
      </w:r>
      <w:r w:rsidRPr="00F26A3E">
        <w:rPr>
          <w:sz w:val="22"/>
          <w:szCs w:val="22"/>
          <w:lang w:val="en-GB"/>
        </w:rPr>
        <w:t>business</w:t>
      </w:r>
      <w:r w:rsidR="006B6676">
        <w:rPr>
          <w:sz w:val="22"/>
          <w:szCs w:val="22"/>
          <w:lang w:val="en-GB"/>
        </w:rPr>
        <w:t xml:space="preserve"> </w:t>
      </w:r>
      <w:r>
        <w:rPr>
          <w:sz w:val="22"/>
          <w:szCs w:val="22"/>
          <w:lang w:val="en-GB"/>
        </w:rPr>
        <w:t>asset</w:t>
      </w:r>
      <w:r w:rsidRPr="00F26A3E">
        <w:rPr>
          <w:sz w:val="22"/>
          <w:szCs w:val="22"/>
          <w:lang w:val="en-GB"/>
        </w:rPr>
        <w:t>s</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focus</w:t>
      </w:r>
      <w:r w:rsidR="006B6676">
        <w:rPr>
          <w:sz w:val="22"/>
          <w:szCs w:val="22"/>
          <w:lang w:val="en-GB"/>
        </w:rPr>
        <w:t xml:space="preserve"> </w:t>
      </w:r>
      <w:r w:rsidRPr="00F26A3E">
        <w:rPr>
          <w:sz w:val="22"/>
          <w:szCs w:val="22"/>
          <w:lang w:val="en-GB"/>
        </w:rPr>
        <w:t>on</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truck</w:t>
      </w:r>
      <w:r w:rsidR="006B6676">
        <w:rPr>
          <w:sz w:val="22"/>
          <w:szCs w:val="22"/>
          <w:lang w:val="en-GB"/>
        </w:rPr>
        <w:t xml:space="preserve"> </w:t>
      </w:r>
      <w:r>
        <w:rPr>
          <w:sz w:val="22"/>
          <w:szCs w:val="22"/>
          <w:lang w:val="en-GB"/>
        </w:rPr>
        <w:t>businesses</w:t>
      </w:r>
      <w:r w:rsidRPr="00F26A3E">
        <w:rPr>
          <w:sz w:val="22"/>
          <w:szCs w:val="22"/>
          <w:lang w:val="en-GB"/>
        </w:rPr>
        <w:t>.</w:t>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end</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decade,</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sidRPr="00F26A3E">
        <w:rPr>
          <w:sz w:val="22"/>
          <w:szCs w:val="22"/>
          <w:lang w:val="en-GB"/>
        </w:rPr>
        <w:t>retrenchment</w:t>
      </w:r>
      <w:r w:rsidR="006B6676">
        <w:rPr>
          <w:sz w:val="22"/>
          <w:szCs w:val="22"/>
          <w:lang w:val="en-GB"/>
        </w:rPr>
        <w:t xml:space="preserve"> </w:t>
      </w:r>
      <w:r w:rsidRPr="00F26A3E">
        <w:rPr>
          <w:sz w:val="22"/>
          <w:szCs w:val="22"/>
          <w:lang w:val="en-GB"/>
        </w:rPr>
        <w:t>strategy</w:t>
      </w:r>
      <w:r w:rsidR="006B6676">
        <w:rPr>
          <w:sz w:val="22"/>
          <w:szCs w:val="22"/>
          <w:lang w:val="en-GB"/>
        </w:rPr>
        <w:t xml:space="preserve"> </w:t>
      </w:r>
      <w:r>
        <w:rPr>
          <w:sz w:val="22"/>
          <w:szCs w:val="22"/>
          <w:lang w:val="en-GB"/>
        </w:rPr>
        <w:t>had</w:t>
      </w:r>
      <w:r w:rsidR="006B6676">
        <w:rPr>
          <w:sz w:val="22"/>
          <w:szCs w:val="22"/>
          <w:lang w:val="en-GB"/>
        </w:rPr>
        <w:t xml:space="preserve"> </w:t>
      </w:r>
      <w:r w:rsidRPr="00F26A3E">
        <w:rPr>
          <w:sz w:val="22"/>
          <w:szCs w:val="22"/>
          <w:lang w:val="en-GB"/>
        </w:rPr>
        <w:t>paid</w:t>
      </w:r>
      <w:r w:rsidR="006B6676">
        <w:rPr>
          <w:sz w:val="22"/>
          <w:szCs w:val="22"/>
          <w:lang w:val="en-GB"/>
        </w:rPr>
        <w:t xml:space="preserve"> </w:t>
      </w:r>
      <w:r>
        <w:rPr>
          <w:sz w:val="22"/>
          <w:szCs w:val="22"/>
          <w:lang w:val="en-GB"/>
        </w:rPr>
        <w:t>off</w:t>
      </w:r>
      <w:r w:rsidR="006B6676">
        <w:rPr>
          <w:sz w:val="22"/>
          <w:szCs w:val="22"/>
          <w:lang w:val="en-GB"/>
        </w:rPr>
        <w:t xml:space="preserve"> </w:t>
      </w:r>
      <w:r>
        <w:rPr>
          <w:sz w:val="22"/>
          <w:szCs w:val="22"/>
          <w:lang w:val="en-GB"/>
        </w:rPr>
        <w:t>in</w:t>
      </w:r>
      <w:r w:rsidR="006B6676">
        <w:rPr>
          <w:sz w:val="22"/>
          <w:szCs w:val="22"/>
          <w:lang w:val="en-GB"/>
        </w:rPr>
        <w:t xml:space="preserve"> </w:t>
      </w:r>
      <w:r w:rsidRPr="00F26A3E">
        <w:rPr>
          <w:sz w:val="22"/>
          <w:szCs w:val="22"/>
          <w:lang w:val="en-GB"/>
        </w:rPr>
        <w:t>rich</w:t>
      </w:r>
      <w:r w:rsidR="006B6676">
        <w:rPr>
          <w:sz w:val="22"/>
          <w:szCs w:val="22"/>
          <w:lang w:val="en-GB"/>
        </w:rPr>
        <w:t xml:space="preserve"> </w:t>
      </w:r>
      <w:r w:rsidRPr="00F26A3E">
        <w:rPr>
          <w:sz w:val="22"/>
          <w:szCs w:val="22"/>
          <w:lang w:val="en-GB"/>
        </w:rPr>
        <w:t>dividends.</w:t>
      </w:r>
      <w:r w:rsidR="006B6676">
        <w:rPr>
          <w:sz w:val="22"/>
          <w:szCs w:val="22"/>
          <w:lang w:val="en-GB"/>
        </w:rPr>
        <w:t xml:space="preserve"> </w:t>
      </w:r>
      <w:r>
        <w:rPr>
          <w:sz w:val="22"/>
          <w:szCs w:val="22"/>
          <w:lang w:val="en-GB"/>
        </w:rPr>
        <w:t>Eicher</w:t>
      </w:r>
      <w:r w:rsidR="006B6676">
        <w:rPr>
          <w:sz w:val="22"/>
          <w:szCs w:val="22"/>
          <w:lang w:val="en-GB"/>
        </w:rPr>
        <w:t xml:space="preserve"> </w:t>
      </w:r>
      <w:r>
        <w:rPr>
          <w:sz w:val="22"/>
          <w:szCs w:val="22"/>
          <w:lang w:val="en-GB"/>
        </w:rPr>
        <w:t>went</w:t>
      </w:r>
      <w:r w:rsidR="006B6676">
        <w:rPr>
          <w:sz w:val="22"/>
          <w:szCs w:val="22"/>
          <w:lang w:val="en-GB"/>
        </w:rPr>
        <w:t xml:space="preserve"> </w:t>
      </w:r>
      <w:r>
        <w:rPr>
          <w:sz w:val="22"/>
          <w:szCs w:val="22"/>
          <w:lang w:val="en-GB"/>
        </w:rPr>
        <w:t>from</w:t>
      </w:r>
      <w:r w:rsidR="006B6676">
        <w:rPr>
          <w:sz w:val="22"/>
          <w:szCs w:val="22"/>
          <w:lang w:val="en-GB"/>
        </w:rPr>
        <w:t xml:space="preserve"> </w:t>
      </w:r>
      <w:r w:rsidRPr="00F26A3E">
        <w:rPr>
          <w:sz w:val="22"/>
          <w:szCs w:val="22"/>
          <w:lang w:val="en-GB"/>
        </w:rPr>
        <w:t>being</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small</w:t>
      </w:r>
      <w:r w:rsidR="006B6676">
        <w:rPr>
          <w:sz w:val="22"/>
          <w:szCs w:val="22"/>
          <w:lang w:val="en-GB"/>
        </w:rPr>
        <w:t xml:space="preserve"> </w:t>
      </w:r>
      <w:r>
        <w:rPr>
          <w:sz w:val="22"/>
          <w:szCs w:val="22"/>
          <w:lang w:val="en-GB"/>
        </w:rPr>
        <w:t>competitor</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many</w:t>
      </w:r>
      <w:r w:rsidR="006B6676">
        <w:rPr>
          <w:sz w:val="22"/>
          <w:szCs w:val="22"/>
          <w:lang w:val="en-GB"/>
        </w:rPr>
        <w:t xml:space="preserve"> </w:t>
      </w:r>
      <w:r w:rsidRPr="00F26A3E">
        <w:rPr>
          <w:sz w:val="22"/>
          <w:szCs w:val="22"/>
          <w:lang w:val="en-GB"/>
        </w:rPr>
        <w:t>businesses</w:t>
      </w:r>
      <w:r>
        <w:rPr>
          <w:sz w:val="22"/>
          <w:szCs w:val="22"/>
          <w:lang w:val="en-GB"/>
        </w:rPr>
        <w:t>,</w:t>
      </w:r>
      <w:r w:rsidR="006B6676">
        <w:rPr>
          <w:sz w:val="22"/>
          <w:szCs w:val="22"/>
          <w:lang w:val="en-GB"/>
        </w:rPr>
        <w:t xml:space="preserve"> </w:t>
      </w:r>
      <w:r w:rsidRPr="00F26A3E">
        <w:rPr>
          <w:sz w:val="22"/>
          <w:szCs w:val="22"/>
          <w:lang w:val="en-GB"/>
        </w:rPr>
        <w:t>such</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footwear</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garments,</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dominant</w:t>
      </w:r>
      <w:r w:rsidR="006B6676">
        <w:rPr>
          <w:sz w:val="22"/>
          <w:szCs w:val="22"/>
          <w:lang w:val="en-GB"/>
        </w:rPr>
        <w:t xml:space="preserve"> </w:t>
      </w:r>
      <w:r>
        <w:rPr>
          <w:sz w:val="22"/>
          <w:szCs w:val="22"/>
          <w:lang w:val="en-GB"/>
        </w:rPr>
        <w:t>competitor</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commercial</w:t>
      </w:r>
      <w:r w:rsidR="006B6676">
        <w:rPr>
          <w:sz w:val="22"/>
          <w:szCs w:val="22"/>
          <w:lang w:val="en-GB"/>
        </w:rPr>
        <w:t xml:space="preserve"> </w:t>
      </w:r>
      <w:r w:rsidRPr="00F26A3E">
        <w:rPr>
          <w:sz w:val="22"/>
          <w:szCs w:val="22"/>
          <w:lang w:val="en-GB"/>
        </w:rPr>
        <w:t>vehicle</w:t>
      </w:r>
      <w:r w:rsidR="006B6676">
        <w:rPr>
          <w:sz w:val="22"/>
          <w:szCs w:val="22"/>
          <w:lang w:val="en-GB"/>
        </w:rPr>
        <w:t xml:space="preserve"> </w:t>
      </w:r>
      <w:r w:rsidRPr="00F26A3E">
        <w:rPr>
          <w:sz w:val="22"/>
          <w:szCs w:val="22"/>
          <w:lang w:val="en-GB"/>
        </w:rPr>
        <w:t>ma</w:t>
      </w:r>
      <w:r>
        <w:rPr>
          <w:sz w:val="22"/>
          <w:szCs w:val="22"/>
          <w:lang w:val="en-GB"/>
        </w:rPr>
        <w:t>rkets.</w:t>
      </w:r>
      <w:r w:rsidRPr="00F26A3E">
        <w:rPr>
          <w:sz w:val="22"/>
          <w:szCs w:val="22"/>
          <w:vertAlign w:val="superscript"/>
          <w:lang w:val="en-GB"/>
        </w:rPr>
        <w:endnoteReference w:id="26"/>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thus</w:t>
      </w:r>
      <w:r w:rsidR="006B6676">
        <w:rPr>
          <w:sz w:val="22"/>
          <w:szCs w:val="22"/>
          <w:lang w:val="en-GB"/>
        </w:rPr>
        <w:t xml:space="preserve"> </w:t>
      </w:r>
      <w:r>
        <w:rPr>
          <w:sz w:val="22"/>
          <w:szCs w:val="22"/>
          <w:lang w:val="en-GB"/>
        </w:rPr>
        <w:t>become</w:t>
      </w:r>
      <w:r w:rsidR="006B6676">
        <w:rPr>
          <w:sz w:val="22"/>
          <w:szCs w:val="22"/>
          <w:lang w:val="en-GB"/>
        </w:rPr>
        <w:t xml:space="preserve"> </w:t>
      </w:r>
      <w:r>
        <w:rPr>
          <w:sz w:val="22"/>
          <w:szCs w:val="22"/>
          <w:lang w:val="en-GB"/>
        </w:rPr>
        <w:t>one</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Pr>
          <w:sz w:val="22"/>
          <w:szCs w:val="22"/>
          <w:lang w:val="en-GB"/>
        </w:rPr>
        <w:t>two</w:t>
      </w:r>
      <w:r w:rsidR="006B6676">
        <w:rPr>
          <w:sz w:val="22"/>
          <w:szCs w:val="22"/>
          <w:lang w:val="en-GB"/>
        </w:rPr>
        <w:t xml:space="preserve"> </w:t>
      </w:r>
      <w:r>
        <w:rPr>
          <w:sz w:val="22"/>
          <w:szCs w:val="22"/>
          <w:lang w:val="en-GB"/>
        </w:rPr>
        <w:t>major</w:t>
      </w:r>
      <w:r w:rsidR="006B6676">
        <w:rPr>
          <w:sz w:val="22"/>
          <w:szCs w:val="22"/>
          <w:lang w:val="en-GB"/>
        </w:rPr>
        <w:t xml:space="preserve"> </w:t>
      </w:r>
      <w:r>
        <w:rPr>
          <w:sz w:val="22"/>
          <w:szCs w:val="22"/>
          <w:lang w:val="en-GB"/>
        </w:rPr>
        <w:t>business</w:t>
      </w:r>
      <w:r w:rsidR="006B6676">
        <w:rPr>
          <w:sz w:val="22"/>
          <w:szCs w:val="22"/>
          <w:lang w:val="en-GB"/>
        </w:rPr>
        <w:t xml:space="preserve"> </w:t>
      </w:r>
      <w:r>
        <w:rPr>
          <w:sz w:val="22"/>
          <w:szCs w:val="22"/>
          <w:lang w:val="en-GB"/>
        </w:rPr>
        <w:t>lines</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other</w:t>
      </w:r>
      <w:r w:rsidR="006B6676">
        <w:rPr>
          <w:sz w:val="22"/>
          <w:szCs w:val="22"/>
          <w:lang w:val="en-GB"/>
        </w:rPr>
        <w:t xml:space="preserve"> </w:t>
      </w:r>
      <w:r>
        <w:rPr>
          <w:sz w:val="22"/>
          <w:szCs w:val="22"/>
          <w:lang w:val="en-GB"/>
        </w:rPr>
        <w:t>one</w:t>
      </w:r>
      <w:r w:rsidR="006B6676">
        <w:rPr>
          <w:sz w:val="22"/>
          <w:szCs w:val="22"/>
          <w:lang w:val="en-GB"/>
        </w:rPr>
        <w:t xml:space="preserve"> </w:t>
      </w:r>
      <w:r>
        <w:rPr>
          <w:sz w:val="22"/>
          <w:szCs w:val="22"/>
          <w:lang w:val="en-GB"/>
        </w:rPr>
        <w:t>being</w:t>
      </w:r>
      <w:r w:rsidR="006B6676">
        <w:rPr>
          <w:sz w:val="22"/>
          <w:szCs w:val="22"/>
          <w:lang w:val="en-GB"/>
        </w:rPr>
        <w:t xml:space="preserve"> </w:t>
      </w:r>
      <w:r w:rsidRPr="00F26A3E">
        <w:rPr>
          <w:sz w:val="22"/>
          <w:szCs w:val="22"/>
          <w:lang w:val="en-GB"/>
        </w:rPr>
        <w:t>VE</w:t>
      </w:r>
      <w:r w:rsidR="006B6676">
        <w:rPr>
          <w:sz w:val="22"/>
          <w:szCs w:val="22"/>
          <w:lang w:val="en-GB"/>
        </w:rPr>
        <w:t xml:space="preserve"> </w:t>
      </w:r>
      <w:r w:rsidRPr="00F26A3E">
        <w:rPr>
          <w:sz w:val="22"/>
          <w:szCs w:val="22"/>
          <w:lang w:val="en-GB"/>
        </w:rPr>
        <w:t>Commercial</w:t>
      </w:r>
      <w:r w:rsidR="006B6676">
        <w:rPr>
          <w:sz w:val="22"/>
          <w:szCs w:val="22"/>
          <w:lang w:val="en-GB"/>
        </w:rPr>
        <w:t xml:space="preserve"> </w:t>
      </w:r>
      <w:r w:rsidRPr="00F26A3E">
        <w:rPr>
          <w:sz w:val="22"/>
          <w:szCs w:val="22"/>
          <w:lang w:val="en-GB"/>
        </w:rPr>
        <w:t>Vehicles</w:t>
      </w:r>
      <w:r>
        <w:rPr>
          <w:sz w:val="22"/>
          <w:szCs w:val="22"/>
          <w:lang w:val="en-GB"/>
        </w:rPr>
        <w:t>),</w:t>
      </w:r>
      <w:r w:rsidRPr="00F26A3E">
        <w:rPr>
          <w:sz w:val="22"/>
          <w:szCs w:val="22"/>
          <w:vertAlign w:val="superscript"/>
          <w:lang w:val="en-GB"/>
        </w:rPr>
        <w:endnoteReference w:id="27"/>
      </w:r>
      <w:r w:rsidR="006B6676">
        <w:rPr>
          <w:sz w:val="22"/>
          <w:szCs w:val="22"/>
          <w:lang w:val="en-GB"/>
        </w:rPr>
        <w:t xml:space="preserve"> </w:t>
      </w:r>
      <w:r>
        <w:rPr>
          <w:sz w:val="22"/>
          <w:szCs w:val="22"/>
          <w:lang w:val="en-GB"/>
        </w:rPr>
        <w:t>which</w:t>
      </w:r>
      <w:r w:rsidR="006B6676">
        <w:rPr>
          <w:sz w:val="22"/>
          <w:szCs w:val="22"/>
          <w:lang w:val="en-GB"/>
        </w:rPr>
        <w:t xml:space="preserve"> </w:t>
      </w:r>
      <w:r>
        <w:rPr>
          <w:sz w:val="22"/>
          <w:szCs w:val="22"/>
          <w:lang w:val="en-GB"/>
        </w:rPr>
        <w:t>together</w:t>
      </w:r>
      <w:r w:rsidR="006B6676">
        <w:rPr>
          <w:sz w:val="22"/>
          <w:szCs w:val="22"/>
          <w:lang w:val="en-GB"/>
        </w:rPr>
        <w:t xml:space="preserve"> </w:t>
      </w:r>
      <w:r w:rsidRPr="00F26A3E">
        <w:rPr>
          <w:sz w:val="22"/>
          <w:szCs w:val="22"/>
          <w:lang w:val="en-GB"/>
        </w:rPr>
        <w:t>contribut</w:t>
      </w:r>
      <w:r>
        <w:rPr>
          <w:sz w:val="22"/>
          <w:szCs w:val="22"/>
          <w:lang w:val="en-GB"/>
        </w:rPr>
        <w:t>ed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bulk</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Eicher’s</w:t>
      </w:r>
      <w:r w:rsidR="006B6676">
        <w:rPr>
          <w:sz w:val="22"/>
          <w:szCs w:val="22"/>
          <w:lang w:val="en-GB"/>
        </w:rPr>
        <w:t xml:space="preserve"> </w:t>
      </w:r>
      <w:r>
        <w:rPr>
          <w:sz w:val="22"/>
          <w:szCs w:val="22"/>
          <w:lang w:val="en-GB"/>
        </w:rPr>
        <w:t>revenues</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profits.</w:t>
      </w:r>
      <w:r w:rsidRPr="00F26A3E">
        <w:rPr>
          <w:sz w:val="22"/>
          <w:szCs w:val="22"/>
          <w:vertAlign w:val="superscript"/>
          <w:lang w:val="en-GB"/>
        </w:rPr>
        <w:endnoteReference w:id="28"/>
      </w:r>
    </w:p>
    <w:p w14:paraId="73FEDFD2" w14:textId="77777777" w:rsidR="00CA6A0D" w:rsidRDefault="00CA6A0D" w:rsidP="00F268A5">
      <w:pPr>
        <w:pStyle w:val="Casehead1"/>
        <w:keepNext/>
        <w:rPr>
          <w:lang w:val="en-GB"/>
        </w:rPr>
      </w:pPr>
    </w:p>
    <w:p w14:paraId="13DD6876" w14:textId="77777777" w:rsidR="00CA6A0D" w:rsidRDefault="00CA6A0D" w:rsidP="00F268A5">
      <w:pPr>
        <w:pStyle w:val="Casehead1"/>
        <w:keepNext/>
        <w:rPr>
          <w:lang w:val="en-GB"/>
        </w:rPr>
      </w:pPr>
    </w:p>
    <w:p w14:paraId="2FFD435F" w14:textId="781C5147" w:rsidR="00CA6A0D" w:rsidRPr="00F26A3E" w:rsidRDefault="00CA6A0D" w:rsidP="00F268A5">
      <w:pPr>
        <w:pStyle w:val="Casehead1"/>
        <w:keepNext/>
        <w:rPr>
          <w:lang w:val="en-GB"/>
        </w:rPr>
      </w:pPr>
      <w:r w:rsidRPr="00F26A3E">
        <w:rPr>
          <w:lang w:val="en-GB"/>
        </w:rPr>
        <w:t>Royal</w:t>
      </w:r>
      <w:r w:rsidR="006B6676">
        <w:rPr>
          <w:lang w:val="en-GB"/>
        </w:rPr>
        <w:t xml:space="preserve"> </w:t>
      </w:r>
      <w:r w:rsidRPr="00F26A3E">
        <w:rPr>
          <w:lang w:val="en-GB"/>
        </w:rPr>
        <w:t>Enfield</w:t>
      </w:r>
      <w:r w:rsidR="006B6676">
        <w:rPr>
          <w:lang w:val="en-GB"/>
        </w:rPr>
        <w:t xml:space="preserve"> </w:t>
      </w:r>
    </w:p>
    <w:p w14:paraId="220E5873" w14:textId="77777777" w:rsidR="00CA6A0D" w:rsidRPr="00F26A3E" w:rsidRDefault="00CA6A0D" w:rsidP="00F268A5">
      <w:pPr>
        <w:keepNext/>
        <w:jc w:val="both"/>
        <w:rPr>
          <w:sz w:val="22"/>
          <w:szCs w:val="22"/>
          <w:lang w:val="en-GB"/>
        </w:rPr>
      </w:pPr>
    </w:p>
    <w:p w14:paraId="1B63EB74" w14:textId="2E4C9B4A" w:rsidR="00CA6A0D" w:rsidRDefault="00CA6A0D" w:rsidP="005502C1">
      <w:pPr>
        <w:keepNext/>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Enfield’s</w:t>
      </w:r>
      <w:r w:rsidR="006B6676">
        <w:rPr>
          <w:sz w:val="22"/>
          <w:szCs w:val="22"/>
          <w:lang w:val="en-GB"/>
        </w:rPr>
        <w:t xml:space="preserve"> </w:t>
      </w:r>
      <w:r w:rsidRPr="00F26A3E">
        <w:rPr>
          <w:sz w:val="22"/>
          <w:szCs w:val="22"/>
          <w:lang w:val="en-GB"/>
        </w:rPr>
        <w:t>product</w:t>
      </w:r>
      <w:r w:rsidR="006B6676">
        <w:rPr>
          <w:sz w:val="22"/>
          <w:szCs w:val="22"/>
          <w:lang w:val="en-GB"/>
        </w:rPr>
        <w:t xml:space="preserve"> </w:t>
      </w:r>
      <w:r w:rsidRPr="00F26A3E">
        <w:rPr>
          <w:sz w:val="22"/>
          <w:szCs w:val="22"/>
          <w:lang w:val="en-GB"/>
        </w:rPr>
        <w:t>portfolio</w:t>
      </w:r>
      <w:r w:rsidR="006B6676">
        <w:rPr>
          <w:sz w:val="22"/>
          <w:szCs w:val="22"/>
          <w:lang w:val="en-GB"/>
        </w:rPr>
        <w:t xml:space="preserve"> </w:t>
      </w:r>
      <w:r w:rsidRPr="00F26A3E">
        <w:rPr>
          <w:sz w:val="22"/>
          <w:szCs w:val="22"/>
          <w:lang w:val="en-GB"/>
        </w:rPr>
        <w:t>included</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apparel,</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accessories.</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Pr>
          <w:sz w:val="22"/>
          <w:szCs w:val="22"/>
          <w:lang w:val="en-GB"/>
        </w:rPr>
        <w:t>2018–19,</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contributed</w:t>
      </w:r>
      <w:r w:rsidR="006B6676">
        <w:rPr>
          <w:sz w:val="22"/>
          <w:szCs w:val="22"/>
          <w:lang w:val="en-GB"/>
        </w:rPr>
        <w:t xml:space="preserve"> </w:t>
      </w:r>
      <w:r>
        <w:rPr>
          <w:sz w:val="22"/>
          <w:szCs w:val="22"/>
          <w:lang w:val="en-GB"/>
        </w:rPr>
        <w:t>₹</w:t>
      </w:r>
      <w:r w:rsidRPr="00F26A3E">
        <w:rPr>
          <w:sz w:val="22"/>
          <w:szCs w:val="22"/>
          <w:lang w:val="en-GB"/>
        </w:rPr>
        <w:t>97.94</w:t>
      </w:r>
      <w:r w:rsidR="006B6676">
        <w:rPr>
          <w:sz w:val="22"/>
          <w:szCs w:val="22"/>
          <w:lang w:val="en-GB"/>
        </w:rPr>
        <w:t xml:space="preserve"> </w:t>
      </w:r>
      <w:r w:rsidRPr="00F26A3E">
        <w:rPr>
          <w:sz w:val="22"/>
          <w:szCs w:val="22"/>
          <w:lang w:val="en-GB"/>
        </w:rPr>
        <w:t>billion</w:t>
      </w:r>
      <w:r>
        <w:rPr>
          <w:rStyle w:val="EndnoteReference"/>
          <w:sz w:val="22"/>
          <w:szCs w:val="22"/>
          <w:lang w:val="en-GB"/>
        </w:rPr>
        <w:endnoteReference w:id="29"/>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Eicher’s</w:t>
      </w:r>
      <w:r w:rsidR="006B6676">
        <w:rPr>
          <w:sz w:val="22"/>
          <w:szCs w:val="22"/>
          <w:lang w:val="en-GB"/>
        </w:rPr>
        <w:t xml:space="preserve"> </w:t>
      </w:r>
      <w:r>
        <w:rPr>
          <w:sz w:val="22"/>
          <w:szCs w:val="22"/>
          <w:lang w:val="en-GB"/>
        </w:rPr>
        <w:t>total</w:t>
      </w:r>
      <w:r w:rsidR="006B6676">
        <w:rPr>
          <w:sz w:val="22"/>
          <w:szCs w:val="22"/>
          <w:lang w:val="en-GB"/>
        </w:rPr>
        <w:t xml:space="preserve"> </w:t>
      </w:r>
      <w:r w:rsidRPr="00F26A3E">
        <w:rPr>
          <w:sz w:val="22"/>
          <w:szCs w:val="22"/>
          <w:lang w:val="en-GB"/>
        </w:rPr>
        <w:t>revenue,</w:t>
      </w:r>
      <w:r w:rsidR="006B6676">
        <w:rPr>
          <w:sz w:val="22"/>
          <w:szCs w:val="22"/>
          <w:lang w:val="en-GB"/>
        </w:rPr>
        <w:t xml:space="preserve"> </w:t>
      </w:r>
      <w:r w:rsidRPr="00F26A3E">
        <w:rPr>
          <w:sz w:val="22"/>
          <w:szCs w:val="22"/>
          <w:lang w:val="en-GB"/>
        </w:rPr>
        <w:t>up</w:t>
      </w:r>
      <w:r w:rsidR="006B6676">
        <w:rPr>
          <w:sz w:val="22"/>
          <w:szCs w:val="22"/>
          <w:lang w:val="en-GB"/>
        </w:rPr>
        <w:t xml:space="preserve"> </w:t>
      </w:r>
      <w:r w:rsidRPr="00F26A3E">
        <w:rPr>
          <w:sz w:val="22"/>
          <w:szCs w:val="22"/>
          <w:lang w:val="en-GB"/>
        </w:rPr>
        <w:t>from</w:t>
      </w:r>
      <w:r w:rsidR="006B6676">
        <w:rPr>
          <w:sz w:val="22"/>
          <w:szCs w:val="22"/>
          <w:lang w:val="en-GB"/>
        </w:rPr>
        <w:t xml:space="preserve"> </w:t>
      </w:r>
      <w:r>
        <w:rPr>
          <w:sz w:val="22"/>
          <w:szCs w:val="22"/>
          <w:lang w:val="en-GB"/>
        </w:rPr>
        <w:t>₹</w:t>
      </w:r>
      <w:r w:rsidRPr="00F26A3E">
        <w:rPr>
          <w:sz w:val="22"/>
          <w:szCs w:val="22"/>
          <w:lang w:val="en-GB"/>
        </w:rPr>
        <w:t>89.58</w:t>
      </w:r>
      <w:r w:rsidR="006B6676">
        <w:rPr>
          <w:sz w:val="22"/>
          <w:szCs w:val="22"/>
          <w:lang w:val="en-GB"/>
        </w:rPr>
        <w:t xml:space="preserve"> </w:t>
      </w:r>
      <w:r w:rsidRPr="00F26A3E">
        <w:rPr>
          <w:sz w:val="22"/>
          <w:szCs w:val="22"/>
          <w:lang w:val="en-GB"/>
        </w:rPr>
        <w:t>billion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2017</w:t>
      </w:r>
      <w:r>
        <w:rPr>
          <w:sz w:val="22"/>
          <w:szCs w:val="22"/>
          <w:lang w:val="en-GB"/>
        </w:rPr>
        <w:t>–</w:t>
      </w:r>
      <w:r w:rsidRPr="00F26A3E">
        <w:rPr>
          <w:sz w:val="22"/>
          <w:szCs w:val="22"/>
          <w:lang w:val="en-GB"/>
        </w:rPr>
        <w:t>18</w:t>
      </w:r>
      <w:r>
        <w:rPr>
          <w:sz w:val="22"/>
          <w:szCs w:val="22"/>
          <w:lang w:val="en-GB"/>
        </w:rPr>
        <w:t>.</w:t>
      </w:r>
      <w:r w:rsidRPr="00F26A3E">
        <w:rPr>
          <w:sz w:val="22"/>
          <w:szCs w:val="22"/>
          <w:vertAlign w:val="superscript"/>
          <w:lang w:val="en-GB"/>
        </w:rPr>
        <w:endnoteReference w:id="30"/>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Pr>
          <w:sz w:val="22"/>
          <w:szCs w:val="22"/>
          <w:lang w:val="en-GB"/>
        </w:rPr>
        <w:t>’s</w:t>
      </w:r>
      <w:r w:rsidR="006B6676">
        <w:rPr>
          <w:sz w:val="22"/>
          <w:szCs w:val="22"/>
          <w:lang w:val="en-GB"/>
        </w:rPr>
        <w:t xml:space="preserve"> </w:t>
      </w:r>
      <w:r>
        <w:rPr>
          <w:sz w:val="22"/>
          <w:szCs w:val="22"/>
          <w:lang w:val="en-GB"/>
        </w:rPr>
        <w:t>share</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India’s</w:t>
      </w:r>
      <w:r w:rsidR="006B6676">
        <w:rPr>
          <w:sz w:val="22"/>
          <w:szCs w:val="22"/>
          <w:lang w:val="en-GB"/>
        </w:rPr>
        <w:t xml:space="preserve"> </w:t>
      </w:r>
      <w:r w:rsidRPr="00F26A3E">
        <w:rPr>
          <w:sz w:val="22"/>
          <w:szCs w:val="22"/>
          <w:lang w:val="en-GB"/>
        </w:rPr>
        <w:t>overall</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minimal,</w:t>
      </w:r>
      <w:r w:rsidR="006B6676">
        <w:rPr>
          <w:sz w:val="22"/>
          <w:szCs w:val="22"/>
          <w:lang w:val="en-GB"/>
        </w:rPr>
        <w:t xml:space="preserve"> </w:t>
      </w:r>
      <w:r>
        <w:rPr>
          <w:sz w:val="22"/>
          <w:szCs w:val="22"/>
          <w:lang w:val="en-GB"/>
        </w:rPr>
        <w:t>but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clearly</w:t>
      </w:r>
      <w:r w:rsidR="006B6676">
        <w:rPr>
          <w:sz w:val="22"/>
          <w:szCs w:val="22"/>
          <w:lang w:val="en-GB"/>
        </w:rPr>
        <w:t xml:space="preserve"> </w:t>
      </w:r>
      <w:r w:rsidRPr="00F26A3E">
        <w:rPr>
          <w:sz w:val="22"/>
          <w:szCs w:val="22"/>
          <w:lang w:val="en-GB"/>
        </w:rPr>
        <w:t>dominat</w:t>
      </w:r>
      <w:r>
        <w:rPr>
          <w:sz w:val="22"/>
          <w:szCs w:val="22"/>
          <w:lang w:val="en-GB"/>
        </w:rPr>
        <w:t>ed</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250</w:t>
      </w:r>
      <w:r>
        <w:rPr>
          <w:sz w:val="22"/>
          <w:szCs w:val="22"/>
          <w:lang w:val="en-GB"/>
        </w:rPr>
        <w:t>–</w:t>
      </w:r>
      <w:r w:rsidRPr="00F26A3E">
        <w:rPr>
          <w:sz w:val="22"/>
          <w:szCs w:val="22"/>
          <w:lang w:val="en-GB"/>
        </w:rPr>
        <w:t>750cc</w:t>
      </w:r>
      <w:r w:rsidR="006B6676">
        <w:rPr>
          <w:sz w:val="22"/>
          <w:szCs w:val="22"/>
          <w:lang w:val="en-GB"/>
        </w:rPr>
        <w:t xml:space="preserve"> </w:t>
      </w:r>
      <w:r>
        <w:rPr>
          <w:sz w:val="22"/>
          <w:szCs w:val="22"/>
          <w:lang w:val="en-GB"/>
        </w:rPr>
        <w:t>segment</w:t>
      </w:r>
      <w:r w:rsidRPr="00F26A3E">
        <w:rPr>
          <w:sz w:val="22"/>
          <w:szCs w:val="22"/>
          <w:lang w:val="en-GB"/>
        </w:rPr>
        <w:t>,</w:t>
      </w:r>
      <w:r w:rsidR="006B6676">
        <w:rPr>
          <w:sz w:val="22"/>
          <w:szCs w:val="22"/>
          <w:lang w:val="en-GB"/>
        </w:rPr>
        <w:t xml:space="preserve"> </w:t>
      </w:r>
      <w:r w:rsidRPr="00F26A3E">
        <w:rPr>
          <w:sz w:val="22"/>
          <w:szCs w:val="22"/>
          <w:lang w:val="en-GB"/>
        </w:rPr>
        <w:t>with</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96</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market</w:t>
      </w:r>
      <w:r w:rsidR="006B6676">
        <w:rPr>
          <w:sz w:val="22"/>
          <w:szCs w:val="22"/>
          <w:lang w:val="en-GB"/>
        </w:rPr>
        <w:t xml:space="preserve"> </w:t>
      </w:r>
      <w:r w:rsidRPr="00F26A3E">
        <w:rPr>
          <w:sz w:val="22"/>
          <w:szCs w:val="22"/>
          <w:lang w:val="en-GB"/>
        </w:rPr>
        <w:t>share</w:t>
      </w:r>
      <w:r>
        <w:rPr>
          <w:sz w:val="22"/>
          <w:szCs w:val="22"/>
          <w:lang w:val="en-GB"/>
        </w:rPr>
        <w:t>.</w:t>
      </w:r>
      <w:r w:rsidRPr="00F26A3E">
        <w:rPr>
          <w:sz w:val="22"/>
          <w:szCs w:val="22"/>
          <w:vertAlign w:val="superscript"/>
          <w:lang w:val="en-GB"/>
        </w:rPr>
        <w:endnoteReference w:id="31"/>
      </w:r>
    </w:p>
    <w:p w14:paraId="634C730B" w14:textId="77777777" w:rsidR="00CA6A0D" w:rsidRDefault="00CA6A0D" w:rsidP="005502C1">
      <w:pPr>
        <w:keepNext/>
        <w:jc w:val="both"/>
        <w:rPr>
          <w:sz w:val="22"/>
          <w:szCs w:val="22"/>
          <w:lang w:val="en-GB"/>
        </w:rPr>
      </w:pPr>
    </w:p>
    <w:p w14:paraId="06E645CA" w14:textId="03D57D17" w:rsidR="00CA6A0D" w:rsidRDefault="00CA6A0D" w:rsidP="005502C1">
      <w:pPr>
        <w:keepNext/>
        <w:jc w:val="both"/>
        <w:rPr>
          <w:sz w:val="22"/>
          <w:szCs w:val="22"/>
          <w:lang w:val="en-GB"/>
        </w:rPr>
      </w:pPr>
      <w:r>
        <w:rPr>
          <w:sz w:val="22"/>
          <w:szCs w:val="22"/>
          <w:lang w:val="en-GB"/>
        </w:rPr>
        <w:t>Most</w:t>
      </w:r>
      <w:r w:rsidR="006B6676">
        <w:rPr>
          <w:sz w:val="22"/>
          <w:szCs w:val="22"/>
          <w:lang w:val="en-GB"/>
        </w:rPr>
        <w:t xml:space="preserve"> </w:t>
      </w:r>
      <w:r w:rsidRPr="00F26A3E">
        <w:rPr>
          <w:sz w:val="22"/>
          <w:szCs w:val="22"/>
          <w:lang w:val="en-GB"/>
        </w:rPr>
        <w:t>commuter</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users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India</w:t>
      </w:r>
      <w:r w:rsidR="006B6676">
        <w:rPr>
          <w:sz w:val="22"/>
          <w:szCs w:val="22"/>
          <w:lang w:val="en-GB"/>
        </w:rPr>
        <w:t xml:space="preserve"> </w:t>
      </w:r>
      <w:r w:rsidRPr="00F26A3E">
        <w:rPr>
          <w:sz w:val="22"/>
          <w:szCs w:val="22"/>
          <w:lang w:val="en-GB"/>
        </w:rPr>
        <w:t>who</w:t>
      </w:r>
      <w:r w:rsidR="006B6676">
        <w:rPr>
          <w:sz w:val="22"/>
          <w:szCs w:val="22"/>
          <w:lang w:val="en-GB"/>
        </w:rPr>
        <w:t xml:space="preserve"> </w:t>
      </w:r>
      <w:r w:rsidRPr="00F26A3E">
        <w:rPr>
          <w:sz w:val="22"/>
          <w:szCs w:val="22"/>
          <w:lang w:val="en-GB"/>
        </w:rPr>
        <w:t>wanted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upgrade</w:t>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mopeds</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low</w:t>
      </w:r>
      <w:r w:rsidR="006B6676">
        <w:rPr>
          <w:sz w:val="22"/>
          <w:szCs w:val="22"/>
          <w:lang w:val="en-GB"/>
        </w:rPr>
        <w:t xml:space="preserve"> </w:t>
      </w:r>
      <w:r>
        <w:rPr>
          <w:sz w:val="22"/>
          <w:szCs w:val="22"/>
          <w:lang w:val="en-GB"/>
        </w:rPr>
        <w:t>displacement</w:t>
      </w:r>
      <w:r w:rsidR="006B6676">
        <w:rPr>
          <w:sz w:val="22"/>
          <w:szCs w:val="22"/>
          <w:lang w:val="en-GB"/>
        </w:rPr>
        <w:t xml:space="preserve"> </w:t>
      </w:r>
      <w:r>
        <w:rPr>
          <w:sz w:val="22"/>
          <w:szCs w:val="22"/>
          <w:lang w:val="en-GB"/>
        </w:rPr>
        <w:t>two-wheelers</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more</w:t>
      </w:r>
      <w:r w:rsidR="006B6676">
        <w:rPr>
          <w:sz w:val="22"/>
          <w:szCs w:val="22"/>
          <w:lang w:val="en-GB"/>
        </w:rPr>
        <w:t xml:space="preserve"> </w:t>
      </w:r>
      <w:r>
        <w:rPr>
          <w:sz w:val="22"/>
          <w:szCs w:val="22"/>
          <w:lang w:val="en-GB"/>
        </w:rPr>
        <w:t>powerful,</w:t>
      </w:r>
      <w:r w:rsidR="006B6676">
        <w:rPr>
          <w:sz w:val="22"/>
          <w:szCs w:val="22"/>
          <w:lang w:val="en-GB"/>
        </w:rPr>
        <w:t xml:space="preserve"> </w:t>
      </w:r>
      <w:r w:rsidRPr="00F26A3E">
        <w:rPr>
          <w:sz w:val="22"/>
          <w:szCs w:val="22"/>
          <w:lang w:val="en-GB"/>
        </w:rPr>
        <w:t>high</w:t>
      </w:r>
      <w:r>
        <w:rPr>
          <w:sz w:val="22"/>
          <w:szCs w:val="22"/>
          <w:lang w:val="en-GB"/>
        </w:rPr>
        <w:t>er</w:t>
      </w:r>
      <w:r w:rsidR="006B6676">
        <w:rPr>
          <w:sz w:val="22"/>
          <w:szCs w:val="22"/>
          <w:lang w:val="en-GB"/>
        </w:rPr>
        <w:t xml:space="preserve"> </w:t>
      </w:r>
      <w:r w:rsidRPr="00F26A3E">
        <w:rPr>
          <w:sz w:val="22"/>
          <w:szCs w:val="22"/>
          <w:lang w:val="en-GB"/>
        </w:rPr>
        <w:t>displacement</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saw</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their</w:t>
      </w:r>
      <w:r w:rsidR="006B6676">
        <w:rPr>
          <w:sz w:val="22"/>
          <w:szCs w:val="22"/>
          <w:lang w:val="en-GB"/>
        </w:rPr>
        <w:t xml:space="preserve"> </w:t>
      </w:r>
      <w:r>
        <w:rPr>
          <w:sz w:val="22"/>
          <w:szCs w:val="22"/>
          <w:lang w:val="en-GB"/>
        </w:rPr>
        <w:t>only</w:t>
      </w:r>
      <w:r w:rsidR="006B6676">
        <w:rPr>
          <w:sz w:val="22"/>
          <w:szCs w:val="22"/>
          <w:lang w:val="en-GB"/>
        </w:rPr>
        <w:t xml:space="preserve"> </w:t>
      </w:r>
      <w:r>
        <w:rPr>
          <w:sz w:val="22"/>
          <w:szCs w:val="22"/>
          <w:lang w:val="en-GB"/>
        </w:rPr>
        <w:t>choice</w:t>
      </w:r>
      <w:r w:rsidRPr="00F26A3E">
        <w:rPr>
          <w:sz w:val="22"/>
          <w:szCs w:val="22"/>
          <w:lang w:val="en-GB"/>
        </w:rPr>
        <w:t>.</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leader</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this</w:t>
      </w:r>
      <w:r w:rsidR="006B6676">
        <w:rPr>
          <w:sz w:val="22"/>
          <w:szCs w:val="22"/>
          <w:lang w:val="en-GB"/>
        </w:rPr>
        <w:t xml:space="preserve"> </w:t>
      </w:r>
      <w:r>
        <w:rPr>
          <w:sz w:val="22"/>
          <w:szCs w:val="22"/>
          <w:lang w:val="en-GB"/>
        </w:rPr>
        <w:t>segment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consumers,</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benefited</w:t>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India’s</w:t>
      </w:r>
      <w:r w:rsidR="006B6676">
        <w:rPr>
          <w:sz w:val="22"/>
          <w:szCs w:val="22"/>
          <w:lang w:val="en-GB"/>
        </w:rPr>
        <w:t xml:space="preserve"> </w:t>
      </w:r>
      <w:r w:rsidRPr="00F26A3E">
        <w:rPr>
          <w:sz w:val="22"/>
          <w:szCs w:val="22"/>
          <w:lang w:val="en-GB"/>
        </w:rPr>
        <w:t>growing</w:t>
      </w:r>
      <w:r w:rsidR="006B6676">
        <w:rPr>
          <w:sz w:val="22"/>
          <w:szCs w:val="22"/>
          <w:lang w:val="en-GB"/>
        </w:rPr>
        <w:t xml:space="preserve"> </w:t>
      </w:r>
      <w:r w:rsidRPr="00F26A3E">
        <w:rPr>
          <w:sz w:val="22"/>
          <w:szCs w:val="22"/>
          <w:lang w:val="en-GB"/>
        </w:rPr>
        <w:t>middle</w:t>
      </w:r>
      <w:r w:rsidR="006B6676">
        <w:rPr>
          <w:sz w:val="22"/>
          <w:szCs w:val="22"/>
          <w:lang w:val="en-GB"/>
        </w:rPr>
        <w:t xml:space="preserve"> </w:t>
      </w:r>
      <w:r w:rsidRPr="00F26A3E">
        <w:rPr>
          <w:sz w:val="22"/>
          <w:szCs w:val="22"/>
          <w:lang w:val="en-GB"/>
        </w:rPr>
        <w:t>class</w:t>
      </w:r>
      <w:r>
        <w:rPr>
          <w:sz w:val="22"/>
          <w:szCs w:val="22"/>
          <w:lang w:val="en-GB"/>
        </w:rPr>
        <w:t>,</w:t>
      </w:r>
      <w:r w:rsidRPr="00F26A3E">
        <w:rPr>
          <w:sz w:val="22"/>
          <w:szCs w:val="22"/>
          <w:vertAlign w:val="superscript"/>
          <w:lang w:val="en-GB"/>
        </w:rPr>
        <w:endnoteReference w:id="32"/>
      </w:r>
      <w:r w:rsidR="006B6676">
        <w:rPr>
          <w:sz w:val="22"/>
          <w:szCs w:val="22"/>
          <w:lang w:val="en-GB"/>
        </w:rPr>
        <w:t xml:space="preserve"> </w:t>
      </w:r>
      <w:r w:rsidR="004A1C8C">
        <w:rPr>
          <w:sz w:val="22"/>
          <w:szCs w:val="22"/>
          <w:lang w:val="en-GB"/>
        </w:rPr>
        <w:t>the</w:t>
      </w:r>
      <w:r w:rsidR="006B6676">
        <w:rPr>
          <w:sz w:val="22"/>
          <w:szCs w:val="22"/>
          <w:lang w:val="en-GB"/>
        </w:rPr>
        <w:t xml:space="preserve"> </w:t>
      </w:r>
      <w:r w:rsidRPr="00F26A3E">
        <w:rPr>
          <w:sz w:val="22"/>
          <w:szCs w:val="22"/>
          <w:lang w:val="en-GB"/>
        </w:rPr>
        <w:t>rising</w:t>
      </w:r>
      <w:r w:rsidR="006B6676">
        <w:rPr>
          <w:sz w:val="22"/>
          <w:szCs w:val="22"/>
          <w:lang w:val="en-GB"/>
        </w:rPr>
        <w:t xml:space="preserve"> </w:t>
      </w:r>
      <w:r w:rsidRPr="00F26A3E">
        <w:rPr>
          <w:sz w:val="22"/>
          <w:szCs w:val="22"/>
          <w:lang w:val="en-GB"/>
        </w:rPr>
        <w:t>affluence</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consumers</w:t>
      </w:r>
      <w:r>
        <w:rPr>
          <w:sz w:val="22"/>
          <w:szCs w:val="22"/>
          <w:lang w:val="en-GB"/>
        </w:rPr>
        <w:t>,</w:t>
      </w:r>
      <w:r w:rsidRPr="00F26A3E">
        <w:rPr>
          <w:sz w:val="22"/>
          <w:szCs w:val="22"/>
          <w:vertAlign w:val="superscript"/>
          <w:lang w:val="en-GB"/>
        </w:rPr>
        <w:endnoteReference w:id="33"/>
      </w:r>
      <w:r w:rsidR="006B6676">
        <w:rPr>
          <w:sz w:val="22"/>
          <w:szCs w:val="22"/>
          <w:lang w:val="en-GB"/>
        </w:rPr>
        <w:t xml:space="preserve"> </w:t>
      </w:r>
      <w:r w:rsidRPr="00F26A3E">
        <w:rPr>
          <w:sz w:val="22"/>
          <w:szCs w:val="22"/>
          <w:lang w:val="en-GB"/>
        </w:rPr>
        <w:t>and</w:t>
      </w:r>
      <w:r w:rsidR="006B6676">
        <w:rPr>
          <w:sz w:val="22"/>
          <w:szCs w:val="22"/>
          <w:lang w:val="en-GB"/>
        </w:rPr>
        <w:t xml:space="preserve"> </w:t>
      </w:r>
      <w:r w:rsidR="00987AA6">
        <w:rPr>
          <w:sz w:val="22"/>
          <w:szCs w:val="22"/>
          <w:lang w:val="en-GB"/>
        </w:rPr>
        <w:t xml:space="preserve">peoples’ </w:t>
      </w:r>
      <w:r w:rsidRPr="00F26A3E">
        <w:rPr>
          <w:sz w:val="22"/>
          <w:szCs w:val="22"/>
          <w:lang w:val="en-GB"/>
        </w:rPr>
        <w:t>increasing</w:t>
      </w:r>
      <w:r w:rsidR="006B6676">
        <w:rPr>
          <w:sz w:val="22"/>
          <w:szCs w:val="22"/>
          <w:lang w:val="en-GB"/>
        </w:rPr>
        <w:t xml:space="preserve"> </w:t>
      </w:r>
      <w:r w:rsidRPr="00F26A3E">
        <w:rPr>
          <w:sz w:val="22"/>
          <w:szCs w:val="22"/>
          <w:lang w:val="en-GB"/>
        </w:rPr>
        <w:t>penchant</w:t>
      </w:r>
      <w:r w:rsidR="006B6676">
        <w:rPr>
          <w:sz w:val="22"/>
          <w:szCs w:val="22"/>
          <w:lang w:val="en-GB"/>
        </w:rPr>
        <w:t xml:space="preserve"> </w:t>
      </w:r>
      <w:r>
        <w:rPr>
          <w:sz w:val="22"/>
          <w:szCs w:val="22"/>
          <w:lang w:val="en-GB"/>
        </w:rPr>
        <w:t>for</w:t>
      </w:r>
      <w:r w:rsidR="006B6676">
        <w:rPr>
          <w:sz w:val="22"/>
          <w:szCs w:val="22"/>
          <w:lang w:val="en-GB"/>
        </w:rPr>
        <w:t xml:space="preserve"> </w:t>
      </w:r>
      <w:r w:rsidRPr="00F26A3E">
        <w:rPr>
          <w:sz w:val="22"/>
          <w:szCs w:val="22"/>
          <w:lang w:val="en-GB"/>
        </w:rPr>
        <w:t>leisure</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long-distance</w:t>
      </w:r>
      <w:r w:rsidR="006B6676">
        <w:rPr>
          <w:sz w:val="22"/>
          <w:szCs w:val="22"/>
          <w:lang w:val="en-GB"/>
        </w:rPr>
        <w:t xml:space="preserve"> </w:t>
      </w:r>
      <w:r w:rsidRPr="00F26A3E">
        <w:rPr>
          <w:sz w:val="22"/>
          <w:szCs w:val="22"/>
          <w:lang w:val="en-GB"/>
        </w:rPr>
        <w:t>touring</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motorcycles</w:t>
      </w:r>
      <w:r>
        <w:rPr>
          <w:sz w:val="22"/>
          <w:szCs w:val="22"/>
          <w:lang w:val="en-GB"/>
        </w:rPr>
        <w:t>.</w:t>
      </w:r>
      <w:r w:rsidRPr="00F26A3E">
        <w:rPr>
          <w:sz w:val="22"/>
          <w:szCs w:val="22"/>
          <w:vertAlign w:val="superscript"/>
          <w:lang w:val="en-GB"/>
        </w:rPr>
        <w:endnoteReference w:id="34"/>
      </w:r>
    </w:p>
    <w:p w14:paraId="4B101339" w14:textId="77777777" w:rsidR="00CA6A0D" w:rsidRPr="00F26A3E" w:rsidRDefault="00CA6A0D" w:rsidP="00901C95">
      <w:pPr>
        <w:keepNext/>
        <w:jc w:val="both"/>
        <w:rPr>
          <w:sz w:val="22"/>
          <w:szCs w:val="22"/>
          <w:lang w:val="en-GB"/>
        </w:rPr>
      </w:pPr>
    </w:p>
    <w:p w14:paraId="42BE5E6E" w14:textId="7689D50C"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already</w:t>
      </w:r>
      <w:r w:rsidR="006B6676">
        <w:rPr>
          <w:sz w:val="22"/>
          <w:szCs w:val="22"/>
          <w:lang w:val="en-GB"/>
        </w:rPr>
        <w:t xml:space="preserve"> </w:t>
      </w:r>
      <w:r w:rsidRPr="00F26A3E">
        <w:rPr>
          <w:sz w:val="22"/>
          <w:szCs w:val="22"/>
          <w:lang w:val="en-GB"/>
        </w:rPr>
        <w:t>enjoyed</w:t>
      </w:r>
      <w:r w:rsidR="006B6676">
        <w:rPr>
          <w:sz w:val="22"/>
          <w:szCs w:val="22"/>
          <w:lang w:val="en-GB"/>
        </w:rPr>
        <w:t xml:space="preserve"> </w:t>
      </w:r>
      <w:r w:rsidRPr="00F26A3E">
        <w:rPr>
          <w:sz w:val="22"/>
          <w:szCs w:val="22"/>
          <w:lang w:val="en-GB"/>
        </w:rPr>
        <w:t>high</w:t>
      </w:r>
      <w:r w:rsidR="006B6676">
        <w:rPr>
          <w:sz w:val="22"/>
          <w:szCs w:val="22"/>
          <w:lang w:val="en-GB"/>
        </w:rPr>
        <w:t xml:space="preserve"> </w:t>
      </w:r>
      <w:r w:rsidRPr="00F26A3E">
        <w:rPr>
          <w:sz w:val="22"/>
          <w:szCs w:val="22"/>
          <w:lang w:val="en-GB"/>
        </w:rPr>
        <w:t>brand</w:t>
      </w:r>
      <w:r w:rsidR="006B6676">
        <w:rPr>
          <w:sz w:val="22"/>
          <w:szCs w:val="22"/>
          <w:lang w:val="en-GB"/>
        </w:rPr>
        <w:t xml:space="preserve"> </w:t>
      </w:r>
      <w:r w:rsidRPr="00F26A3E">
        <w:rPr>
          <w:sz w:val="22"/>
          <w:szCs w:val="22"/>
          <w:lang w:val="en-GB"/>
        </w:rPr>
        <w:t>equity</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India</w:t>
      </w:r>
      <w:r w:rsidR="006B6676">
        <w:rPr>
          <w:sz w:val="22"/>
          <w:szCs w:val="22"/>
          <w:lang w:val="en-GB"/>
        </w:rPr>
        <w:t xml:space="preserve"> </w:t>
      </w:r>
      <w:r w:rsidRPr="00F26A3E">
        <w:rPr>
          <w:sz w:val="22"/>
          <w:szCs w:val="22"/>
          <w:lang w:val="en-GB"/>
        </w:rPr>
        <w:t>as</w:t>
      </w:r>
      <w:r w:rsidR="006B6676">
        <w:rPr>
          <w:sz w:val="22"/>
          <w:szCs w:val="22"/>
          <w:lang w:val="en-GB"/>
        </w:rPr>
        <w:t xml:space="preserve"> </w:t>
      </w:r>
      <w:r>
        <w:rPr>
          <w:sz w:val="22"/>
          <w:szCs w:val="22"/>
          <w:lang w:val="en-GB"/>
        </w:rPr>
        <w:t>“</w:t>
      </w:r>
      <w:r w:rsidRPr="00F26A3E">
        <w:rPr>
          <w:sz w:val="22"/>
          <w:szCs w:val="22"/>
          <w:lang w:val="en-GB"/>
        </w:rPr>
        <w:t>the</w:t>
      </w:r>
      <w:r w:rsidR="006B6676">
        <w:rPr>
          <w:sz w:val="22"/>
          <w:szCs w:val="22"/>
          <w:lang w:val="en-GB"/>
        </w:rPr>
        <w:t xml:space="preserve"> </w:t>
      </w:r>
      <w:r w:rsidRPr="00F26A3E">
        <w:rPr>
          <w:sz w:val="22"/>
          <w:szCs w:val="22"/>
          <w:lang w:val="en-GB"/>
        </w:rPr>
        <w:t>oldest</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brand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continuous</w:t>
      </w:r>
      <w:r w:rsidR="006B6676">
        <w:rPr>
          <w:sz w:val="22"/>
          <w:szCs w:val="22"/>
          <w:lang w:val="en-GB"/>
        </w:rPr>
        <w:t xml:space="preserve"> </w:t>
      </w:r>
      <w:r w:rsidRPr="00F26A3E">
        <w:rPr>
          <w:sz w:val="22"/>
          <w:szCs w:val="22"/>
          <w:lang w:val="en-GB"/>
        </w:rPr>
        <w:t>production.</w:t>
      </w:r>
      <w:r>
        <w:rPr>
          <w:sz w:val="22"/>
          <w:szCs w:val="22"/>
          <w:lang w:val="en-GB"/>
        </w:rPr>
        <w:t>”</w:t>
      </w:r>
      <w:r w:rsidRPr="00F26A3E">
        <w:rPr>
          <w:sz w:val="22"/>
          <w:szCs w:val="22"/>
          <w:vertAlign w:val="superscript"/>
          <w:lang w:val="en-GB"/>
        </w:rPr>
        <w:endnoteReference w:id="35"/>
      </w:r>
      <w:r w:rsidR="006B6676">
        <w:rPr>
          <w:sz w:val="22"/>
          <w:szCs w:val="22"/>
          <w:lang w:val="en-GB"/>
        </w:rPr>
        <w:t xml:space="preserve"> </w:t>
      </w:r>
      <w:r>
        <w:rPr>
          <w:sz w:val="22"/>
          <w:szCs w:val="22"/>
          <w:lang w:val="en-GB"/>
        </w:rPr>
        <w:t>However,</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aimed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become</w:t>
      </w:r>
      <w:r w:rsidR="006B6676">
        <w:rPr>
          <w:sz w:val="22"/>
          <w:szCs w:val="22"/>
          <w:lang w:val="en-GB"/>
        </w:rPr>
        <w:t xml:space="preserve"> </w:t>
      </w:r>
      <w:r w:rsidRPr="00F26A3E">
        <w:rPr>
          <w:sz w:val="22"/>
          <w:szCs w:val="22"/>
          <w:lang w:val="en-GB"/>
        </w:rPr>
        <w:t>an</w:t>
      </w:r>
      <w:r w:rsidR="006B6676">
        <w:rPr>
          <w:sz w:val="22"/>
          <w:szCs w:val="22"/>
          <w:lang w:val="en-GB"/>
        </w:rPr>
        <w:t xml:space="preserve"> </w:t>
      </w:r>
      <w:r>
        <w:rPr>
          <w:sz w:val="22"/>
          <w:szCs w:val="22"/>
          <w:lang w:val="en-GB"/>
        </w:rPr>
        <w:t>“</w:t>
      </w:r>
      <w:r w:rsidRPr="00F26A3E">
        <w:rPr>
          <w:sz w:val="22"/>
          <w:szCs w:val="22"/>
          <w:lang w:val="en-GB"/>
        </w:rPr>
        <w:t>experiential</w:t>
      </w:r>
      <w:r w:rsidR="006B6676">
        <w:rPr>
          <w:sz w:val="22"/>
          <w:szCs w:val="22"/>
          <w:lang w:val="en-GB"/>
        </w:rPr>
        <w:t xml:space="preserve"> </w:t>
      </w:r>
      <w:r w:rsidR="00A93740" w:rsidRPr="00F26A3E">
        <w:rPr>
          <w:sz w:val="22"/>
          <w:szCs w:val="22"/>
          <w:lang w:val="en-GB"/>
        </w:rPr>
        <w:t>brand</w:t>
      </w:r>
      <w:r w:rsidR="00A93740">
        <w:rPr>
          <w:sz w:val="22"/>
          <w:szCs w:val="22"/>
          <w:lang w:val="en-GB"/>
        </w:rPr>
        <w:t>.”</w:t>
      </w:r>
      <w:r w:rsidR="006B6676">
        <w:rPr>
          <w:sz w:val="22"/>
          <w:szCs w:val="22"/>
          <w:lang w:val="en-GB"/>
        </w:rPr>
        <w:t xml:space="preserve"> </w:t>
      </w:r>
      <w:r w:rsidR="00A93740">
        <w:rPr>
          <w:sz w:val="22"/>
          <w:szCs w:val="22"/>
          <w:lang w:val="en-GB"/>
        </w:rPr>
        <w:t>By</w:t>
      </w:r>
      <w:r w:rsidR="006B6676">
        <w:rPr>
          <w:sz w:val="22"/>
          <w:szCs w:val="22"/>
          <w:lang w:val="en-GB"/>
        </w:rPr>
        <w:t xml:space="preserve"> </w:t>
      </w:r>
      <w:r>
        <w:rPr>
          <w:sz w:val="22"/>
          <w:szCs w:val="22"/>
          <w:lang w:val="en-GB"/>
        </w:rPr>
        <w:t>reaching</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top</w:t>
      </w:r>
      <w:r w:rsidR="006B6676">
        <w:rPr>
          <w:sz w:val="22"/>
          <w:szCs w:val="22"/>
          <w:lang w:val="en-GB"/>
        </w:rPr>
        <w:t xml:space="preserve"> </w:t>
      </w:r>
      <w:r>
        <w:rPr>
          <w:sz w:val="22"/>
          <w:szCs w:val="22"/>
          <w:lang w:val="en-GB"/>
        </w:rPr>
        <w:t>position</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country</w:t>
      </w:r>
      <w:r w:rsidR="006B6676">
        <w:rPr>
          <w:sz w:val="22"/>
          <w:szCs w:val="22"/>
          <w:lang w:val="en-GB"/>
        </w:rPr>
        <w:t xml:space="preserve"> </w:t>
      </w:r>
      <w:r>
        <w:rPr>
          <w:sz w:val="22"/>
          <w:szCs w:val="22"/>
          <w:lang w:val="en-GB"/>
        </w:rPr>
        <w:t>for</w:t>
      </w:r>
      <w:r w:rsidR="006B6676">
        <w:rPr>
          <w:sz w:val="22"/>
          <w:szCs w:val="22"/>
          <w:lang w:val="en-GB"/>
        </w:rPr>
        <w:t xml:space="preserve"> </w:t>
      </w:r>
      <w:r w:rsidRPr="00F26A3E">
        <w:rPr>
          <w:sz w:val="22"/>
          <w:szCs w:val="22"/>
          <w:lang w:val="en-GB"/>
        </w:rPr>
        <w:t>customer</w:t>
      </w:r>
      <w:r w:rsidR="006B6676">
        <w:rPr>
          <w:sz w:val="22"/>
          <w:szCs w:val="22"/>
          <w:lang w:val="en-GB"/>
        </w:rPr>
        <w:t xml:space="preserve"> </w:t>
      </w:r>
      <w:r w:rsidRPr="00F26A3E">
        <w:rPr>
          <w:sz w:val="22"/>
          <w:szCs w:val="22"/>
          <w:lang w:val="en-GB"/>
        </w:rPr>
        <w:t>satisfaction</w:t>
      </w:r>
      <w:r>
        <w:rPr>
          <w:sz w:val="22"/>
          <w:szCs w:val="22"/>
          <w:lang w:val="en-GB"/>
        </w:rPr>
        <w:t>,</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w:t>
      </w:r>
      <w:r w:rsidR="006B6676">
        <w:rPr>
          <w:sz w:val="22"/>
          <w:szCs w:val="22"/>
          <w:lang w:val="en-GB"/>
        </w:rPr>
        <w:t xml:space="preserve"> </w:t>
      </w:r>
      <w:r>
        <w:rPr>
          <w:sz w:val="22"/>
          <w:szCs w:val="22"/>
          <w:lang w:val="en-GB"/>
        </w:rPr>
        <w:t>would</w:t>
      </w:r>
      <w:r w:rsidR="006B6676">
        <w:rPr>
          <w:sz w:val="22"/>
          <w:szCs w:val="22"/>
          <w:lang w:val="en-GB"/>
        </w:rPr>
        <w:t xml:space="preserve"> </w:t>
      </w:r>
      <w:r>
        <w:rPr>
          <w:sz w:val="22"/>
          <w:szCs w:val="22"/>
          <w:lang w:val="en-GB"/>
        </w:rPr>
        <w:t>be</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w:t>
      </w:r>
      <w:r w:rsidRPr="00F26A3E">
        <w:rPr>
          <w:sz w:val="22"/>
          <w:szCs w:val="22"/>
          <w:lang w:val="en-GB"/>
        </w:rPr>
        <w:t>perfect</w:t>
      </w:r>
      <w:r w:rsidR="006B6676">
        <w:rPr>
          <w:sz w:val="22"/>
          <w:szCs w:val="22"/>
          <w:lang w:val="en-GB"/>
        </w:rPr>
        <w:t xml:space="preserve"> </w:t>
      </w:r>
      <w:r w:rsidRPr="00F26A3E">
        <w:rPr>
          <w:sz w:val="22"/>
          <w:szCs w:val="22"/>
          <w:lang w:val="en-GB"/>
        </w:rPr>
        <w:t>space</w:t>
      </w:r>
      <w:r>
        <w:rPr>
          <w:sz w:val="22"/>
          <w:szCs w:val="22"/>
          <w:lang w:val="en-GB"/>
        </w:rPr>
        <w:t>”</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global</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industry.</w:t>
      </w:r>
    </w:p>
    <w:p w14:paraId="1C396AF2" w14:textId="77777777" w:rsidR="00CA6A0D" w:rsidRDefault="00CA6A0D" w:rsidP="00B607FC">
      <w:pPr>
        <w:jc w:val="both"/>
        <w:rPr>
          <w:sz w:val="22"/>
          <w:szCs w:val="22"/>
          <w:lang w:val="en-GB"/>
        </w:rPr>
      </w:pPr>
    </w:p>
    <w:p w14:paraId="61C8763E" w14:textId="77777777" w:rsidR="00CA6A0D" w:rsidRPr="00F26A3E" w:rsidRDefault="00CA6A0D" w:rsidP="00B607FC">
      <w:pPr>
        <w:jc w:val="both"/>
        <w:rPr>
          <w:sz w:val="22"/>
          <w:szCs w:val="22"/>
          <w:lang w:val="en-GB"/>
        </w:rPr>
      </w:pPr>
    </w:p>
    <w:p w14:paraId="626D086E" w14:textId="5D360DD2" w:rsidR="00CA6A0D" w:rsidRPr="00F26A3E" w:rsidRDefault="00CA6A0D" w:rsidP="00901C95">
      <w:pPr>
        <w:pStyle w:val="Casehead2"/>
        <w:rPr>
          <w:lang w:val="en-GB"/>
        </w:rPr>
      </w:pPr>
      <w:r>
        <w:rPr>
          <w:lang w:val="en-GB"/>
        </w:rPr>
        <w:t>Exponential</w:t>
      </w:r>
      <w:r w:rsidR="006B6676">
        <w:rPr>
          <w:lang w:val="en-GB"/>
        </w:rPr>
        <w:t xml:space="preserve"> </w:t>
      </w:r>
      <w:r>
        <w:rPr>
          <w:lang w:val="en-GB"/>
        </w:rPr>
        <w:t>Growth</w:t>
      </w:r>
    </w:p>
    <w:p w14:paraId="0BE950FC" w14:textId="77777777" w:rsidR="00CA6A0D" w:rsidRPr="00F26A3E" w:rsidRDefault="00CA6A0D" w:rsidP="00B607FC">
      <w:pPr>
        <w:jc w:val="both"/>
        <w:rPr>
          <w:sz w:val="22"/>
          <w:szCs w:val="22"/>
          <w:lang w:val="en-GB"/>
        </w:rPr>
      </w:pPr>
    </w:p>
    <w:p w14:paraId="10D4920A" w14:textId="4F70BFA5" w:rsidR="00CA6A0D" w:rsidRPr="00F26A3E" w:rsidRDefault="00CA6A0D" w:rsidP="00B607FC">
      <w:pPr>
        <w:jc w:val="both"/>
        <w:rPr>
          <w:sz w:val="22"/>
          <w:szCs w:val="22"/>
          <w:lang w:val="en-GB"/>
        </w:rPr>
      </w:pPr>
      <w:r>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Pr>
          <w:sz w:val="22"/>
          <w:szCs w:val="22"/>
          <w:lang w:val="en-GB"/>
        </w:rPr>
        <w:t>2002–03,</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sold</w:t>
      </w:r>
      <w:r w:rsidR="006B6676">
        <w:rPr>
          <w:sz w:val="22"/>
          <w:szCs w:val="22"/>
          <w:lang w:val="en-GB"/>
        </w:rPr>
        <w:t xml:space="preserve"> </w:t>
      </w:r>
      <w:r>
        <w:rPr>
          <w:sz w:val="22"/>
          <w:szCs w:val="22"/>
          <w:lang w:val="en-GB"/>
        </w:rPr>
        <w:t>just</w:t>
      </w:r>
      <w:r w:rsidR="006B6676">
        <w:rPr>
          <w:sz w:val="22"/>
          <w:szCs w:val="22"/>
          <w:lang w:val="en-GB"/>
        </w:rPr>
        <w:t xml:space="preserve"> </w:t>
      </w:r>
      <w:r w:rsidRPr="00F26A3E">
        <w:rPr>
          <w:sz w:val="22"/>
          <w:szCs w:val="22"/>
          <w:lang w:val="en-GB"/>
        </w:rPr>
        <w:t>over</w:t>
      </w:r>
      <w:r w:rsidR="006B6676">
        <w:rPr>
          <w:sz w:val="22"/>
          <w:szCs w:val="22"/>
          <w:lang w:val="en-GB"/>
        </w:rPr>
        <w:t xml:space="preserve"> </w:t>
      </w:r>
      <w:r w:rsidRPr="00F26A3E">
        <w:rPr>
          <w:sz w:val="22"/>
          <w:szCs w:val="22"/>
          <w:lang w:val="en-GB"/>
        </w:rPr>
        <w:t>28,000</w:t>
      </w:r>
      <w:r w:rsidR="006B6676">
        <w:rPr>
          <w:sz w:val="22"/>
          <w:szCs w:val="22"/>
          <w:lang w:val="en-GB"/>
        </w:rPr>
        <w:t xml:space="preserve"> </w:t>
      </w:r>
      <w:r w:rsidRPr="00F26A3E">
        <w:rPr>
          <w:sz w:val="22"/>
          <w:szCs w:val="22"/>
          <w:lang w:val="en-GB"/>
        </w:rPr>
        <w:t>motorcycles</w:t>
      </w:r>
      <w:r>
        <w:rPr>
          <w:sz w:val="22"/>
          <w:szCs w:val="22"/>
          <w:lang w:val="en-GB"/>
        </w:rPr>
        <w:t>.</w:t>
      </w:r>
      <w:r w:rsidRPr="00F26A3E">
        <w:rPr>
          <w:sz w:val="22"/>
          <w:szCs w:val="22"/>
          <w:vertAlign w:val="superscript"/>
          <w:lang w:val="en-GB"/>
        </w:rPr>
        <w:endnoteReference w:id="36"/>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products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commonly</w:t>
      </w:r>
      <w:r w:rsidR="006B6676">
        <w:rPr>
          <w:sz w:val="22"/>
          <w:szCs w:val="22"/>
          <w:lang w:val="en-GB"/>
        </w:rPr>
        <w:t xml:space="preserve"> </w:t>
      </w:r>
      <w:r>
        <w:rPr>
          <w:sz w:val="22"/>
          <w:szCs w:val="22"/>
          <w:lang w:val="en-GB"/>
        </w:rPr>
        <w:t>associated</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c</w:t>
      </w:r>
      <w:r w:rsidRPr="00F26A3E">
        <w:rPr>
          <w:sz w:val="22"/>
          <w:szCs w:val="22"/>
          <w:lang w:val="en-GB"/>
        </w:rPr>
        <w:t>omplaints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oil</w:t>
      </w:r>
      <w:r w:rsidR="006B6676">
        <w:rPr>
          <w:sz w:val="22"/>
          <w:szCs w:val="22"/>
          <w:lang w:val="en-GB"/>
        </w:rPr>
        <w:t xml:space="preserve"> </w:t>
      </w:r>
      <w:r w:rsidRPr="00F26A3E">
        <w:rPr>
          <w:sz w:val="22"/>
          <w:szCs w:val="22"/>
          <w:lang w:val="en-GB"/>
        </w:rPr>
        <w:t>leaks,</w:t>
      </w:r>
      <w:r w:rsidR="006B6676">
        <w:rPr>
          <w:sz w:val="22"/>
          <w:szCs w:val="22"/>
          <w:lang w:val="en-GB"/>
        </w:rPr>
        <w:t xml:space="preserve"> </w:t>
      </w:r>
      <w:r w:rsidRPr="00F26A3E">
        <w:rPr>
          <w:sz w:val="22"/>
          <w:szCs w:val="22"/>
          <w:lang w:val="en-GB"/>
        </w:rPr>
        <w:t>electrical</w:t>
      </w:r>
      <w:r w:rsidR="006B6676">
        <w:rPr>
          <w:sz w:val="22"/>
          <w:szCs w:val="22"/>
          <w:lang w:val="en-GB"/>
        </w:rPr>
        <w:t xml:space="preserve"> </w:t>
      </w:r>
      <w:r w:rsidRPr="00F26A3E">
        <w:rPr>
          <w:sz w:val="22"/>
          <w:szCs w:val="22"/>
          <w:lang w:val="en-GB"/>
        </w:rPr>
        <w:t>failure,</w:t>
      </w:r>
      <w:r w:rsidR="006B6676">
        <w:rPr>
          <w:sz w:val="22"/>
          <w:szCs w:val="22"/>
          <w:lang w:val="en-GB"/>
        </w:rPr>
        <w:t xml:space="preserve"> </w:t>
      </w:r>
      <w:r w:rsidRPr="00F26A3E">
        <w:rPr>
          <w:sz w:val="22"/>
          <w:szCs w:val="22"/>
          <w:lang w:val="en-GB"/>
        </w:rPr>
        <w:t>breakage</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clutch</w:t>
      </w:r>
      <w:r w:rsidR="006B6676">
        <w:rPr>
          <w:sz w:val="22"/>
          <w:szCs w:val="22"/>
          <w:lang w:val="en-GB"/>
        </w:rPr>
        <w:t xml:space="preserve"> </w:t>
      </w:r>
      <w:r w:rsidRPr="00F26A3E">
        <w:rPr>
          <w:sz w:val="22"/>
          <w:szCs w:val="22"/>
          <w:lang w:val="en-GB"/>
        </w:rPr>
        <w:t>cables</w:t>
      </w:r>
      <w:r>
        <w:rPr>
          <w:sz w:val="22"/>
          <w:szCs w:val="22"/>
          <w:lang w:val="en-GB"/>
        </w:rPr>
        <w: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engine</w:t>
      </w:r>
      <w:r w:rsidR="006B6676">
        <w:rPr>
          <w:sz w:val="22"/>
          <w:szCs w:val="22"/>
          <w:lang w:val="en-GB"/>
        </w:rPr>
        <w:t xml:space="preserve"> </w:t>
      </w:r>
      <w:r w:rsidRPr="00F26A3E">
        <w:rPr>
          <w:sz w:val="22"/>
          <w:szCs w:val="22"/>
          <w:lang w:val="en-GB"/>
        </w:rPr>
        <w:t>seizure</w:t>
      </w:r>
      <w:r>
        <w:rPr>
          <w:sz w:val="22"/>
          <w:szCs w:val="22"/>
          <w:lang w:val="en-GB"/>
        </w:rPr>
        <w:t>.</w:t>
      </w:r>
      <w:r w:rsidRPr="00F26A3E">
        <w:rPr>
          <w:sz w:val="22"/>
          <w:szCs w:val="22"/>
          <w:vertAlign w:val="superscript"/>
          <w:lang w:val="en-GB"/>
        </w:rPr>
        <w:endnoteReference w:id="37"/>
      </w:r>
      <w:r w:rsidR="006B6676">
        <w:rPr>
          <w:sz w:val="22"/>
          <w:szCs w:val="22"/>
          <w:lang w:val="en-GB"/>
        </w:rPr>
        <w:t xml:space="preserve"> </w:t>
      </w:r>
      <w:r>
        <w:rPr>
          <w:sz w:val="22"/>
          <w:szCs w:val="22"/>
          <w:lang w:val="en-GB"/>
        </w:rPr>
        <w:t>At</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point,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decided</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it</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rethink</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business</w:t>
      </w:r>
      <w:r w:rsidR="006B6676">
        <w:rPr>
          <w:sz w:val="22"/>
          <w:szCs w:val="22"/>
          <w:lang w:val="en-GB"/>
        </w:rPr>
        <w:t xml:space="preserve"> </w:t>
      </w:r>
      <w:r>
        <w:rPr>
          <w:sz w:val="22"/>
          <w:szCs w:val="22"/>
          <w:lang w:val="en-GB"/>
        </w:rPr>
        <w:t>model</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revamp</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production</w:t>
      </w:r>
      <w:r w:rsidR="006B6676">
        <w:rPr>
          <w:sz w:val="22"/>
          <w:szCs w:val="22"/>
          <w:lang w:val="en-GB"/>
        </w:rPr>
        <w:t xml:space="preserve"> </w:t>
      </w:r>
      <w:r>
        <w:rPr>
          <w:sz w:val="22"/>
          <w:szCs w:val="22"/>
          <w:lang w:val="en-GB"/>
        </w:rPr>
        <w:t>process.</w:t>
      </w:r>
    </w:p>
    <w:p w14:paraId="45F34FD7" w14:textId="77777777" w:rsidR="00CA6A0D" w:rsidRPr="00F26A3E" w:rsidRDefault="00CA6A0D" w:rsidP="00B607FC">
      <w:pPr>
        <w:jc w:val="both"/>
        <w:rPr>
          <w:sz w:val="22"/>
          <w:szCs w:val="22"/>
          <w:lang w:val="en-GB"/>
        </w:rPr>
      </w:pPr>
    </w:p>
    <w:p w14:paraId="224ACC84" w14:textId="58CB9D24"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made</w:t>
      </w:r>
      <w:r w:rsidR="006B6676">
        <w:rPr>
          <w:sz w:val="22"/>
          <w:szCs w:val="22"/>
          <w:lang w:val="en-GB"/>
        </w:rPr>
        <w:t xml:space="preserve"> </w:t>
      </w:r>
      <w:r>
        <w:rPr>
          <w:sz w:val="22"/>
          <w:szCs w:val="22"/>
          <w:lang w:val="en-GB"/>
        </w:rPr>
        <w:t>considerable</w:t>
      </w:r>
      <w:r w:rsidR="006B6676">
        <w:rPr>
          <w:sz w:val="22"/>
          <w:szCs w:val="22"/>
          <w:lang w:val="en-GB"/>
        </w:rPr>
        <w:t xml:space="preserve"> </w:t>
      </w:r>
      <w:r>
        <w:rPr>
          <w:sz w:val="22"/>
          <w:szCs w:val="22"/>
          <w:lang w:val="en-GB"/>
        </w:rPr>
        <w:t>c</w:t>
      </w:r>
      <w:r w:rsidRPr="00F26A3E">
        <w:rPr>
          <w:sz w:val="22"/>
          <w:szCs w:val="22"/>
          <w:lang w:val="en-GB"/>
        </w:rPr>
        <w:t>hanges</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engine</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motorcycles</w:t>
      </w:r>
      <w:r w:rsidRPr="00F26A3E">
        <w:rPr>
          <w:sz w:val="22"/>
          <w:szCs w:val="22"/>
          <w:lang w:val="en-GB"/>
        </w:rPr>
        <w:t>.</w:t>
      </w:r>
      <w:r w:rsidR="006B6676">
        <w:rPr>
          <w:sz w:val="22"/>
          <w:szCs w:val="22"/>
          <w:lang w:val="en-GB"/>
        </w:rPr>
        <w:t xml:space="preserve"> </w:t>
      </w:r>
      <w:r>
        <w:rPr>
          <w:sz w:val="22"/>
          <w:szCs w:val="22"/>
          <w:lang w:val="en-GB"/>
        </w:rPr>
        <w:t>However,</w:t>
      </w:r>
      <w:r w:rsidR="006B6676">
        <w:rPr>
          <w:sz w:val="22"/>
          <w:szCs w:val="22"/>
          <w:lang w:val="en-GB"/>
        </w:rPr>
        <w:t xml:space="preserve"> </w:t>
      </w:r>
      <w:r>
        <w:rPr>
          <w:sz w:val="22"/>
          <w:szCs w:val="22"/>
          <w:lang w:val="en-GB"/>
        </w:rPr>
        <w:t>it</w:t>
      </w:r>
      <w:r w:rsidR="006B6676">
        <w:rPr>
          <w:sz w:val="22"/>
          <w:szCs w:val="22"/>
          <w:lang w:val="en-GB"/>
        </w:rPr>
        <w:t xml:space="preserve"> </w:t>
      </w:r>
      <w:r w:rsidRPr="00F26A3E">
        <w:rPr>
          <w:sz w:val="22"/>
          <w:szCs w:val="22"/>
          <w:lang w:val="en-GB"/>
        </w:rPr>
        <w:t>retain</w:t>
      </w:r>
      <w:r>
        <w:rPr>
          <w:sz w:val="22"/>
          <w:szCs w:val="22"/>
          <w:lang w:val="en-GB"/>
        </w:rPr>
        <w:t>ed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characteristic</w:t>
      </w:r>
      <w:r w:rsidR="006B6676">
        <w:rPr>
          <w:sz w:val="22"/>
          <w:szCs w:val="22"/>
          <w:lang w:val="en-GB"/>
        </w:rPr>
        <w:t xml:space="preserve"> </w:t>
      </w:r>
      <w:r w:rsidRPr="00F26A3E">
        <w:rPr>
          <w:sz w:val="22"/>
          <w:szCs w:val="22"/>
          <w:lang w:val="en-GB"/>
        </w:rPr>
        <w:t>thumping</w:t>
      </w:r>
      <w:r w:rsidR="006B6676">
        <w:rPr>
          <w:sz w:val="22"/>
          <w:szCs w:val="22"/>
          <w:lang w:val="en-GB"/>
        </w:rPr>
        <w:t xml:space="preserve"> </w:t>
      </w:r>
      <w:r w:rsidR="005C6243">
        <w:rPr>
          <w:sz w:val="22"/>
          <w:szCs w:val="22"/>
          <w:lang w:val="en-GB"/>
        </w:rPr>
        <w:t>exhaust</w:t>
      </w:r>
      <w:r w:rsidR="006B6676">
        <w:rPr>
          <w:sz w:val="22"/>
          <w:szCs w:val="22"/>
          <w:lang w:val="en-GB"/>
        </w:rPr>
        <w:t xml:space="preserve"> </w:t>
      </w:r>
      <w:r w:rsidRPr="00F26A3E">
        <w:rPr>
          <w:sz w:val="22"/>
          <w:szCs w:val="22"/>
          <w:lang w:val="en-GB"/>
        </w:rPr>
        <w:t>sound</w:t>
      </w:r>
      <w:r w:rsidR="006B6676">
        <w:rPr>
          <w:sz w:val="22"/>
          <w:szCs w:val="22"/>
          <w:lang w:val="en-GB"/>
        </w:rPr>
        <w:t xml:space="preserve"> </w:t>
      </w:r>
      <w:r>
        <w:rPr>
          <w:sz w:val="22"/>
          <w:szCs w:val="22"/>
          <w:lang w:val="en-GB"/>
        </w:rPr>
        <w:t>that</w:t>
      </w:r>
      <w:r w:rsidR="006B6676">
        <w:rPr>
          <w:sz w:val="22"/>
          <w:szCs w:val="22"/>
          <w:lang w:val="en-GB"/>
        </w:rPr>
        <w:t xml:space="preserve"> </w:t>
      </w:r>
      <w:r w:rsidRPr="00F26A3E">
        <w:rPr>
          <w:sz w:val="22"/>
          <w:szCs w:val="22"/>
          <w:lang w:val="en-GB"/>
        </w:rPr>
        <w:t>had</w:t>
      </w:r>
      <w:r w:rsidR="006B6676">
        <w:rPr>
          <w:sz w:val="22"/>
          <w:szCs w:val="22"/>
          <w:lang w:val="en-GB"/>
        </w:rPr>
        <w:t xml:space="preserve"> </w:t>
      </w:r>
      <w:r>
        <w:rPr>
          <w:sz w:val="22"/>
          <w:szCs w:val="22"/>
          <w:lang w:val="en-GB"/>
        </w:rPr>
        <w:t>become</w:t>
      </w:r>
      <w:r w:rsidR="006B6676">
        <w:rPr>
          <w:sz w:val="22"/>
          <w:szCs w:val="22"/>
          <w:lang w:val="en-GB"/>
        </w:rPr>
        <w:t xml:space="preserve"> </w:t>
      </w:r>
      <w:r>
        <w:rPr>
          <w:sz w:val="22"/>
          <w:szCs w:val="22"/>
          <w:lang w:val="en-GB"/>
        </w:rPr>
        <w:t>associated</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motorcycles</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gave</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products</w:t>
      </w:r>
      <w:r w:rsidR="006B6676">
        <w:rPr>
          <w:sz w:val="22"/>
          <w:szCs w:val="22"/>
          <w:lang w:val="en-GB"/>
        </w:rPr>
        <w:t xml:space="preserve"> </w:t>
      </w:r>
      <w:r>
        <w:rPr>
          <w:sz w:val="22"/>
          <w:szCs w:val="22"/>
          <w:shd w:val="clear" w:color="auto" w:fill="FFFFFF"/>
          <w:lang w:val="en-GB"/>
        </w:rPr>
        <w:t>a</w:t>
      </w:r>
      <w:r w:rsidR="006B6676">
        <w:rPr>
          <w:sz w:val="22"/>
          <w:szCs w:val="22"/>
          <w:shd w:val="clear" w:color="auto" w:fill="FFFFFF"/>
          <w:lang w:val="en-GB"/>
        </w:rPr>
        <w:t xml:space="preserve"> </w:t>
      </w:r>
      <w:r>
        <w:rPr>
          <w:sz w:val="22"/>
          <w:szCs w:val="22"/>
          <w:shd w:val="clear" w:color="auto" w:fill="FFFFFF"/>
          <w:lang w:val="en-GB"/>
        </w:rPr>
        <w:t>“</w:t>
      </w:r>
      <w:r w:rsidRPr="00F26A3E">
        <w:rPr>
          <w:sz w:val="22"/>
          <w:szCs w:val="22"/>
          <w:shd w:val="clear" w:color="auto" w:fill="FFFFFF"/>
          <w:lang w:val="en-GB"/>
        </w:rPr>
        <w:t>retro</w:t>
      </w:r>
      <w:r>
        <w:rPr>
          <w:sz w:val="22"/>
          <w:szCs w:val="22"/>
          <w:shd w:val="clear" w:color="auto" w:fill="FFFFFF"/>
          <w:lang w:val="en-GB"/>
        </w:rPr>
        <w:t>”</w:t>
      </w:r>
      <w:r w:rsidR="006B6676">
        <w:rPr>
          <w:sz w:val="22"/>
          <w:szCs w:val="22"/>
          <w:shd w:val="clear" w:color="auto" w:fill="FFFFFF"/>
          <w:lang w:val="en-GB"/>
        </w:rPr>
        <w:t xml:space="preserve"> </w:t>
      </w:r>
      <w:r>
        <w:rPr>
          <w:sz w:val="22"/>
          <w:szCs w:val="22"/>
          <w:shd w:val="clear" w:color="auto" w:fill="FFFFFF"/>
          <w:lang w:val="en-GB"/>
        </w:rPr>
        <w:t>image.</w:t>
      </w:r>
      <w:r w:rsidRPr="00F26A3E">
        <w:rPr>
          <w:sz w:val="22"/>
          <w:szCs w:val="22"/>
          <w:shd w:val="clear" w:color="auto" w:fill="FFFFFF"/>
          <w:vertAlign w:val="superscript"/>
          <w:lang w:val="en-GB"/>
        </w:rPr>
        <w:endnoteReference w:id="38"/>
      </w:r>
      <w:r w:rsidR="006B6676">
        <w:rPr>
          <w:sz w:val="22"/>
          <w:szCs w:val="22"/>
          <w:shd w:val="clear" w:color="auto" w:fill="FFFFFF"/>
          <w:lang w:val="en-GB"/>
        </w:rPr>
        <w:t xml:space="preserve"> </w:t>
      </w:r>
      <w:r w:rsidRPr="00195AC2">
        <w:rPr>
          <w:sz w:val="22"/>
          <w:szCs w:val="22"/>
          <w:shd w:val="clear" w:color="auto" w:fill="FFFFFF"/>
          <w:lang w:val="en-GB"/>
        </w:rPr>
        <w:t>By</w:t>
      </w:r>
      <w:r w:rsidR="006B6676" w:rsidRPr="00195AC2">
        <w:rPr>
          <w:sz w:val="22"/>
          <w:szCs w:val="22"/>
          <w:shd w:val="clear" w:color="auto" w:fill="FFFFFF"/>
          <w:lang w:val="en-GB"/>
        </w:rPr>
        <w:t xml:space="preserve"> </w:t>
      </w:r>
      <w:r w:rsidRPr="00195AC2">
        <w:rPr>
          <w:sz w:val="22"/>
          <w:szCs w:val="22"/>
          <w:shd w:val="clear" w:color="auto" w:fill="FFFFFF"/>
          <w:lang w:val="en-GB"/>
        </w:rPr>
        <w:t>2010,</w:t>
      </w:r>
      <w:r w:rsidR="006B6676" w:rsidRPr="00195AC2">
        <w:rPr>
          <w:sz w:val="22"/>
          <w:szCs w:val="22"/>
          <w:shd w:val="clear" w:color="auto" w:fill="FFFFFF"/>
          <w:lang w:val="en-GB"/>
        </w:rPr>
        <w:t xml:space="preserve"> </w:t>
      </w:r>
      <w:r w:rsidRPr="00195AC2">
        <w:rPr>
          <w:sz w:val="22"/>
          <w:szCs w:val="22"/>
          <w:lang w:val="en-GB"/>
        </w:rPr>
        <w:t>Royal</w:t>
      </w:r>
      <w:r w:rsidR="006B6676" w:rsidRPr="00195AC2">
        <w:rPr>
          <w:sz w:val="22"/>
          <w:szCs w:val="22"/>
          <w:lang w:val="en-GB"/>
        </w:rPr>
        <w:t xml:space="preserve"> </w:t>
      </w:r>
      <w:r w:rsidRPr="00195AC2">
        <w:rPr>
          <w:sz w:val="22"/>
          <w:szCs w:val="22"/>
          <w:lang w:val="en-GB"/>
        </w:rPr>
        <w:t>Enfield</w:t>
      </w:r>
      <w:r w:rsidR="006B6676" w:rsidRPr="00195AC2">
        <w:rPr>
          <w:sz w:val="22"/>
          <w:szCs w:val="22"/>
          <w:lang w:val="en-GB"/>
        </w:rPr>
        <w:t xml:space="preserve"> </w:t>
      </w:r>
      <w:r>
        <w:rPr>
          <w:sz w:val="22"/>
          <w:szCs w:val="22"/>
          <w:lang w:val="en-GB"/>
        </w:rPr>
        <w:t>phased</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u</w:t>
      </w:r>
      <w:r w:rsidRPr="00F26A3E">
        <w:rPr>
          <w:sz w:val="22"/>
          <w:szCs w:val="22"/>
          <w:lang w:val="en-GB"/>
        </w:rPr>
        <w:t>nit</w:t>
      </w:r>
      <w:r w:rsidR="006B6676">
        <w:rPr>
          <w:sz w:val="22"/>
          <w:szCs w:val="22"/>
          <w:lang w:val="en-GB"/>
        </w:rPr>
        <w:t xml:space="preserve"> </w:t>
      </w:r>
      <w:r>
        <w:rPr>
          <w:sz w:val="22"/>
          <w:szCs w:val="22"/>
          <w:lang w:val="en-GB"/>
        </w:rPr>
        <w:t>c</w:t>
      </w:r>
      <w:r w:rsidRPr="00F26A3E">
        <w:rPr>
          <w:sz w:val="22"/>
          <w:szCs w:val="22"/>
          <w:lang w:val="en-GB"/>
        </w:rPr>
        <w:t>onstruction</w:t>
      </w:r>
      <w:r w:rsidR="006B6676">
        <w:rPr>
          <w:sz w:val="22"/>
          <w:szCs w:val="22"/>
          <w:lang w:val="en-GB"/>
        </w:rPr>
        <w:t xml:space="preserve"> </w:t>
      </w:r>
      <w:r w:rsidRPr="00F26A3E">
        <w:rPr>
          <w:sz w:val="22"/>
          <w:szCs w:val="22"/>
          <w:lang w:val="en-GB"/>
        </w:rPr>
        <w:t>engine</w:t>
      </w:r>
      <w:r>
        <w:rPr>
          <w:sz w:val="22"/>
          <w:szCs w:val="22"/>
          <w:lang w:val="en-GB"/>
        </w:rPr>
        <w:t>s</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all</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models,</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departure</w:t>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old</w:t>
      </w:r>
      <w:r w:rsidR="006B6676">
        <w:rPr>
          <w:sz w:val="22"/>
          <w:szCs w:val="22"/>
          <w:lang w:val="en-GB"/>
        </w:rPr>
        <w:t xml:space="preserve"> </w:t>
      </w:r>
      <w:r>
        <w:rPr>
          <w:sz w:val="22"/>
          <w:szCs w:val="22"/>
          <w:lang w:val="en-GB"/>
        </w:rPr>
        <w:t>cast</w:t>
      </w:r>
      <w:r w:rsidR="006B6676">
        <w:rPr>
          <w:sz w:val="22"/>
          <w:szCs w:val="22"/>
          <w:lang w:val="en-GB"/>
        </w:rPr>
        <w:t xml:space="preserve"> </w:t>
      </w:r>
      <w:r>
        <w:rPr>
          <w:sz w:val="22"/>
          <w:szCs w:val="22"/>
          <w:lang w:val="en-GB"/>
        </w:rPr>
        <w:t>iron</w:t>
      </w:r>
      <w:r w:rsidR="006B6676">
        <w:rPr>
          <w:sz w:val="22"/>
          <w:szCs w:val="22"/>
          <w:lang w:val="en-GB"/>
        </w:rPr>
        <w:t xml:space="preserve"> </w:t>
      </w:r>
      <w:r>
        <w:rPr>
          <w:sz w:val="22"/>
          <w:szCs w:val="22"/>
          <w:lang w:val="en-GB"/>
        </w:rPr>
        <w:t>engines</w:t>
      </w:r>
      <w:r w:rsidRPr="00F26A3E">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overall</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quality</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upgraded,</w:t>
      </w:r>
      <w:r w:rsidR="006B6676">
        <w:rPr>
          <w:sz w:val="22"/>
          <w:szCs w:val="22"/>
          <w:lang w:val="en-GB"/>
        </w:rPr>
        <w:t xml:space="preserve"> </w:t>
      </w:r>
      <w:r>
        <w:rPr>
          <w:sz w:val="22"/>
          <w:szCs w:val="22"/>
          <w:lang w:val="en-GB"/>
        </w:rPr>
        <w:t>thereby</w:t>
      </w:r>
      <w:r w:rsidR="006B6676">
        <w:rPr>
          <w:sz w:val="22"/>
          <w:szCs w:val="22"/>
          <w:lang w:val="en-GB"/>
        </w:rPr>
        <w:t xml:space="preserve"> </w:t>
      </w:r>
      <w:r w:rsidRPr="00F26A3E">
        <w:rPr>
          <w:sz w:val="22"/>
          <w:szCs w:val="22"/>
          <w:lang w:val="en-GB"/>
        </w:rPr>
        <w:t>remov</w:t>
      </w:r>
      <w:r>
        <w:rPr>
          <w:sz w:val="22"/>
          <w:szCs w:val="22"/>
          <w:lang w:val="en-GB"/>
        </w:rPr>
        <w:t>ing</w:t>
      </w:r>
      <w:r w:rsidR="006B6676">
        <w:rPr>
          <w:sz w:val="22"/>
          <w:szCs w:val="22"/>
          <w:lang w:val="en-GB"/>
        </w:rPr>
        <w:t xml:space="preserve"> </w:t>
      </w:r>
      <w:r>
        <w:rPr>
          <w:sz w:val="22"/>
          <w:szCs w:val="22"/>
          <w:lang w:val="en-GB"/>
        </w:rPr>
        <w:t>what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saw</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w:t>
      </w:r>
      <w:r w:rsidRPr="00F26A3E">
        <w:rPr>
          <w:sz w:val="22"/>
          <w:szCs w:val="22"/>
          <w:lang w:val="en-GB"/>
        </w:rPr>
        <w:t>perceptual</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physical</w:t>
      </w:r>
      <w:r w:rsidR="006B6676">
        <w:rPr>
          <w:sz w:val="22"/>
          <w:szCs w:val="22"/>
          <w:lang w:val="en-GB"/>
        </w:rPr>
        <w:t xml:space="preserve"> </w:t>
      </w:r>
      <w:r w:rsidRPr="00F26A3E">
        <w:rPr>
          <w:sz w:val="22"/>
          <w:szCs w:val="22"/>
          <w:lang w:val="en-GB"/>
        </w:rPr>
        <w:t>purchase</w:t>
      </w:r>
      <w:r w:rsidR="006B6676">
        <w:rPr>
          <w:sz w:val="22"/>
          <w:szCs w:val="22"/>
          <w:lang w:val="en-GB"/>
        </w:rPr>
        <w:t xml:space="preserve"> </w:t>
      </w:r>
      <w:r w:rsidRPr="00F26A3E">
        <w:rPr>
          <w:sz w:val="22"/>
          <w:szCs w:val="22"/>
          <w:lang w:val="en-GB"/>
        </w:rPr>
        <w:t>barriers</w:t>
      </w:r>
      <w:r>
        <w:rPr>
          <w:sz w:val="22"/>
          <w:szCs w:val="22"/>
          <w:lang w:val="en-GB"/>
        </w:rPr>
        <w:t>”</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consumers</w:t>
      </w:r>
      <w:r w:rsidRPr="00F26A3E">
        <w:rPr>
          <w:sz w:val="22"/>
          <w:szCs w:val="22"/>
          <w:lang w:val="en-GB"/>
        </w:rPr>
        <w: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re</w:t>
      </w:r>
      <w:r w:rsidRPr="00F26A3E">
        <w:rPr>
          <w:sz w:val="22"/>
          <w:szCs w:val="22"/>
          <w:lang w:val="en-GB"/>
        </w:rPr>
        <w:t>designed</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products</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provide</w:t>
      </w:r>
      <w:r w:rsidR="006B6676">
        <w:rPr>
          <w:sz w:val="22"/>
          <w:szCs w:val="22"/>
          <w:lang w:val="en-GB"/>
        </w:rPr>
        <w:t xml:space="preserve"> </w:t>
      </w:r>
      <w:r>
        <w:rPr>
          <w:sz w:val="22"/>
          <w:szCs w:val="22"/>
          <w:lang w:val="en-GB"/>
        </w:rPr>
        <w:t>customers</w:t>
      </w:r>
      <w:r w:rsidR="006B6676">
        <w:rPr>
          <w:sz w:val="22"/>
          <w:szCs w:val="22"/>
          <w:lang w:val="en-GB"/>
        </w:rPr>
        <w:t xml:space="preserve"> </w:t>
      </w:r>
      <w:r w:rsidR="00A93740">
        <w:rPr>
          <w:sz w:val="22"/>
          <w:szCs w:val="22"/>
          <w:lang w:val="en-GB"/>
        </w:rPr>
        <w:t>with</w:t>
      </w:r>
      <w:r w:rsidR="006B6676">
        <w:rPr>
          <w:sz w:val="22"/>
          <w:szCs w:val="22"/>
          <w:lang w:val="en-GB"/>
        </w:rPr>
        <w:t xml:space="preserve"> </w:t>
      </w:r>
      <w:r w:rsidR="00A93740" w:rsidRPr="00F26A3E">
        <w:rPr>
          <w:sz w:val="22"/>
          <w:szCs w:val="22"/>
          <w:lang w:val="en-GB"/>
        </w:rPr>
        <w:t>“practical</w:t>
      </w:r>
      <w:r w:rsidR="006B6676">
        <w:rPr>
          <w:sz w:val="22"/>
          <w:szCs w:val="22"/>
          <w:lang w:val="en-GB"/>
        </w:rPr>
        <w:t xml:space="preserve"> </w:t>
      </w:r>
      <w:r w:rsidRPr="00F26A3E">
        <w:rPr>
          <w:sz w:val="22"/>
          <w:szCs w:val="22"/>
          <w:lang w:val="en-GB"/>
        </w:rPr>
        <w:t>leisure</w:t>
      </w:r>
      <w:r w:rsidR="006B6676">
        <w:rPr>
          <w:sz w:val="22"/>
          <w:szCs w:val="22"/>
          <w:lang w:val="en-GB"/>
        </w:rPr>
        <w:t xml:space="preserve"> </w:t>
      </w:r>
      <w:r w:rsidRPr="00F26A3E">
        <w:rPr>
          <w:sz w:val="22"/>
          <w:szCs w:val="22"/>
          <w:lang w:val="en-GB"/>
        </w:rPr>
        <w:t>motorcycling</w:t>
      </w:r>
      <w:r>
        <w:rPr>
          <w:sz w:val="22"/>
          <w:szCs w:val="22"/>
          <w:lang w:val="en-GB"/>
        </w:rPr>
        <w:t>.”</w:t>
      </w:r>
      <w:r w:rsidRPr="00F26A3E">
        <w:rPr>
          <w:sz w:val="22"/>
          <w:szCs w:val="22"/>
          <w:vertAlign w:val="superscript"/>
          <w:lang w:val="en-GB"/>
        </w:rPr>
        <w:endnoteReference w:id="39"/>
      </w:r>
    </w:p>
    <w:p w14:paraId="2A949C87" w14:textId="77777777" w:rsidR="00CA6A0D" w:rsidRPr="00F26A3E" w:rsidRDefault="00CA6A0D" w:rsidP="00B607FC">
      <w:pPr>
        <w:jc w:val="both"/>
        <w:rPr>
          <w:sz w:val="22"/>
          <w:szCs w:val="22"/>
          <w:lang w:val="en-GB"/>
        </w:rPr>
      </w:pPr>
    </w:p>
    <w:p w14:paraId="22459FD7" w14:textId="6936193A" w:rsidR="00CA6A0D" w:rsidRDefault="00CA6A0D" w:rsidP="00B607FC">
      <w:pPr>
        <w:jc w:val="both"/>
        <w:rPr>
          <w:sz w:val="22"/>
          <w:szCs w:val="22"/>
          <w:lang w:val="en-GB"/>
        </w:rPr>
      </w:pPr>
      <w:r>
        <w:rPr>
          <w:sz w:val="22"/>
          <w:szCs w:val="22"/>
          <w:lang w:val="en-GB"/>
        </w:rPr>
        <w:lastRenderedPageBreak/>
        <w:t>From</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point</w:t>
      </w:r>
      <w:r w:rsidR="006B6676">
        <w:rPr>
          <w:sz w:val="22"/>
          <w:szCs w:val="22"/>
          <w:lang w:val="en-GB"/>
        </w:rPr>
        <w:t xml:space="preserve"> </w:t>
      </w:r>
      <w:r>
        <w:rPr>
          <w:sz w:val="22"/>
          <w:szCs w:val="22"/>
          <w:lang w:val="en-GB"/>
        </w:rPr>
        <w:t>on,</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sales</w:t>
      </w:r>
      <w:r w:rsidR="006B6676">
        <w:rPr>
          <w:sz w:val="22"/>
          <w:szCs w:val="22"/>
          <w:lang w:val="en-GB"/>
        </w:rPr>
        <w:t xml:space="preserve"> </w:t>
      </w:r>
      <w:r w:rsidRPr="00F26A3E">
        <w:rPr>
          <w:sz w:val="22"/>
          <w:szCs w:val="22"/>
          <w:lang w:val="en-GB"/>
        </w:rPr>
        <w:t>registered</w:t>
      </w:r>
      <w:r w:rsidR="006B6676">
        <w:rPr>
          <w:sz w:val="22"/>
          <w:szCs w:val="22"/>
          <w:lang w:val="en-GB"/>
        </w:rPr>
        <w:t xml:space="preserve"> </w:t>
      </w:r>
      <w:r w:rsidRPr="00F26A3E">
        <w:rPr>
          <w:sz w:val="22"/>
          <w:szCs w:val="22"/>
          <w:lang w:val="en-GB"/>
        </w:rPr>
        <w:t>unparalleled</w:t>
      </w:r>
      <w:r w:rsidR="006B6676">
        <w:rPr>
          <w:sz w:val="22"/>
          <w:szCs w:val="22"/>
          <w:lang w:val="en-GB"/>
        </w:rPr>
        <w:t xml:space="preserve"> </w:t>
      </w:r>
      <w:r w:rsidRPr="00F26A3E">
        <w:rPr>
          <w:sz w:val="22"/>
          <w:szCs w:val="22"/>
          <w:lang w:val="en-GB"/>
        </w:rPr>
        <w:t>growth.</w:t>
      </w:r>
      <w:r w:rsidR="006B6676">
        <w:rPr>
          <w:sz w:val="22"/>
          <w:szCs w:val="22"/>
          <w:lang w:val="en-GB"/>
        </w:rPr>
        <w:t xml:space="preserve"> </w:t>
      </w:r>
      <w:r>
        <w:rPr>
          <w:sz w:val="22"/>
          <w:szCs w:val="22"/>
          <w:lang w:val="en-GB"/>
        </w:rPr>
        <w:t>S</w:t>
      </w:r>
      <w:r w:rsidRPr="00F26A3E">
        <w:rPr>
          <w:sz w:val="22"/>
          <w:szCs w:val="22"/>
          <w:lang w:val="en-GB"/>
        </w:rPr>
        <w:t>ales</w:t>
      </w:r>
      <w:r w:rsidR="006B6676">
        <w:rPr>
          <w:sz w:val="22"/>
          <w:szCs w:val="22"/>
          <w:lang w:val="en-GB"/>
        </w:rPr>
        <w:t xml:space="preserve"> </w:t>
      </w:r>
      <w:r w:rsidRPr="00F26A3E">
        <w:rPr>
          <w:sz w:val="22"/>
          <w:szCs w:val="22"/>
          <w:lang w:val="en-GB"/>
        </w:rPr>
        <w:t>increased</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52,576</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2010</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823,828</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2019</w:t>
      </w:r>
      <w:r w:rsidR="006B6676">
        <w:rPr>
          <w:sz w:val="22"/>
          <w:szCs w:val="22"/>
          <w:lang w:val="en-GB"/>
        </w:rPr>
        <w:t xml:space="preserve"> </w:t>
      </w:r>
      <w:r>
        <w:rPr>
          <w:sz w:val="22"/>
          <w:szCs w:val="22"/>
          <w:lang w:val="en-GB"/>
        </w:rPr>
        <w:t>(see</w:t>
      </w:r>
      <w:r w:rsidR="006B6676">
        <w:rPr>
          <w:sz w:val="22"/>
          <w:szCs w:val="22"/>
          <w:lang w:val="en-GB"/>
        </w:rPr>
        <w:t xml:space="preserve"> </w:t>
      </w:r>
      <w:r w:rsidRPr="00F26A3E">
        <w:rPr>
          <w:sz w:val="22"/>
          <w:szCs w:val="22"/>
          <w:lang w:val="en-GB"/>
        </w:rPr>
        <w:t>Exhibit</w:t>
      </w:r>
      <w:r w:rsidR="006B6676">
        <w:rPr>
          <w:sz w:val="22"/>
          <w:szCs w:val="22"/>
          <w:lang w:val="en-GB"/>
        </w:rPr>
        <w:t xml:space="preserve"> </w:t>
      </w:r>
      <w:r w:rsidRPr="00F26A3E">
        <w:rPr>
          <w:sz w:val="22"/>
          <w:szCs w:val="22"/>
          <w:lang w:val="en-GB"/>
        </w:rPr>
        <w:t>3</w:t>
      </w:r>
      <w:r>
        <w:rPr>
          <w:sz w:val="22"/>
          <w:szCs w:val="22"/>
          <w:lang w:val="en-GB"/>
        </w:rPr>
        <w:t>)</w:t>
      </w:r>
      <w:r w:rsidRPr="00F26A3E">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carefully</w:t>
      </w:r>
      <w:r w:rsidR="006B6676">
        <w:rPr>
          <w:sz w:val="22"/>
          <w:szCs w:val="22"/>
          <w:lang w:val="en-GB"/>
        </w:rPr>
        <w:t xml:space="preserve"> </w:t>
      </w:r>
      <w:r>
        <w:rPr>
          <w:sz w:val="22"/>
          <w:szCs w:val="22"/>
          <w:lang w:val="en-GB"/>
        </w:rPr>
        <w:t>considered</w:t>
      </w:r>
      <w:r w:rsidR="006B6676">
        <w:rPr>
          <w:sz w:val="22"/>
          <w:szCs w:val="22"/>
          <w:lang w:val="en-GB"/>
        </w:rPr>
        <w:t xml:space="preserve"> </w:t>
      </w:r>
      <w:r>
        <w:rPr>
          <w:sz w:val="22"/>
          <w:szCs w:val="22"/>
          <w:lang w:val="en-GB"/>
        </w:rPr>
        <w:t>all</w:t>
      </w:r>
      <w:r w:rsidR="006B6676">
        <w:rPr>
          <w:sz w:val="22"/>
          <w:szCs w:val="22"/>
          <w:lang w:val="en-GB"/>
        </w:rPr>
        <w:t xml:space="preserve"> </w:t>
      </w:r>
      <w:r>
        <w:rPr>
          <w:sz w:val="22"/>
          <w:szCs w:val="22"/>
          <w:lang w:val="en-GB"/>
        </w:rPr>
        <w:t>relevant</w:t>
      </w:r>
      <w:r w:rsidR="006B6676">
        <w:rPr>
          <w:sz w:val="22"/>
          <w:szCs w:val="22"/>
          <w:lang w:val="en-GB"/>
        </w:rPr>
        <w:t xml:space="preserve"> </w:t>
      </w:r>
      <w:r>
        <w:rPr>
          <w:sz w:val="22"/>
          <w:szCs w:val="22"/>
          <w:lang w:val="en-GB"/>
        </w:rPr>
        <w:t>factors</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ensure</w:t>
      </w:r>
      <w:r w:rsidR="006B6676">
        <w:rPr>
          <w:sz w:val="22"/>
          <w:szCs w:val="22"/>
          <w:lang w:val="en-GB"/>
        </w:rPr>
        <w:t xml:space="preserve"> </w:t>
      </w:r>
      <w:r>
        <w:rPr>
          <w:sz w:val="22"/>
          <w:szCs w:val="22"/>
          <w:lang w:val="en-GB"/>
        </w:rPr>
        <w:t>such</w:t>
      </w:r>
      <w:r w:rsidR="006B6676">
        <w:rPr>
          <w:sz w:val="22"/>
          <w:szCs w:val="22"/>
          <w:lang w:val="en-GB"/>
        </w:rPr>
        <w:t xml:space="preserve"> </w:t>
      </w:r>
      <w:r w:rsidRPr="00F26A3E">
        <w:rPr>
          <w:sz w:val="22"/>
          <w:szCs w:val="22"/>
          <w:lang w:val="en-GB"/>
        </w:rPr>
        <w:t>phenomenal</w:t>
      </w:r>
      <w:r w:rsidR="006B6676">
        <w:rPr>
          <w:sz w:val="22"/>
          <w:szCs w:val="22"/>
          <w:lang w:val="en-GB"/>
        </w:rPr>
        <w:t xml:space="preserve"> </w:t>
      </w:r>
      <w:r w:rsidRPr="00F26A3E">
        <w:rPr>
          <w:sz w:val="22"/>
          <w:szCs w:val="22"/>
          <w:lang w:val="en-GB"/>
        </w:rPr>
        <w:t>growth.</w:t>
      </w:r>
    </w:p>
    <w:p w14:paraId="640A6698" w14:textId="77777777" w:rsidR="00CA6A0D" w:rsidRDefault="00CA6A0D" w:rsidP="00B607FC">
      <w:pPr>
        <w:jc w:val="both"/>
        <w:rPr>
          <w:sz w:val="22"/>
          <w:szCs w:val="22"/>
          <w:lang w:val="en-GB"/>
        </w:rPr>
      </w:pPr>
    </w:p>
    <w:p w14:paraId="7E0EB37A" w14:textId="77777777" w:rsidR="00CA6A0D" w:rsidRDefault="00CA6A0D" w:rsidP="00B607FC">
      <w:pPr>
        <w:jc w:val="both"/>
        <w:rPr>
          <w:sz w:val="22"/>
          <w:szCs w:val="22"/>
          <w:lang w:val="en-GB"/>
        </w:rPr>
      </w:pPr>
    </w:p>
    <w:p w14:paraId="15083C7E" w14:textId="2CC7E3F7" w:rsidR="00CA6A0D" w:rsidRPr="00F26A3E" w:rsidRDefault="00CA6A0D" w:rsidP="00F268A5">
      <w:pPr>
        <w:pStyle w:val="Casehead2"/>
        <w:rPr>
          <w:lang w:val="en-GB"/>
        </w:rPr>
      </w:pPr>
      <w:r w:rsidRPr="00F26A3E">
        <w:rPr>
          <w:lang w:val="en-GB"/>
        </w:rPr>
        <w:t>Product</w:t>
      </w:r>
      <w:r w:rsidR="006B6676">
        <w:rPr>
          <w:lang w:val="en-GB"/>
        </w:rPr>
        <w:t xml:space="preserve"> </w:t>
      </w:r>
      <w:r w:rsidRPr="00F26A3E">
        <w:rPr>
          <w:lang w:val="en-GB"/>
        </w:rPr>
        <w:t>Portfolio</w:t>
      </w:r>
      <w:r w:rsidR="006B6676">
        <w:rPr>
          <w:lang w:val="en-GB"/>
        </w:rPr>
        <w:t xml:space="preserve"> </w:t>
      </w:r>
      <w:r w:rsidRPr="00F26A3E">
        <w:rPr>
          <w:lang w:val="en-GB"/>
        </w:rPr>
        <w:t>and</w:t>
      </w:r>
      <w:r w:rsidR="006B6676">
        <w:rPr>
          <w:lang w:val="en-GB"/>
        </w:rPr>
        <w:t xml:space="preserve"> </w:t>
      </w:r>
      <w:r w:rsidRPr="00F26A3E">
        <w:rPr>
          <w:lang w:val="en-GB"/>
        </w:rPr>
        <w:t>Pricing</w:t>
      </w:r>
    </w:p>
    <w:p w14:paraId="78057A46" w14:textId="77777777" w:rsidR="00CA6A0D" w:rsidRPr="00F26A3E" w:rsidRDefault="00CA6A0D" w:rsidP="00B607FC">
      <w:pPr>
        <w:jc w:val="both"/>
        <w:rPr>
          <w:sz w:val="22"/>
          <w:szCs w:val="22"/>
          <w:lang w:val="en-GB"/>
        </w:rPr>
      </w:pPr>
    </w:p>
    <w:p w14:paraId="0530BABB" w14:textId="5F3A6B68" w:rsidR="00CA6A0D" w:rsidRPr="00195AC2" w:rsidRDefault="00CA6A0D" w:rsidP="00B607FC">
      <w:pPr>
        <w:jc w:val="both"/>
        <w:rPr>
          <w:spacing w:val="-2"/>
          <w:sz w:val="22"/>
          <w:szCs w:val="22"/>
          <w:lang w:val="en-GB"/>
        </w:rPr>
      </w:pPr>
      <w:r w:rsidRPr="00195AC2">
        <w:rPr>
          <w:spacing w:val="-2"/>
          <w:sz w:val="22"/>
          <w:szCs w:val="22"/>
          <w:lang w:val="en-GB"/>
        </w:rPr>
        <w:t>As</w:t>
      </w:r>
      <w:r w:rsidR="006B6676">
        <w:rPr>
          <w:spacing w:val="-2"/>
          <w:sz w:val="22"/>
          <w:szCs w:val="22"/>
          <w:lang w:val="en-GB"/>
        </w:rPr>
        <w:t xml:space="preserve"> </w:t>
      </w:r>
      <w:r w:rsidRPr="00195AC2">
        <w:rPr>
          <w:spacing w:val="-2"/>
          <w:sz w:val="22"/>
          <w:szCs w:val="22"/>
          <w:lang w:val="en-GB"/>
        </w:rPr>
        <w:t>Royal</w:t>
      </w:r>
      <w:r w:rsidR="006B6676">
        <w:rPr>
          <w:spacing w:val="-2"/>
          <w:sz w:val="22"/>
          <w:szCs w:val="22"/>
          <w:lang w:val="en-GB"/>
        </w:rPr>
        <w:t xml:space="preserve"> </w:t>
      </w:r>
      <w:r w:rsidRPr="00195AC2">
        <w:rPr>
          <w:spacing w:val="-2"/>
          <w:sz w:val="22"/>
          <w:szCs w:val="22"/>
          <w:lang w:val="en-GB"/>
        </w:rPr>
        <w:t>Enfield</w:t>
      </w:r>
      <w:r w:rsidR="006B6676">
        <w:rPr>
          <w:spacing w:val="-2"/>
          <w:sz w:val="22"/>
          <w:szCs w:val="22"/>
          <w:lang w:val="en-GB"/>
        </w:rPr>
        <w:t xml:space="preserve"> </w:t>
      </w:r>
      <w:r w:rsidRPr="00195AC2">
        <w:rPr>
          <w:spacing w:val="-2"/>
          <w:sz w:val="22"/>
          <w:szCs w:val="22"/>
          <w:lang w:val="en-GB"/>
        </w:rPr>
        <w:t>grew</w:t>
      </w:r>
      <w:r w:rsidR="006B6676">
        <w:rPr>
          <w:spacing w:val="-2"/>
          <w:sz w:val="22"/>
          <w:szCs w:val="22"/>
          <w:lang w:val="en-GB"/>
        </w:rPr>
        <w:t xml:space="preserve"> </w:t>
      </w:r>
      <w:r w:rsidRPr="00195AC2">
        <w:rPr>
          <w:spacing w:val="-2"/>
          <w:sz w:val="22"/>
          <w:szCs w:val="22"/>
          <w:lang w:val="en-GB"/>
        </w:rPr>
        <w:t>its</w:t>
      </w:r>
      <w:r w:rsidR="006B6676">
        <w:rPr>
          <w:spacing w:val="-2"/>
          <w:sz w:val="22"/>
          <w:szCs w:val="22"/>
          <w:lang w:val="en-GB"/>
        </w:rPr>
        <w:t xml:space="preserve"> </w:t>
      </w:r>
      <w:r w:rsidRPr="00195AC2">
        <w:rPr>
          <w:spacing w:val="-2"/>
          <w:sz w:val="22"/>
          <w:szCs w:val="22"/>
          <w:lang w:val="en-GB"/>
        </w:rPr>
        <w:t>consumer</w:t>
      </w:r>
      <w:r w:rsidR="006B6676">
        <w:rPr>
          <w:spacing w:val="-2"/>
          <w:sz w:val="22"/>
          <w:szCs w:val="22"/>
          <w:lang w:val="en-GB"/>
        </w:rPr>
        <w:t xml:space="preserve"> </w:t>
      </w:r>
      <w:r w:rsidRPr="00195AC2">
        <w:rPr>
          <w:spacing w:val="-2"/>
          <w:sz w:val="22"/>
          <w:szCs w:val="22"/>
          <w:lang w:val="en-GB"/>
        </w:rPr>
        <w:t>base,</w:t>
      </w:r>
      <w:r w:rsidR="006B6676">
        <w:rPr>
          <w:spacing w:val="-2"/>
          <w:sz w:val="22"/>
          <w:szCs w:val="22"/>
          <w:lang w:val="en-GB"/>
        </w:rPr>
        <w:t xml:space="preserve"> </w:t>
      </w:r>
      <w:r w:rsidR="00A93740" w:rsidRPr="00195AC2">
        <w:rPr>
          <w:spacing w:val="-2"/>
          <w:sz w:val="22"/>
          <w:szCs w:val="22"/>
          <w:lang w:val="en-GB"/>
        </w:rPr>
        <w:t>it</w:t>
      </w:r>
      <w:r w:rsidR="006B6676">
        <w:rPr>
          <w:spacing w:val="-2"/>
          <w:sz w:val="22"/>
          <w:szCs w:val="22"/>
          <w:lang w:val="en-GB"/>
        </w:rPr>
        <w:t xml:space="preserve"> </w:t>
      </w:r>
      <w:r w:rsidR="00A93740" w:rsidRPr="00195AC2">
        <w:rPr>
          <w:spacing w:val="-2"/>
          <w:sz w:val="22"/>
          <w:szCs w:val="22"/>
          <w:lang w:val="en-GB"/>
        </w:rPr>
        <w:t>began</w:t>
      </w:r>
      <w:r w:rsidR="006B6676">
        <w:rPr>
          <w:spacing w:val="-2"/>
          <w:sz w:val="22"/>
          <w:szCs w:val="22"/>
          <w:lang w:val="en-GB"/>
        </w:rPr>
        <w:t xml:space="preserve"> </w:t>
      </w:r>
      <w:r w:rsidRPr="00195AC2">
        <w:rPr>
          <w:spacing w:val="-2"/>
          <w:sz w:val="22"/>
          <w:szCs w:val="22"/>
          <w:lang w:val="en-GB"/>
        </w:rPr>
        <w:t>introducing</w:t>
      </w:r>
      <w:r w:rsidR="006B6676">
        <w:rPr>
          <w:spacing w:val="-2"/>
          <w:sz w:val="22"/>
          <w:szCs w:val="22"/>
          <w:lang w:val="en-GB"/>
        </w:rPr>
        <w:t xml:space="preserve"> </w:t>
      </w:r>
      <w:r w:rsidRPr="00195AC2">
        <w:rPr>
          <w:spacing w:val="-2"/>
          <w:sz w:val="22"/>
          <w:szCs w:val="22"/>
          <w:lang w:val="en-GB"/>
        </w:rPr>
        <w:t>new</w:t>
      </w:r>
      <w:r w:rsidR="006B6676">
        <w:rPr>
          <w:spacing w:val="-2"/>
          <w:sz w:val="22"/>
          <w:szCs w:val="22"/>
          <w:lang w:val="en-GB"/>
        </w:rPr>
        <w:t xml:space="preserve"> </w:t>
      </w:r>
      <w:r w:rsidRPr="00195AC2">
        <w:rPr>
          <w:spacing w:val="-2"/>
          <w:sz w:val="22"/>
          <w:szCs w:val="22"/>
          <w:lang w:val="en-GB"/>
        </w:rPr>
        <w:t>motorcycle</w:t>
      </w:r>
      <w:r w:rsidR="006B6676">
        <w:rPr>
          <w:spacing w:val="-2"/>
          <w:sz w:val="22"/>
          <w:szCs w:val="22"/>
          <w:lang w:val="en-GB"/>
        </w:rPr>
        <w:t xml:space="preserve"> </w:t>
      </w:r>
      <w:r w:rsidRPr="00195AC2">
        <w:rPr>
          <w:spacing w:val="-2"/>
          <w:sz w:val="22"/>
          <w:szCs w:val="22"/>
          <w:lang w:val="en-GB"/>
        </w:rPr>
        <w:t>models</w:t>
      </w:r>
      <w:r w:rsidR="006B6676">
        <w:rPr>
          <w:spacing w:val="-2"/>
          <w:sz w:val="22"/>
          <w:szCs w:val="22"/>
          <w:lang w:val="en-GB"/>
        </w:rPr>
        <w:t xml:space="preserve"> </w:t>
      </w:r>
      <w:r w:rsidRPr="00195AC2">
        <w:rPr>
          <w:spacing w:val="-2"/>
          <w:sz w:val="22"/>
          <w:szCs w:val="22"/>
          <w:lang w:val="en-GB"/>
        </w:rPr>
        <w:t>to</w:t>
      </w:r>
      <w:r w:rsidR="006B6676">
        <w:rPr>
          <w:spacing w:val="-2"/>
          <w:sz w:val="22"/>
          <w:szCs w:val="22"/>
          <w:lang w:val="en-GB"/>
        </w:rPr>
        <w:t xml:space="preserve"> </w:t>
      </w:r>
      <w:r w:rsidRPr="00195AC2">
        <w:rPr>
          <w:spacing w:val="-2"/>
          <w:sz w:val="22"/>
          <w:szCs w:val="22"/>
          <w:lang w:val="en-GB"/>
        </w:rPr>
        <w:t>appeal</w:t>
      </w:r>
      <w:r w:rsidR="006B6676">
        <w:rPr>
          <w:spacing w:val="-2"/>
          <w:sz w:val="22"/>
          <w:szCs w:val="22"/>
          <w:lang w:val="en-GB"/>
        </w:rPr>
        <w:t xml:space="preserve"> </w:t>
      </w:r>
      <w:r w:rsidRPr="00195AC2">
        <w:rPr>
          <w:spacing w:val="-2"/>
          <w:sz w:val="22"/>
          <w:szCs w:val="22"/>
          <w:lang w:val="en-GB"/>
        </w:rPr>
        <w:t>to</w:t>
      </w:r>
      <w:r w:rsidR="006B6676">
        <w:rPr>
          <w:spacing w:val="-2"/>
          <w:sz w:val="22"/>
          <w:szCs w:val="22"/>
          <w:lang w:val="en-GB"/>
        </w:rPr>
        <w:t xml:space="preserve"> </w:t>
      </w:r>
      <w:r w:rsidRPr="00195AC2">
        <w:rPr>
          <w:spacing w:val="-2"/>
          <w:sz w:val="22"/>
          <w:szCs w:val="22"/>
          <w:lang w:val="en-GB"/>
        </w:rPr>
        <w:t>a</w:t>
      </w:r>
      <w:r w:rsidR="006B6676">
        <w:rPr>
          <w:spacing w:val="-2"/>
          <w:sz w:val="22"/>
          <w:szCs w:val="22"/>
          <w:lang w:val="en-GB"/>
        </w:rPr>
        <w:t xml:space="preserve"> </w:t>
      </w:r>
      <w:r w:rsidRPr="00195AC2">
        <w:rPr>
          <w:spacing w:val="-2"/>
          <w:sz w:val="22"/>
          <w:szCs w:val="22"/>
          <w:lang w:val="en-GB"/>
        </w:rPr>
        <w:t>wider</w:t>
      </w:r>
      <w:r w:rsidR="006B6676">
        <w:rPr>
          <w:spacing w:val="-2"/>
          <w:sz w:val="22"/>
          <w:szCs w:val="22"/>
          <w:lang w:val="en-GB"/>
        </w:rPr>
        <w:t xml:space="preserve"> </w:t>
      </w:r>
      <w:r w:rsidRPr="00195AC2">
        <w:rPr>
          <w:spacing w:val="-2"/>
          <w:sz w:val="22"/>
          <w:szCs w:val="22"/>
          <w:lang w:val="en-GB"/>
        </w:rPr>
        <w:t>target</w:t>
      </w:r>
      <w:r w:rsidR="006B6676">
        <w:rPr>
          <w:spacing w:val="-2"/>
          <w:sz w:val="22"/>
          <w:szCs w:val="22"/>
          <w:lang w:val="en-GB"/>
        </w:rPr>
        <w:t xml:space="preserve"> </w:t>
      </w:r>
      <w:r w:rsidRPr="00195AC2">
        <w:rPr>
          <w:spacing w:val="-2"/>
          <w:sz w:val="22"/>
          <w:szCs w:val="22"/>
          <w:lang w:val="en-GB"/>
        </w:rPr>
        <w:t>market.</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company’s</w:t>
      </w:r>
      <w:r w:rsidR="006B6676">
        <w:rPr>
          <w:spacing w:val="-2"/>
          <w:sz w:val="22"/>
          <w:szCs w:val="22"/>
          <w:lang w:val="en-GB"/>
        </w:rPr>
        <w:t xml:space="preserve"> </w:t>
      </w:r>
      <w:r w:rsidRPr="00195AC2">
        <w:rPr>
          <w:spacing w:val="-2"/>
          <w:sz w:val="22"/>
          <w:szCs w:val="22"/>
          <w:lang w:val="en-GB"/>
        </w:rPr>
        <w:t>portfolio</w:t>
      </w:r>
      <w:r w:rsidR="006B6676">
        <w:rPr>
          <w:spacing w:val="-2"/>
          <w:sz w:val="22"/>
          <w:szCs w:val="22"/>
          <w:lang w:val="en-GB"/>
        </w:rPr>
        <w:t xml:space="preserve"> </w:t>
      </w:r>
      <w:r w:rsidRPr="00195AC2">
        <w:rPr>
          <w:spacing w:val="-2"/>
          <w:sz w:val="22"/>
          <w:szCs w:val="22"/>
          <w:lang w:val="en-GB"/>
        </w:rPr>
        <w:t>included</w:t>
      </w:r>
      <w:r w:rsidR="006B6676">
        <w:rPr>
          <w:spacing w:val="-2"/>
          <w:sz w:val="22"/>
          <w:szCs w:val="22"/>
          <w:lang w:val="en-GB"/>
        </w:rPr>
        <w:t xml:space="preserve"> </w:t>
      </w:r>
      <w:r w:rsidRPr="00195AC2">
        <w:rPr>
          <w:spacing w:val="-2"/>
          <w:sz w:val="22"/>
          <w:szCs w:val="22"/>
          <w:lang w:val="en-GB"/>
        </w:rPr>
        <w:t>Bullet,</w:t>
      </w:r>
      <w:r w:rsidR="006B6676">
        <w:rPr>
          <w:spacing w:val="-2"/>
          <w:sz w:val="22"/>
          <w:szCs w:val="22"/>
          <w:lang w:val="en-GB"/>
        </w:rPr>
        <w:t xml:space="preserve"> </w:t>
      </w:r>
      <w:r w:rsidRPr="00195AC2">
        <w:rPr>
          <w:spacing w:val="-2"/>
          <w:sz w:val="22"/>
          <w:szCs w:val="22"/>
          <w:lang w:val="en-GB"/>
        </w:rPr>
        <w:t>Classic,</w:t>
      </w:r>
      <w:r w:rsidR="006B6676">
        <w:rPr>
          <w:spacing w:val="-2"/>
          <w:sz w:val="22"/>
          <w:szCs w:val="22"/>
          <w:lang w:val="en-GB"/>
        </w:rPr>
        <w:t xml:space="preserve"> </w:t>
      </w:r>
      <w:r w:rsidRPr="00195AC2">
        <w:rPr>
          <w:spacing w:val="-2"/>
          <w:sz w:val="22"/>
          <w:szCs w:val="22"/>
          <w:lang w:val="en-GB"/>
        </w:rPr>
        <w:t>Thunderbird,</w:t>
      </w:r>
      <w:r w:rsidR="006B6676">
        <w:rPr>
          <w:spacing w:val="-2"/>
          <w:sz w:val="22"/>
          <w:szCs w:val="22"/>
          <w:lang w:val="en-GB"/>
        </w:rPr>
        <w:t xml:space="preserve"> </w:t>
      </w:r>
      <w:r w:rsidRPr="00195AC2">
        <w:rPr>
          <w:spacing w:val="-2"/>
          <w:sz w:val="22"/>
          <w:szCs w:val="22"/>
          <w:lang w:val="en-GB"/>
        </w:rPr>
        <w:t>Himalayan,</w:t>
      </w:r>
      <w:r w:rsidR="006B6676">
        <w:rPr>
          <w:spacing w:val="-2"/>
          <w:sz w:val="22"/>
          <w:szCs w:val="22"/>
          <w:lang w:val="en-GB"/>
        </w:rPr>
        <w:t xml:space="preserve"> </w:t>
      </w:r>
      <w:r w:rsidRPr="00195AC2">
        <w:rPr>
          <w:spacing w:val="-2"/>
          <w:sz w:val="22"/>
          <w:szCs w:val="22"/>
          <w:lang w:val="en-GB"/>
        </w:rPr>
        <w:t>Interceptor</w:t>
      </w:r>
      <w:r w:rsidR="006B6676">
        <w:rPr>
          <w:spacing w:val="-2"/>
          <w:sz w:val="22"/>
          <w:szCs w:val="22"/>
          <w:lang w:val="en-GB"/>
        </w:rPr>
        <w:t xml:space="preserve"> </w:t>
      </w:r>
      <w:r w:rsidRPr="00195AC2">
        <w:rPr>
          <w:spacing w:val="-2"/>
          <w:sz w:val="22"/>
          <w:szCs w:val="22"/>
          <w:lang w:val="en-GB"/>
        </w:rPr>
        <w:t>650,</w:t>
      </w:r>
      <w:r w:rsidR="006B6676">
        <w:rPr>
          <w:spacing w:val="-2"/>
          <w:sz w:val="22"/>
          <w:szCs w:val="22"/>
          <w:lang w:val="en-GB"/>
        </w:rPr>
        <w:t xml:space="preserve"> </w:t>
      </w:r>
      <w:r w:rsidRPr="00195AC2">
        <w:rPr>
          <w:spacing w:val="-2"/>
          <w:sz w:val="22"/>
          <w:szCs w:val="22"/>
          <w:lang w:val="en-GB"/>
        </w:rPr>
        <w:t>and</w:t>
      </w:r>
      <w:r w:rsidR="006B6676">
        <w:rPr>
          <w:spacing w:val="-2"/>
          <w:sz w:val="22"/>
          <w:szCs w:val="22"/>
          <w:lang w:val="en-GB"/>
        </w:rPr>
        <w:t xml:space="preserve"> </w:t>
      </w:r>
      <w:r w:rsidRPr="00195AC2">
        <w:rPr>
          <w:spacing w:val="-2"/>
          <w:sz w:val="22"/>
          <w:szCs w:val="22"/>
          <w:lang w:val="en-GB"/>
        </w:rPr>
        <w:t>Continental</w:t>
      </w:r>
      <w:r w:rsidR="006B6676">
        <w:rPr>
          <w:spacing w:val="-2"/>
          <w:sz w:val="22"/>
          <w:szCs w:val="22"/>
          <w:lang w:val="en-GB"/>
        </w:rPr>
        <w:t xml:space="preserve"> </w:t>
      </w:r>
      <w:r w:rsidRPr="00195AC2">
        <w:rPr>
          <w:spacing w:val="-2"/>
          <w:sz w:val="22"/>
          <w:szCs w:val="22"/>
          <w:lang w:val="en-GB"/>
        </w:rPr>
        <w:t>GT</w:t>
      </w:r>
      <w:r w:rsidR="006B6676">
        <w:rPr>
          <w:spacing w:val="-2"/>
          <w:sz w:val="22"/>
          <w:szCs w:val="22"/>
          <w:lang w:val="en-GB"/>
        </w:rPr>
        <w:t xml:space="preserve"> </w:t>
      </w:r>
      <w:r w:rsidRPr="00195AC2">
        <w:rPr>
          <w:spacing w:val="-2"/>
          <w:sz w:val="22"/>
          <w:szCs w:val="22"/>
          <w:lang w:val="en-GB"/>
        </w:rPr>
        <w:t>650.</w:t>
      </w:r>
      <w:r w:rsidRPr="00195AC2">
        <w:rPr>
          <w:spacing w:val="-2"/>
          <w:sz w:val="22"/>
          <w:szCs w:val="22"/>
          <w:vertAlign w:val="superscript"/>
          <w:lang w:val="en-GB"/>
        </w:rPr>
        <w:endnoteReference w:id="40"/>
      </w:r>
      <w:r w:rsidR="006B6676">
        <w:rPr>
          <w:spacing w:val="-2"/>
          <w:sz w:val="22"/>
          <w:szCs w:val="22"/>
          <w:lang w:val="en-GB"/>
        </w:rPr>
        <w:t xml:space="preserve"> </w:t>
      </w:r>
      <w:r w:rsidRPr="00195AC2">
        <w:rPr>
          <w:spacing w:val="-2"/>
          <w:sz w:val="22"/>
          <w:szCs w:val="22"/>
          <w:lang w:val="en-GB"/>
        </w:rPr>
        <w:t>Two</w:t>
      </w:r>
      <w:r w:rsidR="006B6676">
        <w:rPr>
          <w:spacing w:val="-2"/>
          <w:sz w:val="22"/>
          <w:szCs w:val="22"/>
          <w:lang w:val="en-GB"/>
        </w:rPr>
        <w:t xml:space="preserve"> </w:t>
      </w:r>
      <w:r w:rsidRPr="00195AC2">
        <w:rPr>
          <w:spacing w:val="-2"/>
          <w:sz w:val="22"/>
          <w:szCs w:val="22"/>
          <w:lang w:val="en-GB"/>
        </w:rPr>
        <w:t>models—Bullet</w:t>
      </w:r>
      <w:r w:rsidR="006B6676">
        <w:rPr>
          <w:spacing w:val="-2"/>
          <w:sz w:val="22"/>
          <w:szCs w:val="22"/>
          <w:lang w:val="en-GB"/>
        </w:rPr>
        <w:t xml:space="preserve"> </w:t>
      </w:r>
      <w:r w:rsidRPr="00195AC2">
        <w:rPr>
          <w:spacing w:val="-2"/>
          <w:sz w:val="22"/>
          <w:szCs w:val="22"/>
          <w:lang w:val="en-GB"/>
        </w:rPr>
        <w:t>and</w:t>
      </w:r>
      <w:r w:rsidR="006B6676">
        <w:rPr>
          <w:spacing w:val="-2"/>
          <w:sz w:val="22"/>
          <w:szCs w:val="22"/>
          <w:lang w:val="en-GB"/>
        </w:rPr>
        <w:t xml:space="preserve"> </w:t>
      </w:r>
      <w:r w:rsidRPr="00195AC2">
        <w:rPr>
          <w:spacing w:val="-2"/>
          <w:sz w:val="22"/>
          <w:szCs w:val="22"/>
          <w:lang w:val="en-GB"/>
        </w:rPr>
        <w:t>Classic—became</w:t>
      </w:r>
      <w:r w:rsidR="006B6676">
        <w:rPr>
          <w:spacing w:val="-2"/>
          <w:sz w:val="22"/>
          <w:szCs w:val="22"/>
          <w:lang w:val="en-GB"/>
        </w:rPr>
        <w:t xml:space="preserve"> </w:t>
      </w:r>
      <w:r w:rsidRPr="00195AC2">
        <w:rPr>
          <w:spacing w:val="-2"/>
          <w:sz w:val="22"/>
          <w:szCs w:val="22"/>
          <w:lang w:val="en-GB"/>
        </w:rPr>
        <w:t>synonymous</w:t>
      </w:r>
      <w:r w:rsidR="006B6676">
        <w:rPr>
          <w:spacing w:val="-2"/>
          <w:sz w:val="22"/>
          <w:szCs w:val="22"/>
          <w:lang w:val="en-GB"/>
        </w:rPr>
        <w:t xml:space="preserve"> </w:t>
      </w:r>
      <w:r w:rsidRPr="00195AC2">
        <w:rPr>
          <w:spacing w:val="-2"/>
          <w:sz w:val="22"/>
          <w:szCs w:val="22"/>
          <w:lang w:val="en-GB"/>
        </w:rPr>
        <w:t>with</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Royal</w:t>
      </w:r>
      <w:r w:rsidR="006B6676">
        <w:rPr>
          <w:spacing w:val="-2"/>
          <w:sz w:val="22"/>
          <w:szCs w:val="22"/>
          <w:lang w:val="en-GB"/>
        </w:rPr>
        <w:t xml:space="preserve"> </w:t>
      </w:r>
      <w:r w:rsidRPr="00195AC2">
        <w:rPr>
          <w:spacing w:val="-2"/>
          <w:sz w:val="22"/>
          <w:szCs w:val="22"/>
          <w:lang w:val="en-GB"/>
        </w:rPr>
        <w:t>Enfield</w:t>
      </w:r>
      <w:r w:rsidR="006B6676">
        <w:rPr>
          <w:spacing w:val="-2"/>
          <w:sz w:val="22"/>
          <w:szCs w:val="22"/>
          <w:lang w:val="en-GB"/>
        </w:rPr>
        <w:t xml:space="preserve"> </w:t>
      </w:r>
      <w:r w:rsidRPr="00195AC2">
        <w:rPr>
          <w:spacing w:val="-2"/>
          <w:sz w:val="22"/>
          <w:szCs w:val="22"/>
          <w:lang w:val="en-GB"/>
        </w:rPr>
        <w:t>brand.</w:t>
      </w:r>
      <w:r w:rsidR="006B6676">
        <w:rPr>
          <w:spacing w:val="-2"/>
          <w:sz w:val="22"/>
          <w:szCs w:val="22"/>
          <w:lang w:val="en-GB"/>
        </w:rPr>
        <w:t xml:space="preserve"> </w:t>
      </w:r>
      <w:r w:rsidRPr="00195AC2">
        <w:rPr>
          <w:spacing w:val="-2"/>
          <w:sz w:val="22"/>
          <w:szCs w:val="22"/>
          <w:lang w:val="en-GB"/>
        </w:rPr>
        <w:t>In</w:t>
      </w:r>
      <w:r w:rsidR="006B6676">
        <w:rPr>
          <w:spacing w:val="-2"/>
          <w:sz w:val="22"/>
          <w:szCs w:val="22"/>
          <w:lang w:val="en-GB"/>
        </w:rPr>
        <w:t xml:space="preserve"> </w:t>
      </w:r>
      <w:r w:rsidRPr="00195AC2">
        <w:rPr>
          <w:spacing w:val="-2"/>
          <w:sz w:val="22"/>
          <w:szCs w:val="22"/>
          <w:lang w:val="en-GB"/>
        </w:rPr>
        <w:t>the</w:t>
      </w:r>
      <w:r w:rsidR="006B6676">
        <w:rPr>
          <w:spacing w:val="-2"/>
          <w:sz w:val="22"/>
          <w:szCs w:val="22"/>
          <w:lang w:val="en-GB"/>
        </w:rPr>
        <w:t xml:space="preserve"> </w:t>
      </w:r>
      <w:r w:rsidRPr="00195AC2">
        <w:rPr>
          <w:spacing w:val="-2"/>
          <w:sz w:val="22"/>
          <w:szCs w:val="22"/>
          <w:lang w:val="en-GB"/>
        </w:rPr>
        <w:t>350cc</w:t>
      </w:r>
      <w:r w:rsidR="006B6676">
        <w:rPr>
          <w:spacing w:val="-2"/>
          <w:sz w:val="22"/>
          <w:szCs w:val="22"/>
          <w:lang w:val="en-GB"/>
        </w:rPr>
        <w:t xml:space="preserve"> </w:t>
      </w:r>
      <w:r w:rsidRPr="00195AC2">
        <w:rPr>
          <w:spacing w:val="-2"/>
          <w:sz w:val="22"/>
          <w:szCs w:val="22"/>
          <w:lang w:val="en-GB"/>
        </w:rPr>
        <w:t>engine</w:t>
      </w:r>
      <w:r w:rsidR="006B6676">
        <w:rPr>
          <w:spacing w:val="-2"/>
          <w:sz w:val="22"/>
          <w:szCs w:val="22"/>
          <w:lang w:val="en-GB"/>
        </w:rPr>
        <w:t xml:space="preserve"> </w:t>
      </w:r>
      <w:r w:rsidRPr="00195AC2">
        <w:rPr>
          <w:spacing w:val="-2"/>
          <w:sz w:val="22"/>
          <w:szCs w:val="22"/>
          <w:lang w:val="en-GB"/>
        </w:rPr>
        <w:t>displacement</w:t>
      </w:r>
      <w:r w:rsidR="006B6676">
        <w:rPr>
          <w:spacing w:val="-2"/>
          <w:sz w:val="22"/>
          <w:szCs w:val="22"/>
          <w:lang w:val="en-GB"/>
        </w:rPr>
        <w:t xml:space="preserve"> </w:t>
      </w:r>
      <w:r w:rsidRPr="00195AC2">
        <w:rPr>
          <w:spacing w:val="-2"/>
          <w:sz w:val="22"/>
          <w:szCs w:val="22"/>
          <w:lang w:val="en-GB"/>
        </w:rPr>
        <w:t>segment,</w:t>
      </w:r>
      <w:r w:rsidR="006B6676">
        <w:rPr>
          <w:spacing w:val="-2"/>
          <w:sz w:val="22"/>
          <w:szCs w:val="22"/>
          <w:lang w:val="en-GB"/>
        </w:rPr>
        <w:t xml:space="preserve"> </w:t>
      </w:r>
      <w:r w:rsidRPr="00195AC2">
        <w:rPr>
          <w:spacing w:val="-2"/>
          <w:sz w:val="22"/>
          <w:szCs w:val="22"/>
          <w:lang w:val="en-GB"/>
        </w:rPr>
        <w:t>Bullet</w:t>
      </w:r>
      <w:r w:rsidR="006B6676">
        <w:rPr>
          <w:spacing w:val="-2"/>
          <w:sz w:val="22"/>
          <w:szCs w:val="22"/>
          <w:lang w:val="en-GB"/>
        </w:rPr>
        <w:t xml:space="preserve"> </w:t>
      </w:r>
      <w:r w:rsidRPr="00195AC2">
        <w:rPr>
          <w:spacing w:val="-2"/>
          <w:sz w:val="22"/>
          <w:szCs w:val="22"/>
          <w:lang w:val="en-GB"/>
        </w:rPr>
        <w:t>and</w:t>
      </w:r>
      <w:r w:rsidR="006B6676">
        <w:rPr>
          <w:spacing w:val="-2"/>
          <w:sz w:val="22"/>
          <w:szCs w:val="22"/>
          <w:lang w:val="en-GB"/>
        </w:rPr>
        <w:t xml:space="preserve"> </w:t>
      </w:r>
      <w:r w:rsidRPr="00195AC2">
        <w:rPr>
          <w:spacing w:val="-2"/>
          <w:sz w:val="22"/>
          <w:szCs w:val="22"/>
          <w:lang w:val="en-GB"/>
        </w:rPr>
        <w:t>Classic</w:t>
      </w:r>
      <w:r w:rsidR="006B6676">
        <w:rPr>
          <w:spacing w:val="-2"/>
          <w:sz w:val="22"/>
          <w:szCs w:val="22"/>
          <w:lang w:val="en-GB"/>
        </w:rPr>
        <w:t xml:space="preserve"> </w:t>
      </w:r>
      <w:r w:rsidRPr="00195AC2">
        <w:rPr>
          <w:spacing w:val="-2"/>
          <w:sz w:val="22"/>
          <w:szCs w:val="22"/>
          <w:lang w:val="en-GB"/>
        </w:rPr>
        <w:t>accounted</w:t>
      </w:r>
      <w:r w:rsidR="006B6676">
        <w:rPr>
          <w:spacing w:val="-2"/>
          <w:sz w:val="22"/>
          <w:szCs w:val="22"/>
          <w:lang w:val="en-GB"/>
        </w:rPr>
        <w:t xml:space="preserve"> </w:t>
      </w:r>
      <w:r w:rsidRPr="00195AC2">
        <w:rPr>
          <w:spacing w:val="-2"/>
          <w:sz w:val="22"/>
          <w:szCs w:val="22"/>
          <w:lang w:val="en-GB"/>
        </w:rPr>
        <w:t>for</w:t>
      </w:r>
      <w:r w:rsidR="006B6676">
        <w:rPr>
          <w:spacing w:val="-2"/>
          <w:sz w:val="22"/>
          <w:szCs w:val="22"/>
          <w:lang w:val="en-GB"/>
        </w:rPr>
        <w:t xml:space="preserve"> </w:t>
      </w:r>
      <w:r w:rsidRPr="00195AC2">
        <w:rPr>
          <w:spacing w:val="-2"/>
          <w:sz w:val="22"/>
          <w:szCs w:val="22"/>
          <w:lang w:val="en-GB"/>
        </w:rPr>
        <w:t>80</w:t>
      </w:r>
      <w:r w:rsidR="006B6676">
        <w:rPr>
          <w:spacing w:val="-2"/>
          <w:sz w:val="22"/>
          <w:szCs w:val="22"/>
          <w:lang w:val="en-GB"/>
        </w:rPr>
        <w:t xml:space="preserve"> </w:t>
      </w:r>
      <w:r w:rsidRPr="00195AC2">
        <w:rPr>
          <w:spacing w:val="-2"/>
          <w:sz w:val="22"/>
          <w:szCs w:val="22"/>
          <w:lang w:val="en-GB"/>
        </w:rPr>
        <w:t>per</w:t>
      </w:r>
      <w:r w:rsidR="006B6676">
        <w:rPr>
          <w:spacing w:val="-2"/>
          <w:sz w:val="22"/>
          <w:szCs w:val="22"/>
          <w:lang w:val="en-GB"/>
        </w:rPr>
        <w:t xml:space="preserve"> </w:t>
      </w:r>
      <w:r w:rsidRPr="00195AC2">
        <w:rPr>
          <w:spacing w:val="-2"/>
          <w:sz w:val="22"/>
          <w:szCs w:val="22"/>
          <w:lang w:val="en-GB"/>
        </w:rPr>
        <w:t>cent</w:t>
      </w:r>
      <w:r w:rsidR="006B6676">
        <w:rPr>
          <w:spacing w:val="-2"/>
          <w:sz w:val="22"/>
          <w:szCs w:val="22"/>
          <w:lang w:val="en-GB"/>
        </w:rPr>
        <w:t xml:space="preserve"> </w:t>
      </w:r>
      <w:r w:rsidRPr="00195AC2">
        <w:rPr>
          <w:spacing w:val="-2"/>
          <w:sz w:val="22"/>
          <w:szCs w:val="22"/>
          <w:lang w:val="en-GB"/>
        </w:rPr>
        <w:t>of</w:t>
      </w:r>
      <w:r w:rsidR="006B6676">
        <w:rPr>
          <w:spacing w:val="-2"/>
          <w:sz w:val="22"/>
          <w:szCs w:val="22"/>
          <w:lang w:val="en-GB"/>
        </w:rPr>
        <w:t xml:space="preserve"> </w:t>
      </w:r>
      <w:r w:rsidRPr="00195AC2">
        <w:rPr>
          <w:spacing w:val="-2"/>
          <w:sz w:val="22"/>
          <w:szCs w:val="22"/>
          <w:lang w:val="en-GB"/>
        </w:rPr>
        <w:t>total</w:t>
      </w:r>
      <w:r w:rsidR="006B6676">
        <w:rPr>
          <w:spacing w:val="-2"/>
          <w:sz w:val="22"/>
          <w:szCs w:val="22"/>
          <w:lang w:val="en-GB"/>
        </w:rPr>
        <w:t xml:space="preserve"> </w:t>
      </w:r>
      <w:r w:rsidRPr="00195AC2">
        <w:rPr>
          <w:spacing w:val="-2"/>
          <w:sz w:val="22"/>
          <w:szCs w:val="22"/>
          <w:lang w:val="en-GB"/>
        </w:rPr>
        <w:t>sales.</w:t>
      </w:r>
      <w:r w:rsidRPr="00195AC2">
        <w:rPr>
          <w:spacing w:val="-2"/>
          <w:sz w:val="22"/>
          <w:szCs w:val="22"/>
          <w:vertAlign w:val="superscript"/>
          <w:lang w:val="en-GB"/>
        </w:rPr>
        <w:endnoteReference w:id="41"/>
      </w:r>
    </w:p>
    <w:p w14:paraId="39784F9B" w14:textId="77777777" w:rsidR="00CA6A0D" w:rsidRDefault="00CA6A0D" w:rsidP="00B607FC">
      <w:pPr>
        <w:jc w:val="both"/>
        <w:rPr>
          <w:sz w:val="22"/>
          <w:szCs w:val="22"/>
          <w:lang w:val="en-GB"/>
        </w:rPr>
      </w:pPr>
    </w:p>
    <w:p w14:paraId="5792C593" w14:textId="7BFC73A3" w:rsidR="00CA6A0D" w:rsidRPr="00F26A3E" w:rsidRDefault="00CA6A0D" w:rsidP="00B607FC">
      <w:pPr>
        <w:jc w:val="both"/>
        <w:rPr>
          <w:sz w:val="22"/>
          <w:szCs w:val="22"/>
          <w:lang w:val="en-GB"/>
        </w:rPr>
      </w:pPr>
      <w:r w:rsidRPr="00F26A3E">
        <w:rPr>
          <w:sz w:val="22"/>
          <w:szCs w:val="22"/>
          <w:lang w:val="en-GB"/>
        </w:rPr>
        <w:t>Bullet</w:t>
      </w:r>
      <w:r w:rsidR="006B6676">
        <w:rPr>
          <w:sz w:val="22"/>
          <w:szCs w:val="22"/>
          <w:lang w:val="en-GB"/>
        </w:rPr>
        <w:t xml:space="preserve"> </w:t>
      </w:r>
      <w:r>
        <w:rPr>
          <w:sz w:val="22"/>
          <w:szCs w:val="22"/>
          <w:lang w:val="en-GB"/>
        </w:rPr>
        <w:t>was</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robust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sturdy</w:t>
      </w:r>
      <w:r w:rsidR="006B6676">
        <w:rPr>
          <w:sz w:val="22"/>
          <w:szCs w:val="22"/>
          <w:lang w:val="en-GB"/>
        </w:rPr>
        <w:t xml:space="preserve"> </w:t>
      </w:r>
      <w:r>
        <w:rPr>
          <w:sz w:val="22"/>
          <w:szCs w:val="22"/>
          <w:lang w:val="en-GB"/>
        </w:rPr>
        <w:t>icon</w:t>
      </w:r>
      <w:r w:rsidR="006B6676">
        <w:rPr>
          <w:sz w:val="22"/>
          <w:szCs w:val="22"/>
          <w:lang w:val="en-GB"/>
        </w:rPr>
        <w:t xml:space="preserve"> </w:t>
      </w:r>
      <w:r>
        <w:rPr>
          <w:sz w:val="22"/>
          <w:szCs w:val="22"/>
          <w:lang w:val="en-GB"/>
        </w:rPr>
        <w:t>that</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deeply</w:t>
      </w:r>
      <w:r w:rsidR="006B6676">
        <w:rPr>
          <w:sz w:val="22"/>
          <w:szCs w:val="22"/>
          <w:lang w:val="en-GB"/>
        </w:rPr>
        <w:t xml:space="preserve"> </w:t>
      </w:r>
      <w:r w:rsidRPr="00F26A3E">
        <w:rPr>
          <w:sz w:val="22"/>
          <w:szCs w:val="22"/>
          <w:lang w:val="en-GB"/>
        </w:rPr>
        <w:t>entrenched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India</w:t>
      </w:r>
      <w:r>
        <w:rPr>
          <w:sz w:val="22"/>
          <w:szCs w:val="22"/>
          <w:lang w:val="en-GB"/>
        </w:rPr>
        <w:t>.</w:t>
      </w:r>
      <w:r w:rsidRPr="00F26A3E">
        <w:rPr>
          <w:sz w:val="22"/>
          <w:szCs w:val="22"/>
          <w:vertAlign w:val="superscript"/>
          <w:lang w:val="en-GB"/>
        </w:rPr>
        <w:endnoteReference w:id="42"/>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vintage</w:t>
      </w:r>
      <w:r w:rsidR="006B6676">
        <w:rPr>
          <w:sz w:val="22"/>
          <w:szCs w:val="22"/>
          <w:lang w:val="en-GB"/>
        </w:rPr>
        <w:t xml:space="preserve"> </w:t>
      </w:r>
      <w:r w:rsidRPr="00F26A3E">
        <w:rPr>
          <w:sz w:val="22"/>
          <w:szCs w:val="22"/>
          <w:lang w:val="en-GB"/>
        </w:rPr>
        <w:t>appeal</w:t>
      </w:r>
      <w:r>
        <w:rPr>
          <w:sz w:val="22"/>
          <w:szCs w:val="22"/>
          <w:lang w:val="en-GB"/>
        </w:rPr>
        <w:t>,</w:t>
      </w:r>
      <w:r w:rsidR="006B6676">
        <w:rPr>
          <w:sz w:val="22"/>
          <w:szCs w:val="22"/>
          <w:lang w:val="en-GB"/>
        </w:rPr>
        <w:t xml:space="preserve"> </w:t>
      </w:r>
      <w:r w:rsidRPr="00F26A3E">
        <w:rPr>
          <w:sz w:val="22"/>
          <w:szCs w:val="22"/>
          <w:lang w:val="en-GB"/>
        </w:rPr>
        <w:t>coupled</w:t>
      </w:r>
      <w:r w:rsidR="006B6676">
        <w:rPr>
          <w:sz w:val="22"/>
          <w:szCs w:val="22"/>
          <w:lang w:val="en-GB"/>
        </w:rPr>
        <w:t xml:space="preserve"> </w:t>
      </w:r>
      <w:r w:rsidRPr="00F26A3E">
        <w:rPr>
          <w:sz w:val="22"/>
          <w:szCs w:val="22"/>
          <w:lang w:val="en-GB"/>
        </w:rPr>
        <w:t>with</w:t>
      </w:r>
      <w:r w:rsidR="006B6676">
        <w:rPr>
          <w:sz w:val="22"/>
          <w:szCs w:val="22"/>
          <w:lang w:val="en-GB"/>
        </w:rPr>
        <w:t xml:space="preserve"> </w:t>
      </w:r>
      <w:r w:rsidRPr="00F26A3E">
        <w:rPr>
          <w:sz w:val="22"/>
          <w:szCs w:val="22"/>
          <w:lang w:val="en-GB"/>
        </w:rPr>
        <w:t>affordable</w:t>
      </w:r>
      <w:r w:rsidR="006B6676">
        <w:rPr>
          <w:sz w:val="22"/>
          <w:szCs w:val="22"/>
          <w:lang w:val="en-GB"/>
        </w:rPr>
        <w:t xml:space="preserve"> </w:t>
      </w:r>
      <w:r w:rsidRPr="00F26A3E">
        <w:rPr>
          <w:sz w:val="22"/>
          <w:szCs w:val="22"/>
          <w:lang w:val="en-GB"/>
        </w:rPr>
        <w:t>pricing</w:t>
      </w:r>
      <w:r w:rsidRPr="00F26A3E">
        <w:rPr>
          <w:sz w:val="22"/>
          <w:szCs w:val="22"/>
          <w:vertAlign w:val="superscript"/>
          <w:lang w:val="en-GB"/>
        </w:rPr>
        <w:endnoteReference w:id="43"/>
      </w:r>
      <w:r w:rsidR="006B6676">
        <w:rPr>
          <w:sz w:val="22"/>
          <w:szCs w:val="22"/>
          <w:lang w:val="en-GB"/>
        </w:rPr>
        <w:t xml:space="preserve"> </w:t>
      </w:r>
      <w:r>
        <w:rPr>
          <w:sz w:val="22"/>
          <w:szCs w:val="22"/>
          <w:lang w:val="en-GB"/>
        </w:rPr>
        <w:t>helped</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capture</w:t>
      </w:r>
      <w:r w:rsidR="006B6676">
        <w:rPr>
          <w:sz w:val="22"/>
          <w:szCs w:val="22"/>
          <w:lang w:val="en-GB"/>
        </w:rPr>
        <w:t xml:space="preserve"> </w:t>
      </w:r>
      <w:r w:rsidRPr="00F26A3E">
        <w:rPr>
          <w:sz w:val="22"/>
          <w:szCs w:val="22"/>
          <w:lang w:val="en-GB"/>
        </w:rPr>
        <w:t>m</w:t>
      </w:r>
      <w:r>
        <w:rPr>
          <w:sz w:val="22"/>
          <w:szCs w:val="22"/>
          <w:lang w:val="en-GB"/>
        </w:rPr>
        <w:t>ost</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mid-sized</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market</w:t>
      </w:r>
      <w:r>
        <w:rPr>
          <w:sz w:val="22"/>
          <w:szCs w:val="22"/>
          <w:lang w:val="en-GB"/>
        </w:rPr>
        <w:t>.</w:t>
      </w:r>
      <w:r w:rsidR="006B6676">
        <w:rPr>
          <w:sz w:val="22"/>
          <w:szCs w:val="22"/>
          <w:lang w:val="en-GB"/>
        </w:rPr>
        <w:t xml:space="preserve"> </w:t>
      </w:r>
      <w:r>
        <w:rPr>
          <w:sz w:val="22"/>
          <w:szCs w:val="22"/>
          <w:lang w:val="en-GB"/>
        </w:rPr>
        <w:t>An</w:t>
      </w:r>
      <w:r w:rsidR="006B6676">
        <w:rPr>
          <w:sz w:val="22"/>
          <w:szCs w:val="22"/>
          <w:lang w:val="en-GB"/>
        </w:rPr>
        <w:t xml:space="preserve"> </w:t>
      </w:r>
      <w:r>
        <w:rPr>
          <w:sz w:val="22"/>
          <w:szCs w:val="22"/>
          <w:lang w:val="en-GB"/>
        </w:rPr>
        <w:t>a</w:t>
      </w:r>
      <w:r w:rsidRPr="00F26A3E">
        <w:rPr>
          <w:sz w:val="22"/>
          <w:szCs w:val="22"/>
          <w:lang w:val="en-GB"/>
        </w:rPr>
        <w:t>ffordable</w:t>
      </w:r>
      <w:r w:rsidR="006B6676">
        <w:rPr>
          <w:sz w:val="22"/>
          <w:szCs w:val="22"/>
          <w:lang w:val="en-GB"/>
        </w:rPr>
        <w:t xml:space="preserve"> </w:t>
      </w:r>
      <w:r w:rsidR="00A93740" w:rsidRPr="00F26A3E">
        <w:rPr>
          <w:sz w:val="22"/>
          <w:szCs w:val="22"/>
          <w:lang w:val="en-GB"/>
        </w:rPr>
        <w:t>pric</w:t>
      </w:r>
      <w:r w:rsidR="00A93740">
        <w:rPr>
          <w:sz w:val="22"/>
          <w:szCs w:val="22"/>
          <w:lang w:val="en-GB"/>
        </w:rPr>
        <w:t>ing</w:t>
      </w:r>
      <w:r w:rsidR="006B6676">
        <w:rPr>
          <w:sz w:val="22"/>
          <w:szCs w:val="22"/>
          <w:lang w:val="en-GB"/>
        </w:rPr>
        <w:t xml:space="preserve"> </w:t>
      </w:r>
      <w:r w:rsidR="00A93740">
        <w:rPr>
          <w:sz w:val="22"/>
          <w:szCs w:val="22"/>
          <w:lang w:val="en-GB"/>
        </w:rPr>
        <w:t>strategy</w:t>
      </w:r>
      <w:r w:rsidR="006B6676">
        <w:rPr>
          <w:sz w:val="22"/>
          <w:szCs w:val="22"/>
          <w:lang w:val="en-GB"/>
        </w:rPr>
        <w:t xml:space="preserve"> </w:t>
      </w:r>
      <w:r>
        <w:rPr>
          <w:sz w:val="22"/>
          <w:szCs w:val="22"/>
          <w:lang w:val="en-GB"/>
        </w:rPr>
        <w:t>also</w:t>
      </w:r>
      <w:r w:rsidR="006B6676">
        <w:rPr>
          <w:sz w:val="22"/>
          <w:szCs w:val="22"/>
          <w:lang w:val="en-GB"/>
        </w:rPr>
        <w:t xml:space="preserve"> </w:t>
      </w:r>
      <w:r w:rsidRPr="00F26A3E">
        <w:rPr>
          <w:sz w:val="22"/>
          <w:szCs w:val="22"/>
          <w:lang w:val="en-GB"/>
        </w:rPr>
        <w:t>played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key</w:t>
      </w:r>
      <w:r w:rsidR="006B6676">
        <w:rPr>
          <w:sz w:val="22"/>
          <w:szCs w:val="22"/>
          <w:lang w:val="en-GB"/>
        </w:rPr>
        <w:t xml:space="preserve"> </w:t>
      </w:r>
      <w:r w:rsidRPr="00F26A3E">
        <w:rPr>
          <w:sz w:val="22"/>
          <w:szCs w:val="22"/>
          <w:lang w:val="en-GB"/>
        </w:rPr>
        <w:t>role</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achieving</w:t>
      </w:r>
      <w:r w:rsidR="006B6676">
        <w:rPr>
          <w:sz w:val="22"/>
          <w:szCs w:val="22"/>
          <w:lang w:val="en-GB"/>
        </w:rPr>
        <w:t xml:space="preserve"> </w:t>
      </w:r>
      <w:r w:rsidRPr="00F26A3E">
        <w:rPr>
          <w:sz w:val="22"/>
          <w:szCs w:val="22"/>
          <w:lang w:val="en-GB"/>
        </w:rPr>
        <w:t>this</w:t>
      </w:r>
      <w:r w:rsidR="006B6676">
        <w:rPr>
          <w:sz w:val="22"/>
          <w:szCs w:val="22"/>
          <w:lang w:val="en-GB"/>
        </w:rPr>
        <w:t xml:space="preserve"> </w:t>
      </w:r>
      <w:r w:rsidRPr="00F26A3E">
        <w:rPr>
          <w:sz w:val="22"/>
          <w:szCs w:val="22"/>
          <w:lang w:val="en-GB"/>
        </w:rPr>
        <w:t>objective.</w:t>
      </w:r>
      <w:r w:rsidR="006B6676">
        <w:rPr>
          <w:sz w:val="22"/>
          <w:szCs w:val="22"/>
          <w:lang w:val="en-GB"/>
        </w:rPr>
        <w:t xml:space="preserve"> </w:t>
      </w:r>
    </w:p>
    <w:p w14:paraId="34B27132" w14:textId="77777777" w:rsidR="00CA6A0D" w:rsidRPr="00F26A3E" w:rsidRDefault="00CA6A0D" w:rsidP="00B607FC">
      <w:pPr>
        <w:jc w:val="both"/>
        <w:rPr>
          <w:sz w:val="22"/>
          <w:szCs w:val="22"/>
          <w:lang w:val="en-GB"/>
        </w:rPr>
      </w:pPr>
    </w:p>
    <w:p w14:paraId="3CAD4802" w14:textId="4C849277" w:rsidR="00CA6A0D" w:rsidRPr="00F26A3E" w:rsidRDefault="00CA6A0D" w:rsidP="00B607FC">
      <w:pPr>
        <w:jc w:val="both"/>
        <w:rPr>
          <w:sz w:val="22"/>
          <w:szCs w:val="22"/>
          <w:lang w:val="en-GB"/>
        </w:rPr>
      </w:pPr>
      <w:r>
        <w:rPr>
          <w:sz w:val="22"/>
          <w:szCs w:val="22"/>
          <w:lang w:val="en-GB"/>
        </w:rPr>
        <w:t>In</w:t>
      </w:r>
      <w:r w:rsidR="006B6676">
        <w:rPr>
          <w:sz w:val="22"/>
          <w:szCs w:val="22"/>
          <w:lang w:val="en-GB"/>
        </w:rPr>
        <w:t xml:space="preserve"> </w:t>
      </w:r>
      <w:r>
        <w:rPr>
          <w:sz w:val="22"/>
          <w:szCs w:val="22"/>
          <w:lang w:val="en-GB"/>
        </w:rPr>
        <w:t>2001,</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launch</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Bullet</w:t>
      </w:r>
      <w:r w:rsidR="006B6676">
        <w:rPr>
          <w:sz w:val="22"/>
          <w:szCs w:val="22"/>
          <w:lang w:val="en-GB"/>
        </w:rPr>
        <w:t xml:space="preserve"> </w:t>
      </w:r>
      <w:r w:rsidRPr="00F26A3E">
        <w:rPr>
          <w:sz w:val="22"/>
          <w:szCs w:val="22"/>
          <w:lang w:val="en-GB"/>
        </w:rPr>
        <w:t>Electra</w:t>
      </w:r>
      <w:r w:rsidR="006B6676">
        <w:rPr>
          <w:sz w:val="22"/>
          <w:szCs w:val="22"/>
          <w:lang w:val="en-GB"/>
        </w:rPr>
        <w:t xml:space="preserve"> </w:t>
      </w:r>
      <w:r>
        <w:rPr>
          <w:sz w:val="22"/>
          <w:szCs w:val="22"/>
          <w:lang w:val="en-GB"/>
        </w:rPr>
        <w:t>model,</w:t>
      </w:r>
      <w:r w:rsidR="006B6676">
        <w:rPr>
          <w:sz w:val="22"/>
          <w:szCs w:val="22"/>
          <w:lang w:val="en-GB"/>
        </w:rPr>
        <w:t xml:space="preserve"> </w:t>
      </w:r>
      <w:r w:rsidRPr="00F26A3E">
        <w:rPr>
          <w:sz w:val="22"/>
          <w:szCs w:val="22"/>
          <w:lang w:val="en-GB"/>
        </w:rPr>
        <w:t>targeted</w:t>
      </w:r>
      <w:r w:rsidR="006B6676">
        <w:rPr>
          <w:sz w:val="22"/>
          <w:szCs w:val="22"/>
          <w:lang w:val="en-GB"/>
        </w:rPr>
        <w:t xml:space="preserve"> </w:t>
      </w:r>
      <w:r w:rsidRPr="00F26A3E">
        <w:rPr>
          <w:sz w:val="22"/>
          <w:szCs w:val="22"/>
          <w:lang w:val="en-GB"/>
        </w:rPr>
        <w:t>at</w:t>
      </w:r>
      <w:r w:rsidR="006B6676">
        <w:rPr>
          <w:sz w:val="22"/>
          <w:szCs w:val="22"/>
          <w:lang w:val="en-GB"/>
        </w:rPr>
        <w:t xml:space="preserve"> </w:t>
      </w:r>
      <w:r w:rsidRPr="00F26A3E">
        <w:rPr>
          <w:sz w:val="22"/>
          <w:szCs w:val="22"/>
          <w:lang w:val="en-GB"/>
        </w:rPr>
        <w:t>urban</w:t>
      </w:r>
      <w:r w:rsidR="006B6676">
        <w:rPr>
          <w:sz w:val="22"/>
          <w:szCs w:val="22"/>
          <w:lang w:val="en-GB"/>
        </w:rPr>
        <w:t xml:space="preserve"> </w:t>
      </w:r>
      <w:r w:rsidRPr="00F26A3E">
        <w:rPr>
          <w:sz w:val="22"/>
          <w:szCs w:val="22"/>
          <w:lang w:val="en-GB"/>
        </w:rPr>
        <w:t>male</w:t>
      </w:r>
      <w:r>
        <w:rPr>
          <w:sz w:val="22"/>
          <w:szCs w:val="22"/>
          <w:lang w:val="en-GB"/>
        </w:rPr>
        <w:t>s</w:t>
      </w:r>
      <w:r w:rsidR="006B6676">
        <w:rPr>
          <w:sz w:val="22"/>
          <w:szCs w:val="22"/>
          <w:lang w:val="en-GB"/>
        </w:rPr>
        <w:t xml:space="preserve"> </w:t>
      </w:r>
      <w:r w:rsidRPr="00F26A3E">
        <w:rPr>
          <w:sz w:val="22"/>
          <w:szCs w:val="22"/>
          <w:lang w:val="en-GB"/>
        </w:rPr>
        <w:t>aged</w:t>
      </w:r>
      <w:r w:rsidR="006B6676">
        <w:rPr>
          <w:sz w:val="22"/>
          <w:szCs w:val="22"/>
          <w:lang w:val="en-GB"/>
        </w:rPr>
        <w:t xml:space="preserve"> </w:t>
      </w:r>
      <w:r w:rsidRPr="00F26A3E">
        <w:rPr>
          <w:sz w:val="22"/>
          <w:szCs w:val="22"/>
          <w:lang w:val="en-GB"/>
        </w:rPr>
        <w:t>18</w:t>
      </w:r>
      <w:r>
        <w:rPr>
          <w:sz w:val="22"/>
          <w:szCs w:val="22"/>
          <w:lang w:val="en-GB"/>
        </w:rPr>
        <w:t>–</w:t>
      </w:r>
      <w:r w:rsidRPr="00F26A3E">
        <w:rPr>
          <w:sz w:val="22"/>
          <w:szCs w:val="22"/>
          <w:lang w:val="en-GB"/>
        </w:rPr>
        <w:t>35</w:t>
      </w:r>
      <w:r>
        <w:rPr>
          <w:sz w:val="22"/>
          <w:szCs w:val="22"/>
          <w:lang w:val="en-GB"/>
        </w:rPr>
        <w:t>,</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Enfield’s</w:t>
      </w:r>
      <w:r w:rsidR="006B6676">
        <w:rPr>
          <w:sz w:val="22"/>
          <w:szCs w:val="22"/>
          <w:lang w:val="en-GB"/>
        </w:rPr>
        <w:t xml:space="preserve"> </w:t>
      </w:r>
      <w:r w:rsidRPr="00F26A3E">
        <w:rPr>
          <w:sz w:val="22"/>
          <w:szCs w:val="22"/>
          <w:lang w:val="en-GB"/>
        </w:rPr>
        <w:t>foray</w:t>
      </w:r>
      <w:r w:rsidR="006B6676">
        <w:rPr>
          <w:sz w:val="22"/>
          <w:szCs w:val="22"/>
          <w:lang w:val="en-GB"/>
        </w:rPr>
        <w:t xml:space="preserve"> </w:t>
      </w:r>
      <w:r w:rsidRPr="00F26A3E">
        <w:rPr>
          <w:sz w:val="22"/>
          <w:szCs w:val="22"/>
          <w:lang w:val="en-GB"/>
        </w:rPr>
        <w:t>into</w:t>
      </w:r>
      <w:r w:rsidR="006B6676">
        <w:rPr>
          <w:sz w:val="22"/>
          <w:szCs w:val="22"/>
          <w:lang w:val="en-GB"/>
        </w:rPr>
        <w:t xml:space="preserve"> </w:t>
      </w:r>
      <w:r w:rsidRPr="00F26A3E">
        <w:rPr>
          <w:sz w:val="22"/>
          <w:szCs w:val="22"/>
          <w:lang w:val="en-GB"/>
        </w:rPr>
        <w:t>leisure</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travel.</w:t>
      </w:r>
      <w:r w:rsidRPr="00F26A3E">
        <w:rPr>
          <w:sz w:val="22"/>
          <w:szCs w:val="22"/>
          <w:vertAlign w:val="superscript"/>
          <w:lang w:val="en-GB"/>
        </w:rPr>
        <w:endnoteReference w:id="44"/>
      </w:r>
      <w:r w:rsidR="006B6676">
        <w:rPr>
          <w:sz w:val="22"/>
          <w:szCs w:val="22"/>
          <w:lang w:val="en-GB"/>
        </w:rPr>
        <w:t xml:space="preserve"> </w:t>
      </w:r>
      <w:r>
        <w:rPr>
          <w:sz w:val="22"/>
          <w:szCs w:val="22"/>
          <w:lang w:val="en-GB"/>
        </w:rPr>
        <w:t>Key</w:t>
      </w:r>
      <w:r w:rsidR="006B6676">
        <w:rPr>
          <w:sz w:val="22"/>
          <w:szCs w:val="22"/>
          <w:lang w:val="en-GB"/>
        </w:rPr>
        <w:t xml:space="preserve"> </w:t>
      </w:r>
      <w:r>
        <w:rPr>
          <w:sz w:val="22"/>
          <w:szCs w:val="22"/>
          <w:lang w:val="en-GB"/>
        </w:rPr>
        <w:t>features</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Bullet</w:t>
      </w:r>
      <w:r w:rsidR="006B6676">
        <w:rPr>
          <w:sz w:val="22"/>
          <w:szCs w:val="22"/>
          <w:lang w:val="en-GB"/>
        </w:rPr>
        <w:t xml:space="preserve"> </w:t>
      </w:r>
      <w:r>
        <w:rPr>
          <w:sz w:val="22"/>
          <w:szCs w:val="22"/>
          <w:lang w:val="en-GB"/>
        </w:rPr>
        <w:t>Electra</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several</w:t>
      </w:r>
      <w:r w:rsidR="006B6676">
        <w:rPr>
          <w:sz w:val="22"/>
          <w:szCs w:val="22"/>
          <w:lang w:val="en-GB"/>
        </w:rPr>
        <w:t xml:space="preserve"> </w:t>
      </w:r>
      <w:r>
        <w:rPr>
          <w:sz w:val="22"/>
          <w:szCs w:val="22"/>
          <w:lang w:val="en-GB"/>
        </w:rPr>
        <w:t>attractive</w:t>
      </w:r>
      <w:r w:rsidR="006B6676">
        <w:rPr>
          <w:sz w:val="22"/>
          <w:szCs w:val="22"/>
          <w:lang w:val="en-GB"/>
        </w:rPr>
        <w:t xml:space="preserve"> </w:t>
      </w:r>
      <w:r>
        <w:rPr>
          <w:sz w:val="22"/>
          <w:szCs w:val="22"/>
          <w:lang w:val="en-GB"/>
        </w:rPr>
        <w:t>c</w:t>
      </w:r>
      <w:r w:rsidRPr="00F26A3E">
        <w:rPr>
          <w:sz w:val="22"/>
          <w:szCs w:val="22"/>
          <w:lang w:val="en-GB"/>
        </w:rPr>
        <w:t>olo</w:t>
      </w:r>
      <w:r>
        <w:rPr>
          <w:sz w:val="22"/>
          <w:szCs w:val="22"/>
          <w:lang w:val="en-GB"/>
        </w:rPr>
        <w:t>u</w:t>
      </w:r>
      <w:r w:rsidRPr="00F26A3E">
        <w:rPr>
          <w:sz w:val="22"/>
          <w:szCs w:val="22"/>
          <w:lang w:val="en-GB"/>
        </w:rPr>
        <w:t>r</w:t>
      </w:r>
      <w:r w:rsidR="006B6676">
        <w:rPr>
          <w:sz w:val="22"/>
          <w:szCs w:val="22"/>
          <w:lang w:val="en-GB"/>
        </w:rPr>
        <w:t xml:space="preserve"> </w:t>
      </w:r>
      <w:r w:rsidRPr="00F26A3E">
        <w:rPr>
          <w:sz w:val="22"/>
          <w:szCs w:val="22"/>
          <w:lang w:val="en-GB"/>
        </w:rPr>
        <w:t>options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smooth</w:t>
      </w:r>
      <w:r w:rsidR="006B6676">
        <w:rPr>
          <w:sz w:val="22"/>
          <w:szCs w:val="22"/>
          <w:lang w:val="en-GB"/>
        </w:rPr>
        <w:t xml:space="preserve"> </w:t>
      </w:r>
      <w:r w:rsidRPr="00F26A3E">
        <w:rPr>
          <w:sz w:val="22"/>
          <w:szCs w:val="22"/>
          <w:lang w:val="en-GB"/>
        </w:rPr>
        <w:t>engine</w:t>
      </w:r>
      <w:r w:rsidR="006B6676">
        <w:rPr>
          <w:sz w:val="22"/>
          <w:szCs w:val="22"/>
          <w:lang w:val="en-GB"/>
        </w:rPr>
        <w:t xml:space="preserve"> </w:t>
      </w:r>
      <w:r>
        <w:rPr>
          <w:sz w:val="22"/>
          <w:szCs w:val="22"/>
          <w:lang w:val="en-GB"/>
        </w:rPr>
        <w:t>ride</w:t>
      </w:r>
      <w:r w:rsidRPr="00F26A3E">
        <w:rPr>
          <w:sz w:val="22"/>
          <w:szCs w:val="22"/>
          <w:lang w:val="en-GB"/>
        </w:rPr>
        <w:t>.</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next</w:t>
      </w:r>
      <w:r w:rsidR="006B6676">
        <w:rPr>
          <w:sz w:val="22"/>
          <w:szCs w:val="22"/>
          <w:lang w:val="en-GB"/>
        </w:rPr>
        <w:t xml:space="preserve"> </w:t>
      </w:r>
      <w:r>
        <w:rPr>
          <w:sz w:val="22"/>
          <w:szCs w:val="22"/>
          <w:lang w:val="en-GB"/>
        </w:rPr>
        <w:t>year,</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w:t>
      </w:r>
      <w:r w:rsidR="006B6676">
        <w:rPr>
          <w:sz w:val="22"/>
          <w:szCs w:val="22"/>
          <w:lang w:val="en-GB"/>
        </w:rPr>
        <w:t xml:space="preserve"> </w:t>
      </w:r>
      <w:r>
        <w:rPr>
          <w:sz w:val="22"/>
          <w:szCs w:val="22"/>
          <w:lang w:val="en-GB"/>
        </w:rPr>
        <w:t>launched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cruising</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Bullet</w:t>
      </w:r>
      <w:r w:rsidR="006B6676">
        <w:rPr>
          <w:sz w:val="22"/>
          <w:szCs w:val="22"/>
          <w:lang w:val="en-GB"/>
        </w:rPr>
        <w:t xml:space="preserve"> </w:t>
      </w:r>
      <w:r w:rsidRPr="00F26A3E">
        <w:rPr>
          <w:sz w:val="22"/>
          <w:szCs w:val="22"/>
          <w:lang w:val="en-GB"/>
        </w:rPr>
        <w:t>Thunderbird</w:t>
      </w:r>
      <w:r w:rsidRPr="00F26A3E">
        <w:rPr>
          <w:sz w:val="22"/>
          <w:szCs w:val="22"/>
          <w:vertAlign w:val="superscript"/>
          <w:lang w:val="en-GB"/>
        </w:rPr>
        <w:endnoteReference w:id="45"/>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continued</w:t>
      </w:r>
      <w:r w:rsidR="006B6676">
        <w:rPr>
          <w:sz w:val="22"/>
          <w:szCs w:val="22"/>
          <w:lang w:val="en-GB"/>
        </w:rPr>
        <w:t xml:space="preserve"> </w:t>
      </w:r>
      <w:r w:rsidRPr="00F26A3E">
        <w:rPr>
          <w:sz w:val="22"/>
          <w:szCs w:val="22"/>
          <w:lang w:val="en-GB"/>
        </w:rPr>
        <w:t>on</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unchallenged</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consistent</w:t>
      </w:r>
      <w:r w:rsidR="006B6676">
        <w:rPr>
          <w:sz w:val="22"/>
          <w:szCs w:val="22"/>
          <w:lang w:val="en-GB"/>
        </w:rPr>
        <w:t xml:space="preserve"> </w:t>
      </w:r>
      <w:r>
        <w:rPr>
          <w:sz w:val="22"/>
          <w:szCs w:val="22"/>
          <w:lang w:val="en-GB"/>
        </w:rPr>
        <w:t>path</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domestic</w:t>
      </w:r>
      <w:r w:rsidR="006B6676">
        <w:rPr>
          <w:sz w:val="22"/>
          <w:szCs w:val="22"/>
          <w:lang w:val="en-GB"/>
        </w:rPr>
        <w:t xml:space="preserve"> </w:t>
      </w:r>
      <w:r w:rsidRPr="00F26A3E">
        <w:rPr>
          <w:sz w:val="22"/>
          <w:szCs w:val="22"/>
          <w:lang w:val="en-GB"/>
        </w:rPr>
        <w:t>growth.</w:t>
      </w:r>
      <w:r w:rsidR="006B6676">
        <w:rPr>
          <w:sz w:val="22"/>
          <w:szCs w:val="22"/>
          <w:lang w:val="en-GB"/>
        </w:rPr>
        <w:t xml:space="preserve"> </w:t>
      </w:r>
    </w:p>
    <w:p w14:paraId="5EB03B15" w14:textId="77777777" w:rsidR="00CA6A0D" w:rsidRPr="00F26A3E" w:rsidRDefault="00CA6A0D" w:rsidP="00B607FC">
      <w:pPr>
        <w:jc w:val="both"/>
        <w:rPr>
          <w:sz w:val="22"/>
          <w:szCs w:val="22"/>
          <w:lang w:val="en-GB"/>
        </w:rPr>
      </w:pPr>
    </w:p>
    <w:p w14:paraId="29D783F9" w14:textId="52F4F354" w:rsidR="00CA6A0D" w:rsidRDefault="00CA6A0D" w:rsidP="00B607FC">
      <w:pPr>
        <w:jc w:val="both"/>
        <w:rPr>
          <w:sz w:val="22"/>
          <w:szCs w:val="22"/>
          <w:lang w:val="en-GB"/>
        </w:rPr>
      </w:pPr>
      <w:r>
        <w:rPr>
          <w:sz w:val="22"/>
          <w:szCs w:val="22"/>
          <w:lang w:val="en-GB"/>
        </w:rPr>
        <w:t>At</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point,</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w:t>
      </w:r>
      <w:r w:rsidR="006B6676">
        <w:rPr>
          <w:sz w:val="22"/>
          <w:szCs w:val="22"/>
          <w:lang w:val="en-GB"/>
        </w:rPr>
        <w:t xml:space="preserve"> </w:t>
      </w:r>
      <w:r>
        <w:rPr>
          <w:sz w:val="22"/>
          <w:szCs w:val="22"/>
          <w:lang w:val="en-GB"/>
        </w:rPr>
        <w:t>decided</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i</w:t>
      </w:r>
      <w:r w:rsidRPr="00F26A3E">
        <w:rPr>
          <w:sz w:val="22"/>
          <w:szCs w:val="22"/>
          <w:lang w:val="en-GB"/>
        </w:rPr>
        <w:t>t</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time</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grow</w:t>
      </w:r>
      <w:r w:rsidR="006B6676">
        <w:rPr>
          <w:sz w:val="22"/>
          <w:szCs w:val="22"/>
          <w:lang w:val="en-GB"/>
        </w:rPr>
        <w:t xml:space="preserve"> </w:t>
      </w:r>
      <w:r w:rsidRPr="00F26A3E">
        <w:rPr>
          <w:sz w:val="22"/>
          <w:szCs w:val="22"/>
          <w:lang w:val="en-GB"/>
        </w:rPr>
        <w:t>oversees.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September</w:t>
      </w:r>
      <w:r w:rsidR="006B6676">
        <w:rPr>
          <w:sz w:val="22"/>
          <w:szCs w:val="22"/>
          <w:lang w:val="en-GB"/>
        </w:rPr>
        <w:t xml:space="preserve"> </w:t>
      </w:r>
      <w:r w:rsidRPr="00F26A3E">
        <w:rPr>
          <w:sz w:val="22"/>
          <w:szCs w:val="22"/>
          <w:lang w:val="en-GB"/>
        </w:rPr>
        <w:t>2018,</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launched</w:t>
      </w:r>
      <w:r w:rsidR="006B6676">
        <w:rPr>
          <w:sz w:val="22"/>
          <w:szCs w:val="22"/>
          <w:lang w:val="en-GB"/>
        </w:rPr>
        <w:t xml:space="preserve"> </w:t>
      </w:r>
      <w:r w:rsidRPr="00F26A3E">
        <w:rPr>
          <w:sz w:val="22"/>
          <w:szCs w:val="22"/>
          <w:lang w:val="en-GB"/>
        </w:rPr>
        <w:t>two</w:t>
      </w:r>
      <w:r w:rsidR="006B6676">
        <w:rPr>
          <w:sz w:val="22"/>
          <w:szCs w:val="22"/>
          <w:lang w:val="en-GB"/>
        </w:rPr>
        <w:t xml:space="preserve"> </w:t>
      </w:r>
      <w:r>
        <w:rPr>
          <w:sz w:val="22"/>
          <w:szCs w:val="22"/>
          <w:lang w:val="en-GB"/>
        </w:rPr>
        <w:t>new</w:t>
      </w:r>
      <w:r w:rsidR="006B6676">
        <w:rPr>
          <w:sz w:val="22"/>
          <w:szCs w:val="22"/>
          <w:lang w:val="en-GB"/>
        </w:rPr>
        <w:t xml:space="preserve"> </w:t>
      </w:r>
      <w:r w:rsidRPr="00F26A3E">
        <w:rPr>
          <w:sz w:val="22"/>
          <w:szCs w:val="22"/>
          <w:lang w:val="en-GB"/>
        </w:rPr>
        <w:t>models</w:t>
      </w:r>
      <w:r>
        <w:rPr>
          <w:sz w:val="22"/>
          <w:szCs w:val="22"/>
          <w:lang w:val="en-GB"/>
        </w:rPr>
        <w:t>—</w:t>
      </w:r>
      <w:r w:rsidRPr="00F26A3E">
        <w:rPr>
          <w:sz w:val="22"/>
          <w:szCs w:val="22"/>
          <w:lang w:val="en-GB"/>
        </w:rPr>
        <w:t>Interceptor</w:t>
      </w:r>
      <w:r w:rsidR="006B6676">
        <w:rPr>
          <w:sz w:val="22"/>
          <w:szCs w:val="22"/>
          <w:lang w:val="en-GB"/>
        </w:rPr>
        <w:t xml:space="preserve"> </w:t>
      </w:r>
      <w:r w:rsidRPr="00F26A3E">
        <w:rPr>
          <w:sz w:val="22"/>
          <w:szCs w:val="22"/>
          <w:lang w:val="en-GB"/>
        </w:rPr>
        <w:t>INT</w:t>
      </w:r>
      <w:r w:rsidR="006B6676">
        <w:rPr>
          <w:sz w:val="22"/>
          <w:szCs w:val="22"/>
          <w:lang w:val="en-GB"/>
        </w:rPr>
        <w:t xml:space="preserve"> </w:t>
      </w:r>
      <w:r w:rsidRPr="00F26A3E">
        <w:rPr>
          <w:sz w:val="22"/>
          <w:szCs w:val="22"/>
          <w:lang w:val="en-GB"/>
        </w:rPr>
        <w:t>650</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Continental</w:t>
      </w:r>
      <w:r w:rsidR="006B6676">
        <w:rPr>
          <w:sz w:val="22"/>
          <w:szCs w:val="22"/>
          <w:lang w:val="en-GB"/>
        </w:rPr>
        <w:t xml:space="preserve"> </w:t>
      </w:r>
      <w:r w:rsidRPr="00F26A3E">
        <w:rPr>
          <w:sz w:val="22"/>
          <w:szCs w:val="22"/>
          <w:lang w:val="en-GB"/>
        </w:rPr>
        <w:t>GT</w:t>
      </w:r>
      <w:r w:rsidR="006B6676">
        <w:rPr>
          <w:sz w:val="22"/>
          <w:szCs w:val="22"/>
          <w:lang w:val="en-GB"/>
        </w:rPr>
        <w:t xml:space="preserve"> </w:t>
      </w:r>
      <w:r w:rsidRPr="00F26A3E">
        <w:rPr>
          <w:sz w:val="22"/>
          <w:szCs w:val="22"/>
          <w:lang w:val="en-GB"/>
        </w:rPr>
        <w:t>650</w:t>
      </w:r>
      <w:r>
        <w:rPr>
          <w:sz w:val="22"/>
          <w:szCs w:val="22"/>
          <w:lang w:val="en-GB"/>
        </w:rPr>
        <w:t>—</w:t>
      </w:r>
      <w:r w:rsidRPr="00F26A3E">
        <w:rPr>
          <w:sz w:val="22"/>
          <w:szCs w:val="22"/>
          <w:lang w:val="en-GB"/>
        </w:rPr>
        <w:t>in</w:t>
      </w:r>
      <w:r w:rsidR="006B6676">
        <w:rPr>
          <w:sz w:val="22"/>
          <w:szCs w:val="22"/>
          <w:lang w:val="en-GB"/>
        </w:rPr>
        <w:t xml:space="preserve"> </w:t>
      </w:r>
      <w:r w:rsidRPr="00F26A3E">
        <w:rPr>
          <w:sz w:val="22"/>
          <w:szCs w:val="22"/>
          <w:lang w:val="en-GB"/>
        </w:rPr>
        <w:t>Santa</w:t>
      </w:r>
      <w:r w:rsidR="006B6676">
        <w:rPr>
          <w:sz w:val="22"/>
          <w:szCs w:val="22"/>
          <w:lang w:val="en-GB"/>
        </w:rPr>
        <w:t xml:space="preserve"> </w:t>
      </w:r>
      <w:r w:rsidRPr="00F26A3E">
        <w:rPr>
          <w:sz w:val="22"/>
          <w:szCs w:val="22"/>
          <w:lang w:val="en-GB"/>
        </w:rPr>
        <w:t>Cruz,</w:t>
      </w:r>
      <w:r w:rsidR="006B6676">
        <w:rPr>
          <w:sz w:val="22"/>
          <w:szCs w:val="22"/>
          <w:lang w:val="en-GB"/>
        </w:rPr>
        <w:t xml:space="preserve"> </w:t>
      </w:r>
      <w:r w:rsidRPr="00F26A3E">
        <w:rPr>
          <w:sz w:val="22"/>
          <w:szCs w:val="22"/>
          <w:lang w:val="en-GB"/>
        </w:rPr>
        <w:t>California.</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twin</w:t>
      </w:r>
      <w:r>
        <w:rPr>
          <w:sz w:val="22"/>
          <w:szCs w:val="22"/>
          <w:lang w:val="en-GB"/>
        </w:rPr>
        <w:t>-</w:t>
      </w:r>
      <w:r w:rsidRPr="00F26A3E">
        <w:rPr>
          <w:sz w:val="22"/>
          <w:szCs w:val="22"/>
          <w:lang w:val="en-GB"/>
        </w:rPr>
        <w:t>cylinder</w:t>
      </w:r>
      <w:r w:rsidR="006B6676">
        <w:rPr>
          <w:sz w:val="22"/>
          <w:szCs w:val="22"/>
          <w:lang w:val="en-GB"/>
        </w:rPr>
        <w:t xml:space="preserve"> </w:t>
      </w:r>
      <w:r>
        <w:rPr>
          <w:sz w:val="22"/>
          <w:szCs w:val="22"/>
          <w:lang w:val="en-GB"/>
        </w:rPr>
        <w:t>engine</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expected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catapult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leadership</w:t>
      </w:r>
      <w:r w:rsidR="006B6676">
        <w:rPr>
          <w:sz w:val="22"/>
          <w:szCs w:val="22"/>
          <w:lang w:val="en-GB"/>
        </w:rPr>
        <w:t xml:space="preserve"> </w:t>
      </w:r>
      <w:r w:rsidRPr="00F26A3E">
        <w:rPr>
          <w:sz w:val="22"/>
          <w:szCs w:val="22"/>
          <w:lang w:val="en-GB"/>
        </w:rPr>
        <w:t>position</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global</w:t>
      </w:r>
      <w:r w:rsidR="006B6676">
        <w:rPr>
          <w:sz w:val="22"/>
          <w:szCs w:val="22"/>
          <w:lang w:val="en-GB"/>
        </w:rPr>
        <w:t xml:space="preserve"> </w:t>
      </w:r>
      <w:r w:rsidRPr="00F26A3E">
        <w:rPr>
          <w:sz w:val="22"/>
          <w:szCs w:val="22"/>
          <w:lang w:val="en-GB"/>
        </w:rPr>
        <w:t>mid-</w:t>
      </w:r>
      <w:r>
        <w:rPr>
          <w:sz w:val="22"/>
          <w:szCs w:val="22"/>
          <w:lang w:val="en-GB"/>
        </w:rPr>
        <w:t>sized</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Pr>
          <w:sz w:val="22"/>
          <w:szCs w:val="22"/>
          <w:lang w:val="en-GB"/>
        </w:rPr>
        <w:t>.</w:t>
      </w:r>
      <w:r w:rsidRPr="00F26A3E">
        <w:rPr>
          <w:sz w:val="22"/>
          <w:szCs w:val="22"/>
          <w:vertAlign w:val="superscript"/>
          <w:lang w:val="en-GB"/>
        </w:rPr>
        <w:endnoteReference w:id="46"/>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had</w:t>
      </w:r>
      <w:r w:rsidR="006B6676">
        <w:rPr>
          <w:sz w:val="22"/>
          <w:szCs w:val="22"/>
          <w:lang w:val="en-GB"/>
        </w:rPr>
        <w:t xml:space="preserve"> </w:t>
      </w:r>
      <w:r>
        <w:rPr>
          <w:sz w:val="22"/>
          <w:szCs w:val="22"/>
          <w:lang w:val="en-GB"/>
        </w:rPr>
        <w:t>last</w:t>
      </w:r>
      <w:r w:rsidR="006B6676">
        <w:rPr>
          <w:sz w:val="22"/>
          <w:szCs w:val="22"/>
          <w:lang w:val="en-GB"/>
        </w:rPr>
        <w:t xml:space="preserve"> </w:t>
      </w:r>
      <w:r w:rsidRPr="00F26A3E">
        <w:rPr>
          <w:sz w:val="22"/>
          <w:szCs w:val="22"/>
          <w:lang w:val="en-GB"/>
        </w:rPr>
        <w:t>produc</w:t>
      </w:r>
      <w:r>
        <w:rPr>
          <w:sz w:val="22"/>
          <w:szCs w:val="22"/>
          <w:lang w:val="en-GB"/>
        </w:rPr>
        <w:t>ed</w:t>
      </w:r>
      <w:r w:rsidR="006B6676">
        <w:rPr>
          <w:sz w:val="22"/>
          <w:szCs w:val="22"/>
          <w:lang w:val="en-GB"/>
        </w:rPr>
        <w:t xml:space="preserve"> </w:t>
      </w:r>
      <w:r w:rsidRPr="00F26A3E">
        <w:rPr>
          <w:sz w:val="22"/>
          <w:szCs w:val="22"/>
          <w:lang w:val="en-GB"/>
        </w:rPr>
        <w:t>twin</w:t>
      </w:r>
      <w:r>
        <w:rPr>
          <w:sz w:val="22"/>
          <w:szCs w:val="22"/>
          <w:lang w:val="en-GB"/>
        </w:rPr>
        <w:t>-</w:t>
      </w:r>
      <w:r w:rsidRPr="00F26A3E">
        <w:rPr>
          <w:sz w:val="22"/>
          <w:szCs w:val="22"/>
          <w:lang w:val="en-GB"/>
        </w:rPr>
        <w:t>cylinder</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almost</w:t>
      </w:r>
      <w:r w:rsidR="006B6676">
        <w:rPr>
          <w:sz w:val="22"/>
          <w:szCs w:val="22"/>
          <w:lang w:val="en-GB"/>
        </w:rPr>
        <w:t xml:space="preserve"> </w:t>
      </w:r>
      <w:r>
        <w:rPr>
          <w:sz w:val="22"/>
          <w:szCs w:val="22"/>
          <w:lang w:val="en-GB"/>
        </w:rPr>
        <w:t>40</w:t>
      </w:r>
      <w:r w:rsidR="006B6676">
        <w:rPr>
          <w:sz w:val="22"/>
          <w:szCs w:val="22"/>
          <w:lang w:val="en-GB"/>
        </w:rPr>
        <w:t xml:space="preserve"> </w:t>
      </w:r>
      <w:r>
        <w:rPr>
          <w:sz w:val="22"/>
          <w:szCs w:val="22"/>
          <w:lang w:val="en-GB"/>
        </w:rPr>
        <w:t>years</w:t>
      </w:r>
      <w:r w:rsidR="006B6676">
        <w:rPr>
          <w:sz w:val="22"/>
          <w:szCs w:val="22"/>
          <w:lang w:val="en-GB"/>
        </w:rPr>
        <w:t xml:space="preserve"> </w:t>
      </w:r>
      <w:r>
        <w:rPr>
          <w:sz w:val="22"/>
          <w:szCs w:val="22"/>
          <w:lang w:val="en-GB"/>
        </w:rPr>
        <w:t>earlier,</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1970.</w:t>
      </w:r>
      <w:r w:rsidR="006B6676">
        <w:rPr>
          <w:sz w:val="22"/>
          <w:szCs w:val="22"/>
          <w:lang w:val="en-GB"/>
        </w:rPr>
        <w:t xml:space="preserve"> </w:t>
      </w:r>
    </w:p>
    <w:p w14:paraId="4BEEBE26" w14:textId="77777777" w:rsidR="00CA6A0D" w:rsidRPr="00F26A3E" w:rsidRDefault="00CA6A0D" w:rsidP="00B607FC">
      <w:pPr>
        <w:jc w:val="both"/>
        <w:rPr>
          <w:sz w:val="22"/>
          <w:szCs w:val="22"/>
          <w:lang w:val="en-GB"/>
        </w:rPr>
      </w:pPr>
    </w:p>
    <w:p w14:paraId="210197B7" w14:textId="7F7C4153" w:rsidR="00CA6A0D" w:rsidRPr="00F26A3E" w:rsidRDefault="00CA6A0D" w:rsidP="00B607FC">
      <w:pPr>
        <w:jc w:val="both"/>
        <w:rPr>
          <w:sz w:val="22"/>
          <w:szCs w:val="22"/>
          <w:lang w:val="en-GB"/>
        </w:rPr>
      </w:pPr>
      <w:r w:rsidRPr="00F26A3E">
        <w:rPr>
          <w:sz w:val="22"/>
          <w:szCs w:val="22"/>
          <w:lang w:val="en-GB"/>
        </w:rPr>
        <w:t>The</w:t>
      </w:r>
      <w:r w:rsidR="006B6676">
        <w:rPr>
          <w:sz w:val="22"/>
          <w:szCs w:val="22"/>
          <w:lang w:val="en-GB"/>
        </w:rPr>
        <w:t xml:space="preserve"> </w:t>
      </w:r>
      <w:r>
        <w:rPr>
          <w:sz w:val="22"/>
          <w:szCs w:val="22"/>
          <w:lang w:val="en-GB"/>
        </w:rPr>
        <w:t>launch</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these</w:t>
      </w:r>
      <w:r w:rsidR="006B6676">
        <w:rPr>
          <w:sz w:val="22"/>
          <w:szCs w:val="22"/>
          <w:lang w:val="en-GB"/>
        </w:rPr>
        <w:t xml:space="preserve"> </w:t>
      </w:r>
      <w:r>
        <w:rPr>
          <w:sz w:val="22"/>
          <w:szCs w:val="22"/>
          <w:lang w:val="en-GB"/>
        </w:rPr>
        <w:t>two</w:t>
      </w:r>
      <w:r w:rsidR="006B6676">
        <w:rPr>
          <w:sz w:val="22"/>
          <w:szCs w:val="22"/>
          <w:lang w:val="en-GB"/>
        </w:rPr>
        <w:t xml:space="preserve"> </w:t>
      </w:r>
      <w:r>
        <w:rPr>
          <w:sz w:val="22"/>
          <w:szCs w:val="22"/>
          <w:lang w:val="en-GB"/>
        </w:rPr>
        <w:t>new</w:t>
      </w:r>
      <w:r w:rsidR="006B6676">
        <w:rPr>
          <w:sz w:val="22"/>
          <w:szCs w:val="22"/>
          <w:lang w:val="en-GB"/>
        </w:rPr>
        <w:t xml:space="preserve"> </w:t>
      </w:r>
      <w:r>
        <w:rPr>
          <w:sz w:val="22"/>
          <w:szCs w:val="22"/>
          <w:lang w:val="en-GB"/>
        </w:rPr>
        <w:t>models</w:t>
      </w:r>
      <w:r w:rsidR="006B6676">
        <w:rPr>
          <w:sz w:val="22"/>
          <w:szCs w:val="22"/>
          <w:lang w:val="en-GB"/>
        </w:rPr>
        <w:t xml:space="preserve"> </w:t>
      </w:r>
      <w:r>
        <w:rPr>
          <w:sz w:val="22"/>
          <w:szCs w:val="22"/>
          <w:lang w:val="en-GB"/>
        </w:rPr>
        <w:t>marked</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Enfield’s</w:t>
      </w:r>
      <w:r w:rsidR="006B6676">
        <w:rPr>
          <w:sz w:val="22"/>
          <w:szCs w:val="22"/>
          <w:lang w:val="en-GB"/>
        </w:rPr>
        <w:t xml:space="preserve"> </w:t>
      </w:r>
      <w:r w:rsidRPr="00F26A3E">
        <w:rPr>
          <w:sz w:val="22"/>
          <w:szCs w:val="22"/>
          <w:lang w:val="en-GB"/>
        </w:rPr>
        <w:t>global</w:t>
      </w:r>
      <w:r w:rsidR="006B6676">
        <w:rPr>
          <w:sz w:val="22"/>
          <w:szCs w:val="22"/>
          <w:lang w:val="en-GB"/>
        </w:rPr>
        <w:t xml:space="preserve"> </w:t>
      </w:r>
      <w:r w:rsidRPr="00F26A3E">
        <w:rPr>
          <w:sz w:val="22"/>
          <w:szCs w:val="22"/>
          <w:lang w:val="en-GB"/>
        </w:rPr>
        <w:t>expansion.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Interceptor</w:t>
      </w:r>
      <w:r w:rsidR="006B6676">
        <w:rPr>
          <w:sz w:val="22"/>
          <w:szCs w:val="22"/>
          <w:lang w:val="en-GB"/>
        </w:rPr>
        <w:t xml:space="preserve"> </w:t>
      </w:r>
      <w:r w:rsidRPr="00F26A3E">
        <w:rPr>
          <w:sz w:val="22"/>
          <w:szCs w:val="22"/>
          <w:lang w:val="en-GB"/>
        </w:rPr>
        <w:t>INT</w:t>
      </w:r>
      <w:r w:rsidR="006B6676">
        <w:rPr>
          <w:sz w:val="22"/>
          <w:szCs w:val="22"/>
          <w:lang w:val="en-GB"/>
        </w:rPr>
        <w:t xml:space="preserve"> </w:t>
      </w:r>
      <w:r w:rsidRPr="00F26A3E">
        <w:rPr>
          <w:sz w:val="22"/>
          <w:szCs w:val="22"/>
          <w:lang w:val="en-GB"/>
        </w:rPr>
        <w:t>650</w:t>
      </w:r>
      <w:r w:rsidR="006B6676">
        <w:rPr>
          <w:sz w:val="22"/>
          <w:szCs w:val="22"/>
          <w:lang w:val="en-GB"/>
        </w:rPr>
        <w:t xml:space="preserve"> </w:t>
      </w:r>
      <w:r>
        <w:rPr>
          <w:sz w:val="22"/>
          <w:szCs w:val="22"/>
          <w:lang w:val="en-GB"/>
        </w:rPr>
        <w:t>model</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priced</w:t>
      </w:r>
      <w:r w:rsidR="006B6676">
        <w:rPr>
          <w:sz w:val="22"/>
          <w:szCs w:val="22"/>
          <w:lang w:val="en-GB"/>
        </w:rPr>
        <w:t xml:space="preserve"> </w:t>
      </w:r>
      <w:r w:rsidRPr="00F26A3E">
        <w:rPr>
          <w:sz w:val="22"/>
          <w:szCs w:val="22"/>
          <w:lang w:val="en-GB"/>
        </w:rPr>
        <w:t>at</w:t>
      </w:r>
      <w:r w:rsidR="006B6676">
        <w:rPr>
          <w:sz w:val="22"/>
          <w:szCs w:val="22"/>
          <w:lang w:val="en-GB"/>
        </w:rPr>
        <w:t xml:space="preserve"> </w:t>
      </w:r>
      <w:r>
        <w:rPr>
          <w:sz w:val="22"/>
          <w:szCs w:val="22"/>
          <w:lang w:val="en-GB"/>
        </w:rPr>
        <w:t>US</w:t>
      </w:r>
      <w:r w:rsidRPr="00F26A3E">
        <w:rPr>
          <w:sz w:val="22"/>
          <w:szCs w:val="22"/>
          <w:lang w:val="en-GB"/>
        </w:rPr>
        <w:t>$5</w:t>
      </w:r>
      <w:r>
        <w:rPr>
          <w:sz w:val="22"/>
          <w:szCs w:val="22"/>
          <w:lang w:val="en-GB"/>
        </w:rPr>
        <w:t>,</w:t>
      </w:r>
      <w:r w:rsidRPr="00F26A3E">
        <w:rPr>
          <w:sz w:val="22"/>
          <w:szCs w:val="22"/>
          <w:lang w:val="en-GB"/>
        </w:rPr>
        <w:t>799</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Continental</w:t>
      </w:r>
      <w:r w:rsidR="006B6676">
        <w:rPr>
          <w:sz w:val="22"/>
          <w:szCs w:val="22"/>
          <w:lang w:val="en-GB"/>
        </w:rPr>
        <w:t xml:space="preserve"> </w:t>
      </w:r>
      <w:r w:rsidRPr="00F26A3E">
        <w:rPr>
          <w:sz w:val="22"/>
          <w:szCs w:val="22"/>
          <w:lang w:val="en-GB"/>
        </w:rPr>
        <w:t>GT</w:t>
      </w:r>
      <w:r w:rsidR="006B6676">
        <w:rPr>
          <w:sz w:val="22"/>
          <w:szCs w:val="22"/>
          <w:lang w:val="en-GB"/>
        </w:rPr>
        <w:t xml:space="preserve"> </w:t>
      </w:r>
      <w:r w:rsidRPr="00F26A3E">
        <w:rPr>
          <w:sz w:val="22"/>
          <w:szCs w:val="22"/>
          <w:lang w:val="en-GB"/>
        </w:rPr>
        <w:t>650</w:t>
      </w:r>
      <w:r w:rsidR="006B6676">
        <w:rPr>
          <w:sz w:val="22"/>
          <w:szCs w:val="22"/>
          <w:lang w:val="en-GB"/>
        </w:rPr>
        <w:t xml:space="preserve"> </w:t>
      </w:r>
      <w:r>
        <w:rPr>
          <w:sz w:val="22"/>
          <w:szCs w:val="22"/>
          <w:lang w:val="en-GB"/>
        </w:rPr>
        <w:t>model</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priced</w:t>
      </w:r>
      <w:r w:rsidR="006B6676">
        <w:rPr>
          <w:sz w:val="22"/>
          <w:szCs w:val="22"/>
          <w:lang w:val="en-GB"/>
        </w:rPr>
        <w:t xml:space="preserve"> </w:t>
      </w:r>
      <w:r w:rsidRPr="00F26A3E">
        <w:rPr>
          <w:sz w:val="22"/>
          <w:szCs w:val="22"/>
          <w:lang w:val="en-GB"/>
        </w:rPr>
        <w:t>at</w:t>
      </w:r>
      <w:r w:rsidR="006B6676">
        <w:rPr>
          <w:sz w:val="22"/>
          <w:szCs w:val="22"/>
          <w:lang w:val="en-GB"/>
        </w:rPr>
        <w:t xml:space="preserve"> </w:t>
      </w:r>
      <w:r>
        <w:rPr>
          <w:sz w:val="22"/>
          <w:szCs w:val="22"/>
          <w:lang w:val="en-GB"/>
        </w:rPr>
        <w:t>US</w:t>
      </w:r>
      <w:r w:rsidRPr="00F26A3E">
        <w:rPr>
          <w:sz w:val="22"/>
          <w:szCs w:val="22"/>
          <w:lang w:val="en-GB"/>
        </w:rPr>
        <w:t>$5</w:t>
      </w:r>
      <w:r>
        <w:rPr>
          <w:sz w:val="22"/>
          <w:szCs w:val="22"/>
          <w:lang w:val="en-GB"/>
        </w:rPr>
        <w:t>,</w:t>
      </w:r>
      <w:r w:rsidRPr="00F26A3E">
        <w:rPr>
          <w:sz w:val="22"/>
          <w:szCs w:val="22"/>
          <w:lang w:val="en-GB"/>
        </w:rPr>
        <w:t>999</w:t>
      </w:r>
      <w:r>
        <w:rPr>
          <w:sz w:val="22"/>
          <w:szCs w:val="22"/>
          <w:lang w:val="en-GB"/>
        </w:rPr>
        <w:t>.</w:t>
      </w:r>
      <w:r w:rsidRPr="00F26A3E">
        <w:rPr>
          <w:sz w:val="22"/>
          <w:szCs w:val="22"/>
          <w:vertAlign w:val="superscript"/>
          <w:lang w:val="en-GB"/>
        </w:rPr>
        <w:endnoteReference w:id="47"/>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Pr>
          <w:sz w:val="22"/>
          <w:szCs w:val="22"/>
          <w:lang w:val="en-GB"/>
        </w:rPr>
        <w:t>’s</w:t>
      </w:r>
      <w:r w:rsidR="006B6676">
        <w:rPr>
          <w:sz w:val="22"/>
          <w:szCs w:val="22"/>
          <w:lang w:val="en-GB"/>
        </w:rPr>
        <w:t xml:space="preserve"> </w:t>
      </w:r>
      <w:r>
        <w:rPr>
          <w:sz w:val="22"/>
          <w:szCs w:val="22"/>
          <w:lang w:val="en-GB"/>
        </w:rPr>
        <w:t>strategy</w:t>
      </w:r>
      <w:r w:rsidR="006B6676">
        <w:rPr>
          <w:sz w:val="22"/>
          <w:szCs w:val="22"/>
          <w:lang w:val="en-GB"/>
        </w:rPr>
        <w:t xml:space="preserve"> </w:t>
      </w:r>
      <w:r>
        <w:rPr>
          <w:sz w:val="22"/>
          <w:szCs w:val="22"/>
          <w:lang w:val="en-GB"/>
        </w:rPr>
        <w:t>was</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attract</w:t>
      </w:r>
      <w:r w:rsidR="006B6676">
        <w:rPr>
          <w:sz w:val="22"/>
          <w:szCs w:val="22"/>
          <w:lang w:val="en-GB"/>
        </w:rPr>
        <w:t xml:space="preserve"> </w:t>
      </w:r>
      <w:r>
        <w:rPr>
          <w:sz w:val="22"/>
          <w:szCs w:val="22"/>
          <w:lang w:val="en-GB"/>
        </w:rPr>
        <w:t>new</w:t>
      </w:r>
      <w:r w:rsidR="006B6676">
        <w:rPr>
          <w:sz w:val="22"/>
          <w:szCs w:val="22"/>
          <w:lang w:val="en-GB"/>
        </w:rPr>
        <w:t xml:space="preserve"> </w:t>
      </w:r>
      <w:r>
        <w:rPr>
          <w:sz w:val="22"/>
          <w:szCs w:val="22"/>
          <w:lang w:val="en-GB"/>
        </w:rPr>
        <w:t>consumers</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migrate</w:t>
      </w:r>
      <w:r w:rsidR="006B6676">
        <w:rPr>
          <w:sz w:val="22"/>
          <w:szCs w:val="22"/>
          <w:lang w:val="en-GB"/>
        </w:rPr>
        <w:t xml:space="preserve"> </w:t>
      </w:r>
      <w:r>
        <w:rPr>
          <w:sz w:val="22"/>
          <w:szCs w:val="22"/>
          <w:lang w:val="en-GB"/>
        </w:rPr>
        <w:t>current</w:t>
      </w:r>
      <w:r w:rsidR="006B6676">
        <w:rPr>
          <w:sz w:val="22"/>
          <w:szCs w:val="22"/>
          <w:lang w:val="en-GB"/>
        </w:rPr>
        <w:t xml:space="preserve"> </w:t>
      </w:r>
      <w:r>
        <w:rPr>
          <w:sz w:val="22"/>
          <w:szCs w:val="22"/>
          <w:lang w:val="en-GB"/>
        </w:rPr>
        <w:t>customers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00A93740" w:rsidRPr="00F26A3E">
        <w:rPr>
          <w:sz w:val="22"/>
          <w:szCs w:val="22"/>
          <w:lang w:val="en-GB"/>
        </w:rPr>
        <w:t>top</w:t>
      </w:r>
      <w:r w:rsidR="006B6676">
        <w:rPr>
          <w:sz w:val="22"/>
          <w:szCs w:val="22"/>
          <w:lang w:val="en-GB"/>
        </w:rPr>
        <w:t xml:space="preserve"> </w:t>
      </w:r>
      <w:r w:rsidR="00A93740" w:rsidRPr="00F26A3E">
        <w:rPr>
          <w:sz w:val="22"/>
          <w:szCs w:val="22"/>
          <w:lang w:val="en-GB"/>
        </w:rPr>
        <w:t>end</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mid-</w:t>
      </w:r>
      <w:r>
        <w:rPr>
          <w:sz w:val="22"/>
          <w:szCs w:val="22"/>
          <w:lang w:val="en-GB"/>
        </w:rPr>
        <w:t>sized</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Pr>
          <w:sz w:val="22"/>
          <w:szCs w:val="22"/>
          <w:lang w:val="en-GB"/>
        </w:rPr>
        <w:t>.</w:t>
      </w:r>
      <w:r w:rsidRPr="00F26A3E">
        <w:rPr>
          <w:sz w:val="22"/>
          <w:szCs w:val="22"/>
          <w:vertAlign w:val="superscript"/>
          <w:lang w:val="en-GB"/>
        </w:rPr>
        <w:endnoteReference w:id="48"/>
      </w:r>
    </w:p>
    <w:p w14:paraId="55260E23" w14:textId="77777777" w:rsidR="00CA6A0D" w:rsidRPr="00F26A3E" w:rsidRDefault="00CA6A0D" w:rsidP="00B607FC">
      <w:pPr>
        <w:jc w:val="both"/>
        <w:rPr>
          <w:sz w:val="22"/>
          <w:szCs w:val="22"/>
          <w:lang w:val="en-GB"/>
        </w:rPr>
      </w:pPr>
    </w:p>
    <w:p w14:paraId="2FF93992" w14:textId="77777777" w:rsidR="00CA6A0D" w:rsidRPr="00F26A3E" w:rsidRDefault="00CA6A0D" w:rsidP="00B607FC">
      <w:pPr>
        <w:jc w:val="both"/>
        <w:rPr>
          <w:sz w:val="22"/>
          <w:szCs w:val="22"/>
          <w:lang w:val="en-GB"/>
        </w:rPr>
      </w:pPr>
    </w:p>
    <w:p w14:paraId="07225C40" w14:textId="0F3ED9E4" w:rsidR="00CA6A0D" w:rsidRPr="00F26A3E" w:rsidRDefault="00CA6A0D" w:rsidP="00F268A5">
      <w:pPr>
        <w:pStyle w:val="Casehead2"/>
        <w:rPr>
          <w:lang w:val="en-GB"/>
        </w:rPr>
      </w:pPr>
      <w:r w:rsidRPr="00F26A3E">
        <w:rPr>
          <w:lang w:val="en-GB"/>
        </w:rPr>
        <w:t>Production</w:t>
      </w:r>
      <w:r w:rsidR="006B6676">
        <w:rPr>
          <w:lang w:val="en-GB"/>
        </w:rPr>
        <w:t xml:space="preserve"> </w:t>
      </w:r>
      <w:r w:rsidRPr="00F26A3E">
        <w:rPr>
          <w:lang w:val="en-GB"/>
        </w:rPr>
        <w:t>Capacity</w:t>
      </w:r>
    </w:p>
    <w:p w14:paraId="4C39BE4B" w14:textId="77777777" w:rsidR="00CA6A0D" w:rsidRPr="00F26A3E" w:rsidRDefault="00CA6A0D" w:rsidP="00F268A5">
      <w:pPr>
        <w:pStyle w:val="BodyTextMain"/>
        <w:rPr>
          <w:lang w:val="en-GB"/>
        </w:rPr>
      </w:pPr>
    </w:p>
    <w:p w14:paraId="5E46222E" w14:textId="3BB38948" w:rsidR="00CA6A0D"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upgraded</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quality</w:t>
      </w:r>
      <w:r w:rsidR="006B6676">
        <w:rPr>
          <w:sz w:val="22"/>
          <w:szCs w:val="22"/>
          <w:lang w:val="en-GB"/>
        </w:rPr>
        <w:t xml:space="preserve"> </w:t>
      </w:r>
      <w:r w:rsidRPr="00F26A3E">
        <w:rPr>
          <w:sz w:val="22"/>
          <w:szCs w:val="22"/>
          <w:lang w:val="en-GB"/>
        </w:rPr>
        <w:t>management</w:t>
      </w:r>
      <w:r w:rsidR="006B6676">
        <w:rPr>
          <w:sz w:val="22"/>
          <w:szCs w:val="22"/>
          <w:lang w:val="en-GB"/>
        </w:rPr>
        <w:t xml:space="preserve"> </w:t>
      </w:r>
      <w:r w:rsidRPr="00F26A3E">
        <w:rPr>
          <w:sz w:val="22"/>
          <w:szCs w:val="22"/>
          <w:lang w:val="en-GB"/>
        </w:rPr>
        <w:t>systems</w:t>
      </w:r>
      <w:r>
        <w:rPr>
          <w:sz w:val="22"/>
          <w:szCs w:val="22"/>
          <w:lang w:val="en-GB"/>
        </w:rPr>
        <w:t>,</w:t>
      </w:r>
      <w:r w:rsidR="006B6676">
        <w:rPr>
          <w:sz w:val="22"/>
          <w:szCs w:val="22"/>
          <w:lang w:val="en-GB"/>
        </w:rPr>
        <w:t xml:space="preserve"> </w:t>
      </w:r>
      <w:r>
        <w:rPr>
          <w:sz w:val="22"/>
          <w:szCs w:val="22"/>
          <w:lang w:val="en-GB"/>
        </w:rPr>
        <w:t>increased</w:t>
      </w:r>
      <w:r w:rsidR="006B6676">
        <w:rPr>
          <w:sz w:val="22"/>
          <w:szCs w:val="22"/>
          <w:lang w:val="en-GB"/>
        </w:rPr>
        <w:t xml:space="preserve"> </w:t>
      </w:r>
      <w:r w:rsidRPr="00F26A3E">
        <w:rPr>
          <w:sz w:val="22"/>
          <w:szCs w:val="22"/>
          <w:lang w:val="en-GB"/>
        </w:rPr>
        <w:t>production</w:t>
      </w:r>
      <w:r w:rsidR="006B6676">
        <w:rPr>
          <w:sz w:val="22"/>
          <w:szCs w:val="22"/>
          <w:lang w:val="en-GB"/>
        </w:rPr>
        <w:t xml:space="preserve"> </w:t>
      </w:r>
      <w:r w:rsidRPr="00F26A3E">
        <w:rPr>
          <w:sz w:val="22"/>
          <w:szCs w:val="22"/>
          <w:lang w:val="en-GB"/>
        </w:rPr>
        <w:t>capacity</w:t>
      </w:r>
      <w:r>
        <w:rPr>
          <w:sz w:val="22"/>
          <w:szCs w:val="22"/>
          <w:lang w:val="en-GB"/>
        </w:rPr>
        <w:t>,</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acquired</w:t>
      </w:r>
      <w:r w:rsidR="006B6676">
        <w:rPr>
          <w:sz w:val="22"/>
          <w:szCs w:val="22"/>
          <w:lang w:val="en-GB"/>
        </w:rPr>
        <w:t xml:space="preserve"> </w:t>
      </w:r>
      <w:r>
        <w:rPr>
          <w:sz w:val="22"/>
          <w:szCs w:val="22"/>
          <w:lang w:val="en-GB"/>
        </w:rPr>
        <w:t>20</w:t>
      </w:r>
      <w:r w:rsidR="006B6676">
        <w:rPr>
          <w:sz w:val="22"/>
          <w:szCs w:val="22"/>
          <w:lang w:val="en-GB"/>
        </w:rPr>
        <w:t xml:space="preserve"> </w:t>
      </w:r>
      <w:r>
        <w:rPr>
          <w:sz w:val="22"/>
          <w:szCs w:val="22"/>
          <w:lang w:val="en-GB"/>
        </w:rPr>
        <w:t>hectares</w:t>
      </w:r>
      <w:r w:rsidR="006B6676">
        <w:rPr>
          <w:sz w:val="22"/>
          <w:szCs w:val="22"/>
          <w:lang w:val="en-GB"/>
        </w:rPr>
        <w:t xml:space="preserve"> </w:t>
      </w:r>
      <w:r>
        <w:rPr>
          <w:sz w:val="22"/>
          <w:szCs w:val="22"/>
          <w:lang w:val="en-GB"/>
        </w:rPr>
        <w:t>(</w:t>
      </w:r>
      <w:r w:rsidRPr="00F26A3E">
        <w:rPr>
          <w:sz w:val="22"/>
          <w:szCs w:val="22"/>
          <w:lang w:val="en-GB"/>
        </w:rPr>
        <w:t>50</w:t>
      </w:r>
      <w:r w:rsidR="006B6676">
        <w:rPr>
          <w:sz w:val="22"/>
          <w:szCs w:val="22"/>
          <w:lang w:val="en-GB"/>
        </w:rPr>
        <w:t xml:space="preserve"> </w:t>
      </w:r>
      <w:r w:rsidRPr="00F26A3E">
        <w:rPr>
          <w:sz w:val="22"/>
          <w:szCs w:val="22"/>
          <w:lang w:val="en-GB"/>
        </w:rPr>
        <w:t>acres</w:t>
      </w:r>
      <w:r>
        <w:rPr>
          <w:sz w:val="22"/>
          <w:szCs w:val="22"/>
          <w:lang w:val="en-GB"/>
        </w:rPr>
        <w:t>)</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land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set</w:t>
      </w:r>
      <w:r w:rsidR="006B6676">
        <w:rPr>
          <w:sz w:val="22"/>
          <w:szCs w:val="22"/>
          <w:lang w:val="en-GB"/>
        </w:rPr>
        <w:t xml:space="preserve"> </w:t>
      </w:r>
      <w:r w:rsidRPr="00F26A3E">
        <w:rPr>
          <w:sz w:val="22"/>
          <w:szCs w:val="22"/>
          <w:lang w:val="en-GB"/>
        </w:rPr>
        <w:t>up</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new</w:t>
      </w:r>
      <w:r w:rsidR="006B6676">
        <w:rPr>
          <w:sz w:val="22"/>
          <w:szCs w:val="22"/>
          <w:lang w:val="en-GB"/>
        </w:rPr>
        <w:t xml:space="preserve"> </w:t>
      </w:r>
      <w:r w:rsidRPr="00F26A3E">
        <w:rPr>
          <w:sz w:val="22"/>
          <w:szCs w:val="22"/>
          <w:lang w:val="en-GB"/>
        </w:rPr>
        <w:t>manufacturing</w:t>
      </w:r>
      <w:r w:rsidR="006B6676">
        <w:rPr>
          <w:sz w:val="22"/>
          <w:szCs w:val="22"/>
          <w:lang w:val="en-GB"/>
        </w:rPr>
        <w:t xml:space="preserve"> </w:t>
      </w:r>
      <w:r w:rsidR="00A93740" w:rsidRPr="00F26A3E">
        <w:rPr>
          <w:sz w:val="22"/>
          <w:szCs w:val="22"/>
          <w:lang w:val="en-GB"/>
        </w:rPr>
        <w:t>facility</w:t>
      </w:r>
      <w:r w:rsidR="006B6676">
        <w:rPr>
          <w:sz w:val="22"/>
          <w:szCs w:val="22"/>
          <w:lang w:val="en-GB"/>
        </w:rPr>
        <w:t xml:space="preserve"> </w:t>
      </w:r>
      <w:r w:rsidR="00A93740" w:rsidRPr="00F26A3E">
        <w:rPr>
          <w:sz w:val="22"/>
          <w:szCs w:val="22"/>
          <w:lang w:val="en-GB"/>
        </w:rPr>
        <w:t>in</w:t>
      </w:r>
      <w:r w:rsidR="006B6676">
        <w:rPr>
          <w:sz w:val="22"/>
          <w:szCs w:val="22"/>
          <w:lang w:val="en-GB"/>
        </w:rPr>
        <w:t xml:space="preserve"> </w:t>
      </w:r>
      <w:r w:rsidRPr="00F26A3E">
        <w:rPr>
          <w:sz w:val="22"/>
          <w:szCs w:val="22"/>
          <w:lang w:val="en-GB"/>
        </w:rPr>
        <w:t>Oragadam,</w:t>
      </w:r>
      <w:r w:rsidR="006B6676">
        <w:rPr>
          <w:sz w:val="22"/>
          <w:szCs w:val="22"/>
          <w:lang w:val="en-GB"/>
        </w:rPr>
        <w:t xml:space="preserve"> </w:t>
      </w:r>
      <w:r>
        <w:rPr>
          <w:sz w:val="22"/>
          <w:szCs w:val="22"/>
          <w:lang w:val="en-GB"/>
        </w:rPr>
        <w:t>just</w:t>
      </w:r>
      <w:r w:rsidR="006B6676">
        <w:rPr>
          <w:sz w:val="22"/>
          <w:szCs w:val="22"/>
          <w:lang w:val="en-GB"/>
        </w:rPr>
        <w:t xml:space="preserve"> </w:t>
      </w:r>
      <w:r w:rsidR="00A93740">
        <w:rPr>
          <w:sz w:val="22"/>
          <w:szCs w:val="22"/>
          <w:lang w:val="en-GB"/>
        </w:rPr>
        <w:t>outside</w:t>
      </w:r>
      <w:r w:rsidR="006B6676">
        <w:rPr>
          <w:sz w:val="22"/>
          <w:szCs w:val="22"/>
          <w:lang w:val="en-GB"/>
        </w:rPr>
        <w:t xml:space="preserve"> </w:t>
      </w:r>
      <w:r w:rsidR="00A93740">
        <w:rPr>
          <w:sz w:val="22"/>
          <w:szCs w:val="22"/>
          <w:lang w:val="en-GB"/>
        </w:rPr>
        <w:t>the</w:t>
      </w:r>
      <w:r w:rsidR="006B6676">
        <w:rPr>
          <w:sz w:val="22"/>
          <w:szCs w:val="22"/>
          <w:lang w:val="en-GB"/>
        </w:rPr>
        <w:t xml:space="preserve"> </w:t>
      </w:r>
      <w:r>
        <w:rPr>
          <w:sz w:val="22"/>
          <w:szCs w:val="22"/>
          <w:lang w:val="en-GB"/>
        </w:rPr>
        <w:t>major</w:t>
      </w:r>
      <w:r w:rsidR="006B6676">
        <w:rPr>
          <w:sz w:val="22"/>
          <w:szCs w:val="22"/>
          <w:lang w:val="en-GB"/>
        </w:rPr>
        <w:t xml:space="preserve"> </w:t>
      </w:r>
      <w:r>
        <w:rPr>
          <w:sz w:val="22"/>
          <w:szCs w:val="22"/>
          <w:lang w:val="en-GB"/>
        </w:rPr>
        <w:t>centre</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Chennai</w:t>
      </w:r>
      <w:r>
        <w:rPr>
          <w:sz w:val="22"/>
          <w:szCs w:val="22"/>
          <w:lang w:val="en-GB"/>
        </w:rPr>
        <w:t>,</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Indian</w:t>
      </w:r>
      <w:r w:rsidR="006B6676">
        <w:rPr>
          <w:sz w:val="22"/>
          <w:szCs w:val="22"/>
          <w:lang w:val="en-GB"/>
        </w:rPr>
        <w:t xml:space="preserve"> </w:t>
      </w:r>
      <w:r>
        <w:rPr>
          <w:sz w:val="22"/>
          <w:szCs w:val="22"/>
          <w:lang w:val="en-GB"/>
        </w:rPr>
        <w:t>state</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Tamil</w:t>
      </w:r>
      <w:r w:rsidR="006B6676">
        <w:rPr>
          <w:sz w:val="22"/>
          <w:szCs w:val="22"/>
          <w:lang w:val="en-GB"/>
        </w:rPr>
        <w:t xml:space="preserve"> </w:t>
      </w:r>
      <w:r>
        <w:rPr>
          <w:sz w:val="22"/>
          <w:szCs w:val="22"/>
          <w:lang w:val="en-GB"/>
        </w:rPr>
        <w:t>Nadu</w:t>
      </w:r>
      <w:r w:rsidRPr="00F26A3E">
        <w:rPr>
          <w:sz w:val="22"/>
          <w:szCs w:val="22"/>
          <w:lang w:val="en-GB"/>
        </w:rPr>
        <w:t>.</w:t>
      </w:r>
      <w:r w:rsidR="006B6676">
        <w:rPr>
          <w:sz w:val="22"/>
          <w:szCs w:val="22"/>
          <w:lang w:val="en-GB"/>
        </w:rPr>
        <w:t xml:space="preserve"> </w:t>
      </w:r>
      <w:r w:rsidRPr="00F26A3E">
        <w:rPr>
          <w:sz w:val="22"/>
          <w:szCs w:val="22"/>
          <w:lang w:val="en-GB"/>
        </w:rPr>
        <w:t>Construction</w:t>
      </w:r>
      <w:r w:rsidR="006B6676">
        <w:rPr>
          <w:sz w:val="22"/>
          <w:szCs w:val="22"/>
          <w:lang w:val="en-GB"/>
        </w:rPr>
        <w:t xml:space="preserve"> </w:t>
      </w:r>
      <w:r w:rsidRPr="00F26A3E">
        <w:rPr>
          <w:sz w:val="22"/>
          <w:szCs w:val="22"/>
          <w:lang w:val="en-GB"/>
        </w:rPr>
        <w:t>started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February</w:t>
      </w:r>
      <w:r w:rsidR="006B6676">
        <w:rPr>
          <w:sz w:val="22"/>
          <w:szCs w:val="22"/>
          <w:lang w:val="en-GB"/>
        </w:rPr>
        <w:t xml:space="preserve"> </w:t>
      </w:r>
      <w:r w:rsidRPr="00F26A3E">
        <w:rPr>
          <w:sz w:val="22"/>
          <w:szCs w:val="22"/>
          <w:lang w:val="en-GB"/>
        </w:rPr>
        <w:t>2012</w:t>
      </w:r>
      <w:r>
        <w:rPr>
          <w:sz w:val="22"/>
          <w:szCs w:val="22"/>
          <w:lang w:val="en-GB"/>
        </w:rPr>
        <w: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Oragadam</w:t>
      </w:r>
      <w:r w:rsidR="006B6676">
        <w:rPr>
          <w:sz w:val="22"/>
          <w:szCs w:val="22"/>
          <w:lang w:val="en-GB"/>
        </w:rPr>
        <w:t xml:space="preserve"> </w:t>
      </w:r>
      <w:r w:rsidRPr="00F26A3E">
        <w:rPr>
          <w:sz w:val="22"/>
          <w:szCs w:val="22"/>
          <w:lang w:val="en-GB"/>
        </w:rPr>
        <w:t>plant</w:t>
      </w:r>
      <w:r w:rsidR="006B6676">
        <w:rPr>
          <w:sz w:val="22"/>
          <w:szCs w:val="22"/>
          <w:lang w:val="en-GB"/>
        </w:rPr>
        <w:t xml:space="preserve"> </w:t>
      </w:r>
      <w:r w:rsidRPr="00F26A3E">
        <w:rPr>
          <w:sz w:val="22"/>
          <w:szCs w:val="22"/>
          <w:lang w:val="en-GB"/>
        </w:rPr>
        <w:t>became</w:t>
      </w:r>
      <w:r w:rsidR="006B6676">
        <w:rPr>
          <w:sz w:val="22"/>
          <w:szCs w:val="22"/>
          <w:lang w:val="en-GB"/>
        </w:rPr>
        <w:t xml:space="preserve"> </w:t>
      </w:r>
      <w:r w:rsidRPr="00F26A3E">
        <w:rPr>
          <w:sz w:val="22"/>
          <w:szCs w:val="22"/>
          <w:lang w:val="en-GB"/>
        </w:rPr>
        <w:t>operational</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April</w:t>
      </w:r>
      <w:r w:rsidR="006B6676">
        <w:rPr>
          <w:sz w:val="22"/>
          <w:szCs w:val="22"/>
          <w:lang w:val="en-GB"/>
        </w:rPr>
        <w:t xml:space="preserve"> </w:t>
      </w:r>
      <w:r w:rsidRPr="00F26A3E">
        <w:rPr>
          <w:sz w:val="22"/>
          <w:szCs w:val="22"/>
          <w:lang w:val="en-GB"/>
        </w:rPr>
        <w:t>2013</w:t>
      </w:r>
      <w:r>
        <w:rPr>
          <w:sz w:val="22"/>
          <w:szCs w:val="22"/>
          <w:lang w:val="en-GB"/>
        </w:rPr>
        <w:t>,</w:t>
      </w:r>
      <w:r w:rsidR="006B6676">
        <w:rPr>
          <w:sz w:val="22"/>
          <w:szCs w:val="22"/>
          <w:lang w:val="en-GB"/>
        </w:rPr>
        <w:t xml:space="preserve"> </w:t>
      </w:r>
      <w:r>
        <w:rPr>
          <w:sz w:val="22"/>
          <w:szCs w:val="22"/>
          <w:lang w:val="en-GB"/>
        </w:rPr>
        <w:t>with</w:t>
      </w:r>
      <w:r w:rsidR="006B6676">
        <w:rPr>
          <w:sz w:val="22"/>
          <w:szCs w:val="22"/>
          <w:lang w:val="en-GB"/>
        </w:rPr>
        <w:t xml:space="preserve"> </w:t>
      </w:r>
      <w:r w:rsidRPr="00F26A3E">
        <w:rPr>
          <w:sz w:val="22"/>
          <w:szCs w:val="22"/>
          <w:lang w:val="en-GB"/>
        </w:rPr>
        <w:t>an</w:t>
      </w:r>
      <w:r w:rsidR="006B6676">
        <w:rPr>
          <w:sz w:val="22"/>
          <w:szCs w:val="22"/>
          <w:lang w:val="en-GB"/>
        </w:rPr>
        <w:t xml:space="preserve"> </w:t>
      </w:r>
      <w:r w:rsidRPr="00F26A3E">
        <w:rPr>
          <w:sz w:val="22"/>
          <w:szCs w:val="22"/>
          <w:lang w:val="en-GB"/>
        </w:rPr>
        <w:t>initial</w:t>
      </w:r>
      <w:r w:rsidR="006B6676">
        <w:rPr>
          <w:sz w:val="22"/>
          <w:szCs w:val="22"/>
          <w:lang w:val="en-GB"/>
        </w:rPr>
        <w:t xml:space="preserve"> </w:t>
      </w:r>
      <w:r w:rsidRPr="00F26A3E">
        <w:rPr>
          <w:sz w:val="22"/>
          <w:szCs w:val="22"/>
          <w:lang w:val="en-GB"/>
        </w:rPr>
        <w:t>annual</w:t>
      </w:r>
      <w:r w:rsidR="006B6676">
        <w:rPr>
          <w:sz w:val="22"/>
          <w:szCs w:val="22"/>
          <w:lang w:val="en-GB"/>
        </w:rPr>
        <w:t xml:space="preserve"> </w:t>
      </w:r>
      <w:r w:rsidRPr="00F26A3E">
        <w:rPr>
          <w:sz w:val="22"/>
          <w:szCs w:val="22"/>
          <w:lang w:val="en-GB"/>
        </w:rPr>
        <w:t>production</w:t>
      </w:r>
      <w:r w:rsidR="006B6676">
        <w:rPr>
          <w:sz w:val="22"/>
          <w:szCs w:val="22"/>
          <w:lang w:val="en-GB"/>
        </w:rPr>
        <w:t xml:space="preserve"> </w:t>
      </w:r>
      <w:r w:rsidRPr="00F26A3E">
        <w:rPr>
          <w:sz w:val="22"/>
          <w:szCs w:val="22"/>
          <w:lang w:val="en-GB"/>
        </w:rPr>
        <w:t>capacity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150,000</w:t>
      </w:r>
      <w:r w:rsidR="006B6676">
        <w:rPr>
          <w:sz w:val="22"/>
          <w:szCs w:val="22"/>
          <w:lang w:val="en-GB"/>
        </w:rPr>
        <w:t xml:space="preserve"> </w:t>
      </w:r>
      <w:r w:rsidRPr="00F26A3E">
        <w:rPr>
          <w:sz w:val="22"/>
          <w:szCs w:val="22"/>
          <w:lang w:val="en-GB"/>
        </w:rPr>
        <w:t>units</w:t>
      </w:r>
      <w:r>
        <w:rPr>
          <w:sz w:val="22"/>
          <w:szCs w:val="22"/>
          <w:lang w:val="en-GB"/>
        </w:rPr>
        <w:t>.</w:t>
      </w:r>
      <w:r w:rsidRPr="00F26A3E">
        <w:rPr>
          <w:sz w:val="22"/>
          <w:szCs w:val="22"/>
          <w:vertAlign w:val="superscript"/>
          <w:lang w:val="en-GB"/>
        </w:rPr>
        <w:endnoteReference w:id="49"/>
      </w:r>
    </w:p>
    <w:p w14:paraId="439A1DDF" w14:textId="77777777" w:rsidR="00CA6A0D" w:rsidRDefault="00CA6A0D" w:rsidP="00B607FC">
      <w:pPr>
        <w:jc w:val="both"/>
        <w:rPr>
          <w:sz w:val="22"/>
          <w:szCs w:val="22"/>
          <w:lang w:val="en-GB"/>
        </w:rPr>
      </w:pPr>
    </w:p>
    <w:p w14:paraId="0A78C1B7" w14:textId="49E180B2" w:rsidR="00CA6A0D" w:rsidRPr="00F26A3E" w:rsidRDefault="00CA6A0D" w:rsidP="00B607FC">
      <w:pPr>
        <w:jc w:val="both"/>
        <w:rPr>
          <w:sz w:val="22"/>
          <w:szCs w:val="22"/>
          <w:lang w:val="en-GB"/>
        </w:rPr>
      </w:pPr>
      <w:r>
        <w:rPr>
          <w:sz w:val="22"/>
          <w:szCs w:val="22"/>
          <w:lang w:val="en-GB"/>
        </w:rPr>
        <w:t>With</w:t>
      </w:r>
      <w:r w:rsidR="006B6676">
        <w:rPr>
          <w:sz w:val="22"/>
          <w:szCs w:val="22"/>
          <w:lang w:val="en-GB"/>
        </w:rPr>
        <w:t xml:space="preserve"> </w:t>
      </w:r>
      <w:r>
        <w:rPr>
          <w:sz w:val="22"/>
          <w:szCs w:val="22"/>
          <w:lang w:val="en-GB"/>
        </w:rPr>
        <w:t>high</w:t>
      </w:r>
      <w:r w:rsidR="006B6676">
        <w:rPr>
          <w:sz w:val="22"/>
          <w:szCs w:val="22"/>
          <w:lang w:val="en-GB"/>
        </w:rPr>
        <w:t xml:space="preserve"> </w:t>
      </w:r>
      <w:r w:rsidRPr="00F26A3E">
        <w:rPr>
          <w:sz w:val="22"/>
          <w:szCs w:val="22"/>
          <w:lang w:val="en-GB"/>
        </w:rPr>
        <w:t>demand</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great</w:t>
      </w:r>
      <w:r w:rsidR="006B6676">
        <w:rPr>
          <w:sz w:val="22"/>
          <w:szCs w:val="22"/>
          <w:lang w:val="en-GB"/>
        </w:rPr>
        <w:t xml:space="preserve"> </w:t>
      </w:r>
      <w:r w:rsidRPr="00F26A3E">
        <w:rPr>
          <w:sz w:val="22"/>
          <w:szCs w:val="22"/>
          <w:lang w:val="en-GB"/>
        </w:rPr>
        <w:t>optimism</w:t>
      </w:r>
      <w:r w:rsidR="006B6676">
        <w:rPr>
          <w:sz w:val="22"/>
          <w:szCs w:val="22"/>
          <w:lang w:val="en-GB"/>
        </w:rPr>
        <w:t xml:space="preserve"> </w:t>
      </w:r>
      <w:r w:rsidRPr="00F26A3E">
        <w:rPr>
          <w:sz w:val="22"/>
          <w:szCs w:val="22"/>
          <w:lang w:val="en-GB"/>
        </w:rPr>
        <w:t>about</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future</w:t>
      </w:r>
      <w:r>
        <w:rPr>
          <w:sz w:val="22"/>
          <w:szCs w:val="22"/>
          <w:lang w:val="en-GB"/>
        </w:rPr>
        <w: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wasted</w:t>
      </w:r>
      <w:r w:rsidR="006B6676">
        <w:rPr>
          <w:sz w:val="22"/>
          <w:szCs w:val="22"/>
          <w:lang w:val="en-GB"/>
        </w:rPr>
        <w:t xml:space="preserve"> </w:t>
      </w:r>
      <w:r>
        <w:rPr>
          <w:sz w:val="22"/>
          <w:szCs w:val="22"/>
          <w:lang w:val="en-GB"/>
        </w:rPr>
        <w:t>no</w:t>
      </w:r>
      <w:r w:rsidR="006B6676">
        <w:rPr>
          <w:sz w:val="22"/>
          <w:szCs w:val="22"/>
          <w:lang w:val="en-GB"/>
        </w:rPr>
        <w:t xml:space="preserve"> </w:t>
      </w:r>
      <w:r>
        <w:rPr>
          <w:sz w:val="22"/>
          <w:szCs w:val="22"/>
          <w:lang w:val="en-GB"/>
        </w:rPr>
        <w:t>time</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begin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next</w:t>
      </w:r>
      <w:r w:rsidR="006B6676">
        <w:rPr>
          <w:sz w:val="22"/>
          <w:szCs w:val="22"/>
          <w:lang w:val="en-GB"/>
        </w:rPr>
        <w:t xml:space="preserve"> </w:t>
      </w:r>
      <w:r w:rsidRPr="00F26A3E">
        <w:rPr>
          <w:sz w:val="22"/>
          <w:szCs w:val="22"/>
          <w:lang w:val="en-GB"/>
        </w:rPr>
        <w:t>phase</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expansion</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same</w:t>
      </w:r>
      <w:r w:rsidR="006B6676">
        <w:rPr>
          <w:sz w:val="22"/>
          <w:szCs w:val="22"/>
          <w:lang w:val="en-GB"/>
        </w:rPr>
        <w:t xml:space="preserve"> </w:t>
      </w:r>
      <w:r>
        <w:rPr>
          <w:sz w:val="22"/>
          <w:szCs w:val="22"/>
          <w:lang w:val="en-GB"/>
        </w:rPr>
        <w:t>area.</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acquired</w:t>
      </w:r>
      <w:r w:rsidR="006B6676">
        <w:rPr>
          <w:sz w:val="22"/>
          <w:szCs w:val="22"/>
          <w:lang w:val="en-GB"/>
        </w:rPr>
        <w:t xml:space="preserve"> </w:t>
      </w:r>
      <w:r>
        <w:rPr>
          <w:sz w:val="22"/>
          <w:szCs w:val="22"/>
          <w:lang w:val="en-GB"/>
        </w:rPr>
        <w:t>another</w:t>
      </w:r>
      <w:r w:rsidR="006B6676">
        <w:rPr>
          <w:sz w:val="22"/>
          <w:szCs w:val="22"/>
          <w:lang w:val="en-GB"/>
        </w:rPr>
        <w:t xml:space="preserve"> </w:t>
      </w:r>
      <w:r>
        <w:rPr>
          <w:sz w:val="22"/>
          <w:szCs w:val="22"/>
          <w:lang w:val="en-GB"/>
        </w:rPr>
        <w:t>20</w:t>
      </w:r>
      <w:r w:rsidR="006B6676">
        <w:rPr>
          <w:sz w:val="22"/>
          <w:szCs w:val="22"/>
          <w:lang w:val="en-GB"/>
        </w:rPr>
        <w:t xml:space="preserve"> </w:t>
      </w:r>
      <w:r>
        <w:rPr>
          <w:sz w:val="22"/>
          <w:szCs w:val="22"/>
          <w:lang w:val="en-GB"/>
        </w:rPr>
        <w:t>hectares</w:t>
      </w:r>
      <w:r w:rsidR="006B6676">
        <w:rPr>
          <w:sz w:val="22"/>
          <w:szCs w:val="22"/>
          <w:lang w:val="en-GB"/>
        </w:rPr>
        <w:t xml:space="preserve"> </w:t>
      </w:r>
      <w:r>
        <w:rPr>
          <w:sz w:val="22"/>
          <w:szCs w:val="22"/>
          <w:lang w:val="en-GB"/>
        </w:rPr>
        <w:t>(</w:t>
      </w:r>
      <w:r w:rsidRPr="00F26A3E">
        <w:rPr>
          <w:sz w:val="22"/>
          <w:szCs w:val="22"/>
          <w:lang w:val="en-GB"/>
        </w:rPr>
        <w:t>50</w:t>
      </w:r>
      <w:r w:rsidR="006B6676">
        <w:rPr>
          <w:sz w:val="22"/>
          <w:szCs w:val="22"/>
          <w:lang w:val="en-GB"/>
        </w:rPr>
        <w:t xml:space="preserve"> </w:t>
      </w:r>
      <w:r w:rsidRPr="00F26A3E">
        <w:rPr>
          <w:sz w:val="22"/>
          <w:szCs w:val="22"/>
          <w:lang w:val="en-GB"/>
        </w:rPr>
        <w:t>acres</w:t>
      </w:r>
      <w:r>
        <w:rPr>
          <w:sz w:val="22"/>
          <w:szCs w:val="22"/>
          <w:lang w:val="en-GB"/>
        </w:rPr>
        <w:t>)</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nearby</w:t>
      </w:r>
      <w:r w:rsidR="006B6676">
        <w:rPr>
          <w:sz w:val="22"/>
          <w:szCs w:val="22"/>
          <w:lang w:val="en-GB"/>
        </w:rPr>
        <w:t xml:space="preserve"> </w:t>
      </w:r>
      <w:r>
        <w:rPr>
          <w:sz w:val="22"/>
          <w:szCs w:val="22"/>
          <w:lang w:val="en-GB"/>
        </w:rPr>
        <w:t>town</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Vallam</w:t>
      </w:r>
      <w:r w:rsidR="006B6676">
        <w:rPr>
          <w:sz w:val="22"/>
          <w:szCs w:val="22"/>
          <w:lang w:val="en-GB"/>
        </w:rPr>
        <w:t xml:space="preserve"> </w:t>
      </w:r>
      <w:r w:rsidRPr="00F26A3E">
        <w:rPr>
          <w:sz w:val="22"/>
          <w:szCs w:val="22"/>
          <w:lang w:val="en-GB"/>
        </w:rPr>
        <w:t>Vadagal</w:t>
      </w:r>
      <w:r>
        <w:rPr>
          <w:sz w:val="22"/>
          <w:szCs w:val="22"/>
          <w:lang w:val="en-GB"/>
        </w:rPr>
        <w:t>,</w:t>
      </w:r>
      <w:r w:rsidR="006B6676">
        <w:rPr>
          <w:sz w:val="22"/>
          <w:szCs w:val="22"/>
          <w:lang w:val="en-GB"/>
        </w:rPr>
        <w:t xml:space="preserve"> </w:t>
      </w:r>
      <w:r>
        <w:rPr>
          <w:sz w:val="22"/>
          <w:szCs w:val="22"/>
          <w:lang w:val="en-GB"/>
        </w:rPr>
        <w:t>adding</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third</w:t>
      </w:r>
      <w:r w:rsidR="006B6676">
        <w:rPr>
          <w:sz w:val="22"/>
          <w:szCs w:val="22"/>
          <w:lang w:val="en-GB"/>
        </w:rPr>
        <w:t xml:space="preserve"> </w:t>
      </w:r>
      <w:r>
        <w:rPr>
          <w:sz w:val="22"/>
          <w:szCs w:val="22"/>
          <w:lang w:val="en-GB"/>
        </w:rPr>
        <w:t>manufacturing</w:t>
      </w:r>
      <w:r w:rsidR="006B6676">
        <w:rPr>
          <w:sz w:val="22"/>
          <w:szCs w:val="22"/>
          <w:lang w:val="en-GB"/>
        </w:rPr>
        <w:t xml:space="preserve"> </w:t>
      </w:r>
      <w:r>
        <w:rPr>
          <w:sz w:val="22"/>
          <w:szCs w:val="22"/>
          <w:lang w:val="en-GB"/>
        </w:rPr>
        <w:t>facility</w:t>
      </w:r>
      <w:r w:rsidRPr="00F26A3E">
        <w:rPr>
          <w:sz w:val="22"/>
          <w:szCs w:val="22"/>
          <w:lang w:val="en-GB"/>
        </w:rPr>
        <w:t>.</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new</w:t>
      </w:r>
      <w:r w:rsidR="006B6676">
        <w:rPr>
          <w:sz w:val="22"/>
          <w:szCs w:val="22"/>
          <w:lang w:val="en-GB"/>
        </w:rPr>
        <w:t xml:space="preserve"> </w:t>
      </w:r>
      <w:r w:rsidRPr="00F26A3E">
        <w:rPr>
          <w:sz w:val="22"/>
          <w:szCs w:val="22"/>
          <w:lang w:val="en-GB"/>
        </w:rPr>
        <w:t>facility</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commissioned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August</w:t>
      </w:r>
      <w:r w:rsidR="006B6676">
        <w:rPr>
          <w:sz w:val="22"/>
          <w:szCs w:val="22"/>
          <w:lang w:val="en-GB"/>
        </w:rPr>
        <w:t xml:space="preserve"> </w:t>
      </w:r>
      <w:r w:rsidRPr="00F26A3E">
        <w:rPr>
          <w:sz w:val="22"/>
          <w:szCs w:val="22"/>
          <w:lang w:val="en-GB"/>
        </w:rPr>
        <w:t>2017.</w:t>
      </w:r>
      <w:r w:rsidR="006B6676">
        <w:rPr>
          <w:sz w:val="22"/>
          <w:szCs w:val="22"/>
          <w:lang w:val="en-GB"/>
        </w:rPr>
        <w:t xml:space="preserve"> </w:t>
      </w:r>
      <w:r>
        <w:rPr>
          <w:sz w:val="22"/>
          <w:szCs w:val="22"/>
          <w:lang w:val="en-GB"/>
        </w:rPr>
        <w:t>Only</w:t>
      </w:r>
      <w:r w:rsidR="006B6676">
        <w:rPr>
          <w:sz w:val="22"/>
          <w:szCs w:val="22"/>
          <w:lang w:val="en-GB"/>
        </w:rPr>
        <w:t xml:space="preserve"> </w:t>
      </w:r>
      <w:r>
        <w:rPr>
          <w:sz w:val="22"/>
          <w:szCs w:val="22"/>
          <w:lang w:val="en-GB"/>
        </w:rPr>
        <w:t>one</w:t>
      </w:r>
      <w:r w:rsidR="006B6676">
        <w:rPr>
          <w:sz w:val="22"/>
          <w:szCs w:val="22"/>
          <w:lang w:val="en-GB"/>
        </w:rPr>
        <w:t xml:space="preserve"> </w:t>
      </w:r>
      <w:r w:rsidRPr="00F26A3E">
        <w:rPr>
          <w:sz w:val="22"/>
          <w:szCs w:val="22"/>
          <w:lang w:val="en-GB"/>
        </w:rPr>
        <w:t>year</w:t>
      </w:r>
      <w:r w:rsidR="006B6676">
        <w:rPr>
          <w:sz w:val="22"/>
          <w:szCs w:val="22"/>
          <w:lang w:val="en-GB"/>
        </w:rPr>
        <w:t xml:space="preserve"> </w:t>
      </w:r>
      <w:r w:rsidRPr="00F26A3E">
        <w:rPr>
          <w:sz w:val="22"/>
          <w:szCs w:val="22"/>
          <w:lang w:val="en-GB"/>
        </w:rPr>
        <w:t>later,</w:t>
      </w:r>
      <w:r w:rsidR="006B6676">
        <w:rPr>
          <w:sz w:val="22"/>
          <w:szCs w:val="22"/>
          <w:lang w:val="en-GB"/>
        </w:rPr>
        <w:t xml:space="preserve"> </w:t>
      </w:r>
      <w:r w:rsidRPr="00F26A3E">
        <w:rPr>
          <w:sz w:val="22"/>
          <w:szCs w:val="22"/>
          <w:lang w:val="en-GB"/>
        </w:rPr>
        <w:t>construction</w:t>
      </w:r>
      <w:r w:rsidR="006B6676">
        <w:rPr>
          <w:sz w:val="22"/>
          <w:szCs w:val="22"/>
          <w:lang w:val="en-GB"/>
        </w:rPr>
        <w:t xml:space="preserve"> </w:t>
      </w:r>
      <w:r>
        <w:rPr>
          <w:sz w:val="22"/>
          <w:szCs w:val="22"/>
          <w:lang w:val="en-GB"/>
        </w:rPr>
        <w:t>began</w:t>
      </w:r>
      <w:r w:rsidR="006B6676">
        <w:rPr>
          <w:sz w:val="22"/>
          <w:szCs w:val="22"/>
          <w:lang w:val="en-GB"/>
        </w:rPr>
        <w:t xml:space="preserve"> </w:t>
      </w:r>
      <w:r>
        <w:rPr>
          <w:sz w:val="22"/>
          <w:szCs w:val="22"/>
          <w:lang w:val="en-GB"/>
        </w:rPr>
        <w:t>on</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further</w:t>
      </w:r>
      <w:r w:rsidR="006B6676">
        <w:rPr>
          <w:sz w:val="22"/>
          <w:szCs w:val="22"/>
          <w:lang w:val="en-GB"/>
        </w:rPr>
        <w:t xml:space="preserve"> </w:t>
      </w:r>
      <w:r>
        <w:rPr>
          <w:sz w:val="22"/>
          <w:szCs w:val="22"/>
          <w:lang w:val="en-GB"/>
        </w:rPr>
        <w:t>expansion</w:t>
      </w:r>
      <w:r w:rsidR="006B6676">
        <w:rPr>
          <w:sz w:val="22"/>
          <w:szCs w:val="22"/>
          <w:lang w:val="en-GB"/>
        </w:rPr>
        <w:t xml:space="preserve"> </w:t>
      </w:r>
      <w:r>
        <w:rPr>
          <w:sz w:val="22"/>
          <w:szCs w:val="22"/>
          <w:lang w:val="en-GB"/>
        </w:rPr>
        <w:t>project</w:t>
      </w:r>
      <w:r w:rsidR="006B6676">
        <w:rPr>
          <w:sz w:val="22"/>
          <w:szCs w:val="22"/>
          <w:lang w:val="en-GB"/>
        </w:rPr>
        <w:t xml:space="preserve"> </w:t>
      </w:r>
      <w:r w:rsidRPr="00F26A3E">
        <w:rPr>
          <w:sz w:val="22"/>
          <w:szCs w:val="22"/>
          <w:lang w:val="en-GB"/>
        </w:rPr>
        <w:t>at</w:t>
      </w:r>
      <w:r w:rsidR="006B6676">
        <w:rPr>
          <w:sz w:val="22"/>
          <w:szCs w:val="22"/>
          <w:lang w:val="en-GB"/>
        </w:rPr>
        <w:t xml:space="preserve"> </w:t>
      </w:r>
      <w:r w:rsidRPr="00F26A3E">
        <w:rPr>
          <w:sz w:val="22"/>
          <w:szCs w:val="22"/>
          <w:lang w:val="en-GB"/>
        </w:rPr>
        <w:t>th</w:t>
      </w:r>
      <w:r>
        <w:rPr>
          <w:sz w:val="22"/>
          <w:szCs w:val="22"/>
          <w:lang w:val="en-GB"/>
        </w:rPr>
        <w:t>at</w:t>
      </w:r>
      <w:r w:rsidR="006B6676">
        <w:rPr>
          <w:sz w:val="22"/>
          <w:szCs w:val="22"/>
          <w:lang w:val="en-GB"/>
        </w:rPr>
        <w:t xml:space="preserve"> </w:t>
      </w:r>
      <w:r w:rsidRPr="00F26A3E">
        <w:rPr>
          <w:sz w:val="22"/>
          <w:szCs w:val="22"/>
          <w:lang w:val="en-GB"/>
        </w:rPr>
        <w:t>plant</w:t>
      </w:r>
      <w:r>
        <w:rPr>
          <w:sz w:val="22"/>
          <w:szCs w:val="22"/>
          <w:lang w:val="en-GB"/>
        </w:rPr>
        <w:t>,</w:t>
      </w:r>
      <w:r w:rsidR="006B6676">
        <w:rPr>
          <w:sz w:val="22"/>
          <w:szCs w:val="22"/>
          <w:lang w:val="en-GB"/>
        </w:rPr>
        <w:t xml:space="preserve"> </w:t>
      </w:r>
      <w:r>
        <w:rPr>
          <w:sz w:val="22"/>
          <w:szCs w:val="22"/>
          <w:lang w:val="en-GB"/>
        </w:rPr>
        <w:t>which</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scheduled</w:t>
      </w:r>
      <w:r w:rsidR="006B6676">
        <w:rPr>
          <w:sz w:val="22"/>
          <w:szCs w:val="22"/>
          <w:lang w:val="en-GB"/>
        </w:rPr>
        <w:t xml:space="preserve"> </w:t>
      </w:r>
      <w:r>
        <w:rPr>
          <w:sz w:val="22"/>
          <w:szCs w:val="22"/>
          <w:lang w:val="en-GB"/>
        </w:rPr>
        <w:t>for</w:t>
      </w:r>
      <w:r w:rsidR="006B6676">
        <w:rPr>
          <w:sz w:val="22"/>
          <w:szCs w:val="22"/>
          <w:lang w:val="en-GB"/>
        </w:rPr>
        <w:t xml:space="preserve"> </w:t>
      </w:r>
      <w:r w:rsidRPr="00F26A3E">
        <w:rPr>
          <w:sz w:val="22"/>
          <w:szCs w:val="22"/>
          <w:lang w:val="en-GB"/>
        </w:rPr>
        <w:t>complet</w:t>
      </w:r>
      <w:r>
        <w:rPr>
          <w:sz w:val="22"/>
          <w:szCs w:val="22"/>
          <w:lang w:val="en-GB"/>
        </w:rPr>
        <w:t>ion</w:t>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end</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2019</w:t>
      </w:r>
      <w:r>
        <w:rPr>
          <w:sz w:val="22"/>
          <w:szCs w:val="22"/>
          <w:lang w:val="en-GB"/>
        </w:rPr>
        <w:t>–</w:t>
      </w:r>
      <w:r w:rsidRPr="00F26A3E">
        <w:rPr>
          <w:sz w:val="22"/>
          <w:szCs w:val="22"/>
          <w:lang w:val="en-GB"/>
        </w:rPr>
        <w:t>20</w:t>
      </w:r>
      <w:r>
        <w:rPr>
          <w:sz w:val="22"/>
          <w:szCs w:val="22"/>
          <w:lang w:val="en-GB"/>
        </w:rPr>
        <w:t>.</w:t>
      </w:r>
      <w:r w:rsidRPr="00F26A3E">
        <w:rPr>
          <w:sz w:val="22"/>
          <w:szCs w:val="22"/>
          <w:vertAlign w:val="superscript"/>
          <w:lang w:val="en-GB"/>
        </w:rPr>
        <w:endnoteReference w:id="50"/>
      </w:r>
    </w:p>
    <w:p w14:paraId="55AC4AD1" w14:textId="77777777" w:rsidR="00CA6A0D" w:rsidRPr="00F26A3E" w:rsidRDefault="00CA6A0D" w:rsidP="00B607FC">
      <w:pPr>
        <w:jc w:val="both"/>
        <w:rPr>
          <w:sz w:val="22"/>
          <w:szCs w:val="22"/>
          <w:lang w:val="en-GB"/>
        </w:rPr>
      </w:pPr>
    </w:p>
    <w:p w14:paraId="4DBF1CC0" w14:textId="4C482838" w:rsidR="00CA6A0D" w:rsidRPr="00F26A3E" w:rsidRDefault="00CA6A0D" w:rsidP="00B607FC">
      <w:pPr>
        <w:jc w:val="both"/>
        <w:rPr>
          <w:sz w:val="22"/>
          <w:szCs w:val="22"/>
          <w:lang w:val="en-GB"/>
        </w:rPr>
      </w:pPr>
      <w:r w:rsidRPr="00F26A3E">
        <w:rPr>
          <w:sz w:val="22"/>
          <w:szCs w:val="22"/>
          <w:lang w:val="en-GB"/>
        </w:rPr>
        <w:t>In</w:t>
      </w:r>
      <w:r w:rsidR="006B6676">
        <w:rPr>
          <w:sz w:val="22"/>
          <w:szCs w:val="22"/>
          <w:lang w:val="en-GB"/>
        </w:rPr>
        <w:t xml:space="preserve"> </w:t>
      </w:r>
      <w:r w:rsidRPr="00F26A3E">
        <w:rPr>
          <w:sz w:val="22"/>
          <w:szCs w:val="22"/>
          <w:lang w:val="en-GB"/>
        </w:rPr>
        <w:t>January</w:t>
      </w:r>
      <w:r w:rsidR="006B6676">
        <w:rPr>
          <w:sz w:val="22"/>
          <w:szCs w:val="22"/>
          <w:lang w:val="en-GB"/>
        </w:rPr>
        <w:t xml:space="preserve"> </w:t>
      </w:r>
      <w:r w:rsidRPr="00F26A3E">
        <w:rPr>
          <w:sz w:val="22"/>
          <w:szCs w:val="22"/>
          <w:lang w:val="en-GB"/>
        </w:rPr>
        <w:t>2019,</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signed</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m</w:t>
      </w:r>
      <w:r w:rsidRPr="00F26A3E">
        <w:rPr>
          <w:sz w:val="22"/>
          <w:szCs w:val="22"/>
          <w:lang w:val="en-GB"/>
        </w:rPr>
        <w:t>emorandum</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u</w:t>
      </w:r>
      <w:r w:rsidRPr="00F26A3E">
        <w:rPr>
          <w:sz w:val="22"/>
          <w:szCs w:val="22"/>
          <w:lang w:val="en-GB"/>
        </w:rPr>
        <w:t>nderstanding</w:t>
      </w:r>
      <w:r w:rsidR="006B6676">
        <w:rPr>
          <w:sz w:val="22"/>
          <w:szCs w:val="22"/>
          <w:lang w:val="en-GB"/>
        </w:rPr>
        <w:t xml:space="preserve"> </w:t>
      </w:r>
      <w:r w:rsidRPr="00F26A3E">
        <w:rPr>
          <w:sz w:val="22"/>
          <w:szCs w:val="22"/>
          <w:lang w:val="en-GB"/>
        </w:rPr>
        <w:t>with</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state</w:t>
      </w:r>
      <w:r w:rsidR="006B6676">
        <w:rPr>
          <w:sz w:val="22"/>
          <w:szCs w:val="22"/>
          <w:lang w:val="en-GB"/>
        </w:rPr>
        <w:t xml:space="preserve"> </w:t>
      </w:r>
      <w:r w:rsidRPr="00F26A3E">
        <w:rPr>
          <w:sz w:val="22"/>
          <w:szCs w:val="22"/>
          <w:lang w:val="en-GB"/>
        </w:rPr>
        <w:t>government</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Tamil</w:t>
      </w:r>
      <w:r w:rsidR="006B6676">
        <w:rPr>
          <w:sz w:val="22"/>
          <w:szCs w:val="22"/>
          <w:lang w:val="en-GB"/>
        </w:rPr>
        <w:t xml:space="preserve"> </w:t>
      </w:r>
      <w:r w:rsidRPr="00F26A3E">
        <w:rPr>
          <w:sz w:val="22"/>
          <w:szCs w:val="22"/>
          <w:lang w:val="en-GB"/>
        </w:rPr>
        <w:t>Nadu.</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received</w:t>
      </w:r>
      <w:r w:rsidR="006B6676">
        <w:rPr>
          <w:sz w:val="22"/>
          <w:szCs w:val="22"/>
          <w:lang w:val="en-GB"/>
        </w:rPr>
        <w:t xml:space="preserve"> </w:t>
      </w:r>
      <w:r w:rsidRPr="00F26A3E">
        <w:rPr>
          <w:sz w:val="22"/>
          <w:szCs w:val="22"/>
          <w:lang w:val="en-GB"/>
        </w:rPr>
        <w:t>fiscal</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monetary</w:t>
      </w:r>
      <w:r w:rsidR="006B6676">
        <w:rPr>
          <w:sz w:val="22"/>
          <w:szCs w:val="22"/>
          <w:lang w:val="en-GB"/>
        </w:rPr>
        <w:t xml:space="preserve"> </w:t>
      </w:r>
      <w:r w:rsidRPr="00F26A3E">
        <w:rPr>
          <w:sz w:val="22"/>
          <w:szCs w:val="22"/>
          <w:lang w:val="en-GB"/>
        </w:rPr>
        <w:t>incentives</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return</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planned</w:t>
      </w:r>
      <w:r w:rsidR="006B6676">
        <w:rPr>
          <w:sz w:val="22"/>
          <w:szCs w:val="22"/>
          <w:lang w:val="en-GB"/>
        </w:rPr>
        <w:t xml:space="preserve"> </w:t>
      </w:r>
      <w:r w:rsidRPr="00F26A3E">
        <w:rPr>
          <w:sz w:val="22"/>
          <w:szCs w:val="22"/>
          <w:lang w:val="en-GB"/>
        </w:rPr>
        <w:t>invest</w:t>
      </w:r>
      <w:r>
        <w:rPr>
          <w:sz w:val="22"/>
          <w:szCs w:val="22"/>
          <w:lang w:val="en-GB"/>
        </w:rPr>
        <w:t>ment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w:t>
      </w:r>
      <w:r w:rsidRPr="00F26A3E">
        <w:rPr>
          <w:sz w:val="22"/>
          <w:szCs w:val="22"/>
          <w:lang w:val="en-GB"/>
        </w:rPr>
        <w:t>15</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Tamil</w:t>
      </w:r>
      <w:r w:rsidR="006B6676">
        <w:rPr>
          <w:sz w:val="22"/>
          <w:szCs w:val="22"/>
          <w:lang w:val="en-GB"/>
        </w:rPr>
        <w:t xml:space="preserve"> </w:t>
      </w:r>
      <w:r>
        <w:rPr>
          <w:sz w:val="22"/>
          <w:szCs w:val="22"/>
          <w:lang w:val="en-GB"/>
        </w:rPr>
        <w:t>Nadu</w:t>
      </w:r>
      <w:r w:rsidR="006B6676">
        <w:rPr>
          <w:sz w:val="22"/>
          <w:szCs w:val="22"/>
          <w:lang w:val="en-GB"/>
        </w:rPr>
        <w:t xml:space="preserve"> </w:t>
      </w:r>
      <w:r w:rsidRPr="00F26A3E">
        <w:rPr>
          <w:sz w:val="22"/>
          <w:szCs w:val="22"/>
          <w:lang w:val="en-GB"/>
        </w:rPr>
        <w:t>over</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five</w:t>
      </w:r>
      <w:r w:rsidRPr="00F26A3E">
        <w:rPr>
          <w:sz w:val="22"/>
          <w:szCs w:val="22"/>
          <w:lang w:val="en-GB"/>
        </w:rPr>
        <w:t>-year</w:t>
      </w:r>
      <w:r w:rsidR="006B6676">
        <w:rPr>
          <w:sz w:val="22"/>
          <w:szCs w:val="22"/>
          <w:lang w:val="en-GB"/>
        </w:rPr>
        <w:t xml:space="preserve"> </w:t>
      </w:r>
      <w:r w:rsidRPr="00F26A3E">
        <w:rPr>
          <w:sz w:val="22"/>
          <w:szCs w:val="22"/>
          <w:lang w:val="en-GB"/>
        </w:rPr>
        <w:t>period</w:t>
      </w:r>
      <w:r w:rsidR="006B6676">
        <w:rPr>
          <w:sz w:val="22"/>
          <w:szCs w:val="22"/>
          <w:lang w:val="en-GB"/>
        </w:rPr>
        <w:t xml:space="preserve"> </w:t>
      </w:r>
      <w:r w:rsidRPr="00F26A3E">
        <w:rPr>
          <w:sz w:val="22"/>
          <w:szCs w:val="22"/>
          <w:lang w:val="en-GB"/>
        </w:rPr>
        <w:t>starting</w:t>
      </w:r>
      <w:r w:rsidR="006B6676">
        <w:rPr>
          <w:sz w:val="22"/>
          <w:szCs w:val="22"/>
          <w:lang w:val="en-GB"/>
        </w:rPr>
        <w:t xml:space="preserve"> </w:t>
      </w:r>
      <w:r>
        <w:rPr>
          <w:sz w:val="22"/>
          <w:szCs w:val="22"/>
          <w:lang w:val="en-GB"/>
        </w:rPr>
        <w:t>in</w:t>
      </w:r>
      <w:r w:rsidR="006B6676">
        <w:rPr>
          <w:sz w:val="22"/>
          <w:szCs w:val="22"/>
          <w:lang w:val="en-GB"/>
        </w:rPr>
        <w:t xml:space="preserve"> </w:t>
      </w:r>
      <w:r w:rsidRPr="00F26A3E">
        <w:rPr>
          <w:sz w:val="22"/>
          <w:szCs w:val="22"/>
          <w:lang w:val="en-GB"/>
        </w:rPr>
        <w:t>May</w:t>
      </w:r>
      <w:r w:rsidR="006B6676">
        <w:rPr>
          <w:sz w:val="22"/>
          <w:szCs w:val="22"/>
          <w:lang w:val="en-GB"/>
        </w:rPr>
        <w:t xml:space="preserve"> </w:t>
      </w:r>
      <w:r w:rsidRPr="00F26A3E">
        <w:rPr>
          <w:sz w:val="22"/>
          <w:szCs w:val="22"/>
          <w:lang w:val="en-GB"/>
        </w:rPr>
        <w:t>2016.</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similar</w:t>
      </w:r>
      <w:r w:rsidR="006B6676">
        <w:rPr>
          <w:sz w:val="22"/>
          <w:szCs w:val="22"/>
          <w:lang w:val="en-GB"/>
        </w:rPr>
        <w:t xml:space="preserve"> </w:t>
      </w:r>
      <w:r w:rsidRPr="00F26A3E">
        <w:rPr>
          <w:sz w:val="22"/>
          <w:szCs w:val="22"/>
          <w:lang w:val="en-GB"/>
        </w:rPr>
        <w:t>agreement</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been</w:t>
      </w:r>
      <w:r w:rsidR="006B6676">
        <w:rPr>
          <w:sz w:val="22"/>
          <w:szCs w:val="22"/>
          <w:lang w:val="en-GB"/>
        </w:rPr>
        <w:t xml:space="preserve"> </w:t>
      </w:r>
      <w:r w:rsidRPr="00F26A3E">
        <w:rPr>
          <w:sz w:val="22"/>
          <w:szCs w:val="22"/>
          <w:lang w:val="en-GB"/>
        </w:rPr>
        <w:t>signed</w:t>
      </w:r>
      <w:r w:rsidR="006B6676">
        <w:rPr>
          <w:sz w:val="22"/>
          <w:szCs w:val="22"/>
          <w:lang w:val="en-GB"/>
        </w:rPr>
        <w:t xml:space="preserve"> </w:t>
      </w:r>
      <w:r w:rsidRPr="00F26A3E">
        <w:rPr>
          <w:sz w:val="22"/>
          <w:szCs w:val="22"/>
          <w:lang w:val="en-GB"/>
        </w:rPr>
        <w:lastRenderedPageBreak/>
        <w:t>in</w:t>
      </w:r>
      <w:r w:rsidR="006B6676">
        <w:rPr>
          <w:sz w:val="22"/>
          <w:szCs w:val="22"/>
          <w:lang w:val="en-GB"/>
        </w:rPr>
        <w:t xml:space="preserve"> </w:t>
      </w:r>
      <w:r w:rsidRPr="00F26A3E">
        <w:rPr>
          <w:sz w:val="22"/>
          <w:szCs w:val="22"/>
          <w:lang w:val="en-GB"/>
        </w:rPr>
        <w:t>2012</w:t>
      </w:r>
      <w:r>
        <w:rPr>
          <w:sz w:val="22"/>
          <w:szCs w:val="22"/>
          <w:lang w:val="en-GB"/>
        </w:rPr>
        <w:t>,</w:t>
      </w:r>
      <w:r w:rsidR="006B6676">
        <w:rPr>
          <w:sz w:val="22"/>
          <w:szCs w:val="22"/>
          <w:lang w:val="en-GB"/>
        </w:rPr>
        <w:t xml:space="preserve"> </w:t>
      </w:r>
      <w:r w:rsidRPr="00F26A3E">
        <w:rPr>
          <w:sz w:val="22"/>
          <w:szCs w:val="22"/>
          <w:lang w:val="en-GB"/>
        </w:rPr>
        <w:t>when</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initiated</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process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setting</w:t>
      </w:r>
      <w:r w:rsidR="006B6676">
        <w:rPr>
          <w:sz w:val="22"/>
          <w:szCs w:val="22"/>
          <w:lang w:val="en-GB"/>
        </w:rPr>
        <w:t xml:space="preserve"> </w:t>
      </w:r>
      <w:r w:rsidRPr="00F26A3E">
        <w:rPr>
          <w:sz w:val="22"/>
          <w:szCs w:val="22"/>
          <w:lang w:val="en-GB"/>
        </w:rPr>
        <w:t>up</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Oragadam</w:t>
      </w:r>
      <w:r w:rsidR="006B6676">
        <w:rPr>
          <w:sz w:val="22"/>
          <w:szCs w:val="22"/>
          <w:lang w:val="en-GB"/>
        </w:rPr>
        <w:t xml:space="preserve"> </w:t>
      </w:r>
      <w:r w:rsidRPr="00F26A3E">
        <w:rPr>
          <w:sz w:val="22"/>
          <w:szCs w:val="22"/>
          <w:lang w:val="en-GB"/>
        </w:rPr>
        <w:t>plant.</w:t>
      </w:r>
      <w:r w:rsidR="006B6676">
        <w:rPr>
          <w:sz w:val="22"/>
          <w:szCs w:val="22"/>
          <w:lang w:val="en-GB"/>
        </w:rPr>
        <w:t xml:space="preserve"> </w:t>
      </w:r>
      <w:r>
        <w:rPr>
          <w:sz w:val="22"/>
          <w:szCs w:val="22"/>
          <w:lang w:val="en-GB"/>
        </w:rPr>
        <w:t>Between</w:t>
      </w:r>
      <w:r w:rsidR="006B6676">
        <w:rPr>
          <w:sz w:val="22"/>
          <w:szCs w:val="22"/>
          <w:lang w:val="en-GB"/>
        </w:rPr>
        <w:t xml:space="preserve"> </w:t>
      </w:r>
      <w:r>
        <w:rPr>
          <w:sz w:val="22"/>
          <w:szCs w:val="22"/>
          <w:lang w:val="en-GB"/>
        </w:rPr>
        <w:t>2011</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2016,</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invested</w:t>
      </w:r>
      <w:r w:rsidR="006B6676">
        <w:rPr>
          <w:sz w:val="22"/>
          <w:szCs w:val="22"/>
          <w:lang w:val="en-GB"/>
        </w:rPr>
        <w:t xml:space="preserve"> </w:t>
      </w:r>
      <w:r>
        <w:rPr>
          <w:sz w:val="22"/>
          <w:szCs w:val="22"/>
          <w:lang w:val="en-GB"/>
        </w:rPr>
        <w:t>₹</w:t>
      </w:r>
      <w:r w:rsidRPr="00F26A3E">
        <w:rPr>
          <w:sz w:val="22"/>
          <w:szCs w:val="22"/>
          <w:lang w:val="en-GB"/>
        </w:rPr>
        <w:t>3</w:t>
      </w:r>
      <w:r>
        <w:rPr>
          <w:sz w:val="22"/>
          <w:szCs w:val="22"/>
          <w:lang w:val="en-GB"/>
        </w:rPr>
        <w:t>.</w:t>
      </w:r>
      <w:r w:rsidRPr="00F26A3E">
        <w:rPr>
          <w:sz w:val="22"/>
          <w:szCs w:val="22"/>
          <w:lang w:val="en-GB"/>
        </w:rPr>
        <w:t>5</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geographical</w:t>
      </w:r>
      <w:r w:rsidR="006B6676">
        <w:rPr>
          <w:sz w:val="22"/>
          <w:szCs w:val="22"/>
          <w:lang w:val="en-GB"/>
        </w:rPr>
        <w:t xml:space="preserve"> </w:t>
      </w:r>
      <w:r>
        <w:rPr>
          <w:sz w:val="22"/>
          <w:szCs w:val="22"/>
          <w:lang w:val="en-GB"/>
        </w:rPr>
        <w:t>area.</w:t>
      </w:r>
      <w:r w:rsidRPr="00F26A3E">
        <w:rPr>
          <w:sz w:val="22"/>
          <w:szCs w:val="22"/>
          <w:vertAlign w:val="superscript"/>
          <w:lang w:val="en-GB"/>
        </w:rPr>
        <w:endnoteReference w:id="51"/>
      </w:r>
    </w:p>
    <w:p w14:paraId="37BED003" w14:textId="77777777" w:rsidR="00CA6A0D" w:rsidRPr="00F26A3E" w:rsidRDefault="00CA6A0D" w:rsidP="00B607FC">
      <w:pPr>
        <w:jc w:val="both"/>
        <w:rPr>
          <w:sz w:val="22"/>
          <w:szCs w:val="22"/>
          <w:lang w:val="en-GB"/>
        </w:rPr>
      </w:pPr>
    </w:p>
    <w:p w14:paraId="2E3EC9E6" w14:textId="33AB0303" w:rsidR="00CA6A0D" w:rsidRPr="00F26A3E" w:rsidRDefault="00CA6A0D" w:rsidP="00B607FC">
      <w:pPr>
        <w:jc w:val="both"/>
        <w:rPr>
          <w:sz w:val="22"/>
          <w:szCs w:val="22"/>
          <w:lang w:val="en-GB"/>
        </w:rPr>
      </w:pP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Pr>
          <w:sz w:val="22"/>
          <w:szCs w:val="22"/>
          <w:lang w:val="en-GB"/>
        </w:rPr>
        <w:t>production</w:t>
      </w:r>
      <w:r w:rsidR="006B6676">
        <w:rPr>
          <w:sz w:val="22"/>
          <w:szCs w:val="22"/>
          <w:lang w:val="en-GB"/>
        </w:rPr>
        <w:t xml:space="preserve"> </w:t>
      </w:r>
      <w:r>
        <w:rPr>
          <w:sz w:val="22"/>
          <w:szCs w:val="22"/>
          <w:lang w:val="en-GB"/>
        </w:rPr>
        <w:t>growth</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been</w:t>
      </w:r>
      <w:r w:rsidR="006B6676">
        <w:rPr>
          <w:sz w:val="22"/>
          <w:szCs w:val="22"/>
          <w:lang w:val="en-GB"/>
        </w:rPr>
        <w:t xml:space="preserve"> </w:t>
      </w:r>
      <w:r>
        <w:rPr>
          <w:sz w:val="22"/>
          <w:szCs w:val="22"/>
          <w:lang w:val="en-GB"/>
        </w:rPr>
        <w:t>exponential.</w:t>
      </w:r>
      <w:r w:rsidR="006B6676">
        <w:rPr>
          <w:sz w:val="22"/>
          <w:szCs w:val="22"/>
          <w:lang w:val="en-GB"/>
        </w:rPr>
        <w:t xml:space="preserve"> </w:t>
      </w:r>
      <w:r>
        <w:rPr>
          <w:sz w:val="22"/>
          <w:szCs w:val="22"/>
          <w:lang w:val="en-GB"/>
        </w:rPr>
        <w:t>On</w:t>
      </w:r>
      <w:r w:rsidR="006B6676">
        <w:rPr>
          <w:sz w:val="22"/>
          <w:szCs w:val="22"/>
          <w:lang w:val="en-GB"/>
        </w:rPr>
        <w:t xml:space="preserve"> </w:t>
      </w:r>
      <w:r>
        <w:rPr>
          <w:sz w:val="22"/>
          <w:szCs w:val="22"/>
          <w:lang w:val="en-GB"/>
        </w:rPr>
        <w:t>March</w:t>
      </w:r>
      <w:r w:rsidR="006B6676">
        <w:rPr>
          <w:sz w:val="22"/>
          <w:szCs w:val="22"/>
          <w:lang w:val="en-GB"/>
        </w:rPr>
        <w:t xml:space="preserve"> </w:t>
      </w:r>
      <w:r>
        <w:rPr>
          <w:sz w:val="22"/>
          <w:szCs w:val="22"/>
          <w:lang w:val="en-GB"/>
        </w:rPr>
        <w:t>31,</w:t>
      </w:r>
      <w:r w:rsidR="006B6676">
        <w:rPr>
          <w:sz w:val="22"/>
          <w:szCs w:val="22"/>
          <w:lang w:val="en-GB"/>
        </w:rPr>
        <w:t xml:space="preserve"> </w:t>
      </w:r>
      <w:r>
        <w:rPr>
          <w:sz w:val="22"/>
          <w:szCs w:val="22"/>
          <w:lang w:val="en-GB"/>
        </w:rPr>
        <w:t>2008,</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004A1C8C">
        <w:rPr>
          <w:sz w:val="22"/>
          <w:szCs w:val="22"/>
          <w:lang w:val="en-GB"/>
        </w:rPr>
        <w:t>a</w:t>
      </w:r>
      <w:r w:rsidR="006B6676">
        <w:rPr>
          <w:sz w:val="22"/>
          <w:szCs w:val="22"/>
          <w:lang w:val="en-GB"/>
        </w:rPr>
        <w:t xml:space="preserve"> </w:t>
      </w:r>
      <w:r>
        <w:rPr>
          <w:sz w:val="22"/>
          <w:szCs w:val="22"/>
          <w:lang w:val="en-GB"/>
        </w:rPr>
        <w:t>manufacturing</w:t>
      </w:r>
      <w:r w:rsidR="006B6676">
        <w:rPr>
          <w:sz w:val="22"/>
          <w:szCs w:val="22"/>
          <w:lang w:val="en-GB"/>
        </w:rPr>
        <w:t xml:space="preserve"> </w:t>
      </w:r>
      <w:r w:rsidRPr="00F26A3E">
        <w:rPr>
          <w:sz w:val="22"/>
          <w:szCs w:val="22"/>
          <w:lang w:val="en-GB"/>
        </w:rPr>
        <w:t>capacity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42</w:t>
      </w:r>
      <w:r>
        <w:rPr>
          <w:sz w:val="22"/>
          <w:szCs w:val="22"/>
          <w:lang w:val="en-GB"/>
        </w:rPr>
        <w:t>,</w:t>
      </w:r>
      <w:r w:rsidRPr="00F26A3E">
        <w:rPr>
          <w:sz w:val="22"/>
          <w:szCs w:val="22"/>
          <w:lang w:val="en-GB"/>
        </w:rPr>
        <w:t>000</w:t>
      </w:r>
      <w:r w:rsidR="006B6676">
        <w:rPr>
          <w:sz w:val="22"/>
          <w:szCs w:val="22"/>
          <w:lang w:val="en-GB"/>
        </w:rPr>
        <w:t xml:space="preserve"> </w:t>
      </w:r>
      <w:r>
        <w:rPr>
          <w:sz w:val="22"/>
          <w:szCs w:val="22"/>
          <w:lang w:val="en-GB"/>
        </w:rPr>
        <w:t>units</w:t>
      </w:r>
      <w:r w:rsidR="004A1C8C">
        <w:rPr>
          <w:sz w:val="22"/>
          <w:szCs w:val="22"/>
          <w:lang w:val="en-GB"/>
        </w:rPr>
        <w:t>.</w:t>
      </w:r>
      <w:r w:rsidRPr="00F26A3E">
        <w:rPr>
          <w:sz w:val="22"/>
          <w:szCs w:val="22"/>
          <w:vertAlign w:val="superscript"/>
          <w:lang w:val="en-GB"/>
        </w:rPr>
        <w:endnoteReference w:id="52"/>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March</w:t>
      </w:r>
      <w:r w:rsidR="006B6676">
        <w:rPr>
          <w:sz w:val="22"/>
          <w:szCs w:val="22"/>
          <w:lang w:val="en-GB"/>
        </w:rPr>
        <w:t xml:space="preserve"> </w:t>
      </w:r>
      <w:r>
        <w:rPr>
          <w:sz w:val="22"/>
          <w:szCs w:val="22"/>
          <w:lang w:val="en-GB"/>
        </w:rPr>
        <w:t>2019,</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Enfield’s</w:t>
      </w:r>
      <w:r w:rsidR="006B6676">
        <w:rPr>
          <w:sz w:val="22"/>
          <w:szCs w:val="22"/>
          <w:lang w:val="en-GB"/>
        </w:rPr>
        <w:t xml:space="preserve"> </w:t>
      </w:r>
      <w:r w:rsidR="00A93740">
        <w:rPr>
          <w:sz w:val="22"/>
          <w:szCs w:val="22"/>
          <w:lang w:val="en-GB"/>
        </w:rPr>
        <w:t>three</w:t>
      </w:r>
      <w:r w:rsidR="006B6676">
        <w:rPr>
          <w:sz w:val="22"/>
          <w:szCs w:val="22"/>
          <w:lang w:val="en-GB"/>
        </w:rPr>
        <w:t xml:space="preserve"> </w:t>
      </w:r>
      <w:r w:rsidR="00A93740" w:rsidRPr="00F26A3E">
        <w:rPr>
          <w:sz w:val="22"/>
          <w:szCs w:val="22"/>
          <w:lang w:val="en-GB"/>
        </w:rPr>
        <w:t>manufacturing</w:t>
      </w:r>
      <w:r w:rsidR="006B6676">
        <w:rPr>
          <w:sz w:val="22"/>
          <w:szCs w:val="22"/>
          <w:lang w:val="en-GB"/>
        </w:rPr>
        <w:t xml:space="preserve"> </w:t>
      </w:r>
      <w:r w:rsidRPr="00F26A3E">
        <w:rPr>
          <w:sz w:val="22"/>
          <w:szCs w:val="22"/>
          <w:lang w:val="en-GB"/>
        </w:rPr>
        <w:t>facilities</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total</w:t>
      </w:r>
      <w:r w:rsidR="006B6676">
        <w:rPr>
          <w:sz w:val="22"/>
          <w:szCs w:val="22"/>
          <w:lang w:val="en-GB"/>
        </w:rPr>
        <w:t xml:space="preserve"> </w:t>
      </w:r>
      <w:r w:rsidRPr="00F26A3E">
        <w:rPr>
          <w:sz w:val="22"/>
          <w:szCs w:val="22"/>
          <w:lang w:val="en-GB"/>
        </w:rPr>
        <w:t>capacity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900,000</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During</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2018</w:t>
      </w:r>
      <w:r>
        <w:rPr>
          <w:sz w:val="22"/>
          <w:szCs w:val="22"/>
          <w:lang w:val="en-GB"/>
        </w:rPr>
        <w:t>–</w:t>
      </w:r>
      <w:r w:rsidRPr="00F26A3E">
        <w:rPr>
          <w:sz w:val="22"/>
          <w:szCs w:val="22"/>
          <w:lang w:val="en-GB"/>
        </w:rPr>
        <w:t>19,</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manufactured</w:t>
      </w:r>
      <w:r w:rsidR="006B6676">
        <w:rPr>
          <w:sz w:val="22"/>
          <w:szCs w:val="22"/>
          <w:lang w:val="en-GB"/>
        </w:rPr>
        <w:t xml:space="preserve"> </w:t>
      </w:r>
      <w:r w:rsidRPr="00F26A3E">
        <w:rPr>
          <w:sz w:val="22"/>
          <w:szCs w:val="22"/>
          <w:lang w:val="en-GB"/>
        </w:rPr>
        <w:t>842,000</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at</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manufacturing</w:t>
      </w:r>
      <w:r w:rsidR="006B6676">
        <w:rPr>
          <w:sz w:val="22"/>
          <w:szCs w:val="22"/>
          <w:lang w:val="en-GB"/>
        </w:rPr>
        <w:t xml:space="preserve"> </w:t>
      </w:r>
      <w:r w:rsidRPr="00F26A3E">
        <w:rPr>
          <w:sz w:val="22"/>
          <w:szCs w:val="22"/>
          <w:lang w:val="en-GB"/>
        </w:rPr>
        <w:t>plants</w:t>
      </w:r>
      <w:r>
        <w:rPr>
          <w:sz w:val="22"/>
          <w:szCs w:val="22"/>
          <w:lang w:val="en-GB"/>
        </w:rPr>
        <w:t>.</w:t>
      </w:r>
      <w:r w:rsidRPr="00F26A3E">
        <w:rPr>
          <w:sz w:val="22"/>
          <w:szCs w:val="22"/>
          <w:vertAlign w:val="superscript"/>
          <w:lang w:val="en-GB"/>
        </w:rPr>
        <w:endnoteReference w:id="53"/>
      </w:r>
    </w:p>
    <w:p w14:paraId="39D448FB" w14:textId="77777777" w:rsidR="00CA6A0D" w:rsidRPr="00F26A3E" w:rsidRDefault="00CA6A0D" w:rsidP="00F268A5">
      <w:pPr>
        <w:pStyle w:val="BodyTextMain"/>
        <w:rPr>
          <w:rFonts w:eastAsia="Calibri"/>
          <w:highlight w:val="yellow"/>
          <w:lang w:val="en-GB"/>
        </w:rPr>
      </w:pPr>
    </w:p>
    <w:p w14:paraId="2000A984" w14:textId="77777777" w:rsidR="00CA6A0D" w:rsidRPr="00F26A3E" w:rsidRDefault="00CA6A0D" w:rsidP="00F268A5">
      <w:pPr>
        <w:pStyle w:val="BodyTextMain"/>
        <w:rPr>
          <w:rFonts w:eastAsia="Calibri"/>
          <w:highlight w:val="yellow"/>
          <w:lang w:val="en-GB"/>
        </w:rPr>
      </w:pPr>
    </w:p>
    <w:p w14:paraId="5473E8BF" w14:textId="3EA909FE" w:rsidR="00CA6A0D" w:rsidRPr="00F26A3E" w:rsidRDefault="00CA6A0D" w:rsidP="00F268A5">
      <w:pPr>
        <w:pStyle w:val="Casehead2"/>
        <w:rPr>
          <w:lang w:val="en-GB"/>
        </w:rPr>
      </w:pPr>
      <w:r w:rsidRPr="00F26A3E">
        <w:rPr>
          <w:lang w:val="en-GB"/>
        </w:rPr>
        <w:t>Focus</w:t>
      </w:r>
      <w:r w:rsidR="006B6676">
        <w:rPr>
          <w:lang w:val="en-GB"/>
        </w:rPr>
        <w:t xml:space="preserve"> </w:t>
      </w:r>
      <w:r w:rsidRPr="00F26A3E">
        <w:rPr>
          <w:lang w:val="en-GB"/>
        </w:rPr>
        <w:t>on</w:t>
      </w:r>
      <w:r w:rsidR="006B6676">
        <w:rPr>
          <w:lang w:val="en-GB"/>
        </w:rPr>
        <w:t xml:space="preserve"> </w:t>
      </w:r>
      <w:r w:rsidRPr="00F26A3E">
        <w:rPr>
          <w:lang w:val="en-GB"/>
        </w:rPr>
        <w:t>Quality</w:t>
      </w:r>
      <w:r w:rsidR="006B6676">
        <w:rPr>
          <w:lang w:val="en-GB"/>
        </w:rPr>
        <w:t xml:space="preserve"> </w:t>
      </w:r>
    </w:p>
    <w:p w14:paraId="7DB4BF46" w14:textId="77777777" w:rsidR="00CA6A0D" w:rsidRPr="00F26A3E" w:rsidRDefault="00CA6A0D" w:rsidP="00B607FC">
      <w:pPr>
        <w:jc w:val="both"/>
        <w:rPr>
          <w:sz w:val="22"/>
          <w:szCs w:val="22"/>
          <w:lang w:val="en-GB"/>
        </w:rPr>
      </w:pPr>
    </w:p>
    <w:p w14:paraId="1A1AE31B" w14:textId="4A01B321"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enhanced</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supply</w:t>
      </w:r>
      <w:r w:rsidR="006B6676">
        <w:rPr>
          <w:sz w:val="22"/>
          <w:szCs w:val="22"/>
          <w:lang w:val="en-GB"/>
        </w:rPr>
        <w:t xml:space="preserve"> </w:t>
      </w:r>
      <w:r w:rsidRPr="00F26A3E">
        <w:rPr>
          <w:sz w:val="22"/>
          <w:szCs w:val="22"/>
          <w:lang w:val="en-GB"/>
        </w:rPr>
        <w:t>chain</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in-house</w:t>
      </w:r>
      <w:r w:rsidR="006B6676">
        <w:rPr>
          <w:sz w:val="22"/>
          <w:szCs w:val="22"/>
          <w:lang w:val="en-GB"/>
        </w:rPr>
        <w:t xml:space="preserve"> </w:t>
      </w:r>
      <w:r w:rsidRPr="00F26A3E">
        <w:rPr>
          <w:sz w:val="22"/>
          <w:szCs w:val="22"/>
          <w:lang w:val="en-GB"/>
        </w:rPr>
        <w:t>processes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develop</w:t>
      </w:r>
      <w:r w:rsidR="006B6676">
        <w:rPr>
          <w:sz w:val="22"/>
          <w:szCs w:val="22"/>
          <w:lang w:val="en-GB"/>
        </w:rPr>
        <w:t xml:space="preserve"> </w:t>
      </w:r>
      <w:r w:rsidRPr="00F26A3E">
        <w:rPr>
          <w:sz w:val="22"/>
          <w:szCs w:val="22"/>
          <w:lang w:val="en-GB"/>
        </w:rPr>
        <w:t>high</w:t>
      </w:r>
      <w:r w:rsidR="004A1C8C">
        <w:rPr>
          <w:sz w:val="22"/>
          <w:szCs w:val="22"/>
          <w:lang w:val="en-GB"/>
        </w:rPr>
        <w:t>-</w:t>
      </w:r>
      <w:r w:rsidRPr="00F26A3E">
        <w:rPr>
          <w:sz w:val="22"/>
          <w:szCs w:val="22"/>
          <w:lang w:val="en-GB"/>
        </w:rPr>
        <w:t>quality</w:t>
      </w:r>
      <w:r w:rsidR="006B6676">
        <w:rPr>
          <w:sz w:val="22"/>
          <w:szCs w:val="22"/>
          <w:lang w:val="en-GB"/>
        </w:rPr>
        <w:t xml:space="preserve"> </w:t>
      </w:r>
      <w:r w:rsidRPr="00F26A3E">
        <w:rPr>
          <w:sz w:val="22"/>
          <w:szCs w:val="22"/>
          <w:lang w:val="en-GB"/>
        </w:rPr>
        <w:t>products</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provide</w:t>
      </w:r>
      <w:r w:rsidR="006B6676">
        <w:rPr>
          <w:sz w:val="22"/>
          <w:szCs w:val="22"/>
          <w:lang w:val="en-GB"/>
        </w:rPr>
        <w:t xml:space="preserve"> </w:t>
      </w:r>
      <w:r w:rsidRPr="00F26A3E">
        <w:rPr>
          <w:sz w:val="22"/>
          <w:szCs w:val="22"/>
          <w:lang w:val="en-GB"/>
        </w:rPr>
        <w:t>value</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customers.</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company</w:t>
      </w:r>
      <w:r w:rsidR="006B6676">
        <w:rPr>
          <w:sz w:val="22"/>
          <w:szCs w:val="22"/>
          <w:lang w:val="en-GB"/>
        </w:rPr>
        <w:t xml:space="preserve"> </w:t>
      </w:r>
      <w:r w:rsidRPr="00F26A3E">
        <w:rPr>
          <w:sz w:val="22"/>
          <w:szCs w:val="22"/>
          <w:lang w:val="en-GB"/>
        </w:rPr>
        <w:t>introduced</w:t>
      </w:r>
      <w:r w:rsidR="006B6676">
        <w:rPr>
          <w:sz w:val="22"/>
          <w:szCs w:val="22"/>
          <w:lang w:val="en-GB"/>
        </w:rPr>
        <w:t xml:space="preserve"> </w:t>
      </w:r>
      <w:r>
        <w:rPr>
          <w:sz w:val="22"/>
          <w:szCs w:val="22"/>
          <w:lang w:val="en-GB"/>
        </w:rPr>
        <w:t>advanced</w:t>
      </w:r>
      <w:r w:rsidR="006B6676">
        <w:rPr>
          <w:sz w:val="22"/>
          <w:szCs w:val="22"/>
          <w:lang w:val="en-GB"/>
        </w:rPr>
        <w:t xml:space="preserve"> </w:t>
      </w:r>
      <w:r>
        <w:rPr>
          <w:sz w:val="22"/>
          <w:szCs w:val="22"/>
          <w:lang w:val="en-GB"/>
        </w:rPr>
        <w:t>production</w:t>
      </w:r>
      <w:r w:rsidR="006B6676">
        <w:rPr>
          <w:sz w:val="22"/>
          <w:szCs w:val="22"/>
          <w:lang w:val="en-GB"/>
        </w:rPr>
        <w:t xml:space="preserve"> </w:t>
      </w:r>
      <w:r>
        <w:rPr>
          <w:sz w:val="22"/>
          <w:szCs w:val="22"/>
          <w:lang w:val="en-GB"/>
        </w:rPr>
        <w:t>management</w:t>
      </w:r>
      <w:r w:rsidR="006B6676">
        <w:rPr>
          <w:sz w:val="22"/>
          <w:szCs w:val="22"/>
          <w:lang w:val="en-GB"/>
        </w:rPr>
        <w:t xml:space="preserve"> </w:t>
      </w:r>
      <w:r w:rsidR="00A93740" w:rsidRPr="00F26A3E">
        <w:rPr>
          <w:sz w:val="22"/>
          <w:szCs w:val="22"/>
          <w:lang w:val="en-GB"/>
        </w:rPr>
        <w:t>initiatives</w:t>
      </w:r>
      <w:r w:rsidR="00A93740">
        <w:rPr>
          <w:sz w:val="22"/>
          <w:szCs w:val="22"/>
          <w:lang w:val="en-GB"/>
        </w:rPr>
        <w:t>,</w:t>
      </w:r>
      <w:r w:rsidR="006B6676">
        <w:rPr>
          <w:sz w:val="22"/>
          <w:szCs w:val="22"/>
          <w:lang w:val="en-GB"/>
        </w:rPr>
        <w:t xml:space="preserve"> </w:t>
      </w:r>
      <w:r w:rsidR="00A93740">
        <w:rPr>
          <w:sz w:val="22"/>
          <w:szCs w:val="22"/>
          <w:lang w:val="en-GB"/>
        </w:rPr>
        <w:t>such</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Japanese</w:t>
      </w:r>
      <w:r w:rsidR="006B6676">
        <w:rPr>
          <w:sz w:val="22"/>
          <w:szCs w:val="22"/>
          <w:lang w:val="en-GB"/>
        </w:rPr>
        <w:t xml:space="preserve"> </w:t>
      </w:r>
      <w:r>
        <w:rPr>
          <w:sz w:val="22"/>
          <w:szCs w:val="22"/>
          <w:lang w:val="en-GB"/>
        </w:rPr>
        <w:t>manufacturing</w:t>
      </w:r>
      <w:r w:rsidR="006B6676">
        <w:rPr>
          <w:sz w:val="22"/>
          <w:szCs w:val="22"/>
          <w:lang w:val="en-GB"/>
        </w:rPr>
        <w:t xml:space="preserve"> </w:t>
      </w:r>
      <w:r>
        <w:rPr>
          <w:sz w:val="22"/>
          <w:szCs w:val="22"/>
          <w:lang w:val="en-GB"/>
        </w:rPr>
        <w:t>methods</w:t>
      </w:r>
      <w:r w:rsidR="006B6676">
        <w:rPr>
          <w:sz w:val="22"/>
          <w:szCs w:val="22"/>
          <w:lang w:val="en-GB"/>
        </w:rPr>
        <w:t xml:space="preserve"> </w:t>
      </w:r>
      <w:r w:rsidRPr="00F26A3E">
        <w:rPr>
          <w:sz w:val="22"/>
          <w:szCs w:val="22"/>
          <w:lang w:val="en-GB"/>
        </w:rPr>
        <w:t>Shoki</w:t>
      </w:r>
      <w:r w:rsidR="006B6676">
        <w:rPr>
          <w:sz w:val="22"/>
          <w:szCs w:val="22"/>
          <w:lang w:val="en-GB"/>
        </w:rPr>
        <w:t xml:space="preserve"> </w:t>
      </w:r>
      <w:r w:rsidRPr="00F26A3E">
        <w:rPr>
          <w:sz w:val="22"/>
          <w:szCs w:val="22"/>
          <w:lang w:val="en-GB"/>
        </w:rPr>
        <w:t>Ryudo</w:t>
      </w:r>
      <w:r w:rsidR="006B6676">
        <w:rPr>
          <w:sz w:val="22"/>
          <w:szCs w:val="22"/>
          <w:lang w:val="en-GB"/>
        </w:rPr>
        <w:t xml:space="preserve"> </w:t>
      </w:r>
      <w:r w:rsidRPr="00F26A3E">
        <w:rPr>
          <w:sz w:val="22"/>
          <w:szCs w:val="22"/>
          <w:lang w:val="en-GB"/>
        </w:rPr>
        <w:t>Kanri</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Hoshin</w:t>
      </w:r>
      <w:r w:rsidR="006B6676">
        <w:rPr>
          <w:sz w:val="22"/>
          <w:szCs w:val="22"/>
          <w:lang w:val="en-GB"/>
        </w:rPr>
        <w:t xml:space="preserve"> </w:t>
      </w:r>
      <w:r w:rsidRPr="00F26A3E">
        <w:rPr>
          <w:sz w:val="22"/>
          <w:szCs w:val="22"/>
          <w:lang w:val="en-GB"/>
        </w:rPr>
        <w:t>Kanri</w:t>
      </w:r>
      <w:r>
        <w:rPr>
          <w:sz w:val="22"/>
          <w:szCs w:val="22"/>
          <w:lang w:val="en-GB"/>
        </w:rPr>
        <w:t>in</w:t>
      </w:r>
      <w:r w:rsidR="004A1C8C">
        <w:rPr>
          <w:sz w:val="22"/>
          <w:szCs w:val="22"/>
          <w:lang w:val="en-GB"/>
        </w:rPr>
        <w:t>,</w:t>
      </w:r>
      <w:r w:rsidR="006B6676">
        <w:rPr>
          <w:sz w:val="22"/>
          <w:szCs w:val="22"/>
          <w:lang w:val="en-GB"/>
        </w:rPr>
        <w:t xml:space="preserve"> </w:t>
      </w:r>
      <w:r w:rsidR="004A1C8C">
        <w:rPr>
          <w:sz w:val="22"/>
          <w:szCs w:val="22"/>
          <w:lang w:val="en-GB"/>
        </w:rPr>
        <w:t>at</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facilities</w:t>
      </w:r>
      <w:r>
        <w:rPr>
          <w:sz w:val="22"/>
          <w:szCs w:val="22"/>
          <w:lang w:val="en-GB"/>
        </w:rPr>
        <w:t>.</w:t>
      </w:r>
      <w:r w:rsidRPr="00F26A3E">
        <w:rPr>
          <w:sz w:val="22"/>
          <w:szCs w:val="22"/>
          <w:vertAlign w:val="superscript"/>
          <w:lang w:val="en-GB"/>
        </w:rPr>
        <w:endnoteReference w:id="54"/>
      </w:r>
      <w:r w:rsidR="006B6676">
        <w:rPr>
          <w:sz w:val="22"/>
          <w:szCs w:val="22"/>
          <w:lang w:val="en-GB"/>
        </w:rPr>
        <w:t xml:space="preserve"> </w:t>
      </w:r>
      <w:r w:rsidRPr="00F26A3E">
        <w:rPr>
          <w:sz w:val="22"/>
          <w:szCs w:val="22"/>
          <w:lang w:val="en-GB"/>
        </w:rPr>
        <w:t>These</w:t>
      </w:r>
      <w:r w:rsidR="006B6676">
        <w:rPr>
          <w:sz w:val="22"/>
          <w:szCs w:val="22"/>
          <w:lang w:val="en-GB"/>
        </w:rPr>
        <w:t xml:space="preserve"> </w:t>
      </w:r>
      <w:r>
        <w:rPr>
          <w:sz w:val="22"/>
          <w:szCs w:val="22"/>
          <w:lang w:val="en-GB"/>
        </w:rPr>
        <w:t>management</w:t>
      </w:r>
      <w:r w:rsidR="006B6676">
        <w:rPr>
          <w:sz w:val="22"/>
          <w:szCs w:val="22"/>
          <w:lang w:val="en-GB"/>
        </w:rPr>
        <w:t xml:space="preserve"> </w:t>
      </w:r>
      <w:r>
        <w:rPr>
          <w:sz w:val="22"/>
          <w:szCs w:val="22"/>
          <w:lang w:val="en-GB"/>
        </w:rPr>
        <w:t>initiatives</w:t>
      </w:r>
      <w:r w:rsidR="006B6676">
        <w:rPr>
          <w:sz w:val="22"/>
          <w:szCs w:val="22"/>
          <w:lang w:val="en-GB"/>
        </w:rPr>
        <w:t xml:space="preserve"> </w:t>
      </w:r>
      <w:r>
        <w:rPr>
          <w:sz w:val="22"/>
          <w:szCs w:val="22"/>
          <w:lang w:val="en-GB"/>
        </w:rPr>
        <w:t>were</w:t>
      </w:r>
      <w:r w:rsidR="006B6676">
        <w:rPr>
          <w:sz w:val="22"/>
          <w:szCs w:val="22"/>
          <w:lang w:val="en-GB"/>
        </w:rPr>
        <w:t xml:space="preserve"> </w:t>
      </w:r>
      <w:r w:rsidRPr="00F26A3E">
        <w:rPr>
          <w:sz w:val="22"/>
          <w:szCs w:val="22"/>
          <w:lang w:val="en-GB"/>
        </w:rPr>
        <w:t>intended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change</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mindset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workers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encourage</w:t>
      </w:r>
      <w:r w:rsidR="006B6676">
        <w:rPr>
          <w:sz w:val="22"/>
          <w:szCs w:val="22"/>
          <w:lang w:val="en-GB"/>
        </w:rPr>
        <w:t xml:space="preserve"> </w:t>
      </w:r>
      <w:r>
        <w:rPr>
          <w:sz w:val="22"/>
          <w:szCs w:val="22"/>
          <w:lang w:val="en-GB"/>
        </w:rPr>
        <w:t>high</w:t>
      </w:r>
      <w:r w:rsidR="004A1C8C">
        <w:rPr>
          <w:sz w:val="22"/>
          <w:szCs w:val="22"/>
          <w:lang w:val="en-GB"/>
        </w:rPr>
        <w:t>-</w:t>
      </w:r>
      <w:r w:rsidRPr="00F26A3E">
        <w:rPr>
          <w:sz w:val="22"/>
          <w:szCs w:val="22"/>
          <w:lang w:val="en-GB"/>
        </w:rPr>
        <w:t>quality</w:t>
      </w:r>
      <w:r w:rsidR="006B6676">
        <w:rPr>
          <w:sz w:val="22"/>
          <w:szCs w:val="22"/>
          <w:lang w:val="en-GB"/>
        </w:rPr>
        <w:t xml:space="preserve"> </w:t>
      </w:r>
      <w:r w:rsidRPr="00F26A3E">
        <w:rPr>
          <w:sz w:val="22"/>
          <w:szCs w:val="22"/>
          <w:lang w:val="en-GB"/>
        </w:rPr>
        <w:t>production.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focus</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these</w:t>
      </w:r>
      <w:r w:rsidR="006B6676">
        <w:rPr>
          <w:sz w:val="22"/>
          <w:szCs w:val="22"/>
          <w:lang w:val="en-GB"/>
        </w:rPr>
        <w:t xml:space="preserve"> </w:t>
      </w:r>
      <w:r>
        <w:rPr>
          <w:sz w:val="22"/>
          <w:szCs w:val="22"/>
          <w:lang w:val="en-GB"/>
        </w:rPr>
        <w:t>new</w:t>
      </w:r>
      <w:r w:rsidR="006B6676">
        <w:rPr>
          <w:sz w:val="22"/>
          <w:szCs w:val="22"/>
          <w:lang w:val="en-GB"/>
        </w:rPr>
        <w:t xml:space="preserve"> </w:t>
      </w:r>
      <w:r>
        <w:rPr>
          <w:sz w:val="22"/>
          <w:szCs w:val="22"/>
          <w:lang w:val="en-GB"/>
        </w:rPr>
        <w:t>manufacturing</w:t>
      </w:r>
      <w:r w:rsidR="006B6676">
        <w:rPr>
          <w:sz w:val="22"/>
          <w:szCs w:val="22"/>
          <w:lang w:val="en-GB"/>
        </w:rPr>
        <w:t xml:space="preserve"> </w:t>
      </w:r>
      <w:r>
        <w:rPr>
          <w:sz w:val="22"/>
          <w:szCs w:val="22"/>
          <w:lang w:val="en-GB"/>
        </w:rPr>
        <w:t>methods</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s</w:t>
      </w:r>
      <w:r w:rsidRPr="00F26A3E">
        <w:rPr>
          <w:sz w:val="22"/>
          <w:szCs w:val="22"/>
          <w:lang w:val="en-GB"/>
        </w:rPr>
        <w:t>tringent</w:t>
      </w:r>
      <w:r w:rsidR="006B6676">
        <w:rPr>
          <w:sz w:val="22"/>
          <w:szCs w:val="22"/>
          <w:lang w:val="en-GB"/>
        </w:rPr>
        <w:t xml:space="preserve"> </w:t>
      </w:r>
      <w:r w:rsidRPr="00F26A3E">
        <w:rPr>
          <w:sz w:val="22"/>
          <w:szCs w:val="22"/>
          <w:lang w:val="en-GB"/>
        </w:rPr>
        <w:t>quality</w:t>
      </w:r>
      <w:r w:rsidR="006B6676">
        <w:rPr>
          <w:sz w:val="22"/>
          <w:szCs w:val="22"/>
          <w:lang w:val="en-GB"/>
        </w:rPr>
        <w:t xml:space="preserve"> </w:t>
      </w:r>
      <w:r w:rsidRPr="00F26A3E">
        <w:rPr>
          <w:sz w:val="22"/>
          <w:szCs w:val="22"/>
          <w:lang w:val="en-GB"/>
        </w:rPr>
        <w:t>checks</w:t>
      </w:r>
      <w:r w:rsidR="006B6676">
        <w:rPr>
          <w:sz w:val="22"/>
          <w:szCs w:val="22"/>
          <w:lang w:val="en-GB"/>
        </w:rPr>
        <w:t xml:space="preserve"> </w:t>
      </w:r>
      <w:r>
        <w:rPr>
          <w:sz w:val="22"/>
          <w:szCs w:val="22"/>
          <w:lang w:val="en-GB"/>
        </w:rPr>
        <w:t>conducted</w:t>
      </w:r>
      <w:r w:rsidR="006B6676">
        <w:rPr>
          <w:sz w:val="22"/>
          <w:szCs w:val="22"/>
          <w:lang w:val="en-GB"/>
        </w:rPr>
        <w:t xml:space="preserve"> </w:t>
      </w:r>
      <w:r w:rsidRPr="00F26A3E">
        <w:rPr>
          <w:sz w:val="22"/>
          <w:szCs w:val="22"/>
          <w:lang w:val="en-GB"/>
        </w:rPr>
        <w:t>at</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supplier</w:t>
      </w:r>
      <w:r>
        <w:rPr>
          <w:sz w:val="22"/>
          <w:szCs w:val="22"/>
          <w:lang w:val="en-GB"/>
        </w:rPr>
        <w:t>’s</w:t>
      </w:r>
      <w:r w:rsidR="006B6676">
        <w:rPr>
          <w:sz w:val="22"/>
          <w:szCs w:val="22"/>
          <w:lang w:val="en-GB"/>
        </w:rPr>
        <w:t xml:space="preserve"> </w:t>
      </w:r>
      <w:r w:rsidRPr="00F26A3E">
        <w:rPr>
          <w:sz w:val="22"/>
          <w:szCs w:val="22"/>
          <w:lang w:val="en-GB"/>
        </w:rPr>
        <w:t>premises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quality</w:t>
      </w:r>
      <w:r w:rsidR="006B6676">
        <w:rPr>
          <w:sz w:val="22"/>
          <w:szCs w:val="22"/>
          <w:lang w:val="en-GB"/>
        </w:rPr>
        <w:t xml:space="preserve"> </w:t>
      </w:r>
      <w:r w:rsidRPr="00F26A3E">
        <w:rPr>
          <w:sz w:val="22"/>
          <w:szCs w:val="22"/>
          <w:lang w:val="en-GB"/>
        </w:rPr>
        <w:t>control</w:t>
      </w:r>
      <w:r w:rsidR="006B6676">
        <w:rPr>
          <w:sz w:val="22"/>
          <w:szCs w:val="22"/>
          <w:lang w:val="en-GB"/>
        </w:rPr>
        <w:t xml:space="preserve"> </w:t>
      </w:r>
      <w:r w:rsidRPr="00F26A3E">
        <w:rPr>
          <w:sz w:val="22"/>
          <w:szCs w:val="22"/>
          <w:lang w:val="en-GB"/>
        </w:rPr>
        <w:t>measures</w:t>
      </w:r>
      <w:r w:rsidR="006B6676">
        <w:rPr>
          <w:sz w:val="22"/>
          <w:szCs w:val="22"/>
          <w:lang w:val="en-GB"/>
        </w:rPr>
        <w:t xml:space="preserve"> </w:t>
      </w:r>
      <w:r>
        <w:rPr>
          <w:sz w:val="22"/>
          <w:szCs w:val="22"/>
          <w:lang w:val="en-GB"/>
        </w:rPr>
        <w:t>intended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eliminate</w:t>
      </w:r>
      <w:r w:rsidR="006B6676">
        <w:rPr>
          <w:sz w:val="22"/>
          <w:szCs w:val="22"/>
          <w:lang w:val="en-GB"/>
        </w:rPr>
        <w:t xml:space="preserve"> </w:t>
      </w:r>
      <w:r w:rsidRPr="00F26A3E">
        <w:rPr>
          <w:sz w:val="22"/>
          <w:szCs w:val="22"/>
          <w:lang w:val="en-GB"/>
        </w:rPr>
        <w:t>design</w:t>
      </w:r>
      <w:r w:rsidR="006B6676">
        <w:rPr>
          <w:sz w:val="22"/>
          <w:szCs w:val="22"/>
          <w:lang w:val="en-GB"/>
        </w:rPr>
        <w:t xml:space="preserve"> </w:t>
      </w:r>
      <w:r w:rsidRPr="00F26A3E">
        <w:rPr>
          <w:sz w:val="22"/>
          <w:szCs w:val="22"/>
          <w:lang w:val="en-GB"/>
        </w:rPr>
        <w:t>flaws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manufacturing</w:t>
      </w:r>
      <w:r w:rsidR="006B6676">
        <w:rPr>
          <w:sz w:val="22"/>
          <w:szCs w:val="22"/>
          <w:lang w:val="en-GB"/>
        </w:rPr>
        <w:t xml:space="preserve"> </w:t>
      </w:r>
      <w:r w:rsidRPr="00F26A3E">
        <w:rPr>
          <w:sz w:val="22"/>
          <w:szCs w:val="22"/>
          <w:lang w:val="en-GB"/>
        </w:rPr>
        <w:t>errors</w:t>
      </w:r>
      <w:r w:rsidR="006B6676">
        <w:rPr>
          <w:sz w:val="22"/>
          <w:szCs w:val="22"/>
          <w:lang w:val="en-GB"/>
        </w:rPr>
        <w:t xml:space="preserve"> </w:t>
      </w:r>
      <w:r w:rsidRPr="00F26A3E">
        <w:rPr>
          <w:sz w:val="22"/>
          <w:szCs w:val="22"/>
          <w:lang w:val="en-GB"/>
        </w:rPr>
        <w:t>at</w:t>
      </w:r>
      <w:r w:rsidR="006B6676">
        <w:rPr>
          <w:sz w:val="22"/>
          <w:szCs w:val="22"/>
          <w:lang w:val="en-GB"/>
        </w:rPr>
        <w:t xml:space="preserve"> </w:t>
      </w:r>
      <w:r>
        <w:rPr>
          <w:sz w:val="22"/>
          <w:szCs w:val="22"/>
          <w:lang w:val="en-GB"/>
        </w:rPr>
        <w:t>all</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facilities.</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overarching</w:t>
      </w:r>
      <w:r w:rsidR="006B6676">
        <w:rPr>
          <w:sz w:val="22"/>
          <w:szCs w:val="22"/>
          <w:lang w:val="en-GB"/>
        </w:rPr>
        <w:t xml:space="preserve"> </w:t>
      </w:r>
      <w:r w:rsidRPr="00F26A3E">
        <w:rPr>
          <w:sz w:val="22"/>
          <w:szCs w:val="22"/>
          <w:lang w:val="en-GB"/>
        </w:rPr>
        <w:t>aim</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make</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entire</w:t>
      </w:r>
      <w:r w:rsidR="006B6676">
        <w:rPr>
          <w:sz w:val="22"/>
          <w:szCs w:val="22"/>
          <w:lang w:val="en-GB"/>
        </w:rPr>
        <w:t xml:space="preserve"> </w:t>
      </w:r>
      <w:r w:rsidRPr="00F26A3E">
        <w:rPr>
          <w:sz w:val="22"/>
          <w:szCs w:val="22"/>
          <w:lang w:val="en-GB"/>
        </w:rPr>
        <w:t>value</w:t>
      </w:r>
      <w:r w:rsidR="006B6676">
        <w:rPr>
          <w:sz w:val="22"/>
          <w:szCs w:val="22"/>
          <w:lang w:val="en-GB"/>
        </w:rPr>
        <w:t xml:space="preserve"> </w:t>
      </w:r>
      <w:r w:rsidRPr="00F26A3E">
        <w:rPr>
          <w:sz w:val="22"/>
          <w:szCs w:val="22"/>
          <w:lang w:val="en-GB"/>
        </w:rPr>
        <w:t>chain</w:t>
      </w:r>
      <w:r w:rsidR="006B6676">
        <w:rPr>
          <w:sz w:val="22"/>
          <w:szCs w:val="22"/>
          <w:lang w:val="en-GB"/>
        </w:rPr>
        <w:t xml:space="preserve"> </w:t>
      </w:r>
      <w:r w:rsidRPr="00F26A3E">
        <w:rPr>
          <w:sz w:val="22"/>
          <w:szCs w:val="22"/>
          <w:lang w:val="en-GB"/>
        </w:rPr>
        <w:t>defect</w:t>
      </w:r>
      <w:r>
        <w:rPr>
          <w:sz w:val="22"/>
          <w:szCs w:val="22"/>
          <w:lang w:val="en-GB"/>
        </w:rPr>
        <w:t>-</w:t>
      </w:r>
      <w:r w:rsidRPr="00F26A3E">
        <w:rPr>
          <w:sz w:val="22"/>
          <w:szCs w:val="22"/>
          <w:lang w:val="en-GB"/>
        </w:rPr>
        <w:t>free</w:t>
      </w:r>
      <w:r>
        <w:rPr>
          <w:sz w:val="22"/>
          <w:szCs w:val="22"/>
          <w:lang w:val="en-GB"/>
        </w:rPr>
        <w:t>.</w:t>
      </w:r>
      <w:r w:rsidRPr="00F26A3E">
        <w:rPr>
          <w:sz w:val="22"/>
          <w:szCs w:val="22"/>
          <w:vertAlign w:val="superscript"/>
          <w:lang w:val="en-GB"/>
        </w:rPr>
        <w:endnoteReference w:id="55"/>
      </w:r>
    </w:p>
    <w:p w14:paraId="14875442" w14:textId="77777777" w:rsidR="00CA6A0D" w:rsidRPr="00F26A3E" w:rsidRDefault="00CA6A0D" w:rsidP="00B607FC">
      <w:pPr>
        <w:jc w:val="both"/>
        <w:rPr>
          <w:sz w:val="22"/>
          <w:szCs w:val="22"/>
          <w:lang w:val="en-GB"/>
        </w:rPr>
      </w:pPr>
    </w:p>
    <w:p w14:paraId="26B82C77" w14:textId="6374A258" w:rsidR="00CA6A0D" w:rsidRPr="00F26A3E" w:rsidRDefault="00CA6A0D" w:rsidP="00B607FC">
      <w:pPr>
        <w:jc w:val="both"/>
        <w:rPr>
          <w:sz w:val="22"/>
          <w:szCs w:val="22"/>
          <w:lang w:val="en-GB"/>
        </w:rPr>
      </w:pPr>
      <w:r w:rsidRPr="00F26A3E">
        <w:rPr>
          <w:sz w:val="22"/>
          <w:szCs w:val="22"/>
          <w:lang w:val="en-GB"/>
        </w:rPr>
        <w:t>Most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suppliers</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located</w:t>
      </w:r>
      <w:r w:rsidR="006B6676">
        <w:rPr>
          <w:sz w:val="22"/>
          <w:szCs w:val="22"/>
          <w:lang w:val="en-GB"/>
        </w:rPr>
        <w:t xml:space="preserve"> </w:t>
      </w:r>
      <w:r w:rsidRPr="00F26A3E">
        <w:rPr>
          <w:sz w:val="22"/>
          <w:szCs w:val="22"/>
          <w:lang w:val="en-GB"/>
        </w:rPr>
        <w:t>within</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100-kilomet</w:t>
      </w:r>
      <w:r w:rsidR="004A1C8C">
        <w:rPr>
          <w:sz w:val="22"/>
          <w:szCs w:val="22"/>
          <w:lang w:val="en-GB"/>
        </w:rPr>
        <w:t>r</w:t>
      </w:r>
      <w:r w:rsidRPr="00F26A3E">
        <w:rPr>
          <w:sz w:val="22"/>
          <w:szCs w:val="22"/>
          <w:lang w:val="en-GB"/>
        </w:rPr>
        <w:t>e</w:t>
      </w:r>
      <w:r w:rsidR="006B6676">
        <w:rPr>
          <w:sz w:val="22"/>
          <w:szCs w:val="22"/>
          <w:lang w:val="en-GB"/>
        </w:rPr>
        <w:t xml:space="preserve"> </w:t>
      </w:r>
      <w:r w:rsidRPr="00F26A3E">
        <w:rPr>
          <w:sz w:val="22"/>
          <w:szCs w:val="22"/>
          <w:lang w:val="en-GB"/>
        </w:rPr>
        <w:t>radius</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sidRPr="00F26A3E">
        <w:rPr>
          <w:sz w:val="22"/>
          <w:szCs w:val="22"/>
          <w:lang w:val="en-GB"/>
        </w:rPr>
        <w:t>manufacturing</w:t>
      </w:r>
      <w:r w:rsidR="006B6676">
        <w:rPr>
          <w:sz w:val="22"/>
          <w:szCs w:val="22"/>
          <w:lang w:val="en-GB"/>
        </w:rPr>
        <w:t xml:space="preserve"> </w:t>
      </w:r>
      <w:r w:rsidRPr="00F26A3E">
        <w:rPr>
          <w:sz w:val="22"/>
          <w:szCs w:val="22"/>
          <w:lang w:val="en-GB"/>
        </w:rPr>
        <w:t>plants.</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focus</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indigenous</w:t>
      </w:r>
      <w:r w:rsidR="006B6676">
        <w:rPr>
          <w:sz w:val="22"/>
          <w:szCs w:val="22"/>
          <w:lang w:val="en-GB"/>
        </w:rPr>
        <w:t xml:space="preserve"> </w:t>
      </w:r>
      <w:r w:rsidRPr="00F26A3E">
        <w:rPr>
          <w:sz w:val="22"/>
          <w:szCs w:val="22"/>
          <w:lang w:val="en-GB"/>
        </w:rPr>
        <w:t>sources</w:t>
      </w:r>
      <w:r w:rsidR="006B6676">
        <w:rPr>
          <w:sz w:val="22"/>
          <w:szCs w:val="22"/>
          <w:lang w:val="en-GB"/>
        </w:rPr>
        <w:t xml:space="preserve"> </w:t>
      </w:r>
      <w:r w:rsidRPr="00F26A3E">
        <w:rPr>
          <w:sz w:val="22"/>
          <w:szCs w:val="22"/>
          <w:lang w:val="en-GB"/>
        </w:rPr>
        <w:t>for</w:t>
      </w:r>
      <w:r w:rsidR="006B6676">
        <w:rPr>
          <w:sz w:val="22"/>
          <w:szCs w:val="22"/>
          <w:lang w:val="en-GB"/>
        </w:rPr>
        <w:t xml:space="preserve"> </w:t>
      </w:r>
      <w:r w:rsidR="004A1C8C">
        <w:rPr>
          <w:sz w:val="22"/>
          <w:szCs w:val="22"/>
          <w:lang w:val="en-GB"/>
        </w:rPr>
        <w:t>the</w:t>
      </w:r>
      <w:r w:rsidR="006B6676">
        <w:rPr>
          <w:sz w:val="22"/>
          <w:szCs w:val="22"/>
          <w:lang w:val="en-GB"/>
        </w:rPr>
        <w:t xml:space="preserve"> </w:t>
      </w:r>
      <w:r w:rsidRPr="00F26A3E">
        <w:rPr>
          <w:sz w:val="22"/>
          <w:szCs w:val="22"/>
          <w:lang w:val="en-GB"/>
        </w:rPr>
        <w:t>procurement</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raw</w:t>
      </w:r>
      <w:r w:rsidR="006B6676">
        <w:rPr>
          <w:sz w:val="22"/>
          <w:szCs w:val="22"/>
          <w:lang w:val="en-GB"/>
        </w:rPr>
        <w:t xml:space="preserve"> </w:t>
      </w:r>
      <w:r w:rsidRPr="00F26A3E">
        <w:rPr>
          <w:sz w:val="22"/>
          <w:szCs w:val="22"/>
          <w:lang w:val="en-GB"/>
        </w:rPr>
        <w:t>material</w:t>
      </w:r>
      <w:r>
        <w:rPr>
          <w:sz w:val="22"/>
          <w:szCs w:val="22"/>
          <w:lang w:val="en-GB"/>
        </w:rPr>
        <w:t>,</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company</w:t>
      </w:r>
      <w:r w:rsidR="006B6676">
        <w:rPr>
          <w:sz w:val="22"/>
          <w:szCs w:val="22"/>
          <w:lang w:val="en-GB"/>
        </w:rPr>
        <w:t xml:space="preserve"> </w:t>
      </w:r>
      <w:r>
        <w:rPr>
          <w:sz w:val="22"/>
          <w:szCs w:val="22"/>
          <w:lang w:val="en-GB"/>
        </w:rPr>
        <w:t>was</w:t>
      </w:r>
      <w:r w:rsidR="006B6676">
        <w:rPr>
          <w:sz w:val="22"/>
          <w:szCs w:val="22"/>
          <w:lang w:val="en-GB"/>
        </w:rPr>
        <w:t xml:space="preserve"> </w:t>
      </w:r>
      <w:r w:rsidRPr="00F26A3E">
        <w:rPr>
          <w:sz w:val="22"/>
          <w:szCs w:val="22"/>
          <w:lang w:val="en-GB"/>
        </w:rPr>
        <w:t>r</w:t>
      </w:r>
      <w:r>
        <w:rPr>
          <w:sz w:val="22"/>
          <w:szCs w:val="22"/>
          <w:lang w:val="en-GB"/>
        </w:rPr>
        <w:t>e</w:t>
      </w:r>
      <w:r w:rsidRPr="00F26A3E">
        <w:rPr>
          <w:sz w:val="22"/>
          <w:szCs w:val="22"/>
          <w:lang w:val="en-GB"/>
        </w:rPr>
        <w:t>c</w:t>
      </w:r>
      <w:r>
        <w:rPr>
          <w:sz w:val="22"/>
          <w:szCs w:val="22"/>
          <w:lang w:val="en-GB"/>
        </w:rPr>
        <w:t>eiving</w:t>
      </w:r>
      <w:r w:rsidR="006B6676">
        <w:rPr>
          <w:sz w:val="22"/>
          <w:szCs w:val="22"/>
          <w:lang w:val="en-GB"/>
        </w:rPr>
        <w:t xml:space="preserve"> </w:t>
      </w:r>
      <w:r w:rsidRPr="00F26A3E">
        <w:rPr>
          <w:sz w:val="22"/>
          <w:szCs w:val="22"/>
          <w:lang w:val="en-GB"/>
        </w:rPr>
        <w:t>more</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98</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raw</w:t>
      </w:r>
      <w:r w:rsidR="006B6676">
        <w:rPr>
          <w:sz w:val="22"/>
          <w:szCs w:val="22"/>
          <w:lang w:val="en-GB"/>
        </w:rPr>
        <w:t xml:space="preserve"> </w:t>
      </w:r>
      <w:r w:rsidRPr="00F26A3E">
        <w:rPr>
          <w:sz w:val="22"/>
          <w:szCs w:val="22"/>
          <w:lang w:val="en-GB"/>
        </w:rPr>
        <w:t>material</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local</w:t>
      </w:r>
      <w:r w:rsidR="006B6676">
        <w:rPr>
          <w:sz w:val="22"/>
          <w:szCs w:val="22"/>
          <w:lang w:val="en-GB"/>
        </w:rPr>
        <w:t xml:space="preserve"> </w:t>
      </w:r>
      <w:r w:rsidRPr="00F26A3E">
        <w:rPr>
          <w:sz w:val="22"/>
          <w:szCs w:val="22"/>
          <w:lang w:val="en-GB"/>
        </w:rPr>
        <w:t>suppliers.</w:t>
      </w:r>
      <w:r w:rsidRPr="00F26A3E">
        <w:rPr>
          <w:sz w:val="22"/>
          <w:szCs w:val="22"/>
          <w:vertAlign w:val="superscript"/>
          <w:lang w:val="en-GB"/>
        </w:rPr>
        <w:endnoteReference w:id="56"/>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p</w:t>
      </w:r>
      <w:r w:rsidRPr="00F26A3E">
        <w:rPr>
          <w:sz w:val="22"/>
          <w:szCs w:val="22"/>
          <w:lang w:val="en-GB"/>
        </w:rPr>
        <w:t>roximity</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plants</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suppliers</w:t>
      </w:r>
      <w:r w:rsidR="006B6676">
        <w:rPr>
          <w:sz w:val="22"/>
          <w:szCs w:val="22"/>
          <w:lang w:val="en-GB"/>
        </w:rPr>
        <w:t xml:space="preserve"> </w:t>
      </w:r>
      <w:r w:rsidRPr="00F26A3E">
        <w:rPr>
          <w:sz w:val="22"/>
          <w:szCs w:val="22"/>
          <w:lang w:val="en-GB"/>
        </w:rPr>
        <w:t>saved</w:t>
      </w:r>
      <w:r w:rsidR="006B6676">
        <w:rPr>
          <w:sz w:val="22"/>
          <w:szCs w:val="22"/>
          <w:lang w:val="en-GB"/>
        </w:rPr>
        <w:t xml:space="preserve"> </w:t>
      </w:r>
      <w:r>
        <w:rPr>
          <w:sz w:val="22"/>
          <w:szCs w:val="22"/>
          <w:lang w:val="en-GB"/>
        </w:rPr>
        <w:t>procurement</w:t>
      </w:r>
      <w:r w:rsidR="006B6676">
        <w:rPr>
          <w:sz w:val="22"/>
          <w:szCs w:val="22"/>
          <w:lang w:val="en-GB"/>
        </w:rPr>
        <w:t xml:space="preserve"> </w:t>
      </w:r>
      <w:r w:rsidRPr="00F26A3E">
        <w:rPr>
          <w:sz w:val="22"/>
          <w:szCs w:val="22"/>
          <w:lang w:val="en-GB"/>
        </w:rPr>
        <w:t>cost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time</w:t>
      </w:r>
      <w:r>
        <w:rPr>
          <w:sz w:val="22"/>
          <w:szCs w:val="22"/>
          <w:lang w:val="en-GB"/>
        </w:rPr>
        <w:t>,</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well</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provided</w:t>
      </w:r>
      <w:r w:rsidR="006B6676">
        <w:rPr>
          <w:sz w:val="22"/>
          <w:szCs w:val="22"/>
          <w:lang w:val="en-GB"/>
        </w:rPr>
        <w:t xml:space="preserve"> </w:t>
      </w:r>
      <w:r>
        <w:rPr>
          <w:sz w:val="22"/>
          <w:szCs w:val="22"/>
          <w:lang w:val="en-GB"/>
        </w:rPr>
        <w:t>environmental</w:t>
      </w:r>
      <w:r w:rsidR="006B6676">
        <w:rPr>
          <w:sz w:val="22"/>
          <w:szCs w:val="22"/>
          <w:lang w:val="en-GB"/>
        </w:rPr>
        <w:t xml:space="preserve"> </w:t>
      </w:r>
      <w:r>
        <w:rPr>
          <w:sz w:val="22"/>
          <w:szCs w:val="22"/>
          <w:lang w:val="en-GB"/>
        </w:rPr>
        <w:t>benefits</w:t>
      </w:r>
      <w:r w:rsidRPr="00F26A3E">
        <w:rPr>
          <w:sz w:val="22"/>
          <w:szCs w:val="22"/>
          <w:lang w:val="en-GB"/>
        </w:rPr>
        <w:t>.</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2017</w:t>
      </w:r>
      <w:r>
        <w:rPr>
          <w:sz w:val="22"/>
          <w:szCs w:val="22"/>
          <w:lang w:val="en-GB"/>
        </w:rPr>
        <w:t>–</w:t>
      </w:r>
      <w:r w:rsidRPr="00F26A3E">
        <w:rPr>
          <w:sz w:val="22"/>
          <w:szCs w:val="22"/>
          <w:lang w:val="en-GB"/>
        </w:rPr>
        <w:t>18,</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initiated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Supplier</w:t>
      </w:r>
      <w:r w:rsidR="006B6676">
        <w:rPr>
          <w:sz w:val="22"/>
          <w:szCs w:val="22"/>
          <w:lang w:val="en-GB"/>
        </w:rPr>
        <w:t xml:space="preserve"> </w:t>
      </w:r>
      <w:r w:rsidRPr="00F26A3E">
        <w:rPr>
          <w:sz w:val="22"/>
          <w:szCs w:val="22"/>
          <w:lang w:val="en-GB"/>
        </w:rPr>
        <w:t>Assessment</w:t>
      </w:r>
      <w:r w:rsidR="006B6676">
        <w:rPr>
          <w:sz w:val="22"/>
          <w:szCs w:val="22"/>
          <w:lang w:val="en-GB"/>
        </w:rPr>
        <w:t xml:space="preserve"> </w:t>
      </w:r>
      <w:r w:rsidRPr="00F26A3E">
        <w:rPr>
          <w:sz w:val="22"/>
          <w:szCs w:val="22"/>
          <w:lang w:val="en-GB"/>
        </w:rPr>
        <w:t>Process</w:t>
      </w:r>
      <w:r w:rsidRPr="00F26A3E">
        <w:rPr>
          <w:sz w:val="22"/>
          <w:szCs w:val="22"/>
          <w:vertAlign w:val="superscript"/>
          <w:lang w:val="en-GB"/>
        </w:rPr>
        <w:endnoteReference w:id="57"/>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gauge</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social</w:t>
      </w:r>
      <w:r w:rsidR="006B6676">
        <w:rPr>
          <w:sz w:val="22"/>
          <w:szCs w:val="22"/>
          <w:lang w:val="en-GB"/>
        </w:rPr>
        <w:t xml:space="preserve"> </w:t>
      </w:r>
      <w:r w:rsidRPr="00F26A3E">
        <w:rPr>
          <w:sz w:val="22"/>
          <w:szCs w:val="22"/>
          <w:lang w:val="en-GB"/>
        </w:rPr>
        <w:t>impact</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suppliers</w:t>
      </w:r>
      <w:r w:rsidR="006B6676">
        <w:rPr>
          <w:sz w:val="22"/>
          <w:szCs w:val="22"/>
          <w:lang w:val="en-GB"/>
        </w:rPr>
        <w:t xml:space="preserve"> </w:t>
      </w:r>
      <w:r>
        <w:rPr>
          <w:sz w:val="22"/>
          <w:szCs w:val="22"/>
          <w:lang w:val="en-GB"/>
        </w:rPr>
        <w:t>provided</w:t>
      </w:r>
      <w:r w:rsidRPr="00F26A3E">
        <w:rPr>
          <w:sz w:val="22"/>
          <w:szCs w:val="22"/>
          <w:lang w:val="en-GB"/>
        </w:rPr>
        <w:t>.</w:t>
      </w:r>
      <w:r w:rsidR="006B6676">
        <w:rPr>
          <w:sz w:val="22"/>
          <w:szCs w:val="22"/>
          <w:lang w:val="en-GB"/>
        </w:rPr>
        <w:t xml:space="preserve"> </w:t>
      </w:r>
    </w:p>
    <w:p w14:paraId="028E8576" w14:textId="77777777" w:rsidR="00CA6A0D" w:rsidRPr="00F26A3E" w:rsidRDefault="00CA6A0D" w:rsidP="00B607FC">
      <w:pPr>
        <w:jc w:val="both"/>
        <w:rPr>
          <w:sz w:val="22"/>
          <w:szCs w:val="22"/>
          <w:lang w:val="en-GB"/>
        </w:rPr>
      </w:pPr>
    </w:p>
    <w:p w14:paraId="30A2A422" w14:textId="3BE84904"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committed</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technologically</w:t>
      </w:r>
      <w:r w:rsidR="006B6676">
        <w:rPr>
          <w:sz w:val="22"/>
          <w:szCs w:val="22"/>
          <w:lang w:val="en-GB"/>
        </w:rPr>
        <w:t xml:space="preserve"> </w:t>
      </w:r>
      <w:r>
        <w:rPr>
          <w:sz w:val="22"/>
          <w:szCs w:val="22"/>
          <w:lang w:val="en-GB"/>
        </w:rPr>
        <w:t>advanced</w:t>
      </w:r>
      <w:r w:rsidR="006B6676">
        <w:rPr>
          <w:sz w:val="22"/>
          <w:szCs w:val="22"/>
          <w:lang w:val="en-GB"/>
        </w:rPr>
        <w:t xml:space="preserve"> </w:t>
      </w:r>
      <w:r w:rsidRPr="00F26A3E">
        <w:rPr>
          <w:sz w:val="22"/>
          <w:szCs w:val="22"/>
          <w:lang w:val="en-GB"/>
        </w:rPr>
        <w:t>design</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develop</w:t>
      </w:r>
      <w:r>
        <w:rPr>
          <w:sz w:val="22"/>
          <w:szCs w:val="22"/>
          <w:lang w:val="en-GB"/>
        </w:rPr>
        <w:t>ment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products.</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invested</w:t>
      </w:r>
      <w:r w:rsidR="006B6676">
        <w:rPr>
          <w:sz w:val="22"/>
          <w:szCs w:val="22"/>
          <w:lang w:val="en-GB"/>
        </w:rPr>
        <w:t xml:space="preserve"> </w:t>
      </w:r>
      <w:r>
        <w:rPr>
          <w:sz w:val="22"/>
          <w:szCs w:val="22"/>
          <w:lang w:val="en-GB"/>
        </w:rPr>
        <w:t>heavily</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research</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development</w:t>
      </w:r>
      <w:r w:rsidR="006B6676">
        <w:rPr>
          <w:sz w:val="22"/>
          <w:szCs w:val="22"/>
          <w:lang w:val="en-GB"/>
        </w:rPr>
        <w:t xml:space="preserve"> </w:t>
      </w:r>
      <w:r>
        <w:rPr>
          <w:sz w:val="22"/>
          <w:szCs w:val="22"/>
          <w:lang w:val="en-GB"/>
        </w:rPr>
        <w:t>(see</w:t>
      </w:r>
      <w:r w:rsidR="006B6676">
        <w:rPr>
          <w:sz w:val="22"/>
          <w:szCs w:val="22"/>
          <w:lang w:val="en-GB"/>
        </w:rPr>
        <w:t xml:space="preserve"> </w:t>
      </w:r>
      <w:r>
        <w:rPr>
          <w:sz w:val="22"/>
          <w:szCs w:val="22"/>
          <w:lang w:val="en-GB"/>
        </w:rPr>
        <w:t>Exhibit</w:t>
      </w:r>
      <w:r w:rsidR="006B6676">
        <w:rPr>
          <w:sz w:val="22"/>
          <w:szCs w:val="22"/>
          <w:lang w:val="en-GB"/>
        </w:rPr>
        <w:t xml:space="preserve"> </w:t>
      </w:r>
      <w:r>
        <w:rPr>
          <w:sz w:val="22"/>
          <w:szCs w:val="22"/>
          <w:lang w:val="en-GB"/>
        </w:rPr>
        <w:t>4)</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opened</w:t>
      </w:r>
      <w:r w:rsidR="006B6676">
        <w:rPr>
          <w:sz w:val="22"/>
          <w:szCs w:val="22"/>
          <w:lang w:val="en-GB"/>
        </w:rPr>
        <w:t xml:space="preserve"> </w:t>
      </w:r>
      <w:r w:rsidRPr="00F26A3E">
        <w:rPr>
          <w:sz w:val="22"/>
          <w:szCs w:val="22"/>
          <w:lang w:val="en-GB"/>
        </w:rPr>
        <w:t>state-of-the-art</w:t>
      </w:r>
      <w:r w:rsidR="006B6676">
        <w:rPr>
          <w:sz w:val="22"/>
          <w:szCs w:val="22"/>
          <w:lang w:val="en-GB"/>
        </w:rPr>
        <w:t xml:space="preserve"> </w:t>
      </w:r>
      <w:r w:rsidRPr="00F26A3E">
        <w:rPr>
          <w:sz w:val="22"/>
          <w:szCs w:val="22"/>
          <w:lang w:val="en-GB"/>
        </w:rPr>
        <w:t>technology</w:t>
      </w:r>
      <w:r w:rsidR="006B6676">
        <w:rPr>
          <w:sz w:val="22"/>
          <w:szCs w:val="22"/>
          <w:lang w:val="en-GB"/>
        </w:rPr>
        <w:t xml:space="preserve"> </w:t>
      </w:r>
      <w:r w:rsidRPr="00F26A3E">
        <w:rPr>
          <w:sz w:val="22"/>
          <w:szCs w:val="22"/>
          <w:lang w:val="en-GB"/>
        </w:rPr>
        <w:t>centr</w:t>
      </w:r>
      <w:r>
        <w:rPr>
          <w:sz w:val="22"/>
          <w:szCs w:val="22"/>
          <w:lang w:val="en-GB"/>
        </w:rPr>
        <w:t>e</w:t>
      </w:r>
      <w:r w:rsidRPr="00F26A3E">
        <w:rPr>
          <w:sz w:val="22"/>
          <w:szCs w:val="22"/>
          <w:lang w:val="en-GB"/>
        </w:rPr>
        <w:t>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Leicestershire,</w:t>
      </w:r>
      <w:r w:rsidR="006B6676">
        <w:rPr>
          <w:sz w:val="22"/>
          <w:szCs w:val="22"/>
          <w:lang w:val="en-GB"/>
        </w:rPr>
        <w:t xml:space="preserve"> </w:t>
      </w:r>
      <w:r w:rsidRPr="00F26A3E">
        <w:rPr>
          <w:sz w:val="22"/>
          <w:szCs w:val="22"/>
          <w:lang w:val="en-GB"/>
        </w:rPr>
        <w:t>U</w:t>
      </w:r>
      <w:r w:rsidR="004A1C8C">
        <w:rPr>
          <w:sz w:val="22"/>
          <w:szCs w:val="22"/>
          <w:lang w:val="en-GB"/>
        </w:rPr>
        <w:t>nited</w:t>
      </w:r>
      <w:r w:rsidR="006B6676">
        <w:rPr>
          <w:sz w:val="22"/>
          <w:szCs w:val="22"/>
          <w:lang w:val="en-GB"/>
        </w:rPr>
        <w:t xml:space="preserve"> </w:t>
      </w:r>
      <w:r w:rsidRPr="00F26A3E">
        <w:rPr>
          <w:sz w:val="22"/>
          <w:szCs w:val="22"/>
          <w:lang w:val="en-GB"/>
        </w:rPr>
        <w:t>K</w:t>
      </w:r>
      <w:r w:rsidR="004A1C8C">
        <w:rPr>
          <w:sz w:val="22"/>
          <w:szCs w:val="22"/>
          <w:lang w:val="en-GB"/>
        </w:rPr>
        <w:t>ingdom,</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in</w:t>
      </w:r>
      <w:r w:rsidR="006B6676">
        <w:rPr>
          <w:sz w:val="22"/>
          <w:szCs w:val="22"/>
          <w:lang w:val="en-GB"/>
        </w:rPr>
        <w:t xml:space="preserve"> </w:t>
      </w:r>
      <w:r w:rsidRPr="00F26A3E">
        <w:rPr>
          <w:sz w:val="22"/>
          <w:szCs w:val="22"/>
          <w:lang w:val="en-GB"/>
        </w:rPr>
        <w:t>Chennai,</w:t>
      </w:r>
      <w:r w:rsidR="006B6676">
        <w:rPr>
          <w:sz w:val="22"/>
          <w:szCs w:val="22"/>
          <w:lang w:val="en-GB"/>
        </w:rPr>
        <w:t xml:space="preserve"> </w:t>
      </w:r>
      <w:r w:rsidRPr="00F26A3E">
        <w:rPr>
          <w:sz w:val="22"/>
          <w:szCs w:val="22"/>
          <w:lang w:val="en-GB"/>
        </w:rPr>
        <w:t>India.</w:t>
      </w:r>
      <w:r w:rsidR="006B6676">
        <w:rPr>
          <w:sz w:val="22"/>
          <w:szCs w:val="22"/>
          <w:lang w:val="en-GB"/>
        </w:rPr>
        <w:t xml:space="preserve"> </w:t>
      </w:r>
      <w:r>
        <w:rPr>
          <w:sz w:val="22"/>
          <w:szCs w:val="22"/>
          <w:lang w:val="en-GB"/>
        </w:rPr>
        <w:t>At</w:t>
      </w:r>
      <w:r w:rsidR="006B6676">
        <w:rPr>
          <w:sz w:val="22"/>
          <w:szCs w:val="22"/>
          <w:lang w:val="en-GB"/>
        </w:rPr>
        <w:t xml:space="preserve"> </w:t>
      </w:r>
      <w:r>
        <w:rPr>
          <w:sz w:val="22"/>
          <w:szCs w:val="22"/>
          <w:lang w:val="en-GB"/>
        </w:rPr>
        <w:t>these</w:t>
      </w:r>
      <w:r w:rsidR="006B6676">
        <w:rPr>
          <w:sz w:val="22"/>
          <w:szCs w:val="22"/>
          <w:lang w:val="en-GB"/>
        </w:rPr>
        <w:t xml:space="preserve"> </w:t>
      </w:r>
      <w:r>
        <w:rPr>
          <w:sz w:val="22"/>
          <w:szCs w:val="22"/>
          <w:lang w:val="en-GB"/>
        </w:rPr>
        <w:t>centres,</w:t>
      </w:r>
      <w:r w:rsidR="006B6676">
        <w:rPr>
          <w:sz w:val="22"/>
          <w:szCs w:val="22"/>
          <w:lang w:val="en-GB"/>
        </w:rPr>
        <w:t xml:space="preserve"> </w:t>
      </w:r>
      <w:r>
        <w:rPr>
          <w:sz w:val="22"/>
          <w:szCs w:val="22"/>
          <w:lang w:val="en-GB"/>
        </w:rPr>
        <w:t>m</w:t>
      </w:r>
      <w:r w:rsidRPr="00F26A3E">
        <w:rPr>
          <w:sz w:val="22"/>
          <w:szCs w:val="22"/>
          <w:lang w:val="en-GB"/>
        </w:rPr>
        <w:t>odern</w:t>
      </w:r>
      <w:r w:rsidR="006B6676">
        <w:rPr>
          <w:sz w:val="22"/>
          <w:szCs w:val="22"/>
          <w:lang w:val="en-GB"/>
        </w:rPr>
        <w:t xml:space="preserve"> </w:t>
      </w:r>
      <w:r w:rsidRPr="00F26A3E">
        <w:rPr>
          <w:sz w:val="22"/>
          <w:szCs w:val="22"/>
          <w:lang w:val="en-GB"/>
        </w:rPr>
        <w:t>elements</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combined</w:t>
      </w:r>
      <w:r w:rsidR="006B6676">
        <w:rPr>
          <w:sz w:val="22"/>
          <w:szCs w:val="22"/>
          <w:lang w:val="en-GB"/>
        </w:rPr>
        <w:t xml:space="preserve"> </w:t>
      </w:r>
      <w:r w:rsidRPr="00F26A3E">
        <w:rPr>
          <w:sz w:val="22"/>
          <w:szCs w:val="22"/>
          <w:lang w:val="en-GB"/>
        </w:rPr>
        <w:t>with</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sidRPr="00F26A3E">
        <w:rPr>
          <w:sz w:val="22"/>
          <w:szCs w:val="22"/>
          <w:lang w:val="en-GB"/>
        </w:rPr>
        <w:t>brand</w:t>
      </w:r>
      <w:r w:rsidR="006B6676">
        <w:rPr>
          <w:sz w:val="22"/>
          <w:szCs w:val="22"/>
          <w:lang w:val="en-GB"/>
        </w:rPr>
        <w:t xml:space="preserve"> </w:t>
      </w:r>
      <w:r w:rsidRPr="00F26A3E">
        <w:rPr>
          <w:sz w:val="22"/>
          <w:szCs w:val="22"/>
          <w:lang w:val="en-GB"/>
        </w:rPr>
        <w:t>heritage</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create</w:t>
      </w:r>
      <w:r w:rsidR="006B6676">
        <w:rPr>
          <w:sz w:val="22"/>
          <w:szCs w:val="22"/>
          <w:lang w:val="en-GB"/>
        </w:rPr>
        <w:t xml:space="preserve"> </w:t>
      </w:r>
      <w:r w:rsidRPr="00F26A3E">
        <w:rPr>
          <w:sz w:val="22"/>
          <w:szCs w:val="22"/>
          <w:lang w:val="en-GB"/>
        </w:rPr>
        <w:t>distinctive</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ensured</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continuous</w:t>
      </w:r>
      <w:r w:rsidR="006B6676">
        <w:rPr>
          <w:sz w:val="22"/>
          <w:szCs w:val="22"/>
          <w:lang w:val="en-GB"/>
        </w:rPr>
        <w:t xml:space="preserve"> </w:t>
      </w:r>
      <w:r>
        <w:rPr>
          <w:sz w:val="22"/>
          <w:szCs w:val="22"/>
          <w:lang w:val="en-GB"/>
        </w:rPr>
        <w:t>focus</w:t>
      </w:r>
      <w:r w:rsidR="006B6676">
        <w:rPr>
          <w:sz w:val="22"/>
          <w:szCs w:val="22"/>
          <w:lang w:val="en-GB"/>
        </w:rPr>
        <w:t xml:space="preserve"> </w:t>
      </w:r>
      <w:r>
        <w:rPr>
          <w:sz w:val="22"/>
          <w:szCs w:val="22"/>
          <w:lang w:val="en-GB"/>
        </w:rPr>
        <w:t>on</w:t>
      </w:r>
      <w:r w:rsidR="006B6676">
        <w:rPr>
          <w:sz w:val="22"/>
          <w:szCs w:val="22"/>
          <w:lang w:val="en-GB"/>
        </w:rPr>
        <w:t xml:space="preserve"> </w:t>
      </w:r>
      <w:r w:rsidR="00EE01D9">
        <w:rPr>
          <w:sz w:val="22"/>
          <w:szCs w:val="22"/>
          <w:lang w:val="en-GB"/>
        </w:rPr>
        <w:t>the</w:t>
      </w:r>
      <w:r w:rsidR="006B6676">
        <w:rPr>
          <w:sz w:val="22"/>
          <w:szCs w:val="22"/>
          <w:lang w:val="en-GB"/>
        </w:rPr>
        <w:t xml:space="preserve"> </w:t>
      </w:r>
      <w:r w:rsidRPr="00F26A3E">
        <w:rPr>
          <w:sz w:val="22"/>
          <w:szCs w:val="22"/>
          <w:lang w:val="en-GB"/>
        </w:rPr>
        <w:t>design</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manufacture</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state-of-the-art</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would</w:t>
      </w:r>
      <w:r w:rsidR="006B6676">
        <w:rPr>
          <w:sz w:val="22"/>
          <w:szCs w:val="22"/>
          <w:lang w:val="en-GB"/>
        </w:rPr>
        <w:t xml:space="preserve"> </w:t>
      </w:r>
      <w:r>
        <w:rPr>
          <w:sz w:val="22"/>
          <w:szCs w:val="22"/>
          <w:lang w:val="en-GB"/>
        </w:rPr>
        <w:t>keep</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well</w:t>
      </w:r>
      <w:r w:rsidR="006B6676">
        <w:rPr>
          <w:sz w:val="22"/>
          <w:szCs w:val="22"/>
          <w:lang w:val="en-GB"/>
        </w:rPr>
        <w:t xml:space="preserve"> </w:t>
      </w:r>
      <w:r>
        <w:rPr>
          <w:sz w:val="22"/>
          <w:szCs w:val="22"/>
          <w:lang w:val="en-GB"/>
        </w:rPr>
        <w:t>ahead</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competition.</w:t>
      </w:r>
      <w:r w:rsidR="006B6676">
        <w:rPr>
          <w:sz w:val="22"/>
          <w:szCs w:val="22"/>
          <w:lang w:val="en-GB"/>
        </w:rPr>
        <w:t xml:space="preserve">   </w:t>
      </w:r>
    </w:p>
    <w:p w14:paraId="6A7F82E5" w14:textId="77777777" w:rsidR="00CA6A0D" w:rsidRPr="00F26A3E" w:rsidRDefault="00CA6A0D" w:rsidP="007C2757">
      <w:pPr>
        <w:pStyle w:val="BodyTextMain"/>
        <w:rPr>
          <w:lang w:val="en-GB"/>
        </w:rPr>
      </w:pPr>
    </w:p>
    <w:p w14:paraId="38CD742B" w14:textId="77777777" w:rsidR="00CA6A0D" w:rsidRPr="00F26A3E" w:rsidRDefault="00CA6A0D" w:rsidP="007C2757">
      <w:pPr>
        <w:pStyle w:val="BodyTextMain"/>
        <w:rPr>
          <w:lang w:val="en-GB"/>
        </w:rPr>
      </w:pPr>
    </w:p>
    <w:p w14:paraId="3CEE5B74" w14:textId="6CEE5FEF" w:rsidR="00CA6A0D" w:rsidRPr="00F26A3E" w:rsidRDefault="00CA6A0D" w:rsidP="007C2757">
      <w:pPr>
        <w:pStyle w:val="Casehead2"/>
        <w:rPr>
          <w:lang w:val="en-GB"/>
        </w:rPr>
      </w:pPr>
      <w:r w:rsidRPr="00F26A3E">
        <w:rPr>
          <w:lang w:val="en-GB"/>
        </w:rPr>
        <w:t>Distribution</w:t>
      </w:r>
      <w:r w:rsidR="006B6676">
        <w:rPr>
          <w:lang w:val="en-GB"/>
        </w:rPr>
        <w:t xml:space="preserve"> </w:t>
      </w:r>
      <w:r w:rsidRPr="00F26A3E">
        <w:rPr>
          <w:lang w:val="en-GB"/>
        </w:rPr>
        <w:t>Prowess</w:t>
      </w:r>
    </w:p>
    <w:p w14:paraId="1F375612" w14:textId="77777777" w:rsidR="00CA6A0D" w:rsidRPr="00F26A3E" w:rsidRDefault="00CA6A0D" w:rsidP="00B607FC">
      <w:pPr>
        <w:jc w:val="both"/>
        <w:rPr>
          <w:sz w:val="22"/>
          <w:szCs w:val="22"/>
          <w:lang w:val="en-GB"/>
        </w:rPr>
      </w:pPr>
    </w:p>
    <w:p w14:paraId="28EDBDB8" w14:textId="344559E9" w:rsidR="00CA6A0D" w:rsidRPr="00F26A3E" w:rsidRDefault="00CA6A0D" w:rsidP="00B607FC">
      <w:pPr>
        <w:jc w:val="both"/>
        <w:rPr>
          <w:sz w:val="22"/>
          <w:szCs w:val="22"/>
          <w:lang w:val="en-GB"/>
        </w:rPr>
      </w:pPr>
      <w:r>
        <w:rPr>
          <w:sz w:val="22"/>
          <w:szCs w:val="22"/>
          <w:lang w:val="en-GB"/>
        </w:rPr>
        <w:t>Over</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years,</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ramped</w:t>
      </w:r>
      <w:r w:rsidR="006B6676">
        <w:rPr>
          <w:sz w:val="22"/>
          <w:szCs w:val="22"/>
          <w:lang w:val="en-GB"/>
        </w:rPr>
        <w:t xml:space="preserve"> </w:t>
      </w:r>
      <w:r w:rsidRPr="00F26A3E">
        <w:rPr>
          <w:sz w:val="22"/>
          <w:szCs w:val="22"/>
          <w:lang w:val="en-GB"/>
        </w:rPr>
        <w:t>up</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distribution</w:t>
      </w:r>
      <w:r w:rsidR="006B6676">
        <w:rPr>
          <w:sz w:val="22"/>
          <w:szCs w:val="22"/>
          <w:lang w:val="en-GB"/>
        </w:rPr>
        <w:t xml:space="preserve"> </w:t>
      </w:r>
      <w:r w:rsidRPr="00F26A3E">
        <w:rPr>
          <w:sz w:val="22"/>
          <w:szCs w:val="22"/>
          <w:lang w:val="en-GB"/>
        </w:rPr>
        <w:t>network</w:t>
      </w:r>
      <w:r w:rsidR="006B6676">
        <w:rPr>
          <w:sz w:val="22"/>
          <w:szCs w:val="22"/>
          <w:lang w:val="en-GB"/>
        </w:rPr>
        <w:t xml:space="preserve"> </w:t>
      </w:r>
      <w:r w:rsidRPr="00F26A3E">
        <w:rPr>
          <w:sz w:val="22"/>
          <w:szCs w:val="22"/>
          <w:lang w:val="en-GB"/>
        </w:rPr>
        <w:t>considerably</w:t>
      </w:r>
      <w:r>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brand</w:t>
      </w:r>
      <w:r w:rsidR="006B6676">
        <w:rPr>
          <w:sz w:val="22"/>
          <w:szCs w:val="22"/>
          <w:lang w:val="en-GB"/>
        </w:rPr>
        <w:t xml:space="preserve"> </w:t>
      </w:r>
      <w:r>
        <w:rPr>
          <w:sz w:val="22"/>
          <w:szCs w:val="22"/>
          <w:lang w:val="en-GB"/>
        </w:rPr>
        <w:t>became</w:t>
      </w:r>
      <w:r w:rsidR="006B6676">
        <w:rPr>
          <w:sz w:val="22"/>
          <w:szCs w:val="22"/>
          <w:lang w:val="en-GB"/>
        </w:rPr>
        <w:t xml:space="preserve"> </w:t>
      </w:r>
      <w:r w:rsidRPr="00F26A3E">
        <w:rPr>
          <w:sz w:val="22"/>
          <w:szCs w:val="22"/>
          <w:lang w:val="en-GB"/>
        </w:rPr>
        <w:t>deeply</w:t>
      </w:r>
      <w:r w:rsidR="006B6676">
        <w:rPr>
          <w:sz w:val="22"/>
          <w:szCs w:val="22"/>
          <w:lang w:val="en-GB"/>
        </w:rPr>
        <w:t xml:space="preserve"> </w:t>
      </w:r>
      <w:r w:rsidRPr="00F26A3E">
        <w:rPr>
          <w:sz w:val="22"/>
          <w:szCs w:val="22"/>
          <w:lang w:val="en-GB"/>
        </w:rPr>
        <w:t>entrenched</w:t>
      </w:r>
      <w:r w:rsidR="006B6676">
        <w:rPr>
          <w:sz w:val="22"/>
          <w:szCs w:val="22"/>
          <w:lang w:val="en-GB"/>
        </w:rPr>
        <w:t xml:space="preserve"> </w:t>
      </w:r>
      <w:r>
        <w:rPr>
          <w:sz w:val="22"/>
          <w:szCs w:val="22"/>
          <w:lang w:val="en-GB"/>
        </w:rPr>
        <w:t>across</w:t>
      </w:r>
      <w:r w:rsidR="006B6676">
        <w:rPr>
          <w:sz w:val="22"/>
          <w:szCs w:val="22"/>
          <w:lang w:val="en-GB"/>
        </w:rPr>
        <w:t xml:space="preserve"> </w:t>
      </w:r>
      <w:r w:rsidR="00A93740" w:rsidRPr="00F26A3E">
        <w:rPr>
          <w:sz w:val="22"/>
          <w:szCs w:val="22"/>
          <w:lang w:val="en-GB"/>
        </w:rPr>
        <w:t>India</w:t>
      </w:r>
      <w:r w:rsidR="00A93740">
        <w:rPr>
          <w:sz w:val="22"/>
          <w:szCs w:val="22"/>
          <w:lang w:val="en-GB"/>
        </w:rPr>
        <w:t>,</w:t>
      </w:r>
      <w:r w:rsidR="006B6676">
        <w:rPr>
          <w:sz w:val="22"/>
          <w:szCs w:val="22"/>
          <w:lang w:val="en-GB"/>
        </w:rPr>
        <w:t xml:space="preserve"> </w:t>
      </w:r>
      <w:r w:rsidR="00A93740">
        <w:rPr>
          <w:sz w:val="22"/>
          <w:szCs w:val="22"/>
          <w:lang w:val="en-GB"/>
        </w:rPr>
        <w:t>reaching</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presence</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915</w:t>
      </w:r>
      <w:r w:rsidR="006B6676">
        <w:rPr>
          <w:sz w:val="22"/>
          <w:szCs w:val="22"/>
          <w:lang w:val="en-GB"/>
        </w:rPr>
        <w:t xml:space="preserve"> </w:t>
      </w:r>
      <w:r w:rsidRPr="00F26A3E">
        <w:rPr>
          <w:sz w:val="22"/>
          <w:szCs w:val="22"/>
          <w:lang w:val="en-GB"/>
        </w:rPr>
        <w:t>dealers</w:t>
      </w:r>
      <w:r w:rsidR="006B6676">
        <w:rPr>
          <w:sz w:val="22"/>
          <w:szCs w:val="22"/>
          <w:lang w:val="en-GB"/>
        </w:rPr>
        <w:t xml:space="preserve"> </w:t>
      </w:r>
      <w:r>
        <w:rPr>
          <w:sz w:val="22"/>
          <w:szCs w:val="22"/>
          <w:lang w:val="en-GB"/>
        </w:rPr>
        <w:t>across</w:t>
      </w:r>
      <w:r w:rsidR="006B6676">
        <w:rPr>
          <w:sz w:val="22"/>
          <w:szCs w:val="22"/>
          <w:lang w:val="en-GB"/>
        </w:rPr>
        <w:t xml:space="preserve"> </w:t>
      </w:r>
      <w:r w:rsidRPr="00F26A3E">
        <w:rPr>
          <w:sz w:val="22"/>
          <w:szCs w:val="22"/>
          <w:lang w:val="en-GB"/>
        </w:rPr>
        <w:t>680</w:t>
      </w:r>
      <w:r w:rsidR="006B6676">
        <w:rPr>
          <w:sz w:val="22"/>
          <w:szCs w:val="22"/>
          <w:lang w:val="en-GB"/>
        </w:rPr>
        <w:t xml:space="preserve"> </w:t>
      </w:r>
      <w:r w:rsidRPr="00F26A3E">
        <w:rPr>
          <w:sz w:val="22"/>
          <w:szCs w:val="22"/>
          <w:lang w:val="en-GB"/>
        </w:rPr>
        <w:t>cities</w:t>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2019.</w:t>
      </w:r>
      <w:r w:rsidRPr="00F26A3E">
        <w:rPr>
          <w:sz w:val="22"/>
          <w:szCs w:val="22"/>
          <w:vertAlign w:val="superscript"/>
          <w:lang w:val="en-GB"/>
        </w:rPr>
        <w:endnoteReference w:id="58"/>
      </w:r>
      <w:r w:rsidR="006B6676">
        <w:rPr>
          <w:sz w:val="22"/>
          <w:szCs w:val="22"/>
          <w:lang w:val="en-GB"/>
        </w:rPr>
        <w:t xml:space="preserve"> </w:t>
      </w:r>
      <w:r>
        <w:rPr>
          <w:sz w:val="22"/>
          <w:szCs w:val="22"/>
          <w:lang w:val="en-GB"/>
        </w:rPr>
        <w:t>Eventually</w:t>
      </w:r>
      <w:r w:rsidRPr="00F26A3E">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expanded</w:t>
      </w:r>
      <w:r w:rsidR="006B6676">
        <w:rPr>
          <w:sz w:val="22"/>
          <w:szCs w:val="22"/>
          <w:lang w:val="en-GB"/>
        </w:rPr>
        <w:t xml:space="preserve"> </w:t>
      </w:r>
      <w:r>
        <w:rPr>
          <w:sz w:val="22"/>
          <w:szCs w:val="22"/>
          <w:lang w:val="en-GB"/>
        </w:rPr>
        <w:t>into</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country’s</w:t>
      </w:r>
      <w:r w:rsidR="006B6676">
        <w:rPr>
          <w:sz w:val="22"/>
          <w:szCs w:val="22"/>
          <w:lang w:val="en-GB"/>
        </w:rPr>
        <w:t xml:space="preserve"> </w:t>
      </w:r>
      <w:r w:rsidRPr="00F26A3E">
        <w:rPr>
          <w:sz w:val="22"/>
          <w:szCs w:val="22"/>
          <w:lang w:val="en-GB"/>
        </w:rPr>
        <w:t>hinterland</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goal</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penetrate</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entire</w:t>
      </w:r>
      <w:r w:rsidR="006B6676">
        <w:rPr>
          <w:sz w:val="22"/>
          <w:szCs w:val="22"/>
          <w:lang w:val="en-GB"/>
        </w:rPr>
        <w:t xml:space="preserve"> </w:t>
      </w:r>
      <w:r w:rsidRPr="00F26A3E">
        <w:rPr>
          <w:sz w:val="22"/>
          <w:szCs w:val="22"/>
          <w:lang w:val="en-GB"/>
        </w:rPr>
        <w:t>Indian</w:t>
      </w:r>
      <w:r w:rsidR="006B6676">
        <w:rPr>
          <w:sz w:val="22"/>
          <w:szCs w:val="22"/>
          <w:lang w:val="en-GB"/>
        </w:rPr>
        <w:t xml:space="preserve"> </w:t>
      </w:r>
      <w:r w:rsidR="00A93740" w:rsidRPr="00F26A3E">
        <w:rPr>
          <w:sz w:val="22"/>
          <w:szCs w:val="22"/>
          <w:lang w:val="en-GB"/>
        </w:rPr>
        <w:t>market.</w:t>
      </w:r>
      <w:r w:rsidR="006B6676">
        <w:rPr>
          <w:sz w:val="22"/>
          <w:szCs w:val="22"/>
          <w:lang w:val="en-GB"/>
        </w:rPr>
        <w:t xml:space="preserve"> </w:t>
      </w:r>
      <w:r w:rsidR="00A93740">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Pr>
          <w:sz w:val="22"/>
          <w:szCs w:val="22"/>
          <w:lang w:val="en-GB"/>
        </w:rPr>
        <w:t>2018–19,</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opened</w:t>
      </w:r>
      <w:r w:rsidR="006B6676">
        <w:rPr>
          <w:sz w:val="22"/>
          <w:szCs w:val="22"/>
          <w:lang w:val="en-GB"/>
        </w:rPr>
        <w:t xml:space="preserve"> </w:t>
      </w:r>
      <w:r>
        <w:rPr>
          <w:sz w:val="22"/>
          <w:szCs w:val="22"/>
          <w:lang w:val="en-GB"/>
        </w:rPr>
        <w:t>90</w:t>
      </w:r>
      <w:r w:rsidR="006B6676">
        <w:rPr>
          <w:sz w:val="22"/>
          <w:szCs w:val="22"/>
          <w:lang w:val="en-GB"/>
        </w:rPr>
        <w:t xml:space="preserve"> </w:t>
      </w:r>
      <w:r>
        <w:rPr>
          <w:sz w:val="22"/>
          <w:szCs w:val="22"/>
          <w:lang w:val="en-GB"/>
        </w:rPr>
        <w:t>new</w:t>
      </w:r>
      <w:r w:rsidR="006B6676">
        <w:rPr>
          <w:sz w:val="22"/>
          <w:szCs w:val="22"/>
          <w:lang w:val="en-GB"/>
        </w:rPr>
        <w:t xml:space="preserve"> </w:t>
      </w:r>
      <w:r>
        <w:rPr>
          <w:sz w:val="22"/>
          <w:szCs w:val="22"/>
          <w:lang w:val="en-GB"/>
        </w:rPr>
        <w:t>stores,</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which</w:t>
      </w:r>
      <w:r w:rsidR="006B6676">
        <w:rPr>
          <w:sz w:val="22"/>
          <w:szCs w:val="22"/>
          <w:lang w:val="en-GB"/>
        </w:rPr>
        <w:t xml:space="preserve"> </w:t>
      </w:r>
      <w:r>
        <w:rPr>
          <w:sz w:val="22"/>
          <w:szCs w:val="22"/>
          <w:lang w:val="en-GB"/>
        </w:rPr>
        <w:t>over</w:t>
      </w:r>
      <w:r w:rsidR="006B6676">
        <w:rPr>
          <w:sz w:val="22"/>
          <w:szCs w:val="22"/>
          <w:lang w:val="en-GB"/>
        </w:rPr>
        <w:t xml:space="preserve"> </w:t>
      </w:r>
      <w:r w:rsidRPr="00F26A3E">
        <w:rPr>
          <w:sz w:val="22"/>
          <w:szCs w:val="22"/>
          <w:lang w:val="en-GB"/>
        </w:rPr>
        <w:t>70</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were</w:t>
      </w:r>
      <w:r w:rsidR="006B6676">
        <w:rPr>
          <w:sz w:val="22"/>
          <w:szCs w:val="22"/>
          <w:lang w:val="en-GB"/>
        </w:rPr>
        <w:t xml:space="preserve"> </w:t>
      </w:r>
      <w:r>
        <w:rPr>
          <w:sz w:val="22"/>
          <w:szCs w:val="22"/>
          <w:lang w:val="en-GB"/>
        </w:rPr>
        <w:t>located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small</w:t>
      </w:r>
      <w:r w:rsidR="006B6676">
        <w:rPr>
          <w:sz w:val="22"/>
          <w:szCs w:val="22"/>
          <w:lang w:val="en-GB"/>
        </w:rPr>
        <w:t xml:space="preserve"> </w:t>
      </w:r>
      <w:r w:rsidRPr="00F26A3E">
        <w:rPr>
          <w:sz w:val="22"/>
          <w:szCs w:val="22"/>
          <w:lang w:val="en-GB"/>
        </w:rPr>
        <w:t>cities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towns</w:t>
      </w:r>
      <w:r>
        <w:rPr>
          <w:sz w:val="22"/>
          <w:szCs w:val="22"/>
          <w:lang w:val="en-GB"/>
        </w:rPr>
        <w:t>.</w:t>
      </w:r>
      <w:r w:rsidRPr="00F26A3E">
        <w:rPr>
          <w:sz w:val="22"/>
          <w:szCs w:val="22"/>
          <w:vertAlign w:val="superscript"/>
          <w:lang w:val="en-GB"/>
        </w:rPr>
        <w:endnoteReference w:id="59"/>
      </w:r>
      <w:r w:rsidR="006B6676">
        <w:rPr>
          <w:sz w:val="22"/>
          <w:szCs w:val="22"/>
          <w:lang w:val="en-GB"/>
        </w:rPr>
        <w:t xml:space="preserve"> </w:t>
      </w:r>
      <w:r>
        <w:rPr>
          <w:sz w:val="22"/>
          <w:szCs w:val="22"/>
          <w:lang w:val="en-GB"/>
        </w:rPr>
        <w:t>Focusing</w:t>
      </w:r>
      <w:r w:rsidR="006B6676">
        <w:rPr>
          <w:sz w:val="22"/>
          <w:szCs w:val="22"/>
          <w:lang w:val="en-GB"/>
        </w:rPr>
        <w:t xml:space="preserve"> </w:t>
      </w:r>
      <w:r w:rsidRPr="00F26A3E">
        <w:rPr>
          <w:sz w:val="22"/>
          <w:szCs w:val="22"/>
          <w:lang w:val="en-GB"/>
        </w:rPr>
        <w:t>on</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small</w:t>
      </w:r>
      <w:r w:rsidR="006B6676">
        <w:rPr>
          <w:sz w:val="22"/>
          <w:szCs w:val="22"/>
          <w:lang w:val="en-GB"/>
        </w:rPr>
        <w:t xml:space="preserve"> </w:t>
      </w:r>
      <w:r w:rsidRPr="00F26A3E">
        <w:rPr>
          <w:sz w:val="22"/>
          <w:szCs w:val="22"/>
          <w:lang w:val="en-GB"/>
        </w:rPr>
        <w:t>store</w:t>
      </w:r>
      <w:r w:rsidR="006B6676">
        <w:rPr>
          <w:sz w:val="22"/>
          <w:szCs w:val="22"/>
          <w:lang w:val="en-GB"/>
        </w:rPr>
        <w:t xml:space="preserve"> </w:t>
      </w:r>
      <w:r w:rsidRPr="00F26A3E">
        <w:rPr>
          <w:sz w:val="22"/>
          <w:szCs w:val="22"/>
          <w:lang w:val="en-GB"/>
        </w:rPr>
        <w:t>format</w:t>
      </w:r>
      <w:r>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new</w:t>
      </w:r>
      <w:r w:rsidR="006B6676">
        <w:rPr>
          <w:sz w:val="22"/>
          <w:szCs w:val="22"/>
          <w:lang w:val="en-GB"/>
        </w:rPr>
        <w:t xml:space="preserve"> </w:t>
      </w:r>
      <w:r>
        <w:rPr>
          <w:sz w:val="22"/>
          <w:szCs w:val="22"/>
          <w:lang w:val="en-GB"/>
        </w:rPr>
        <w:t>locations</w:t>
      </w:r>
      <w:r w:rsidR="006B6676">
        <w:rPr>
          <w:sz w:val="22"/>
          <w:szCs w:val="22"/>
          <w:lang w:val="en-GB"/>
        </w:rPr>
        <w:t xml:space="preserve"> </w:t>
      </w:r>
      <w:r>
        <w:rPr>
          <w:sz w:val="22"/>
          <w:szCs w:val="22"/>
          <w:lang w:val="en-GB"/>
        </w:rPr>
        <w:t>mainly</w:t>
      </w:r>
      <w:r w:rsidR="006B6676">
        <w:rPr>
          <w:sz w:val="22"/>
          <w:szCs w:val="22"/>
          <w:lang w:val="en-GB"/>
        </w:rPr>
        <w:t xml:space="preserve"> </w:t>
      </w:r>
      <w:r w:rsidRPr="00F26A3E">
        <w:rPr>
          <w:sz w:val="22"/>
          <w:szCs w:val="22"/>
          <w:lang w:val="en-GB"/>
        </w:rPr>
        <w:t>operated</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sidRPr="00F26A3E">
        <w:rPr>
          <w:sz w:val="22"/>
          <w:szCs w:val="22"/>
          <w:lang w:val="en-GB"/>
        </w:rPr>
        <w:t>3S</w:t>
      </w:r>
      <w:r w:rsidR="006B6676">
        <w:rPr>
          <w:sz w:val="22"/>
          <w:szCs w:val="22"/>
          <w:lang w:val="en-GB"/>
        </w:rPr>
        <w:t xml:space="preserve"> </w:t>
      </w:r>
      <w:r w:rsidRPr="00F26A3E">
        <w:rPr>
          <w:sz w:val="22"/>
          <w:szCs w:val="22"/>
          <w:lang w:val="en-GB"/>
        </w:rPr>
        <w:t>model</w:t>
      </w:r>
      <w:r>
        <w:rPr>
          <w:sz w:val="22"/>
          <w:szCs w:val="22"/>
          <w:lang w:val="en-GB"/>
        </w:rPr>
        <w:t>—</w:t>
      </w:r>
      <w:r w:rsidRPr="00F26A3E">
        <w:rPr>
          <w:sz w:val="22"/>
          <w:szCs w:val="22"/>
          <w:lang w:val="en-GB"/>
        </w:rPr>
        <w:t>sales,</w:t>
      </w:r>
      <w:r w:rsidR="006B6676">
        <w:rPr>
          <w:sz w:val="22"/>
          <w:szCs w:val="22"/>
          <w:lang w:val="en-GB"/>
        </w:rPr>
        <w:t xml:space="preserve"> </w:t>
      </w:r>
      <w:r w:rsidRPr="00F26A3E">
        <w:rPr>
          <w:sz w:val="22"/>
          <w:szCs w:val="22"/>
          <w:lang w:val="en-GB"/>
        </w:rPr>
        <w:t>spare</w:t>
      </w:r>
      <w:r w:rsidR="006B6676">
        <w:rPr>
          <w:sz w:val="22"/>
          <w:szCs w:val="22"/>
          <w:lang w:val="en-GB"/>
        </w:rPr>
        <w:t xml:space="preserve"> </w:t>
      </w:r>
      <w:r w:rsidRPr="00F26A3E">
        <w:rPr>
          <w:sz w:val="22"/>
          <w:szCs w:val="22"/>
          <w:lang w:val="en-GB"/>
        </w:rPr>
        <w:t>parts</w:t>
      </w:r>
      <w:r>
        <w:rPr>
          <w:sz w:val="22"/>
          <w:szCs w:val="22"/>
          <w:lang w:val="en-GB"/>
        </w:rPr>
        <w: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service.</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small</w:t>
      </w:r>
      <w:r w:rsidR="006B6676">
        <w:rPr>
          <w:sz w:val="22"/>
          <w:szCs w:val="22"/>
          <w:lang w:val="en-GB"/>
        </w:rPr>
        <w:t xml:space="preserve"> </w:t>
      </w:r>
      <w:r>
        <w:rPr>
          <w:sz w:val="22"/>
          <w:szCs w:val="22"/>
          <w:lang w:val="en-GB"/>
        </w:rPr>
        <w:t>store</w:t>
      </w:r>
      <w:r w:rsidR="006B6676">
        <w:rPr>
          <w:sz w:val="22"/>
          <w:szCs w:val="22"/>
          <w:lang w:val="en-GB"/>
        </w:rPr>
        <w:t xml:space="preserve"> </w:t>
      </w:r>
      <w:r w:rsidRPr="00F26A3E">
        <w:rPr>
          <w:sz w:val="22"/>
          <w:szCs w:val="22"/>
          <w:lang w:val="en-GB"/>
        </w:rPr>
        <w:t>format</w:t>
      </w:r>
      <w:r w:rsidR="006B6676">
        <w:rPr>
          <w:sz w:val="22"/>
          <w:szCs w:val="22"/>
          <w:lang w:val="en-GB"/>
        </w:rPr>
        <w:t xml:space="preserve"> </w:t>
      </w:r>
      <w:r w:rsidRPr="00F26A3E">
        <w:rPr>
          <w:sz w:val="22"/>
          <w:szCs w:val="22"/>
          <w:lang w:val="en-GB"/>
        </w:rPr>
        <w:t>enabled</w:t>
      </w:r>
      <w:r w:rsidR="006B6676">
        <w:rPr>
          <w:sz w:val="22"/>
          <w:szCs w:val="22"/>
          <w:lang w:val="en-GB"/>
        </w:rPr>
        <w:t xml:space="preserve"> </w:t>
      </w:r>
      <w:r w:rsidRPr="00F26A3E">
        <w:rPr>
          <w:sz w:val="22"/>
          <w:szCs w:val="22"/>
          <w:lang w:val="en-GB"/>
        </w:rPr>
        <w:t>dealers</w:t>
      </w:r>
      <w:r>
        <w:rPr>
          <w:sz w:val="22"/>
          <w:szCs w:val="22"/>
          <w:lang w:val="en-GB"/>
        </w:rPr>
        <w:t>hips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become</w:t>
      </w:r>
      <w:r w:rsidR="006B6676">
        <w:rPr>
          <w:sz w:val="22"/>
          <w:szCs w:val="22"/>
          <w:lang w:val="en-GB"/>
        </w:rPr>
        <w:t xml:space="preserve"> </w:t>
      </w:r>
      <w:r w:rsidRPr="00F26A3E">
        <w:rPr>
          <w:sz w:val="22"/>
          <w:szCs w:val="22"/>
          <w:lang w:val="en-GB"/>
        </w:rPr>
        <w:t>economically</w:t>
      </w:r>
      <w:r w:rsidR="006B6676">
        <w:rPr>
          <w:sz w:val="22"/>
          <w:szCs w:val="22"/>
          <w:lang w:val="en-GB"/>
        </w:rPr>
        <w:t xml:space="preserve"> </w:t>
      </w:r>
      <w:r w:rsidRPr="00F26A3E">
        <w:rPr>
          <w:sz w:val="22"/>
          <w:szCs w:val="22"/>
          <w:lang w:val="en-GB"/>
        </w:rPr>
        <w:t>viable</w:t>
      </w:r>
      <w:r w:rsidR="006B6676">
        <w:rPr>
          <w:sz w:val="22"/>
          <w:szCs w:val="22"/>
          <w:lang w:val="en-GB"/>
        </w:rPr>
        <w:t xml:space="preserve"> </w:t>
      </w:r>
      <w:r w:rsidRPr="00F26A3E">
        <w:rPr>
          <w:sz w:val="22"/>
          <w:szCs w:val="22"/>
          <w:lang w:val="en-GB"/>
        </w:rPr>
        <w:t>even</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relatively</w:t>
      </w:r>
      <w:r w:rsidR="006B6676">
        <w:rPr>
          <w:sz w:val="22"/>
          <w:szCs w:val="22"/>
          <w:lang w:val="en-GB"/>
        </w:rPr>
        <w:t xml:space="preserve"> </w:t>
      </w:r>
      <w:r>
        <w:rPr>
          <w:sz w:val="22"/>
          <w:szCs w:val="22"/>
          <w:lang w:val="en-GB"/>
        </w:rPr>
        <w:t>low</w:t>
      </w:r>
      <w:r w:rsidR="006B6676">
        <w:rPr>
          <w:sz w:val="22"/>
          <w:szCs w:val="22"/>
          <w:lang w:val="en-GB"/>
        </w:rPr>
        <w:t xml:space="preserve"> </w:t>
      </w:r>
      <w:r w:rsidRPr="00F26A3E">
        <w:rPr>
          <w:sz w:val="22"/>
          <w:szCs w:val="22"/>
          <w:lang w:val="en-GB"/>
        </w:rPr>
        <w:t>sales</w:t>
      </w:r>
      <w:r w:rsidR="006B6676">
        <w:rPr>
          <w:sz w:val="22"/>
          <w:szCs w:val="22"/>
          <w:lang w:val="en-GB"/>
        </w:rPr>
        <w:t xml:space="preserve"> </w:t>
      </w:r>
      <w:r w:rsidRPr="00F26A3E">
        <w:rPr>
          <w:sz w:val="22"/>
          <w:szCs w:val="22"/>
          <w:lang w:val="en-GB"/>
        </w:rPr>
        <w:t>volume</w:t>
      </w:r>
      <w:r>
        <w:rPr>
          <w:sz w:val="22"/>
          <w:szCs w:val="22"/>
          <w:lang w:val="en-GB"/>
        </w:rPr>
        <w:t>s</w:t>
      </w:r>
      <w:r w:rsidRPr="00F26A3E">
        <w:rPr>
          <w:sz w:val="22"/>
          <w:szCs w:val="22"/>
          <w:lang w:val="en-GB"/>
        </w:rPr>
        <w:t>.</w:t>
      </w:r>
      <w:r w:rsidR="006B6676">
        <w:rPr>
          <w:sz w:val="22"/>
          <w:szCs w:val="22"/>
          <w:lang w:val="en-GB"/>
        </w:rPr>
        <w:t xml:space="preserve"> </w:t>
      </w:r>
    </w:p>
    <w:p w14:paraId="4393F2C4" w14:textId="77777777" w:rsidR="00CA6A0D" w:rsidRPr="00F26A3E" w:rsidRDefault="00CA6A0D" w:rsidP="00B607FC">
      <w:pPr>
        <w:jc w:val="both"/>
        <w:rPr>
          <w:sz w:val="22"/>
          <w:szCs w:val="22"/>
          <w:lang w:val="en-GB"/>
        </w:rPr>
      </w:pPr>
    </w:p>
    <w:p w14:paraId="1DD52884" w14:textId="1D679600"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Pr>
          <w:sz w:val="22"/>
          <w:szCs w:val="22"/>
          <w:lang w:val="en-GB"/>
        </w:rPr>
        <w:t>’s</w:t>
      </w:r>
      <w:r w:rsidR="006B6676">
        <w:rPr>
          <w:sz w:val="22"/>
          <w:szCs w:val="22"/>
          <w:lang w:val="en-GB"/>
        </w:rPr>
        <w:t xml:space="preserve"> </w:t>
      </w:r>
      <w:r>
        <w:rPr>
          <w:sz w:val="22"/>
          <w:szCs w:val="22"/>
          <w:lang w:val="en-GB"/>
        </w:rPr>
        <w:t>competitors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concentrated</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major</w:t>
      </w:r>
      <w:r w:rsidR="006B6676">
        <w:rPr>
          <w:sz w:val="22"/>
          <w:szCs w:val="22"/>
          <w:lang w:val="en-GB"/>
        </w:rPr>
        <w:t xml:space="preserve"> </w:t>
      </w:r>
      <w:r>
        <w:rPr>
          <w:sz w:val="22"/>
          <w:szCs w:val="22"/>
          <w:lang w:val="en-GB"/>
        </w:rPr>
        <w:t>centres,</w:t>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considerably</w:t>
      </w:r>
      <w:r w:rsidR="006B6676">
        <w:rPr>
          <w:sz w:val="22"/>
          <w:szCs w:val="22"/>
          <w:lang w:val="en-GB"/>
        </w:rPr>
        <w:t xml:space="preserve"> </w:t>
      </w:r>
      <w:r>
        <w:rPr>
          <w:sz w:val="22"/>
          <w:szCs w:val="22"/>
          <w:lang w:val="en-GB"/>
        </w:rPr>
        <w:t>fewer</w:t>
      </w:r>
      <w:r w:rsidR="006B6676">
        <w:rPr>
          <w:sz w:val="22"/>
          <w:szCs w:val="22"/>
          <w:lang w:val="en-GB"/>
        </w:rPr>
        <w:t xml:space="preserve"> </w:t>
      </w:r>
      <w:r>
        <w:rPr>
          <w:sz w:val="22"/>
          <w:szCs w:val="22"/>
          <w:lang w:val="en-GB"/>
        </w:rPr>
        <w:t>locations.</w:t>
      </w:r>
      <w:r w:rsidR="006B6676">
        <w:rPr>
          <w:sz w:val="22"/>
          <w:szCs w:val="22"/>
          <w:lang w:val="en-GB"/>
        </w:rPr>
        <w:t xml:space="preserve"> </w:t>
      </w:r>
      <w:r>
        <w:rPr>
          <w:sz w:val="22"/>
          <w:szCs w:val="22"/>
          <w:lang w:val="en-GB"/>
        </w:rPr>
        <w:t>CLPL</w:t>
      </w:r>
      <w:r w:rsidR="006B6676">
        <w:rPr>
          <w:sz w:val="22"/>
          <w:szCs w:val="22"/>
          <w:lang w:val="en-GB"/>
        </w:rPr>
        <w:t xml:space="preserve"> </w:t>
      </w:r>
      <w:r>
        <w:rPr>
          <w:sz w:val="22"/>
          <w:szCs w:val="22"/>
          <w:lang w:val="en-GB"/>
        </w:rPr>
        <w:t>had</w:t>
      </w:r>
      <w:r w:rsidR="006B6676">
        <w:rPr>
          <w:sz w:val="22"/>
          <w:szCs w:val="22"/>
          <w:lang w:val="en-GB"/>
        </w:rPr>
        <w:t xml:space="preserve"> </w:t>
      </w:r>
      <w:r w:rsidRPr="00F26A3E">
        <w:rPr>
          <w:sz w:val="22"/>
          <w:szCs w:val="22"/>
          <w:lang w:val="en-GB"/>
        </w:rPr>
        <w:t>started</w:t>
      </w:r>
      <w:r w:rsidR="006B6676">
        <w:rPr>
          <w:sz w:val="22"/>
          <w:szCs w:val="22"/>
          <w:lang w:val="en-GB"/>
        </w:rPr>
        <w:t xml:space="preserve"> </w:t>
      </w:r>
      <w:r w:rsidRPr="00F26A3E">
        <w:rPr>
          <w:sz w:val="22"/>
          <w:szCs w:val="22"/>
          <w:lang w:val="en-GB"/>
        </w:rPr>
        <w:t>operations</w:t>
      </w:r>
      <w:r w:rsidR="006B6676">
        <w:rPr>
          <w:sz w:val="22"/>
          <w:szCs w:val="22"/>
          <w:lang w:val="en-GB"/>
        </w:rPr>
        <w:t xml:space="preserve"> </w:t>
      </w:r>
      <w:r w:rsidRPr="00F26A3E">
        <w:rPr>
          <w:sz w:val="22"/>
          <w:szCs w:val="22"/>
          <w:lang w:val="en-GB"/>
        </w:rPr>
        <w:t>with</w:t>
      </w:r>
      <w:r w:rsidR="006B6676">
        <w:rPr>
          <w:sz w:val="22"/>
          <w:szCs w:val="22"/>
          <w:lang w:val="en-GB"/>
        </w:rPr>
        <w:t xml:space="preserve"> </w:t>
      </w:r>
      <w:r>
        <w:rPr>
          <w:sz w:val="22"/>
          <w:szCs w:val="22"/>
          <w:lang w:val="en-GB"/>
        </w:rPr>
        <w:t>only</w:t>
      </w:r>
      <w:r w:rsidR="006B6676">
        <w:rPr>
          <w:sz w:val="22"/>
          <w:szCs w:val="22"/>
          <w:lang w:val="en-GB"/>
        </w:rPr>
        <w:t xml:space="preserve"> </w:t>
      </w:r>
      <w:r w:rsidRPr="00F26A3E">
        <w:rPr>
          <w:sz w:val="22"/>
          <w:szCs w:val="22"/>
          <w:lang w:val="en-GB"/>
        </w:rPr>
        <w:t>105</w:t>
      </w:r>
      <w:r w:rsidR="006B6676">
        <w:rPr>
          <w:sz w:val="22"/>
          <w:szCs w:val="22"/>
          <w:lang w:val="en-GB"/>
        </w:rPr>
        <w:t xml:space="preserve"> </w:t>
      </w:r>
      <w:r w:rsidRPr="00F26A3E">
        <w:rPr>
          <w:sz w:val="22"/>
          <w:szCs w:val="22"/>
          <w:lang w:val="en-GB"/>
        </w:rPr>
        <w:t>dealers</w:t>
      </w:r>
      <w:r>
        <w:rPr>
          <w:sz w:val="22"/>
          <w:szCs w:val="22"/>
          <w:lang w:val="en-GB"/>
        </w:rPr>
        <w:t>hips.</w:t>
      </w:r>
      <w:r w:rsidRPr="00F26A3E">
        <w:rPr>
          <w:sz w:val="22"/>
          <w:szCs w:val="22"/>
          <w:vertAlign w:val="superscript"/>
          <w:lang w:val="en-GB"/>
        </w:rPr>
        <w:endnoteReference w:id="60"/>
      </w:r>
      <w:r w:rsidR="006B6676">
        <w:rPr>
          <w:sz w:val="22"/>
          <w:szCs w:val="22"/>
          <w:lang w:val="en-GB"/>
        </w:rPr>
        <w:t xml:space="preserve"> </w:t>
      </w:r>
      <w:r>
        <w:rPr>
          <w:sz w:val="22"/>
          <w:szCs w:val="22"/>
          <w:lang w:val="en-GB"/>
        </w:rPr>
        <w:t>It</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process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adding</w:t>
      </w:r>
      <w:r w:rsidR="006B6676">
        <w:rPr>
          <w:sz w:val="22"/>
          <w:szCs w:val="22"/>
          <w:lang w:val="en-GB"/>
        </w:rPr>
        <w:t xml:space="preserve"> </w:t>
      </w:r>
      <w:r w:rsidRPr="00F26A3E">
        <w:rPr>
          <w:sz w:val="22"/>
          <w:szCs w:val="22"/>
          <w:lang w:val="en-GB"/>
        </w:rPr>
        <w:t>new</w:t>
      </w:r>
      <w:r w:rsidR="006B6676">
        <w:rPr>
          <w:sz w:val="22"/>
          <w:szCs w:val="22"/>
          <w:lang w:val="en-GB"/>
        </w:rPr>
        <w:t xml:space="preserve"> </w:t>
      </w:r>
      <w:r w:rsidRPr="00F26A3E">
        <w:rPr>
          <w:sz w:val="22"/>
          <w:szCs w:val="22"/>
          <w:lang w:val="en-GB"/>
        </w:rPr>
        <w:t>members</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i</w:t>
      </w:r>
      <w:r w:rsidRPr="00F26A3E">
        <w:rPr>
          <w:sz w:val="22"/>
          <w:szCs w:val="22"/>
          <w:lang w:val="en-GB"/>
        </w:rPr>
        <w:t>t</w:t>
      </w:r>
      <w:r>
        <w:rPr>
          <w:sz w:val="22"/>
          <w:szCs w:val="22"/>
          <w:lang w:val="en-GB"/>
        </w:rPr>
        <w:t>s</w:t>
      </w:r>
      <w:r w:rsidR="006B6676">
        <w:rPr>
          <w:sz w:val="22"/>
          <w:szCs w:val="22"/>
          <w:lang w:val="en-GB"/>
        </w:rPr>
        <w:t xml:space="preserve"> </w:t>
      </w:r>
      <w:r w:rsidRPr="00F26A3E">
        <w:rPr>
          <w:sz w:val="22"/>
          <w:szCs w:val="22"/>
          <w:lang w:val="en-GB"/>
        </w:rPr>
        <w:t>distribution</w:t>
      </w:r>
      <w:r w:rsidR="006B6676">
        <w:rPr>
          <w:sz w:val="22"/>
          <w:szCs w:val="22"/>
          <w:lang w:val="en-GB"/>
        </w:rPr>
        <w:t xml:space="preserve"> </w:t>
      </w:r>
      <w:r w:rsidRPr="00F26A3E">
        <w:rPr>
          <w:sz w:val="22"/>
          <w:szCs w:val="22"/>
          <w:lang w:val="en-GB"/>
        </w:rPr>
        <w:t>channel</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better</w:t>
      </w:r>
      <w:r w:rsidR="006B6676">
        <w:rPr>
          <w:sz w:val="22"/>
          <w:szCs w:val="22"/>
          <w:lang w:val="en-GB"/>
        </w:rPr>
        <w:t xml:space="preserve"> </w:t>
      </w:r>
      <w:r w:rsidRPr="00F26A3E">
        <w:rPr>
          <w:sz w:val="22"/>
          <w:szCs w:val="22"/>
          <w:lang w:val="en-GB"/>
        </w:rPr>
        <w:t>reach</w:t>
      </w:r>
      <w:r w:rsidR="006B6676">
        <w:rPr>
          <w:sz w:val="22"/>
          <w:szCs w:val="22"/>
          <w:lang w:val="en-GB"/>
        </w:rPr>
        <w:t xml:space="preserve"> </w:t>
      </w:r>
      <w:r>
        <w:rPr>
          <w:sz w:val="22"/>
          <w:szCs w:val="22"/>
          <w:lang w:val="en-GB"/>
        </w:rPr>
        <w:t>i</w:t>
      </w:r>
      <w:r w:rsidRPr="00F26A3E">
        <w:rPr>
          <w:sz w:val="22"/>
          <w:szCs w:val="22"/>
          <w:lang w:val="en-GB"/>
        </w:rPr>
        <w:t>t</w:t>
      </w:r>
      <w:r>
        <w:rPr>
          <w:sz w:val="22"/>
          <w:szCs w:val="22"/>
          <w:lang w:val="en-GB"/>
        </w:rPr>
        <w:t>s</w:t>
      </w:r>
      <w:r w:rsidR="006B6676">
        <w:rPr>
          <w:sz w:val="22"/>
          <w:szCs w:val="22"/>
          <w:lang w:val="en-GB"/>
        </w:rPr>
        <w:t xml:space="preserve"> </w:t>
      </w:r>
      <w:r w:rsidRPr="00F26A3E">
        <w:rPr>
          <w:sz w:val="22"/>
          <w:szCs w:val="22"/>
          <w:lang w:val="en-GB"/>
        </w:rPr>
        <w:t>target</w:t>
      </w:r>
      <w:r w:rsidR="006B6676">
        <w:rPr>
          <w:sz w:val="22"/>
          <w:szCs w:val="22"/>
          <w:lang w:val="en-GB"/>
        </w:rPr>
        <w:t xml:space="preserve"> </w:t>
      </w:r>
      <w:r>
        <w:rPr>
          <w:sz w:val="22"/>
          <w:szCs w:val="22"/>
          <w:lang w:val="en-GB"/>
        </w:rPr>
        <w:t>consumers,</w:t>
      </w:r>
      <w:r w:rsidRPr="00F26A3E">
        <w:rPr>
          <w:sz w:val="22"/>
          <w:szCs w:val="22"/>
          <w:vertAlign w:val="superscript"/>
          <w:lang w:val="en-GB"/>
        </w:rPr>
        <w:endnoteReference w:id="61"/>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Harley</w:t>
      </w:r>
      <w:r>
        <w:rPr>
          <w:sz w:val="22"/>
          <w:szCs w:val="22"/>
          <w:lang w:val="en-GB"/>
        </w:rPr>
        <w:t>-</w:t>
      </w:r>
      <w:r w:rsidRPr="00F26A3E">
        <w:rPr>
          <w:sz w:val="22"/>
          <w:szCs w:val="22"/>
          <w:lang w:val="en-GB"/>
        </w:rPr>
        <w:t>Davidson</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operating</w:t>
      </w:r>
      <w:r w:rsidR="006B6676">
        <w:rPr>
          <w:sz w:val="22"/>
          <w:szCs w:val="22"/>
          <w:lang w:val="en-GB"/>
        </w:rPr>
        <w:t xml:space="preserve"> </w:t>
      </w:r>
      <w:r>
        <w:rPr>
          <w:sz w:val="22"/>
          <w:szCs w:val="22"/>
          <w:lang w:val="en-GB"/>
        </w:rPr>
        <w:t>out</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only</w:t>
      </w:r>
      <w:r w:rsidR="006B6676">
        <w:rPr>
          <w:sz w:val="22"/>
          <w:szCs w:val="22"/>
          <w:lang w:val="en-GB"/>
        </w:rPr>
        <w:t xml:space="preserve"> </w:t>
      </w:r>
      <w:r w:rsidRPr="00F26A3E">
        <w:rPr>
          <w:sz w:val="22"/>
          <w:szCs w:val="22"/>
          <w:lang w:val="en-GB"/>
        </w:rPr>
        <w:t>31</w:t>
      </w:r>
      <w:r w:rsidR="006B6676">
        <w:rPr>
          <w:sz w:val="22"/>
          <w:szCs w:val="22"/>
          <w:lang w:val="en-GB"/>
        </w:rPr>
        <w:t xml:space="preserve"> </w:t>
      </w:r>
      <w:r w:rsidRPr="00F26A3E">
        <w:rPr>
          <w:sz w:val="22"/>
          <w:szCs w:val="22"/>
          <w:lang w:val="en-GB"/>
        </w:rPr>
        <w:t>dealerships</w:t>
      </w:r>
      <w:r w:rsidR="006B6676">
        <w:rPr>
          <w:sz w:val="22"/>
          <w:szCs w:val="22"/>
          <w:lang w:val="en-GB"/>
        </w:rPr>
        <w:t xml:space="preserve"> </w:t>
      </w:r>
      <w:r>
        <w:rPr>
          <w:sz w:val="22"/>
          <w:szCs w:val="22"/>
          <w:lang w:val="en-GB"/>
        </w:rPr>
        <w:t>across</w:t>
      </w:r>
      <w:r w:rsidR="006B6676">
        <w:rPr>
          <w:sz w:val="22"/>
          <w:szCs w:val="22"/>
          <w:lang w:val="en-GB"/>
        </w:rPr>
        <w:t xml:space="preserve"> </w:t>
      </w:r>
      <w:r>
        <w:rPr>
          <w:sz w:val="22"/>
          <w:szCs w:val="22"/>
          <w:lang w:val="en-GB"/>
        </w:rPr>
        <w:t>India.</w:t>
      </w:r>
      <w:r w:rsidRPr="00F26A3E">
        <w:rPr>
          <w:sz w:val="22"/>
          <w:szCs w:val="22"/>
          <w:vertAlign w:val="superscript"/>
          <w:lang w:val="en-GB"/>
        </w:rPr>
        <w:endnoteReference w:id="62"/>
      </w:r>
    </w:p>
    <w:p w14:paraId="1580053B" w14:textId="77777777" w:rsidR="00CA6A0D" w:rsidRPr="00F26A3E" w:rsidRDefault="00CA6A0D" w:rsidP="00B607FC">
      <w:pPr>
        <w:jc w:val="both"/>
        <w:rPr>
          <w:sz w:val="22"/>
          <w:szCs w:val="22"/>
          <w:lang w:val="en-GB"/>
        </w:rPr>
      </w:pPr>
    </w:p>
    <w:p w14:paraId="6B556187" w14:textId="77777777" w:rsidR="00CA6A0D" w:rsidRPr="00F26A3E" w:rsidRDefault="00CA6A0D" w:rsidP="00B607FC">
      <w:pPr>
        <w:jc w:val="both"/>
        <w:rPr>
          <w:sz w:val="22"/>
          <w:szCs w:val="22"/>
          <w:lang w:val="en-GB"/>
        </w:rPr>
      </w:pPr>
    </w:p>
    <w:p w14:paraId="67E3B52E" w14:textId="77777777" w:rsidR="00EE01D9" w:rsidRDefault="00EE01D9" w:rsidP="007C2757">
      <w:pPr>
        <w:pStyle w:val="Casehead2"/>
        <w:rPr>
          <w:lang w:val="en-GB"/>
        </w:rPr>
      </w:pPr>
    </w:p>
    <w:p w14:paraId="458B619E" w14:textId="7190F2DF" w:rsidR="00CA6A0D" w:rsidRPr="00F26A3E" w:rsidRDefault="00CA6A0D" w:rsidP="007C2757">
      <w:pPr>
        <w:pStyle w:val="Casehead2"/>
        <w:rPr>
          <w:lang w:val="en-GB"/>
        </w:rPr>
      </w:pPr>
      <w:r w:rsidRPr="00F26A3E">
        <w:rPr>
          <w:lang w:val="en-GB"/>
        </w:rPr>
        <w:lastRenderedPageBreak/>
        <w:t>Advertisement</w:t>
      </w:r>
      <w:r w:rsidR="006B6676">
        <w:rPr>
          <w:lang w:val="en-GB"/>
        </w:rPr>
        <w:t xml:space="preserve"> </w:t>
      </w:r>
      <w:r w:rsidRPr="00F26A3E">
        <w:rPr>
          <w:lang w:val="en-GB"/>
        </w:rPr>
        <w:t>and</w:t>
      </w:r>
      <w:r w:rsidR="006B6676">
        <w:rPr>
          <w:lang w:val="en-GB"/>
        </w:rPr>
        <w:t xml:space="preserve"> </w:t>
      </w:r>
      <w:r w:rsidRPr="00F26A3E">
        <w:rPr>
          <w:lang w:val="en-GB"/>
        </w:rPr>
        <w:t>Promotions</w:t>
      </w:r>
    </w:p>
    <w:p w14:paraId="0F2CC1B1" w14:textId="77777777" w:rsidR="00CA6A0D" w:rsidRPr="00F26A3E" w:rsidRDefault="00CA6A0D" w:rsidP="00B607FC">
      <w:pPr>
        <w:jc w:val="both"/>
        <w:rPr>
          <w:sz w:val="22"/>
          <w:szCs w:val="22"/>
          <w:lang w:val="en-GB"/>
        </w:rPr>
      </w:pPr>
    </w:p>
    <w:p w14:paraId="430F6E3B" w14:textId="45A7E6FE" w:rsidR="00CA6A0D" w:rsidRPr="00F26A3E" w:rsidRDefault="00CA6A0D" w:rsidP="00B607FC">
      <w:pPr>
        <w:jc w:val="both"/>
        <w:rPr>
          <w:sz w:val="22"/>
          <w:szCs w:val="22"/>
          <w:lang w:val="en-GB"/>
        </w:rPr>
      </w:pPr>
      <w:r>
        <w:rPr>
          <w:sz w:val="22"/>
          <w:szCs w:val="22"/>
          <w:lang w:val="en-GB"/>
        </w:rPr>
        <w:t>In</w:t>
      </w:r>
      <w:r w:rsidR="006B6676">
        <w:rPr>
          <w:sz w:val="22"/>
          <w:szCs w:val="22"/>
          <w:lang w:val="en-GB"/>
        </w:rPr>
        <w:t xml:space="preserve"> </w:t>
      </w:r>
      <w:r>
        <w:rPr>
          <w:sz w:val="22"/>
          <w:szCs w:val="22"/>
          <w:lang w:val="en-GB"/>
        </w:rPr>
        <w:t>2018–19,</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spent</w:t>
      </w:r>
      <w:r w:rsidR="006B6676">
        <w:rPr>
          <w:sz w:val="22"/>
          <w:szCs w:val="22"/>
          <w:lang w:val="en-GB"/>
        </w:rPr>
        <w:t xml:space="preserve"> </w:t>
      </w:r>
      <w:r>
        <w:rPr>
          <w:sz w:val="22"/>
          <w:szCs w:val="22"/>
          <w:lang w:val="en-GB"/>
        </w:rPr>
        <w:t>₹</w:t>
      </w:r>
      <w:r w:rsidRPr="00F26A3E">
        <w:rPr>
          <w:sz w:val="22"/>
          <w:szCs w:val="22"/>
          <w:lang w:val="en-GB"/>
        </w:rPr>
        <w:t>261</w:t>
      </w:r>
      <w:r w:rsidR="006B6676">
        <w:rPr>
          <w:sz w:val="22"/>
          <w:szCs w:val="22"/>
          <w:lang w:val="en-GB"/>
        </w:rPr>
        <w:t xml:space="preserve"> </w:t>
      </w:r>
      <w:r w:rsidRPr="00F26A3E">
        <w:rPr>
          <w:sz w:val="22"/>
          <w:szCs w:val="22"/>
          <w:lang w:val="en-GB"/>
        </w:rPr>
        <w:t>million</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advertising</w:t>
      </w:r>
      <w:r w:rsidR="006B6676">
        <w:rPr>
          <w:sz w:val="22"/>
          <w:szCs w:val="22"/>
          <w:lang w:val="en-GB"/>
        </w:rPr>
        <w:t xml:space="preserve"> </w:t>
      </w:r>
      <w:r w:rsidRPr="00F26A3E">
        <w:rPr>
          <w:sz w:val="22"/>
          <w:szCs w:val="22"/>
          <w:lang w:val="en-GB"/>
        </w:rPr>
        <w:t>(</w:t>
      </w:r>
      <w:r>
        <w:rPr>
          <w:sz w:val="22"/>
          <w:szCs w:val="22"/>
          <w:lang w:val="en-GB"/>
        </w:rPr>
        <w:t>s</w:t>
      </w:r>
      <w:r w:rsidRPr="00F26A3E">
        <w:rPr>
          <w:sz w:val="22"/>
          <w:szCs w:val="22"/>
          <w:lang w:val="en-GB"/>
        </w:rPr>
        <w:t>ee</w:t>
      </w:r>
      <w:r w:rsidR="006B6676">
        <w:rPr>
          <w:sz w:val="22"/>
          <w:szCs w:val="22"/>
          <w:lang w:val="en-GB"/>
        </w:rPr>
        <w:t xml:space="preserve"> </w:t>
      </w:r>
      <w:r w:rsidRPr="00F26A3E">
        <w:rPr>
          <w:sz w:val="22"/>
          <w:szCs w:val="22"/>
          <w:lang w:val="en-GB"/>
        </w:rPr>
        <w:t>Exhibit</w:t>
      </w:r>
      <w:r w:rsidR="006B6676">
        <w:rPr>
          <w:sz w:val="22"/>
          <w:szCs w:val="22"/>
          <w:lang w:val="en-GB"/>
        </w:rPr>
        <w:t xml:space="preserve"> </w:t>
      </w:r>
      <w:r w:rsidRPr="00F26A3E">
        <w:rPr>
          <w:sz w:val="22"/>
          <w:szCs w:val="22"/>
          <w:lang w:val="en-GB"/>
        </w:rPr>
        <w:t>5)</w:t>
      </w:r>
      <w:r>
        <w:rPr>
          <w:sz w:val="22"/>
          <w:szCs w:val="22"/>
          <w:lang w:val="en-GB"/>
        </w:rPr>
        <w:t>.</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Enfield’s</w:t>
      </w:r>
      <w:r w:rsidR="006B6676">
        <w:rPr>
          <w:sz w:val="22"/>
          <w:szCs w:val="22"/>
          <w:lang w:val="en-GB"/>
        </w:rPr>
        <w:t xml:space="preserve"> </w:t>
      </w:r>
      <w:r w:rsidRPr="00F26A3E">
        <w:rPr>
          <w:sz w:val="22"/>
          <w:szCs w:val="22"/>
          <w:lang w:val="en-GB"/>
        </w:rPr>
        <w:t>advertising</w:t>
      </w:r>
      <w:r w:rsidR="006B6676">
        <w:rPr>
          <w:sz w:val="22"/>
          <w:szCs w:val="22"/>
          <w:lang w:val="en-GB"/>
        </w:rPr>
        <w:t xml:space="preserve"> </w:t>
      </w:r>
      <w:r w:rsidRPr="00F26A3E">
        <w:rPr>
          <w:sz w:val="22"/>
          <w:szCs w:val="22"/>
          <w:lang w:val="en-GB"/>
        </w:rPr>
        <w:t>campaigns</w:t>
      </w:r>
      <w:r w:rsidR="006B6676">
        <w:rPr>
          <w:sz w:val="22"/>
          <w:szCs w:val="22"/>
          <w:lang w:val="en-GB"/>
        </w:rPr>
        <w:t xml:space="preserve"> </w:t>
      </w:r>
      <w:r w:rsidRPr="00F26A3E">
        <w:rPr>
          <w:sz w:val="22"/>
          <w:szCs w:val="22"/>
          <w:lang w:val="en-GB"/>
        </w:rPr>
        <w:t>reflected</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00A93740" w:rsidRPr="00F26A3E">
        <w:rPr>
          <w:sz w:val="22"/>
          <w:szCs w:val="22"/>
          <w:lang w:val="en-GB"/>
        </w:rPr>
        <w:t>brand</w:t>
      </w:r>
      <w:r w:rsidR="00A93740">
        <w:rPr>
          <w:sz w:val="22"/>
          <w:szCs w:val="22"/>
          <w:lang w:val="en-GB"/>
        </w:rPr>
        <w:t>’s</w:t>
      </w:r>
      <w:r w:rsidR="006B6676">
        <w:rPr>
          <w:sz w:val="22"/>
          <w:szCs w:val="22"/>
          <w:lang w:val="en-GB"/>
        </w:rPr>
        <w:t xml:space="preserve"> </w:t>
      </w:r>
      <w:r w:rsidR="00A93740" w:rsidRPr="00F26A3E">
        <w:rPr>
          <w:sz w:val="22"/>
          <w:szCs w:val="22"/>
          <w:lang w:val="en-GB"/>
        </w:rPr>
        <w:t>personality</w:t>
      </w:r>
      <w:r w:rsidR="006B6676">
        <w:rPr>
          <w:sz w:val="22"/>
          <w:szCs w:val="22"/>
          <w:lang w:val="en-GB"/>
        </w:rPr>
        <w:t xml:space="preserve"> </w:t>
      </w:r>
      <w:r w:rsidR="00A93740">
        <w:rPr>
          <w:sz w:val="22"/>
          <w:szCs w:val="22"/>
          <w:lang w:val="en-GB"/>
        </w:rPr>
        <w:t>of</w:t>
      </w:r>
      <w:r w:rsidR="006B6676">
        <w:rPr>
          <w:sz w:val="22"/>
          <w:szCs w:val="22"/>
          <w:shd w:val="clear" w:color="auto" w:fill="FFFFFF"/>
          <w:lang w:val="en-GB"/>
        </w:rPr>
        <w:t xml:space="preserve"> </w:t>
      </w:r>
      <w:r w:rsidR="00A93740" w:rsidRPr="00F26A3E">
        <w:rPr>
          <w:sz w:val="22"/>
          <w:szCs w:val="22"/>
          <w:shd w:val="clear" w:color="auto" w:fill="FFFFFF"/>
          <w:lang w:val="en-GB"/>
        </w:rPr>
        <w:t>resilience</w:t>
      </w:r>
      <w:r w:rsidRPr="00F26A3E">
        <w:rPr>
          <w:sz w:val="22"/>
          <w:szCs w:val="22"/>
          <w:shd w:val="clear" w:color="auto" w:fill="FFFFFF"/>
          <w:lang w:val="en-GB"/>
        </w:rPr>
        <w:t>,</w:t>
      </w:r>
      <w:r w:rsidR="006B6676">
        <w:rPr>
          <w:sz w:val="22"/>
          <w:szCs w:val="22"/>
          <w:shd w:val="clear" w:color="auto" w:fill="FFFFFF"/>
          <w:lang w:val="en-GB"/>
        </w:rPr>
        <w:t xml:space="preserve"> </w:t>
      </w:r>
      <w:r w:rsidRPr="00F26A3E">
        <w:rPr>
          <w:sz w:val="22"/>
          <w:szCs w:val="22"/>
          <w:shd w:val="clear" w:color="auto" w:fill="FFFFFF"/>
          <w:lang w:val="en-GB"/>
        </w:rPr>
        <w:t>enduring</w:t>
      </w:r>
      <w:r w:rsidR="006B6676">
        <w:rPr>
          <w:sz w:val="22"/>
          <w:szCs w:val="22"/>
          <w:shd w:val="clear" w:color="auto" w:fill="FFFFFF"/>
          <w:lang w:val="en-GB"/>
        </w:rPr>
        <w:t xml:space="preserve"> </w:t>
      </w:r>
      <w:r w:rsidRPr="00F26A3E">
        <w:rPr>
          <w:sz w:val="22"/>
          <w:szCs w:val="22"/>
          <w:shd w:val="clear" w:color="auto" w:fill="FFFFFF"/>
          <w:lang w:val="en-GB"/>
        </w:rPr>
        <w:t>character</w:t>
      </w:r>
      <w:r>
        <w:rPr>
          <w:sz w:val="22"/>
          <w:szCs w:val="22"/>
          <w:shd w:val="clear" w:color="auto" w:fill="FFFFFF"/>
          <w:lang w:val="en-GB"/>
        </w:rPr>
        <w:t>,</w:t>
      </w:r>
      <w:r w:rsidR="006B6676">
        <w:rPr>
          <w:sz w:val="22"/>
          <w:szCs w:val="22"/>
          <w:shd w:val="clear" w:color="auto" w:fill="FFFFFF"/>
          <w:lang w:val="en-GB"/>
        </w:rPr>
        <w:t xml:space="preserve"> </w:t>
      </w:r>
      <w:r w:rsidRPr="00F26A3E">
        <w:rPr>
          <w:sz w:val="22"/>
          <w:szCs w:val="22"/>
          <w:shd w:val="clear" w:color="auto" w:fill="FFFFFF"/>
          <w:lang w:val="en-GB"/>
        </w:rPr>
        <w:t>and</w:t>
      </w:r>
      <w:r w:rsidR="006B6676">
        <w:rPr>
          <w:sz w:val="22"/>
          <w:szCs w:val="22"/>
          <w:shd w:val="clear" w:color="auto" w:fill="FFFFFF"/>
          <w:lang w:val="en-GB"/>
        </w:rPr>
        <w:t xml:space="preserve"> </w:t>
      </w:r>
      <w:r w:rsidRPr="00F26A3E">
        <w:rPr>
          <w:sz w:val="22"/>
          <w:szCs w:val="22"/>
          <w:shd w:val="clear" w:color="auto" w:fill="FFFFFF"/>
          <w:lang w:val="en-GB"/>
        </w:rPr>
        <w:t>dogged</w:t>
      </w:r>
      <w:r w:rsidR="006B6676">
        <w:rPr>
          <w:sz w:val="22"/>
          <w:szCs w:val="22"/>
          <w:shd w:val="clear" w:color="auto" w:fill="FFFFFF"/>
          <w:lang w:val="en-GB"/>
        </w:rPr>
        <w:t xml:space="preserve"> </w:t>
      </w:r>
      <w:r w:rsidRPr="00F26A3E">
        <w:rPr>
          <w:sz w:val="22"/>
          <w:szCs w:val="22"/>
          <w:shd w:val="clear" w:color="auto" w:fill="FFFFFF"/>
          <w:lang w:val="en-GB"/>
        </w:rPr>
        <w:t>spirit.</w:t>
      </w:r>
      <w:r w:rsidR="006B6676">
        <w:rPr>
          <w:sz w:val="22"/>
          <w:szCs w:val="22"/>
          <w:shd w:val="clear" w:color="auto" w:fill="FFFFFF"/>
          <w:lang w:val="en-GB"/>
        </w:rPr>
        <w:t xml:space="preserve"> </w:t>
      </w:r>
      <w:r w:rsidRPr="00F26A3E">
        <w:rPr>
          <w:sz w:val="22"/>
          <w:szCs w:val="22"/>
          <w:shd w:val="clear" w:color="auto" w:fill="FFFFFF"/>
          <w:lang w:val="en-GB"/>
        </w:rPr>
        <w:t>The</w:t>
      </w:r>
      <w:r w:rsidR="006B6676">
        <w:rPr>
          <w:sz w:val="22"/>
          <w:szCs w:val="22"/>
          <w:shd w:val="clear" w:color="auto" w:fill="FFFFFF"/>
          <w:lang w:val="en-GB"/>
        </w:rPr>
        <w:t xml:space="preserve"> </w:t>
      </w:r>
      <w:r w:rsidRPr="00F26A3E">
        <w:rPr>
          <w:sz w:val="22"/>
          <w:szCs w:val="22"/>
          <w:shd w:val="clear" w:color="auto" w:fill="FFFFFF"/>
          <w:lang w:val="en-GB"/>
        </w:rPr>
        <w:t>#MyBullet</w:t>
      </w:r>
      <w:r w:rsidR="006B6676">
        <w:rPr>
          <w:sz w:val="22"/>
          <w:szCs w:val="22"/>
          <w:shd w:val="clear" w:color="auto" w:fill="FFFFFF"/>
          <w:lang w:val="en-GB"/>
        </w:rPr>
        <w:t xml:space="preserve"> </w:t>
      </w:r>
      <w:r>
        <w:rPr>
          <w:sz w:val="22"/>
          <w:szCs w:val="22"/>
          <w:shd w:val="clear" w:color="auto" w:fill="FFFFFF"/>
          <w:lang w:val="en-GB"/>
        </w:rPr>
        <w:t>advertising</w:t>
      </w:r>
      <w:r w:rsidR="006B6676">
        <w:rPr>
          <w:sz w:val="22"/>
          <w:szCs w:val="22"/>
          <w:shd w:val="clear" w:color="auto" w:fill="FFFFFF"/>
          <w:lang w:val="en-GB"/>
        </w:rPr>
        <w:t xml:space="preserve"> </w:t>
      </w:r>
      <w:r w:rsidRPr="00F26A3E">
        <w:rPr>
          <w:sz w:val="22"/>
          <w:szCs w:val="22"/>
          <w:shd w:val="clear" w:color="auto" w:fill="FFFFFF"/>
          <w:lang w:val="en-GB"/>
        </w:rPr>
        <w:t>campaign</w:t>
      </w:r>
      <w:r w:rsidR="006B6676">
        <w:rPr>
          <w:sz w:val="22"/>
          <w:szCs w:val="22"/>
          <w:shd w:val="clear" w:color="auto" w:fill="FFFFFF"/>
          <w:lang w:val="en-GB"/>
        </w:rPr>
        <w:t xml:space="preserve"> </w:t>
      </w:r>
      <w:r w:rsidRPr="00F26A3E">
        <w:rPr>
          <w:sz w:val="22"/>
          <w:szCs w:val="22"/>
          <w:shd w:val="clear" w:color="auto" w:fill="FFFFFF"/>
          <w:lang w:val="en-GB"/>
        </w:rPr>
        <w:t>unveiled</w:t>
      </w:r>
      <w:r w:rsidR="006B6676">
        <w:rPr>
          <w:sz w:val="22"/>
          <w:szCs w:val="22"/>
          <w:shd w:val="clear" w:color="auto" w:fill="FFFFFF"/>
          <w:lang w:val="en-GB"/>
        </w:rPr>
        <w:t xml:space="preserve"> </w:t>
      </w:r>
      <w:r w:rsidRPr="00F26A3E">
        <w:rPr>
          <w:sz w:val="22"/>
          <w:szCs w:val="22"/>
          <w:shd w:val="clear" w:color="auto" w:fill="FFFFFF"/>
          <w:lang w:val="en-GB"/>
        </w:rPr>
        <w:t>in</w:t>
      </w:r>
      <w:r w:rsidR="006B6676">
        <w:rPr>
          <w:sz w:val="22"/>
          <w:szCs w:val="22"/>
          <w:shd w:val="clear" w:color="auto" w:fill="FFFFFF"/>
          <w:lang w:val="en-GB"/>
        </w:rPr>
        <w:t xml:space="preserve"> </w:t>
      </w:r>
      <w:r w:rsidRPr="00F26A3E">
        <w:rPr>
          <w:sz w:val="22"/>
          <w:szCs w:val="22"/>
          <w:shd w:val="clear" w:color="auto" w:fill="FFFFFF"/>
          <w:lang w:val="en-GB"/>
        </w:rPr>
        <w:t>2019</w:t>
      </w:r>
      <w:r w:rsidR="006B6676">
        <w:rPr>
          <w:sz w:val="22"/>
          <w:szCs w:val="22"/>
          <w:shd w:val="clear" w:color="auto" w:fill="FFFFFF"/>
          <w:lang w:val="en-GB"/>
        </w:rPr>
        <w:t xml:space="preserve"> </w:t>
      </w:r>
      <w:r w:rsidRPr="00F26A3E">
        <w:rPr>
          <w:sz w:val="22"/>
          <w:szCs w:val="22"/>
          <w:shd w:val="clear" w:color="auto" w:fill="FFFFFF"/>
          <w:lang w:val="en-GB"/>
        </w:rPr>
        <w:t>encompassed</w:t>
      </w:r>
      <w:r w:rsidR="006B6676">
        <w:rPr>
          <w:sz w:val="22"/>
          <w:szCs w:val="22"/>
          <w:shd w:val="clear" w:color="auto" w:fill="FFFFFF"/>
          <w:lang w:val="en-GB"/>
        </w:rPr>
        <w:t xml:space="preserve"> </w:t>
      </w:r>
      <w:r w:rsidRPr="00F26A3E">
        <w:rPr>
          <w:sz w:val="22"/>
          <w:szCs w:val="22"/>
          <w:shd w:val="clear" w:color="auto" w:fill="FFFFFF"/>
          <w:lang w:val="en-GB"/>
        </w:rPr>
        <w:t>three</w:t>
      </w:r>
      <w:r w:rsidR="006B6676">
        <w:rPr>
          <w:sz w:val="22"/>
          <w:szCs w:val="22"/>
          <w:shd w:val="clear" w:color="auto" w:fill="FFFFFF"/>
          <w:lang w:val="en-GB"/>
        </w:rPr>
        <w:t xml:space="preserve"> </w:t>
      </w:r>
      <w:r w:rsidRPr="00F26A3E">
        <w:rPr>
          <w:sz w:val="22"/>
          <w:szCs w:val="22"/>
          <w:shd w:val="clear" w:color="auto" w:fill="FFFFFF"/>
          <w:lang w:val="en-GB"/>
        </w:rPr>
        <w:t>different</w:t>
      </w:r>
      <w:r w:rsidR="006B6676">
        <w:rPr>
          <w:sz w:val="22"/>
          <w:szCs w:val="22"/>
          <w:shd w:val="clear" w:color="auto" w:fill="FFFFFF"/>
          <w:lang w:val="en-GB"/>
        </w:rPr>
        <w:t xml:space="preserve"> </w:t>
      </w:r>
      <w:r w:rsidRPr="00F26A3E">
        <w:rPr>
          <w:sz w:val="22"/>
          <w:szCs w:val="22"/>
          <w:shd w:val="clear" w:color="auto" w:fill="FFFFFF"/>
          <w:lang w:val="en-GB"/>
        </w:rPr>
        <w:t>television</w:t>
      </w:r>
      <w:r w:rsidR="006B6676">
        <w:rPr>
          <w:sz w:val="22"/>
          <w:szCs w:val="22"/>
          <w:shd w:val="clear" w:color="auto" w:fill="FFFFFF"/>
          <w:lang w:val="en-GB"/>
        </w:rPr>
        <w:t xml:space="preserve"> </w:t>
      </w:r>
      <w:r w:rsidRPr="00F26A3E">
        <w:rPr>
          <w:sz w:val="22"/>
          <w:szCs w:val="22"/>
          <w:shd w:val="clear" w:color="auto" w:fill="FFFFFF"/>
          <w:lang w:val="en-GB"/>
        </w:rPr>
        <w:t>commercials</w:t>
      </w:r>
      <w:r w:rsidR="006B6676">
        <w:rPr>
          <w:sz w:val="22"/>
          <w:szCs w:val="22"/>
          <w:shd w:val="clear" w:color="auto" w:fill="FFFFFF"/>
          <w:lang w:val="en-GB"/>
        </w:rPr>
        <w:t xml:space="preserve"> </w:t>
      </w:r>
      <w:r w:rsidRPr="00F26A3E">
        <w:rPr>
          <w:sz w:val="22"/>
          <w:szCs w:val="22"/>
          <w:shd w:val="clear" w:color="auto" w:fill="FFFFFF"/>
          <w:lang w:val="en-GB"/>
        </w:rPr>
        <w:t>to</w:t>
      </w:r>
      <w:r w:rsidR="006B6676">
        <w:rPr>
          <w:sz w:val="22"/>
          <w:szCs w:val="22"/>
          <w:shd w:val="clear" w:color="auto" w:fill="FFFFFF"/>
          <w:lang w:val="en-GB"/>
        </w:rPr>
        <w:t xml:space="preserve"> </w:t>
      </w:r>
      <w:r w:rsidRPr="00F26A3E">
        <w:rPr>
          <w:sz w:val="22"/>
          <w:szCs w:val="22"/>
          <w:shd w:val="clear" w:color="auto" w:fill="FFFFFF"/>
          <w:lang w:val="en-GB"/>
        </w:rPr>
        <w:t>highlight</w:t>
      </w:r>
      <w:r w:rsidR="006B6676">
        <w:rPr>
          <w:sz w:val="22"/>
          <w:szCs w:val="22"/>
          <w:shd w:val="clear" w:color="auto" w:fill="FFFFFF"/>
          <w:lang w:val="en-GB"/>
        </w:rPr>
        <w:t xml:space="preserve"> </w:t>
      </w:r>
      <w:r w:rsidRPr="00F26A3E">
        <w:rPr>
          <w:sz w:val="22"/>
          <w:szCs w:val="22"/>
          <w:shd w:val="clear" w:color="auto" w:fill="FFFFFF"/>
          <w:lang w:val="en-GB"/>
        </w:rPr>
        <w:t>these</w:t>
      </w:r>
      <w:r w:rsidR="006B6676">
        <w:rPr>
          <w:sz w:val="22"/>
          <w:szCs w:val="22"/>
          <w:shd w:val="clear" w:color="auto" w:fill="FFFFFF"/>
          <w:lang w:val="en-GB"/>
        </w:rPr>
        <w:t xml:space="preserve"> </w:t>
      </w:r>
      <w:r w:rsidRPr="00F26A3E">
        <w:rPr>
          <w:sz w:val="22"/>
          <w:szCs w:val="22"/>
          <w:shd w:val="clear" w:color="auto" w:fill="FFFFFF"/>
          <w:lang w:val="en-GB"/>
        </w:rPr>
        <w:t>personality</w:t>
      </w:r>
      <w:r w:rsidR="006B6676">
        <w:rPr>
          <w:sz w:val="22"/>
          <w:szCs w:val="22"/>
          <w:shd w:val="clear" w:color="auto" w:fill="FFFFFF"/>
          <w:lang w:val="en-GB"/>
        </w:rPr>
        <w:t xml:space="preserve"> </w:t>
      </w:r>
      <w:r w:rsidRPr="00F26A3E">
        <w:rPr>
          <w:sz w:val="22"/>
          <w:szCs w:val="22"/>
          <w:shd w:val="clear" w:color="auto" w:fill="FFFFFF"/>
          <w:lang w:val="en-GB"/>
        </w:rPr>
        <w:t>traits.</w:t>
      </w:r>
      <w:r w:rsidR="006B6676">
        <w:rPr>
          <w:sz w:val="22"/>
          <w:szCs w:val="22"/>
          <w:shd w:val="clear" w:color="auto" w:fill="FFFFFF"/>
          <w:lang w:val="en-GB"/>
        </w:rPr>
        <w:t xml:space="preserve"> </w:t>
      </w:r>
      <w:r w:rsidRPr="00F26A3E">
        <w:rPr>
          <w:sz w:val="22"/>
          <w:szCs w:val="22"/>
          <w:shd w:val="clear" w:color="auto" w:fill="FFFFFF"/>
          <w:lang w:val="en-GB"/>
        </w:rPr>
        <w:t>A</w:t>
      </w:r>
      <w:r w:rsidR="006B6676">
        <w:rPr>
          <w:sz w:val="22"/>
          <w:szCs w:val="22"/>
          <w:shd w:val="clear" w:color="auto" w:fill="FFFFFF"/>
          <w:lang w:val="en-GB"/>
        </w:rPr>
        <w:t xml:space="preserve"> </w:t>
      </w:r>
      <w:r w:rsidRPr="00F26A3E">
        <w:rPr>
          <w:sz w:val="22"/>
          <w:szCs w:val="22"/>
          <w:shd w:val="clear" w:color="auto" w:fill="FFFFFF"/>
          <w:lang w:val="en-GB"/>
        </w:rPr>
        <w:t>noteworthy</w:t>
      </w:r>
      <w:r w:rsidR="006B6676">
        <w:rPr>
          <w:sz w:val="22"/>
          <w:szCs w:val="22"/>
          <w:shd w:val="clear" w:color="auto" w:fill="FFFFFF"/>
          <w:lang w:val="en-GB"/>
        </w:rPr>
        <w:t xml:space="preserve"> </w:t>
      </w:r>
      <w:r w:rsidRPr="00F26A3E">
        <w:rPr>
          <w:sz w:val="22"/>
          <w:szCs w:val="22"/>
          <w:shd w:val="clear" w:color="auto" w:fill="FFFFFF"/>
          <w:lang w:val="en-GB"/>
        </w:rPr>
        <w:t>feature</w:t>
      </w:r>
      <w:r w:rsidR="006B6676">
        <w:rPr>
          <w:sz w:val="22"/>
          <w:szCs w:val="22"/>
          <w:shd w:val="clear" w:color="auto" w:fill="FFFFFF"/>
          <w:lang w:val="en-GB"/>
        </w:rPr>
        <w:t xml:space="preserve"> </w:t>
      </w:r>
      <w:r w:rsidRPr="00F26A3E">
        <w:rPr>
          <w:sz w:val="22"/>
          <w:szCs w:val="22"/>
          <w:shd w:val="clear" w:color="auto" w:fill="FFFFFF"/>
          <w:lang w:val="en-GB"/>
        </w:rPr>
        <w:t>of</w:t>
      </w:r>
      <w:r w:rsidR="006B6676">
        <w:rPr>
          <w:sz w:val="22"/>
          <w:szCs w:val="22"/>
          <w:shd w:val="clear" w:color="auto" w:fill="FFFFFF"/>
          <w:lang w:val="en-GB"/>
        </w:rPr>
        <w:t xml:space="preserve"> </w:t>
      </w:r>
      <w:r w:rsidRPr="00F26A3E">
        <w:rPr>
          <w:sz w:val="22"/>
          <w:szCs w:val="22"/>
          <w:shd w:val="clear" w:color="auto" w:fill="FFFFFF"/>
          <w:lang w:val="en-GB"/>
        </w:rPr>
        <w:t>the</w:t>
      </w:r>
      <w:r w:rsidR="006B6676">
        <w:rPr>
          <w:sz w:val="22"/>
          <w:szCs w:val="22"/>
          <w:shd w:val="clear" w:color="auto" w:fill="FFFFFF"/>
          <w:lang w:val="en-GB"/>
        </w:rPr>
        <w:t xml:space="preserve"> </w:t>
      </w:r>
      <w:r w:rsidRPr="00F26A3E">
        <w:rPr>
          <w:sz w:val="22"/>
          <w:szCs w:val="22"/>
          <w:shd w:val="clear" w:color="auto" w:fill="FFFFFF"/>
          <w:lang w:val="en-GB"/>
        </w:rPr>
        <w:t>campaign</w:t>
      </w:r>
      <w:r w:rsidR="006B6676">
        <w:rPr>
          <w:sz w:val="22"/>
          <w:szCs w:val="22"/>
          <w:shd w:val="clear" w:color="auto" w:fill="FFFFFF"/>
          <w:lang w:val="en-GB"/>
        </w:rPr>
        <w:t xml:space="preserve"> </w:t>
      </w:r>
      <w:r w:rsidRPr="00F26A3E">
        <w:rPr>
          <w:sz w:val="22"/>
          <w:szCs w:val="22"/>
          <w:shd w:val="clear" w:color="auto" w:fill="FFFFFF"/>
          <w:lang w:val="en-GB"/>
        </w:rPr>
        <w:t>was</w:t>
      </w:r>
      <w:r w:rsidR="006B6676">
        <w:rPr>
          <w:sz w:val="22"/>
          <w:szCs w:val="22"/>
          <w:shd w:val="clear" w:color="auto" w:fill="FFFFFF"/>
          <w:lang w:val="en-GB"/>
        </w:rPr>
        <w:t xml:space="preserve"> </w:t>
      </w:r>
      <w:r w:rsidRPr="00F26A3E">
        <w:rPr>
          <w:sz w:val="22"/>
          <w:szCs w:val="22"/>
          <w:shd w:val="clear" w:color="auto" w:fill="FFFFFF"/>
          <w:lang w:val="en-GB"/>
        </w:rPr>
        <w:t>the</w:t>
      </w:r>
      <w:r w:rsidR="006B6676">
        <w:rPr>
          <w:sz w:val="22"/>
          <w:szCs w:val="22"/>
          <w:shd w:val="clear" w:color="auto" w:fill="FFFFFF"/>
          <w:lang w:val="en-GB"/>
        </w:rPr>
        <w:t xml:space="preserve"> </w:t>
      </w:r>
      <w:r w:rsidRPr="00F26A3E">
        <w:rPr>
          <w:sz w:val="22"/>
          <w:szCs w:val="22"/>
          <w:shd w:val="clear" w:color="auto" w:fill="FFFFFF"/>
          <w:lang w:val="en-GB"/>
        </w:rPr>
        <w:t>brand’s</w:t>
      </w:r>
      <w:r w:rsidR="006B6676">
        <w:rPr>
          <w:sz w:val="22"/>
          <w:szCs w:val="22"/>
          <w:shd w:val="clear" w:color="auto" w:fill="FFFFFF"/>
          <w:lang w:val="en-GB"/>
        </w:rPr>
        <w:t xml:space="preserve"> </w:t>
      </w:r>
      <w:r w:rsidRPr="00F26A3E">
        <w:rPr>
          <w:sz w:val="22"/>
          <w:szCs w:val="22"/>
          <w:shd w:val="clear" w:color="auto" w:fill="FFFFFF"/>
          <w:lang w:val="en-GB"/>
        </w:rPr>
        <w:t>attempt</w:t>
      </w:r>
      <w:r w:rsidR="006B6676">
        <w:rPr>
          <w:sz w:val="22"/>
          <w:szCs w:val="22"/>
          <w:shd w:val="clear" w:color="auto" w:fill="FFFFFF"/>
          <w:lang w:val="en-GB"/>
        </w:rPr>
        <w:t xml:space="preserve"> </w:t>
      </w:r>
      <w:r w:rsidRPr="00F26A3E">
        <w:rPr>
          <w:sz w:val="22"/>
          <w:szCs w:val="22"/>
          <w:shd w:val="clear" w:color="auto" w:fill="FFFFFF"/>
          <w:lang w:val="en-GB"/>
        </w:rPr>
        <w:t>to</w:t>
      </w:r>
      <w:r w:rsidR="006B6676">
        <w:rPr>
          <w:sz w:val="22"/>
          <w:szCs w:val="22"/>
          <w:shd w:val="clear" w:color="auto" w:fill="FFFFFF"/>
          <w:lang w:val="en-GB"/>
        </w:rPr>
        <w:t xml:space="preserve"> </w:t>
      </w:r>
      <w:r w:rsidRPr="00F26A3E">
        <w:rPr>
          <w:sz w:val="22"/>
          <w:szCs w:val="22"/>
          <w:shd w:val="clear" w:color="auto" w:fill="FFFFFF"/>
          <w:lang w:val="en-GB"/>
        </w:rPr>
        <w:t>break</w:t>
      </w:r>
      <w:r w:rsidR="006B6676">
        <w:rPr>
          <w:sz w:val="22"/>
          <w:szCs w:val="22"/>
          <w:shd w:val="clear" w:color="auto" w:fill="FFFFFF"/>
          <w:lang w:val="en-GB"/>
        </w:rPr>
        <w:t xml:space="preserve"> </w:t>
      </w:r>
      <w:r>
        <w:rPr>
          <w:sz w:val="22"/>
          <w:szCs w:val="22"/>
          <w:shd w:val="clear" w:color="auto" w:fill="FFFFFF"/>
          <w:lang w:val="en-GB"/>
        </w:rPr>
        <w:t>the</w:t>
      </w:r>
      <w:r w:rsidR="006B6676">
        <w:rPr>
          <w:sz w:val="22"/>
          <w:szCs w:val="22"/>
          <w:shd w:val="clear" w:color="auto" w:fill="FFFFFF"/>
          <w:lang w:val="en-GB"/>
        </w:rPr>
        <w:t xml:space="preserve"> </w:t>
      </w:r>
      <w:r w:rsidR="00A93740">
        <w:rPr>
          <w:sz w:val="22"/>
          <w:szCs w:val="22"/>
          <w:shd w:val="clear" w:color="auto" w:fill="FFFFFF"/>
          <w:lang w:val="en-GB"/>
        </w:rPr>
        <w:t>male</w:t>
      </w:r>
      <w:r w:rsidR="006B6676">
        <w:rPr>
          <w:sz w:val="22"/>
          <w:szCs w:val="22"/>
          <w:shd w:val="clear" w:color="auto" w:fill="FFFFFF"/>
          <w:lang w:val="en-GB"/>
        </w:rPr>
        <w:t xml:space="preserve"> </w:t>
      </w:r>
      <w:r w:rsidR="00A93740">
        <w:rPr>
          <w:sz w:val="22"/>
          <w:szCs w:val="22"/>
          <w:shd w:val="clear" w:color="auto" w:fill="FFFFFF"/>
          <w:lang w:val="en-GB"/>
        </w:rPr>
        <w:t>motorcycle</w:t>
      </w:r>
      <w:r w:rsidR="006B6676">
        <w:rPr>
          <w:sz w:val="22"/>
          <w:szCs w:val="22"/>
          <w:shd w:val="clear" w:color="auto" w:fill="FFFFFF"/>
          <w:lang w:val="en-GB"/>
        </w:rPr>
        <w:t xml:space="preserve"> </w:t>
      </w:r>
      <w:r>
        <w:rPr>
          <w:sz w:val="22"/>
          <w:szCs w:val="22"/>
          <w:shd w:val="clear" w:color="auto" w:fill="FFFFFF"/>
          <w:lang w:val="en-GB"/>
        </w:rPr>
        <w:t>rider</w:t>
      </w:r>
      <w:r w:rsidR="006B6676">
        <w:rPr>
          <w:sz w:val="22"/>
          <w:szCs w:val="22"/>
          <w:shd w:val="clear" w:color="auto" w:fill="FFFFFF"/>
          <w:lang w:val="en-GB"/>
        </w:rPr>
        <w:t xml:space="preserve"> </w:t>
      </w:r>
      <w:r w:rsidRPr="00F26A3E">
        <w:rPr>
          <w:sz w:val="22"/>
          <w:szCs w:val="22"/>
          <w:shd w:val="clear" w:color="auto" w:fill="FFFFFF"/>
          <w:lang w:val="en-GB"/>
        </w:rPr>
        <w:t>stereotype</w:t>
      </w:r>
      <w:r w:rsidR="006B6676">
        <w:rPr>
          <w:sz w:val="22"/>
          <w:szCs w:val="22"/>
          <w:shd w:val="clear" w:color="auto" w:fill="FFFFFF"/>
          <w:lang w:val="en-GB"/>
        </w:rPr>
        <w:t xml:space="preserve"> </w:t>
      </w:r>
      <w:r w:rsidRPr="00F26A3E">
        <w:rPr>
          <w:sz w:val="22"/>
          <w:szCs w:val="22"/>
          <w:shd w:val="clear" w:color="auto" w:fill="FFFFFF"/>
          <w:lang w:val="en-GB"/>
        </w:rPr>
        <w:t>by</w:t>
      </w:r>
      <w:r w:rsidR="006B6676">
        <w:rPr>
          <w:sz w:val="22"/>
          <w:szCs w:val="22"/>
          <w:shd w:val="clear" w:color="auto" w:fill="FFFFFF"/>
          <w:lang w:val="en-GB"/>
        </w:rPr>
        <w:t xml:space="preserve"> </w:t>
      </w:r>
      <w:r w:rsidRPr="00F26A3E">
        <w:rPr>
          <w:sz w:val="22"/>
          <w:szCs w:val="22"/>
          <w:shd w:val="clear" w:color="auto" w:fill="FFFFFF"/>
          <w:lang w:val="en-GB"/>
        </w:rPr>
        <w:t>featuring</w:t>
      </w:r>
      <w:r w:rsidR="006B6676">
        <w:rPr>
          <w:sz w:val="22"/>
          <w:szCs w:val="22"/>
          <w:shd w:val="clear" w:color="auto" w:fill="FFFFFF"/>
          <w:lang w:val="en-GB"/>
        </w:rPr>
        <w:t xml:space="preserve"> </w:t>
      </w:r>
      <w:r w:rsidRPr="00F26A3E">
        <w:rPr>
          <w:sz w:val="22"/>
          <w:szCs w:val="22"/>
          <w:shd w:val="clear" w:color="auto" w:fill="FFFFFF"/>
          <w:lang w:val="en-GB"/>
        </w:rPr>
        <w:t>women</w:t>
      </w:r>
      <w:r w:rsidR="006B6676">
        <w:rPr>
          <w:sz w:val="22"/>
          <w:szCs w:val="22"/>
          <w:shd w:val="clear" w:color="auto" w:fill="FFFFFF"/>
          <w:lang w:val="en-GB"/>
        </w:rPr>
        <w:t xml:space="preserve"> </w:t>
      </w:r>
      <w:r w:rsidRPr="00F26A3E">
        <w:rPr>
          <w:sz w:val="22"/>
          <w:szCs w:val="22"/>
          <w:shd w:val="clear" w:color="auto" w:fill="FFFFFF"/>
          <w:lang w:val="en-GB"/>
        </w:rPr>
        <w:t>riders</w:t>
      </w:r>
      <w:r>
        <w:rPr>
          <w:sz w:val="22"/>
          <w:szCs w:val="22"/>
          <w:shd w:val="clear" w:color="auto" w:fill="FFFFFF"/>
          <w:lang w:val="en-GB"/>
        </w:rPr>
        <w:t>.</w:t>
      </w:r>
      <w:r w:rsidRPr="00F26A3E">
        <w:rPr>
          <w:sz w:val="22"/>
          <w:szCs w:val="22"/>
          <w:shd w:val="clear" w:color="auto" w:fill="FFFFFF"/>
          <w:vertAlign w:val="superscript"/>
          <w:lang w:val="en-GB"/>
        </w:rPr>
        <w:endnoteReference w:id="63"/>
      </w:r>
      <w:r w:rsidR="006B6676">
        <w:rPr>
          <w:sz w:val="22"/>
          <w:szCs w:val="22"/>
          <w:shd w:val="clear" w:color="auto" w:fill="FFFFFF"/>
          <w:lang w:val="en-GB"/>
        </w:rPr>
        <w:t xml:space="preserve"> </w:t>
      </w:r>
      <w:r>
        <w:rPr>
          <w:sz w:val="22"/>
          <w:szCs w:val="22"/>
          <w:lang w:val="en-GB"/>
        </w:rPr>
        <w:t>One</w:t>
      </w:r>
      <w:r w:rsidR="006B6676">
        <w:rPr>
          <w:sz w:val="22"/>
          <w:szCs w:val="22"/>
          <w:lang w:val="en-GB"/>
        </w:rPr>
        <w:t xml:space="preserve"> </w:t>
      </w:r>
      <w:r>
        <w:rPr>
          <w:sz w:val="22"/>
          <w:szCs w:val="22"/>
          <w:lang w:val="en-GB"/>
        </w:rPr>
        <w:t>commercial</w:t>
      </w:r>
      <w:r w:rsidR="006B6676">
        <w:rPr>
          <w:sz w:val="22"/>
          <w:szCs w:val="22"/>
          <w:lang w:val="en-GB"/>
        </w:rPr>
        <w:t xml:space="preserve"> </w:t>
      </w:r>
      <w:r>
        <w:rPr>
          <w:sz w:val="22"/>
          <w:szCs w:val="22"/>
          <w:lang w:val="en-GB"/>
        </w:rPr>
        <w:t>depicted</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young</w:t>
      </w:r>
      <w:r w:rsidR="006B6676">
        <w:rPr>
          <w:sz w:val="22"/>
          <w:szCs w:val="22"/>
          <w:lang w:val="en-GB"/>
        </w:rPr>
        <w:t xml:space="preserve"> </w:t>
      </w:r>
      <w:r w:rsidRPr="00F26A3E">
        <w:rPr>
          <w:sz w:val="22"/>
          <w:szCs w:val="22"/>
          <w:lang w:val="en-GB"/>
        </w:rPr>
        <w:t>woman</w:t>
      </w:r>
      <w:r w:rsidR="006B6676">
        <w:rPr>
          <w:sz w:val="22"/>
          <w:szCs w:val="22"/>
          <w:lang w:val="en-GB"/>
        </w:rPr>
        <w:t xml:space="preserve"> </w:t>
      </w:r>
      <w:r w:rsidRPr="00F26A3E">
        <w:rPr>
          <w:sz w:val="22"/>
          <w:szCs w:val="22"/>
          <w:lang w:val="en-GB"/>
        </w:rPr>
        <w:t>leaving</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library</w:t>
      </w:r>
      <w:r w:rsidR="006B6676">
        <w:rPr>
          <w:sz w:val="22"/>
          <w:szCs w:val="22"/>
          <w:lang w:val="en-GB"/>
        </w:rPr>
        <w:t xml:space="preserve"> </w:t>
      </w:r>
      <w:r>
        <w:rPr>
          <w:sz w:val="22"/>
          <w:szCs w:val="22"/>
          <w:lang w:val="en-GB"/>
        </w:rPr>
        <w:t>after</w:t>
      </w:r>
      <w:r w:rsidR="006B6676">
        <w:rPr>
          <w:sz w:val="22"/>
          <w:szCs w:val="22"/>
          <w:lang w:val="en-GB"/>
        </w:rPr>
        <w:t xml:space="preserve"> </w:t>
      </w:r>
      <w:r>
        <w:rPr>
          <w:sz w:val="22"/>
          <w:szCs w:val="22"/>
          <w:lang w:val="en-GB"/>
        </w:rPr>
        <w:t>dark</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walking</w:t>
      </w:r>
      <w:r w:rsidR="006B6676">
        <w:rPr>
          <w:sz w:val="22"/>
          <w:szCs w:val="22"/>
          <w:lang w:val="en-GB"/>
        </w:rPr>
        <w:t xml:space="preserve"> </w:t>
      </w:r>
      <w:r>
        <w:rPr>
          <w:sz w:val="22"/>
          <w:szCs w:val="22"/>
          <w:lang w:val="en-GB"/>
        </w:rPr>
        <w:t>toward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where</w:t>
      </w:r>
      <w:r w:rsidR="006B6676">
        <w:rPr>
          <w:sz w:val="22"/>
          <w:szCs w:val="22"/>
          <w:lang w:val="en-GB"/>
        </w:rPr>
        <w:t xml:space="preserve"> </w:t>
      </w:r>
      <w:r>
        <w:rPr>
          <w:sz w:val="22"/>
          <w:szCs w:val="22"/>
          <w:lang w:val="en-GB"/>
        </w:rPr>
        <w:t>she</w:t>
      </w:r>
      <w:r w:rsidR="006B6676">
        <w:rPr>
          <w:sz w:val="22"/>
          <w:szCs w:val="22"/>
          <w:lang w:val="en-GB"/>
        </w:rPr>
        <w:t xml:space="preserve"> </w:t>
      </w:r>
      <w:r w:rsidRPr="00F26A3E">
        <w:rPr>
          <w:sz w:val="22"/>
          <w:szCs w:val="22"/>
          <w:lang w:val="en-GB"/>
        </w:rPr>
        <w:t>ask</w:t>
      </w:r>
      <w:r>
        <w:rPr>
          <w:sz w:val="22"/>
          <w:szCs w:val="22"/>
          <w:lang w:val="en-GB"/>
        </w:rPr>
        <w:t>ed</w:t>
      </w:r>
      <w:r w:rsidR="006B6676">
        <w:rPr>
          <w:sz w:val="22"/>
          <w:szCs w:val="22"/>
          <w:lang w:val="en-GB"/>
        </w:rPr>
        <w:t xml:space="preserve"> </w:t>
      </w:r>
      <w:r w:rsidRPr="00F26A3E">
        <w:rPr>
          <w:sz w:val="22"/>
          <w:szCs w:val="22"/>
          <w:lang w:val="en-GB"/>
        </w:rPr>
        <w:t>three</w:t>
      </w:r>
      <w:r w:rsidR="006B6676">
        <w:rPr>
          <w:sz w:val="22"/>
          <w:szCs w:val="22"/>
          <w:lang w:val="en-GB"/>
        </w:rPr>
        <w:t xml:space="preserve"> </w:t>
      </w:r>
      <w:r w:rsidRPr="00F26A3E">
        <w:rPr>
          <w:sz w:val="22"/>
          <w:szCs w:val="22"/>
          <w:lang w:val="en-GB"/>
        </w:rPr>
        <w:t>men</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st</w:t>
      </w:r>
      <w:r>
        <w:rPr>
          <w:sz w:val="22"/>
          <w:szCs w:val="22"/>
          <w:lang w:val="en-GB"/>
        </w:rPr>
        <w:t>ep</w:t>
      </w:r>
      <w:r w:rsidR="006B6676">
        <w:rPr>
          <w:sz w:val="22"/>
          <w:szCs w:val="22"/>
          <w:lang w:val="en-GB"/>
        </w:rPr>
        <w:t xml:space="preserve"> </w:t>
      </w:r>
      <w:r w:rsidRPr="00F26A3E">
        <w:rPr>
          <w:sz w:val="22"/>
          <w:szCs w:val="22"/>
          <w:lang w:val="en-GB"/>
        </w:rPr>
        <w:t>aside</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her</w:t>
      </w:r>
      <w:r w:rsidR="006B6676">
        <w:rPr>
          <w:sz w:val="22"/>
          <w:szCs w:val="22"/>
          <w:lang w:val="en-GB"/>
        </w:rPr>
        <w:t xml:space="preserve"> </w:t>
      </w:r>
      <w:r w:rsidRPr="00F26A3E">
        <w:rPr>
          <w:sz w:val="22"/>
          <w:szCs w:val="22"/>
          <w:lang w:val="en-GB"/>
        </w:rPr>
        <w:t>Bullet</w:t>
      </w:r>
      <w:r w:rsidR="006B6676">
        <w:rPr>
          <w:sz w:val="22"/>
          <w:szCs w:val="22"/>
          <w:lang w:val="en-GB"/>
        </w:rPr>
        <w:t xml:space="preserve"> </w:t>
      </w:r>
      <w:r w:rsidRPr="00F26A3E">
        <w:rPr>
          <w:sz w:val="22"/>
          <w:szCs w:val="22"/>
          <w:lang w:val="en-GB"/>
        </w:rPr>
        <w:t>350</w:t>
      </w:r>
      <w:r w:rsidR="006B6676">
        <w:rPr>
          <w:sz w:val="22"/>
          <w:szCs w:val="22"/>
          <w:lang w:val="en-GB"/>
        </w:rPr>
        <w:t xml:space="preserve"> </w:t>
      </w:r>
      <w:r>
        <w:rPr>
          <w:sz w:val="22"/>
          <w:szCs w:val="22"/>
          <w:lang w:val="en-GB"/>
        </w:rPr>
        <w:t>before</w:t>
      </w:r>
      <w:r w:rsidR="006B6676">
        <w:rPr>
          <w:sz w:val="22"/>
          <w:szCs w:val="22"/>
          <w:lang w:val="en-GB"/>
        </w:rPr>
        <w:t xml:space="preserve"> </w:t>
      </w:r>
      <w:r w:rsidRPr="00F26A3E">
        <w:rPr>
          <w:sz w:val="22"/>
          <w:szCs w:val="22"/>
          <w:lang w:val="en-GB"/>
        </w:rPr>
        <w:t>confidently</w:t>
      </w:r>
      <w:r w:rsidR="006B6676">
        <w:rPr>
          <w:sz w:val="22"/>
          <w:szCs w:val="22"/>
          <w:lang w:val="en-GB"/>
        </w:rPr>
        <w:t xml:space="preserve"> </w:t>
      </w:r>
      <w:r w:rsidRPr="00F26A3E">
        <w:rPr>
          <w:sz w:val="22"/>
          <w:szCs w:val="22"/>
          <w:lang w:val="en-GB"/>
        </w:rPr>
        <w:t>r</w:t>
      </w:r>
      <w:r>
        <w:rPr>
          <w:sz w:val="22"/>
          <w:szCs w:val="22"/>
          <w:lang w:val="en-GB"/>
        </w:rPr>
        <w:t>iding</w:t>
      </w:r>
      <w:r w:rsidR="006B6676">
        <w:rPr>
          <w:sz w:val="22"/>
          <w:szCs w:val="22"/>
          <w:lang w:val="en-GB"/>
        </w:rPr>
        <w:t xml:space="preserve"> </w:t>
      </w:r>
      <w:r>
        <w:rPr>
          <w:sz w:val="22"/>
          <w:szCs w:val="22"/>
          <w:lang w:val="en-GB"/>
        </w:rPr>
        <w:t>away</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brightly-lit</w:t>
      </w:r>
      <w:r w:rsidR="006B6676">
        <w:rPr>
          <w:sz w:val="22"/>
          <w:szCs w:val="22"/>
          <w:lang w:val="en-GB"/>
        </w:rPr>
        <w:t xml:space="preserve"> </w:t>
      </w:r>
      <w:r>
        <w:rPr>
          <w:sz w:val="22"/>
          <w:szCs w:val="22"/>
          <w:lang w:val="en-GB"/>
        </w:rPr>
        <w:t>open</w:t>
      </w:r>
      <w:r w:rsidR="006B6676">
        <w:rPr>
          <w:sz w:val="22"/>
          <w:szCs w:val="22"/>
          <w:lang w:val="en-GB"/>
        </w:rPr>
        <w:t xml:space="preserve"> </w:t>
      </w:r>
      <w:r w:rsidRPr="00F26A3E">
        <w:rPr>
          <w:sz w:val="22"/>
          <w:szCs w:val="22"/>
          <w:lang w:val="en-GB"/>
        </w:rPr>
        <w:t>road.</w:t>
      </w:r>
    </w:p>
    <w:p w14:paraId="4204997C" w14:textId="77777777" w:rsidR="00CA6A0D" w:rsidRPr="00F26A3E" w:rsidRDefault="00CA6A0D" w:rsidP="00B607FC">
      <w:pPr>
        <w:jc w:val="both"/>
        <w:rPr>
          <w:sz w:val="22"/>
          <w:szCs w:val="22"/>
          <w:lang w:val="en-GB"/>
        </w:rPr>
      </w:pPr>
    </w:p>
    <w:p w14:paraId="458111E6" w14:textId="6986B65C" w:rsidR="00CA6A0D"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worked</w:t>
      </w:r>
      <w:r w:rsidR="006B6676">
        <w:rPr>
          <w:sz w:val="22"/>
          <w:szCs w:val="22"/>
          <w:lang w:val="en-GB"/>
        </w:rPr>
        <w:t xml:space="preserve"> </w:t>
      </w:r>
      <w:r>
        <w:rPr>
          <w:sz w:val="22"/>
          <w:szCs w:val="22"/>
          <w:lang w:val="en-GB"/>
        </w:rPr>
        <w:t>hard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provide</w:t>
      </w:r>
      <w:r w:rsidR="006B6676">
        <w:rPr>
          <w:sz w:val="22"/>
          <w:szCs w:val="22"/>
          <w:lang w:val="en-GB"/>
        </w:rPr>
        <w:t xml:space="preserve"> </w:t>
      </w:r>
      <w:r w:rsidR="00AE6E8A">
        <w:rPr>
          <w:sz w:val="22"/>
          <w:szCs w:val="22"/>
          <w:lang w:val="en-GB"/>
        </w:rPr>
        <w:t>a</w:t>
      </w:r>
      <w:r w:rsidR="006B6676">
        <w:rPr>
          <w:sz w:val="22"/>
          <w:szCs w:val="22"/>
          <w:lang w:val="en-GB"/>
        </w:rPr>
        <w:t xml:space="preserve"> </w:t>
      </w:r>
      <w:r w:rsidRPr="00F26A3E">
        <w:rPr>
          <w:sz w:val="22"/>
          <w:szCs w:val="22"/>
          <w:lang w:val="en-GB"/>
        </w:rPr>
        <w:t>superior</w:t>
      </w:r>
      <w:r w:rsidR="006B6676">
        <w:rPr>
          <w:sz w:val="22"/>
          <w:szCs w:val="22"/>
          <w:lang w:val="en-GB"/>
        </w:rPr>
        <w:t xml:space="preserve"> </w:t>
      </w:r>
      <w:r w:rsidRPr="00F26A3E">
        <w:rPr>
          <w:sz w:val="22"/>
          <w:szCs w:val="22"/>
          <w:lang w:val="en-GB"/>
        </w:rPr>
        <w:t>customer</w:t>
      </w:r>
      <w:r w:rsidR="006B6676">
        <w:rPr>
          <w:sz w:val="22"/>
          <w:szCs w:val="22"/>
          <w:lang w:val="en-GB"/>
        </w:rPr>
        <w:t xml:space="preserve"> </w:t>
      </w:r>
      <w:r w:rsidRPr="00F26A3E">
        <w:rPr>
          <w:sz w:val="22"/>
          <w:szCs w:val="22"/>
          <w:lang w:val="en-GB"/>
        </w:rPr>
        <w:t>experienc</w:t>
      </w:r>
      <w:r>
        <w:rPr>
          <w:sz w:val="22"/>
          <w:szCs w:val="22"/>
          <w:lang w:val="en-GB"/>
        </w:rPr>
        <w:t>e,</w:t>
      </w:r>
      <w:r w:rsidR="006B6676">
        <w:rPr>
          <w:sz w:val="22"/>
          <w:szCs w:val="22"/>
          <w:lang w:val="en-GB"/>
        </w:rPr>
        <w:t xml:space="preserve"> </w:t>
      </w:r>
      <w:r>
        <w:rPr>
          <w:sz w:val="22"/>
          <w:szCs w:val="22"/>
          <w:lang w:val="en-GB"/>
        </w:rPr>
        <w:t>which</w:t>
      </w:r>
      <w:r w:rsidR="006B6676">
        <w:rPr>
          <w:sz w:val="22"/>
          <w:szCs w:val="22"/>
          <w:lang w:val="en-GB"/>
        </w:rPr>
        <w:t xml:space="preserve"> </w:t>
      </w:r>
      <w:r w:rsidRPr="00F26A3E">
        <w:rPr>
          <w:sz w:val="22"/>
          <w:szCs w:val="22"/>
          <w:lang w:val="en-GB"/>
        </w:rPr>
        <w:t>result</w:t>
      </w:r>
      <w:r>
        <w:rPr>
          <w:sz w:val="22"/>
          <w:szCs w:val="22"/>
          <w:lang w:val="en-GB"/>
        </w:rPr>
        <w:t>ed</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highly</w:t>
      </w:r>
      <w:r w:rsidR="006B6676">
        <w:rPr>
          <w:sz w:val="22"/>
          <w:szCs w:val="22"/>
          <w:lang w:val="en-GB"/>
        </w:rPr>
        <w:t xml:space="preserve"> </w:t>
      </w:r>
      <w:r>
        <w:rPr>
          <w:sz w:val="22"/>
          <w:szCs w:val="22"/>
          <w:lang w:val="en-GB"/>
        </w:rPr>
        <w:t>coveted</w:t>
      </w:r>
      <w:r w:rsidR="006B6676">
        <w:rPr>
          <w:sz w:val="22"/>
          <w:szCs w:val="22"/>
          <w:lang w:val="en-GB"/>
        </w:rPr>
        <w:t xml:space="preserve"> </w:t>
      </w:r>
      <w:r w:rsidRPr="00F26A3E">
        <w:rPr>
          <w:sz w:val="22"/>
          <w:szCs w:val="22"/>
          <w:lang w:val="en-GB"/>
        </w:rPr>
        <w:t>positive</w:t>
      </w:r>
      <w:r w:rsidR="006B6676">
        <w:rPr>
          <w:sz w:val="22"/>
          <w:szCs w:val="22"/>
          <w:lang w:val="en-GB"/>
        </w:rPr>
        <w:t xml:space="preserve"> </w:t>
      </w:r>
      <w:r w:rsidRPr="00F26A3E">
        <w:rPr>
          <w:sz w:val="22"/>
          <w:szCs w:val="22"/>
          <w:lang w:val="en-GB"/>
        </w:rPr>
        <w:t>word-of-mouth</w:t>
      </w:r>
      <w:r w:rsidR="006B6676">
        <w:rPr>
          <w:sz w:val="22"/>
          <w:szCs w:val="22"/>
          <w:lang w:val="en-GB"/>
        </w:rPr>
        <w:t xml:space="preserve"> </w:t>
      </w:r>
      <w:r>
        <w:rPr>
          <w:sz w:val="22"/>
          <w:szCs w:val="22"/>
          <w:lang w:val="en-GB"/>
        </w:rPr>
        <w:t>promotion</w:t>
      </w:r>
      <w:r w:rsidR="006B6676">
        <w:rPr>
          <w:sz w:val="22"/>
          <w:szCs w:val="22"/>
          <w:lang w:val="en-GB"/>
        </w:rPr>
        <w:t xml:space="preserve"> </w:t>
      </w:r>
      <w:r>
        <w:rPr>
          <w:sz w:val="22"/>
          <w:szCs w:val="22"/>
          <w:lang w:val="en-GB"/>
        </w:rPr>
        <w:t>among</w:t>
      </w:r>
      <w:r w:rsidR="006B6676">
        <w:rPr>
          <w:sz w:val="22"/>
          <w:szCs w:val="22"/>
          <w:lang w:val="en-GB"/>
        </w:rPr>
        <w:t xml:space="preserve"> </w:t>
      </w:r>
      <w:r w:rsidRPr="00F26A3E">
        <w:rPr>
          <w:sz w:val="22"/>
          <w:szCs w:val="22"/>
          <w:lang w:val="en-GB"/>
        </w:rPr>
        <w:t>customers</w:t>
      </w:r>
      <w:r>
        <w:rPr>
          <w:sz w:val="22"/>
          <w:szCs w:val="22"/>
          <w:lang w:val="en-GB"/>
        </w:rPr>
        <w:t>.</w:t>
      </w:r>
      <w:r w:rsidRPr="00F26A3E">
        <w:rPr>
          <w:sz w:val="22"/>
          <w:szCs w:val="22"/>
          <w:vertAlign w:val="superscript"/>
          <w:lang w:val="en-GB"/>
        </w:rPr>
        <w:endnoteReference w:id="64"/>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return,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enjoyed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cult</w:t>
      </w:r>
      <w:r w:rsidR="006B6676">
        <w:rPr>
          <w:sz w:val="22"/>
          <w:szCs w:val="22"/>
          <w:lang w:val="en-GB"/>
        </w:rPr>
        <w:t xml:space="preserve"> </w:t>
      </w:r>
      <w:r w:rsidRPr="00F26A3E">
        <w:rPr>
          <w:sz w:val="22"/>
          <w:szCs w:val="22"/>
          <w:lang w:val="en-GB"/>
        </w:rPr>
        <w:t>status</w:t>
      </w:r>
      <w:r w:rsidR="006B6676">
        <w:rPr>
          <w:sz w:val="22"/>
          <w:szCs w:val="22"/>
          <w:lang w:val="en-GB"/>
        </w:rPr>
        <w:t xml:space="preserve"> </w:t>
      </w:r>
      <w:r>
        <w:rPr>
          <w:sz w:val="22"/>
          <w:szCs w:val="22"/>
          <w:lang w:val="en-GB"/>
        </w:rPr>
        <w:t>among</w:t>
      </w:r>
      <w:r w:rsidR="006B6676">
        <w:rPr>
          <w:sz w:val="22"/>
          <w:szCs w:val="22"/>
          <w:lang w:val="en-GB"/>
        </w:rPr>
        <w:t xml:space="preserve"> </w:t>
      </w:r>
      <w:r w:rsidRPr="00F26A3E">
        <w:rPr>
          <w:sz w:val="22"/>
          <w:szCs w:val="22"/>
          <w:lang w:val="en-GB"/>
        </w:rPr>
        <w:t>India</w:t>
      </w:r>
      <w:r>
        <w:rPr>
          <w:sz w:val="22"/>
          <w:szCs w:val="22"/>
          <w:lang w:val="en-GB"/>
        </w:rPr>
        <w:t>’s</w:t>
      </w:r>
      <w:r w:rsidR="006B6676">
        <w:rPr>
          <w:sz w:val="22"/>
          <w:szCs w:val="22"/>
          <w:lang w:val="en-GB"/>
        </w:rPr>
        <w:t xml:space="preserve"> </w:t>
      </w:r>
      <w:r>
        <w:rPr>
          <w:sz w:val="22"/>
          <w:szCs w:val="22"/>
          <w:lang w:val="en-GB"/>
        </w:rPr>
        <w:t>dedicated</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riders</w:t>
      </w:r>
      <w:r w:rsidRPr="00F26A3E">
        <w:rPr>
          <w:sz w:val="22"/>
          <w:szCs w:val="22"/>
          <w:lang w:val="en-GB"/>
        </w:rPr>
        <w:t>.</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example,</w:t>
      </w:r>
      <w:r w:rsidR="006B6676">
        <w:rPr>
          <w:sz w:val="22"/>
          <w:szCs w:val="22"/>
          <w:lang w:val="en-GB"/>
        </w:rPr>
        <w:t xml:space="preserve"> </w:t>
      </w:r>
      <w:r>
        <w:rPr>
          <w:sz w:val="22"/>
          <w:szCs w:val="22"/>
          <w:lang w:val="en-GB"/>
        </w:rPr>
        <w:t>all</w:t>
      </w:r>
      <w:r w:rsidR="006B6676">
        <w:rPr>
          <w:sz w:val="22"/>
          <w:szCs w:val="22"/>
          <w:lang w:val="en-GB"/>
        </w:rPr>
        <w:t xml:space="preserve"> </w:t>
      </w:r>
      <w:r w:rsidRPr="00F26A3E">
        <w:rPr>
          <w:sz w:val="22"/>
          <w:szCs w:val="22"/>
          <w:lang w:val="en-GB"/>
        </w:rPr>
        <w:t>250</w:t>
      </w:r>
      <w:r w:rsidR="006B6676">
        <w:rPr>
          <w:sz w:val="22"/>
          <w:szCs w:val="22"/>
          <w:lang w:val="en-GB"/>
        </w:rPr>
        <w:t xml:space="preserve"> </w:t>
      </w:r>
      <w:r>
        <w:rPr>
          <w:sz w:val="22"/>
          <w:szCs w:val="22"/>
          <w:lang w:val="en-GB"/>
        </w:rPr>
        <w:t>units</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sidRPr="00F26A3E">
        <w:rPr>
          <w:sz w:val="22"/>
          <w:szCs w:val="22"/>
          <w:lang w:val="en-GB"/>
        </w:rPr>
        <w:t>edition</w:t>
      </w:r>
      <w:r w:rsidR="006B6676">
        <w:rPr>
          <w:sz w:val="22"/>
          <w:szCs w:val="22"/>
          <w:lang w:val="en-GB"/>
        </w:rPr>
        <w:t xml:space="preserve"> </w:t>
      </w:r>
      <w:r w:rsidRPr="00F26A3E">
        <w:rPr>
          <w:sz w:val="22"/>
          <w:szCs w:val="22"/>
          <w:lang w:val="en-GB"/>
        </w:rPr>
        <w:t>Classic</w:t>
      </w:r>
      <w:r w:rsidR="006B6676">
        <w:rPr>
          <w:sz w:val="22"/>
          <w:szCs w:val="22"/>
          <w:lang w:val="en-GB"/>
        </w:rPr>
        <w:t xml:space="preserve"> </w:t>
      </w:r>
      <w:r w:rsidRPr="00F26A3E">
        <w:rPr>
          <w:sz w:val="22"/>
          <w:szCs w:val="22"/>
          <w:lang w:val="en-GB"/>
        </w:rPr>
        <w:t>500</w:t>
      </w:r>
      <w:r w:rsidR="006B6676">
        <w:rPr>
          <w:sz w:val="22"/>
          <w:szCs w:val="22"/>
          <w:lang w:val="en-GB"/>
        </w:rPr>
        <w:t xml:space="preserve"> </w:t>
      </w:r>
      <w:r w:rsidR="00A93740" w:rsidRPr="00F26A3E">
        <w:rPr>
          <w:sz w:val="22"/>
          <w:szCs w:val="22"/>
          <w:lang w:val="en-GB"/>
        </w:rPr>
        <w:t>Pegasus</w:t>
      </w:r>
      <w:r w:rsidR="006B6676">
        <w:rPr>
          <w:sz w:val="22"/>
          <w:szCs w:val="22"/>
          <w:lang w:val="en-GB"/>
        </w:rPr>
        <w:t xml:space="preserve"> </w:t>
      </w:r>
      <w:r w:rsidR="00A93740">
        <w:rPr>
          <w:sz w:val="22"/>
          <w:szCs w:val="22"/>
          <w:lang w:val="en-GB"/>
        </w:rPr>
        <w:t>were</w:t>
      </w:r>
      <w:r w:rsidR="006B6676">
        <w:rPr>
          <w:sz w:val="22"/>
          <w:szCs w:val="22"/>
          <w:lang w:val="en-GB"/>
        </w:rPr>
        <w:t xml:space="preserve"> </w:t>
      </w:r>
      <w:r w:rsidRPr="00F26A3E">
        <w:rPr>
          <w:sz w:val="22"/>
          <w:szCs w:val="22"/>
          <w:lang w:val="en-GB"/>
        </w:rPr>
        <w:t>sold</w:t>
      </w:r>
      <w:r w:rsidR="006B6676">
        <w:rPr>
          <w:sz w:val="22"/>
          <w:szCs w:val="22"/>
          <w:lang w:val="en-GB"/>
        </w:rPr>
        <w:t xml:space="preserve"> </w:t>
      </w:r>
      <w:r w:rsidRPr="00F26A3E">
        <w:rPr>
          <w:sz w:val="22"/>
          <w:szCs w:val="22"/>
          <w:lang w:val="en-GB"/>
        </w:rPr>
        <w:t>out</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less</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180</w:t>
      </w:r>
      <w:r w:rsidR="006B6676">
        <w:rPr>
          <w:sz w:val="22"/>
          <w:szCs w:val="22"/>
          <w:lang w:val="en-GB"/>
        </w:rPr>
        <w:t xml:space="preserve"> </w:t>
      </w:r>
      <w:r w:rsidRPr="00F26A3E">
        <w:rPr>
          <w:sz w:val="22"/>
          <w:szCs w:val="22"/>
          <w:lang w:val="en-GB"/>
        </w:rPr>
        <w:t>seconds.</w:t>
      </w:r>
      <w:r w:rsidRPr="00F26A3E">
        <w:rPr>
          <w:sz w:val="22"/>
          <w:szCs w:val="22"/>
          <w:vertAlign w:val="superscript"/>
          <w:lang w:val="en-GB"/>
        </w:rPr>
        <w:endnoteReference w:id="65"/>
      </w:r>
    </w:p>
    <w:p w14:paraId="039874F5" w14:textId="77777777" w:rsidR="00CA6A0D" w:rsidRDefault="00CA6A0D" w:rsidP="00B607FC">
      <w:pPr>
        <w:jc w:val="both"/>
        <w:rPr>
          <w:sz w:val="22"/>
          <w:szCs w:val="22"/>
          <w:lang w:val="en-GB"/>
        </w:rPr>
      </w:pPr>
    </w:p>
    <w:p w14:paraId="104B7E28" w14:textId="4D2E869B" w:rsidR="00AE6E8A" w:rsidRDefault="00CA6A0D" w:rsidP="00485BE6">
      <w:pPr>
        <w:pStyle w:val="BodyTextMain"/>
        <w:rPr>
          <w:lang w:val="en-GB"/>
        </w:rPr>
      </w:pPr>
      <w:r>
        <w:rPr>
          <w:lang w:val="en-GB"/>
        </w:rPr>
        <w:t>The</w:t>
      </w:r>
      <w:r w:rsidR="006B6676">
        <w:rPr>
          <w:lang w:val="en-GB"/>
        </w:rPr>
        <w:t xml:space="preserve"> </w:t>
      </w:r>
      <w:r>
        <w:rPr>
          <w:lang w:val="en-GB"/>
        </w:rPr>
        <w:t>company</w:t>
      </w:r>
      <w:r w:rsidR="006B6676">
        <w:rPr>
          <w:lang w:val="en-GB"/>
        </w:rPr>
        <w:t xml:space="preserve"> </w:t>
      </w:r>
      <w:r>
        <w:rPr>
          <w:lang w:val="en-GB"/>
        </w:rPr>
        <w:t>also</w:t>
      </w:r>
      <w:r w:rsidR="006B6676">
        <w:rPr>
          <w:lang w:val="en-GB"/>
        </w:rPr>
        <w:t xml:space="preserve"> </w:t>
      </w:r>
      <w:r>
        <w:rPr>
          <w:lang w:val="en-GB"/>
        </w:rPr>
        <w:t>promoted</w:t>
      </w:r>
      <w:r w:rsidR="006B6676">
        <w:rPr>
          <w:lang w:val="en-GB"/>
        </w:rPr>
        <w:t xml:space="preserve"> </w:t>
      </w:r>
      <w:r>
        <w:rPr>
          <w:lang w:val="en-GB"/>
        </w:rPr>
        <w:t>motorcycle</w:t>
      </w:r>
      <w:r w:rsidR="006B6676">
        <w:rPr>
          <w:lang w:val="en-GB"/>
        </w:rPr>
        <w:t xml:space="preserve"> </w:t>
      </w:r>
      <w:r>
        <w:rPr>
          <w:lang w:val="en-GB"/>
        </w:rPr>
        <w:t>riding</w:t>
      </w:r>
      <w:r w:rsidR="006B6676">
        <w:rPr>
          <w:lang w:val="en-GB"/>
        </w:rPr>
        <w:t xml:space="preserve"> </w:t>
      </w:r>
      <w:r>
        <w:rPr>
          <w:lang w:val="en-GB"/>
        </w:rPr>
        <w:t>in</w:t>
      </w:r>
      <w:r w:rsidR="006B6676">
        <w:rPr>
          <w:lang w:val="en-GB"/>
        </w:rPr>
        <w:t xml:space="preserve"> </w:t>
      </w:r>
      <w:r>
        <w:rPr>
          <w:lang w:val="en-GB"/>
        </w:rPr>
        <w:t>the</w:t>
      </w:r>
      <w:r w:rsidR="006B6676">
        <w:rPr>
          <w:lang w:val="en-GB"/>
        </w:rPr>
        <w:t xml:space="preserve"> </w:t>
      </w:r>
      <w:r w:rsidR="00A93740">
        <w:rPr>
          <w:lang w:val="en-GB"/>
        </w:rPr>
        <w:t>community.</w:t>
      </w:r>
      <w:r w:rsidR="006B6676">
        <w:rPr>
          <w:lang w:val="en-GB"/>
        </w:rPr>
        <w:t xml:space="preserve"> </w:t>
      </w:r>
      <w:r w:rsidR="00A93740">
        <w:rPr>
          <w:lang w:val="en-GB"/>
        </w:rPr>
        <w:t>Royal</w:t>
      </w:r>
      <w:r w:rsidR="006B6676">
        <w:rPr>
          <w:lang w:val="en-GB"/>
        </w:rPr>
        <w:t xml:space="preserve"> </w:t>
      </w:r>
      <w:r>
        <w:rPr>
          <w:lang w:val="en-GB"/>
        </w:rPr>
        <w:t>Enfield</w:t>
      </w:r>
      <w:r w:rsidR="006B6676">
        <w:rPr>
          <w:lang w:val="en-GB"/>
        </w:rPr>
        <w:t xml:space="preserve"> </w:t>
      </w:r>
      <w:r w:rsidRPr="00F26A3E">
        <w:rPr>
          <w:lang w:val="en-GB"/>
        </w:rPr>
        <w:t>organized</w:t>
      </w:r>
      <w:r w:rsidR="006B6676">
        <w:rPr>
          <w:lang w:val="en-GB"/>
        </w:rPr>
        <w:t xml:space="preserve"> </w:t>
      </w:r>
      <w:r w:rsidRPr="00F26A3E">
        <w:rPr>
          <w:lang w:val="en-GB"/>
        </w:rPr>
        <w:t>various</w:t>
      </w:r>
      <w:r w:rsidR="006B6676">
        <w:rPr>
          <w:lang w:val="en-GB"/>
        </w:rPr>
        <w:t xml:space="preserve"> </w:t>
      </w:r>
      <w:r w:rsidRPr="00F26A3E">
        <w:rPr>
          <w:lang w:val="en-GB"/>
        </w:rPr>
        <w:t>marquee</w:t>
      </w:r>
      <w:r w:rsidR="006B6676">
        <w:rPr>
          <w:lang w:val="en-GB"/>
        </w:rPr>
        <w:t xml:space="preserve"> </w:t>
      </w:r>
      <w:r w:rsidRPr="00F26A3E">
        <w:rPr>
          <w:lang w:val="en-GB"/>
        </w:rPr>
        <w:t>rides</w:t>
      </w:r>
      <w:r w:rsidR="006B6676">
        <w:rPr>
          <w:lang w:val="en-GB"/>
        </w:rPr>
        <w:t xml:space="preserve"> </w:t>
      </w:r>
      <w:r w:rsidRPr="00F26A3E">
        <w:rPr>
          <w:lang w:val="en-GB"/>
        </w:rPr>
        <w:t>and</w:t>
      </w:r>
      <w:r w:rsidR="006B6676">
        <w:rPr>
          <w:lang w:val="en-GB"/>
        </w:rPr>
        <w:t xml:space="preserve"> </w:t>
      </w:r>
      <w:r w:rsidRPr="00F26A3E">
        <w:rPr>
          <w:lang w:val="en-GB"/>
        </w:rPr>
        <w:t>events</w:t>
      </w:r>
      <w:r w:rsidR="006B6676">
        <w:rPr>
          <w:lang w:val="en-GB"/>
        </w:rPr>
        <w:t xml:space="preserve"> </w:t>
      </w:r>
      <w:r>
        <w:rPr>
          <w:lang w:val="en-GB"/>
        </w:rPr>
        <w:t>with</w:t>
      </w:r>
      <w:r w:rsidR="006B6676">
        <w:rPr>
          <w:lang w:val="en-GB"/>
        </w:rPr>
        <w:t xml:space="preserve"> </w:t>
      </w:r>
      <w:r>
        <w:rPr>
          <w:lang w:val="en-GB"/>
        </w:rPr>
        <w:t>names</w:t>
      </w:r>
      <w:r w:rsidR="006B6676">
        <w:rPr>
          <w:lang w:val="en-GB"/>
        </w:rPr>
        <w:t xml:space="preserve"> </w:t>
      </w:r>
      <w:r>
        <w:rPr>
          <w:lang w:val="en-GB"/>
        </w:rPr>
        <w:t>such</w:t>
      </w:r>
      <w:r w:rsidR="006B6676">
        <w:rPr>
          <w:lang w:val="en-GB"/>
        </w:rPr>
        <w:t xml:space="preserve"> </w:t>
      </w:r>
      <w:r>
        <w:rPr>
          <w:lang w:val="en-GB"/>
        </w:rPr>
        <w:t>as</w:t>
      </w:r>
      <w:r w:rsidR="006B6676">
        <w:rPr>
          <w:lang w:val="en-GB"/>
        </w:rPr>
        <w:t xml:space="preserve"> </w:t>
      </w:r>
      <w:r w:rsidRPr="00F26A3E">
        <w:rPr>
          <w:lang w:val="en-GB"/>
        </w:rPr>
        <w:t>Chase</w:t>
      </w:r>
      <w:r w:rsidR="006B6676">
        <w:rPr>
          <w:lang w:val="en-GB"/>
        </w:rPr>
        <w:t xml:space="preserve"> </w:t>
      </w:r>
      <w:r w:rsidRPr="00F26A3E">
        <w:rPr>
          <w:lang w:val="en-GB"/>
        </w:rPr>
        <w:t>the</w:t>
      </w:r>
      <w:r w:rsidR="006B6676">
        <w:rPr>
          <w:lang w:val="en-GB"/>
        </w:rPr>
        <w:t xml:space="preserve"> </w:t>
      </w:r>
      <w:r w:rsidRPr="00F26A3E">
        <w:rPr>
          <w:lang w:val="en-GB"/>
        </w:rPr>
        <w:t>Sun,</w:t>
      </w:r>
      <w:r w:rsidR="006B6676">
        <w:rPr>
          <w:lang w:val="en-GB"/>
        </w:rPr>
        <w:t xml:space="preserve"> </w:t>
      </w:r>
      <w:r w:rsidRPr="00F26A3E">
        <w:rPr>
          <w:lang w:val="en-GB"/>
        </w:rPr>
        <w:t>White</w:t>
      </w:r>
      <w:r w:rsidR="006B6676">
        <w:rPr>
          <w:lang w:val="en-GB"/>
        </w:rPr>
        <w:t xml:space="preserve"> </w:t>
      </w:r>
      <w:r w:rsidRPr="00F26A3E">
        <w:rPr>
          <w:lang w:val="en-GB"/>
        </w:rPr>
        <w:t>Out,</w:t>
      </w:r>
      <w:r w:rsidR="006B6676">
        <w:rPr>
          <w:lang w:val="en-GB"/>
        </w:rPr>
        <w:t xml:space="preserve"> </w:t>
      </w:r>
      <w:r w:rsidRPr="00F26A3E">
        <w:rPr>
          <w:lang w:val="en-GB"/>
        </w:rPr>
        <w:t>After</w:t>
      </w:r>
      <w:r w:rsidR="006B6676">
        <w:rPr>
          <w:lang w:val="en-GB"/>
        </w:rPr>
        <w:t xml:space="preserve"> </w:t>
      </w:r>
      <w:r w:rsidRPr="00F26A3E">
        <w:rPr>
          <w:lang w:val="en-GB"/>
        </w:rPr>
        <w:t>Dark,</w:t>
      </w:r>
      <w:r w:rsidR="006B6676">
        <w:rPr>
          <w:lang w:val="en-GB"/>
        </w:rPr>
        <w:t xml:space="preserve"> </w:t>
      </w:r>
      <w:r w:rsidRPr="00F26A3E">
        <w:rPr>
          <w:lang w:val="en-GB"/>
        </w:rPr>
        <w:t>Tour</w:t>
      </w:r>
      <w:r w:rsidR="006B6676">
        <w:rPr>
          <w:lang w:val="en-GB"/>
        </w:rPr>
        <w:t xml:space="preserve"> </w:t>
      </w:r>
      <w:r w:rsidRPr="00F26A3E">
        <w:rPr>
          <w:lang w:val="en-GB"/>
        </w:rPr>
        <w:t>of</w:t>
      </w:r>
      <w:r w:rsidR="006B6676">
        <w:rPr>
          <w:lang w:val="en-GB"/>
        </w:rPr>
        <w:t xml:space="preserve"> </w:t>
      </w:r>
      <w:r w:rsidRPr="00F26A3E">
        <w:rPr>
          <w:lang w:val="en-GB"/>
        </w:rPr>
        <w:t>Rajasthan,</w:t>
      </w:r>
      <w:r w:rsidR="006B6676">
        <w:rPr>
          <w:lang w:val="en-GB"/>
        </w:rPr>
        <w:t xml:space="preserve"> </w:t>
      </w:r>
      <w:r w:rsidRPr="00F26A3E">
        <w:rPr>
          <w:lang w:val="en-GB"/>
        </w:rPr>
        <w:t>and</w:t>
      </w:r>
      <w:r w:rsidR="006B6676">
        <w:rPr>
          <w:lang w:val="en-GB"/>
        </w:rPr>
        <w:t xml:space="preserve"> </w:t>
      </w:r>
      <w:r w:rsidRPr="00F26A3E">
        <w:rPr>
          <w:lang w:val="en-GB"/>
        </w:rPr>
        <w:t>Tour</w:t>
      </w:r>
      <w:r w:rsidR="006B6676">
        <w:rPr>
          <w:lang w:val="en-GB"/>
        </w:rPr>
        <w:t xml:space="preserve"> </w:t>
      </w:r>
      <w:r w:rsidRPr="00F26A3E">
        <w:rPr>
          <w:lang w:val="en-GB"/>
        </w:rPr>
        <w:t>of</w:t>
      </w:r>
      <w:r w:rsidR="006B6676">
        <w:rPr>
          <w:lang w:val="en-GB"/>
        </w:rPr>
        <w:t xml:space="preserve"> </w:t>
      </w:r>
      <w:r w:rsidRPr="00F26A3E">
        <w:rPr>
          <w:lang w:val="en-GB"/>
        </w:rPr>
        <w:t>Bhutan</w:t>
      </w:r>
      <w:r>
        <w:rPr>
          <w:lang w:val="en-GB"/>
        </w:rPr>
        <w:t>.</w:t>
      </w:r>
      <w:r w:rsidRPr="00F26A3E">
        <w:rPr>
          <w:vertAlign w:val="superscript"/>
          <w:lang w:val="en-GB"/>
        </w:rPr>
        <w:endnoteReference w:id="66"/>
      </w:r>
      <w:r w:rsidR="006B6676">
        <w:rPr>
          <w:lang w:val="en-GB"/>
        </w:rPr>
        <w:t xml:space="preserve"> </w:t>
      </w:r>
      <w:r>
        <w:rPr>
          <w:lang w:val="en-GB"/>
        </w:rPr>
        <w:t>The</w:t>
      </w:r>
      <w:r w:rsidR="006B6676">
        <w:rPr>
          <w:lang w:val="en-GB"/>
        </w:rPr>
        <w:t xml:space="preserve"> </w:t>
      </w:r>
      <w:r w:rsidRPr="00F26A3E">
        <w:rPr>
          <w:lang w:val="en-GB"/>
        </w:rPr>
        <w:t>rides</w:t>
      </w:r>
      <w:r w:rsidR="006B6676">
        <w:rPr>
          <w:lang w:val="en-GB"/>
        </w:rPr>
        <w:t xml:space="preserve"> </w:t>
      </w:r>
      <w:r>
        <w:rPr>
          <w:lang w:val="en-GB"/>
        </w:rPr>
        <w:t>challenged</w:t>
      </w:r>
      <w:r w:rsidR="006B6676">
        <w:rPr>
          <w:lang w:val="en-GB"/>
        </w:rPr>
        <w:t xml:space="preserve"> </w:t>
      </w:r>
      <w:r w:rsidRPr="00F26A3E">
        <w:rPr>
          <w:lang w:val="en-GB"/>
        </w:rPr>
        <w:t>riders</w:t>
      </w:r>
      <w:r w:rsidR="006B6676">
        <w:rPr>
          <w:lang w:val="en-GB"/>
        </w:rPr>
        <w:t xml:space="preserve"> </w:t>
      </w:r>
      <w:r w:rsidRPr="00F26A3E">
        <w:rPr>
          <w:lang w:val="en-GB"/>
        </w:rPr>
        <w:t>and</w:t>
      </w:r>
      <w:r w:rsidR="006B6676">
        <w:rPr>
          <w:lang w:val="en-GB"/>
        </w:rPr>
        <w:t xml:space="preserve"> </w:t>
      </w:r>
      <w:r>
        <w:rPr>
          <w:lang w:val="en-GB"/>
        </w:rPr>
        <w:t>their</w:t>
      </w:r>
      <w:r w:rsidR="006B6676">
        <w:rPr>
          <w:lang w:val="en-GB"/>
        </w:rPr>
        <w:t xml:space="preserve"> </w:t>
      </w:r>
      <w:r w:rsidR="00A93740">
        <w:rPr>
          <w:lang w:val="en-GB"/>
        </w:rPr>
        <w:t>motorcycles</w:t>
      </w:r>
      <w:r w:rsidR="006B6676">
        <w:rPr>
          <w:lang w:val="en-GB"/>
        </w:rPr>
        <w:t xml:space="preserve"> </w:t>
      </w:r>
      <w:r w:rsidR="00A93740">
        <w:rPr>
          <w:lang w:val="en-GB"/>
        </w:rPr>
        <w:t>t</w:t>
      </w:r>
      <w:r w:rsidR="00AE6E8A">
        <w:rPr>
          <w:lang w:val="en-GB"/>
        </w:rPr>
        <w:t>o</w:t>
      </w:r>
      <w:r w:rsidR="006B6676">
        <w:rPr>
          <w:lang w:val="en-GB"/>
        </w:rPr>
        <w:t xml:space="preserve"> </w:t>
      </w:r>
      <w:r w:rsidR="00AE6E8A">
        <w:rPr>
          <w:lang w:val="en-GB"/>
        </w:rPr>
        <w:t>t</w:t>
      </w:r>
      <w:r w:rsidR="00A93740">
        <w:rPr>
          <w:lang w:val="en-GB"/>
        </w:rPr>
        <w:t>ackl</w:t>
      </w:r>
      <w:r w:rsidR="00AE6E8A">
        <w:rPr>
          <w:lang w:val="en-GB"/>
        </w:rPr>
        <w:t>e</w:t>
      </w:r>
      <w:r w:rsidR="006B6676">
        <w:rPr>
          <w:lang w:val="en-GB"/>
        </w:rPr>
        <w:t xml:space="preserve"> </w:t>
      </w:r>
      <w:r w:rsidRPr="00F26A3E">
        <w:rPr>
          <w:lang w:val="en-GB"/>
        </w:rPr>
        <w:t>tough</w:t>
      </w:r>
      <w:r w:rsidR="006B6676">
        <w:rPr>
          <w:lang w:val="en-GB"/>
        </w:rPr>
        <w:t xml:space="preserve"> </w:t>
      </w:r>
      <w:r w:rsidRPr="00F26A3E">
        <w:rPr>
          <w:lang w:val="en-GB"/>
        </w:rPr>
        <w:t>terrain</w:t>
      </w:r>
      <w:r>
        <w:rPr>
          <w:lang w:val="en-GB"/>
        </w:rPr>
        <w:t>,</w:t>
      </w:r>
      <w:r w:rsidR="006B6676">
        <w:rPr>
          <w:lang w:val="en-GB"/>
        </w:rPr>
        <w:t xml:space="preserve"> </w:t>
      </w:r>
      <w:r w:rsidR="00A93740">
        <w:rPr>
          <w:lang w:val="en-GB"/>
        </w:rPr>
        <w:t>and</w:t>
      </w:r>
      <w:r w:rsidR="006B6676">
        <w:rPr>
          <w:lang w:val="en-GB"/>
        </w:rPr>
        <w:t xml:space="preserve"> </w:t>
      </w:r>
      <w:r w:rsidR="00A93740">
        <w:rPr>
          <w:lang w:val="en-GB"/>
        </w:rPr>
        <w:t>riders</w:t>
      </w:r>
      <w:r w:rsidR="006B6676">
        <w:rPr>
          <w:lang w:val="en-GB"/>
        </w:rPr>
        <w:t xml:space="preserve"> </w:t>
      </w:r>
      <w:r>
        <w:rPr>
          <w:lang w:val="en-GB"/>
        </w:rPr>
        <w:t>were</w:t>
      </w:r>
      <w:r w:rsidR="006B6676">
        <w:rPr>
          <w:lang w:val="en-GB"/>
        </w:rPr>
        <w:t xml:space="preserve"> </w:t>
      </w:r>
      <w:r w:rsidRPr="00F26A3E">
        <w:rPr>
          <w:lang w:val="en-GB"/>
        </w:rPr>
        <w:t>reward</w:t>
      </w:r>
      <w:r>
        <w:rPr>
          <w:lang w:val="en-GB"/>
        </w:rPr>
        <w:t>ed</w:t>
      </w:r>
      <w:r w:rsidR="006B6676">
        <w:rPr>
          <w:lang w:val="en-GB"/>
        </w:rPr>
        <w:t xml:space="preserve"> </w:t>
      </w:r>
      <w:r w:rsidRPr="00F26A3E">
        <w:rPr>
          <w:lang w:val="en-GB"/>
        </w:rPr>
        <w:t>w</w:t>
      </w:r>
      <w:r>
        <w:rPr>
          <w:lang w:val="en-GB"/>
        </w:rPr>
        <w:t>ith</w:t>
      </w:r>
      <w:r w:rsidR="006B6676">
        <w:rPr>
          <w:lang w:val="en-GB"/>
        </w:rPr>
        <w:t xml:space="preserve"> </w:t>
      </w:r>
      <w:r w:rsidRPr="00F26A3E">
        <w:rPr>
          <w:lang w:val="en-GB"/>
        </w:rPr>
        <w:t>thrill</w:t>
      </w:r>
      <w:r>
        <w:rPr>
          <w:lang w:val="en-GB"/>
        </w:rPr>
        <w:t>s</w:t>
      </w:r>
      <w:r w:rsidRPr="00F26A3E">
        <w:rPr>
          <w:lang w:val="en-GB"/>
        </w:rPr>
        <w:t>,</w:t>
      </w:r>
      <w:r w:rsidR="006B6676">
        <w:rPr>
          <w:lang w:val="en-GB"/>
        </w:rPr>
        <w:t xml:space="preserve"> </w:t>
      </w:r>
      <w:r w:rsidRPr="00F26A3E">
        <w:rPr>
          <w:lang w:val="en-GB"/>
        </w:rPr>
        <w:t>excitement</w:t>
      </w:r>
      <w:r>
        <w:rPr>
          <w:lang w:val="en-GB"/>
        </w:rPr>
        <w:t>,</w:t>
      </w:r>
      <w:r w:rsidR="006B6676">
        <w:rPr>
          <w:lang w:val="en-GB"/>
        </w:rPr>
        <w:t xml:space="preserve"> </w:t>
      </w:r>
      <w:r w:rsidRPr="00F26A3E">
        <w:rPr>
          <w:lang w:val="en-GB"/>
        </w:rPr>
        <w:t>and</w:t>
      </w:r>
      <w:r w:rsidR="006B6676">
        <w:rPr>
          <w:lang w:val="en-GB"/>
        </w:rPr>
        <w:t xml:space="preserve"> </w:t>
      </w:r>
      <w:r>
        <w:rPr>
          <w:lang w:val="en-GB"/>
        </w:rPr>
        <w:t>new</w:t>
      </w:r>
      <w:r w:rsidR="006B6676">
        <w:rPr>
          <w:lang w:val="en-GB"/>
        </w:rPr>
        <w:t xml:space="preserve"> </w:t>
      </w:r>
      <w:r w:rsidRPr="00F26A3E">
        <w:rPr>
          <w:lang w:val="en-GB"/>
        </w:rPr>
        <w:t>friendship</w:t>
      </w:r>
      <w:r>
        <w:rPr>
          <w:lang w:val="en-GB"/>
        </w:rPr>
        <w:t>s</w:t>
      </w:r>
      <w:r w:rsidR="006B6676">
        <w:rPr>
          <w:lang w:val="en-GB"/>
        </w:rPr>
        <w:t xml:space="preserve"> </w:t>
      </w:r>
      <w:r>
        <w:rPr>
          <w:lang w:val="en-GB"/>
        </w:rPr>
        <w:t>formed</w:t>
      </w:r>
      <w:r w:rsidR="006B6676">
        <w:rPr>
          <w:lang w:val="en-GB"/>
        </w:rPr>
        <w:t xml:space="preserve"> </w:t>
      </w:r>
      <w:r>
        <w:rPr>
          <w:lang w:val="en-GB"/>
        </w:rPr>
        <w:t>among</w:t>
      </w:r>
      <w:r w:rsidR="006B6676">
        <w:rPr>
          <w:lang w:val="en-GB"/>
        </w:rPr>
        <w:t xml:space="preserve"> </w:t>
      </w:r>
      <w:r>
        <w:rPr>
          <w:lang w:val="en-GB"/>
        </w:rPr>
        <w:t>the</w:t>
      </w:r>
      <w:r w:rsidR="006B6676">
        <w:rPr>
          <w:lang w:val="en-GB"/>
        </w:rPr>
        <w:t xml:space="preserve"> </w:t>
      </w:r>
      <w:r>
        <w:rPr>
          <w:lang w:val="en-GB"/>
        </w:rPr>
        <w:t>numerous</w:t>
      </w:r>
      <w:r w:rsidR="006B6676">
        <w:rPr>
          <w:lang w:val="en-GB"/>
        </w:rPr>
        <w:t xml:space="preserve"> </w:t>
      </w:r>
      <w:r w:rsidR="00A93740">
        <w:rPr>
          <w:lang w:val="en-GB"/>
        </w:rPr>
        <w:t>participants</w:t>
      </w:r>
      <w:r w:rsidR="00A93740" w:rsidRPr="00F26A3E">
        <w:rPr>
          <w:lang w:val="en-GB"/>
        </w:rPr>
        <w:t>.</w:t>
      </w:r>
      <w:r w:rsidR="006B6676">
        <w:rPr>
          <w:lang w:val="en-GB"/>
        </w:rPr>
        <w:t xml:space="preserve"> </w:t>
      </w:r>
      <w:r w:rsidR="00A93740">
        <w:rPr>
          <w:lang w:val="en-GB"/>
        </w:rPr>
        <w:t>Some</w:t>
      </w:r>
      <w:r w:rsidR="006B6676">
        <w:rPr>
          <w:lang w:val="en-GB"/>
        </w:rPr>
        <w:t xml:space="preserve"> </w:t>
      </w:r>
      <w:r>
        <w:rPr>
          <w:lang w:val="en-GB"/>
        </w:rPr>
        <w:t>of</w:t>
      </w:r>
      <w:r w:rsidR="006B6676">
        <w:rPr>
          <w:lang w:val="en-GB"/>
        </w:rPr>
        <w:t xml:space="preserve"> </w:t>
      </w:r>
      <w:r>
        <w:rPr>
          <w:lang w:val="en-GB"/>
        </w:rPr>
        <w:t>these</w:t>
      </w:r>
      <w:r w:rsidR="006B6676">
        <w:rPr>
          <w:lang w:val="en-GB"/>
        </w:rPr>
        <w:t xml:space="preserve"> </w:t>
      </w:r>
      <w:r>
        <w:rPr>
          <w:lang w:val="en-GB"/>
        </w:rPr>
        <w:t>events</w:t>
      </w:r>
      <w:r w:rsidR="006B6676">
        <w:rPr>
          <w:lang w:val="en-GB"/>
        </w:rPr>
        <w:t xml:space="preserve"> </w:t>
      </w:r>
      <w:r>
        <w:rPr>
          <w:lang w:val="en-GB"/>
        </w:rPr>
        <w:t>were</w:t>
      </w:r>
      <w:r w:rsidR="006B6676">
        <w:rPr>
          <w:lang w:val="en-GB"/>
        </w:rPr>
        <w:t xml:space="preserve"> </w:t>
      </w:r>
      <w:r>
        <w:rPr>
          <w:lang w:val="en-GB"/>
        </w:rPr>
        <w:t>held</w:t>
      </w:r>
      <w:r w:rsidR="006B6676">
        <w:rPr>
          <w:lang w:val="en-GB"/>
        </w:rPr>
        <w:t xml:space="preserve"> </w:t>
      </w:r>
      <w:r w:rsidRPr="00F26A3E">
        <w:rPr>
          <w:lang w:val="en-GB"/>
        </w:rPr>
        <w:t>for</w:t>
      </w:r>
      <w:r w:rsidR="006B6676">
        <w:rPr>
          <w:lang w:val="en-GB"/>
        </w:rPr>
        <w:t xml:space="preserve"> </w:t>
      </w:r>
      <w:r w:rsidRPr="00F26A3E">
        <w:rPr>
          <w:lang w:val="en-GB"/>
        </w:rPr>
        <w:t>many</w:t>
      </w:r>
      <w:r w:rsidR="006B6676">
        <w:rPr>
          <w:lang w:val="en-GB"/>
        </w:rPr>
        <w:t xml:space="preserve"> </w:t>
      </w:r>
      <w:r>
        <w:rPr>
          <w:lang w:val="en-GB"/>
        </w:rPr>
        <w:t>successive</w:t>
      </w:r>
      <w:r w:rsidR="006B6676">
        <w:rPr>
          <w:lang w:val="en-GB"/>
        </w:rPr>
        <w:t xml:space="preserve"> </w:t>
      </w:r>
      <w:r w:rsidR="00A93740" w:rsidRPr="00F26A3E">
        <w:rPr>
          <w:lang w:val="en-GB"/>
        </w:rPr>
        <w:t>years</w:t>
      </w:r>
      <w:r w:rsidR="00A93740">
        <w:rPr>
          <w:lang w:val="en-GB"/>
        </w:rPr>
        <w:t>,</w:t>
      </w:r>
      <w:r w:rsidR="006B6676">
        <w:rPr>
          <w:lang w:val="en-GB"/>
        </w:rPr>
        <w:t xml:space="preserve"> </w:t>
      </w:r>
      <w:r w:rsidR="00A93740">
        <w:rPr>
          <w:lang w:val="en-GB"/>
        </w:rPr>
        <w:t>such</w:t>
      </w:r>
      <w:r w:rsidR="006B6676">
        <w:rPr>
          <w:lang w:val="en-GB"/>
        </w:rPr>
        <w:t xml:space="preserve"> </w:t>
      </w:r>
      <w:r>
        <w:rPr>
          <w:lang w:val="en-GB"/>
        </w:rPr>
        <w:t>as</w:t>
      </w:r>
      <w:r w:rsidR="006B6676">
        <w:rPr>
          <w:lang w:val="en-GB"/>
        </w:rPr>
        <w:t xml:space="preserve"> </w:t>
      </w:r>
      <w:r w:rsidRPr="00F26A3E">
        <w:rPr>
          <w:lang w:val="en-GB"/>
        </w:rPr>
        <w:t>the</w:t>
      </w:r>
      <w:r w:rsidR="006B6676">
        <w:rPr>
          <w:lang w:val="en-GB"/>
        </w:rPr>
        <w:t xml:space="preserve"> </w:t>
      </w:r>
      <w:r>
        <w:rPr>
          <w:lang w:val="en-GB"/>
        </w:rPr>
        <w:t>a</w:t>
      </w:r>
      <w:r w:rsidRPr="00F26A3E">
        <w:rPr>
          <w:lang w:val="en-GB"/>
        </w:rPr>
        <w:t>nn</w:t>
      </w:r>
      <w:r>
        <w:rPr>
          <w:lang w:val="en-GB"/>
        </w:rPr>
        <w:t>ual</w:t>
      </w:r>
      <w:r w:rsidR="006B6676">
        <w:rPr>
          <w:lang w:val="en-GB"/>
        </w:rPr>
        <w:t xml:space="preserve"> </w:t>
      </w:r>
      <w:r w:rsidRPr="00F26A3E">
        <w:rPr>
          <w:lang w:val="en-GB"/>
        </w:rPr>
        <w:t>Royal</w:t>
      </w:r>
      <w:r w:rsidR="006B6676">
        <w:rPr>
          <w:lang w:val="en-GB"/>
        </w:rPr>
        <w:t xml:space="preserve"> </w:t>
      </w:r>
      <w:r w:rsidRPr="00F26A3E">
        <w:rPr>
          <w:lang w:val="en-GB"/>
        </w:rPr>
        <w:t>Enfield</w:t>
      </w:r>
      <w:r w:rsidR="006B6676">
        <w:rPr>
          <w:lang w:val="en-GB"/>
        </w:rPr>
        <w:t xml:space="preserve"> </w:t>
      </w:r>
      <w:r w:rsidRPr="00F26A3E">
        <w:rPr>
          <w:lang w:val="en-GB"/>
        </w:rPr>
        <w:t>Himalayan</w:t>
      </w:r>
      <w:r w:rsidR="006B6676">
        <w:rPr>
          <w:lang w:val="en-GB"/>
        </w:rPr>
        <w:t xml:space="preserve"> </w:t>
      </w:r>
      <w:r w:rsidRPr="00F26A3E">
        <w:rPr>
          <w:lang w:val="en-GB"/>
        </w:rPr>
        <w:t>Odyssey</w:t>
      </w:r>
      <w:r w:rsidR="00AE6E8A">
        <w:rPr>
          <w:lang w:val="en-GB"/>
        </w:rPr>
        <w:t>,</w:t>
      </w:r>
      <w:r w:rsidR="006B6676">
        <w:rPr>
          <w:lang w:val="en-GB"/>
        </w:rPr>
        <w:t xml:space="preserve"> </w:t>
      </w:r>
      <w:r w:rsidR="00AE6E8A">
        <w:rPr>
          <w:lang w:val="en-GB"/>
        </w:rPr>
        <w:t>wh</w:t>
      </w:r>
      <w:r w:rsidR="00E37935">
        <w:rPr>
          <w:lang w:val="en-GB"/>
        </w:rPr>
        <w:t>ich</w:t>
      </w:r>
      <w:r w:rsidR="006B6676">
        <w:rPr>
          <w:lang w:val="en-GB"/>
        </w:rPr>
        <w:t xml:space="preserve"> </w:t>
      </w:r>
      <w:r w:rsidR="00E37935">
        <w:rPr>
          <w:lang w:val="en-GB"/>
        </w:rPr>
        <w:t>hosted</w:t>
      </w:r>
      <w:r w:rsidR="006B6676">
        <w:rPr>
          <w:lang w:val="en-GB"/>
        </w:rPr>
        <w:t xml:space="preserve"> </w:t>
      </w:r>
      <w:r w:rsidR="00E37935">
        <w:rPr>
          <w:lang w:val="en-GB"/>
        </w:rPr>
        <w:t>its</w:t>
      </w:r>
      <w:r w:rsidR="006B6676">
        <w:rPr>
          <w:lang w:val="en-GB"/>
        </w:rPr>
        <w:t xml:space="preserve"> </w:t>
      </w:r>
      <w:r w:rsidR="00AE6E8A" w:rsidRPr="00F26A3E">
        <w:rPr>
          <w:lang w:val="en-GB"/>
        </w:rPr>
        <w:t>16</w:t>
      </w:r>
      <w:r w:rsidR="00AE6E8A" w:rsidRPr="00644B77">
        <w:rPr>
          <w:lang w:val="en-GB"/>
        </w:rPr>
        <w:t>th</w:t>
      </w:r>
      <w:r w:rsidR="006B6676">
        <w:rPr>
          <w:lang w:val="en-GB"/>
        </w:rPr>
        <w:t xml:space="preserve"> </w:t>
      </w:r>
      <w:r w:rsidR="00AE6E8A">
        <w:rPr>
          <w:lang w:val="en-GB"/>
        </w:rPr>
        <w:t>event</w:t>
      </w:r>
      <w:r w:rsidR="006B6676">
        <w:rPr>
          <w:lang w:val="en-GB"/>
        </w:rPr>
        <w:t xml:space="preserve"> </w:t>
      </w:r>
      <w:r w:rsidR="00A93740">
        <w:rPr>
          <w:lang w:val="en-GB"/>
        </w:rPr>
        <w:t>in</w:t>
      </w:r>
      <w:r w:rsidR="006B6676">
        <w:rPr>
          <w:lang w:val="en-GB"/>
        </w:rPr>
        <w:t xml:space="preserve"> </w:t>
      </w:r>
      <w:r w:rsidR="00A93740">
        <w:rPr>
          <w:lang w:val="en-GB"/>
        </w:rPr>
        <w:t>July</w:t>
      </w:r>
      <w:r w:rsidR="006B6676">
        <w:rPr>
          <w:lang w:val="en-GB"/>
        </w:rPr>
        <w:t xml:space="preserve"> </w:t>
      </w:r>
      <w:r w:rsidRPr="00F26A3E">
        <w:rPr>
          <w:lang w:val="en-GB"/>
        </w:rPr>
        <w:t>2019</w:t>
      </w:r>
      <w:r>
        <w:rPr>
          <w:lang w:val="en-GB"/>
        </w:rPr>
        <w:t>.</w:t>
      </w:r>
      <w:r w:rsidR="006B6676">
        <w:rPr>
          <w:lang w:val="en-GB"/>
        </w:rPr>
        <w:t xml:space="preserve"> </w:t>
      </w:r>
      <w:r>
        <w:rPr>
          <w:lang w:val="en-GB"/>
        </w:rPr>
        <w:t>The</w:t>
      </w:r>
      <w:r w:rsidR="006B6676">
        <w:rPr>
          <w:lang w:val="en-GB"/>
        </w:rPr>
        <w:t xml:space="preserve"> </w:t>
      </w:r>
      <w:r>
        <w:rPr>
          <w:lang w:val="en-GB"/>
        </w:rPr>
        <w:t>ride</w:t>
      </w:r>
      <w:r w:rsidR="006B6676">
        <w:rPr>
          <w:lang w:val="en-GB"/>
        </w:rPr>
        <w:t xml:space="preserve"> </w:t>
      </w:r>
      <w:r>
        <w:rPr>
          <w:lang w:val="en-GB"/>
        </w:rPr>
        <w:t>began</w:t>
      </w:r>
      <w:r w:rsidR="006B6676">
        <w:rPr>
          <w:lang w:val="en-GB"/>
        </w:rPr>
        <w:t xml:space="preserve"> </w:t>
      </w:r>
      <w:r>
        <w:rPr>
          <w:lang w:val="en-GB"/>
        </w:rPr>
        <w:t>and</w:t>
      </w:r>
      <w:r w:rsidR="006B6676">
        <w:rPr>
          <w:lang w:val="en-GB"/>
        </w:rPr>
        <w:t xml:space="preserve"> </w:t>
      </w:r>
      <w:r>
        <w:rPr>
          <w:lang w:val="en-GB"/>
        </w:rPr>
        <w:t>ended</w:t>
      </w:r>
      <w:r w:rsidR="006B6676">
        <w:rPr>
          <w:lang w:val="en-GB"/>
        </w:rPr>
        <w:t xml:space="preserve"> </w:t>
      </w:r>
      <w:r>
        <w:rPr>
          <w:lang w:val="en-GB"/>
        </w:rPr>
        <w:t>in</w:t>
      </w:r>
      <w:r w:rsidR="006B6676">
        <w:rPr>
          <w:lang w:val="en-GB"/>
        </w:rPr>
        <w:t xml:space="preserve"> </w:t>
      </w:r>
      <w:r>
        <w:rPr>
          <w:lang w:val="en-GB"/>
        </w:rPr>
        <w:t>the</w:t>
      </w:r>
      <w:r w:rsidR="006B6676">
        <w:rPr>
          <w:lang w:val="en-GB"/>
        </w:rPr>
        <w:t xml:space="preserve"> </w:t>
      </w:r>
      <w:r>
        <w:rPr>
          <w:lang w:val="en-GB"/>
        </w:rPr>
        <w:t>northern</w:t>
      </w:r>
      <w:r w:rsidR="006B6676">
        <w:rPr>
          <w:lang w:val="en-GB"/>
        </w:rPr>
        <w:t xml:space="preserve"> </w:t>
      </w:r>
      <w:r>
        <w:rPr>
          <w:lang w:val="en-GB"/>
        </w:rPr>
        <w:t>India</w:t>
      </w:r>
      <w:r w:rsidR="006B6676">
        <w:rPr>
          <w:lang w:val="en-GB"/>
        </w:rPr>
        <w:t xml:space="preserve"> </w:t>
      </w:r>
      <w:r>
        <w:rPr>
          <w:lang w:val="en-GB"/>
        </w:rPr>
        <w:t>city</w:t>
      </w:r>
      <w:r w:rsidR="006B6676">
        <w:rPr>
          <w:lang w:val="en-GB"/>
        </w:rPr>
        <w:t xml:space="preserve"> </w:t>
      </w:r>
      <w:r>
        <w:rPr>
          <w:lang w:val="en-GB"/>
        </w:rPr>
        <w:t>of</w:t>
      </w:r>
      <w:r w:rsidR="006B6676">
        <w:rPr>
          <w:lang w:val="en-GB"/>
        </w:rPr>
        <w:t xml:space="preserve"> </w:t>
      </w:r>
      <w:r w:rsidRPr="00F26A3E">
        <w:rPr>
          <w:lang w:val="en-GB"/>
        </w:rPr>
        <w:t>Chandigarh</w:t>
      </w:r>
      <w:r w:rsidR="006B6676">
        <w:rPr>
          <w:lang w:val="en-GB"/>
        </w:rPr>
        <w:t xml:space="preserve"> </w:t>
      </w:r>
      <w:r>
        <w:rPr>
          <w:lang w:val="en-GB"/>
        </w:rPr>
        <w:t>and</w:t>
      </w:r>
      <w:r w:rsidR="006B6676">
        <w:rPr>
          <w:lang w:val="en-GB"/>
        </w:rPr>
        <w:t xml:space="preserve"> </w:t>
      </w:r>
      <w:r>
        <w:rPr>
          <w:lang w:val="en-GB"/>
        </w:rPr>
        <w:t>lasted</w:t>
      </w:r>
      <w:r w:rsidR="006B6676">
        <w:rPr>
          <w:lang w:val="en-GB"/>
        </w:rPr>
        <w:t xml:space="preserve"> </w:t>
      </w:r>
      <w:r w:rsidRPr="00F26A3E">
        <w:rPr>
          <w:lang w:val="en-GB"/>
        </w:rPr>
        <w:t>15</w:t>
      </w:r>
      <w:r w:rsidR="006B6676">
        <w:rPr>
          <w:lang w:val="en-GB"/>
        </w:rPr>
        <w:t xml:space="preserve"> </w:t>
      </w:r>
      <w:r w:rsidRPr="00F26A3E">
        <w:rPr>
          <w:lang w:val="en-GB"/>
        </w:rPr>
        <w:t>day</w:t>
      </w:r>
      <w:r>
        <w:rPr>
          <w:lang w:val="en-GB"/>
        </w:rPr>
        <w:t>s,</w:t>
      </w:r>
      <w:r w:rsidR="006B6676">
        <w:rPr>
          <w:lang w:val="en-GB"/>
        </w:rPr>
        <w:t xml:space="preserve"> </w:t>
      </w:r>
      <w:r w:rsidRPr="00F26A3E">
        <w:rPr>
          <w:lang w:val="en-GB"/>
        </w:rPr>
        <w:t>spann</w:t>
      </w:r>
      <w:r>
        <w:rPr>
          <w:lang w:val="en-GB"/>
        </w:rPr>
        <w:t>ing</w:t>
      </w:r>
      <w:r w:rsidR="006B6676">
        <w:rPr>
          <w:lang w:val="en-GB"/>
        </w:rPr>
        <w:t xml:space="preserve"> </w:t>
      </w:r>
      <w:r w:rsidRPr="00F26A3E">
        <w:rPr>
          <w:lang w:val="en-GB"/>
        </w:rPr>
        <w:t>2</w:t>
      </w:r>
      <w:r>
        <w:rPr>
          <w:lang w:val="en-GB"/>
        </w:rPr>
        <w:t>,</w:t>
      </w:r>
      <w:r w:rsidRPr="00F26A3E">
        <w:rPr>
          <w:lang w:val="en-GB"/>
        </w:rPr>
        <w:t>066</w:t>
      </w:r>
      <w:r w:rsidR="006B6676">
        <w:rPr>
          <w:lang w:val="en-GB"/>
        </w:rPr>
        <w:t xml:space="preserve"> </w:t>
      </w:r>
      <w:r w:rsidRPr="00F26A3E">
        <w:rPr>
          <w:lang w:val="en-GB"/>
        </w:rPr>
        <w:t>kilometr</w:t>
      </w:r>
      <w:r>
        <w:rPr>
          <w:lang w:val="en-GB"/>
        </w:rPr>
        <w:t>e</w:t>
      </w:r>
      <w:r w:rsidRPr="00F26A3E">
        <w:rPr>
          <w:lang w:val="en-GB"/>
        </w:rPr>
        <w:t>s</w:t>
      </w:r>
      <w:r w:rsidR="006B6676">
        <w:rPr>
          <w:lang w:val="en-GB"/>
        </w:rPr>
        <w:t xml:space="preserve"> </w:t>
      </w:r>
      <w:r>
        <w:rPr>
          <w:lang w:val="en-GB"/>
        </w:rPr>
        <w:t>across</w:t>
      </w:r>
      <w:r w:rsidR="006B6676">
        <w:rPr>
          <w:lang w:val="en-GB"/>
        </w:rPr>
        <w:t xml:space="preserve"> </w:t>
      </w:r>
      <w:r>
        <w:rPr>
          <w:lang w:val="en-GB"/>
        </w:rPr>
        <w:t>picturesque</w:t>
      </w:r>
      <w:r w:rsidR="006B6676">
        <w:rPr>
          <w:lang w:val="en-GB"/>
        </w:rPr>
        <w:t xml:space="preserve"> </w:t>
      </w:r>
      <w:r w:rsidRPr="00F26A3E">
        <w:rPr>
          <w:lang w:val="en-GB"/>
        </w:rPr>
        <w:t>locations</w:t>
      </w:r>
      <w:r>
        <w:rPr>
          <w:lang w:val="en-GB"/>
        </w:rPr>
        <w:t>.</w:t>
      </w:r>
      <w:r w:rsidRPr="00F26A3E">
        <w:rPr>
          <w:vertAlign w:val="superscript"/>
          <w:lang w:val="en-GB"/>
        </w:rPr>
        <w:endnoteReference w:id="67"/>
      </w:r>
      <w:r w:rsidR="006B6676">
        <w:rPr>
          <w:lang w:val="en-GB"/>
        </w:rPr>
        <w:t xml:space="preserve"> </w:t>
      </w:r>
      <w:r>
        <w:rPr>
          <w:lang w:val="en-GB"/>
        </w:rPr>
        <w:t>Three</w:t>
      </w:r>
      <w:r w:rsidR="006B6676">
        <w:rPr>
          <w:lang w:val="en-GB"/>
        </w:rPr>
        <w:t xml:space="preserve"> </w:t>
      </w:r>
      <w:r>
        <w:rPr>
          <w:lang w:val="en-GB"/>
        </w:rPr>
        <w:t>years</w:t>
      </w:r>
      <w:r w:rsidR="006B6676">
        <w:rPr>
          <w:lang w:val="en-GB"/>
        </w:rPr>
        <w:t xml:space="preserve"> </w:t>
      </w:r>
      <w:r>
        <w:rPr>
          <w:lang w:val="en-GB"/>
        </w:rPr>
        <w:t>earlier,</w:t>
      </w:r>
      <w:r w:rsidR="006B6676">
        <w:rPr>
          <w:lang w:val="en-GB"/>
        </w:rPr>
        <w:t xml:space="preserve"> </w:t>
      </w:r>
      <w:r>
        <w:rPr>
          <w:lang w:val="en-GB"/>
        </w:rPr>
        <w:t>a</w:t>
      </w:r>
      <w:r w:rsidR="006B6676">
        <w:rPr>
          <w:lang w:val="en-GB"/>
        </w:rPr>
        <w:t xml:space="preserve"> </w:t>
      </w:r>
      <w:r>
        <w:rPr>
          <w:lang w:val="en-GB"/>
        </w:rPr>
        <w:t>women’s</w:t>
      </w:r>
      <w:r w:rsidR="006B6676">
        <w:rPr>
          <w:lang w:val="en-GB"/>
        </w:rPr>
        <w:t xml:space="preserve"> </w:t>
      </w:r>
      <w:r>
        <w:rPr>
          <w:lang w:val="en-GB"/>
        </w:rPr>
        <w:t>version</w:t>
      </w:r>
      <w:r w:rsidR="006B6676">
        <w:rPr>
          <w:lang w:val="en-GB"/>
        </w:rPr>
        <w:t xml:space="preserve"> </w:t>
      </w:r>
      <w:r w:rsidR="00E37935">
        <w:rPr>
          <w:lang w:val="en-GB"/>
        </w:rPr>
        <w:t>had</w:t>
      </w:r>
      <w:r w:rsidR="006B6676">
        <w:rPr>
          <w:lang w:val="en-GB"/>
        </w:rPr>
        <w:t xml:space="preserve"> </w:t>
      </w:r>
      <w:r w:rsidR="00E37935">
        <w:rPr>
          <w:lang w:val="en-GB"/>
        </w:rPr>
        <w:t>been</w:t>
      </w:r>
      <w:r w:rsidR="006B6676">
        <w:rPr>
          <w:lang w:val="en-GB"/>
        </w:rPr>
        <w:t xml:space="preserve"> </w:t>
      </w:r>
      <w:r>
        <w:rPr>
          <w:lang w:val="en-GB"/>
        </w:rPr>
        <w:t>added</w:t>
      </w:r>
      <w:r w:rsidR="006B6676">
        <w:rPr>
          <w:lang w:val="en-GB"/>
        </w:rPr>
        <w:t xml:space="preserve"> </w:t>
      </w:r>
      <w:r>
        <w:rPr>
          <w:lang w:val="en-GB"/>
        </w:rPr>
        <w:t>to</w:t>
      </w:r>
      <w:r w:rsidR="006B6676">
        <w:rPr>
          <w:lang w:val="en-GB"/>
        </w:rPr>
        <w:t xml:space="preserve"> </w:t>
      </w:r>
      <w:r>
        <w:rPr>
          <w:lang w:val="en-GB"/>
        </w:rPr>
        <w:t>this</w:t>
      </w:r>
      <w:r w:rsidR="006B6676">
        <w:rPr>
          <w:lang w:val="en-GB"/>
        </w:rPr>
        <w:t xml:space="preserve"> </w:t>
      </w:r>
      <w:r>
        <w:rPr>
          <w:lang w:val="en-GB"/>
        </w:rPr>
        <w:t>landmark</w:t>
      </w:r>
      <w:r w:rsidR="006B6676">
        <w:rPr>
          <w:lang w:val="en-GB"/>
        </w:rPr>
        <w:t xml:space="preserve"> </w:t>
      </w:r>
      <w:r>
        <w:rPr>
          <w:lang w:val="en-GB"/>
        </w:rPr>
        <w:t>event—t</w:t>
      </w:r>
      <w:r w:rsidRPr="00F26A3E">
        <w:rPr>
          <w:lang w:val="en-GB"/>
        </w:rPr>
        <w:t>he</w:t>
      </w:r>
      <w:r w:rsidR="006B6676">
        <w:rPr>
          <w:lang w:val="en-GB"/>
        </w:rPr>
        <w:t xml:space="preserve"> </w:t>
      </w:r>
      <w:r w:rsidRPr="00F26A3E">
        <w:rPr>
          <w:lang w:val="en-GB"/>
        </w:rPr>
        <w:t>Himalayan</w:t>
      </w:r>
      <w:r w:rsidR="006B6676">
        <w:rPr>
          <w:lang w:val="en-GB"/>
        </w:rPr>
        <w:t xml:space="preserve"> </w:t>
      </w:r>
      <w:r w:rsidRPr="00F26A3E">
        <w:rPr>
          <w:lang w:val="en-GB"/>
        </w:rPr>
        <w:t>Odyssey</w:t>
      </w:r>
      <w:r w:rsidR="006B6676">
        <w:rPr>
          <w:lang w:val="en-GB"/>
        </w:rPr>
        <w:t xml:space="preserve"> </w:t>
      </w:r>
      <w:r w:rsidRPr="00F26A3E">
        <w:rPr>
          <w:lang w:val="en-GB"/>
        </w:rPr>
        <w:t>for</w:t>
      </w:r>
      <w:r w:rsidR="006B6676">
        <w:rPr>
          <w:lang w:val="en-GB"/>
        </w:rPr>
        <w:t xml:space="preserve"> </w:t>
      </w:r>
      <w:r w:rsidRPr="00F26A3E">
        <w:rPr>
          <w:lang w:val="en-GB"/>
        </w:rPr>
        <w:t>Women</w:t>
      </w:r>
      <w:r>
        <w:rPr>
          <w:lang w:val="en-GB"/>
        </w:rPr>
        <w:t>—and</w:t>
      </w:r>
      <w:r w:rsidR="006B6676">
        <w:rPr>
          <w:lang w:val="en-GB"/>
        </w:rPr>
        <w:t xml:space="preserve"> </w:t>
      </w:r>
      <w:r w:rsidRPr="00F26A3E">
        <w:rPr>
          <w:lang w:val="en-GB"/>
        </w:rPr>
        <w:t>became</w:t>
      </w:r>
      <w:r w:rsidR="006B6676">
        <w:rPr>
          <w:lang w:val="en-GB"/>
        </w:rPr>
        <w:t xml:space="preserve"> </w:t>
      </w:r>
      <w:r w:rsidRPr="00F26A3E">
        <w:rPr>
          <w:lang w:val="en-GB"/>
        </w:rPr>
        <w:t>a</w:t>
      </w:r>
      <w:r w:rsidR="006B6676">
        <w:rPr>
          <w:lang w:val="en-GB"/>
        </w:rPr>
        <w:t xml:space="preserve"> </w:t>
      </w:r>
      <w:r w:rsidRPr="00F26A3E">
        <w:rPr>
          <w:lang w:val="en-GB"/>
        </w:rPr>
        <w:t>regular</w:t>
      </w:r>
      <w:r w:rsidR="006B6676">
        <w:rPr>
          <w:lang w:val="en-GB"/>
        </w:rPr>
        <w:t xml:space="preserve"> </w:t>
      </w:r>
      <w:r w:rsidRPr="00F26A3E">
        <w:rPr>
          <w:lang w:val="en-GB"/>
        </w:rPr>
        <w:t>feature</w:t>
      </w:r>
      <w:r w:rsidR="006B6676">
        <w:rPr>
          <w:lang w:val="en-GB"/>
        </w:rPr>
        <w:t xml:space="preserve"> </w:t>
      </w:r>
      <w:r>
        <w:rPr>
          <w:lang w:val="en-GB"/>
        </w:rPr>
        <w:t>from</w:t>
      </w:r>
      <w:r w:rsidR="006B6676">
        <w:rPr>
          <w:lang w:val="en-GB"/>
        </w:rPr>
        <w:t xml:space="preserve"> </w:t>
      </w:r>
      <w:r>
        <w:rPr>
          <w:lang w:val="en-GB"/>
        </w:rPr>
        <w:t>that</w:t>
      </w:r>
      <w:r w:rsidR="006B6676">
        <w:rPr>
          <w:lang w:val="en-GB"/>
        </w:rPr>
        <w:t xml:space="preserve"> </w:t>
      </w:r>
      <w:r>
        <w:rPr>
          <w:lang w:val="en-GB"/>
        </w:rPr>
        <w:t>year</w:t>
      </w:r>
      <w:r w:rsidR="006B6676">
        <w:rPr>
          <w:lang w:val="en-GB"/>
        </w:rPr>
        <w:t xml:space="preserve"> </w:t>
      </w:r>
      <w:r>
        <w:rPr>
          <w:lang w:val="en-GB"/>
        </w:rPr>
        <w:t>on.</w:t>
      </w:r>
      <w:r w:rsidRPr="00F26A3E">
        <w:rPr>
          <w:vertAlign w:val="superscript"/>
          <w:lang w:val="en-GB"/>
        </w:rPr>
        <w:endnoteReference w:id="68"/>
      </w:r>
    </w:p>
    <w:p w14:paraId="0ACB8AA9" w14:textId="56888C06" w:rsidR="00CA6A0D" w:rsidRPr="00F26A3E" w:rsidRDefault="00CA6A0D" w:rsidP="00485BE6">
      <w:pPr>
        <w:pStyle w:val="BodyTextMain"/>
        <w:rPr>
          <w:lang w:val="en-GB"/>
        </w:rPr>
      </w:pPr>
    </w:p>
    <w:p w14:paraId="54962206" w14:textId="002E889D"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saw</w:t>
      </w:r>
      <w:r w:rsidR="006B6676">
        <w:rPr>
          <w:sz w:val="22"/>
          <w:szCs w:val="22"/>
          <w:lang w:val="en-GB"/>
        </w:rPr>
        <w:t xml:space="preserve"> </w:t>
      </w:r>
      <w:r>
        <w:rPr>
          <w:sz w:val="22"/>
          <w:szCs w:val="22"/>
          <w:lang w:val="en-GB"/>
        </w:rPr>
        <w:t>these</w:t>
      </w:r>
      <w:r w:rsidR="006B6676">
        <w:rPr>
          <w:sz w:val="22"/>
          <w:szCs w:val="22"/>
          <w:lang w:val="en-GB"/>
        </w:rPr>
        <w:t xml:space="preserve"> </w:t>
      </w:r>
      <w:r w:rsidRPr="00F26A3E">
        <w:rPr>
          <w:sz w:val="22"/>
          <w:szCs w:val="22"/>
          <w:lang w:val="en-GB"/>
        </w:rPr>
        <w:t>events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experiences</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an</w:t>
      </w:r>
      <w:r w:rsidR="006B6676">
        <w:rPr>
          <w:sz w:val="22"/>
          <w:szCs w:val="22"/>
          <w:lang w:val="en-GB"/>
        </w:rPr>
        <w:t xml:space="preserve"> </w:t>
      </w:r>
      <w:r w:rsidRPr="00F26A3E">
        <w:rPr>
          <w:sz w:val="22"/>
          <w:szCs w:val="22"/>
          <w:lang w:val="en-GB"/>
        </w:rPr>
        <w:t>important</w:t>
      </w:r>
      <w:r w:rsidR="006B6676">
        <w:rPr>
          <w:sz w:val="22"/>
          <w:szCs w:val="22"/>
          <w:lang w:val="en-GB"/>
        </w:rPr>
        <w:t xml:space="preserve"> </w:t>
      </w:r>
      <w:r>
        <w:rPr>
          <w:sz w:val="22"/>
          <w:szCs w:val="22"/>
          <w:lang w:val="en-GB"/>
        </w:rPr>
        <w:t>component</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its</w:t>
      </w:r>
      <w:r w:rsidR="006B6676">
        <w:rPr>
          <w:sz w:val="22"/>
          <w:szCs w:val="22"/>
          <w:lang w:val="en-GB"/>
        </w:rPr>
        <w:t xml:space="preserve"> </w:t>
      </w:r>
      <w:r>
        <w:rPr>
          <w:sz w:val="22"/>
          <w:szCs w:val="22"/>
          <w:lang w:val="en-GB"/>
        </w:rPr>
        <w:t>marketing</w:t>
      </w:r>
      <w:r w:rsidR="006B6676">
        <w:rPr>
          <w:sz w:val="22"/>
          <w:szCs w:val="22"/>
          <w:lang w:val="en-GB"/>
        </w:rPr>
        <w:t xml:space="preserve"> </w:t>
      </w:r>
      <w:r w:rsidRPr="00F26A3E">
        <w:rPr>
          <w:sz w:val="22"/>
          <w:szCs w:val="22"/>
          <w:lang w:val="en-GB"/>
        </w:rPr>
        <w:t>mix</w:t>
      </w:r>
      <w:r>
        <w:rPr>
          <w:sz w:val="22"/>
          <w:szCs w:val="22"/>
          <w:lang w:val="en-GB"/>
        </w:rPr>
        <w:t>,</w:t>
      </w:r>
      <w:r w:rsidR="006B6676">
        <w:rPr>
          <w:sz w:val="22"/>
          <w:szCs w:val="22"/>
          <w:lang w:val="en-GB"/>
        </w:rPr>
        <w:t xml:space="preserve"> </w:t>
      </w:r>
      <w:r>
        <w:rPr>
          <w:sz w:val="22"/>
          <w:szCs w:val="22"/>
          <w:lang w:val="en-GB"/>
        </w:rPr>
        <w:t>as</w:t>
      </w:r>
      <w:r w:rsidR="006B6676">
        <w:rPr>
          <w:sz w:val="22"/>
          <w:szCs w:val="22"/>
          <w:lang w:val="en-GB"/>
        </w:rPr>
        <w:t xml:space="preserve"> </w:t>
      </w:r>
      <w:r>
        <w:rPr>
          <w:sz w:val="22"/>
          <w:szCs w:val="22"/>
          <w:lang w:val="en-GB"/>
        </w:rPr>
        <w:t>did</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competitors</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their</w:t>
      </w:r>
      <w:r w:rsidR="006B6676">
        <w:rPr>
          <w:sz w:val="22"/>
          <w:szCs w:val="22"/>
          <w:lang w:val="en-GB"/>
        </w:rPr>
        <w:t xml:space="preserve"> </w:t>
      </w:r>
      <w:r>
        <w:rPr>
          <w:sz w:val="22"/>
          <w:szCs w:val="22"/>
          <w:lang w:val="en-GB"/>
        </w:rPr>
        <w:t>own</w:t>
      </w:r>
      <w:r w:rsidR="006B6676">
        <w:rPr>
          <w:sz w:val="22"/>
          <w:szCs w:val="22"/>
          <w:lang w:val="en-GB"/>
        </w:rPr>
        <w:t xml:space="preserve"> </w:t>
      </w:r>
      <w:r>
        <w:rPr>
          <w:sz w:val="22"/>
          <w:szCs w:val="22"/>
          <w:lang w:val="en-GB"/>
        </w:rPr>
        <w:t>events.</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example,</w:t>
      </w:r>
      <w:r w:rsidR="006B6676">
        <w:rPr>
          <w:sz w:val="22"/>
          <w:szCs w:val="22"/>
          <w:lang w:val="en-GB"/>
        </w:rPr>
        <w:t xml:space="preserve"> </w:t>
      </w:r>
      <w:r>
        <w:rPr>
          <w:sz w:val="22"/>
          <w:szCs w:val="22"/>
          <w:lang w:val="en-GB"/>
        </w:rPr>
        <w:t>Mahindra’s</w:t>
      </w:r>
      <w:r w:rsidR="006B6676">
        <w:rPr>
          <w:sz w:val="22"/>
          <w:szCs w:val="22"/>
          <w:lang w:val="en-GB"/>
        </w:rPr>
        <w:t xml:space="preserve"> </w:t>
      </w:r>
      <w:r w:rsidRPr="00F26A3E">
        <w:rPr>
          <w:sz w:val="22"/>
          <w:szCs w:val="22"/>
          <w:lang w:val="en-GB"/>
        </w:rPr>
        <w:t>promotion</w:t>
      </w:r>
      <w:r>
        <w:rPr>
          <w:sz w:val="22"/>
          <w:szCs w:val="22"/>
          <w:lang w:val="en-GB"/>
        </w:rPr>
        <w:t>al</w:t>
      </w:r>
      <w:r w:rsidR="006B6676">
        <w:rPr>
          <w:sz w:val="22"/>
          <w:szCs w:val="22"/>
          <w:lang w:val="en-GB"/>
        </w:rPr>
        <w:t xml:space="preserve"> </w:t>
      </w:r>
      <w:r w:rsidRPr="00F26A3E">
        <w:rPr>
          <w:sz w:val="22"/>
          <w:szCs w:val="22"/>
          <w:lang w:val="en-GB"/>
        </w:rPr>
        <w:t>strategy</w:t>
      </w:r>
      <w:r w:rsidR="006B6676">
        <w:rPr>
          <w:sz w:val="22"/>
          <w:szCs w:val="22"/>
          <w:lang w:val="en-GB"/>
        </w:rPr>
        <w:t xml:space="preserve"> </w:t>
      </w:r>
      <w:r w:rsidRPr="00F26A3E">
        <w:rPr>
          <w:sz w:val="22"/>
          <w:szCs w:val="22"/>
          <w:lang w:val="en-GB"/>
        </w:rPr>
        <w:t>f</w:t>
      </w:r>
      <w:r>
        <w:rPr>
          <w:sz w:val="22"/>
          <w:szCs w:val="22"/>
          <w:lang w:val="en-GB"/>
        </w:rPr>
        <w:t>or</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Jawa</w:t>
      </w:r>
      <w:r w:rsidR="006B6676">
        <w:rPr>
          <w:sz w:val="22"/>
          <w:szCs w:val="22"/>
          <w:lang w:val="en-GB"/>
        </w:rPr>
        <w:t xml:space="preserve"> </w:t>
      </w:r>
      <w:r>
        <w:rPr>
          <w:sz w:val="22"/>
          <w:szCs w:val="22"/>
          <w:lang w:val="en-GB"/>
        </w:rPr>
        <w:t>motorcycle</w:t>
      </w:r>
      <w:r w:rsidR="006B6676">
        <w:rPr>
          <w:sz w:val="22"/>
          <w:szCs w:val="22"/>
          <w:lang w:val="en-GB"/>
        </w:rPr>
        <w:t xml:space="preserve"> </w:t>
      </w:r>
      <w:r w:rsidRPr="00F26A3E">
        <w:rPr>
          <w:sz w:val="22"/>
          <w:szCs w:val="22"/>
          <w:lang w:val="en-GB"/>
        </w:rPr>
        <w:t>brand</w:t>
      </w:r>
      <w:r w:rsidR="006B6676">
        <w:rPr>
          <w:sz w:val="22"/>
          <w:szCs w:val="22"/>
          <w:lang w:val="en-GB"/>
        </w:rPr>
        <w:t xml:space="preserve"> </w:t>
      </w:r>
      <w:r w:rsidRPr="00F26A3E">
        <w:rPr>
          <w:sz w:val="22"/>
          <w:szCs w:val="22"/>
          <w:lang w:val="en-GB"/>
        </w:rPr>
        <w:t>similar</w:t>
      </w:r>
      <w:r>
        <w:rPr>
          <w:sz w:val="22"/>
          <w:szCs w:val="22"/>
          <w:lang w:val="en-GB"/>
        </w:rPr>
        <w:t>ly</w:t>
      </w:r>
      <w:r w:rsidR="006B6676">
        <w:rPr>
          <w:sz w:val="22"/>
          <w:szCs w:val="22"/>
          <w:lang w:val="en-GB"/>
        </w:rPr>
        <w:t xml:space="preserve"> </w:t>
      </w:r>
      <w:r w:rsidRPr="00F26A3E">
        <w:rPr>
          <w:sz w:val="22"/>
          <w:szCs w:val="22"/>
          <w:lang w:val="en-GB"/>
        </w:rPr>
        <w:t>organize</w:t>
      </w:r>
      <w:r>
        <w:rPr>
          <w:sz w:val="22"/>
          <w:szCs w:val="22"/>
          <w:lang w:val="en-GB"/>
        </w:rPr>
        <w:t>d</w:t>
      </w:r>
      <w:r w:rsidR="006B6676">
        <w:rPr>
          <w:sz w:val="22"/>
          <w:szCs w:val="22"/>
          <w:lang w:val="en-GB"/>
        </w:rPr>
        <w:t xml:space="preserve"> </w:t>
      </w:r>
      <w:r>
        <w:rPr>
          <w:sz w:val="22"/>
          <w:szCs w:val="22"/>
          <w:lang w:val="en-GB"/>
        </w:rPr>
        <w:t>various</w:t>
      </w:r>
      <w:r w:rsidR="006B6676">
        <w:rPr>
          <w:sz w:val="22"/>
          <w:szCs w:val="22"/>
          <w:lang w:val="en-GB"/>
        </w:rPr>
        <w:t xml:space="preserve"> </w:t>
      </w:r>
      <w:r w:rsidRPr="00F26A3E">
        <w:rPr>
          <w:sz w:val="22"/>
          <w:szCs w:val="22"/>
          <w:lang w:val="en-GB"/>
        </w:rPr>
        <w:t>rides</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events</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develop</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community</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new</w:t>
      </w:r>
      <w:r w:rsidR="006B6676">
        <w:rPr>
          <w:sz w:val="22"/>
          <w:szCs w:val="22"/>
          <w:lang w:val="en-GB"/>
        </w:rPr>
        <w:t xml:space="preserve"> </w:t>
      </w:r>
      <w:r>
        <w:rPr>
          <w:sz w:val="22"/>
          <w:szCs w:val="22"/>
          <w:lang w:val="en-GB"/>
        </w:rPr>
        <w:t>Jawa</w:t>
      </w:r>
      <w:r w:rsidR="006B6676">
        <w:rPr>
          <w:sz w:val="22"/>
          <w:szCs w:val="22"/>
          <w:lang w:val="en-GB"/>
        </w:rPr>
        <w:t xml:space="preserve"> </w:t>
      </w:r>
      <w:r w:rsidRPr="00F26A3E">
        <w:rPr>
          <w:sz w:val="22"/>
          <w:szCs w:val="22"/>
          <w:lang w:val="en-GB"/>
        </w:rPr>
        <w:t>riders.</w:t>
      </w:r>
      <w:r w:rsidR="006318DA">
        <w:rPr>
          <w:rStyle w:val="EndnoteReference"/>
          <w:sz w:val="22"/>
          <w:szCs w:val="22"/>
          <w:lang w:val="en-GB"/>
        </w:rPr>
        <w:endnoteReference w:id="69"/>
      </w:r>
      <w:r w:rsidR="006B6676">
        <w:rPr>
          <w:sz w:val="22"/>
          <w:szCs w:val="22"/>
          <w:lang w:val="en-GB"/>
        </w:rPr>
        <w:t xml:space="preserve"> </w:t>
      </w:r>
    </w:p>
    <w:p w14:paraId="1EA421AA" w14:textId="77777777" w:rsidR="00CA6A0D" w:rsidRPr="00F26A3E" w:rsidRDefault="00CA6A0D" w:rsidP="00B607FC">
      <w:pPr>
        <w:jc w:val="both"/>
        <w:rPr>
          <w:sz w:val="22"/>
          <w:szCs w:val="22"/>
          <w:lang w:val="en-GB"/>
        </w:rPr>
      </w:pPr>
    </w:p>
    <w:p w14:paraId="19AC364D" w14:textId="77777777" w:rsidR="00CA6A0D" w:rsidRPr="00F26A3E" w:rsidRDefault="00CA6A0D" w:rsidP="00B607FC">
      <w:pPr>
        <w:jc w:val="both"/>
        <w:rPr>
          <w:sz w:val="22"/>
          <w:szCs w:val="22"/>
          <w:lang w:val="en-GB"/>
        </w:rPr>
      </w:pPr>
    </w:p>
    <w:p w14:paraId="7EABDCA5" w14:textId="1885B4DD" w:rsidR="00CA6A0D" w:rsidRPr="00F26A3E" w:rsidRDefault="00CA6A0D" w:rsidP="007C2757">
      <w:pPr>
        <w:pStyle w:val="Casehead1"/>
        <w:rPr>
          <w:lang w:val="en-GB"/>
        </w:rPr>
      </w:pPr>
      <w:r w:rsidRPr="00F26A3E">
        <w:rPr>
          <w:lang w:val="en-GB"/>
        </w:rPr>
        <w:t>Royal</w:t>
      </w:r>
      <w:r w:rsidR="006B6676">
        <w:rPr>
          <w:lang w:val="en-GB"/>
        </w:rPr>
        <w:t xml:space="preserve"> </w:t>
      </w:r>
      <w:r w:rsidRPr="00F26A3E">
        <w:rPr>
          <w:lang w:val="en-GB"/>
        </w:rPr>
        <w:t>Enfield</w:t>
      </w:r>
      <w:r w:rsidR="006B6676">
        <w:rPr>
          <w:lang w:val="en-GB"/>
        </w:rPr>
        <w:t xml:space="preserve"> </w:t>
      </w:r>
      <w:r w:rsidRPr="00F26A3E">
        <w:rPr>
          <w:lang w:val="en-GB"/>
        </w:rPr>
        <w:t>on</w:t>
      </w:r>
      <w:r w:rsidR="006B6676">
        <w:rPr>
          <w:lang w:val="en-GB"/>
        </w:rPr>
        <w:t xml:space="preserve"> </w:t>
      </w:r>
      <w:r w:rsidRPr="00F26A3E">
        <w:rPr>
          <w:lang w:val="en-GB"/>
        </w:rPr>
        <w:t>International</w:t>
      </w:r>
      <w:r w:rsidR="006B6676">
        <w:rPr>
          <w:lang w:val="en-GB"/>
        </w:rPr>
        <w:t xml:space="preserve"> </w:t>
      </w:r>
      <w:r w:rsidRPr="00F26A3E">
        <w:rPr>
          <w:lang w:val="en-GB"/>
        </w:rPr>
        <w:t>Soil</w:t>
      </w:r>
      <w:r w:rsidR="006B6676">
        <w:rPr>
          <w:lang w:val="en-GB"/>
        </w:rPr>
        <w:t xml:space="preserve"> </w:t>
      </w:r>
    </w:p>
    <w:p w14:paraId="223C9A62" w14:textId="77777777" w:rsidR="00CA6A0D" w:rsidRPr="00F26A3E" w:rsidRDefault="00CA6A0D" w:rsidP="00B607FC">
      <w:pPr>
        <w:jc w:val="both"/>
        <w:rPr>
          <w:sz w:val="22"/>
          <w:szCs w:val="22"/>
          <w:lang w:val="en-GB"/>
        </w:rPr>
      </w:pPr>
    </w:p>
    <w:p w14:paraId="09FB5F92" w14:textId="2DC31735"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sold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more</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50</w:t>
      </w:r>
      <w:r w:rsidR="006B6676">
        <w:rPr>
          <w:sz w:val="22"/>
          <w:szCs w:val="22"/>
          <w:lang w:val="en-GB"/>
        </w:rPr>
        <w:t xml:space="preserve"> </w:t>
      </w:r>
      <w:r w:rsidRPr="00F26A3E">
        <w:rPr>
          <w:sz w:val="22"/>
          <w:szCs w:val="22"/>
          <w:lang w:val="en-GB"/>
        </w:rPr>
        <w:t>international</w:t>
      </w:r>
      <w:r w:rsidR="006B6676">
        <w:rPr>
          <w:sz w:val="22"/>
          <w:szCs w:val="22"/>
          <w:lang w:val="en-GB"/>
        </w:rPr>
        <w:t xml:space="preserve"> </w:t>
      </w:r>
      <w:r w:rsidRPr="00F26A3E">
        <w:rPr>
          <w:sz w:val="22"/>
          <w:szCs w:val="22"/>
          <w:lang w:val="en-GB"/>
        </w:rPr>
        <w:t>markets</w:t>
      </w:r>
      <w:r w:rsidRPr="00F26A3E">
        <w:rPr>
          <w:sz w:val="22"/>
          <w:szCs w:val="22"/>
          <w:vertAlign w:val="superscript"/>
          <w:lang w:val="en-GB"/>
        </w:rPr>
        <w:endnoteReference w:id="70"/>
      </w:r>
      <w:r w:rsidR="006B6676">
        <w:rPr>
          <w:sz w:val="22"/>
          <w:szCs w:val="22"/>
          <w:lang w:val="en-GB"/>
        </w:rPr>
        <w:t xml:space="preserve"> </w:t>
      </w:r>
      <w:r w:rsidRPr="00F26A3E">
        <w:rPr>
          <w:sz w:val="22"/>
          <w:szCs w:val="22"/>
          <w:lang w:val="en-GB"/>
        </w:rPr>
        <w:t>through</w:t>
      </w:r>
      <w:r w:rsidR="006B6676">
        <w:rPr>
          <w:sz w:val="22"/>
          <w:szCs w:val="22"/>
          <w:lang w:val="en-GB"/>
        </w:rPr>
        <w:t xml:space="preserve"> </w:t>
      </w:r>
      <w:r w:rsidRPr="00F26A3E">
        <w:rPr>
          <w:sz w:val="22"/>
          <w:szCs w:val="22"/>
          <w:lang w:val="en-GB"/>
        </w:rPr>
        <w:t>42</w:t>
      </w:r>
      <w:r w:rsidR="006B6676">
        <w:rPr>
          <w:sz w:val="22"/>
          <w:szCs w:val="22"/>
          <w:lang w:val="en-GB"/>
        </w:rPr>
        <w:t xml:space="preserve"> </w:t>
      </w:r>
      <w:r w:rsidRPr="00F26A3E">
        <w:rPr>
          <w:sz w:val="22"/>
          <w:szCs w:val="22"/>
          <w:lang w:val="en-GB"/>
        </w:rPr>
        <w:t>exclusive</w:t>
      </w:r>
      <w:r w:rsidR="006B6676">
        <w:rPr>
          <w:sz w:val="22"/>
          <w:szCs w:val="22"/>
          <w:lang w:val="en-GB"/>
        </w:rPr>
        <w:t xml:space="preserve"> </w:t>
      </w:r>
      <w:r w:rsidRPr="00F26A3E">
        <w:rPr>
          <w:sz w:val="22"/>
          <w:szCs w:val="22"/>
          <w:lang w:val="en-GB"/>
        </w:rPr>
        <w:t>outlets</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600</w:t>
      </w:r>
      <w:r w:rsidR="006B6676">
        <w:rPr>
          <w:sz w:val="22"/>
          <w:szCs w:val="22"/>
          <w:lang w:val="en-GB"/>
        </w:rPr>
        <w:t xml:space="preserve"> </w:t>
      </w:r>
      <w:r w:rsidRPr="00F26A3E">
        <w:rPr>
          <w:sz w:val="22"/>
          <w:szCs w:val="22"/>
          <w:lang w:val="en-GB"/>
        </w:rPr>
        <w:t>multi</w:t>
      </w:r>
      <w:r w:rsidR="00FB4681">
        <w:rPr>
          <w:sz w:val="22"/>
          <w:szCs w:val="22"/>
          <w:lang w:val="en-GB"/>
        </w:rPr>
        <w:t>-</w:t>
      </w:r>
      <w:r w:rsidRPr="00F26A3E">
        <w:rPr>
          <w:sz w:val="22"/>
          <w:szCs w:val="22"/>
          <w:lang w:val="en-GB"/>
        </w:rPr>
        <w:t>brand</w:t>
      </w:r>
      <w:r w:rsidR="006B6676">
        <w:rPr>
          <w:sz w:val="22"/>
          <w:szCs w:val="22"/>
          <w:lang w:val="en-GB"/>
        </w:rPr>
        <w:t xml:space="preserve"> </w:t>
      </w:r>
      <w:r w:rsidRPr="00F26A3E">
        <w:rPr>
          <w:sz w:val="22"/>
          <w:szCs w:val="22"/>
          <w:lang w:val="en-GB"/>
        </w:rPr>
        <w:t>outlets</w:t>
      </w:r>
      <w:r>
        <w:rPr>
          <w:sz w:val="22"/>
          <w:szCs w:val="22"/>
          <w:lang w:val="en-GB"/>
        </w:rPr>
        <w:t>.</w:t>
      </w:r>
      <w:r w:rsidRPr="00F26A3E">
        <w:rPr>
          <w:sz w:val="22"/>
          <w:szCs w:val="22"/>
          <w:vertAlign w:val="superscript"/>
          <w:lang w:val="en-GB"/>
        </w:rPr>
        <w:endnoteReference w:id="71"/>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committed</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continu</w:t>
      </w:r>
      <w:r w:rsidR="00FB4681">
        <w:rPr>
          <w:sz w:val="22"/>
          <w:szCs w:val="22"/>
          <w:lang w:val="en-GB"/>
        </w:rPr>
        <w:t>ing</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e</w:t>
      </w:r>
      <w:r w:rsidRPr="00F26A3E">
        <w:rPr>
          <w:sz w:val="22"/>
          <w:szCs w:val="22"/>
          <w:lang w:val="en-GB"/>
        </w:rPr>
        <w:t>fforts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grow</w:t>
      </w:r>
      <w:r w:rsidR="006B6676">
        <w:rPr>
          <w:sz w:val="22"/>
          <w:szCs w:val="22"/>
          <w:lang w:val="en-GB"/>
        </w:rPr>
        <w:t xml:space="preserve"> </w:t>
      </w:r>
      <w:r>
        <w:rPr>
          <w:sz w:val="22"/>
          <w:szCs w:val="22"/>
          <w:lang w:val="en-GB"/>
        </w:rPr>
        <w:t>global</w:t>
      </w:r>
      <w:r w:rsidR="006B6676">
        <w:rPr>
          <w:sz w:val="22"/>
          <w:szCs w:val="22"/>
          <w:lang w:val="en-GB"/>
        </w:rPr>
        <w:t xml:space="preserve"> </w:t>
      </w:r>
      <w:r>
        <w:rPr>
          <w:sz w:val="22"/>
          <w:szCs w:val="22"/>
          <w:lang w:val="en-GB"/>
        </w:rPr>
        <w:t>sales</w:t>
      </w:r>
      <w:r w:rsidRPr="00F26A3E">
        <w:rPr>
          <w:sz w:val="22"/>
          <w:szCs w:val="22"/>
          <w:lang w:val="en-GB"/>
        </w:rPr>
        <w:t>.</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2018</w:t>
      </w:r>
      <w:r>
        <w:rPr>
          <w:sz w:val="22"/>
          <w:szCs w:val="22"/>
          <w:lang w:val="en-GB"/>
        </w:rPr>
        <w:t>–</w:t>
      </w:r>
      <w:r w:rsidRPr="00F26A3E">
        <w:rPr>
          <w:sz w:val="22"/>
          <w:szCs w:val="22"/>
          <w:lang w:val="en-GB"/>
        </w:rPr>
        <w:t>19,</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exports</w:t>
      </w:r>
      <w:r w:rsidR="006B6676">
        <w:rPr>
          <w:sz w:val="22"/>
          <w:szCs w:val="22"/>
          <w:lang w:val="en-GB"/>
        </w:rPr>
        <w:t xml:space="preserve"> </w:t>
      </w:r>
      <w:r>
        <w:rPr>
          <w:sz w:val="22"/>
          <w:szCs w:val="22"/>
          <w:lang w:val="en-GB"/>
        </w:rPr>
        <w:t>amounted</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19,721</w:t>
      </w:r>
      <w:r w:rsidR="006B6676">
        <w:rPr>
          <w:sz w:val="22"/>
          <w:szCs w:val="22"/>
          <w:lang w:val="en-GB"/>
        </w:rPr>
        <w:t xml:space="preserve"> </w:t>
      </w:r>
      <w:r w:rsidRPr="00F26A3E">
        <w:rPr>
          <w:sz w:val="22"/>
          <w:szCs w:val="22"/>
          <w:lang w:val="en-GB"/>
        </w:rPr>
        <w:t>units</w:t>
      </w:r>
      <w:r>
        <w:rPr>
          <w:sz w:val="22"/>
          <w:szCs w:val="22"/>
          <w:lang w:val="en-GB"/>
        </w:rPr>
        <w:t>,</w:t>
      </w:r>
      <w:r w:rsidR="006B6676">
        <w:rPr>
          <w:sz w:val="22"/>
          <w:szCs w:val="22"/>
          <w:lang w:val="en-GB"/>
        </w:rPr>
        <w:t xml:space="preserve"> </w:t>
      </w:r>
      <w:r>
        <w:rPr>
          <w:sz w:val="22"/>
          <w:szCs w:val="22"/>
          <w:lang w:val="en-GB"/>
        </w:rPr>
        <w:t>which</w:t>
      </w:r>
      <w:r w:rsidR="006B6676">
        <w:rPr>
          <w:sz w:val="22"/>
          <w:szCs w:val="22"/>
          <w:lang w:val="en-GB"/>
        </w:rPr>
        <w:t xml:space="preserve"> </w:t>
      </w:r>
      <w:r w:rsidRPr="00F26A3E">
        <w:rPr>
          <w:sz w:val="22"/>
          <w:szCs w:val="22"/>
          <w:lang w:val="en-GB"/>
        </w:rPr>
        <w:t>consi</w:t>
      </w:r>
      <w:r>
        <w:rPr>
          <w:sz w:val="22"/>
          <w:szCs w:val="22"/>
          <w:lang w:val="en-GB"/>
        </w:rPr>
        <w:t>s</w:t>
      </w:r>
      <w:r w:rsidRPr="00F26A3E">
        <w:rPr>
          <w:sz w:val="22"/>
          <w:szCs w:val="22"/>
          <w:lang w:val="en-GB"/>
        </w:rPr>
        <w:t>ted</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less</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2.5</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sidRPr="00F26A3E">
        <w:rPr>
          <w:sz w:val="22"/>
          <w:szCs w:val="22"/>
          <w:lang w:val="en-GB"/>
        </w:rPr>
        <w:t>total</w:t>
      </w:r>
      <w:r w:rsidR="006B6676">
        <w:rPr>
          <w:sz w:val="22"/>
          <w:szCs w:val="22"/>
          <w:lang w:val="en-GB"/>
        </w:rPr>
        <w:t xml:space="preserve"> </w:t>
      </w:r>
      <w:r w:rsidRPr="00F26A3E">
        <w:rPr>
          <w:sz w:val="22"/>
          <w:szCs w:val="22"/>
          <w:lang w:val="en-GB"/>
        </w:rPr>
        <w:t>sales</w:t>
      </w:r>
      <w:r w:rsidR="006B6676">
        <w:rPr>
          <w:sz w:val="22"/>
          <w:szCs w:val="22"/>
          <w:lang w:val="en-GB"/>
        </w:rPr>
        <w:t xml:space="preserve"> </w:t>
      </w:r>
      <w:r w:rsidRPr="00F26A3E">
        <w:rPr>
          <w:sz w:val="22"/>
          <w:szCs w:val="22"/>
          <w:lang w:val="en-GB"/>
        </w:rPr>
        <w:t>volume.</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number</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exports</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increased</w:t>
      </w:r>
      <w:r w:rsidR="006B6676">
        <w:rPr>
          <w:sz w:val="22"/>
          <w:szCs w:val="22"/>
          <w:lang w:val="en-GB"/>
        </w:rPr>
        <w:t xml:space="preserve"> </w:t>
      </w:r>
      <w:r>
        <w:rPr>
          <w:sz w:val="22"/>
          <w:szCs w:val="22"/>
          <w:lang w:val="en-GB"/>
        </w:rPr>
        <w:t>each</w:t>
      </w:r>
      <w:r w:rsidR="006B6676">
        <w:rPr>
          <w:sz w:val="22"/>
          <w:szCs w:val="22"/>
          <w:lang w:val="en-GB"/>
        </w:rPr>
        <w:t xml:space="preserve"> </w:t>
      </w:r>
      <w:r>
        <w:rPr>
          <w:sz w:val="22"/>
          <w:szCs w:val="22"/>
          <w:lang w:val="en-GB"/>
        </w:rPr>
        <w:t>year,</w:t>
      </w:r>
      <w:r w:rsidR="006B6676">
        <w:rPr>
          <w:sz w:val="22"/>
          <w:szCs w:val="22"/>
          <w:lang w:val="en-GB"/>
        </w:rPr>
        <w:t xml:space="preserve"> </w:t>
      </w:r>
      <w:r>
        <w:rPr>
          <w:sz w:val="22"/>
          <w:szCs w:val="22"/>
          <w:lang w:val="en-GB"/>
        </w:rPr>
        <w:t>but</w:t>
      </w:r>
      <w:r w:rsidR="006B6676">
        <w:rPr>
          <w:sz w:val="22"/>
          <w:szCs w:val="22"/>
          <w:lang w:val="en-GB"/>
        </w:rPr>
        <w:t xml:space="preserve"> </w:t>
      </w:r>
      <w:r>
        <w:rPr>
          <w:sz w:val="22"/>
          <w:szCs w:val="22"/>
          <w:lang w:val="en-GB"/>
        </w:rPr>
        <w:t>average</w:t>
      </w:r>
      <w:r w:rsidR="006B6676">
        <w:rPr>
          <w:sz w:val="22"/>
          <w:szCs w:val="22"/>
          <w:lang w:val="en-GB"/>
        </w:rPr>
        <w:t xml:space="preserve"> </w:t>
      </w:r>
      <w:r>
        <w:rPr>
          <w:sz w:val="22"/>
          <w:szCs w:val="22"/>
          <w:lang w:val="en-GB"/>
        </w:rPr>
        <w:t>annual</w:t>
      </w:r>
      <w:r w:rsidR="006B6676">
        <w:rPr>
          <w:sz w:val="22"/>
          <w:szCs w:val="22"/>
          <w:lang w:val="en-GB"/>
        </w:rPr>
        <w:t xml:space="preserve"> </w:t>
      </w:r>
      <w:r>
        <w:rPr>
          <w:sz w:val="22"/>
          <w:szCs w:val="22"/>
          <w:lang w:val="en-GB"/>
        </w:rPr>
        <w:t>growth</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remained</w:t>
      </w:r>
      <w:r w:rsidR="006B6676">
        <w:rPr>
          <w:sz w:val="22"/>
          <w:szCs w:val="22"/>
          <w:lang w:val="en-GB"/>
        </w:rPr>
        <w:t xml:space="preserve"> </w:t>
      </w:r>
      <w:r>
        <w:rPr>
          <w:sz w:val="22"/>
          <w:szCs w:val="22"/>
          <w:lang w:val="en-GB"/>
        </w:rPr>
        <w:t>considerably</w:t>
      </w:r>
      <w:r w:rsidR="006B6676">
        <w:rPr>
          <w:sz w:val="22"/>
          <w:szCs w:val="22"/>
          <w:lang w:val="en-GB"/>
        </w:rPr>
        <w:t xml:space="preserve"> </w:t>
      </w:r>
      <w:r>
        <w:rPr>
          <w:sz w:val="22"/>
          <w:szCs w:val="22"/>
          <w:lang w:val="en-GB"/>
        </w:rPr>
        <w:t>low,</w:t>
      </w:r>
      <w:r w:rsidR="006B6676">
        <w:rPr>
          <w:sz w:val="22"/>
          <w:szCs w:val="22"/>
          <w:lang w:val="en-GB"/>
        </w:rPr>
        <w:t xml:space="preserve"> </w:t>
      </w:r>
      <w:r>
        <w:rPr>
          <w:sz w:val="22"/>
          <w:szCs w:val="22"/>
          <w:lang w:val="en-GB"/>
        </w:rPr>
        <w:t>from</w:t>
      </w:r>
      <w:r w:rsidR="006B6676">
        <w:rPr>
          <w:sz w:val="22"/>
          <w:szCs w:val="22"/>
          <w:lang w:val="en-GB"/>
        </w:rPr>
        <w:t xml:space="preserve"> </w:t>
      </w:r>
      <w:r w:rsidRPr="00F26A3E">
        <w:rPr>
          <w:sz w:val="22"/>
          <w:szCs w:val="22"/>
          <w:lang w:val="en-GB"/>
        </w:rPr>
        <w:t>15,000</w:t>
      </w:r>
      <w:r w:rsidR="006B6676">
        <w:rPr>
          <w:sz w:val="22"/>
          <w:szCs w:val="22"/>
          <w:lang w:val="en-GB"/>
        </w:rPr>
        <w:t xml:space="preserve"> </w:t>
      </w:r>
      <w:r w:rsidRPr="00F26A3E">
        <w:rPr>
          <w:sz w:val="22"/>
          <w:szCs w:val="22"/>
          <w:lang w:val="en-GB"/>
        </w:rPr>
        <w:t>units</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Pr>
          <w:sz w:val="22"/>
          <w:szCs w:val="22"/>
          <w:lang w:val="en-GB"/>
        </w:rPr>
        <w:t>2016–17</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18,900</w:t>
      </w:r>
      <w:r w:rsidR="006B6676">
        <w:rPr>
          <w:sz w:val="22"/>
          <w:szCs w:val="22"/>
          <w:lang w:val="en-GB"/>
        </w:rPr>
        <w:t xml:space="preserve"> </w:t>
      </w:r>
      <w:r w:rsidRPr="00F26A3E">
        <w:rPr>
          <w:sz w:val="22"/>
          <w:szCs w:val="22"/>
          <w:lang w:val="en-GB"/>
        </w:rPr>
        <w:t>units</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2017</w:t>
      </w:r>
      <w:r>
        <w:rPr>
          <w:sz w:val="22"/>
          <w:szCs w:val="22"/>
          <w:lang w:val="en-GB"/>
        </w:rPr>
        <w:t>–</w:t>
      </w:r>
      <w:r w:rsidRPr="00F26A3E">
        <w:rPr>
          <w:sz w:val="22"/>
          <w:szCs w:val="22"/>
          <w:lang w:val="en-GB"/>
        </w:rPr>
        <w:t>18.</w:t>
      </w:r>
      <w:r w:rsidRPr="00F26A3E">
        <w:rPr>
          <w:sz w:val="22"/>
          <w:szCs w:val="22"/>
          <w:vertAlign w:val="superscript"/>
          <w:lang w:val="en-GB"/>
        </w:rPr>
        <w:endnoteReference w:id="72"/>
      </w:r>
    </w:p>
    <w:p w14:paraId="0B8E1FD6" w14:textId="77777777" w:rsidR="00CA6A0D" w:rsidRPr="00F26A3E" w:rsidRDefault="00CA6A0D" w:rsidP="00B607FC">
      <w:pPr>
        <w:jc w:val="both"/>
        <w:rPr>
          <w:sz w:val="22"/>
          <w:szCs w:val="22"/>
          <w:lang w:val="en-GB"/>
        </w:rPr>
      </w:pPr>
    </w:p>
    <w:p w14:paraId="66680645" w14:textId="50E0CE63" w:rsidR="00CA6A0D" w:rsidRPr="00F26A3E" w:rsidRDefault="00CA6A0D" w:rsidP="00B607FC">
      <w:pPr>
        <w:jc w:val="both"/>
        <w:rPr>
          <w:sz w:val="22"/>
          <w:szCs w:val="22"/>
          <w:lang w:val="en-GB"/>
        </w:rPr>
      </w:pPr>
      <w:r>
        <w:rPr>
          <w:sz w:val="22"/>
          <w:szCs w:val="22"/>
          <w:lang w:val="en-GB"/>
        </w:rPr>
        <w:t>In</w:t>
      </w:r>
      <w:r w:rsidR="006B6676">
        <w:rPr>
          <w:sz w:val="22"/>
          <w:szCs w:val="22"/>
          <w:lang w:val="en-GB"/>
        </w:rPr>
        <w:t xml:space="preserve"> </w:t>
      </w:r>
      <w:r>
        <w:rPr>
          <w:sz w:val="22"/>
          <w:szCs w:val="22"/>
          <w:lang w:val="en-GB"/>
        </w:rPr>
        <w:t>2019,</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three</w:t>
      </w:r>
      <w:r w:rsidR="006B6676">
        <w:rPr>
          <w:sz w:val="22"/>
          <w:szCs w:val="22"/>
          <w:lang w:val="en-GB"/>
        </w:rPr>
        <w:t xml:space="preserve"> </w:t>
      </w:r>
      <w:r w:rsidRPr="00F26A3E">
        <w:rPr>
          <w:sz w:val="22"/>
          <w:szCs w:val="22"/>
          <w:lang w:val="en-GB"/>
        </w:rPr>
        <w:t>wholly</w:t>
      </w:r>
      <w:r w:rsidR="006B6676">
        <w:rPr>
          <w:sz w:val="22"/>
          <w:szCs w:val="22"/>
          <w:lang w:val="en-GB"/>
        </w:rPr>
        <w:t xml:space="preserve"> </w:t>
      </w:r>
      <w:r w:rsidRPr="00F26A3E">
        <w:rPr>
          <w:sz w:val="22"/>
          <w:szCs w:val="22"/>
          <w:lang w:val="en-GB"/>
        </w:rPr>
        <w:t>owned</w:t>
      </w:r>
      <w:r w:rsidR="006B6676">
        <w:rPr>
          <w:sz w:val="22"/>
          <w:szCs w:val="22"/>
          <w:lang w:val="en-GB"/>
        </w:rPr>
        <w:t xml:space="preserve"> </w:t>
      </w:r>
      <w:r w:rsidRPr="00F26A3E">
        <w:rPr>
          <w:sz w:val="22"/>
          <w:szCs w:val="22"/>
          <w:lang w:val="en-GB"/>
        </w:rPr>
        <w:t>subsidiaries,</w:t>
      </w:r>
      <w:r w:rsidR="006B6676">
        <w:rPr>
          <w:sz w:val="22"/>
          <w:szCs w:val="22"/>
          <w:lang w:val="en-GB"/>
        </w:rPr>
        <w:t xml:space="preserve"> </w:t>
      </w:r>
      <w:r w:rsidRPr="00F26A3E">
        <w:rPr>
          <w:sz w:val="22"/>
          <w:szCs w:val="22"/>
          <w:lang w:val="en-GB"/>
        </w:rPr>
        <w:t>one</w:t>
      </w:r>
      <w:r w:rsidR="006B6676">
        <w:rPr>
          <w:sz w:val="22"/>
          <w:szCs w:val="22"/>
          <w:lang w:val="en-GB"/>
        </w:rPr>
        <w:t xml:space="preserve"> </w:t>
      </w:r>
      <w:r w:rsidRPr="00F26A3E">
        <w:rPr>
          <w:sz w:val="22"/>
          <w:szCs w:val="22"/>
          <w:lang w:val="en-GB"/>
        </w:rPr>
        <w:t>each</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Brazil,</w:t>
      </w:r>
      <w:r w:rsidR="006B6676">
        <w:rPr>
          <w:sz w:val="22"/>
          <w:szCs w:val="22"/>
          <w:lang w:val="en-GB"/>
        </w:rPr>
        <w:t xml:space="preserve"> </w:t>
      </w:r>
      <w:r w:rsidRPr="00F26A3E">
        <w:rPr>
          <w:sz w:val="22"/>
          <w:szCs w:val="22"/>
          <w:lang w:val="en-GB"/>
        </w:rPr>
        <w:t>North</w:t>
      </w:r>
      <w:r w:rsidR="006B6676">
        <w:rPr>
          <w:sz w:val="22"/>
          <w:szCs w:val="22"/>
          <w:lang w:val="en-GB"/>
        </w:rPr>
        <w:t xml:space="preserve"> </w:t>
      </w:r>
      <w:r w:rsidRPr="00F26A3E">
        <w:rPr>
          <w:sz w:val="22"/>
          <w:szCs w:val="22"/>
          <w:lang w:val="en-GB"/>
        </w:rPr>
        <w:t>America,</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Thailand</w:t>
      </w:r>
      <w:r>
        <w:rPr>
          <w:sz w:val="22"/>
          <w:szCs w:val="22"/>
          <w:lang w:val="en-GB"/>
        </w:rPr>
        <w:t>.</w:t>
      </w:r>
      <w:r w:rsidRPr="00F26A3E">
        <w:rPr>
          <w:sz w:val="22"/>
          <w:szCs w:val="22"/>
          <w:vertAlign w:val="superscript"/>
          <w:lang w:val="en-GB"/>
        </w:rPr>
        <w:endnoteReference w:id="73"/>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North</w:t>
      </w:r>
      <w:r w:rsidR="006B6676">
        <w:rPr>
          <w:sz w:val="22"/>
          <w:szCs w:val="22"/>
          <w:lang w:val="en-GB"/>
        </w:rPr>
        <w:t xml:space="preserve"> </w:t>
      </w:r>
      <w:r w:rsidRPr="00F26A3E">
        <w:rPr>
          <w:sz w:val="22"/>
          <w:szCs w:val="22"/>
          <w:lang w:val="en-GB"/>
        </w:rPr>
        <w:t>America</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sidRPr="00F26A3E">
        <w:rPr>
          <w:sz w:val="22"/>
          <w:szCs w:val="22"/>
          <w:lang w:val="en-GB"/>
        </w:rPr>
        <w:t>(RENA)</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established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2015</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sold</w:t>
      </w:r>
      <w:r w:rsidR="006B6676">
        <w:rPr>
          <w:sz w:val="22"/>
          <w:szCs w:val="22"/>
          <w:lang w:val="en-GB"/>
        </w:rPr>
        <w:t xml:space="preserve"> </w:t>
      </w:r>
      <w:r w:rsidRPr="00F26A3E">
        <w:rPr>
          <w:sz w:val="22"/>
          <w:szCs w:val="22"/>
          <w:lang w:val="en-GB"/>
        </w:rPr>
        <w:t>1,731</w:t>
      </w:r>
      <w:r w:rsidR="006B6676">
        <w:rPr>
          <w:sz w:val="22"/>
          <w:szCs w:val="22"/>
          <w:lang w:val="en-GB"/>
        </w:rPr>
        <w:t xml:space="preserve"> </w:t>
      </w:r>
      <w:r w:rsidRPr="00F26A3E">
        <w:rPr>
          <w:sz w:val="22"/>
          <w:szCs w:val="22"/>
          <w:lang w:val="en-GB"/>
        </w:rPr>
        <w:t>motorcycles</w:t>
      </w:r>
      <w:r>
        <w:rPr>
          <w:sz w:val="22"/>
          <w:szCs w:val="22"/>
          <w:lang w:val="en-GB"/>
        </w:rPr>
        <w:t>,</w:t>
      </w:r>
      <w:r w:rsidR="006B6676">
        <w:rPr>
          <w:sz w:val="22"/>
          <w:szCs w:val="22"/>
          <w:lang w:val="en-GB"/>
        </w:rPr>
        <w:t xml:space="preserve"> </w:t>
      </w:r>
      <w:r>
        <w:rPr>
          <w:sz w:val="22"/>
          <w:szCs w:val="22"/>
          <w:lang w:val="en-GB"/>
        </w:rPr>
        <w:t>earning</w:t>
      </w:r>
      <w:r w:rsidR="006B6676">
        <w:rPr>
          <w:sz w:val="22"/>
          <w:szCs w:val="22"/>
          <w:lang w:val="en-GB"/>
        </w:rPr>
        <w:t xml:space="preserve"> </w:t>
      </w:r>
      <w:r w:rsidRPr="00F26A3E">
        <w:rPr>
          <w:sz w:val="22"/>
          <w:szCs w:val="22"/>
          <w:lang w:val="en-GB"/>
        </w:rPr>
        <w:t>revenue</w:t>
      </w:r>
      <w:r>
        <w:rPr>
          <w:sz w:val="22"/>
          <w:szCs w:val="22"/>
          <w:lang w:val="en-GB"/>
        </w:rPr>
        <w:t>s</w:t>
      </w:r>
      <w:r w:rsidR="006B6676">
        <w:rPr>
          <w:sz w:val="22"/>
          <w:szCs w:val="22"/>
          <w:lang w:val="en-GB"/>
        </w:rPr>
        <w:t xml:space="preserve"> </w:t>
      </w:r>
      <w:r>
        <w:rPr>
          <w:sz w:val="22"/>
          <w:szCs w:val="22"/>
          <w:lang w:val="en-GB"/>
        </w:rPr>
        <w:t>or</w:t>
      </w:r>
      <w:r w:rsidR="006B6676">
        <w:rPr>
          <w:sz w:val="22"/>
          <w:szCs w:val="22"/>
          <w:lang w:val="en-GB"/>
        </w:rPr>
        <w:t xml:space="preserve"> </w:t>
      </w:r>
      <w:r>
        <w:rPr>
          <w:sz w:val="22"/>
          <w:szCs w:val="22"/>
          <w:lang w:val="en-GB"/>
        </w:rPr>
        <w:t>₹</w:t>
      </w:r>
      <w:r w:rsidRPr="00F26A3E">
        <w:rPr>
          <w:sz w:val="22"/>
          <w:szCs w:val="22"/>
          <w:lang w:val="en-GB"/>
        </w:rPr>
        <w:t>555.6</w:t>
      </w:r>
      <w:r w:rsidR="006B6676">
        <w:rPr>
          <w:sz w:val="22"/>
          <w:szCs w:val="22"/>
          <w:lang w:val="en-GB"/>
        </w:rPr>
        <w:t xml:space="preserve"> </w:t>
      </w:r>
      <w:r w:rsidRPr="00F26A3E">
        <w:rPr>
          <w:sz w:val="22"/>
          <w:szCs w:val="22"/>
          <w:lang w:val="en-GB"/>
        </w:rPr>
        <w:t>million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2018</w:t>
      </w:r>
      <w:r>
        <w:rPr>
          <w:sz w:val="22"/>
          <w:szCs w:val="22"/>
          <w:lang w:val="en-GB"/>
        </w:rPr>
        <w:t>–</w:t>
      </w:r>
      <w:r w:rsidRPr="00F26A3E">
        <w:rPr>
          <w:sz w:val="22"/>
          <w:szCs w:val="22"/>
          <w:lang w:val="en-GB"/>
        </w:rPr>
        <w:t>19</w:t>
      </w:r>
      <w:r w:rsidR="006B6676">
        <w:rPr>
          <w:sz w:val="22"/>
          <w:szCs w:val="22"/>
          <w:lang w:val="en-GB"/>
        </w:rPr>
        <w:t xml:space="preserve"> </w:t>
      </w:r>
      <w:r w:rsidRPr="00F26A3E">
        <w:rPr>
          <w:sz w:val="22"/>
          <w:szCs w:val="22"/>
          <w:lang w:val="en-GB"/>
        </w:rPr>
        <w:t>through</w:t>
      </w:r>
      <w:r w:rsidR="006B6676">
        <w:rPr>
          <w:sz w:val="22"/>
          <w:szCs w:val="22"/>
          <w:lang w:val="en-GB"/>
        </w:rPr>
        <w:t xml:space="preserve"> </w:t>
      </w:r>
      <w:r w:rsidRPr="00F26A3E">
        <w:rPr>
          <w:sz w:val="22"/>
          <w:szCs w:val="22"/>
          <w:lang w:val="en-GB"/>
        </w:rPr>
        <w:t>85</w:t>
      </w:r>
      <w:r w:rsidR="006B6676">
        <w:rPr>
          <w:sz w:val="22"/>
          <w:szCs w:val="22"/>
          <w:lang w:val="en-GB"/>
        </w:rPr>
        <w:t xml:space="preserve"> </w:t>
      </w:r>
      <w:r w:rsidRPr="00F26A3E">
        <w:rPr>
          <w:sz w:val="22"/>
          <w:szCs w:val="22"/>
          <w:lang w:val="en-GB"/>
        </w:rPr>
        <w:t>multi</w:t>
      </w:r>
      <w:r w:rsidR="00FB4681">
        <w:rPr>
          <w:sz w:val="22"/>
          <w:szCs w:val="22"/>
          <w:lang w:val="en-GB"/>
        </w:rPr>
        <w:t>-</w:t>
      </w:r>
      <w:r w:rsidRPr="00F26A3E">
        <w:rPr>
          <w:sz w:val="22"/>
          <w:szCs w:val="22"/>
          <w:lang w:val="en-GB"/>
        </w:rPr>
        <w:t>brand</w:t>
      </w:r>
      <w:r w:rsidR="006B6676">
        <w:rPr>
          <w:sz w:val="22"/>
          <w:szCs w:val="22"/>
          <w:lang w:val="en-GB"/>
        </w:rPr>
        <w:t xml:space="preserve"> </w:t>
      </w:r>
      <w:r w:rsidRPr="00F26A3E">
        <w:rPr>
          <w:sz w:val="22"/>
          <w:szCs w:val="22"/>
          <w:lang w:val="en-GB"/>
        </w:rPr>
        <w:t>outlets</w:t>
      </w:r>
      <w:r>
        <w:rPr>
          <w:sz w:val="22"/>
          <w:szCs w:val="22"/>
          <w:lang w:val="en-GB"/>
        </w:rPr>
        <w:t>.</w:t>
      </w:r>
      <w:r w:rsidRPr="00F26A3E">
        <w:rPr>
          <w:sz w:val="22"/>
          <w:szCs w:val="22"/>
          <w:vertAlign w:val="superscript"/>
          <w:lang w:val="en-GB"/>
        </w:rPr>
        <w:endnoteReference w:id="74"/>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same</w:t>
      </w:r>
      <w:r w:rsidR="006B6676">
        <w:rPr>
          <w:sz w:val="22"/>
          <w:szCs w:val="22"/>
          <w:lang w:val="en-GB"/>
        </w:rPr>
        <w:t xml:space="preserve"> </w:t>
      </w:r>
      <w:r>
        <w:rPr>
          <w:sz w:val="22"/>
          <w:szCs w:val="22"/>
          <w:lang w:val="en-GB"/>
        </w:rPr>
        <w:t>year,</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Canada</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sidRPr="00F26A3E">
        <w:rPr>
          <w:sz w:val="22"/>
          <w:szCs w:val="22"/>
          <w:lang w:val="en-GB"/>
        </w:rPr>
        <w:t>(RECA)</w:t>
      </w:r>
      <w:r>
        <w:rPr>
          <w:sz w:val="22"/>
          <w:szCs w:val="22"/>
          <w:lang w:val="en-GB"/>
        </w:rPr>
        <w:t>,</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subsidiary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RE</w:t>
      </w:r>
      <w:r>
        <w:rPr>
          <w:sz w:val="22"/>
          <w:szCs w:val="22"/>
          <w:lang w:val="en-GB"/>
        </w:rPr>
        <w:t>N</w:t>
      </w:r>
      <w:r w:rsidRPr="00F26A3E">
        <w:rPr>
          <w:sz w:val="22"/>
          <w:szCs w:val="22"/>
          <w:lang w:val="en-GB"/>
        </w:rPr>
        <w:t>A</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been</w:t>
      </w:r>
      <w:r w:rsidR="006B6676">
        <w:rPr>
          <w:sz w:val="22"/>
          <w:szCs w:val="22"/>
          <w:lang w:val="en-GB"/>
        </w:rPr>
        <w:t xml:space="preserve"> </w:t>
      </w:r>
      <w:r w:rsidRPr="00F26A3E">
        <w:rPr>
          <w:sz w:val="22"/>
          <w:szCs w:val="22"/>
          <w:lang w:val="en-GB"/>
        </w:rPr>
        <w:t>incorporated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April</w:t>
      </w:r>
      <w:r w:rsidR="006B6676">
        <w:rPr>
          <w:sz w:val="22"/>
          <w:szCs w:val="22"/>
          <w:lang w:val="en-GB"/>
        </w:rPr>
        <w:t xml:space="preserve"> </w:t>
      </w:r>
      <w:r w:rsidRPr="00F26A3E">
        <w:rPr>
          <w:sz w:val="22"/>
          <w:szCs w:val="22"/>
          <w:lang w:val="en-GB"/>
        </w:rPr>
        <w:t>2016</w:t>
      </w:r>
      <w:r>
        <w:rPr>
          <w:sz w:val="22"/>
          <w:szCs w:val="22"/>
          <w:lang w:val="en-GB"/>
        </w:rPr>
        <w:t>,</w:t>
      </w:r>
      <w:r w:rsidR="006B6676">
        <w:rPr>
          <w:sz w:val="22"/>
          <w:szCs w:val="22"/>
          <w:lang w:val="en-GB"/>
        </w:rPr>
        <w:t xml:space="preserve"> </w:t>
      </w:r>
      <w:r w:rsidRPr="00F26A3E">
        <w:rPr>
          <w:sz w:val="22"/>
          <w:szCs w:val="22"/>
          <w:lang w:val="en-GB"/>
        </w:rPr>
        <w:t>sold</w:t>
      </w:r>
      <w:r w:rsidR="006B6676">
        <w:rPr>
          <w:sz w:val="22"/>
          <w:szCs w:val="22"/>
          <w:lang w:val="en-GB"/>
        </w:rPr>
        <w:t xml:space="preserve"> </w:t>
      </w:r>
      <w:r w:rsidRPr="00F26A3E">
        <w:rPr>
          <w:sz w:val="22"/>
          <w:szCs w:val="22"/>
          <w:lang w:val="en-GB"/>
        </w:rPr>
        <w:t>105</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earned</w:t>
      </w:r>
      <w:r w:rsidR="006B6676">
        <w:rPr>
          <w:sz w:val="22"/>
          <w:szCs w:val="22"/>
          <w:lang w:val="en-GB"/>
        </w:rPr>
        <w:t xml:space="preserve"> </w:t>
      </w:r>
      <w:r w:rsidRPr="00F26A3E">
        <w:rPr>
          <w:sz w:val="22"/>
          <w:szCs w:val="22"/>
          <w:lang w:val="en-GB"/>
        </w:rPr>
        <w:t>revenue</w:t>
      </w:r>
      <w:r>
        <w:rPr>
          <w:sz w:val="22"/>
          <w:szCs w:val="22"/>
          <w:lang w:val="en-GB"/>
        </w:rPr>
        <w:t>s</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w:t>
      </w:r>
      <w:r w:rsidRPr="00F26A3E">
        <w:rPr>
          <w:sz w:val="22"/>
          <w:szCs w:val="22"/>
          <w:lang w:val="en-GB"/>
        </w:rPr>
        <w:t>32.1</w:t>
      </w:r>
      <w:r w:rsidR="006B6676">
        <w:rPr>
          <w:sz w:val="22"/>
          <w:szCs w:val="22"/>
          <w:lang w:val="en-GB"/>
        </w:rPr>
        <w:t xml:space="preserve"> </w:t>
      </w:r>
      <w:r w:rsidRPr="00F26A3E">
        <w:rPr>
          <w:sz w:val="22"/>
          <w:szCs w:val="22"/>
          <w:lang w:val="en-GB"/>
        </w:rPr>
        <w:t>million</w:t>
      </w:r>
      <w:r w:rsidRPr="00F26A3E">
        <w:rPr>
          <w:sz w:val="22"/>
          <w:szCs w:val="22"/>
          <w:vertAlign w:val="superscript"/>
          <w:lang w:val="en-GB"/>
        </w:rPr>
        <w:endnoteReference w:id="75"/>
      </w:r>
      <w:r w:rsidR="006B6676">
        <w:rPr>
          <w:sz w:val="22"/>
          <w:szCs w:val="22"/>
          <w:lang w:val="en-GB"/>
        </w:rPr>
        <w:t xml:space="preserve"> </w:t>
      </w:r>
      <w:r w:rsidRPr="00F26A3E">
        <w:rPr>
          <w:sz w:val="22"/>
          <w:szCs w:val="22"/>
          <w:lang w:val="en-GB"/>
        </w:rPr>
        <w:t>through</w:t>
      </w:r>
      <w:r w:rsidR="006B6676">
        <w:rPr>
          <w:sz w:val="22"/>
          <w:szCs w:val="22"/>
          <w:lang w:val="en-GB"/>
        </w:rPr>
        <w:t xml:space="preserve"> </w:t>
      </w:r>
      <w:r w:rsidRPr="00F26A3E">
        <w:rPr>
          <w:sz w:val="22"/>
          <w:szCs w:val="22"/>
          <w:lang w:val="en-GB"/>
        </w:rPr>
        <w:t>11</w:t>
      </w:r>
      <w:r w:rsidR="006B6676">
        <w:rPr>
          <w:sz w:val="22"/>
          <w:szCs w:val="22"/>
          <w:lang w:val="en-GB"/>
        </w:rPr>
        <w:t xml:space="preserve"> </w:t>
      </w:r>
      <w:r w:rsidRPr="00F26A3E">
        <w:rPr>
          <w:sz w:val="22"/>
          <w:szCs w:val="22"/>
          <w:lang w:val="en-GB"/>
        </w:rPr>
        <w:t>multi</w:t>
      </w:r>
      <w:r w:rsidR="00FB4681">
        <w:rPr>
          <w:sz w:val="22"/>
          <w:szCs w:val="22"/>
          <w:lang w:val="en-GB"/>
        </w:rPr>
        <w:t>-</w:t>
      </w:r>
      <w:r w:rsidRPr="00F26A3E">
        <w:rPr>
          <w:sz w:val="22"/>
          <w:szCs w:val="22"/>
          <w:lang w:val="en-GB"/>
        </w:rPr>
        <w:t>brand</w:t>
      </w:r>
      <w:r w:rsidR="006B6676">
        <w:rPr>
          <w:sz w:val="22"/>
          <w:szCs w:val="22"/>
          <w:lang w:val="en-GB"/>
        </w:rPr>
        <w:t xml:space="preserve"> </w:t>
      </w:r>
      <w:r w:rsidRPr="00F26A3E">
        <w:rPr>
          <w:sz w:val="22"/>
          <w:szCs w:val="22"/>
          <w:lang w:val="en-GB"/>
        </w:rPr>
        <w:t>outlets.</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Brazilian</w:t>
      </w:r>
      <w:r w:rsidR="006B6676">
        <w:rPr>
          <w:sz w:val="22"/>
          <w:szCs w:val="22"/>
          <w:lang w:val="en-GB"/>
        </w:rPr>
        <w:t xml:space="preserve"> </w:t>
      </w:r>
      <w:r w:rsidRPr="00F26A3E">
        <w:rPr>
          <w:sz w:val="22"/>
          <w:szCs w:val="22"/>
          <w:lang w:val="en-GB"/>
        </w:rPr>
        <w:t>subsidiary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sold</w:t>
      </w:r>
      <w:r w:rsidR="006B6676">
        <w:rPr>
          <w:sz w:val="22"/>
          <w:szCs w:val="22"/>
          <w:lang w:val="en-GB"/>
        </w:rPr>
        <w:t xml:space="preserve"> </w:t>
      </w:r>
      <w:r w:rsidRPr="00F26A3E">
        <w:rPr>
          <w:sz w:val="22"/>
          <w:szCs w:val="22"/>
          <w:lang w:val="en-GB"/>
        </w:rPr>
        <w:t>649</w:t>
      </w:r>
      <w:r w:rsidR="006B6676">
        <w:rPr>
          <w:sz w:val="22"/>
          <w:szCs w:val="22"/>
          <w:lang w:val="en-GB"/>
        </w:rPr>
        <w:t xml:space="preserve"> </w:t>
      </w:r>
      <w:r w:rsidRPr="00F26A3E">
        <w:rPr>
          <w:sz w:val="22"/>
          <w:szCs w:val="22"/>
          <w:lang w:val="en-GB"/>
        </w:rPr>
        <w:t>motorcycles</w:t>
      </w:r>
      <w:r>
        <w:rPr>
          <w:sz w:val="22"/>
          <w:szCs w:val="22"/>
          <w:lang w:val="en-GB"/>
        </w:rPr>
        <w:t>,</w:t>
      </w:r>
      <w:r w:rsidR="006B6676">
        <w:rPr>
          <w:sz w:val="22"/>
          <w:szCs w:val="22"/>
          <w:lang w:val="en-GB"/>
        </w:rPr>
        <w:t xml:space="preserve"> </w:t>
      </w:r>
      <w:r>
        <w:rPr>
          <w:sz w:val="22"/>
          <w:szCs w:val="22"/>
          <w:lang w:val="en-GB"/>
        </w:rPr>
        <w:t>earning</w:t>
      </w:r>
      <w:r w:rsidR="006B6676">
        <w:rPr>
          <w:sz w:val="22"/>
          <w:szCs w:val="22"/>
          <w:lang w:val="en-GB"/>
        </w:rPr>
        <w:t xml:space="preserve"> </w:t>
      </w:r>
      <w:r w:rsidRPr="00F26A3E">
        <w:rPr>
          <w:sz w:val="22"/>
          <w:szCs w:val="22"/>
          <w:lang w:val="en-GB"/>
        </w:rPr>
        <w:t>revenue</w:t>
      </w:r>
      <w:r>
        <w:rPr>
          <w:sz w:val="22"/>
          <w:szCs w:val="22"/>
          <w:lang w:val="en-GB"/>
        </w:rPr>
        <w:t>s</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w:t>
      </w:r>
      <w:r w:rsidRPr="00F26A3E">
        <w:rPr>
          <w:sz w:val="22"/>
          <w:szCs w:val="22"/>
          <w:lang w:val="en-GB"/>
        </w:rPr>
        <w:t>117.5</w:t>
      </w:r>
      <w:r w:rsidR="006B6676">
        <w:rPr>
          <w:sz w:val="22"/>
          <w:szCs w:val="22"/>
          <w:lang w:val="en-GB"/>
        </w:rPr>
        <w:t xml:space="preserve"> </w:t>
      </w:r>
      <w:r w:rsidRPr="00F26A3E">
        <w:rPr>
          <w:sz w:val="22"/>
          <w:szCs w:val="22"/>
          <w:lang w:val="en-GB"/>
        </w:rPr>
        <w:t>million</w:t>
      </w:r>
      <w:r>
        <w:rPr>
          <w:sz w:val="22"/>
          <w:szCs w:val="22"/>
          <w:lang w:val="en-GB"/>
        </w:rPr>
        <w:t>.</w:t>
      </w:r>
      <w:r w:rsidRPr="00F26A3E">
        <w:rPr>
          <w:sz w:val="22"/>
          <w:szCs w:val="22"/>
          <w:vertAlign w:val="superscript"/>
          <w:lang w:val="en-GB"/>
        </w:rPr>
        <w:endnoteReference w:id="76"/>
      </w:r>
      <w:r w:rsidR="006B6676">
        <w:rPr>
          <w:sz w:val="22"/>
          <w:szCs w:val="22"/>
          <w:lang w:val="en-GB"/>
        </w:rPr>
        <w:t xml:space="preserve"> </w:t>
      </w:r>
      <w:r>
        <w:rPr>
          <w:sz w:val="22"/>
          <w:szCs w:val="22"/>
          <w:lang w:val="en-GB"/>
        </w:rPr>
        <w:t>Although</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(Thailand)</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Pr>
          <w:sz w:val="22"/>
          <w:szCs w:val="22"/>
          <w:lang w:val="en-GB"/>
        </w:rPr>
        <w:t>did</w:t>
      </w:r>
      <w:r w:rsidR="006B6676">
        <w:rPr>
          <w:sz w:val="22"/>
          <w:szCs w:val="22"/>
          <w:lang w:val="en-GB"/>
        </w:rPr>
        <w:t xml:space="preserve"> </w:t>
      </w:r>
      <w:r w:rsidRPr="00F26A3E">
        <w:rPr>
          <w:sz w:val="22"/>
          <w:szCs w:val="22"/>
          <w:lang w:val="en-GB"/>
        </w:rPr>
        <w:t>not</w:t>
      </w:r>
      <w:r w:rsidR="006B6676">
        <w:rPr>
          <w:sz w:val="22"/>
          <w:szCs w:val="22"/>
          <w:lang w:val="en-GB"/>
        </w:rPr>
        <w:t xml:space="preserve"> </w:t>
      </w:r>
      <w:r>
        <w:rPr>
          <w:sz w:val="22"/>
          <w:szCs w:val="22"/>
          <w:lang w:val="en-GB"/>
        </w:rPr>
        <w:t>begin</w:t>
      </w:r>
      <w:r w:rsidR="006B6676">
        <w:rPr>
          <w:sz w:val="22"/>
          <w:szCs w:val="22"/>
          <w:lang w:val="en-GB"/>
        </w:rPr>
        <w:t xml:space="preserve"> </w:t>
      </w:r>
      <w:r w:rsidRPr="00F26A3E">
        <w:rPr>
          <w:sz w:val="22"/>
          <w:szCs w:val="22"/>
          <w:lang w:val="en-GB"/>
        </w:rPr>
        <w:t>operations</w:t>
      </w:r>
      <w:r w:rsidR="006B6676">
        <w:rPr>
          <w:sz w:val="22"/>
          <w:szCs w:val="22"/>
          <w:lang w:val="en-GB"/>
        </w:rPr>
        <w:t xml:space="preserve"> </w:t>
      </w:r>
      <w:r>
        <w:rPr>
          <w:sz w:val="22"/>
          <w:szCs w:val="22"/>
          <w:lang w:val="en-GB"/>
        </w:rPr>
        <w:t>until</w:t>
      </w:r>
      <w:r w:rsidR="006B6676">
        <w:rPr>
          <w:sz w:val="22"/>
          <w:szCs w:val="22"/>
          <w:lang w:val="en-GB"/>
        </w:rPr>
        <w:t xml:space="preserve"> </w:t>
      </w:r>
      <w:r w:rsidRPr="00F26A3E">
        <w:rPr>
          <w:sz w:val="22"/>
          <w:szCs w:val="22"/>
          <w:lang w:val="en-GB"/>
        </w:rPr>
        <w:t>March</w:t>
      </w:r>
      <w:r w:rsidR="006B6676">
        <w:rPr>
          <w:sz w:val="22"/>
          <w:szCs w:val="22"/>
          <w:lang w:val="en-GB"/>
        </w:rPr>
        <w:t xml:space="preserve"> </w:t>
      </w:r>
      <w:r w:rsidRPr="00F26A3E">
        <w:rPr>
          <w:sz w:val="22"/>
          <w:szCs w:val="22"/>
          <w:lang w:val="en-GB"/>
        </w:rPr>
        <w:t>31,</w:t>
      </w:r>
      <w:r w:rsidR="006B6676">
        <w:rPr>
          <w:sz w:val="22"/>
          <w:szCs w:val="22"/>
          <w:lang w:val="en-GB"/>
        </w:rPr>
        <w:t xml:space="preserve"> </w:t>
      </w:r>
      <w:r w:rsidRPr="00F26A3E">
        <w:rPr>
          <w:sz w:val="22"/>
          <w:szCs w:val="22"/>
          <w:lang w:val="en-GB"/>
        </w:rPr>
        <w:t>2019</w:t>
      </w:r>
      <w:r>
        <w:rPr>
          <w:sz w:val="22"/>
          <w:szCs w:val="22"/>
          <w:lang w:val="en-GB"/>
        </w:rPr>
        <w:t>,</w:t>
      </w:r>
      <w:r w:rsidRPr="00F26A3E">
        <w:rPr>
          <w:sz w:val="22"/>
          <w:szCs w:val="22"/>
          <w:vertAlign w:val="superscript"/>
          <w:lang w:val="en-GB"/>
        </w:rPr>
        <w:endnoteReference w:id="77"/>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been</w:t>
      </w:r>
      <w:r w:rsidR="006B6676">
        <w:rPr>
          <w:sz w:val="22"/>
          <w:szCs w:val="22"/>
          <w:lang w:val="en-GB"/>
        </w:rPr>
        <w:t xml:space="preserve"> </w:t>
      </w:r>
      <w:r>
        <w:rPr>
          <w:sz w:val="22"/>
          <w:szCs w:val="22"/>
          <w:lang w:val="en-GB"/>
        </w:rPr>
        <w:t>exporting</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Thailand</w:t>
      </w:r>
      <w:r w:rsidR="006B6676">
        <w:rPr>
          <w:sz w:val="22"/>
          <w:szCs w:val="22"/>
          <w:lang w:val="en-GB"/>
        </w:rPr>
        <w:t xml:space="preserve"> </w:t>
      </w:r>
      <w:r w:rsidRPr="00F26A3E">
        <w:rPr>
          <w:sz w:val="22"/>
          <w:szCs w:val="22"/>
          <w:lang w:val="en-GB"/>
        </w:rPr>
        <w:t>for</w:t>
      </w:r>
      <w:r w:rsidR="006B6676">
        <w:rPr>
          <w:sz w:val="22"/>
          <w:szCs w:val="22"/>
          <w:lang w:val="en-GB"/>
        </w:rPr>
        <w:t xml:space="preserve"> </w:t>
      </w:r>
      <w:r w:rsidRPr="00F26A3E">
        <w:rPr>
          <w:sz w:val="22"/>
          <w:szCs w:val="22"/>
          <w:lang w:val="en-GB"/>
        </w:rPr>
        <w:t>th</w:t>
      </w:r>
      <w:r>
        <w:rPr>
          <w:sz w:val="22"/>
          <w:szCs w:val="22"/>
          <w:lang w:val="en-GB"/>
        </w:rPr>
        <w:t>re</w:t>
      </w:r>
      <w:r w:rsidRPr="00F26A3E">
        <w:rPr>
          <w:sz w:val="22"/>
          <w:szCs w:val="22"/>
          <w:lang w:val="en-GB"/>
        </w:rPr>
        <w:t>e</w:t>
      </w:r>
      <w:r w:rsidR="006B6676">
        <w:rPr>
          <w:sz w:val="22"/>
          <w:szCs w:val="22"/>
          <w:lang w:val="en-GB"/>
        </w:rPr>
        <w:t xml:space="preserve"> </w:t>
      </w:r>
      <w:r w:rsidRPr="00F26A3E">
        <w:rPr>
          <w:sz w:val="22"/>
          <w:szCs w:val="22"/>
          <w:lang w:val="en-GB"/>
        </w:rPr>
        <w:t>years</w:t>
      </w:r>
      <w:r w:rsidR="006B6676">
        <w:rPr>
          <w:sz w:val="22"/>
          <w:szCs w:val="22"/>
          <w:lang w:val="en-GB"/>
        </w:rPr>
        <w:t xml:space="preserve"> </w:t>
      </w:r>
      <w:r>
        <w:rPr>
          <w:sz w:val="22"/>
          <w:szCs w:val="22"/>
          <w:lang w:val="en-GB"/>
        </w:rPr>
        <w:t>by</w:t>
      </w:r>
      <w:r w:rsidR="006B6676">
        <w:rPr>
          <w:sz w:val="22"/>
          <w:szCs w:val="22"/>
          <w:lang w:val="en-GB"/>
        </w:rPr>
        <w:t xml:space="preserve"> </w:t>
      </w:r>
      <w:r>
        <w:rPr>
          <w:sz w:val="22"/>
          <w:szCs w:val="22"/>
          <w:lang w:val="en-GB"/>
        </w:rPr>
        <w:t>that</w:t>
      </w:r>
      <w:r w:rsidR="006B6676">
        <w:rPr>
          <w:sz w:val="22"/>
          <w:szCs w:val="22"/>
          <w:lang w:val="en-GB"/>
        </w:rPr>
        <w:t xml:space="preserve"> </w:t>
      </w:r>
      <w:r>
        <w:rPr>
          <w:sz w:val="22"/>
          <w:szCs w:val="22"/>
          <w:lang w:val="en-GB"/>
        </w:rPr>
        <w:t>time.</w:t>
      </w:r>
      <w:r w:rsidRPr="00F26A3E">
        <w:rPr>
          <w:sz w:val="22"/>
          <w:szCs w:val="22"/>
          <w:vertAlign w:val="superscript"/>
          <w:lang w:val="en-GB"/>
        </w:rPr>
        <w:endnoteReference w:id="78"/>
      </w:r>
    </w:p>
    <w:p w14:paraId="3FC56161" w14:textId="77777777" w:rsidR="00CA6A0D" w:rsidRPr="00F26A3E" w:rsidRDefault="00CA6A0D" w:rsidP="00B607FC">
      <w:pPr>
        <w:jc w:val="both"/>
        <w:rPr>
          <w:sz w:val="22"/>
          <w:szCs w:val="22"/>
          <w:lang w:val="en-GB"/>
        </w:rPr>
      </w:pPr>
    </w:p>
    <w:p w14:paraId="123597B0" w14:textId="194D8398" w:rsidR="00CA6A0D" w:rsidRPr="00F26A3E" w:rsidRDefault="00CA6A0D" w:rsidP="00B607FC">
      <w:pPr>
        <w:jc w:val="both"/>
        <w:rPr>
          <w:sz w:val="22"/>
          <w:szCs w:val="22"/>
          <w:lang w:val="en-GB"/>
        </w:rPr>
      </w:pPr>
      <w:r w:rsidRPr="00F26A3E">
        <w:rPr>
          <w:sz w:val="22"/>
          <w:szCs w:val="22"/>
          <w:lang w:val="en-GB"/>
        </w:rPr>
        <w:t>The</w:t>
      </w:r>
      <w:r w:rsidR="006B6676">
        <w:rPr>
          <w:sz w:val="22"/>
          <w:szCs w:val="22"/>
          <w:lang w:val="en-GB"/>
        </w:rPr>
        <w:t xml:space="preserve"> </w:t>
      </w:r>
      <w:r w:rsidRPr="00F26A3E">
        <w:rPr>
          <w:sz w:val="22"/>
          <w:szCs w:val="22"/>
          <w:lang w:val="en-GB"/>
        </w:rPr>
        <w:t>Interceptor</w:t>
      </w:r>
      <w:r w:rsidR="006B6676">
        <w:rPr>
          <w:sz w:val="22"/>
          <w:szCs w:val="22"/>
          <w:lang w:val="en-GB"/>
        </w:rPr>
        <w:t xml:space="preserve"> </w:t>
      </w:r>
      <w:r w:rsidRPr="00F26A3E">
        <w:rPr>
          <w:sz w:val="22"/>
          <w:szCs w:val="22"/>
          <w:lang w:val="en-GB"/>
        </w:rPr>
        <w:t>650</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Continental</w:t>
      </w:r>
      <w:r w:rsidR="006B6676">
        <w:rPr>
          <w:sz w:val="22"/>
          <w:szCs w:val="22"/>
          <w:lang w:val="en-GB"/>
        </w:rPr>
        <w:t xml:space="preserve"> </w:t>
      </w:r>
      <w:r w:rsidRPr="00F26A3E">
        <w:rPr>
          <w:sz w:val="22"/>
          <w:szCs w:val="22"/>
          <w:lang w:val="en-GB"/>
        </w:rPr>
        <w:t>GT</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models</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unveiled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Thailand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December</w:t>
      </w:r>
      <w:r w:rsidR="006B6676">
        <w:rPr>
          <w:sz w:val="22"/>
          <w:szCs w:val="22"/>
          <w:lang w:val="en-GB"/>
        </w:rPr>
        <w:t xml:space="preserve"> </w:t>
      </w:r>
      <w:r w:rsidRPr="00F26A3E">
        <w:rPr>
          <w:sz w:val="22"/>
          <w:szCs w:val="22"/>
          <w:lang w:val="en-GB"/>
        </w:rPr>
        <w:t>2018.</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considered</w:t>
      </w:r>
      <w:r w:rsidR="006B6676">
        <w:rPr>
          <w:sz w:val="22"/>
          <w:szCs w:val="22"/>
          <w:lang w:val="en-GB"/>
        </w:rPr>
        <w:t xml:space="preserve"> </w:t>
      </w:r>
      <w:r>
        <w:rPr>
          <w:sz w:val="22"/>
          <w:szCs w:val="22"/>
          <w:lang w:val="en-GB"/>
        </w:rPr>
        <w:t>Thailand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promising</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due</w:t>
      </w:r>
      <w:r w:rsidR="006B6676">
        <w:rPr>
          <w:sz w:val="22"/>
          <w:szCs w:val="22"/>
          <w:lang w:val="en-GB"/>
        </w:rPr>
        <w:t xml:space="preserve"> </w:t>
      </w:r>
      <w:r>
        <w:rPr>
          <w:sz w:val="22"/>
          <w:szCs w:val="22"/>
          <w:lang w:val="en-GB"/>
        </w:rPr>
        <w:t>to</w:t>
      </w:r>
      <w:r w:rsidR="006B6676">
        <w:rPr>
          <w:sz w:val="22"/>
          <w:szCs w:val="22"/>
          <w:lang w:val="en-GB"/>
        </w:rPr>
        <w:t xml:space="preserve"> </w:t>
      </w:r>
      <w:r w:rsidR="00FB4681">
        <w:rPr>
          <w:sz w:val="22"/>
          <w:szCs w:val="22"/>
          <w:lang w:val="en-GB"/>
        </w:rPr>
        <w:t>the</w:t>
      </w:r>
      <w:r w:rsidR="006B6676">
        <w:rPr>
          <w:sz w:val="22"/>
          <w:szCs w:val="22"/>
          <w:lang w:val="en-GB"/>
        </w:rPr>
        <w:t xml:space="preserve"> </w:t>
      </w:r>
      <w:r>
        <w:rPr>
          <w:sz w:val="22"/>
          <w:szCs w:val="22"/>
          <w:lang w:val="en-GB"/>
        </w:rPr>
        <w:t>p</w:t>
      </w:r>
      <w:r w:rsidRPr="00F26A3E">
        <w:rPr>
          <w:sz w:val="22"/>
          <w:szCs w:val="22"/>
          <w:lang w:val="en-GB"/>
        </w:rPr>
        <w:t>revalence</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leisure</w:t>
      </w:r>
      <w:r w:rsidR="006B6676">
        <w:rPr>
          <w:sz w:val="22"/>
          <w:szCs w:val="22"/>
          <w:lang w:val="en-GB"/>
        </w:rPr>
        <w:t xml:space="preserve"> </w:t>
      </w:r>
      <w:r w:rsidRPr="00F26A3E">
        <w:rPr>
          <w:sz w:val="22"/>
          <w:szCs w:val="22"/>
          <w:lang w:val="en-GB"/>
        </w:rPr>
        <w:t>culture,</w:t>
      </w:r>
      <w:r w:rsidR="006B6676">
        <w:rPr>
          <w:sz w:val="22"/>
          <w:szCs w:val="22"/>
          <w:lang w:val="en-GB"/>
        </w:rPr>
        <w:t xml:space="preserve"> </w:t>
      </w:r>
      <w:r w:rsidR="00FB4681">
        <w:rPr>
          <w:sz w:val="22"/>
          <w:szCs w:val="22"/>
          <w:lang w:val="en-GB"/>
        </w:rPr>
        <w:t>the</w:t>
      </w:r>
      <w:r w:rsidR="006B6676">
        <w:rPr>
          <w:sz w:val="22"/>
          <w:szCs w:val="22"/>
          <w:lang w:val="en-GB"/>
        </w:rPr>
        <w:t xml:space="preserve"> </w:t>
      </w:r>
      <w:r w:rsidRPr="00F26A3E">
        <w:rPr>
          <w:sz w:val="22"/>
          <w:szCs w:val="22"/>
          <w:lang w:val="en-GB"/>
        </w:rPr>
        <w:t>willingness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customers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upgrade</w:t>
      </w:r>
      <w:r w:rsidR="006B6676">
        <w:rPr>
          <w:sz w:val="22"/>
          <w:szCs w:val="22"/>
          <w:lang w:val="en-GB"/>
        </w:rPr>
        <w:t xml:space="preserve"> </w:t>
      </w:r>
      <w:r w:rsidR="00FB4681">
        <w:rPr>
          <w:sz w:val="22"/>
          <w:szCs w:val="22"/>
          <w:lang w:val="en-GB"/>
        </w:rPr>
        <w:t>their</w:t>
      </w:r>
      <w:r w:rsidR="006B6676">
        <w:rPr>
          <w:sz w:val="22"/>
          <w:szCs w:val="22"/>
          <w:lang w:val="en-GB"/>
        </w:rPr>
        <w:t xml:space="preserve"> </w:t>
      </w:r>
      <w:r w:rsidRPr="00F26A3E">
        <w:rPr>
          <w:sz w:val="22"/>
          <w:szCs w:val="22"/>
          <w:lang w:val="en-GB"/>
        </w:rPr>
        <w:t>motorcycles</w:t>
      </w:r>
      <w:r>
        <w:rPr>
          <w:sz w:val="22"/>
          <w:szCs w:val="22"/>
          <w:lang w:val="en-GB"/>
        </w:rPr>
        <w:t>,</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robust</w:t>
      </w:r>
      <w:r w:rsidR="006B6676">
        <w:rPr>
          <w:sz w:val="22"/>
          <w:szCs w:val="22"/>
          <w:lang w:val="en-GB"/>
        </w:rPr>
        <w:t xml:space="preserve"> </w:t>
      </w:r>
      <w:r w:rsidRPr="00F26A3E">
        <w:rPr>
          <w:sz w:val="22"/>
          <w:szCs w:val="22"/>
          <w:lang w:val="en-GB"/>
        </w:rPr>
        <w:t>road</w:t>
      </w:r>
      <w:r w:rsidR="006B6676">
        <w:rPr>
          <w:sz w:val="22"/>
          <w:szCs w:val="22"/>
          <w:lang w:val="en-GB"/>
        </w:rPr>
        <w:t xml:space="preserve"> </w:t>
      </w:r>
      <w:r w:rsidRPr="00F26A3E">
        <w:rPr>
          <w:sz w:val="22"/>
          <w:szCs w:val="22"/>
          <w:lang w:val="en-GB"/>
        </w:rPr>
        <w:t>infrastructure</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country</w:t>
      </w:r>
      <w:r w:rsidRPr="00F26A3E">
        <w:rPr>
          <w:sz w:val="22"/>
          <w:szCs w:val="22"/>
          <w:lang w:val="en-GB"/>
        </w:rPr>
        <w:t>.</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lastRenderedPageBreak/>
        <w:t>customer</w:t>
      </w:r>
      <w:r w:rsidR="006B6676">
        <w:rPr>
          <w:sz w:val="22"/>
          <w:szCs w:val="22"/>
          <w:lang w:val="en-GB"/>
        </w:rPr>
        <w:t xml:space="preserve"> </w:t>
      </w:r>
      <w:r w:rsidRPr="00F26A3E">
        <w:rPr>
          <w:sz w:val="22"/>
          <w:szCs w:val="22"/>
          <w:lang w:val="en-GB"/>
        </w:rPr>
        <w:t>response</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Thailand</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encouraging.</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Interceptor</w:t>
      </w:r>
      <w:r w:rsidR="006B6676">
        <w:rPr>
          <w:sz w:val="22"/>
          <w:szCs w:val="22"/>
          <w:lang w:val="en-GB"/>
        </w:rPr>
        <w:t xml:space="preserve"> </w:t>
      </w:r>
      <w:r w:rsidRPr="00F26A3E">
        <w:rPr>
          <w:sz w:val="22"/>
          <w:szCs w:val="22"/>
          <w:lang w:val="en-GB"/>
        </w:rPr>
        <w:t>650</w:t>
      </w:r>
      <w:r w:rsidR="006B6676">
        <w:rPr>
          <w:sz w:val="22"/>
          <w:szCs w:val="22"/>
          <w:lang w:val="en-GB"/>
        </w:rPr>
        <w:t xml:space="preserve"> </w:t>
      </w:r>
      <w:r>
        <w:rPr>
          <w:sz w:val="22"/>
          <w:szCs w:val="22"/>
          <w:lang w:val="en-GB"/>
        </w:rPr>
        <w:t>model</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crowned</w:t>
      </w:r>
      <w:r w:rsidR="006B6676">
        <w:rPr>
          <w:sz w:val="22"/>
          <w:szCs w:val="22"/>
          <w:lang w:val="en-GB"/>
        </w:rPr>
        <w:t xml:space="preserve"> </w:t>
      </w:r>
      <w:r w:rsidRPr="00F26A3E">
        <w:rPr>
          <w:sz w:val="22"/>
          <w:szCs w:val="22"/>
          <w:lang w:val="en-GB"/>
        </w:rPr>
        <w:t>Best</w:t>
      </w:r>
      <w:r w:rsidR="006B6676">
        <w:rPr>
          <w:sz w:val="22"/>
          <w:szCs w:val="22"/>
          <w:lang w:val="en-GB"/>
        </w:rPr>
        <w:t xml:space="preserve"> </w:t>
      </w:r>
      <w:r w:rsidRPr="00F26A3E">
        <w:rPr>
          <w:sz w:val="22"/>
          <w:szCs w:val="22"/>
          <w:lang w:val="en-GB"/>
        </w:rPr>
        <w:t>Modern</w:t>
      </w:r>
      <w:r w:rsidR="006B6676">
        <w:rPr>
          <w:sz w:val="22"/>
          <w:szCs w:val="22"/>
          <w:lang w:val="en-GB"/>
        </w:rPr>
        <w:t xml:space="preserve"> </w:t>
      </w:r>
      <w:r w:rsidRPr="00F26A3E">
        <w:rPr>
          <w:sz w:val="22"/>
          <w:szCs w:val="22"/>
          <w:lang w:val="en-GB"/>
        </w:rPr>
        <w:t>Classic</w:t>
      </w:r>
      <w:r w:rsidR="006B6676">
        <w:rPr>
          <w:sz w:val="22"/>
          <w:szCs w:val="22"/>
          <w:lang w:val="en-GB"/>
        </w:rPr>
        <w:t xml:space="preserve"> </w:t>
      </w:r>
      <w:r w:rsidRPr="00F26A3E">
        <w:rPr>
          <w:sz w:val="22"/>
          <w:szCs w:val="22"/>
          <w:lang w:val="en-GB"/>
        </w:rPr>
        <w:t>Middle-Weight</w:t>
      </w:r>
      <w:r w:rsidR="006B6676">
        <w:rPr>
          <w:sz w:val="22"/>
          <w:szCs w:val="22"/>
          <w:lang w:val="en-GB"/>
        </w:rPr>
        <w:t xml:space="preserve"> </w:t>
      </w:r>
      <w:r w:rsidRPr="00F26A3E">
        <w:rPr>
          <w:sz w:val="22"/>
          <w:szCs w:val="22"/>
          <w:lang w:val="en-GB"/>
        </w:rPr>
        <w:t>motorcycle</w:t>
      </w:r>
      <w:r>
        <w:rPr>
          <w:sz w:val="22"/>
          <w:szCs w:val="22"/>
          <w:lang w:val="en-GB"/>
        </w:rPr>
        <w:t>.</w:t>
      </w:r>
      <w:r w:rsidR="006B6676">
        <w:rPr>
          <w:sz w:val="22"/>
          <w:szCs w:val="22"/>
          <w:lang w:val="en-GB"/>
        </w:rPr>
        <w:t xml:space="preserve"> </w:t>
      </w:r>
      <w:r>
        <w:rPr>
          <w:sz w:val="22"/>
          <w:szCs w:val="22"/>
          <w:lang w:val="en-GB"/>
        </w:rPr>
        <w:t>Over</w:t>
      </w:r>
      <w:r w:rsidR="006B6676">
        <w:rPr>
          <w:sz w:val="22"/>
          <w:szCs w:val="22"/>
          <w:lang w:val="en-GB"/>
        </w:rPr>
        <w:t xml:space="preserve"> </w:t>
      </w:r>
      <w:r w:rsidRPr="00F26A3E">
        <w:rPr>
          <w:sz w:val="22"/>
          <w:szCs w:val="22"/>
          <w:lang w:val="en-GB"/>
        </w:rPr>
        <w:t>700</w:t>
      </w:r>
      <w:r w:rsidR="006B6676">
        <w:rPr>
          <w:sz w:val="22"/>
          <w:szCs w:val="22"/>
          <w:lang w:val="en-GB"/>
        </w:rPr>
        <w:t xml:space="preserve"> </w:t>
      </w:r>
      <w:r w:rsidRPr="00F26A3E">
        <w:rPr>
          <w:sz w:val="22"/>
          <w:szCs w:val="22"/>
          <w:lang w:val="en-GB"/>
        </w:rPr>
        <w:t>Interceptor</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Continental</w:t>
      </w:r>
      <w:r w:rsidR="006B6676">
        <w:rPr>
          <w:sz w:val="22"/>
          <w:szCs w:val="22"/>
          <w:lang w:val="en-GB"/>
        </w:rPr>
        <w:t xml:space="preserve"> </w:t>
      </w:r>
      <w:r w:rsidRPr="00F26A3E">
        <w:rPr>
          <w:sz w:val="22"/>
          <w:szCs w:val="22"/>
          <w:lang w:val="en-GB"/>
        </w:rPr>
        <w:t>models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sold</w:t>
      </w:r>
      <w:r w:rsidR="006B6676">
        <w:rPr>
          <w:sz w:val="22"/>
          <w:szCs w:val="22"/>
          <w:lang w:val="en-GB"/>
        </w:rPr>
        <w:t xml:space="preserve"> </w:t>
      </w:r>
      <w:r w:rsidRPr="00F26A3E">
        <w:rPr>
          <w:sz w:val="22"/>
          <w:szCs w:val="22"/>
          <w:lang w:val="en-GB"/>
        </w:rPr>
        <w:t>within</w:t>
      </w:r>
      <w:r w:rsidR="006B6676">
        <w:rPr>
          <w:sz w:val="22"/>
          <w:szCs w:val="22"/>
          <w:lang w:val="en-GB"/>
        </w:rPr>
        <w:t xml:space="preserve"> </w:t>
      </w:r>
      <w:r w:rsidRPr="00F26A3E">
        <w:rPr>
          <w:sz w:val="22"/>
          <w:szCs w:val="22"/>
          <w:lang w:val="en-GB"/>
        </w:rPr>
        <w:t>three</w:t>
      </w:r>
      <w:r w:rsidR="006B6676">
        <w:rPr>
          <w:sz w:val="22"/>
          <w:szCs w:val="22"/>
          <w:lang w:val="en-GB"/>
        </w:rPr>
        <w:t xml:space="preserve"> </w:t>
      </w:r>
      <w:r w:rsidRPr="00F26A3E">
        <w:rPr>
          <w:sz w:val="22"/>
          <w:szCs w:val="22"/>
          <w:lang w:val="en-GB"/>
        </w:rPr>
        <w:t>months</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their</w:t>
      </w:r>
      <w:r w:rsidR="006B6676">
        <w:rPr>
          <w:sz w:val="22"/>
          <w:szCs w:val="22"/>
          <w:lang w:val="en-GB"/>
        </w:rPr>
        <w:t xml:space="preserve"> </w:t>
      </w:r>
      <w:r w:rsidRPr="00F26A3E">
        <w:rPr>
          <w:sz w:val="22"/>
          <w:szCs w:val="22"/>
          <w:lang w:val="en-GB"/>
        </w:rPr>
        <w:t>launch</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Thailand</w:t>
      </w:r>
      <w:r w:rsidRPr="00F26A3E">
        <w:rPr>
          <w:sz w:val="22"/>
          <w:szCs w:val="22"/>
          <w:lang w:val="en-GB"/>
        </w:rPr>
        <w:t>.</w:t>
      </w:r>
      <w:r w:rsidRPr="00F26A3E">
        <w:rPr>
          <w:sz w:val="22"/>
          <w:szCs w:val="22"/>
          <w:vertAlign w:val="superscript"/>
          <w:lang w:val="en-GB"/>
        </w:rPr>
        <w:endnoteReference w:id="79"/>
      </w:r>
    </w:p>
    <w:p w14:paraId="2D08FF6C" w14:textId="77777777" w:rsidR="00CA6A0D" w:rsidRPr="00F26A3E" w:rsidRDefault="00CA6A0D" w:rsidP="00B607FC">
      <w:pPr>
        <w:jc w:val="both"/>
        <w:rPr>
          <w:sz w:val="22"/>
          <w:szCs w:val="22"/>
          <w:lang w:val="en-GB"/>
        </w:rPr>
      </w:pPr>
    </w:p>
    <w:p w14:paraId="4D3BACD2" w14:textId="05A0C68E" w:rsidR="00CA6A0D" w:rsidRPr="00195AC2" w:rsidRDefault="00CA6A0D" w:rsidP="00B607FC">
      <w:pPr>
        <w:jc w:val="both"/>
        <w:rPr>
          <w:spacing w:val="-2"/>
          <w:sz w:val="22"/>
          <w:szCs w:val="22"/>
          <w:lang w:val="en-GB"/>
        </w:rPr>
      </w:pPr>
      <w:r w:rsidRPr="00195AC2">
        <w:rPr>
          <w:spacing w:val="-2"/>
          <w:sz w:val="22"/>
          <w:szCs w:val="22"/>
          <w:lang w:val="en-GB"/>
        </w:rPr>
        <w:t>In</w:t>
      </w:r>
      <w:r w:rsidR="006B6676" w:rsidRPr="00195AC2">
        <w:rPr>
          <w:spacing w:val="-2"/>
          <w:sz w:val="22"/>
          <w:szCs w:val="22"/>
          <w:lang w:val="en-GB"/>
        </w:rPr>
        <w:t xml:space="preserve"> </w:t>
      </w:r>
      <w:r w:rsidRPr="00195AC2">
        <w:rPr>
          <w:spacing w:val="-2"/>
          <w:sz w:val="22"/>
          <w:szCs w:val="22"/>
          <w:lang w:val="en-GB"/>
        </w:rPr>
        <w:t>addition</w:t>
      </w:r>
      <w:r w:rsidR="006B6676" w:rsidRPr="00195AC2">
        <w:rPr>
          <w:spacing w:val="-2"/>
          <w:sz w:val="22"/>
          <w:szCs w:val="22"/>
          <w:lang w:val="en-GB"/>
        </w:rPr>
        <w:t xml:space="preserve"> </w:t>
      </w:r>
      <w:r w:rsidRPr="00195AC2">
        <w:rPr>
          <w:spacing w:val="-2"/>
          <w:sz w:val="22"/>
          <w:szCs w:val="22"/>
          <w:lang w:val="en-GB"/>
        </w:rPr>
        <w:t>to</w:t>
      </w:r>
      <w:r w:rsidR="006B6676" w:rsidRPr="00195AC2">
        <w:rPr>
          <w:spacing w:val="-2"/>
          <w:sz w:val="22"/>
          <w:szCs w:val="22"/>
          <w:lang w:val="en-GB"/>
        </w:rPr>
        <w:t xml:space="preserve"> </w:t>
      </w:r>
      <w:r w:rsidRPr="00195AC2">
        <w:rPr>
          <w:spacing w:val="-2"/>
          <w:sz w:val="22"/>
          <w:szCs w:val="22"/>
          <w:lang w:val="en-GB"/>
        </w:rPr>
        <w:t>Thailand,</w:t>
      </w:r>
      <w:r w:rsidR="006B6676" w:rsidRPr="00195AC2">
        <w:rPr>
          <w:spacing w:val="-2"/>
          <w:sz w:val="22"/>
          <w:szCs w:val="22"/>
          <w:lang w:val="en-GB"/>
        </w:rPr>
        <w:t xml:space="preserve"> </w:t>
      </w:r>
      <w:r w:rsidRPr="00195AC2">
        <w:rPr>
          <w:spacing w:val="-2"/>
          <w:sz w:val="22"/>
          <w:szCs w:val="22"/>
          <w:lang w:val="en-GB"/>
        </w:rPr>
        <w:t>the</w:t>
      </w:r>
      <w:r w:rsidR="006B6676" w:rsidRPr="00195AC2">
        <w:rPr>
          <w:spacing w:val="-2"/>
          <w:sz w:val="22"/>
          <w:szCs w:val="22"/>
          <w:lang w:val="en-GB"/>
        </w:rPr>
        <w:t xml:space="preserve"> </w:t>
      </w:r>
      <w:r w:rsidRPr="00195AC2">
        <w:rPr>
          <w:spacing w:val="-2"/>
          <w:sz w:val="22"/>
          <w:szCs w:val="22"/>
          <w:lang w:val="en-GB"/>
        </w:rPr>
        <w:t>Southeast</w:t>
      </w:r>
      <w:r w:rsidR="006B6676" w:rsidRPr="00195AC2">
        <w:rPr>
          <w:spacing w:val="-2"/>
          <w:sz w:val="22"/>
          <w:szCs w:val="22"/>
          <w:lang w:val="en-GB"/>
        </w:rPr>
        <w:t xml:space="preserve"> </w:t>
      </w:r>
      <w:r w:rsidRPr="00195AC2">
        <w:rPr>
          <w:spacing w:val="-2"/>
          <w:sz w:val="22"/>
          <w:szCs w:val="22"/>
          <w:lang w:val="en-GB"/>
        </w:rPr>
        <w:t>Asia</w:t>
      </w:r>
      <w:r w:rsidR="002C3B5A" w:rsidRPr="00195AC2">
        <w:rPr>
          <w:spacing w:val="-2"/>
          <w:sz w:val="22"/>
          <w:szCs w:val="22"/>
          <w:lang w:val="en-GB"/>
        </w:rPr>
        <w:t>n</w:t>
      </w:r>
      <w:r w:rsidR="006B6676" w:rsidRPr="00195AC2">
        <w:rPr>
          <w:spacing w:val="-2"/>
          <w:sz w:val="22"/>
          <w:szCs w:val="22"/>
          <w:lang w:val="en-GB"/>
        </w:rPr>
        <w:t xml:space="preserve"> </w:t>
      </w:r>
      <w:r w:rsidRPr="00195AC2">
        <w:rPr>
          <w:spacing w:val="-2"/>
          <w:sz w:val="22"/>
          <w:szCs w:val="22"/>
          <w:lang w:val="en-GB"/>
        </w:rPr>
        <w:t>markets</w:t>
      </w:r>
      <w:r w:rsidR="006B6676" w:rsidRPr="00195AC2">
        <w:rPr>
          <w:spacing w:val="-2"/>
          <w:sz w:val="22"/>
          <w:szCs w:val="22"/>
          <w:lang w:val="en-GB"/>
        </w:rPr>
        <w:t xml:space="preserve"> </w:t>
      </w:r>
      <w:r w:rsidRPr="00195AC2">
        <w:rPr>
          <w:spacing w:val="-2"/>
          <w:sz w:val="22"/>
          <w:szCs w:val="22"/>
          <w:lang w:val="en-GB"/>
        </w:rPr>
        <w:t>of</w:t>
      </w:r>
      <w:r w:rsidR="006B6676" w:rsidRPr="00195AC2">
        <w:rPr>
          <w:spacing w:val="-2"/>
          <w:sz w:val="22"/>
          <w:szCs w:val="22"/>
          <w:lang w:val="en-GB"/>
        </w:rPr>
        <w:t xml:space="preserve"> </w:t>
      </w:r>
      <w:r w:rsidRPr="00195AC2">
        <w:rPr>
          <w:spacing w:val="-2"/>
          <w:sz w:val="22"/>
          <w:szCs w:val="22"/>
          <w:lang w:val="en-GB"/>
        </w:rPr>
        <w:t>Indonesia</w:t>
      </w:r>
      <w:r w:rsidR="006B6676" w:rsidRPr="00195AC2">
        <w:rPr>
          <w:spacing w:val="-2"/>
          <w:sz w:val="22"/>
          <w:szCs w:val="22"/>
          <w:lang w:val="en-GB"/>
        </w:rPr>
        <w:t xml:space="preserve"> </w:t>
      </w:r>
      <w:r w:rsidRPr="00195AC2">
        <w:rPr>
          <w:spacing w:val="-2"/>
          <w:sz w:val="22"/>
          <w:szCs w:val="22"/>
          <w:lang w:val="en-GB"/>
        </w:rPr>
        <w:t>and</w:t>
      </w:r>
      <w:r w:rsidR="006B6676" w:rsidRPr="00195AC2">
        <w:rPr>
          <w:spacing w:val="-2"/>
          <w:sz w:val="22"/>
          <w:szCs w:val="22"/>
          <w:lang w:val="en-GB"/>
        </w:rPr>
        <w:t xml:space="preserve"> </w:t>
      </w:r>
      <w:r w:rsidRPr="00195AC2">
        <w:rPr>
          <w:spacing w:val="-2"/>
          <w:sz w:val="22"/>
          <w:szCs w:val="22"/>
          <w:lang w:val="en-GB"/>
        </w:rPr>
        <w:t>Malaysia</w:t>
      </w:r>
      <w:r w:rsidR="006B6676" w:rsidRPr="00195AC2">
        <w:rPr>
          <w:spacing w:val="-2"/>
          <w:sz w:val="22"/>
          <w:szCs w:val="22"/>
          <w:lang w:val="en-GB"/>
        </w:rPr>
        <w:t xml:space="preserve"> </w:t>
      </w:r>
      <w:r w:rsidRPr="00195AC2">
        <w:rPr>
          <w:spacing w:val="-2"/>
          <w:sz w:val="22"/>
          <w:szCs w:val="22"/>
          <w:lang w:val="en-GB"/>
        </w:rPr>
        <w:t>were</w:t>
      </w:r>
      <w:r w:rsidR="006B6676" w:rsidRPr="00195AC2">
        <w:rPr>
          <w:spacing w:val="-2"/>
          <w:sz w:val="22"/>
          <w:szCs w:val="22"/>
          <w:lang w:val="en-GB"/>
        </w:rPr>
        <w:t xml:space="preserve"> </w:t>
      </w:r>
      <w:r w:rsidRPr="00195AC2">
        <w:rPr>
          <w:spacing w:val="-2"/>
          <w:sz w:val="22"/>
          <w:szCs w:val="22"/>
          <w:lang w:val="en-GB"/>
        </w:rPr>
        <w:t>expected</w:t>
      </w:r>
      <w:r w:rsidR="006B6676" w:rsidRPr="00195AC2">
        <w:rPr>
          <w:spacing w:val="-2"/>
          <w:sz w:val="22"/>
          <w:szCs w:val="22"/>
          <w:lang w:val="en-GB"/>
        </w:rPr>
        <w:t xml:space="preserve"> </w:t>
      </w:r>
      <w:r w:rsidRPr="00195AC2">
        <w:rPr>
          <w:spacing w:val="-2"/>
          <w:sz w:val="22"/>
          <w:szCs w:val="22"/>
          <w:lang w:val="en-GB"/>
        </w:rPr>
        <w:t>to</w:t>
      </w:r>
      <w:r w:rsidR="006B6676" w:rsidRPr="00195AC2">
        <w:rPr>
          <w:spacing w:val="-2"/>
          <w:sz w:val="22"/>
          <w:szCs w:val="22"/>
          <w:lang w:val="en-GB"/>
        </w:rPr>
        <w:t xml:space="preserve"> </w:t>
      </w:r>
      <w:r w:rsidRPr="00195AC2">
        <w:rPr>
          <w:spacing w:val="-2"/>
          <w:sz w:val="22"/>
          <w:szCs w:val="22"/>
          <w:lang w:val="en-GB"/>
        </w:rPr>
        <w:t>drive</w:t>
      </w:r>
      <w:r w:rsidR="006B6676" w:rsidRPr="00195AC2">
        <w:rPr>
          <w:spacing w:val="-2"/>
          <w:sz w:val="22"/>
          <w:szCs w:val="22"/>
          <w:lang w:val="en-GB"/>
        </w:rPr>
        <w:t xml:space="preserve"> </w:t>
      </w:r>
      <w:r w:rsidRPr="00195AC2">
        <w:rPr>
          <w:spacing w:val="-2"/>
          <w:sz w:val="22"/>
          <w:szCs w:val="22"/>
          <w:lang w:val="en-GB"/>
        </w:rPr>
        <w:t>growth</w:t>
      </w:r>
      <w:r w:rsidR="006B6676" w:rsidRPr="00195AC2">
        <w:rPr>
          <w:spacing w:val="-2"/>
          <w:sz w:val="22"/>
          <w:szCs w:val="22"/>
          <w:lang w:val="en-GB"/>
        </w:rPr>
        <w:t xml:space="preserve"> </w:t>
      </w:r>
      <w:r w:rsidRPr="00195AC2">
        <w:rPr>
          <w:spacing w:val="-2"/>
          <w:sz w:val="22"/>
          <w:szCs w:val="22"/>
          <w:lang w:val="en-GB"/>
        </w:rPr>
        <w:t>internationally</w:t>
      </w:r>
      <w:r w:rsidR="006B6676" w:rsidRPr="00195AC2">
        <w:rPr>
          <w:spacing w:val="-2"/>
          <w:sz w:val="22"/>
          <w:szCs w:val="22"/>
          <w:lang w:val="en-GB"/>
        </w:rPr>
        <w:t xml:space="preserve"> </w:t>
      </w:r>
      <w:r w:rsidRPr="00195AC2">
        <w:rPr>
          <w:spacing w:val="-2"/>
          <w:sz w:val="22"/>
          <w:szCs w:val="22"/>
          <w:lang w:val="en-GB"/>
        </w:rPr>
        <w:t>for</w:t>
      </w:r>
      <w:r w:rsidR="006B6676" w:rsidRPr="00195AC2">
        <w:rPr>
          <w:spacing w:val="-2"/>
          <w:sz w:val="22"/>
          <w:szCs w:val="22"/>
          <w:lang w:val="en-GB"/>
        </w:rPr>
        <w:t xml:space="preserve"> </w:t>
      </w:r>
      <w:r w:rsidRPr="00195AC2">
        <w:rPr>
          <w:spacing w:val="-2"/>
          <w:sz w:val="22"/>
          <w:szCs w:val="22"/>
          <w:lang w:val="en-GB"/>
        </w:rPr>
        <w:t>Royal</w:t>
      </w:r>
      <w:r w:rsidR="006B6676" w:rsidRPr="00195AC2">
        <w:rPr>
          <w:spacing w:val="-2"/>
          <w:sz w:val="22"/>
          <w:szCs w:val="22"/>
          <w:lang w:val="en-GB"/>
        </w:rPr>
        <w:t xml:space="preserve"> </w:t>
      </w:r>
      <w:r w:rsidRPr="00195AC2">
        <w:rPr>
          <w:spacing w:val="-2"/>
          <w:sz w:val="22"/>
          <w:szCs w:val="22"/>
          <w:lang w:val="en-GB"/>
        </w:rPr>
        <w:t>Enfield.</w:t>
      </w:r>
      <w:r w:rsidR="006B6676" w:rsidRPr="00195AC2">
        <w:rPr>
          <w:spacing w:val="-2"/>
          <w:sz w:val="22"/>
          <w:szCs w:val="22"/>
          <w:lang w:val="en-GB"/>
        </w:rPr>
        <w:t xml:space="preserve"> </w:t>
      </w:r>
      <w:r w:rsidRPr="00195AC2">
        <w:rPr>
          <w:spacing w:val="-2"/>
          <w:sz w:val="22"/>
          <w:szCs w:val="22"/>
          <w:lang w:val="en-GB"/>
        </w:rPr>
        <w:t>The</w:t>
      </w:r>
      <w:r w:rsidR="006B6676" w:rsidRPr="00195AC2">
        <w:rPr>
          <w:spacing w:val="-2"/>
          <w:sz w:val="22"/>
          <w:szCs w:val="22"/>
          <w:lang w:val="en-GB"/>
        </w:rPr>
        <w:t xml:space="preserve"> </w:t>
      </w:r>
      <w:r w:rsidRPr="00195AC2">
        <w:rPr>
          <w:spacing w:val="-2"/>
          <w:sz w:val="22"/>
          <w:szCs w:val="22"/>
          <w:lang w:val="en-GB"/>
        </w:rPr>
        <w:t>company</w:t>
      </w:r>
      <w:r w:rsidR="006B6676" w:rsidRPr="00195AC2">
        <w:rPr>
          <w:spacing w:val="-2"/>
          <w:sz w:val="22"/>
          <w:szCs w:val="22"/>
          <w:lang w:val="en-GB"/>
        </w:rPr>
        <w:t xml:space="preserve"> </w:t>
      </w:r>
      <w:r w:rsidRPr="00195AC2">
        <w:rPr>
          <w:spacing w:val="-2"/>
          <w:sz w:val="22"/>
          <w:szCs w:val="22"/>
          <w:lang w:val="en-GB"/>
        </w:rPr>
        <w:t>opened</w:t>
      </w:r>
      <w:r w:rsidR="006B6676" w:rsidRPr="00195AC2">
        <w:rPr>
          <w:spacing w:val="-2"/>
          <w:sz w:val="22"/>
          <w:szCs w:val="22"/>
          <w:lang w:val="en-GB"/>
        </w:rPr>
        <w:t xml:space="preserve"> </w:t>
      </w:r>
      <w:r w:rsidRPr="00195AC2">
        <w:rPr>
          <w:spacing w:val="-2"/>
          <w:sz w:val="22"/>
          <w:szCs w:val="22"/>
          <w:lang w:val="en-GB"/>
        </w:rPr>
        <w:t>nine</w:t>
      </w:r>
      <w:r w:rsidR="006B6676" w:rsidRPr="00195AC2">
        <w:rPr>
          <w:spacing w:val="-2"/>
          <w:sz w:val="22"/>
          <w:szCs w:val="22"/>
          <w:lang w:val="en-GB"/>
        </w:rPr>
        <w:t xml:space="preserve"> </w:t>
      </w:r>
      <w:r w:rsidRPr="00195AC2">
        <w:rPr>
          <w:spacing w:val="-2"/>
          <w:sz w:val="22"/>
          <w:szCs w:val="22"/>
          <w:lang w:val="en-GB"/>
        </w:rPr>
        <w:t>outlets</w:t>
      </w:r>
      <w:r w:rsidR="006B6676" w:rsidRPr="00195AC2">
        <w:rPr>
          <w:spacing w:val="-2"/>
          <w:sz w:val="22"/>
          <w:szCs w:val="22"/>
          <w:lang w:val="en-GB"/>
        </w:rPr>
        <w:t xml:space="preserve"> </w:t>
      </w:r>
      <w:r w:rsidRPr="00195AC2">
        <w:rPr>
          <w:spacing w:val="-2"/>
          <w:sz w:val="22"/>
          <w:szCs w:val="22"/>
          <w:lang w:val="en-GB"/>
        </w:rPr>
        <w:t>in</w:t>
      </w:r>
      <w:r w:rsidR="006B6676" w:rsidRPr="00195AC2">
        <w:rPr>
          <w:spacing w:val="-2"/>
          <w:sz w:val="22"/>
          <w:szCs w:val="22"/>
          <w:lang w:val="en-GB"/>
        </w:rPr>
        <w:t xml:space="preserve"> </w:t>
      </w:r>
      <w:r w:rsidRPr="00195AC2">
        <w:rPr>
          <w:spacing w:val="-2"/>
          <w:sz w:val="22"/>
          <w:szCs w:val="22"/>
          <w:lang w:val="en-GB"/>
        </w:rPr>
        <w:t>that</w:t>
      </w:r>
      <w:r w:rsidR="006B6676" w:rsidRPr="00195AC2">
        <w:rPr>
          <w:spacing w:val="-2"/>
          <w:sz w:val="22"/>
          <w:szCs w:val="22"/>
          <w:lang w:val="en-GB"/>
        </w:rPr>
        <w:t xml:space="preserve"> </w:t>
      </w:r>
      <w:r w:rsidRPr="00195AC2">
        <w:rPr>
          <w:spacing w:val="-2"/>
          <w:sz w:val="22"/>
          <w:szCs w:val="22"/>
          <w:lang w:val="en-GB"/>
        </w:rPr>
        <w:t>region</w:t>
      </w:r>
      <w:r w:rsidR="006B6676" w:rsidRPr="00195AC2">
        <w:rPr>
          <w:spacing w:val="-2"/>
          <w:sz w:val="22"/>
          <w:szCs w:val="22"/>
          <w:lang w:val="en-GB"/>
        </w:rPr>
        <w:t xml:space="preserve"> </w:t>
      </w:r>
      <w:r w:rsidRPr="00195AC2">
        <w:rPr>
          <w:spacing w:val="-2"/>
          <w:sz w:val="22"/>
          <w:szCs w:val="22"/>
          <w:lang w:val="en-GB"/>
        </w:rPr>
        <w:t>by</w:t>
      </w:r>
      <w:r w:rsidR="006B6676" w:rsidRPr="00195AC2">
        <w:rPr>
          <w:spacing w:val="-2"/>
          <w:sz w:val="22"/>
          <w:szCs w:val="22"/>
          <w:lang w:val="en-GB"/>
        </w:rPr>
        <w:t xml:space="preserve"> </w:t>
      </w:r>
      <w:r w:rsidRPr="00195AC2">
        <w:rPr>
          <w:spacing w:val="-2"/>
          <w:sz w:val="22"/>
          <w:szCs w:val="22"/>
          <w:lang w:val="en-GB"/>
        </w:rPr>
        <w:t>March</w:t>
      </w:r>
      <w:r w:rsidR="006B6676" w:rsidRPr="00195AC2">
        <w:rPr>
          <w:spacing w:val="-2"/>
          <w:sz w:val="22"/>
          <w:szCs w:val="22"/>
          <w:lang w:val="en-GB"/>
        </w:rPr>
        <w:t xml:space="preserve"> </w:t>
      </w:r>
      <w:r w:rsidRPr="00195AC2">
        <w:rPr>
          <w:spacing w:val="-2"/>
          <w:sz w:val="22"/>
          <w:szCs w:val="22"/>
          <w:lang w:val="en-GB"/>
        </w:rPr>
        <w:t>31,</w:t>
      </w:r>
      <w:r w:rsidR="006B6676" w:rsidRPr="00195AC2">
        <w:rPr>
          <w:spacing w:val="-2"/>
          <w:sz w:val="22"/>
          <w:szCs w:val="22"/>
          <w:lang w:val="en-GB"/>
        </w:rPr>
        <w:t xml:space="preserve"> </w:t>
      </w:r>
      <w:r w:rsidRPr="00195AC2">
        <w:rPr>
          <w:spacing w:val="-2"/>
          <w:sz w:val="22"/>
          <w:szCs w:val="22"/>
          <w:lang w:val="en-GB"/>
        </w:rPr>
        <w:t>2019.</w:t>
      </w:r>
      <w:r w:rsidRPr="00195AC2">
        <w:rPr>
          <w:spacing w:val="-2"/>
          <w:sz w:val="22"/>
          <w:szCs w:val="22"/>
          <w:vertAlign w:val="superscript"/>
          <w:lang w:val="en-GB"/>
        </w:rPr>
        <w:endnoteReference w:id="80"/>
      </w:r>
      <w:r w:rsidR="006B6676" w:rsidRPr="00195AC2">
        <w:rPr>
          <w:spacing w:val="-2"/>
          <w:sz w:val="22"/>
          <w:szCs w:val="22"/>
          <w:lang w:val="en-GB"/>
        </w:rPr>
        <w:t xml:space="preserve"> </w:t>
      </w:r>
      <w:r w:rsidRPr="00195AC2">
        <w:rPr>
          <w:spacing w:val="-2"/>
          <w:sz w:val="22"/>
          <w:szCs w:val="22"/>
          <w:lang w:val="en-GB"/>
        </w:rPr>
        <w:t>Royal</w:t>
      </w:r>
      <w:r w:rsidR="006B6676" w:rsidRPr="00195AC2">
        <w:rPr>
          <w:spacing w:val="-2"/>
          <w:sz w:val="22"/>
          <w:szCs w:val="22"/>
          <w:lang w:val="en-GB"/>
        </w:rPr>
        <w:t xml:space="preserve"> </w:t>
      </w:r>
      <w:r w:rsidRPr="00195AC2">
        <w:rPr>
          <w:spacing w:val="-2"/>
          <w:sz w:val="22"/>
          <w:szCs w:val="22"/>
          <w:lang w:val="en-GB"/>
        </w:rPr>
        <w:t>Enfield</w:t>
      </w:r>
      <w:r w:rsidR="006B6676" w:rsidRPr="00195AC2">
        <w:rPr>
          <w:spacing w:val="-2"/>
          <w:sz w:val="22"/>
          <w:szCs w:val="22"/>
          <w:lang w:val="en-GB"/>
        </w:rPr>
        <w:t xml:space="preserve"> </w:t>
      </w:r>
      <w:r w:rsidRPr="00195AC2">
        <w:rPr>
          <w:spacing w:val="-2"/>
          <w:sz w:val="22"/>
          <w:szCs w:val="22"/>
          <w:lang w:val="en-GB"/>
        </w:rPr>
        <w:t>also</w:t>
      </w:r>
      <w:r w:rsidR="006B6676" w:rsidRPr="00195AC2">
        <w:rPr>
          <w:spacing w:val="-2"/>
          <w:sz w:val="22"/>
          <w:szCs w:val="22"/>
          <w:lang w:val="en-GB"/>
        </w:rPr>
        <w:t xml:space="preserve"> </w:t>
      </w:r>
      <w:r w:rsidRPr="00195AC2">
        <w:rPr>
          <w:spacing w:val="-2"/>
          <w:sz w:val="22"/>
          <w:szCs w:val="22"/>
          <w:lang w:val="en-GB"/>
        </w:rPr>
        <w:t>organized</w:t>
      </w:r>
      <w:r w:rsidR="006B6676" w:rsidRPr="00195AC2">
        <w:rPr>
          <w:spacing w:val="-2"/>
          <w:sz w:val="22"/>
          <w:szCs w:val="22"/>
          <w:lang w:val="en-GB"/>
        </w:rPr>
        <w:t xml:space="preserve"> </w:t>
      </w:r>
      <w:r w:rsidRPr="00195AC2">
        <w:rPr>
          <w:spacing w:val="-2"/>
          <w:sz w:val="22"/>
          <w:szCs w:val="22"/>
          <w:lang w:val="en-GB"/>
        </w:rPr>
        <w:t>the</w:t>
      </w:r>
      <w:r w:rsidR="006B6676" w:rsidRPr="00195AC2">
        <w:rPr>
          <w:spacing w:val="-2"/>
          <w:sz w:val="22"/>
          <w:szCs w:val="22"/>
          <w:lang w:val="en-GB"/>
        </w:rPr>
        <w:t xml:space="preserve"> </w:t>
      </w:r>
      <w:r w:rsidRPr="00195AC2">
        <w:rPr>
          <w:spacing w:val="-2"/>
          <w:sz w:val="22"/>
          <w:szCs w:val="22"/>
          <w:lang w:val="en-GB"/>
        </w:rPr>
        <w:t>first</w:t>
      </w:r>
      <w:r w:rsidR="006B6676" w:rsidRPr="00195AC2">
        <w:rPr>
          <w:spacing w:val="-2"/>
          <w:sz w:val="22"/>
          <w:szCs w:val="22"/>
          <w:lang w:val="en-GB"/>
        </w:rPr>
        <w:t xml:space="preserve"> </w:t>
      </w:r>
      <w:r w:rsidRPr="00195AC2">
        <w:rPr>
          <w:spacing w:val="-2"/>
          <w:sz w:val="22"/>
          <w:szCs w:val="22"/>
          <w:lang w:val="en-GB"/>
        </w:rPr>
        <w:t>Tour</w:t>
      </w:r>
      <w:r w:rsidR="006B6676" w:rsidRPr="00195AC2">
        <w:rPr>
          <w:spacing w:val="-2"/>
          <w:sz w:val="22"/>
          <w:szCs w:val="22"/>
          <w:lang w:val="en-GB"/>
        </w:rPr>
        <w:t xml:space="preserve"> </w:t>
      </w:r>
      <w:r w:rsidRPr="00195AC2">
        <w:rPr>
          <w:spacing w:val="-2"/>
          <w:sz w:val="22"/>
          <w:szCs w:val="22"/>
          <w:lang w:val="en-GB"/>
        </w:rPr>
        <w:t>of</w:t>
      </w:r>
      <w:r w:rsidR="006B6676" w:rsidRPr="00195AC2">
        <w:rPr>
          <w:spacing w:val="-2"/>
          <w:sz w:val="22"/>
          <w:szCs w:val="22"/>
          <w:lang w:val="en-GB"/>
        </w:rPr>
        <w:t xml:space="preserve"> </w:t>
      </w:r>
      <w:r w:rsidRPr="00195AC2">
        <w:rPr>
          <w:spacing w:val="-2"/>
          <w:sz w:val="22"/>
          <w:szCs w:val="22"/>
          <w:lang w:val="en-GB"/>
        </w:rPr>
        <w:t>Indonesia</w:t>
      </w:r>
      <w:r w:rsidR="006B6676" w:rsidRPr="00195AC2">
        <w:rPr>
          <w:spacing w:val="-2"/>
          <w:sz w:val="22"/>
          <w:szCs w:val="22"/>
          <w:lang w:val="en-GB"/>
        </w:rPr>
        <w:t xml:space="preserve"> </w:t>
      </w:r>
      <w:r w:rsidRPr="00195AC2">
        <w:rPr>
          <w:spacing w:val="-2"/>
          <w:sz w:val="22"/>
          <w:szCs w:val="22"/>
          <w:lang w:val="en-GB"/>
        </w:rPr>
        <w:t>in</w:t>
      </w:r>
      <w:r w:rsidR="006B6676" w:rsidRPr="00195AC2">
        <w:rPr>
          <w:spacing w:val="-2"/>
          <w:sz w:val="22"/>
          <w:szCs w:val="22"/>
          <w:lang w:val="en-GB"/>
        </w:rPr>
        <w:t xml:space="preserve"> </w:t>
      </w:r>
      <w:r w:rsidRPr="00195AC2">
        <w:rPr>
          <w:spacing w:val="-2"/>
          <w:sz w:val="22"/>
          <w:szCs w:val="22"/>
          <w:lang w:val="en-GB"/>
        </w:rPr>
        <w:t>2019</w:t>
      </w:r>
      <w:r w:rsidR="006B6676" w:rsidRPr="00195AC2">
        <w:rPr>
          <w:spacing w:val="-2"/>
          <w:sz w:val="22"/>
          <w:szCs w:val="22"/>
          <w:lang w:val="en-GB"/>
        </w:rPr>
        <w:t xml:space="preserve"> </w:t>
      </w:r>
      <w:r w:rsidRPr="00195AC2">
        <w:rPr>
          <w:spacing w:val="-2"/>
          <w:sz w:val="22"/>
          <w:szCs w:val="22"/>
          <w:lang w:val="en-GB"/>
        </w:rPr>
        <w:t>for</w:t>
      </w:r>
      <w:r w:rsidR="006B6676" w:rsidRPr="00195AC2">
        <w:rPr>
          <w:spacing w:val="-2"/>
          <w:sz w:val="22"/>
          <w:szCs w:val="22"/>
          <w:lang w:val="en-GB"/>
        </w:rPr>
        <w:t xml:space="preserve"> </w:t>
      </w:r>
      <w:r w:rsidRPr="00195AC2">
        <w:rPr>
          <w:spacing w:val="-2"/>
          <w:sz w:val="22"/>
          <w:szCs w:val="22"/>
          <w:lang w:val="en-GB"/>
        </w:rPr>
        <w:t>Southeast</w:t>
      </w:r>
      <w:r w:rsidR="006B6676" w:rsidRPr="00195AC2">
        <w:rPr>
          <w:spacing w:val="-2"/>
          <w:sz w:val="22"/>
          <w:szCs w:val="22"/>
          <w:lang w:val="en-GB"/>
        </w:rPr>
        <w:t xml:space="preserve"> </w:t>
      </w:r>
      <w:r w:rsidRPr="00195AC2">
        <w:rPr>
          <w:spacing w:val="-2"/>
          <w:sz w:val="22"/>
          <w:szCs w:val="22"/>
          <w:lang w:val="en-GB"/>
        </w:rPr>
        <w:t>Asian</w:t>
      </w:r>
      <w:r w:rsidR="006B6676" w:rsidRPr="00195AC2">
        <w:rPr>
          <w:spacing w:val="-2"/>
          <w:sz w:val="22"/>
          <w:szCs w:val="22"/>
          <w:lang w:val="en-GB"/>
        </w:rPr>
        <w:t xml:space="preserve"> </w:t>
      </w:r>
      <w:r w:rsidRPr="00195AC2">
        <w:rPr>
          <w:spacing w:val="-2"/>
          <w:sz w:val="22"/>
          <w:szCs w:val="22"/>
          <w:lang w:val="en-GB"/>
        </w:rPr>
        <w:t>motorcycling</w:t>
      </w:r>
      <w:r w:rsidR="006B6676" w:rsidRPr="00195AC2">
        <w:rPr>
          <w:spacing w:val="-2"/>
          <w:sz w:val="22"/>
          <w:szCs w:val="22"/>
          <w:lang w:val="en-GB"/>
        </w:rPr>
        <w:t xml:space="preserve"> </w:t>
      </w:r>
      <w:r w:rsidRPr="00195AC2">
        <w:rPr>
          <w:spacing w:val="-2"/>
          <w:sz w:val="22"/>
          <w:szCs w:val="22"/>
          <w:lang w:val="en-GB"/>
        </w:rPr>
        <w:t>fans.</w:t>
      </w:r>
      <w:r w:rsidR="006B6676" w:rsidRPr="00195AC2">
        <w:rPr>
          <w:spacing w:val="-2"/>
          <w:sz w:val="22"/>
          <w:szCs w:val="22"/>
          <w:lang w:val="en-GB"/>
        </w:rPr>
        <w:t xml:space="preserve"> </w:t>
      </w:r>
      <w:r w:rsidRPr="00195AC2">
        <w:rPr>
          <w:spacing w:val="-2"/>
          <w:sz w:val="22"/>
          <w:szCs w:val="22"/>
          <w:lang w:val="en-GB"/>
        </w:rPr>
        <w:t>The</w:t>
      </w:r>
      <w:r w:rsidR="006B6676" w:rsidRPr="00195AC2">
        <w:rPr>
          <w:spacing w:val="-2"/>
          <w:sz w:val="22"/>
          <w:szCs w:val="22"/>
          <w:lang w:val="en-GB"/>
        </w:rPr>
        <w:t xml:space="preserve"> </w:t>
      </w:r>
      <w:r w:rsidRPr="00195AC2">
        <w:rPr>
          <w:spacing w:val="-2"/>
          <w:sz w:val="22"/>
          <w:szCs w:val="22"/>
          <w:lang w:val="en-GB"/>
        </w:rPr>
        <w:t>five-day</w:t>
      </w:r>
      <w:r w:rsidR="006B6676" w:rsidRPr="00195AC2">
        <w:rPr>
          <w:spacing w:val="-2"/>
          <w:sz w:val="22"/>
          <w:szCs w:val="22"/>
          <w:lang w:val="en-GB"/>
        </w:rPr>
        <w:t xml:space="preserve"> </w:t>
      </w:r>
      <w:r w:rsidRPr="00195AC2">
        <w:rPr>
          <w:spacing w:val="-2"/>
          <w:sz w:val="22"/>
          <w:szCs w:val="22"/>
          <w:lang w:val="en-GB"/>
        </w:rPr>
        <w:t>ride,</w:t>
      </w:r>
      <w:r w:rsidR="006B6676" w:rsidRPr="00195AC2">
        <w:rPr>
          <w:spacing w:val="-2"/>
          <w:sz w:val="22"/>
          <w:szCs w:val="22"/>
          <w:lang w:val="en-GB"/>
        </w:rPr>
        <w:t xml:space="preserve"> </w:t>
      </w:r>
      <w:r w:rsidRPr="00195AC2">
        <w:rPr>
          <w:spacing w:val="-2"/>
          <w:sz w:val="22"/>
          <w:szCs w:val="22"/>
          <w:lang w:val="en-GB"/>
        </w:rPr>
        <w:t>held</w:t>
      </w:r>
      <w:r w:rsidR="006B6676" w:rsidRPr="00195AC2">
        <w:rPr>
          <w:spacing w:val="-2"/>
          <w:sz w:val="22"/>
          <w:szCs w:val="22"/>
          <w:lang w:val="en-GB"/>
        </w:rPr>
        <w:t xml:space="preserve"> </w:t>
      </w:r>
      <w:r w:rsidRPr="00195AC2">
        <w:rPr>
          <w:spacing w:val="-2"/>
          <w:sz w:val="22"/>
          <w:szCs w:val="22"/>
          <w:lang w:val="en-GB"/>
        </w:rPr>
        <w:t>in</w:t>
      </w:r>
      <w:r w:rsidR="006B6676" w:rsidRPr="00195AC2">
        <w:rPr>
          <w:spacing w:val="-2"/>
          <w:sz w:val="22"/>
          <w:szCs w:val="22"/>
          <w:lang w:val="en-GB"/>
        </w:rPr>
        <w:t xml:space="preserve"> </w:t>
      </w:r>
      <w:r w:rsidRPr="00195AC2">
        <w:rPr>
          <w:spacing w:val="-2"/>
          <w:sz w:val="22"/>
          <w:szCs w:val="22"/>
          <w:lang w:val="en-GB"/>
        </w:rPr>
        <w:t>March</w:t>
      </w:r>
      <w:r w:rsidR="006B6676" w:rsidRPr="00195AC2">
        <w:rPr>
          <w:spacing w:val="-2"/>
          <w:sz w:val="22"/>
          <w:szCs w:val="22"/>
          <w:lang w:val="en-GB"/>
        </w:rPr>
        <w:t xml:space="preserve"> </w:t>
      </w:r>
      <w:r w:rsidRPr="00195AC2">
        <w:rPr>
          <w:spacing w:val="-2"/>
          <w:sz w:val="22"/>
          <w:szCs w:val="22"/>
          <w:lang w:val="en-GB"/>
        </w:rPr>
        <w:t>2019,</w:t>
      </w:r>
      <w:r w:rsidR="006B6676" w:rsidRPr="00195AC2">
        <w:rPr>
          <w:spacing w:val="-2"/>
          <w:sz w:val="22"/>
          <w:szCs w:val="22"/>
          <w:lang w:val="en-GB"/>
        </w:rPr>
        <w:t xml:space="preserve"> </w:t>
      </w:r>
      <w:r w:rsidRPr="00195AC2">
        <w:rPr>
          <w:spacing w:val="-2"/>
          <w:sz w:val="22"/>
          <w:szCs w:val="22"/>
          <w:lang w:val="en-GB"/>
        </w:rPr>
        <w:t>started</w:t>
      </w:r>
      <w:r w:rsidR="006B6676" w:rsidRPr="00195AC2">
        <w:rPr>
          <w:spacing w:val="-2"/>
          <w:sz w:val="22"/>
          <w:szCs w:val="22"/>
          <w:lang w:val="en-GB"/>
        </w:rPr>
        <w:t xml:space="preserve"> </w:t>
      </w:r>
      <w:r w:rsidRPr="00195AC2">
        <w:rPr>
          <w:spacing w:val="-2"/>
          <w:sz w:val="22"/>
          <w:szCs w:val="22"/>
          <w:lang w:val="en-GB"/>
        </w:rPr>
        <w:t>in</w:t>
      </w:r>
      <w:r w:rsidR="006B6676" w:rsidRPr="00195AC2">
        <w:rPr>
          <w:spacing w:val="-2"/>
          <w:sz w:val="22"/>
          <w:szCs w:val="22"/>
          <w:lang w:val="en-GB"/>
        </w:rPr>
        <w:t xml:space="preserve"> </w:t>
      </w:r>
      <w:r w:rsidRPr="00195AC2">
        <w:rPr>
          <w:spacing w:val="-2"/>
          <w:sz w:val="22"/>
          <w:szCs w:val="22"/>
          <w:lang w:val="en-GB"/>
        </w:rPr>
        <w:t>Jakarta</w:t>
      </w:r>
      <w:r w:rsidR="006B6676" w:rsidRPr="00195AC2">
        <w:rPr>
          <w:spacing w:val="-2"/>
          <w:sz w:val="22"/>
          <w:szCs w:val="22"/>
          <w:lang w:val="en-GB"/>
        </w:rPr>
        <w:t xml:space="preserve"> </w:t>
      </w:r>
      <w:r w:rsidRPr="00195AC2">
        <w:rPr>
          <w:spacing w:val="-2"/>
          <w:sz w:val="22"/>
          <w:szCs w:val="22"/>
          <w:lang w:val="en-GB"/>
        </w:rPr>
        <w:t>and</w:t>
      </w:r>
      <w:r w:rsidR="006B6676" w:rsidRPr="00195AC2">
        <w:rPr>
          <w:spacing w:val="-2"/>
          <w:sz w:val="22"/>
          <w:szCs w:val="22"/>
          <w:lang w:val="en-GB"/>
        </w:rPr>
        <w:t xml:space="preserve"> </w:t>
      </w:r>
      <w:r w:rsidRPr="00195AC2">
        <w:rPr>
          <w:spacing w:val="-2"/>
          <w:sz w:val="22"/>
          <w:szCs w:val="22"/>
          <w:lang w:val="en-GB"/>
        </w:rPr>
        <w:t>ended</w:t>
      </w:r>
      <w:r w:rsidR="006B6676" w:rsidRPr="00195AC2">
        <w:rPr>
          <w:spacing w:val="-2"/>
          <w:sz w:val="22"/>
          <w:szCs w:val="22"/>
          <w:lang w:val="en-GB"/>
        </w:rPr>
        <w:t xml:space="preserve"> </w:t>
      </w:r>
      <w:r w:rsidRPr="00195AC2">
        <w:rPr>
          <w:spacing w:val="-2"/>
          <w:sz w:val="22"/>
          <w:szCs w:val="22"/>
          <w:lang w:val="en-GB"/>
        </w:rPr>
        <w:t>in</w:t>
      </w:r>
      <w:r w:rsidR="006B6676" w:rsidRPr="00195AC2">
        <w:rPr>
          <w:spacing w:val="-2"/>
          <w:sz w:val="22"/>
          <w:szCs w:val="22"/>
          <w:lang w:val="en-GB"/>
        </w:rPr>
        <w:t xml:space="preserve"> </w:t>
      </w:r>
      <w:r w:rsidRPr="00195AC2">
        <w:rPr>
          <w:spacing w:val="-2"/>
          <w:sz w:val="22"/>
          <w:szCs w:val="22"/>
          <w:lang w:val="en-GB"/>
        </w:rPr>
        <w:t>Bali,</w:t>
      </w:r>
      <w:r w:rsidR="006B6676" w:rsidRPr="00195AC2">
        <w:rPr>
          <w:spacing w:val="-2"/>
          <w:sz w:val="22"/>
          <w:szCs w:val="22"/>
          <w:lang w:val="en-GB"/>
        </w:rPr>
        <w:t xml:space="preserve"> </w:t>
      </w:r>
      <w:r w:rsidRPr="00195AC2">
        <w:rPr>
          <w:spacing w:val="-2"/>
          <w:sz w:val="22"/>
          <w:szCs w:val="22"/>
          <w:lang w:val="en-GB"/>
        </w:rPr>
        <w:t>covering</w:t>
      </w:r>
      <w:r w:rsidR="006B6676" w:rsidRPr="00195AC2">
        <w:rPr>
          <w:spacing w:val="-2"/>
          <w:sz w:val="22"/>
          <w:szCs w:val="22"/>
          <w:lang w:val="en-GB"/>
        </w:rPr>
        <w:t xml:space="preserve"> </w:t>
      </w:r>
      <w:r w:rsidRPr="00195AC2">
        <w:rPr>
          <w:spacing w:val="-2"/>
          <w:sz w:val="22"/>
          <w:szCs w:val="22"/>
          <w:lang w:val="en-GB"/>
        </w:rPr>
        <w:t>a</w:t>
      </w:r>
      <w:r w:rsidR="006B6676" w:rsidRPr="00195AC2">
        <w:rPr>
          <w:spacing w:val="-2"/>
          <w:sz w:val="22"/>
          <w:szCs w:val="22"/>
          <w:lang w:val="en-GB"/>
        </w:rPr>
        <w:t xml:space="preserve"> </w:t>
      </w:r>
      <w:r w:rsidRPr="00195AC2">
        <w:rPr>
          <w:spacing w:val="-2"/>
          <w:sz w:val="22"/>
          <w:szCs w:val="22"/>
          <w:lang w:val="en-GB"/>
        </w:rPr>
        <w:t>distance</w:t>
      </w:r>
      <w:r w:rsidR="006B6676" w:rsidRPr="00195AC2">
        <w:rPr>
          <w:spacing w:val="-2"/>
          <w:sz w:val="22"/>
          <w:szCs w:val="22"/>
          <w:lang w:val="en-GB"/>
        </w:rPr>
        <w:t xml:space="preserve"> </w:t>
      </w:r>
      <w:r w:rsidRPr="00195AC2">
        <w:rPr>
          <w:spacing w:val="-2"/>
          <w:sz w:val="22"/>
          <w:szCs w:val="22"/>
          <w:lang w:val="en-GB"/>
        </w:rPr>
        <w:t>of</w:t>
      </w:r>
      <w:r w:rsidR="006B6676" w:rsidRPr="00195AC2">
        <w:rPr>
          <w:spacing w:val="-2"/>
          <w:sz w:val="22"/>
          <w:szCs w:val="22"/>
          <w:lang w:val="en-GB"/>
        </w:rPr>
        <w:t xml:space="preserve"> </w:t>
      </w:r>
      <w:r w:rsidRPr="00195AC2">
        <w:rPr>
          <w:spacing w:val="-2"/>
          <w:sz w:val="22"/>
          <w:szCs w:val="22"/>
          <w:lang w:val="en-GB"/>
        </w:rPr>
        <w:t>1,400</w:t>
      </w:r>
      <w:r w:rsidR="006B6676" w:rsidRPr="00195AC2">
        <w:rPr>
          <w:spacing w:val="-2"/>
          <w:sz w:val="22"/>
          <w:szCs w:val="22"/>
          <w:lang w:val="en-GB"/>
        </w:rPr>
        <w:t xml:space="preserve"> </w:t>
      </w:r>
      <w:r w:rsidRPr="00195AC2">
        <w:rPr>
          <w:spacing w:val="-2"/>
          <w:sz w:val="22"/>
          <w:szCs w:val="22"/>
          <w:lang w:val="en-GB"/>
        </w:rPr>
        <w:t>kilometres.</w:t>
      </w:r>
      <w:r w:rsidRPr="00195AC2">
        <w:rPr>
          <w:spacing w:val="-2"/>
          <w:sz w:val="22"/>
          <w:szCs w:val="22"/>
          <w:vertAlign w:val="superscript"/>
          <w:lang w:val="en-GB"/>
        </w:rPr>
        <w:endnoteReference w:id="81"/>
      </w:r>
    </w:p>
    <w:p w14:paraId="0561E549" w14:textId="77777777" w:rsidR="00CA6A0D" w:rsidRPr="00F26A3E" w:rsidRDefault="00CA6A0D" w:rsidP="00B607FC">
      <w:pPr>
        <w:jc w:val="both"/>
        <w:rPr>
          <w:sz w:val="22"/>
          <w:szCs w:val="22"/>
          <w:lang w:val="en-GB"/>
        </w:rPr>
      </w:pPr>
    </w:p>
    <w:p w14:paraId="17A5D1B4" w14:textId="77777777" w:rsidR="00CA6A0D" w:rsidRPr="00F26A3E" w:rsidRDefault="00CA6A0D" w:rsidP="00B607FC">
      <w:pPr>
        <w:jc w:val="both"/>
        <w:rPr>
          <w:sz w:val="22"/>
          <w:szCs w:val="22"/>
          <w:lang w:val="en-GB"/>
        </w:rPr>
      </w:pPr>
    </w:p>
    <w:p w14:paraId="4F6A9200" w14:textId="3A510CF5" w:rsidR="00CA6A0D" w:rsidRPr="00F26A3E" w:rsidRDefault="00CA6A0D" w:rsidP="007C2757">
      <w:pPr>
        <w:pStyle w:val="Casehead1"/>
        <w:keepNext/>
        <w:rPr>
          <w:lang w:val="en-GB"/>
        </w:rPr>
      </w:pPr>
      <w:r w:rsidRPr="00F26A3E">
        <w:rPr>
          <w:lang w:val="en-GB"/>
        </w:rPr>
        <w:t>royal</w:t>
      </w:r>
      <w:r w:rsidR="006B6676">
        <w:rPr>
          <w:lang w:val="en-GB"/>
        </w:rPr>
        <w:t xml:space="preserve"> </w:t>
      </w:r>
      <w:r w:rsidRPr="00F26A3E">
        <w:rPr>
          <w:lang w:val="en-GB"/>
        </w:rPr>
        <w:t>enfield</w:t>
      </w:r>
      <w:r>
        <w:rPr>
          <w:lang w:val="en-GB"/>
        </w:rPr>
        <w:t>’s</w:t>
      </w:r>
      <w:r w:rsidR="006B6676">
        <w:rPr>
          <w:lang w:val="en-GB"/>
        </w:rPr>
        <w:t xml:space="preserve"> </w:t>
      </w:r>
      <w:r w:rsidRPr="00F26A3E">
        <w:rPr>
          <w:lang w:val="en-GB"/>
        </w:rPr>
        <w:t>Financial</w:t>
      </w:r>
      <w:r w:rsidR="006B6676">
        <w:rPr>
          <w:lang w:val="en-GB"/>
        </w:rPr>
        <w:t xml:space="preserve"> </w:t>
      </w:r>
      <w:r w:rsidRPr="00F26A3E">
        <w:rPr>
          <w:lang w:val="en-GB"/>
        </w:rPr>
        <w:t>Position</w:t>
      </w:r>
      <w:r w:rsidR="006B6676">
        <w:rPr>
          <w:lang w:val="en-GB"/>
        </w:rPr>
        <w:t xml:space="preserve"> </w:t>
      </w:r>
    </w:p>
    <w:p w14:paraId="466FD8E6" w14:textId="77777777" w:rsidR="00CA6A0D" w:rsidRPr="00F26A3E" w:rsidRDefault="00CA6A0D" w:rsidP="007C2757">
      <w:pPr>
        <w:keepNext/>
        <w:jc w:val="both"/>
        <w:rPr>
          <w:sz w:val="22"/>
          <w:szCs w:val="22"/>
          <w:lang w:val="en-GB"/>
        </w:rPr>
      </w:pPr>
    </w:p>
    <w:p w14:paraId="4BE0D3A9" w14:textId="72278F79" w:rsidR="00CA6A0D" w:rsidRPr="00F26A3E" w:rsidRDefault="00CA6A0D" w:rsidP="007C2757">
      <w:pPr>
        <w:keepNext/>
        <w:jc w:val="both"/>
        <w:rPr>
          <w:sz w:val="22"/>
          <w:szCs w:val="22"/>
          <w:lang w:val="en-GB"/>
        </w:rPr>
      </w:pPr>
      <w:r w:rsidRPr="00F26A3E">
        <w:rPr>
          <w:sz w:val="22"/>
          <w:szCs w:val="22"/>
          <w:lang w:val="en-GB"/>
        </w:rPr>
        <w:t>The</w:t>
      </w:r>
      <w:r w:rsidR="006B6676">
        <w:rPr>
          <w:sz w:val="22"/>
          <w:szCs w:val="22"/>
          <w:lang w:val="en-GB"/>
        </w:rPr>
        <w:t xml:space="preserve"> </w:t>
      </w:r>
      <w:r w:rsidRPr="00F26A3E">
        <w:rPr>
          <w:sz w:val="22"/>
          <w:szCs w:val="22"/>
          <w:lang w:val="en-GB"/>
        </w:rPr>
        <w:t>success</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brand</w:t>
      </w:r>
      <w:r w:rsidR="006B6676">
        <w:rPr>
          <w:sz w:val="22"/>
          <w:szCs w:val="22"/>
          <w:lang w:val="en-GB"/>
        </w:rPr>
        <w:t xml:space="preserve"> </w:t>
      </w:r>
      <w:r w:rsidRPr="00F26A3E">
        <w:rPr>
          <w:sz w:val="22"/>
          <w:szCs w:val="22"/>
          <w:lang w:val="en-GB"/>
        </w:rPr>
        <w:t>led</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to</w:t>
      </w:r>
      <w:r>
        <w:rPr>
          <w:sz w:val="22"/>
          <w:szCs w:val="22"/>
          <w:lang w:val="en-GB"/>
        </w:rPr>
        <w:t>ward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robust</w:t>
      </w:r>
      <w:r w:rsidR="006B6676">
        <w:rPr>
          <w:sz w:val="22"/>
          <w:szCs w:val="22"/>
          <w:lang w:val="en-GB"/>
        </w:rPr>
        <w:t xml:space="preserve"> </w:t>
      </w:r>
      <w:r w:rsidRPr="00F26A3E">
        <w:rPr>
          <w:sz w:val="22"/>
          <w:szCs w:val="22"/>
          <w:lang w:val="en-GB"/>
        </w:rPr>
        <w:t>financial</w:t>
      </w:r>
      <w:r w:rsidR="006B6676">
        <w:rPr>
          <w:sz w:val="22"/>
          <w:szCs w:val="22"/>
          <w:lang w:val="en-GB"/>
        </w:rPr>
        <w:t xml:space="preserve"> </w:t>
      </w:r>
      <w:r w:rsidRPr="00F26A3E">
        <w:rPr>
          <w:sz w:val="22"/>
          <w:szCs w:val="22"/>
          <w:lang w:val="en-GB"/>
        </w:rPr>
        <w:t>position.</w:t>
      </w:r>
      <w:r w:rsidR="006B6676">
        <w:rPr>
          <w:sz w:val="22"/>
          <w:szCs w:val="22"/>
          <w:lang w:val="en-GB"/>
        </w:rPr>
        <w:t xml:space="preserve"> </w:t>
      </w:r>
      <w:r w:rsidRPr="00F26A3E">
        <w:rPr>
          <w:sz w:val="22"/>
          <w:szCs w:val="22"/>
          <w:lang w:val="en-GB"/>
        </w:rPr>
        <w:t>Sales</w:t>
      </w:r>
      <w:r w:rsidR="006B6676">
        <w:rPr>
          <w:sz w:val="22"/>
          <w:szCs w:val="22"/>
          <w:lang w:val="en-GB"/>
        </w:rPr>
        <w:t xml:space="preserve"> </w:t>
      </w:r>
      <w:r w:rsidRPr="00F26A3E">
        <w:rPr>
          <w:sz w:val="22"/>
          <w:szCs w:val="22"/>
          <w:lang w:val="en-GB"/>
        </w:rPr>
        <w:t>revenue</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more</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doubled</w:t>
      </w:r>
      <w:r w:rsidR="006B6676">
        <w:rPr>
          <w:sz w:val="22"/>
          <w:szCs w:val="22"/>
          <w:lang w:val="en-GB"/>
        </w:rPr>
        <w:t xml:space="preserve"> </w:t>
      </w:r>
      <w:r w:rsidRPr="00F26A3E">
        <w:rPr>
          <w:sz w:val="22"/>
          <w:szCs w:val="22"/>
          <w:lang w:val="en-GB"/>
        </w:rPr>
        <w:t>from</w:t>
      </w:r>
      <w:r w:rsidR="006B6676">
        <w:rPr>
          <w:sz w:val="22"/>
          <w:szCs w:val="22"/>
          <w:lang w:val="en-GB"/>
        </w:rPr>
        <w:t xml:space="preserve"> </w:t>
      </w:r>
      <w:r>
        <w:rPr>
          <w:sz w:val="22"/>
          <w:szCs w:val="22"/>
          <w:lang w:val="en-GB"/>
        </w:rPr>
        <w:t>₹</w:t>
      </w:r>
      <w:r w:rsidRPr="00F26A3E">
        <w:rPr>
          <w:sz w:val="22"/>
          <w:szCs w:val="22"/>
          <w:lang w:val="en-GB"/>
        </w:rPr>
        <w:t>3</w:t>
      </w:r>
      <w:r>
        <w:rPr>
          <w:sz w:val="22"/>
          <w:szCs w:val="22"/>
          <w:lang w:val="en-GB"/>
        </w:rPr>
        <w:t>.</w:t>
      </w:r>
      <w:r w:rsidRPr="00F26A3E">
        <w:rPr>
          <w:sz w:val="22"/>
          <w:szCs w:val="22"/>
          <w:lang w:val="en-GB"/>
        </w:rPr>
        <w:t>5</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199</w:t>
      </w:r>
      <w:r>
        <w:rPr>
          <w:sz w:val="22"/>
          <w:szCs w:val="22"/>
          <w:lang w:val="en-GB"/>
        </w:rPr>
        <w:t>8–9</w:t>
      </w:r>
      <w:r w:rsidRPr="00F26A3E">
        <w:rPr>
          <w:sz w:val="22"/>
          <w:szCs w:val="22"/>
          <w:lang w:val="en-GB"/>
        </w:rPr>
        <w:t>9</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w:t>
      </w:r>
      <w:r w:rsidRPr="00F26A3E">
        <w:rPr>
          <w:sz w:val="22"/>
          <w:szCs w:val="22"/>
          <w:lang w:val="en-GB"/>
        </w:rPr>
        <w:t>7</w:t>
      </w:r>
      <w:r>
        <w:rPr>
          <w:sz w:val="22"/>
          <w:szCs w:val="22"/>
          <w:lang w:val="en-GB"/>
        </w:rPr>
        <w:t>.</w:t>
      </w:r>
      <w:r w:rsidRPr="00F26A3E">
        <w:rPr>
          <w:sz w:val="22"/>
          <w:szCs w:val="22"/>
          <w:lang w:val="en-GB"/>
        </w:rPr>
        <w:t>7</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FY</w:t>
      </w:r>
      <w:r w:rsidR="006B6676">
        <w:rPr>
          <w:sz w:val="22"/>
          <w:szCs w:val="22"/>
          <w:lang w:val="en-GB"/>
        </w:rPr>
        <w:t xml:space="preserve"> </w:t>
      </w:r>
      <w:r w:rsidRPr="00F26A3E">
        <w:rPr>
          <w:sz w:val="22"/>
          <w:szCs w:val="22"/>
          <w:lang w:val="en-GB"/>
        </w:rPr>
        <w:t>200</w:t>
      </w:r>
      <w:r>
        <w:rPr>
          <w:sz w:val="22"/>
          <w:szCs w:val="22"/>
          <w:lang w:val="en-GB"/>
        </w:rPr>
        <w:t>7–0</w:t>
      </w:r>
      <w:r w:rsidRPr="00F26A3E">
        <w:rPr>
          <w:sz w:val="22"/>
          <w:szCs w:val="22"/>
          <w:lang w:val="en-GB"/>
        </w:rPr>
        <w:t>8</w:t>
      </w:r>
      <w:r w:rsidR="006B6676">
        <w:rPr>
          <w:sz w:val="22"/>
          <w:szCs w:val="22"/>
          <w:lang w:val="en-GB"/>
        </w:rPr>
        <w:t xml:space="preserve"> </w:t>
      </w:r>
      <w:r>
        <w:rPr>
          <w:sz w:val="22"/>
          <w:szCs w:val="22"/>
          <w:lang w:val="en-GB"/>
        </w:rPr>
        <w:t>(see</w:t>
      </w:r>
      <w:r w:rsidR="006B6676">
        <w:rPr>
          <w:sz w:val="22"/>
          <w:szCs w:val="22"/>
          <w:lang w:val="en-GB"/>
        </w:rPr>
        <w:t xml:space="preserve"> </w:t>
      </w:r>
      <w:r>
        <w:rPr>
          <w:sz w:val="22"/>
          <w:szCs w:val="22"/>
          <w:lang w:val="en-GB"/>
        </w:rPr>
        <w:t>Exhibits</w:t>
      </w:r>
      <w:r w:rsidR="006B6676">
        <w:rPr>
          <w:sz w:val="22"/>
          <w:szCs w:val="22"/>
          <w:lang w:val="en-GB"/>
        </w:rPr>
        <w:t xml:space="preserve"> </w:t>
      </w:r>
      <w:r>
        <w:rPr>
          <w:sz w:val="22"/>
          <w:szCs w:val="22"/>
          <w:lang w:val="en-GB"/>
        </w:rPr>
        <w:t>6A</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6B)</w:t>
      </w:r>
      <w:r w:rsidRPr="00F26A3E">
        <w:rPr>
          <w:sz w:val="22"/>
          <w:szCs w:val="22"/>
          <w:lang w:val="en-GB"/>
        </w:rPr>
        <w: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Pr>
          <w:sz w:val="22"/>
          <w:szCs w:val="22"/>
          <w:lang w:val="en-GB"/>
        </w:rPr>
        <w:t>’s</w:t>
      </w:r>
      <w:r w:rsidR="006B6676">
        <w:rPr>
          <w:sz w:val="22"/>
          <w:szCs w:val="22"/>
          <w:lang w:val="en-GB"/>
        </w:rPr>
        <w:t xml:space="preserve"> </w:t>
      </w:r>
      <w:r>
        <w:rPr>
          <w:sz w:val="22"/>
          <w:szCs w:val="22"/>
          <w:lang w:val="en-GB"/>
        </w:rPr>
        <w:t>parent</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Eicher</w:t>
      </w:r>
      <w:r>
        <w:rPr>
          <w:sz w:val="22"/>
          <w:szCs w:val="22"/>
          <w:lang w:val="en-GB"/>
        </w:rPr>
        <w:t>,</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restructured</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businesses</w:t>
      </w:r>
      <w:r w:rsidR="006B6676">
        <w:rPr>
          <w:sz w:val="22"/>
          <w:szCs w:val="22"/>
          <w:lang w:val="en-GB"/>
        </w:rPr>
        <w:t xml:space="preserve"> </w:t>
      </w:r>
      <w:r>
        <w:rPr>
          <w:sz w:val="22"/>
          <w:szCs w:val="22"/>
          <w:lang w:val="en-GB"/>
        </w:rPr>
        <w:t>over</w:t>
      </w:r>
      <w:r w:rsidR="006B6676">
        <w:rPr>
          <w:sz w:val="22"/>
          <w:szCs w:val="22"/>
          <w:lang w:val="en-GB"/>
        </w:rPr>
        <w:t xml:space="preserve"> </w:t>
      </w:r>
      <w:r w:rsidRPr="00F26A3E">
        <w:rPr>
          <w:sz w:val="22"/>
          <w:szCs w:val="22"/>
          <w:lang w:val="en-GB"/>
        </w:rPr>
        <w:t>this</w:t>
      </w:r>
      <w:r w:rsidR="006B6676">
        <w:rPr>
          <w:sz w:val="22"/>
          <w:szCs w:val="22"/>
          <w:lang w:val="en-GB"/>
        </w:rPr>
        <w:t xml:space="preserve"> </w:t>
      </w:r>
      <w:r w:rsidRPr="00F26A3E">
        <w:rPr>
          <w:sz w:val="22"/>
          <w:szCs w:val="22"/>
          <w:lang w:val="en-GB"/>
        </w:rPr>
        <w:t>period</w:t>
      </w:r>
      <w:r>
        <w:rPr>
          <w:sz w:val="22"/>
          <w:szCs w:val="22"/>
          <w:lang w:val="en-GB"/>
        </w:rPr>
        <w:t>,</w:t>
      </w:r>
      <w:r w:rsidR="006B6676">
        <w:rPr>
          <w:sz w:val="22"/>
          <w:szCs w:val="22"/>
          <w:lang w:val="en-GB"/>
        </w:rPr>
        <w:t xml:space="preserve"> </w:t>
      </w:r>
      <w:r>
        <w:rPr>
          <w:sz w:val="22"/>
          <w:szCs w:val="22"/>
          <w:lang w:val="en-GB"/>
        </w:rPr>
        <w:t>shifting</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sidRPr="00F26A3E">
        <w:rPr>
          <w:sz w:val="22"/>
          <w:szCs w:val="22"/>
          <w:lang w:val="en-GB"/>
        </w:rPr>
        <w:t>focus</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division.</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also</w:t>
      </w:r>
      <w:r w:rsidR="006B6676">
        <w:rPr>
          <w:sz w:val="22"/>
          <w:szCs w:val="22"/>
          <w:lang w:val="en-GB"/>
        </w:rPr>
        <w:t xml:space="preserve"> </w:t>
      </w:r>
      <w:r w:rsidRPr="00F26A3E">
        <w:rPr>
          <w:sz w:val="22"/>
          <w:szCs w:val="22"/>
          <w:lang w:val="en-GB"/>
        </w:rPr>
        <w:t>introduced</w:t>
      </w:r>
      <w:r w:rsidR="006B6676">
        <w:rPr>
          <w:sz w:val="22"/>
          <w:szCs w:val="22"/>
          <w:lang w:val="en-GB"/>
        </w:rPr>
        <w:t xml:space="preserve"> </w:t>
      </w:r>
      <w:r>
        <w:rPr>
          <w:sz w:val="22"/>
          <w:szCs w:val="22"/>
          <w:lang w:val="en-GB"/>
        </w:rPr>
        <w:t>various</w:t>
      </w:r>
      <w:r w:rsidR="006B6676">
        <w:rPr>
          <w:sz w:val="22"/>
          <w:szCs w:val="22"/>
          <w:lang w:val="en-GB"/>
        </w:rPr>
        <w:t xml:space="preserve"> </w:t>
      </w:r>
      <w:r w:rsidRPr="00F26A3E">
        <w:rPr>
          <w:sz w:val="22"/>
          <w:szCs w:val="22"/>
          <w:lang w:val="en-GB"/>
        </w:rPr>
        <w:t>quality</w:t>
      </w:r>
      <w:r w:rsidR="006B6676">
        <w:rPr>
          <w:sz w:val="22"/>
          <w:szCs w:val="22"/>
          <w:lang w:val="en-GB"/>
        </w:rPr>
        <w:t xml:space="preserve"> </w:t>
      </w:r>
      <w:r w:rsidRPr="00F26A3E">
        <w:rPr>
          <w:sz w:val="22"/>
          <w:szCs w:val="22"/>
          <w:lang w:val="en-GB"/>
        </w:rPr>
        <w:t>improvement</w:t>
      </w:r>
      <w:r w:rsidR="006B6676">
        <w:rPr>
          <w:sz w:val="22"/>
          <w:szCs w:val="22"/>
          <w:lang w:val="en-GB"/>
        </w:rPr>
        <w:t xml:space="preserve"> </w:t>
      </w:r>
      <w:r w:rsidRPr="00F26A3E">
        <w:rPr>
          <w:sz w:val="22"/>
          <w:szCs w:val="22"/>
          <w:lang w:val="en-GB"/>
        </w:rPr>
        <w:t>initiatives</w:t>
      </w:r>
      <w:r w:rsidR="006B6676">
        <w:rPr>
          <w:sz w:val="22"/>
          <w:szCs w:val="22"/>
          <w:lang w:val="en-GB"/>
        </w:rPr>
        <w:t xml:space="preserve"> </w:t>
      </w:r>
      <w:r w:rsidRPr="00F26A3E">
        <w:rPr>
          <w:sz w:val="22"/>
          <w:szCs w:val="22"/>
          <w:lang w:val="en-GB"/>
        </w:rPr>
        <w:t>that</w:t>
      </w:r>
      <w:r w:rsidR="006B6676">
        <w:rPr>
          <w:sz w:val="22"/>
          <w:szCs w:val="22"/>
          <w:lang w:val="en-GB"/>
        </w:rPr>
        <w:t xml:space="preserve"> </w:t>
      </w:r>
      <w:r>
        <w:rPr>
          <w:sz w:val="22"/>
          <w:szCs w:val="22"/>
          <w:lang w:val="en-GB"/>
        </w:rPr>
        <w:t>had</w:t>
      </w:r>
      <w:r w:rsidR="006B6676">
        <w:rPr>
          <w:sz w:val="22"/>
          <w:szCs w:val="22"/>
          <w:lang w:val="en-GB"/>
        </w:rPr>
        <w:t xml:space="preserve"> </w:t>
      </w:r>
      <w:r w:rsidRPr="00F26A3E">
        <w:rPr>
          <w:sz w:val="22"/>
          <w:szCs w:val="22"/>
          <w:lang w:val="en-GB"/>
        </w:rPr>
        <w:t>set</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tone</w:t>
      </w:r>
      <w:r w:rsidR="006B6676">
        <w:rPr>
          <w:sz w:val="22"/>
          <w:szCs w:val="22"/>
          <w:lang w:val="en-GB"/>
        </w:rPr>
        <w:t xml:space="preserve"> </w:t>
      </w:r>
      <w:r w:rsidRPr="00F26A3E">
        <w:rPr>
          <w:sz w:val="22"/>
          <w:szCs w:val="22"/>
          <w:lang w:val="en-GB"/>
        </w:rPr>
        <w:t>for</w:t>
      </w:r>
      <w:r w:rsidR="006B6676">
        <w:rPr>
          <w:sz w:val="22"/>
          <w:szCs w:val="22"/>
          <w:lang w:val="en-GB"/>
        </w:rPr>
        <w:t xml:space="preserve"> </w:t>
      </w:r>
      <w:r w:rsidRPr="00F26A3E">
        <w:rPr>
          <w:sz w:val="22"/>
          <w:szCs w:val="22"/>
          <w:lang w:val="en-GB"/>
        </w:rPr>
        <w:t>rapid</w:t>
      </w:r>
      <w:r w:rsidR="006B6676">
        <w:rPr>
          <w:sz w:val="22"/>
          <w:szCs w:val="22"/>
          <w:lang w:val="en-GB"/>
        </w:rPr>
        <w:t xml:space="preserve"> </w:t>
      </w:r>
      <w:r w:rsidRPr="00F26A3E">
        <w:rPr>
          <w:sz w:val="22"/>
          <w:szCs w:val="22"/>
          <w:lang w:val="en-GB"/>
        </w:rPr>
        <w:t>growth</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years</w:t>
      </w:r>
      <w:r w:rsidR="006B6676">
        <w:rPr>
          <w:sz w:val="22"/>
          <w:szCs w:val="22"/>
          <w:lang w:val="en-GB"/>
        </w:rPr>
        <w:t xml:space="preserve"> </w:t>
      </w:r>
      <w:r>
        <w:rPr>
          <w:sz w:val="22"/>
          <w:szCs w:val="22"/>
          <w:lang w:val="en-GB"/>
        </w:rPr>
        <w:t>that</w:t>
      </w:r>
      <w:r w:rsidR="006B6676">
        <w:rPr>
          <w:sz w:val="22"/>
          <w:szCs w:val="22"/>
          <w:lang w:val="en-GB"/>
        </w:rPr>
        <w:t xml:space="preserve"> </w:t>
      </w:r>
      <w:r w:rsidRPr="00F26A3E">
        <w:rPr>
          <w:sz w:val="22"/>
          <w:szCs w:val="22"/>
          <w:lang w:val="en-GB"/>
        </w:rPr>
        <w:t>follow</w:t>
      </w:r>
      <w:r>
        <w:rPr>
          <w:sz w:val="22"/>
          <w:szCs w:val="22"/>
          <w:lang w:val="en-GB"/>
        </w:rPr>
        <w:t>ed</w:t>
      </w:r>
      <w:r w:rsidRPr="00F26A3E">
        <w:rPr>
          <w:sz w:val="22"/>
          <w:szCs w:val="22"/>
          <w:lang w:val="en-GB"/>
        </w:rPr>
        <w:t>.</w:t>
      </w:r>
      <w:r w:rsidR="006B6676">
        <w:rPr>
          <w:sz w:val="22"/>
          <w:szCs w:val="22"/>
          <w:lang w:val="en-GB"/>
        </w:rPr>
        <w:t xml:space="preserve"> </w:t>
      </w:r>
      <w:r w:rsidRPr="00F26A3E">
        <w:rPr>
          <w:sz w:val="22"/>
          <w:szCs w:val="22"/>
          <w:lang w:val="en-GB"/>
        </w:rPr>
        <w:t>Revenue</w:t>
      </w:r>
      <w:r w:rsidR="006B6676">
        <w:rPr>
          <w:sz w:val="22"/>
          <w:szCs w:val="22"/>
          <w:lang w:val="en-GB"/>
        </w:rPr>
        <w:t xml:space="preserve"> </w:t>
      </w:r>
      <w:r w:rsidRPr="00F26A3E">
        <w:rPr>
          <w:sz w:val="22"/>
          <w:szCs w:val="22"/>
          <w:lang w:val="en-GB"/>
        </w:rPr>
        <w:t>s</w:t>
      </w:r>
      <w:r>
        <w:rPr>
          <w:sz w:val="22"/>
          <w:szCs w:val="22"/>
          <w:lang w:val="en-GB"/>
        </w:rPr>
        <w:t>oar</w:t>
      </w:r>
      <w:r w:rsidRPr="00F26A3E">
        <w:rPr>
          <w:sz w:val="22"/>
          <w:szCs w:val="22"/>
          <w:lang w:val="en-GB"/>
        </w:rPr>
        <w:t>ed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multiple</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26</w:t>
      </w:r>
      <w:r w:rsidR="006B6676">
        <w:rPr>
          <w:sz w:val="22"/>
          <w:szCs w:val="22"/>
          <w:lang w:val="en-GB"/>
        </w:rPr>
        <w:t xml:space="preserve"> </w:t>
      </w:r>
      <w:r>
        <w:rPr>
          <w:sz w:val="22"/>
          <w:szCs w:val="22"/>
          <w:lang w:val="en-GB"/>
        </w:rPr>
        <w:t>times</w:t>
      </w:r>
      <w:r w:rsidR="006B6676">
        <w:rPr>
          <w:sz w:val="22"/>
          <w:szCs w:val="22"/>
          <w:lang w:val="en-GB"/>
        </w:rPr>
        <w:t xml:space="preserve"> </w:t>
      </w:r>
      <w:r w:rsidRPr="00F26A3E">
        <w:rPr>
          <w:sz w:val="22"/>
          <w:szCs w:val="22"/>
          <w:lang w:val="en-GB"/>
        </w:rPr>
        <w:t>from</w:t>
      </w:r>
      <w:r w:rsidR="006B6676">
        <w:rPr>
          <w:sz w:val="22"/>
          <w:szCs w:val="22"/>
          <w:lang w:val="en-GB"/>
        </w:rPr>
        <w:t xml:space="preserve"> </w:t>
      </w:r>
      <w:r>
        <w:rPr>
          <w:sz w:val="22"/>
          <w:szCs w:val="22"/>
          <w:lang w:val="en-GB"/>
        </w:rPr>
        <w:t>₹</w:t>
      </w:r>
      <w:r w:rsidRPr="00F26A3E">
        <w:rPr>
          <w:sz w:val="22"/>
          <w:szCs w:val="22"/>
          <w:lang w:val="en-GB"/>
        </w:rPr>
        <w:t>3</w:t>
      </w:r>
      <w:r>
        <w:rPr>
          <w:sz w:val="22"/>
          <w:szCs w:val="22"/>
          <w:lang w:val="en-GB"/>
        </w:rPr>
        <w:t>.</w:t>
      </w:r>
      <w:r w:rsidRPr="00F26A3E">
        <w:rPr>
          <w:sz w:val="22"/>
          <w:szCs w:val="22"/>
          <w:lang w:val="en-GB"/>
        </w:rPr>
        <w:t>75</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200</w:t>
      </w:r>
      <w:r>
        <w:rPr>
          <w:sz w:val="22"/>
          <w:szCs w:val="22"/>
          <w:lang w:val="en-GB"/>
        </w:rPr>
        <w:t>8–0</w:t>
      </w:r>
      <w:r w:rsidRPr="00F26A3E">
        <w:rPr>
          <w:sz w:val="22"/>
          <w:szCs w:val="22"/>
          <w:lang w:val="en-GB"/>
        </w:rPr>
        <w:t>9</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w:t>
      </w:r>
      <w:r w:rsidRPr="00F26A3E">
        <w:rPr>
          <w:sz w:val="22"/>
          <w:szCs w:val="22"/>
          <w:lang w:val="en-GB"/>
        </w:rPr>
        <w:t>97</w:t>
      </w:r>
      <w:r>
        <w:rPr>
          <w:sz w:val="22"/>
          <w:szCs w:val="22"/>
          <w:lang w:val="en-GB"/>
        </w:rPr>
        <w:t>.</w:t>
      </w:r>
      <w:r w:rsidRPr="00F26A3E">
        <w:rPr>
          <w:sz w:val="22"/>
          <w:szCs w:val="22"/>
          <w:lang w:val="en-GB"/>
        </w:rPr>
        <w:t>94</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w:t>
      </w:r>
      <w:r>
        <w:rPr>
          <w:sz w:val="22"/>
          <w:szCs w:val="22"/>
          <w:lang w:val="en-GB"/>
        </w:rPr>
        <w:t>8–1</w:t>
      </w:r>
      <w:r w:rsidRPr="00F26A3E">
        <w:rPr>
          <w:sz w:val="22"/>
          <w:szCs w:val="22"/>
          <w:lang w:val="en-GB"/>
        </w:rPr>
        <w:t>9.</w:t>
      </w:r>
      <w:r w:rsidR="006B6676">
        <w:rPr>
          <w:sz w:val="22"/>
          <w:szCs w:val="22"/>
          <w:lang w:val="en-GB"/>
        </w:rPr>
        <w:t xml:space="preserve"> </w:t>
      </w:r>
      <w:r w:rsidRPr="00F26A3E">
        <w:rPr>
          <w:sz w:val="22"/>
          <w:szCs w:val="22"/>
          <w:lang w:val="en-GB"/>
        </w:rPr>
        <w:t>Profit</w:t>
      </w:r>
      <w:r w:rsidR="006B6676">
        <w:rPr>
          <w:sz w:val="22"/>
          <w:szCs w:val="22"/>
          <w:lang w:val="en-GB"/>
        </w:rPr>
        <w:t xml:space="preserve"> </w:t>
      </w:r>
      <w:r w:rsidRPr="00F26A3E">
        <w:rPr>
          <w:sz w:val="22"/>
          <w:szCs w:val="22"/>
          <w:lang w:val="en-GB"/>
        </w:rPr>
        <w:t>after</w:t>
      </w:r>
      <w:r w:rsidR="006B6676">
        <w:rPr>
          <w:sz w:val="22"/>
          <w:szCs w:val="22"/>
          <w:lang w:val="en-GB"/>
        </w:rPr>
        <w:t xml:space="preserve"> </w:t>
      </w:r>
      <w:r>
        <w:rPr>
          <w:sz w:val="22"/>
          <w:szCs w:val="22"/>
          <w:lang w:val="en-GB"/>
        </w:rPr>
        <w:t>t</w:t>
      </w:r>
      <w:r w:rsidRPr="00F26A3E">
        <w:rPr>
          <w:sz w:val="22"/>
          <w:szCs w:val="22"/>
          <w:lang w:val="en-GB"/>
        </w:rPr>
        <w:t>ax</w:t>
      </w:r>
      <w:r w:rsidR="006B6676">
        <w:rPr>
          <w:sz w:val="22"/>
          <w:szCs w:val="22"/>
          <w:lang w:val="en-GB"/>
        </w:rPr>
        <w:t xml:space="preserve"> </w:t>
      </w:r>
      <w:r>
        <w:rPr>
          <w:sz w:val="22"/>
          <w:szCs w:val="22"/>
          <w:lang w:val="en-GB"/>
        </w:rPr>
        <w:t>also</w:t>
      </w:r>
      <w:r w:rsidR="006B6676">
        <w:rPr>
          <w:sz w:val="22"/>
          <w:szCs w:val="22"/>
          <w:lang w:val="en-GB"/>
        </w:rPr>
        <w:t xml:space="preserve"> </w:t>
      </w:r>
      <w:r w:rsidRPr="00F26A3E">
        <w:rPr>
          <w:sz w:val="22"/>
          <w:szCs w:val="22"/>
          <w:lang w:val="en-GB"/>
        </w:rPr>
        <w:t>increased</w:t>
      </w:r>
      <w:r w:rsidR="006B6676">
        <w:rPr>
          <w:sz w:val="22"/>
          <w:szCs w:val="22"/>
          <w:lang w:val="en-GB"/>
        </w:rPr>
        <w:t xml:space="preserve"> </w:t>
      </w:r>
      <w:r w:rsidRPr="00F26A3E">
        <w:rPr>
          <w:sz w:val="22"/>
          <w:szCs w:val="22"/>
          <w:lang w:val="en-GB"/>
        </w:rPr>
        <w:t>significantly</w:t>
      </w:r>
      <w:r w:rsidR="00FC44AC">
        <w:rPr>
          <w:sz w:val="22"/>
          <w:szCs w:val="22"/>
          <w:lang w:val="en-GB"/>
        </w:rPr>
        <w:t>,</w:t>
      </w:r>
      <w:r w:rsidR="006B6676">
        <w:rPr>
          <w:sz w:val="22"/>
          <w:szCs w:val="22"/>
          <w:lang w:val="en-GB"/>
        </w:rPr>
        <w:t xml:space="preserve"> </w:t>
      </w:r>
      <w:r w:rsidRPr="00F26A3E">
        <w:rPr>
          <w:sz w:val="22"/>
          <w:szCs w:val="22"/>
          <w:lang w:val="en-GB"/>
        </w:rPr>
        <w:t>from</w:t>
      </w:r>
      <w:r w:rsidR="006B6676">
        <w:rPr>
          <w:sz w:val="22"/>
          <w:szCs w:val="22"/>
          <w:lang w:val="en-GB"/>
        </w:rPr>
        <w:t xml:space="preserve"> </w:t>
      </w:r>
      <w:r>
        <w:rPr>
          <w:sz w:val="22"/>
          <w:szCs w:val="22"/>
          <w:lang w:val="en-GB"/>
        </w:rPr>
        <w:t>₹.375</w:t>
      </w:r>
      <w:r w:rsidR="006B6676">
        <w:rPr>
          <w:sz w:val="22"/>
          <w:szCs w:val="22"/>
          <w:lang w:val="en-GB"/>
        </w:rPr>
        <w:t xml:space="preserve"> </w:t>
      </w:r>
      <w:r>
        <w:rPr>
          <w:sz w:val="22"/>
          <w:szCs w:val="22"/>
          <w:lang w:val="en-GB"/>
        </w:rPr>
        <w:t>b</w:t>
      </w:r>
      <w:r w:rsidRPr="00F26A3E">
        <w:rPr>
          <w:sz w:val="22"/>
          <w:szCs w:val="22"/>
          <w:lang w:val="en-GB"/>
        </w:rPr>
        <w:t>illion</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w:t>
      </w:r>
      <w:r w:rsidRPr="00F26A3E">
        <w:rPr>
          <w:sz w:val="22"/>
          <w:szCs w:val="22"/>
          <w:lang w:val="en-GB"/>
        </w:rPr>
        <w:t>20</w:t>
      </w:r>
      <w:r>
        <w:rPr>
          <w:sz w:val="22"/>
          <w:szCs w:val="22"/>
          <w:lang w:val="en-GB"/>
        </w:rPr>
        <w:t>.</w:t>
      </w:r>
      <w:r w:rsidRPr="00F26A3E">
        <w:rPr>
          <w:sz w:val="22"/>
          <w:szCs w:val="22"/>
          <w:lang w:val="en-GB"/>
        </w:rPr>
        <w:t>54</w:t>
      </w:r>
      <w:r w:rsidR="006B6676">
        <w:rPr>
          <w:sz w:val="22"/>
          <w:szCs w:val="22"/>
          <w:lang w:val="en-GB"/>
        </w:rPr>
        <w:t xml:space="preserve"> </w:t>
      </w:r>
      <w:r>
        <w:rPr>
          <w:sz w:val="22"/>
          <w:szCs w:val="22"/>
          <w:lang w:val="en-GB"/>
        </w:rPr>
        <w:t>b</w:t>
      </w:r>
      <w:r w:rsidRPr="00F26A3E">
        <w:rPr>
          <w:sz w:val="22"/>
          <w:szCs w:val="22"/>
          <w:lang w:val="en-GB"/>
        </w:rPr>
        <w:t>illion</w:t>
      </w:r>
      <w:r w:rsidR="00FC44AC">
        <w:rPr>
          <w:sz w:val="22"/>
          <w:szCs w:val="22"/>
          <w:lang w:val="en-GB"/>
        </w:rPr>
        <w:t>,</w:t>
      </w:r>
      <w:r w:rsidR="006B6676">
        <w:rPr>
          <w:sz w:val="22"/>
          <w:szCs w:val="22"/>
          <w:lang w:val="en-GB"/>
        </w:rPr>
        <w:t xml:space="preserve"> </w:t>
      </w:r>
      <w:r w:rsidRPr="00F26A3E">
        <w:rPr>
          <w:sz w:val="22"/>
          <w:szCs w:val="22"/>
          <w:lang w:val="en-GB"/>
        </w:rPr>
        <w:t>during</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same</w:t>
      </w:r>
      <w:r w:rsidR="006B6676">
        <w:rPr>
          <w:sz w:val="22"/>
          <w:szCs w:val="22"/>
          <w:lang w:val="en-GB"/>
        </w:rPr>
        <w:t xml:space="preserve"> </w:t>
      </w:r>
      <w:r w:rsidRPr="00F26A3E">
        <w:rPr>
          <w:sz w:val="22"/>
          <w:szCs w:val="22"/>
          <w:lang w:val="en-GB"/>
        </w:rPr>
        <w:t>period</w:t>
      </w:r>
      <w:r w:rsidR="006B6676">
        <w:rPr>
          <w:sz w:val="22"/>
          <w:szCs w:val="22"/>
          <w:lang w:val="en-GB"/>
        </w:rPr>
        <w:t xml:space="preserve"> </w:t>
      </w:r>
      <w:r>
        <w:rPr>
          <w:sz w:val="22"/>
          <w:szCs w:val="22"/>
          <w:lang w:val="en-GB"/>
        </w:rPr>
        <w:t>(see</w:t>
      </w:r>
      <w:r w:rsidR="006B6676">
        <w:rPr>
          <w:sz w:val="22"/>
          <w:szCs w:val="22"/>
          <w:lang w:val="en-GB"/>
        </w:rPr>
        <w:t xml:space="preserve"> </w:t>
      </w:r>
      <w:r>
        <w:rPr>
          <w:sz w:val="22"/>
          <w:szCs w:val="22"/>
          <w:lang w:val="en-GB"/>
        </w:rPr>
        <w:t>Exhibits</w:t>
      </w:r>
      <w:r w:rsidR="006B6676">
        <w:rPr>
          <w:sz w:val="22"/>
          <w:szCs w:val="22"/>
          <w:lang w:val="en-GB"/>
        </w:rPr>
        <w:t xml:space="preserve"> </w:t>
      </w:r>
      <w:r>
        <w:rPr>
          <w:sz w:val="22"/>
          <w:szCs w:val="22"/>
          <w:lang w:val="en-GB"/>
        </w:rPr>
        <w:t>6A</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6B)</w:t>
      </w:r>
      <w:r w:rsidRPr="00F26A3E">
        <w:rPr>
          <w:sz w:val="22"/>
          <w:szCs w:val="22"/>
          <w:lang w:val="en-GB"/>
        </w:rPr>
        <w:t>.</w:t>
      </w:r>
      <w:r w:rsidR="006B6676">
        <w:rPr>
          <w:sz w:val="22"/>
          <w:szCs w:val="22"/>
          <w:lang w:val="en-GB"/>
        </w:rPr>
        <w:t xml:space="preserve"> </w:t>
      </w:r>
    </w:p>
    <w:p w14:paraId="0B24C7A6" w14:textId="77777777" w:rsidR="00CA6A0D" w:rsidRPr="00F26A3E" w:rsidRDefault="00CA6A0D" w:rsidP="00B607FC">
      <w:pPr>
        <w:jc w:val="both"/>
        <w:rPr>
          <w:sz w:val="22"/>
          <w:szCs w:val="22"/>
          <w:lang w:val="en-GB"/>
        </w:rPr>
      </w:pPr>
    </w:p>
    <w:p w14:paraId="1D0BE933" w14:textId="29299468" w:rsidR="00CA6A0D" w:rsidRPr="00F26A3E" w:rsidRDefault="00CA6A0D" w:rsidP="00B607FC">
      <w:pPr>
        <w:jc w:val="both"/>
        <w:rPr>
          <w:rFonts w:eastAsia="Calibri"/>
          <w:sz w:val="22"/>
          <w:szCs w:val="22"/>
          <w:lang w:val="en-GB"/>
        </w:rPr>
      </w:pPr>
      <w:r w:rsidRPr="00F26A3E">
        <w:rPr>
          <w:rFonts w:eastAsia="Calibri"/>
          <w:sz w:val="22"/>
          <w:szCs w:val="22"/>
          <w:lang w:val="en-GB"/>
        </w:rPr>
        <w:t>The</w:t>
      </w:r>
      <w:r w:rsidR="006B6676">
        <w:rPr>
          <w:rFonts w:eastAsia="Calibri"/>
          <w:sz w:val="22"/>
          <w:szCs w:val="22"/>
          <w:lang w:val="en-GB"/>
        </w:rPr>
        <w:t xml:space="preserve"> </w:t>
      </w:r>
      <w:r w:rsidRPr="00F26A3E">
        <w:rPr>
          <w:rFonts w:eastAsia="Calibri"/>
          <w:sz w:val="22"/>
          <w:szCs w:val="22"/>
          <w:lang w:val="en-GB"/>
        </w:rPr>
        <w:t>impact</w:t>
      </w:r>
      <w:r w:rsidR="006B6676">
        <w:rPr>
          <w:rFonts w:eastAsia="Calibri"/>
          <w:sz w:val="22"/>
          <w:szCs w:val="22"/>
          <w:lang w:val="en-GB"/>
        </w:rPr>
        <w:t xml:space="preserve"> </w:t>
      </w:r>
      <w:r w:rsidRPr="00F26A3E">
        <w:rPr>
          <w:rFonts w:eastAsia="Calibri"/>
          <w:sz w:val="22"/>
          <w:szCs w:val="22"/>
          <w:lang w:val="en-GB"/>
        </w:rPr>
        <w:t>of</w:t>
      </w:r>
      <w:r w:rsidR="006B6676">
        <w:rPr>
          <w:rFonts w:eastAsia="Calibri"/>
          <w:sz w:val="22"/>
          <w:szCs w:val="22"/>
          <w:lang w:val="en-GB"/>
        </w:rPr>
        <w:t xml:space="preserve"> </w:t>
      </w:r>
      <w:r w:rsidRPr="00F26A3E">
        <w:rPr>
          <w:rFonts w:eastAsia="Calibri"/>
          <w:sz w:val="22"/>
          <w:szCs w:val="22"/>
          <w:lang w:val="en-GB"/>
        </w:rPr>
        <w:t>the</w:t>
      </w:r>
      <w:r w:rsidR="006B6676">
        <w:rPr>
          <w:rFonts w:eastAsia="Calibri"/>
          <w:sz w:val="22"/>
          <w:szCs w:val="22"/>
          <w:lang w:val="en-GB"/>
        </w:rPr>
        <w:t xml:space="preserve"> </w:t>
      </w:r>
      <w:r w:rsidRPr="00F26A3E">
        <w:rPr>
          <w:rFonts w:eastAsia="Calibri"/>
          <w:sz w:val="22"/>
          <w:szCs w:val="22"/>
          <w:lang w:val="en-GB"/>
        </w:rPr>
        <w:t>company’s</w:t>
      </w:r>
      <w:r w:rsidR="006B6676">
        <w:rPr>
          <w:rFonts w:eastAsia="Calibri"/>
          <w:sz w:val="22"/>
          <w:szCs w:val="22"/>
          <w:lang w:val="en-GB"/>
        </w:rPr>
        <w:t xml:space="preserve"> </w:t>
      </w:r>
      <w:r w:rsidRPr="00F26A3E">
        <w:rPr>
          <w:rFonts w:eastAsia="Calibri"/>
          <w:sz w:val="22"/>
          <w:szCs w:val="22"/>
          <w:lang w:val="en-GB"/>
        </w:rPr>
        <w:t>restructuring</w:t>
      </w:r>
      <w:r w:rsidR="006B6676">
        <w:rPr>
          <w:rFonts w:eastAsia="Calibri"/>
          <w:sz w:val="22"/>
          <w:szCs w:val="22"/>
          <w:lang w:val="en-GB"/>
        </w:rPr>
        <w:t xml:space="preserve"> </w:t>
      </w:r>
      <w:r w:rsidRPr="00F26A3E">
        <w:rPr>
          <w:rFonts w:eastAsia="Calibri"/>
          <w:sz w:val="22"/>
          <w:szCs w:val="22"/>
          <w:lang w:val="en-GB"/>
        </w:rPr>
        <w:t>effort</w:t>
      </w:r>
      <w:r w:rsidR="006B6676">
        <w:rPr>
          <w:rFonts w:eastAsia="Calibri"/>
          <w:sz w:val="22"/>
          <w:szCs w:val="22"/>
          <w:lang w:val="en-GB"/>
        </w:rPr>
        <w:t xml:space="preserve"> </w:t>
      </w:r>
      <w:r w:rsidRPr="00F26A3E">
        <w:rPr>
          <w:rFonts w:eastAsia="Calibri"/>
          <w:sz w:val="22"/>
          <w:szCs w:val="22"/>
          <w:lang w:val="en-GB"/>
        </w:rPr>
        <w:t>was</w:t>
      </w:r>
      <w:r w:rsidR="006B6676">
        <w:rPr>
          <w:rFonts w:eastAsia="Calibri"/>
          <w:sz w:val="22"/>
          <w:szCs w:val="22"/>
          <w:lang w:val="en-GB"/>
        </w:rPr>
        <w:t xml:space="preserve"> </w:t>
      </w:r>
      <w:r w:rsidRPr="00F26A3E">
        <w:rPr>
          <w:rFonts w:eastAsia="Calibri"/>
          <w:sz w:val="22"/>
          <w:szCs w:val="22"/>
          <w:lang w:val="en-GB"/>
        </w:rPr>
        <w:t>evident.</w:t>
      </w:r>
      <w:r w:rsidR="006B6676">
        <w:rPr>
          <w:rFonts w:eastAsia="Calibri"/>
          <w:sz w:val="22"/>
          <w:szCs w:val="22"/>
          <w:lang w:val="en-GB"/>
        </w:rPr>
        <w:t xml:space="preserve"> </w:t>
      </w:r>
      <w:r>
        <w:rPr>
          <w:rFonts w:eastAsia="Calibri"/>
          <w:sz w:val="22"/>
          <w:szCs w:val="22"/>
          <w:lang w:val="en-GB"/>
        </w:rPr>
        <w:t>After</w:t>
      </w:r>
      <w:r w:rsidR="006B6676">
        <w:rPr>
          <w:rFonts w:eastAsia="Calibri"/>
          <w:sz w:val="22"/>
          <w:szCs w:val="22"/>
          <w:lang w:val="en-GB"/>
        </w:rPr>
        <w:t xml:space="preserve"> </w:t>
      </w:r>
      <w:r>
        <w:rPr>
          <w:rFonts w:eastAsia="Calibri"/>
          <w:sz w:val="22"/>
          <w:szCs w:val="22"/>
          <w:lang w:val="en-GB"/>
        </w:rPr>
        <w:t>2009,</w:t>
      </w:r>
      <w:r w:rsidR="006B6676">
        <w:rPr>
          <w:rFonts w:eastAsia="Calibri"/>
          <w:sz w:val="22"/>
          <w:szCs w:val="22"/>
          <w:lang w:val="en-GB"/>
        </w:rPr>
        <w:t xml:space="preserve"> </w:t>
      </w:r>
      <w:r w:rsidRPr="00F26A3E">
        <w:rPr>
          <w:rFonts w:eastAsia="Calibri"/>
          <w:sz w:val="22"/>
          <w:szCs w:val="22"/>
          <w:lang w:val="en-GB"/>
        </w:rPr>
        <w:t>Royal</w:t>
      </w:r>
      <w:r w:rsidR="006B6676">
        <w:rPr>
          <w:rFonts w:eastAsia="Calibri"/>
          <w:sz w:val="22"/>
          <w:szCs w:val="22"/>
          <w:lang w:val="en-GB"/>
        </w:rPr>
        <w:t xml:space="preserve"> </w:t>
      </w:r>
      <w:r w:rsidRPr="00F26A3E">
        <w:rPr>
          <w:rFonts w:eastAsia="Calibri"/>
          <w:sz w:val="22"/>
          <w:szCs w:val="22"/>
          <w:lang w:val="en-GB"/>
        </w:rPr>
        <w:t>Enfield</w:t>
      </w:r>
      <w:r w:rsidR="006B6676">
        <w:rPr>
          <w:rFonts w:eastAsia="Calibri"/>
          <w:sz w:val="22"/>
          <w:szCs w:val="22"/>
          <w:lang w:val="en-GB"/>
        </w:rPr>
        <w:t xml:space="preserve"> </w:t>
      </w:r>
      <w:r w:rsidRPr="00F26A3E">
        <w:rPr>
          <w:rFonts w:eastAsia="Calibri"/>
          <w:sz w:val="22"/>
          <w:szCs w:val="22"/>
          <w:lang w:val="en-GB"/>
        </w:rPr>
        <w:t>experienced</w:t>
      </w:r>
      <w:r w:rsidR="006B6676">
        <w:rPr>
          <w:rFonts w:eastAsia="Calibri"/>
          <w:sz w:val="22"/>
          <w:szCs w:val="22"/>
          <w:lang w:val="en-GB"/>
        </w:rPr>
        <w:t xml:space="preserve"> </w:t>
      </w:r>
      <w:r w:rsidRPr="00F26A3E">
        <w:rPr>
          <w:rFonts w:eastAsia="Calibri"/>
          <w:sz w:val="22"/>
          <w:szCs w:val="22"/>
          <w:lang w:val="en-GB"/>
        </w:rPr>
        <w:t>a</w:t>
      </w:r>
      <w:r w:rsidR="006B6676">
        <w:rPr>
          <w:rFonts w:eastAsia="Calibri"/>
          <w:sz w:val="22"/>
          <w:szCs w:val="22"/>
          <w:lang w:val="en-GB"/>
        </w:rPr>
        <w:t xml:space="preserve"> </w:t>
      </w:r>
      <w:r w:rsidRPr="00F26A3E">
        <w:rPr>
          <w:rFonts w:eastAsia="Calibri"/>
          <w:sz w:val="22"/>
          <w:szCs w:val="22"/>
          <w:lang w:val="en-GB"/>
        </w:rPr>
        <w:t>quantum</w:t>
      </w:r>
      <w:r w:rsidR="006B6676">
        <w:rPr>
          <w:rFonts w:eastAsia="Calibri"/>
          <w:sz w:val="22"/>
          <w:szCs w:val="22"/>
          <w:lang w:val="en-GB"/>
        </w:rPr>
        <w:t xml:space="preserve"> </w:t>
      </w:r>
      <w:r w:rsidRPr="00F26A3E">
        <w:rPr>
          <w:rFonts w:eastAsia="Calibri"/>
          <w:sz w:val="22"/>
          <w:szCs w:val="22"/>
          <w:lang w:val="en-GB"/>
        </w:rPr>
        <w:t>jump</w:t>
      </w:r>
      <w:r w:rsidR="006B6676">
        <w:rPr>
          <w:rFonts w:eastAsia="Calibri"/>
          <w:sz w:val="22"/>
          <w:szCs w:val="22"/>
          <w:lang w:val="en-GB"/>
        </w:rPr>
        <w:t xml:space="preserve"> </w:t>
      </w:r>
      <w:r w:rsidRPr="00F26A3E">
        <w:rPr>
          <w:rFonts w:eastAsia="Calibri"/>
          <w:sz w:val="22"/>
          <w:szCs w:val="22"/>
          <w:lang w:val="en-GB"/>
        </w:rPr>
        <w:t>in</w:t>
      </w:r>
      <w:r w:rsidR="006B6676">
        <w:rPr>
          <w:rFonts w:eastAsia="Calibri"/>
          <w:sz w:val="22"/>
          <w:szCs w:val="22"/>
          <w:lang w:val="en-GB"/>
        </w:rPr>
        <w:t xml:space="preserve"> </w:t>
      </w:r>
      <w:r w:rsidRPr="00F26A3E">
        <w:rPr>
          <w:rFonts w:eastAsia="Calibri"/>
          <w:sz w:val="22"/>
          <w:szCs w:val="22"/>
          <w:lang w:val="en-GB"/>
        </w:rPr>
        <w:t>operating</w:t>
      </w:r>
      <w:r w:rsidR="006B6676">
        <w:rPr>
          <w:rFonts w:eastAsia="Calibri"/>
          <w:sz w:val="22"/>
          <w:szCs w:val="22"/>
          <w:lang w:val="en-GB"/>
        </w:rPr>
        <w:t xml:space="preserve"> </w:t>
      </w:r>
      <w:r w:rsidRPr="00F26A3E">
        <w:rPr>
          <w:rFonts w:eastAsia="Calibri"/>
          <w:sz w:val="22"/>
          <w:szCs w:val="22"/>
          <w:lang w:val="en-GB"/>
        </w:rPr>
        <w:t>margins</w:t>
      </w:r>
      <w:r w:rsidR="006B6676">
        <w:rPr>
          <w:rFonts w:eastAsia="Calibri"/>
          <w:sz w:val="22"/>
          <w:szCs w:val="22"/>
          <w:lang w:val="en-GB"/>
        </w:rPr>
        <w:t xml:space="preserve"> </w:t>
      </w:r>
      <w:r>
        <w:rPr>
          <w:rFonts w:eastAsia="Calibri"/>
          <w:sz w:val="22"/>
          <w:szCs w:val="22"/>
          <w:lang w:val="en-GB"/>
        </w:rPr>
        <w:t>(calculated</w:t>
      </w:r>
      <w:r w:rsidR="006B6676">
        <w:rPr>
          <w:rFonts w:eastAsia="Calibri"/>
          <w:sz w:val="22"/>
          <w:szCs w:val="22"/>
          <w:lang w:val="en-GB"/>
        </w:rPr>
        <w:t xml:space="preserve"> </w:t>
      </w:r>
      <w:r>
        <w:rPr>
          <w:rFonts w:eastAsia="Calibri"/>
          <w:sz w:val="22"/>
          <w:szCs w:val="22"/>
          <w:lang w:val="en-GB"/>
        </w:rPr>
        <w:t>as</w:t>
      </w:r>
      <w:r w:rsidR="006B6676">
        <w:rPr>
          <w:rFonts w:eastAsia="Calibri"/>
          <w:sz w:val="22"/>
          <w:szCs w:val="22"/>
          <w:lang w:val="en-GB"/>
        </w:rPr>
        <w:t xml:space="preserve"> </w:t>
      </w:r>
      <w:r>
        <w:rPr>
          <w:rFonts w:eastAsia="Calibri"/>
          <w:sz w:val="22"/>
          <w:szCs w:val="22"/>
          <w:lang w:val="en-GB"/>
        </w:rPr>
        <w:t>p</w:t>
      </w:r>
      <w:r w:rsidRPr="00E30CF1">
        <w:rPr>
          <w:rFonts w:eastAsia="Calibri"/>
          <w:sz w:val="22"/>
          <w:szCs w:val="22"/>
          <w:lang w:val="en-GB"/>
        </w:rPr>
        <w:t>rofit</w:t>
      </w:r>
      <w:r w:rsidR="006B6676">
        <w:rPr>
          <w:rFonts w:eastAsia="Calibri"/>
          <w:sz w:val="22"/>
          <w:szCs w:val="22"/>
          <w:lang w:val="en-GB"/>
        </w:rPr>
        <w:t xml:space="preserve"> </w:t>
      </w:r>
      <w:r w:rsidRPr="00E30CF1">
        <w:rPr>
          <w:rFonts w:eastAsia="Calibri"/>
          <w:sz w:val="22"/>
          <w:szCs w:val="22"/>
          <w:lang w:val="en-GB"/>
        </w:rPr>
        <w:t>before</w:t>
      </w:r>
      <w:r w:rsidR="006B6676">
        <w:rPr>
          <w:rFonts w:eastAsia="Calibri"/>
          <w:sz w:val="22"/>
          <w:szCs w:val="22"/>
          <w:lang w:val="en-GB"/>
        </w:rPr>
        <w:t xml:space="preserve"> </w:t>
      </w:r>
      <w:r w:rsidRPr="00E30CF1">
        <w:rPr>
          <w:rFonts w:eastAsia="Calibri"/>
          <w:sz w:val="22"/>
          <w:szCs w:val="22"/>
          <w:lang w:val="en-GB"/>
        </w:rPr>
        <w:t>interest,</w:t>
      </w:r>
      <w:r w:rsidR="006B6676">
        <w:rPr>
          <w:rFonts w:eastAsia="Calibri"/>
          <w:sz w:val="22"/>
          <w:szCs w:val="22"/>
          <w:lang w:val="en-GB"/>
        </w:rPr>
        <w:t xml:space="preserve"> </w:t>
      </w:r>
      <w:r w:rsidRPr="00E30CF1">
        <w:rPr>
          <w:rFonts w:eastAsia="Calibri"/>
          <w:sz w:val="22"/>
          <w:szCs w:val="22"/>
          <w:lang w:val="en-GB"/>
        </w:rPr>
        <w:t>depreciation</w:t>
      </w:r>
      <w:r>
        <w:rPr>
          <w:rFonts w:eastAsia="Calibri"/>
          <w:sz w:val="22"/>
          <w:szCs w:val="22"/>
          <w:lang w:val="en-GB"/>
        </w:rPr>
        <w:t>,</w:t>
      </w:r>
      <w:r w:rsidR="006B6676">
        <w:rPr>
          <w:rFonts w:eastAsia="Calibri"/>
          <w:sz w:val="22"/>
          <w:szCs w:val="22"/>
          <w:lang w:val="en-GB"/>
        </w:rPr>
        <w:t xml:space="preserve"> </w:t>
      </w:r>
      <w:r w:rsidRPr="00E30CF1">
        <w:rPr>
          <w:rFonts w:eastAsia="Calibri"/>
          <w:sz w:val="22"/>
          <w:szCs w:val="22"/>
          <w:lang w:val="en-GB"/>
        </w:rPr>
        <w:t>and</w:t>
      </w:r>
      <w:r w:rsidR="006B6676">
        <w:rPr>
          <w:rFonts w:eastAsia="Calibri"/>
          <w:sz w:val="22"/>
          <w:szCs w:val="22"/>
          <w:lang w:val="en-GB"/>
        </w:rPr>
        <w:t xml:space="preserve"> </w:t>
      </w:r>
      <w:r w:rsidRPr="00E30CF1">
        <w:rPr>
          <w:rFonts w:eastAsia="Calibri"/>
          <w:sz w:val="22"/>
          <w:szCs w:val="22"/>
          <w:lang w:val="en-GB"/>
        </w:rPr>
        <w:t>tax</w:t>
      </w:r>
      <w:r>
        <w:rPr>
          <w:rFonts w:eastAsia="Calibri"/>
          <w:sz w:val="22"/>
          <w:szCs w:val="22"/>
          <w:lang w:val="en-GB"/>
        </w:rPr>
        <w:t>es</w:t>
      </w:r>
      <w:r w:rsidR="006B6676">
        <w:rPr>
          <w:rFonts w:eastAsia="Calibri"/>
          <w:sz w:val="22"/>
          <w:szCs w:val="22"/>
          <w:lang w:val="en-GB"/>
        </w:rPr>
        <w:t xml:space="preserve"> </w:t>
      </w:r>
      <w:r>
        <w:rPr>
          <w:rFonts w:eastAsia="Calibri"/>
          <w:sz w:val="22"/>
          <w:szCs w:val="22"/>
          <w:lang w:val="en-GB"/>
        </w:rPr>
        <w:t>÷</w:t>
      </w:r>
      <w:r w:rsidR="006B6676">
        <w:rPr>
          <w:rFonts w:eastAsia="Calibri"/>
          <w:sz w:val="22"/>
          <w:szCs w:val="22"/>
          <w:lang w:val="en-GB"/>
        </w:rPr>
        <w:t xml:space="preserve"> </w:t>
      </w:r>
      <w:r>
        <w:rPr>
          <w:rFonts w:eastAsia="Calibri"/>
          <w:sz w:val="22"/>
          <w:szCs w:val="22"/>
          <w:lang w:val="en-GB"/>
        </w:rPr>
        <w:t>sales</w:t>
      </w:r>
      <w:r w:rsidR="006B6676">
        <w:rPr>
          <w:rFonts w:eastAsia="Calibri"/>
          <w:sz w:val="22"/>
          <w:szCs w:val="22"/>
          <w:lang w:val="en-GB"/>
        </w:rPr>
        <w:t xml:space="preserve"> </w:t>
      </w:r>
      <w:r>
        <w:rPr>
          <w:rFonts w:eastAsia="Calibri"/>
          <w:sz w:val="22"/>
          <w:szCs w:val="22"/>
          <w:lang w:val="en-GB"/>
        </w:rPr>
        <w:t>volume)</w:t>
      </w:r>
      <w:r w:rsidRPr="00F26A3E">
        <w:rPr>
          <w:rFonts w:eastAsia="Calibri"/>
          <w:sz w:val="22"/>
          <w:szCs w:val="22"/>
          <w:lang w:val="en-GB"/>
        </w:rPr>
        <w:t>.</w:t>
      </w:r>
      <w:r w:rsidR="006B6676">
        <w:rPr>
          <w:rFonts w:eastAsia="Calibri"/>
          <w:sz w:val="22"/>
          <w:szCs w:val="22"/>
          <w:lang w:val="en-GB"/>
        </w:rPr>
        <w:t xml:space="preserve"> </w:t>
      </w:r>
      <w:r>
        <w:rPr>
          <w:rFonts w:eastAsia="Calibri"/>
          <w:sz w:val="22"/>
          <w:szCs w:val="22"/>
          <w:lang w:val="en-GB"/>
        </w:rPr>
        <w:t>The</w:t>
      </w:r>
      <w:r w:rsidR="006B6676">
        <w:rPr>
          <w:rFonts w:eastAsia="Calibri"/>
          <w:sz w:val="22"/>
          <w:szCs w:val="22"/>
          <w:lang w:val="en-GB"/>
        </w:rPr>
        <w:t xml:space="preserve"> </w:t>
      </w:r>
      <w:r>
        <w:rPr>
          <w:rFonts w:eastAsia="Calibri"/>
          <w:sz w:val="22"/>
          <w:szCs w:val="22"/>
          <w:lang w:val="en-GB"/>
        </w:rPr>
        <w:t>company’s</w:t>
      </w:r>
      <w:r w:rsidR="006B6676">
        <w:rPr>
          <w:rFonts w:eastAsia="Calibri"/>
          <w:sz w:val="22"/>
          <w:szCs w:val="22"/>
          <w:lang w:val="en-GB"/>
        </w:rPr>
        <w:t xml:space="preserve"> </w:t>
      </w:r>
      <w:r>
        <w:rPr>
          <w:rFonts w:eastAsia="Calibri"/>
          <w:sz w:val="22"/>
          <w:szCs w:val="22"/>
          <w:lang w:val="en-GB"/>
        </w:rPr>
        <w:t>o</w:t>
      </w:r>
      <w:r w:rsidRPr="00F26A3E">
        <w:rPr>
          <w:rFonts w:eastAsia="Calibri"/>
          <w:sz w:val="22"/>
          <w:szCs w:val="22"/>
          <w:lang w:val="en-GB"/>
        </w:rPr>
        <w:t>perating</w:t>
      </w:r>
      <w:r w:rsidR="006B6676">
        <w:rPr>
          <w:rFonts w:eastAsia="Calibri"/>
          <w:sz w:val="22"/>
          <w:szCs w:val="22"/>
          <w:lang w:val="en-GB"/>
        </w:rPr>
        <w:t xml:space="preserve"> </w:t>
      </w:r>
      <w:r w:rsidRPr="00F26A3E">
        <w:rPr>
          <w:rFonts w:eastAsia="Calibri"/>
          <w:sz w:val="22"/>
          <w:szCs w:val="22"/>
          <w:lang w:val="en-GB"/>
        </w:rPr>
        <w:t>margins</w:t>
      </w:r>
      <w:r w:rsidR="006B6676">
        <w:rPr>
          <w:rFonts w:eastAsia="Calibri"/>
          <w:sz w:val="22"/>
          <w:szCs w:val="22"/>
          <w:lang w:val="en-GB"/>
        </w:rPr>
        <w:t xml:space="preserve"> </w:t>
      </w:r>
      <w:r>
        <w:rPr>
          <w:rFonts w:eastAsia="Calibri"/>
          <w:sz w:val="22"/>
          <w:szCs w:val="22"/>
          <w:lang w:val="en-GB"/>
        </w:rPr>
        <w:t>in</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2016–17</w:t>
      </w:r>
      <w:r w:rsidR="006B6676">
        <w:rPr>
          <w:rFonts w:eastAsia="Calibri"/>
          <w:sz w:val="22"/>
          <w:szCs w:val="22"/>
          <w:lang w:val="en-GB"/>
        </w:rPr>
        <w:t xml:space="preserve"> </w:t>
      </w:r>
      <w:r>
        <w:rPr>
          <w:rFonts w:eastAsia="Calibri"/>
          <w:sz w:val="22"/>
          <w:szCs w:val="22"/>
          <w:lang w:val="en-GB"/>
        </w:rPr>
        <w:t>(</w:t>
      </w:r>
      <w:r w:rsidRPr="00F26A3E">
        <w:rPr>
          <w:rFonts w:eastAsia="Calibri"/>
          <w:sz w:val="22"/>
          <w:szCs w:val="22"/>
          <w:lang w:val="en-GB"/>
        </w:rPr>
        <w:t>31.34</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Pr>
          <w:rFonts w:eastAsia="Calibri"/>
          <w:sz w:val="22"/>
          <w:szCs w:val="22"/>
          <w:lang w:val="en-GB"/>
        </w:rPr>
        <w:t>)</w:t>
      </w:r>
      <w:r w:rsidRPr="00F26A3E">
        <w:rPr>
          <w:rFonts w:eastAsia="Calibri"/>
          <w:sz w:val="22"/>
          <w:szCs w:val="22"/>
          <w:lang w:val="en-GB"/>
        </w:rPr>
        <w:t>,</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2017–18</w:t>
      </w:r>
      <w:r w:rsidR="006B6676">
        <w:rPr>
          <w:rFonts w:eastAsia="Calibri"/>
          <w:sz w:val="22"/>
          <w:szCs w:val="22"/>
          <w:lang w:val="en-GB"/>
        </w:rPr>
        <w:t xml:space="preserve"> </w:t>
      </w:r>
      <w:r>
        <w:rPr>
          <w:rFonts w:eastAsia="Calibri"/>
          <w:sz w:val="22"/>
          <w:szCs w:val="22"/>
          <w:lang w:val="en-GB"/>
        </w:rPr>
        <w:t>(</w:t>
      </w:r>
      <w:r w:rsidRPr="00F26A3E">
        <w:rPr>
          <w:rFonts w:eastAsia="Calibri"/>
          <w:sz w:val="22"/>
          <w:szCs w:val="22"/>
          <w:lang w:val="en-GB"/>
        </w:rPr>
        <w:t>31.85</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Pr>
          <w:rFonts w:eastAsia="Calibri"/>
          <w:sz w:val="22"/>
          <w:szCs w:val="22"/>
          <w:lang w:val="en-GB"/>
        </w:rPr>
        <w:t>)</w:t>
      </w:r>
      <w:r w:rsidRPr="00F26A3E">
        <w:rPr>
          <w:rFonts w:eastAsia="Calibri"/>
          <w:sz w:val="22"/>
          <w:szCs w:val="22"/>
          <w:lang w:val="en-GB"/>
        </w:rPr>
        <w:t>,</w:t>
      </w:r>
      <w:r w:rsidR="006B6676">
        <w:rPr>
          <w:rFonts w:eastAsia="Calibri"/>
          <w:sz w:val="22"/>
          <w:szCs w:val="22"/>
          <w:lang w:val="en-GB"/>
        </w:rPr>
        <w:t xml:space="preserve"> </w:t>
      </w:r>
      <w:r w:rsidRPr="00F26A3E">
        <w:rPr>
          <w:rFonts w:eastAsia="Calibri"/>
          <w:sz w:val="22"/>
          <w:szCs w:val="22"/>
          <w:lang w:val="en-GB"/>
        </w:rPr>
        <w:t>and</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sidRPr="00F26A3E">
        <w:rPr>
          <w:rFonts w:eastAsia="Calibri"/>
          <w:sz w:val="22"/>
          <w:szCs w:val="22"/>
          <w:lang w:val="en-GB"/>
        </w:rPr>
        <w:t>2018</w:t>
      </w:r>
      <w:r>
        <w:rPr>
          <w:rFonts w:eastAsia="Calibri"/>
          <w:sz w:val="22"/>
          <w:szCs w:val="22"/>
          <w:lang w:val="en-GB"/>
        </w:rPr>
        <w:t>–</w:t>
      </w:r>
      <w:r w:rsidRPr="00F26A3E">
        <w:rPr>
          <w:rFonts w:eastAsia="Calibri"/>
          <w:sz w:val="22"/>
          <w:szCs w:val="22"/>
          <w:lang w:val="en-GB"/>
        </w:rPr>
        <w:t>19</w:t>
      </w:r>
      <w:r w:rsidR="006B6676">
        <w:rPr>
          <w:rFonts w:eastAsia="Calibri"/>
          <w:sz w:val="22"/>
          <w:szCs w:val="22"/>
          <w:lang w:val="en-GB"/>
        </w:rPr>
        <w:t xml:space="preserve"> </w:t>
      </w:r>
      <w:r>
        <w:rPr>
          <w:rFonts w:eastAsia="Calibri"/>
          <w:sz w:val="22"/>
          <w:szCs w:val="22"/>
          <w:lang w:val="en-GB"/>
        </w:rPr>
        <w:t>(</w:t>
      </w:r>
      <w:r w:rsidRPr="00F26A3E">
        <w:rPr>
          <w:rFonts w:eastAsia="Calibri"/>
          <w:sz w:val="22"/>
          <w:szCs w:val="22"/>
          <w:lang w:val="en-GB"/>
        </w:rPr>
        <w:t>30.6</w:t>
      </w:r>
      <w:r>
        <w:rPr>
          <w:rFonts w:eastAsia="Calibri"/>
          <w:sz w:val="22"/>
          <w:szCs w:val="22"/>
          <w:lang w:val="en-GB"/>
        </w:rPr>
        <w:t>0</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Pr>
          <w:rFonts w:eastAsia="Calibri"/>
          <w:sz w:val="22"/>
          <w:szCs w:val="22"/>
          <w:lang w:val="en-GB"/>
        </w:rPr>
        <w:t>)</w:t>
      </w:r>
      <w:r w:rsidR="006B6676">
        <w:rPr>
          <w:rFonts w:eastAsia="Calibri"/>
          <w:sz w:val="22"/>
          <w:szCs w:val="22"/>
          <w:lang w:val="en-GB"/>
        </w:rPr>
        <w:t xml:space="preserve"> </w:t>
      </w:r>
      <w:r w:rsidRPr="00F26A3E">
        <w:rPr>
          <w:rFonts w:eastAsia="Calibri"/>
          <w:sz w:val="22"/>
          <w:szCs w:val="22"/>
          <w:lang w:val="en-GB"/>
        </w:rPr>
        <w:t>were</w:t>
      </w:r>
      <w:r w:rsidR="006B6676">
        <w:rPr>
          <w:rFonts w:eastAsia="Calibri"/>
          <w:sz w:val="22"/>
          <w:szCs w:val="22"/>
          <w:lang w:val="en-GB"/>
        </w:rPr>
        <w:t xml:space="preserve"> </w:t>
      </w:r>
      <w:r w:rsidRPr="00F26A3E">
        <w:rPr>
          <w:rFonts w:eastAsia="Calibri"/>
          <w:sz w:val="22"/>
          <w:szCs w:val="22"/>
          <w:lang w:val="en-GB"/>
        </w:rPr>
        <w:t>higher</w:t>
      </w:r>
      <w:r w:rsidR="006B6676">
        <w:rPr>
          <w:rFonts w:eastAsia="Calibri"/>
          <w:sz w:val="22"/>
          <w:szCs w:val="22"/>
          <w:lang w:val="en-GB"/>
        </w:rPr>
        <w:t xml:space="preserve"> </w:t>
      </w:r>
      <w:r w:rsidRPr="00F26A3E">
        <w:rPr>
          <w:rFonts w:eastAsia="Calibri"/>
          <w:sz w:val="22"/>
          <w:szCs w:val="22"/>
          <w:lang w:val="en-GB"/>
        </w:rPr>
        <w:t>than</w:t>
      </w:r>
      <w:r w:rsidR="006B6676">
        <w:rPr>
          <w:rFonts w:eastAsia="Calibri"/>
          <w:sz w:val="22"/>
          <w:szCs w:val="22"/>
          <w:lang w:val="en-GB"/>
        </w:rPr>
        <w:t xml:space="preserve"> </w:t>
      </w:r>
      <w:r w:rsidRPr="00F26A3E">
        <w:rPr>
          <w:rFonts w:eastAsia="Calibri"/>
          <w:sz w:val="22"/>
          <w:szCs w:val="22"/>
          <w:lang w:val="en-GB"/>
        </w:rPr>
        <w:t>operating</w:t>
      </w:r>
      <w:r w:rsidR="006B6676">
        <w:rPr>
          <w:rFonts w:eastAsia="Calibri"/>
          <w:sz w:val="22"/>
          <w:szCs w:val="22"/>
          <w:lang w:val="en-GB"/>
        </w:rPr>
        <w:t xml:space="preserve"> </w:t>
      </w:r>
      <w:r w:rsidRPr="00F26A3E">
        <w:rPr>
          <w:rFonts w:eastAsia="Calibri"/>
          <w:sz w:val="22"/>
          <w:szCs w:val="22"/>
          <w:lang w:val="en-GB"/>
        </w:rPr>
        <w:t>margins</w:t>
      </w:r>
      <w:r w:rsidR="006B6676">
        <w:rPr>
          <w:rFonts w:eastAsia="Calibri"/>
          <w:sz w:val="22"/>
          <w:szCs w:val="22"/>
          <w:lang w:val="en-GB"/>
        </w:rPr>
        <w:t xml:space="preserve"> </w:t>
      </w:r>
      <w:r w:rsidRPr="00F26A3E">
        <w:rPr>
          <w:rFonts w:eastAsia="Calibri"/>
          <w:sz w:val="22"/>
          <w:szCs w:val="22"/>
          <w:lang w:val="en-GB"/>
        </w:rPr>
        <w:t>in</w:t>
      </w:r>
      <w:r w:rsidR="006B6676">
        <w:rPr>
          <w:rFonts w:eastAsia="Calibri"/>
          <w:sz w:val="22"/>
          <w:szCs w:val="22"/>
          <w:lang w:val="en-GB"/>
        </w:rPr>
        <w:t xml:space="preserve"> </w:t>
      </w:r>
      <w:r w:rsidRPr="00F26A3E">
        <w:rPr>
          <w:rFonts w:eastAsia="Calibri"/>
          <w:sz w:val="22"/>
          <w:szCs w:val="22"/>
          <w:lang w:val="en-GB"/>
        </w:rPr>
        <w:t>any</w:t>
      </w:r>
      <w:r w:rsidR="006B6676">
        <w:rPr>
          <w:rFonts w:eastAsia="Calibri"/>
          <w:sz w:val="22"/>
          <w:szCs w:val="22"/>
          <w:lang w:val="en-GB"/>
        </w:rPr>
        <w:t xml:space="preserve"> </w:t>
      </w:r>
      <w:r w:rsidRPr="00F26A3E">
        <w:rPr>
          <w:rFonts w:eastAsia="Calibri"/>
          <w:sz w:val="22"/>
          <w:szCs w:val="22"/>
          <w:lang w:val="en-GB"/>
        </w:rPr>
        <w:t>other</w:t>
      </w:r>
      <w:r w:rsidR="006B6676">
        <w:rPr>
          <w:rFonts w:eastAsia="Calibri"/>
          <w:sz w:val="22"/>
          <w:szCs w:val="22"/>
          <w:lang w:val="en-GB"/>
        </w:rPr>
        <w:t xml:space="preserve"> </w:t>
      </w:r>
      <w:r w:rsidRPr="00F26A3E">
        <w:rPr>
          <w:rFonts w:eastAsia="Calibri"/>
          <w:sz w:val="22"/>
          <w:szCs w:val="22"/>
          <w:lang w:val="en-GB"/>
        </w:rPr>
        <w:t>year</w:t>
      </w:r>
      <w:r w:rsidR="006B6676">
        <w:rPr>
          <w:rFonts w:eastAsia="Calibri"/>
          <w:sz w:val="22"/>
          <w:szCs w:val="22"/>
          <w:lang w:val="en-GB"/>
        </w:rPr>
        <w:t xml:space="preserve"> </w:t>
      </w:r>
      <w:r w:rsidRPr="00F26A3E">
        <w:rPr>
          <w:rFonts w:eastAsia="Calibri"/>
          <w:sz w:val="22"/>
          <w:szCs w:val="22"/>
          <w:lang w:val="en-GB"/>
        </w:rPr>
        <w:t>since</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sidRPr="00F26A3E">
        <w:rPr>
          <w:rFonts w:eastAsia="Calibri"/>
          <w:sz w:val="22"/>
          <w:szCs w:val="22"/>
          <w:lang w:val="en-GB"/>
        </w:rPr>
        <w:t>1999</w:t>
      </w:r>
      <w:r>
        <w:rPr>
          <w:rFonts w:eastAsia="Calibri"/>
          <w:sz w:val="22"/>
          <w:szCs w:val="22"/>
          <w:lang w:val="en-GB"/>
        </w:rPr>
        <w:t>–</w:t>
      </w:r>
      <w:r w:rsidRPr="00F26A3E">
        <w:rPr>
          <w:rFonts w:eastAsia="Calibri"/>
          <w:sz w:val="22"/>
          <w:szCs w:val="22"/>
          <w:lang w:val="en-GB"/>
        </w:rPr>
        <w:t>2000</w:t>
      </w:r>
      <w:r w:rsidR="006B6676">
        <w:rPr>
          <w:sz w:val="22"/>
          <w:szCs w:val="22"/>
          <w:lang w:val="en-GB"/>
        </w:rPr>
        <w:t xml:space="preserve"> </w:t>
      </w:r>
      <w:r>
        <w:rPr>
          <w:sz w:val="22"/>
          <w:szCs w:val="22"/>
          <w:lang w:val="en-GB"/>
        </w:rPr>
        <w:t>(see</w:t>
      </w:r>
      <w:r w:rsidR="006B6676">
        <w:rPr>
          <w:sz w:val="22"/>
          <w:szCs w:val="22"/>
          <w:lang w:val="en-GB"/>
        </w:rPr>
        <w:t xml:space="preserve"> </w:t>
      </w:r>
      <w:r>
        <w:rPr>
          <w:sz w:val="22"/>
          <w:szCs w:val="22"/>
          <w:lang w:val="en-GB"/>
        </w:rPr>
        <w:t>Exhibits</w:t>
      </w:r>
      <w:r w:rsidR="006B6676">
        <w:rPr>
          <w:sz w:val="22"/>
          <w:szCs w:val="22"/>
          <w:lang w:val="en-GB"/>
        </w:rPr>
        <w:t xml:space="preserve"> </w:t>
      </w:r>
      <w:r>
        <w:rPr>
          <w:sz w:val="22"/>
          <w:szCs w:val="22"/>
          <w:lang w:val="en-GB"/>
        </w:rPr>
        <w:t>6A</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6B)</w:t>
      </w:r>
      <w:r w:rsidRPr="00F26A3E">
        <w:rPr>
          <w:rFonts w:eastAsia="Calibri"/>
          <w:sz w:val="22"/>
          <w:szCs w:val="22"/>
          <w:lang w:val="en-GB"/>
        </w:rPr>
        <w:t>.</w:t>
      </w:r>
    </w:p>
    <w:p w14:paraId="6CFDFE59" w14:textId="77777777" w:rsidR="00CA6A0D" w:rsidRPr="00F26A3E" w:rsidRDefault="00CA6A0D" w:rsidP="00B607FC">
      <w:pPr>
        <w:jc w:val="both"/>
        <w:rPr>
          <w:rFonts w:eastAsia="Calibri"/>
          <w:sz w:val="22"/>
          <w:szCs w:val="22"/>
          <w:lang w:val="en-GB"/>
        </w:rPr>
      </w:pPr>
    </w:p>
    <w:p w14:paraId="67139EB5" w14:textId="5EA96D26" w:rsidR="00CA6A0D" w:rsidRPr="00F26A3E" w:rsidRDefault="00CA6A0D" w:rsidP="00B607FC">
      <w:pPr>
        <w:jc w:val="both"/>
        <w:rPr>
          <w:rFonts w:eastAsia="Calibri"/>
          <w:sz w:val="22"/>
          <w:szCs w:val="22"/>
          <w:lang w:val="en-GB"/>
        </w:rPr>
      </w:pPr>
      <w:r w:rsidRPr="00F26A3E">
        <w:rPr>
          <w:rFonts w:eastAsia="Calibri"/>
          <w:sz w:val="22"/>
          <w:szCs w:val="22"/>
          <w:lang w:val="en-GB"/>
        </w:rPr>
        <w:t>Royal</w:t>
      </w:r>
      <w:r w:rsidR="006B6676">
        <w:rPr>
          <w:rFonts w:eastAsia="Calibri"/>
          <w:sz w:val="22"/>
          <w:szCs w:val="22"/>
          <w:lang w:val="en-GB"/>
        </w:rPr>
        <w:t xml:space="preserve"> </w:t>
      </w:r>
      <w:r w:rsidRPr="00F26A3E">
        <w:rPr>
          <w:rFonts w:eastAsia="Calibri"/>
          <w:sz w:val="22"/>
          <w:szCs w:val="22"/>
          <w:lang w:val="en-GB"/>
        </w:rPr>
        <w:t>Enfield</w:t>
      </w:r>
      <w:r w:rsidR="006B6676">
        <w:rPr>
          <w:rFonts w:eastAsia="Calibri"/>
          <w:sz w:val="22"/>
          <w:szCs w:val="22"/>
          <w:lang w:val="en-GB"/>
        </w:rPr>
        <w:t xml:space="preserve"> </w:t>
      </w:r>
      <w:r w:rsidRPr="00F26A3E">
        <w:rPr>
          <w:rFonts w:eastAsia="Calibri"/>
          <w:sz w:val="22"/>
          <w:szCs w:val="22"/>
          <w:lang w:val="en-GB"/>
        </w:rPr>
        <w:t>had</w:t>
      </w:r>
      <w:r w:rsidR="006B6676">
        <w:rPr>
          <w:rFonts w:eastAsia="Calibri"/>
          <w:sz w:val="22"/>
          <w:szCs w:val="22"/>
          <w:lang w:val="en-GB"/>
        </w:rPr>
        <w:t xml:space="preserve"> </w:t>
      </w:r>
      <w:r>
        <w:rPr>
          <w:rFonts w:eastAsia="Calibri"/>
          <w:sz w:val="22"/>
          <w:szCs w:val="22"/>
          <w:lang w:val="en-GB"/>
        </w:rPr>
        <w:t>even</w:t>
      </w:r>
      <w:r w:rsidR="006B6676">
        <w:rPr>
          <w:rFonts w:eastAsia="Calibri"/>
          <w:sz w:val="22"/>
          <w:szCs w:val="22"/>
          <w:lang w:val="en-GB"/>
        </w:rPr>
        <w:t xml:space="preserve"> </w:t>
      </w:r>
      <w:r w:rsidRPr="00F26A3E">
        <w:rPr>
          <w:rFonts w:eastAsia="Calibri"/>
          <w:sz w:val="22"/>
          <w:szCs w:val="22"/>
          <w:lang w:val="en-GB"/>
        </w:rPr>
        <w:t>surpassed</w:t>
      </w:r>
      <w:r w:rsidR="006B6676">
        <w:rPr>
          <w:rFonts w:eastAsia="Calibri"/>
          <w:sz w:val="22"/>
          <w:szCs w:val="22"/>
          <w:lang w:val="en-GB"/>
        </w:rPr>
        <w:t xml:space="preserve"> </w:t>
      </w:r>
      <w:r>
        <w:rPr>
          <w:rFonts w:eastAsia="Calibri"/>
          <w:sz w:val="22"/>
          <w:szCs w:val="22"/>
          <w:lang w:val="en-GB"/>
        </w:rPr>
        <w:t>the</w:t>
      </w:r>
      <w:r w:rsidR="006B6676">
        <w:rPr>
          <w:rFonts w:eastAsia="Calibri"/>
          <w:sz w:val="22"/>
          <w:szCs w:val="22"/>
          <w:lang w:val="en-GB"/>
        </w:rPr>
        <w:t xml:space="preserve"> </w:t>
      </w:r>
      <w:r>
        <w:rPr>
          <w:rFonts w:eastAsia="Calibri"/>
          <w:sz w:val="22"/>
          <w:szCs w:val="22"/>
          <w:lang w:val="en-GB"/>
        </w:rPr>
        <w:t>country’s</w:t>
      </w:r>
      <w:r w:rsidR="006B6676">
        <w:rPr>
          <w:rFonts w:eastAsia="Calibri"/>
          <w:sz w:val="22"/>
          <w:szCs w:val="22"/>
          <w:lang w:val="en-GB"/>
        </w:rPr>
        <w:t xml:space="preserve"> </w:t>
      </w:r>
      <w:r w:rsidR="00A93740" w:rsidRPr="00F26A3E">
        <w:rPr>
          <w:rFonts w:eastAsia="Calibri"/>
          <w:sz w:val="22"/>
          <w:szCs w:val="22"/>
          <w:lang w:val="en-GB"/>
        </w:rPr>
        <w:t>mass-market</w:t>
      </w:r>
      <w:r w:rsidR="006B6676">
        <w:rPr>
          <w:rFonts w:eastAsia="Calibri"/>
          <w:sz w:val="22"/>
          <w:szCs w:val="22"/>
          <w:lang w:val="en-GB"/>
        </w:rPr>
        <w:t xml:space="preserve"> </w:t>
      </w:r>
      <w:r>
        <w:rPr>
          <w:rFonts w:eastAsia="Calibri"/>
          <w:sz w:val="22"/>
          <w:szCs w:val="22"/>
          <w:lang w:val="en-GB"/>
        </w:rPr>
        <w:t>companies</w:t>
      </w:r>
      <w:r w:rsidR="006B6676">
        <w:rPr>
          <w:rFonts w:eastAsia="Calibri"/>
          <w:sz w:val="22"/>
          <w:szCs w:val="22"/>
          <w:lang w:val="en-GB"/>
        </w:rPr>
        <w:t xml:space="preserve"> </w:t>
      </w:r>
      <w:r w:rsidRPr="00F26A3E">
        <w:rPr>
          <w:rFonts w:eastAsia="Calibri"/>
          <w:sz w:val="22"/>
          <w:szCs w:val="22"/>
          <w:lang w:val="en-GB"/>
        </w:rPr>
        <w:t>in</w:t>
      </w:r>
      <w:r w:rsidR="006B6676">
        <w:rPr>
          <w:rFonts w:eastAsia="Calibri"/>
          <w:sz w:val="22"/>
          <w:szCs w:val="22"/>
          <w:lang w:val="en-GB"/>
        </w:rPr>
        <w:t xml:space="preserve"> </w:t>
      </w:r>
      <w:r w:rsidRPr="00F26A3E">
        <w:rPr>
          <w:rFonts w:eastAsia="Calibri"/>
          <w:sz w:val="22"/>
          <w:szCs w:val="22"/>
          <w:lang w:val="en-GB"/>
        </w:rPr>
        <w:t>terms</w:t>
      </w:r>
      <w:r w:rsidR="006B6676">
        <w:rPr>
          <w:rFonts w:eastAsia="Calibri"/>
          <w:sz w:val="22"/>
          <w:szCs w:val="22"/>
          <w:lang w:val="en-GB"/>
        </w:rPr>
        <w:t xml:space="preserve"> </w:t>
      </w:r>
      <w:r w:rsidRPr="00F26A3E">
        <w:rPr>
          <w:rFonts w:eastAsia="Calibri"/>
          <w:sz w:val="22"/>
          <w:szCs w:val="22"/>
          <w:lang w:val="en-GB"/>
        </w:rPr>
        <w:t>of</w:t>
      </w:r>
      <w:r w:rsidR="006B6676">
        <w:rPr>
          <w:rFonts w:eastAsia="Calibri"/>
          <w:sz w:val="22"/>
          <w:szCs w:val="22"/>
          <w:lang w:val="en-GB"/>
        </w:rPr>
        <w:t xml:space="preserve"> </w:t>
      </w:r>
      <w:r w:rsidRPr="00F26A3E">
        <w:rPr>
          <w:rFonts w:eastAsia="Calibri"/>
          <w:sz w:val="22"/>
          <w:szCs w:val="22"/>
          <w:lang w:val="en-GB"/>
        </w:rPr>
        <w:t>operating</w:t>
      </w:r>
      <w:r w:rsidR="006B6676">
        <w:rPr>
          <w:rFonts w:eastAsia="Calibri"/>
          <w:sz w:val="22"/>
          <w:szCs w:val="22"/>
          <w:lang w:val="en-GB"/>
        </w:rPr>
        <w:t xml:space="preserve"> </w:t>
      </w:r>
      <w:r w:rsidRPr="00F26A3E">
        <w:rPr>
          <w:rFonts w:eastAsia="Calibri"/>
          <w:sz w:val="22"/>
          <w:szCs w:val="22"/>
          <w:lang w:val="en-GB"/>
        </w:rPr>
        <w:t>margins.</w:t>
      </w:r>
      <w:r w:rsidR="006B6676">
        <w:rPr>
          <w:rFonts w:eastAsia="Calibri"/>
          <w:sz w:val="22"/>
          <w:szCs w:val="22"/>
          <w:lang w:val="en-GB"/>
        </w:rPr>
        <w:t xml:space="preserve"> </w:t>
      </w:r>
      <w:r>
        <w:rPr>
          <w:rFonts w:eastAsia="Calibri"/>
          <w:sz w:val="22"/>
          <w:szCs w:val="22"/>
          <w:lang w:val="en-GB"/>
        </w:rPr>
        <w:t>For</w:t>
      </w:r>
      <w:r w:rsidR="006B6676">
        <w:rPr>
          <w:rFonts w:eastAsia="Calibri"/>
          <w:sz w:val="22"/>
          <w:szCs w:val="22"/>
          <w:lang w:val="en-GB"/>
        </w:rPr>
        <w:t xml:space="preserve"> </w:t>
      </w:r>
      <w:r>
        <w:rPr>
          <w:rFonts w:eastAsia="Calibri"/>
          <w:sz w:val="22"/>
          <w:szCs w:val="22"/>
          <w:lang w:val="en-GB"/>
        </w:rPr>
        <w:t>example,</w:t>
      </w:r>
      <w:r w:rsidR="006B6676">
        <w:rPr>
          <w:rFonts w:eastAsia="Calibri"/>
          <w:sz w:val="22"/>
          <w:szCs w:val="22"/>
          <w:lang w:val="en-GB"/>
        </w:rPr>
        <w:t xml:space="preserve"> </w:t>
      </w:r>
      <w:r w:rsidRPr="00F26A3E">
        <w:rPr>
          <w:rFonts w:eastAsia="Calibri"/>
          <w:sz w:val="22"/>
          <w:szCs w:val="22"/>
          <w:lang w:val="en-GB"/>
        </w:rPr>
        <w:t>Hero</w:t>
      </w:r>
      <w:r w:rsidR="006B6676">
        <w:rPr>
          <w:rFonts w:eastAsia="Calibri"/>
          <w:sz w:val="22"/>
          <w:szCs w:val="22"/>
          <w:lang w:val="en-GB"/>
        </w:rPr>
        <w:t xml:space="preserve"> </w:t>
      </w:r>
      <w:r w:rsidRPr="00F26A3E">
        <w:rPr>
          <w:rFonts w:eastAsia="Calibri"/>
          <w:sz w:val="22"/>
          <w:szCs w:val="22"/>
          <w:lang w:val="en-GB"/>
        </w:rPr>
        <w:t>had</w:t>
      </w:r>
      <w:r w:rsidR="006B6676">
        <w:rPr>
          <w:rFonts w:eastAsia="Calibri"/>
          <w:sz w:val="22"/>
          <w:szCs w:val="22"/>
          <w:lang w:val="en-GB"/>
        </w:rPr>
        <w:t xml:space="preserve"> </w:t>
      </w:r>
      <w:r w:rsidRPr="00F26A3E">
        <w:rPr>
          <w:rFonts w:eastAsia="Calibri"/>
          <w:sz w:val="22"/>
          <w:szCs w:val="22"/>
          <w:lang w:val="en-GB"/>
        </w:rPr>
        <w:t>registered</w:t>
      </w:r>
      <w:r w:rsidR="006B6676">
        <w:rPr>
          <w:rFonts w:eastAsia="Calibri"/>
          <w:sz w:val="22"/>
          <w:szCs w:val="22"/>
          <w:lang w:val="en-GB"/>
        </w:rPr>
        <w:t xml:space="preserve"> </w:t>
      </w:r>
      <w:r w:rsidRPr="00F26A3E">
        <w:rPr>
          <w:rFonts w:eastAsia="Calibri"/>
          <w:sz w:val="22"/>
          <w:szCs w:val="22"/>
          <w:lang w:val="en-GB"/>
        </w:rPr>
        <w:t>operating</w:t>
      </w:r>
      <w:r w:rsidR="006B6676">
        <w:rPr>
          <w:rFonts w:eastAsia="Calibri"/>
          <w:sz w:val="22"/>
          <w:szCs w:val="22"/>
          <w:lang w:val="en-GB"/>
        </w:rPr>
        <w:t xml:space="preserve"> </w:t>
      </w:r>
      <w:r w:rsidRPr="00F26A3E">
        <w:rPr>
          <w:rFonts w:eastAsia="Calibri"/>
          <w:sz w:val="22"/>
          <w:szCs w:val="22"/>
          <w:lang w:val="en-GB"/>
        </w:rPr>
        <w:t>margins</w:t>
      </w:r>
      <w:r w:rsidR="006B6676">
        <w:rPr>
          <w:rFonts w:eastAsia="Calibri"/>
          <w:sz w:val="22"/>
          <w:szCs w:val="22"/>
          <w:lang w:val="en-GB"/>
        </w:rPr>
        <w:t xml:space="preserve"> </w:t>
      </w:r>
      <w:r w:rsidRPr="00F26A3E">
        <w:rPr>
          <w:rFonts w:eastAsia="Calibri"/>
          <w:sz w:val="22"/>
          <w:szCs w:val="22"/>
          <w:lang w:val="en-GB"/>
        </w:rPr>
        <w:t>of</w:t>
      </w:r>
      <w:r w:rsidR="006B6676">
        <w:rPr>
          <w:rFonts w:eastAsia="Calibri"/>
          <w:sz w:val="22"/>
          <w:szCs w:val="22"/>
          <w:lang w:val="en-GB"/>
        </w:rPr>
        <w:t xml:space="preserve"> </w:t>
      </w:r>
      <w:r w:rsidRPr="00F26A3E">
        <w:rPr>
          <w:rFonts w:eastAsia="Calibri"/>
          <w:sz w:val="22"/>
          <w:szCs w:val="22"/>
          <w:lang w:val="en-GB"/>
        </w:rPr>
        <w:t>18.09</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Pr>
          <w:rFonts w:eastAsia="Calibri"/>
          <w:sz w:val="22"/>
          <w:szCs w:val="22"/>
          <w:lang w:val="en-GB"/>
        </w:rPr>
        <w:t>in</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2016–17</w:t>
      </w:r>
      <w:r w:rsidRPr="00F26A3E">
        <w:rPr>
          <w:rFonts w:eastAsia="Calibri"/>
          <w:sz w:val="22"/>
          <w:szCs w:val="22"/>
          <w:lang w:val="en-GB"/>
        </w:rPr>
        <w:t>,</w:t>
      </w:r>
      <w:r w:rsidR="006B6676">
        <w:rPr>
          <w:rFonts w:eastAsia="Calibri"/>
          <w:sz w:val="22"/>
          <w:szCs w:val="22"/>
          <w:lang w:val="en-GB"/>
        </w:rPr>
        <w:t xml:space="preserve"> </w:t>
      </w:r>
      <w:r w:rsidRPr="00F26A3E">
        <w:rPr>
          <w:rFonts w:eastAsia="Calibri"/>
          <w:sz w:val="22"/>
          <w:szCs w:val="22"/>
          <w:lang w:val="en-GB"/>
        </w:rPr>
        <w:t>18.01</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Pr>
          <w:rFonts w:eastAsia="Calibri"/>
          <w:sz w:val="22"/>
          <w:szCs w:val="22"/>
          <w:lang w:val="en-GB"/>
        </w:rPr>
        <w:t>in</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2017–18</w:t>
      </w:r>
      <w:r w:rsidRPr="00F26A3E">
        <w:rPr>
          <w:rFonts w:eastAsia="Calibri"/>
          <w:sz w:val="22"/>
          <w:szCs w:val="22"/>
          <w:lang w:val="en-GB"/>
        </w:rPr>
        <w:t>,</w:t>
      </w:r>
      <w:r w:rsidR="006B6676">
        <w:rPr>
          <w:rFonts w:eastAsia="Calibri"/>
          <w:sz w:val="22"/>
          <w:szCs w:val="22"/>
          <w:lang w:val="en-GB"/>
        </w:rPr>
        <w:t xml:space="preserve"> </w:t>
      </w:r>
      <w:r w:rsidRPr="00F26A3E">
        <w:rPr>
          <w:rFonts w:eastAsia="Calibri"/>
          <w:sz w:val="22"/>
          <w:szCs w:val="22"/>
          <w:lang w:val="en-GB"/>
        </w:rPr>
        <w:t>and</w:t>
      </w:r>
      <w:r w:rsidR="006B6676">
        <w:rPr>
          <w:rFonts w:eastAsia="Calibri"/>
          <w:sz w:val="22"/>
          <w:szCs w:val="22"/>
          <w:lang w:val="en-GB"/>
        </w:rPr>
        <w:t xml:space="preserve"> </w:t>
      </w:r>
      <w:r w:rsidRPr="00F26A3E">
        <w:rPr>
          <w:rFonts w:eastAsia="Calibri"/>
          <w:sz w:val="22"/>
          <w:szCs w:val="22"/>
          <w:lang w:val="en-GB"/>
        </w:rPr>
        <w:t>16.70</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Pr>
          <w:rFonts w:eastAsia="Calibri"/>
          <w:sz w:val="22"/>
          <w:szCs w:val="22"/>
          <w:lang w:val="en-GB"/>
        </w:rPr>
        <w:t>in</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2018–19,</w:t>
      </w:r>
      <w:r w:rsidRPr="00F26A3E">
        <w:rPr>
          <w:rFonts w:eastAsia="Calibri"/>
          <w:sz w:val="22"/>
          <w:szCs w:val="22"/>
          <w:vertAlign w:val="superscript"/>
          <w:lang w:val="en-GB"/>
        </w:rPr>
        <w:endnoteReference w:id="82"/>
      </w:r>
      <w:r w:rsidR="006B6676">
        <w:rPr>
          <w:rFonts w:eastAsia="Calibri"/>
          <w:sz w:val="22"/>
          <w:szCs w:val="22"/>
          <w:lang w:val="en-GB"/>
        </w:rPr>
        <w:t xml:space="preserve"> </w:t>
      </w:r>
      <w:r>
        <w:rPr>
          <w:rFonts w:eastAsia="Calibri"/>
          <w:sz w:val="22"/>
          <w:szCs w:val="22"/>
          <w:lang w:val="en-GB"/>
        </w:rPr>
        <w:t>whereas</w:t>
      </w:r>
      <w:r w:rsidR="006B6676">
        <w:rPr>
          <w:rFonts w:eastAsia="Calibri"/>
          <w:sz w:val="22"/>
          <w:szCs w:val="22"/>
          <w:lang w:val="en-GB"/>
        </w:rPr>
        <w:t xml:space="preserve"> </w:t>
      </w:r>
      <w:r w:rsidRPr="00F26A3E">
        <w:rPr>
          <w:rFonts w:eastAsia="Calibri"/>
          <w:sz w:val="22"/>
          <w:szCs w:val="22"/>
          <w:lang w:val="en-GB"/>
        </w:rPr>
        <w:t>Bajaj</w:t>
      </w:r>
      <w:r w:rsidR="006B6676">
        <w:rPr>
          <w:rFonts w:eastAsia="Calibri"/>
          <w:sz w:val="22"/>
          <w:szCs w:val="22"/>
          <w:lang w:val="en-GB"/>
        </w:rPr>
        <w:t xml:space="preserve"> </w:t>
      </w:r>
      <w:r w:rsidRPr="00F26A3E">
        <w:rPr>
          <w:rFonts w:eastAsia="Calibri"/>
          <w:sz w:val="22"/>
          <w:szCs w:val="22"/>
          <w:lang w:val="en-GB"/>
        </w:rPr>
        <w:t>had</w:t>
      </w:r>
      <w:r w:rsidR="006B6676">
        <w:rPr>
          <w:rFonts w:eastAsia="Calibri"/>
          <w:sz w:val="22"/>
          <w:szCs w:val="22"/>
          <w:lang w:val="en-GB"/>
        </w:rPr>
        <w:t xml:space="preserve"> </w:t>
      </w:r>
      <w:r w:rsidRPr="00F26A3E">
        <w:rPr>
          <w:rFonts w:eastAsia="Calibri"/>
          <w:sz w:val="22"/>
          <w:szCs w:val="22"/>
          <w:lang w:val="en-GB"/>
        </w:rPr>
        <w:t>reported</w:t>
      </w:r>
      <w:r w:rsidR="006B6676">
        <w:rPr>
          <w:rFonts w:eastAsia="Calibri"/>
          <w:sz w:val="22"/>
          <w:szCs w:val="22"/>
          <w:lang w:val="en-GB"/>
        </w:rPr>
        <w:t xml:space="preserve"> </w:t>
      </w:r>
      <w:r w:rsidRPr="00F26A3E">
        <w:rPr>
          <w:rFonts w:eastAsia="Calibri"/>
          <w:sz w:val="22"/>
          <w:szCs w:val="22"/>
          <w:lang w:val="en-GB"/>
        </w:rPr>
        <w:t>operating</w:t>
      </w:r>
      <w:r w:rsidR="006B6676">
        <w:rPr>
          <w:rFonts w:eastAsia="Calibri"/>
          <w:sz w:val="22"/>
          <w:szCs w:val="22"/>
          <w:lang w:val="en-GB"/>
        </w:rPr>
        <w:t xml:space="preserve"> </w:t>
      </w:r>
      <w:r w:rsidRPr="00F26A3E">
        <w:rPr>
          <w:rFonts w:eastAsia="Calibri"/>
          <w:sz w:val="22"/>
          <w:szCs w:val="22"/>
          <w:lang w:val="en-GB"/>
        </w:rPr>
        <w:t>margins</w:t>
      </w:r>
      <w:r w:rsidR="006B6676">
        <w:rPr>
          <w:rFonts w:eastAsia="Calibri"/>
          <w:sz w:val="22"/>
          <w:szCs w:val="22"/>
          <w:lang w:val="en-GB"/>
        </w:rPr>
        <w:t xml:space="preserve"> </w:t>
      </w:r>
      <w:r>
        <w:rPr>
          <w:rFonts w:eastAsia="Calibri"/>
          <w:sz w:val="22"/>
          <w:szCs w:val="22"/>
          <w:lang w:val="en-GB"/>
        </w:rPr>
        <w:t>of</w:t>
      </w:r>
      <w:r w:rsidR="006B6676">
        <w:rPr>
          <w:rFonts w:eastAsia="Calibri"/>
          <w:sz w:val="22"/>
          <w:szCs w:val="22"/>
          <w:lang w:val="en-GB"/>
        </w:rPr>
        <w:t xml:space="preserve"> </w:t>
      </w:r>
      <w:r w:rsidRPr="00F26A3E">
        <w:rPr>
          <w:rFonts w:eastAsia="Calibri"/>
          <w:sz w:val="22"/>
          <w:szCs w:val="22"/>
          <w:lang w:val="en-GB"/>
        </w:rPr>
        <w:t>25.93</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sidRPr="00F26A3E">
        <w:rPr>
          <w:rFonts w:eastAsia="Calibri"/>
          <w:sz w:val="22"/>
          <w:szCs w:val="22"/>
          <w:lang w:val="en-GB"/>
        </w:rPr>
        <w:t>24.36</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sidRPr="00F26A3E">
        <w:rPr>
          <w:rFonts w:eastAsia="Calibri"/>
          <w:sz w:val="22"/>
          <w:szCs w:val="22"/>
          <w:lang w:val="en-GB"/>
        </w:rPr>
        <w:t>and</w:t>
      </w:r>
      <w:r w:rsidR="006B6676">
        <w:rPr>
          <w:rFonts w:eastAsia="Calibri"/>
          <w:sz w:val="22"/>
          <w:szCs w:val="22"/>
          <w:lang w:val="en-GB"/>
        </w:rPr>
        <w:t xml:space="preserve"> </w:t>
      </w:r>
      <w:r w:rsidRPr="00F26A3E">
        <w:rPr>
          <w:rFonts w:eastAsia="Calibri"/>
          <w:sz w:val="22"/>
          <w:szCs w:val="22"/>
          <w:lang w:val="en-GB"/>
        </w:rPr>
        <w:t>21.92</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sidRPr="00F26A3E">
        <w:rPr>
          <w:rFonts w:eastAsia="Calibri"/>
          <w:sz w:val="22"/>
          <w:szCs w:val="22"/>
          <w:lang w:val="en-GB"/>
        </w:rPr>
        <w:t>during</w:t>
      </w:r>
      <w:r w:rsidR="006B6676">
        <w:rPr>
          <w:rFonts w:eastAsia="Calibri"/>
          <w:sz w:val="22"/>
          <w:szCs w:val="22"/>
          <w:lang w:val="en-GB"/>
        </w:rPr>
        <w:t xml:space="preserve"> </w:t>
      </w:r>
      <w:r w:rsidRPr="00F26A3E">
        <w:rPr>
          <w:rFonts w:eastAsia="Calibri"/>
          <w:sz w:val="22"/>
          <w:szCs w:val="22"/>
          <w:lang w:val="en-GB"/>
        </w:rPr>
        <w:t>the</w:t>
      </w:r>
      <w:r w:rsidR="006B6676">
        <w:rPr>
          <w:rFonts w:eastAsia="Calibri"/>
          <w:sz w:val="22"/>
          <w:szCs w:val="22"/>
          <w:lang w:val="en-GB"/>
        </w:rPr>
        <w:t xml:space="preserve"> </w:t>
      </w:r>
      <w:r>
        <w:rPr>
          <w:rFonts w:eastAsia="Calibri"/>
          <w:sz w:val="22"/>
          <w:szCs w:val="22"/>
          <w:lang w:val="en-GB"/>
        </w:rPr>
        <w:t>three</w:t>
      </w:r>
      <w:r w:rsidR="006B6676">
        <w:rPr>
          <w:rFonts w:eastAsia="Calibri"/>
          <w:sz w:val="22"/>
          <w:szCs w:val="22"/>
          <w:lang w:val="en-GB"/>
        </w:rPr>
        <w:t xml:space="preserve"> </w:t>
      </w:r>
      <w:r w:rsidRPr="00F26A3E">
        <w:rPr>
          <w:rFonts w:eastAsia="Calibri"/>
          <w:sz w:val="22"/>
          <w:szCs w:val="22"/>
          <w:lang w:val="en-GB"/>
        </w:rPr>
        <w:t>corresponding</w:t>
      </w:r>
      <w:r w:rsidR="006B6676">
        <w:rPr>
          <w:rFonts w:eastAsia="Calibri"/>
          <w:sz w:val="22"/>
          <w:szCs w:val="22"/>
          <w:lang w:val="en-GB"/>
        </w:rPr>
        <w:t xml:space="preserve"> </w:t>
      </w:r>
      <w:r w:rsidRPr="00F26A3E">
        <w:rPr>
          <w:rFonts w:eastAsia="Calibri"/>
          <w:sz w:val="22"/>
          <w:szCs w:val="22"/>
          <w:lang w:val="en-GB"/>
        </w:rPr>
        <w:t>period</w:t>
      </w:r>
      <w:r>
        <w:rPr>
          <w:rFonts w:eastAsia="Calibri"/>
          <w:sz w:val="22"/>
          <w:szCs w:val="22"/>
          <w:lang w:val="en-GB"/>
        </w:rPr>
        <w:t>s</w:t>
      </w:r>
      <w:r w:rsidRPr="00F26A3E">
        <w:rPr>
          <w:rFonts w:eastAsia="Calibri"/>
          <w:sz w:val="22"/>
          <w:szCs w:val="22"/>
          <w:lang w:val="en-GB"/>
        </w:rPr>
        <w:t>.</w:t>
      </w:r>
      <w:r w:rsidRPr="00F26A3E">
        <w:rPr>
          <w:rFonts w:eastAsia="Calibri"/>
          <w:sz w:val="22"/>
          <w:szCs w:val="22"/>
          <w:vertAlign w:val="superscript"/>
          <w:lang w:val="en-GB"/>
        </w:rPr>
        <w:endnoteReference w:id="83"/>
      </w:r>
    </w:p>
    <w:p w14:paraId="76BC61B0" w14:textId="77777777" w:rsidR="00CA6A0D" w:rsidRPr="00F26A3E" w:rsidRDefault="00CA6A0D" w:rsidP="00B607FC">
      <w:pPr>
        <w:jc w:val="both"/>
        <w:rPr>
          <w:sz w:val="22"/>
          <w:szCs w:val="22"/>
          <w:lang w:val="en-GB"/>
        </w:rPr>
      </w:pPr>
    </w:p>
    <w:p w14:paraId="33FC9845" w14:textId="62D9BCC1" w:rsidR="00CA6A0D" w:rsidRPr="00F26A3E" w:rsidRDefault="00CA6A0D" w:rsidP="00B607FC">
      <w:pPr>
        <w:jc w:val="both"/>
        <w:rPr>
          <w:sz w:val="22"/>
          <w:szCs w:val="22"/>
          <w:lang w:val="en-GB"/>
        </w:rPr>
      </w:pPr>
      <w:r w:rsidRPr="00F26A3E">
        <w:rPr>
          <w:rFonts w:eastAsia="Calibri"/>
          <w:sz w:val="22"/>
          <w:szCs w:val="22"/>
          <w:lang w:val="en-GB"/>
        </w:rPr>
        <w:t>The</w:t>
      </w:r>
      <w:r w:rsidR="006B6676">
        <w:rPr>
          <w:rFonts w:eastAsia="Calibri"/>
          <w:sz w:val="22"/>
          <w:szCs w:val="22"/>
          <w:lang w:val="en-GB"/>
        </w:rPr>
        <w:t xml:space="preserve"> </w:t>
      </w:r>
      <w:r>
        <w:rPr>
          <w:rFonts w:eastAsia="Calibri"/>
          <w:sz w:val="22"/>
          <w:szCs w:val="22"/>
          <w:lang w:val="en-GB"/>
        </w:rPr>
        <w:t>company’s</w:t>
      </w:r>
      <w:r w:rsidR="006B6676">
        <w:rPr>
          <w:rFonts w:eastAsia="Calibri"/>
          <w:sz w:val="22"/>
          <w:szCs w:val="22"/>
          <w:lang w:val="en-GB"/>
        </w:rPr>
        <w:t xml:space="preserve"> </w:t>
      </w:r>
      <w:r>
        <w:rPr>
          <w:rFonts w:eastAsia="Calibri"/>
          <w:sz w:val="22"/>
          <w:szCs w:val="22"/>
          <w:lang w:val="en-GB"/>
        </w:rPr>
        <w:t>impressive</w:t>
      </w:r>
      <w:r w:rsidR="006B6676">
        <w:rPr>
          <w:rFonts w:eastAsia="Calibri"/>
          <w:sz w:val="22"/>
          <w:szCs w:val="22"/>
          <w:lang w:val="en-GB"/>
        </w:rPr>
        <w:t xml:space="preserve"> </w:t>
      </w:r>
      <w:r>
        <w:rPr>
          <w:rFonts w:eastAsia="Calibri"/>
          <w:sz w:val="22"/>
          <w:szCs w:val="22"/>
          <w:lang w:val="en-GB"/>
        </w:rPr>
        <w:t>results</w:t>
      </w:r>
      <w:r w:rsidR="006B6676">
        <w:rPr>
          <w:rFonts w:eastAsia="Calibri"/>
          <w:sz w:val="22"/>
          <w:szCs w:val="22"/>
          <w:lang w:val="en-GB"/>
        </w:rPr>
        <w:t xml:space="preserve"> </w:t>
      </w:r>
      <w:r>
        <w:rPr>
          <w:rFonts w:eastAsia="Calibri"/>
          <w:sz w:val="22"/>
          <w:szCs w:val="22"/>
          <w:lang w:val="en-GB"/>
        </w:rPr>
        <w:t>for</w:t>
      </w:r>
      <w:r w:rsidR="006B6676">
        <w:rPr>
          <w:rFonts w:eastAsia="Calibri"/>
          <w:sz w:val="22"/>
          <w:szCs w:val="22"/>
          <w:lang w:val="en-GB"/>
        </w:rPr>
        <w:t xml:space="preserve"> </w:t>
      </w:r>
      <w:r w:rsidRPr="00F26A3E">
        <w:rPr>
          <w:rFonts w:eastAsia="Calibri"/>
          <w:sz w:val="22"/>
          <w:szCs w:val="22"/>
          <w:lang w:val="en-GB"/>
        </w:rPr>
        <w:t>return</w:t>
      </w:r>
      <w:r w:rsidR="006B6676">
        <w:rPr>
          <w:rFonts w:eastAsia="Calibri"/>
          <w:sz w:val="22"/>
          <w:szCs w:val="22"/>
          <w:lang w:val="en-GB"/>
        </w:rPr>
        <w:t xml:space="preserve"> </w:t>
      </w:r>
      <w:r w:rsidRPr="00F26A3E">
        <w:rPr>
          <w:rFonts w:eastAsia="Calibri"/>
          <w:sz w:val="22"/>
          <w:szCs w:val="22"/>
          <w:lang w:val="en-GB"/>
        </w:rPr>
        <w:t>on</w:t>
      </w:r>
      <w:r w:rsidR="006B6676">
        <w:rPr>
          <w:rFonts w:eastAsia="Calibri"/>
          <w:sz w:val="22"/>
          <w:szCs w:val="22"/>
          <w:lang w:val="en-GB"/>
        </w:rPr>
        <w:t xml:space="preserve"> </w:t>
      </w:r>
      <w:r w:rsidRPr="00F26A3E">
        <w:rPr>
          <w:rFonts w:eastAsia="Calibri"/>
          <w:sz w:val="22"/>
          <w:szCs w:val="22"/>
          <w:lang w:val="en-GB"/>
        </w:rPr>
        <w:t>capital</w:t>
      </w:r>
      <w:r w:rsidR="006B6676">
        <w:rPr>
          <w:rFonts w:eastAsia="Calibri"/>
          <w:sz w:val="22"/>
          <w:szCs w:val="22"/>
          <w:lang w:val="en-GB"/>
        </w:rPr>
        <w:t xml:space="preserve"> </w:t>
      </w:r>
      <w:r w:rsidRPr="00F26A3E">
        <w:rPr>
          <w:rFonts w:eastAsia="Calibri"/>
          <w:sz w:val="22"/>
          <w:szCs w:val="22"/>
          <w:lang w:val="en-GB"/>
        </w:rPr>
        <w:t>employed</w:t>
      </w:r>
      <w:r w:rsidR="006B6676">
        <w:rPr>
          <w:rFonts w:eastAsia="Calibri"/>
          <w:sz w:val="22"/>
          <w:szCs w:val="22"/>
          <w:lang w:val="en-GB"/>
        </w:rPr>
        <w:t xml:space="preserve"> </w:t>
      </w:r>
      <w:r w:rsidRPr="00F26A3E">
        <w:rPr>
          <w:rFonts w:eastAsia="Calibri"/>
          <w:sz w:val="22"/>
          <w:szCs w:val="22"/>
          <w:lang w:val="en-GB"/>
        </w:rPr>
        <w:t>(after</w:t>
      </w:r>
      <w:r w:rsidR="006B6676">
        <w:rPr>
          <w:rFonts w:eastAsia="Calibri"/>
          <w:sz w:val="22"/>
          <w:szCs w:val="22"/>
          <w:lang w:val="en-GB"/>
        </w:rPr>
        <w:t xml:space="preserve"> </w:t>
      </w:r>
      <w:r w:rsidRPr="00F26A3E">
        <w:rPr>
          <w:rFonts w:eastAsia="Calibri"/>
          <w:sz w:val="22"/>
          <w:szCs w:val="22"/>
          <w:lang w:val="en-GB"/>
        </w:rPr>
        <w:t>tax)</w:t>
      </w:r>
      <w:r w:rsidRPr="00F26A3E">
        <w:rPr>
          <w:rFonts w:eastAsia="Calibri"/>
          <w:sz w:val="22"/>
          <w:szCs w:val="22"/>
          <w:vertAlign w:val="superscript"/>
          <w:lang w:val="en-GB"/>
        </w:rPr>
        <w:endnoteReference w:id="84"/>
      </w:r>
      <w:r w:rsidR="006B6676">
        <w:rPr>
          <w:rFonts w:eastAsia="Calibri"/>
          <w:sz w:val="22"/>
          <w:szCs w:val="22"/>
          <w:lang w:val="en-GB"/>
        </w:rPr>
        <w:t xml:space="preserve"> </w:t>
      </w:r>
      <w:r>
        <w:rPr>
          <w:rFonts w:eastAsia="Calibri"/>
          <w:sz w:val="22"/>
          <w:szCs w:val="22"/>
          <w:lang w:val="en-GB"/>
        </w:rPr>
        <w:t>were</w:t>
      </w:r>
      <w:r w:rsidR="006B6676">
        <w:rPr>
          <w:rFonts w:eastAsia="Calibri"/>
          <w:sz w:val="22"/>
          <w:szCs w:val="22"/>
          <w:lang w:val="en-GB"/>
        </w:rPr>
        <w:t xml:space="preserve"> </w:t>
      </w:r>
      <w:r w:rsidRPr="00F26A3E">
        <w:rPr>
          <w:rFonts w:eastAsia="Calibri"/>
          <w:sz w:val="22"/>
          <w:szCs w:val="22"/>
          <w:lang w:val="en-GB"/>
        </w:rPr>
        <w:t>33.79</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Pr>
          <w:rFonts w:eastAsia="Calibri"/>
          <w:sz w:val="22"/>
          <w:szCs w:val="22"/>
          <w:lang w:val="en-GB"/>
        </w:rPr>
        <w:t>in</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2016–17</w:t>
      </w:r>
      <w:r w:rsidRPr="00F26A3E">
        <w:rPr>
          <w:rFonts w:eastAsia="Calibri"/>
          <w:sz w:val="22"/>
          <w:szCs w:val="22"/>
          <w:lang w:val="en-GB"/>
        </w:rPr>
        <w:t>,</w:t>
      </w:r>
      <w:r w:rsidR="006B6676">
        <w:rPr>
          <w:rFonts w:eastAsia="Calibri"/>
          <w:sz w:val="22"/>
          <w:szCs w:val="22"/>
          <w:lang w:val="en-GB"/>
        </w:rPr>
        <w:t xml:space="preserve"> </w:t>
      </w:r>
      <w:r w:rsidRPr="00F26A3E">
        <w:rPr>
          <w:rFonts w:eastAsia="Calibri"/>
          <w:sz w:val="22"/>
          <w:szCs w:val="22"/>
          <w:lang w:val="en-GB"/>
        </w:rPr>
        <w:t>32.69</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Pr>
          <w:rFonts w:eastAsia="Calibri"/>
          <w:sz w:val="22"/>
          <w:szCs w:val="22"/>
          <w:lang w:val="en-GB"/>
        </w:rPr>
        <w:t>in</w:t>
      </w:r>
      <w:r w:rsidR="006B6676">
        <w:rPr>
          <w:rFonts w:eastAsia="Calibri"/>
          <w:sz w:val="22"/>
          <w:szCs w:val="22"/>
          <w:lang w:val="en-GB"/>
        </w:rPr>
        <w:t xml:space="preserve"> </w:t>
      </w:r>
      <w:r>
        <w:rPr>
          <w:rFonts w:eastAsia="Calibri"/>
          <w:sz w:val="22"/>
          <w:szCs w:val="22"/>
          <w:lang w:val="en-GB"/>
        </w:rPr>
        <w:t>FY</w:t>
      </w:r>
      <w:r w:rsidR="006B6676">
        <w:rPr>
          <w:rFonts w:eastAsia="Calibri"/>
          <w:sz w:val="22"/>
          <w:szCs w:val="22"/>
          <w:lang w:val="en-GB"/>
        </w:rPr>
        <w:t xml:space="preserve"> </w:t>
      </w:r>
      <w:r>
        <w:rPr>
          <w:rFonts w:eastAsia="Calibri"/>
          <w:sz w:val="22"/>
          <w:szCs w:val="22"/>
          <w:lang w:val="en-GB"/>
        </w:rPr>
        <w:t>2017–18</w:t>
      </w:r>
      <w:r w:rsidRPr="00F26A3E">
        <w:rPr>
          <w:rFonts w:eastAsia="Calibri"/>
          <w:sz w:val="22"/>
          <w:szCs w:val="22"/>
          <w:lang w:val="en-GB"/>
        </w:rPr>
        <w:t>,</w:t>
      </w:r>
      <w:r w:rsidR="006B6676">
        <w:rPr>
          <w:rFonts w:eastAsia="Calibri"/>
          <w:sz w:val="22"/>
          <w:szCs w:val="22"/>
          <w:lang w:val="en-GB"/>
        </w:rPr>
        <w:t xml:space="preserve"> </w:t>
      </w:r>
      <w:r w:rsidRPr="00F26A3E">
        <w:rPr>
          <w:rFonts w:eastAsia="Calibri"/>
          <w:sz w:val="22"/>
          <w:szCs w:val="22"/>
          <w:lang w:val="en-GB"/>
        </w:rPr>
        <w:t>and</w:t>
      </w:r>
      <w:r w:rsidR="006B6676">
        <w:rPr>
          <w:rFonts w:eastAsia="Calibri"/>
          <w:sz w:val="22"/>
          <w:szCs w:val="22"/>
          <w:lang w:val="en-GB"/>
        </w:rPr>
        <w:t xml:space="preserve"> </w:t>
      </w:r>
      <w:r w:rsidRPr="00F26A3E">
        <w:rPr>
          <w:rFonts w:eastAsia="Calibri"/>
          <w:sz w:val="22"/>
          <w:szCs w:val="22"/>
          <w:lang w:val="en-GB"/>
        </w:rPr>
        <w:t>25.12</w:t>
      </w:r>
      <w:r w:rsidR="006B6676">
        <w:rPr>
          <w:rFonts w:eastAsia="Calibri"/>
          <w:sz w:val="22"/>
          <w:szCs w:val="22"/>
          <w:lang w:val="en-GB"/>
        </w:rPr>
        <w:t xml:space="preserve"> </w:t>
      </w:r>
      <w:r w:rsidRPr="00F26A3E">
        <w:rPr>
          <w:rFonts w:eastAsia="Calibri"/>
          <w:sz w:val="22"/>
          <w:szCs w:val="22"/>
          <w:lang w:val="en-GB"/>
        </w:rPr>
        <w:t>per</w:t>
      </w:r>
      <w:r w:rsidR="006B6676">
        <w:rPr>
          <w:rFonts w:eastAsia="Calibri"/>
          <w:sz w:val="22"/>
          <w:szCs w:val="22"/>
          <w:lang w:val="en-GB"/>
        </w:rPr>
        <w:t xml:space="preserve"> </w:t>
      </w:r>
      <w:r w:rsidRPr="00F26A3E">
        <w:rPr>
          <w:rFonts w:eastAsia="Calibri"/>
          <w:sz w:val="22"/>
          <w:szCs w:val="22"/>
          <w:lang w:val="en-GB"/>
        </w:rPr>
        <w:t>cent</w:t>
      </w:r>
      <w:r w:rsidR="006B6676">
        <w:rPr>
          <w:rFonts w:eastAsia="Calibri"/>
          <w:sz w:val="22"/>
          <w:szCs w:val="22"/>
          <w:lang w:val="en-GB"/>
        </w:rPr>
        <w:t xml:space="preserve"> </w:t>
      </w:r>
      <w:r w:rsidRPr="00F26A3E">
        <w:rPr>
          <w:rFonts w:eastAsia="Calibri"/>
          <w:sz w:val="22"/>
          <w:szCs w:val="22"/>
          <w:lang w:val="en-GB"/>
        </w:rPr>
        <w:t>in</w:t>
      </w:r>
      <w:r w:rsidR="006B6676">
        <w:rPr>
          <w:rFonts w:eastAsia="Calibri"/>
          <w:sz w:val="22"/>
          <w:szCs w:val="22"/>
          <w:lang w:val="en-GB"/>
        </w:rPr>
        <w:t xml:space="preserve"> </w:t>
      </w:r>
      <w:r w:rsidRPr="00F26A3E">
        <w:rPr>
          <w:rFonts w:eastAsia="Calibri"/>
          <w:sz w:val="22"/>
          <w:szCs w:val="22"/>
          <w:lang w:val="en-GB"/>
        </w:rPr>
        <w:t>2018</w:t>
      </w:r>
      <w:r>
        <w:rPr>
          <w:rFonts w:eastAsia="Calibri"/>
          <w:sz w:val="22"/>
          <w:szCs w:val="22"/>
          <w:lang w:val="en-GB"/>
        </w:rPr>
        <w:t>–</w:t>
      </w:r>
      <w:r w:rsidRPr="00F26A3E">
        <w:rPr>
          <w:rFonts w:eastAsia="Calibri"/>
          <w:sz w:val="22"/>
          <w:szCs w:val="22"/>
          <w:lang w:val="en-GB"/>
        </w:rPr>
        <w:t>19</w:t>
      </w:r>
      <w:r w:rsidR="006B6676">
        <w:rPr>
          <w:sz w:val="22"/>
          <w:szCs w:val="22"/>
          <w:lang w:val="en-GB"/>
        </w:rPr>
        <w:t xml:space="preserve"> </w:t>
      </w:r>
      <w:r>
        <w:rPr>
          <w:sz w:val="22"/>
          <w:szCs w:val="22"/>
          <w:lang w:val="en-GB"/>
        </w:rPr>
        <w:t>(see</w:t>
      </w:r>
      <w:r w:rsidR="006B6676">
        <w:rPr>
          <w:sz w:val="22"/>
          <w:szCs w:val="22"/>
          <w:lang w:val="en-GB"/>
        </w:rPr>
        <w:t xml:space="preserve"> </w:t>
      </w:r>
      <w:r>
        <w:rPr>
          <w:sz w:val="22"/>
          <w:szCs w:val="22"/>
          <w:lang w:val="en-GB"/>
        </w:rPr>
        <w:t>Exhibits</w:t>
      </w:r>
      <w:r w:rsidR="006B6676">
        <w:rPr>
          <w:sz w:val="22"/>
          <w:szCs w:val="22"/>
          <w:lang w:val="en-GB"/>
        </w:rPr>
        <w:t xml:space="preserve"> </w:t>
      </w:r>
      <w:r>
        <w:rPr>
          <w:sz w:val="22"/>
          <w:szCs w:val="22"/>
          <w:lang w:val="en-GB"/>
        </w:rPr>
        <w:t>6A</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6B)</w:t>
      </w:r>
      <w:r w:rsidRPr="00F26A3E">
        <w:rPr>
          <w:rFonts w:eastAsia="Calibri"/>
          <w:sz w:val="22"/>
          <w:szCs w:val="22"/>
          <w:lang w:val="en-GB"/>
        </w:rPr>
        <w:t>.</w:t>
      </w:r>
      <w:r w:rsidR="006B6676">
        <w:rPr>
          <w:rFonts w:eastAsia="Calibri"/>
          <w:sz w:val="22"/>
          <w:szCs w:val="22"/>
          <w:lang w:val="en-GB"/>
        </w:rPr>
        <w:t xml:space="preserve"> </w:t>
      </w:r>
      <w:r w:rsidRPr="00F26A3E">
        <w:rPr>
          <w:sz w:val="22"/>
          <w:szCs w:val="22"/>
          <w:lang w:val="en-GB"/>
        </w:rPr>
        <w:t>Shareholders</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company</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every</w:t>
      </w:r>
      <w:r w:rsidR="006B6676">
        <w:rPr>
          <w:sz w:val="22"/>
          <w:szCs w:val="22"/>
          <w:lang w:val="en-GB"/>
        </w:rPr>
        <w:t xml:space="preserve"> </w:t>
      </w:r>
      <w:r w:rsidRPr="00F26A3E">
        <w:rPr>
          <w:sz w:val="22"/>
          <w:szCs w:val="22"/>
          <w:lang w:val="en-GB"/>
        </w:rPr>
        <w:t>reason</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be</w:t>
      </w:r>
      <w:r w:rsidR="006B6676">
        <w:rPr>
          <w:sz w:val="22"/>
          <w:szCs w:val="22"/>
          <w:lang w:val="en-GB"/>
        </w:rPr>
        <w:t xml:space="preserve"> </w:t>
      </w:r>
      <w:r w:rsidRPr="00F26A3E">
        <w:rPr>
          <w:sz w:val="22"/>
          <w:szCs w:val="22"/>
          <w:lang w:val="en-GB"/>
        </w:rPr>
        <w:t>ecstatic</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stock</w:t>
      </w:r>
      <w:r w:rsidR="006B6676">
        <w:rPr>
          <w:sz w:val="22"/>
          <w:szCs w:val="22"/>
          <w:lang w:val="en-GB"/>
        </w:rPr>
        <w:t xml:space="preserve"> </w:t>
      </w:r>
      <w:r w:rsidRPr="00F26A3E">
        <w:rPr>
          <w:sz w:val="22"/>
          <w:szCs w:val="22"/>
          <w:lang w:val="en-GB"/>
        </w:rPr>
        <w:t>delivered</w:t>
      </w:r>
      <w:r w:rsidR="006B6676">
        <w:rPr>
          <w:sz w:val="22"/>
          <w:szCs w:val="22"/>
          <w:lang w:val="en-GB"/>
        </w:rPr>
        <w:t xml:space="preserve"> </w:t>
      </w:r>
      <w:r w:rsidRPr="00F26A3E">
        <w:rPr>
          <w:sz w:val="22"/>
          <w:szCs w:val="22"/>
          <w:lang w:val="en-GB"/>
        </w:rPr>
        <w:t>awe-inspiring</w:t>
      </w:r>
      <w:r w:rsidR="006B6676">
        <w:rPr>
          <w:sz w:val="22"/>
          <w:szCs w:val="22"/>
          <w:lang w:val="en-GB"/>
        </w:rPr>
        <w:t xml:space="preserve"> </w:t>
      </w:r>
      <w:r w:rsidRPr="00F26A3E">
        <w:rPr>
          <w:sz w:val="22"/>
          <w:szCs w:val="22"/>
          <w:lang w:val="en-GB"/>
        </w:rPr>
        <w:t>returns.</w:t>
      </w:r>
    </w:p>
    <w:p w14:paraId="7C6A684D" w14:textId="77777777" w:rsidR="00CA6A0D" w:rsidRPr="00F26A3E" w:rsidRDefault="00CA6A0D" w:rsidP="00B607FC">
      <w:pPr>
        <w:jc w:val="both"/>
        <w:rPr>
          <w:sz w:val="22"/>
          <w:szCs w:val="22"/>
          <w:lang w:val="en-GB"/>
        </w:rPr>
      </w:pPr>
    </w:p>
    <w:p w14:paraId="19305EFE" w14:textId="77777777" w:rsidR="00CA6A0D" w:rsidRPr="00F26A3E" w:rsidRDefault="00CA6A0D" w:rsidP="00B607FC">
      <w:pPr>
        <w:jc w:val="both"/>
        <w:rPr>
          <w:sz w:val="22"/>
          <w:szCs w:val="22"/>
          <w:lang w:val="en-GB"/>
        </w:rPr>
      </w:pPr>
    </w:p>
    <w:p w14:paraId="6FB8E40D" w14:textId="4B590B44" w:rsidR="00CA6A0D" w:rsidRPr="00F26A3E" w:rsidRDefault="00CA6A0D" w:rsidP="007C2757">
      <w:pPr>
        <w:pStyle w:val="Casehead1"/>
        <w:rPr>
          <w:lang w:val="en-GB"/>
        </w:rPr>
      </w:pPr>
      <w:r>
        <w:rPr>
          <w:lang w:val="en-GB"/>
        </w:rPr>
        <w:t>India’s</w:t>
      </w:r>
      <w:r w:rsidR="006B6676">
        <w:rPr>
          <w:lang w:val="en-GB"/>
        </w:rPr>
        <w:t xml:space="preserve"> </w:t>
      </w:r>
      <w:r w:rsidRPr="00F26A3E">
        <w:rPr>
          <w:lang w:val="en-GB"/>
        </w:rPr>
        <w:t>COMPETITIVE</w:t>
      </w:r>
      <w:r w:rsidR="006B6676">
        <w:rPr>
          <w:lang w:val="en-GB"/>
        </w:rPr>
        <w:t xml:space="preserve"> </w:t>
      </w:r>
      <w:r w:rsidRPr="00F26A3E">
        <w:rPr>
          <w:lang w:val="en-GB"/>
        </w:rPr>
        <w:t>LANDSCAPE</w:t>
      </w:r>
    </w:p>
    <w:p w14:paraId="2311C641" w14:textId="77777777" w:rsidR="00CA6A0D" w:rsidRPr="00F26A3E" w:rsidRDefault="00CA6A0D" w:rsidP="00B607FC">
      <w:pPr>
        <w:jc w:val="both"/>
        <w:rPr>
          <w:sz w:val="22"/>
          <w:szCs w:val="22"/>
          <w:lang w:val="en-GB"/>
        </w:rPr>
      </w:pPr>
    </w:p>
    <w:p w14:paraId="7BEF6514" w14:textId="06F81CDF"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Enfield’s</w:t>
      </w:r>
      <w:r w:rsidR="006B6676">
        <w:rPr>
          <w:sz w:val="22"/>
          <w:szCs w:val="22"/>
          <w:lang w:val="en-GB"/>
        </w:rPr>
        <w:t xml:space="preserve"> </w:t>
      </w:r>
      <w:r w:rsidRPr="00F26A3E">
        <w:rPr>
          <w:sz w:val="22"/>
          <w:szCs w:val="22"/>
          <w:lang w:val="en-GB"/>
        </w:rPr>
        <w:t>success</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attracted</w:t>
      </w:r>
      <w:r w:rsidR="006B6676">
        <w:rPr>
          <w:sz w:val="22"/>
          <w:szCs w:val="22"/>
          <w:lang w:val="en-GB"/>
        </w:rPr>
        <w:t xml:space="preserve"> </w:t>
      </w:r>
      <w:r w:rsidR="00A93740">
        <w:rPr>
          <w:sz w:val="22"/>
          <w:szCs w:val="22"/>
          <w:lang w:val="en-GB"/>
        </w:rPr>
        <w:t>various</w:t>
      </w:r>
      <w:r w:rsidR="006B6676">
        <w:rPr>
          <w:sz w:val="22"/>
          <w:szCs w:val="22"/>
          <w:lang w:val="en-GB"/>
        </w:rPr>
        <w:t xml:space="preserve"> </w:t>
      </w:r>
      <w:r w:rsidR="00A93740">
        <w:rPr>
          <w:sz w:val="22"/>
          <w:szCs w:val="22"/>
          <w:lang w:val="en-GB"/>
        </w:rPr>
        <w:t>competitors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250</w:t>
      </w:r>
      <w:r>
        <w:rPr>
          <w:sz w:val="22"/>
          <w:szCs w:val="22"/>
          <w:lang w:val="en-GB"/>
        </w:rPr>
        <w:t>–</w:t>
      </w:r>
      <w:r w:rsidRPr="00F26A3E">
        <w:rPr>
          <w:sz w:val="22"/>
          <w:szCs w:val="22"/>
          <w:lang w:val="en-GB"/>
        </w:rPr>
        <w:t>750cc</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Pr>
          <w:sz w:val="22"/>
          <w:szCs w:val="22"/>
          <w:lang w:val="en-GB"/>
        </w:rPr>
        <w:t>market</w:t>
      </w:r>
      <w:r w:rsidR="006B6676">
        <w:rPr>
          <w:sz w:val="22"/>
          <w:szCs w:val="22"/>
          <w:lang w:val="en-GB"/>
        </w:rPr>
        <w:t xml:space="preserve"> </w:t>
      </w:r>
      <w:r w:rsidRPr="00F26A3E">
        <w:rPr>
          <w:sz w:val="22"/>
          <w:szCs w:val="22"/>
          <w:lang w:val="en-GB"/>
        </w:rPr>
        <w:t>segment.</w:t>
      </w:r>
      <w:r w:rsidR="006B6676">
        <w:rPr>
          <w:sz w:val="22"/>
          <w:szCs w:val="22"/>
          <w:lang w:val="en-GB"/>
        </w:rPr>
        <w:t xml:space="preserve"> </w:t>
      </w:r>
      <w:r w:rsidR="00A93740">
        <w:rPr>
          <w:sz w:val="22"/>
          <w:szCs w:val="22"/>
          <w:lang w:val="en-GB"/>
        </w:rPr>
        <w:t>M</w:t>
      </w:r>
      <w:r w:rsidR="00A93740" w:rsidRPr="00F26A3E">
        <w:rPr>
          <w:sz w:val="22"/>
          <w:szCs w:val="22"/>
          <w:lang w:val="en-GB"/>
        </w:rPr>
        <w:t>ass-market</w:t>
      </w:r>
      <w:r w:rsidR="006B6676">
        <w:rPr>
          <w:sz w:val="22"/>
          <w:szCs w:val="22"/>
          <w:lang w:val="en-GB"/>
        </w:rPr>
        <w:t xml:space="preserve"> </w:t>
      </w:r>
      <w:r>
        <w:rPr>
          <w:sz w:val="22"/>
          <w:szCs w:val="22"/>
          <w:lang w:val="en-GB"/>
        </w:rPr>
        <w:t>companies</w:t>
      </w:r>
      <w:r w:rsidR="006B6676">
        <w:rPr>
          <w:sz w:val="22"/>
          <w:szCs w:val="22"/>
          <w:lang w:val="en-GB"/>
        </w:rPr>
        <w:t xml:space="preserve"> </w:t>
      </w:r>
      <w:r w:rsidRPr="00F26A3E">
        <w:rPr>
          <w:sz w:val="22"/>
          <w:szCs w:val="22"/>
          <w:lang w:val="en-GB"/>
        </w:rPr>
        <w:t>were</w:t>
      </w:r>
      <w:r w:rsidR="006B6676">
        <w:rPr>
          <w:sz w:val="22"/>
          <w:szCs w:val="22"/>
          <w:lang w:val="en-GB"/>
        </w:rPr>
        <w:t xml:space="preserve"> </w:t>
      </w:r>
      <w:r w:rsidRPr="00F26A3E">
        <w:rPr>
          <w:sz w:val="22"/>
          <w:szCs w:val="22"/>
          <w:lang w:val="en-GB"/>
        </w:rPr>
        <w:t>trying</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develop</w:t>
      </w:r>
      <w:r w:rsidR="006B6676">
        <w:rPr>
          <w:sz w:val="22"/>
          <w:szCs w:val="22"/>
          <w:lang w:val="en-GB"/>
        </w:rPr>
        <w:t xml:space="preserve"> </w:t>
      </w:r>
      <w:r w:rsidRPr="00F26A3E">
        <w:rPr>
          <w:sz w:val="22"/>
          <w:szCs w:val="22"/>
          <w:lang w:val="en-GB"/>
        </w:rPr>
        <w:t>capabilities</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seize</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share</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vast</w:t>
      </w:r>
      <w:r w:rsidR="006B6676">
        <w:rPr>
          <w:sz w:val="22"/>
          <w:szCs w:val="22"/>
          <w:lang w:val="en-GB"/>
        </w:rPr>
        <w:t xml:space="preserve"> </w:t>
      </w:r>
      <w:r w:rsidRPr="00F26A3E">
        <w:rPr>
          <w:sz w:val="22"/>
          <w:szCs w:val="22"/>
          <w:lang w:val="en-GB"/>
        </w:rPr>
        <w:t>market</w:t>
      </w:r>
      <w:r w:rsidR="006B6676">
        <w:rPr>
          <w:sz w:val="22"/>
          <w:szCs w:val="22"/>
          <w:lang w:val="en-GB"/>
        </w:rPr>
        <w:t xml:space="preserve"> </w:t>
      </w:r>
      <w:r w:rsidRPr="00F26A3E">
        <w:rPr>
          <w:sz w:val="22"/>
          <w:szCs w:val="22"/>
          <w:lang w:val="en-GB"/>
        </w:rPr>
        <w:t>share</w:t>
      </w:r>
      <w:r w:rsidR="006B6676">
        <w:rPr>
          <w:sz w:val="22"/>
          <w:szCs w:val="22"/>
          <w:lang w:val="en-GB"/>
        </w:rPr>
        <w:t xml:space="preserve"> </w:t>
      </w:r>
      <w:r w:rsidRPr="00F26A3E">
        <w:rPr>
          <w:sz w:val="22"/>
          <w:szCs w:val="22"/>
          <w:lang w:val="en-GB"/>
        </w:rPr>
        <w:t>that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commanded</w:t>
      </w:r>
      <w:r w:rsidRPr="00F26A3E">
        <w:rPr>
          <w:sz w:val="22"/>
          <w:szCs w:val="22"/>
          <w:lang w:val="en-GB"/>
        </w:rPr>
        <w:t>.</w:t>
      </w:r>
      <w:r w:rsidR="006B6676">
        <w:rPr>
          <w:sz w:val="22"/>
          <w:szCs w:val="22"/>
          <w:lang w:val="en-GB"/>
        </w:rPr>
        <w:t xml:space="preserve"> </w:t>
      </w:r>
    </w:p>
    <w:p w14:paraId="2A05BCAF" w14:textId="77777777" w:rsidR="00CA6A0D" w:rsidRPr="00F26A3E" w:rsidRDefault="00CA6A0D" w:rsidP="00B607FC">
      <w:pPr>
        <w:jc w:val="both"/>
        <w:rPr>
          <w:sz w:val="22"/>
          <w:szCs w:val="22"/>
          <w:lang w:val="en-GB"/>
        </w:rPr>
      </w:pPr>
    </w:p>
    <w:p w14:paraId="39244856" w14:textId="552C819D" w:rsidR="00CA6A0D" w:rsidRDefault="00CA6A0D" w:rsidP="00B607FC">
      <w:pPr>
        <w:jc w:val="both"/>
        <w:rPr>
          <w:sz w:val="22"/>
          <w:szCs w:val="22"/>
          <w:lang w:val="en-GB"/>
        </w:rPr>
      </w:pPr>
      <w:r w:rsidRPr="00F26A3E">
        <w:rPr>
          <w:sz w:val="22"/>
          <w:szCs w:val="22"/>
          <w:lang w:val="en-GB"/>
        </w:rPr>
        <w:t>Bajaj</w:t>
      </w:r>
      <w:r w:rsidR="006B6676">
        <w:rPr>
          <w:sz w:val="22"/>
          <w:szCs w:val="22"/>
          <w:lang w:val="en-GB"/>
        </w:rPr>
        <w:t xml:space="preserve"> </w:t>
      </w:r>
      <w:r w:rsidRPr="00F26A3E">
        <w:rPr>
          <w:sz w:val="22"/>
          <w:szCs w:val="22"/>
          <w:lang w:val="en-GB"/>
        </w:rPr>
        <w:t>planned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multi</w:t>
      </w:r>
      <w:r>
        <w:rPr>
          <w:sz w:val="22"/>
          <w:szCs w:val="22"/>
          <w:lang w:val="en-GB"/>
        </w:rPr>
        <w:t>-</w:t>
      </w:r>
      <w:r w:rsidRPr="00F26A3E">
        <w:rPr>
          <w:sz w:val="22"/>
          <w:szCs w:val="22"/>
          <w:lang w:val="en-GB"/>
        </w:rPr>
        <w:t>pronged</w:t>
      </w:r>
      <w:r w:rsidR="006B6676">
        <w:rPr>
          <w:sz w:val="22"/>
          <w:szCs w:val="22"/>
          <w:lang w:val="en-GB"/>
        </w:rPr>
        <w:t xml:space="preserve"> </w:t>
      </w:r>
      <w:r w:rsidRPr="00F26A3E">
        <w:rPr>
          <w:sz w:val="22"/>
          <w:szCs w:val="22"/>
          <w:lang w:val="en-GB"/>
        </w:rPr>
        <w:t>challenge</w:t>
      </w:r>
      <w:r w:rsidR="006B6676">
        <w:rPr>
          <w:sz w:val="22"/>
          <w:szCs w:val="22"/>
          <w:lang w:val="en-GB"/>
        </w:rPr>
        <w:t xml:space="preserve"> </w:t>
      </w:r>
      <w:r>
        <w:rPr>
          <w:sz w:val="22"/>
          <w:szCs w:val="22"/>
          <w:lang w:val="en-GB"/>
        </w:rPr>
        <w:t>against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First</w:t>
      </w:r>
      <w:r w:rsidRPr="00F26A3E">
        <w:rPr>
          <w:sz w:val="22"/>
          <w:szCs w:val="22"/>
          <w:lang w:val="en-GB"/>
        </w:rPr>
        <w:t>,</w:t>
      </w:r>
      <w:r w:rsidR="006B6676">
        <w:rPr>
          <w:sz w:val="22"/>
          <w:szCs w:val="22"/>
          <w:lang w:val="en-GB"/>
        </w:rPr>
        <w:t xml:space="preserve"> </w:t>
      </w:r>
      <w:r w:rsidRPr="00F26A3E">
        <w:rPr>
          <w:sz w:val="22"/>
          <w:szCs w:val="22"/>
          <w:lang w:val="en-GB"/>
        </w:rPr>
        <w:t>it</w:t>
      </w:r>
      <w:r w:rsidR="006B6676">
        <w:rPr>
          <w:sz w:val="22"/>
          <w:szCs w:val="22"/>
          <w:lang w:val="en-GB"/>
        </w:rPr>
        <w:t xml:space="preserve"> </w:t>
      </w:r>
      <w:r w:rsidRPr="00F26A3E">
        <w:rPr>
          <w:sz w:val="22"/>
          <w:szCs w:val="22"/>
          <w:lang w:val="en-GB"/>
        </w:rPr>
        <w:t>launched</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Dominar</w:t>
      </w:r>
      <w:r w:rsidR="006B6676">
        <w:rPr>
          <w:sz w:val="22"/>
          <w:szCs w:val="22"/>
          <w:lang w:val="en-GB"/>
        </w:rPr>
        <w:t xml:space="preserve"> </w:t>
      </w:r>
      <w:r w:rsidRPr="00F26A3E">
        <w:rPr>
          <w:sz w:val="22"/>
          <w:szCs w:val="22"/>
          <w:lang w:val="en-GB"/>
        </w:rPr>
        <w:t>400</w:t>
      </w:r>
      <w:r w:rsidR="006B6676">
        <w:rPr>
          <w:sz w:val="22"/>
          <w:szCs w:val="22"/>
          <w:lang w:val="en-GB"/>
        </w:rPr>
        <w:t xml:space="preserve"> </w:t>
      </w:r>
      <w:r w:rsidRPr="00F26A3E">
        <w:rPr>
          <w:sz w:val="22"/>
          <w:szCs w:val="22"/>
          <w:lang w:val="en-GB"/>
        </w:rPr>
        <w:t>model</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tried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woo</w:t>
      </w:r>
      <w:r w:rsidR="006B6676">
        <w:rPr>
          <w:sz w:val="22"/>
          <w:szCs w:val="22"/>
          <w:lang w:val="en-GB"/>
        </w:rPr>
        <w:t xml:space="preserve"> </w:t>
      </w:r>
      <w:r w:rsidRPr="00F26A3E">
        <w:rPr>
          <w:sz w:val="22"/>
          <w:szCs w:val="22"/>
          <w:lang w:val="en-GB"/>
        </w:rPr>
        <w:t>customers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00FC44AC">
        <w:rPr>
          <w:sz w:val="22"/>
          <w:szCs w:val="22"/>
          <w:lang w:val="en-GB"/>
        </w:rPr>
        <w:t>the</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segment</w:t>
      </w:r>
      <w:r w:rsidR="006B6676">
        <w:rPr>
          <w:sz w:val="22"/>
          <w:szCs w:val="22"/>
          <w:lang w:val="en-GB"/>
        </w:rPr>
        <w:t xml:space="preserve"> </w:t>
      </w:r>
      <w:r>
        <w:rPr>
          <w:sz w:val="22"/>
          <w:szCs w:val="22"/>
          <w:lang w:val="en-GB"/>
        </w:rPr>
        <w:t>above</w:t>
      </w:r>
      <w:r w:rsidR="006B6676">
        <w:rPr>
          <w:sz w:val="22"/>
          <w:szCs w:val="22"/>
          <w:lang w:val="en-GB"/>
        </w:rPr>
        <w:t xml:space="preserve"> </w:t>
      </w:r>
      <w:r w:rsidRPr="00F26A3E">
        <w:rPr>
          <w:sz w:val="22"/>
          <w:szCs w:val="22"/>
          <w:lang w:val="en-GB"/>
        </w:rPr>
        <w:t>350cc</w:t>
      </w:r>
      <w:r>
        <w:rPr>
          <w:sz w:val="22"/>
          <w:szCs w:val="22"/>
          <w:lang w:val="en-GB"/>
        </w:rPr>
        <w:t>.</w:t>
      </w:r>
      <w:r w:rsidRPr="00F26A3E">
        <w:rPr>
          <w:sz w:val="22"/>
          <w:szCs w:val="22"/>
          <w:vertAlign w:val="superscript"/>
          <w:lang w:val="en-GB"/>
        </w:rPr>
        <w:endnoteReference w:id="85"/>
      </w:r>
      <w:r w:rsidR="006B6676">
        <w:rPr>
          <w:sz w:val="22"/>
          <w:szCs w:val="22"/>
          <w:lang w:val="en-GB"/>
        </w:rPr>
        <w:t xml:space="preserve"> </w:t>
      </w:r>
      <w:r>
        <w:rPr>
          <w:sz w:val="22"/>
          <w:szCs w:val="22"/>
          <w:lang w:val="en-GB"/>
        </w:rPr>
        <w:t>Second</w:t>
      </w:r>
      <w:r w:rsidRPr="00F26A3E">
        <w:rPr>
          <w:sz w:val="22"/>
          <w:szCs w:val="22"/>
          <w:lang w:val="en-GB"/>
        </w:rPr>
        <w:t>,</w:t>
      </w:r>
      <w:r w:rsidR="006B6676">
        <w:rPr>
          <w:sz w:val="22"/>
          <w:szCs w:val="22"/>
          <w:lang w:val="en-GB"/>
        </w:rPr>
        <w:t xml:space="preserve"> </w:t>
      </w:r>
      <w:r w:rsidRPr="00F26A3E">
        <w:rPr>
          <w:sz w:val="22"/>
          <w:szCs w:val="22"/>
          <w:lang w:val="en-GB"/>
        </w:rPr>
        <w:t>Bajaj</w:t>
      </w:r>
      <w:r w:rsidR="006B6676">
        <w:rPr>
          <w:sz w:val="22"/>
          <w:szCs w:val="22"/>
          <w:lang w:val="en-GB"/>
        </w:rPr>
        <w:t xml:space="preserve"> </w:t>
      </w:r>
      <w:r>
        <w:rPr>
          <w:sz w:val="22"/>
          <w:szCs w:val="22"/>
          <w:lang w:val="en-GB"/>
        </w:rPr>
        <w:t>formed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partnership</w:t>
      </w:r>
      <w:r w:rsidR="006B6676">
        <w:rPr>
          <w:sz w:val="22"/>
          <w:szCs w:val="22"/>
          <w:lang w:val="en-GB"/>
        </w:rPr>
        <w:t xml:space="preserve"> </w:t>
      </w:r>
      <w:r w:rsidRPr="00F26A3E">
        <w:rPr>
          <w:sz w:val="22"/>
          <w:szCs w:val="22"/>
          <w:lang w:val="en-GB"/>
        </w:rPr>
        <w:t>with</w:t>
      </w:r>
      <w:r w:rsidR="006B6676">
        <w:rPr>
          <w:sz w:val="22"/>
          <w:szCs w:val="22"/>
          <w:lang w:val="en-GB"/>
        </w:rPr>
        <w:t xml:space="preserve"> </w:t>
      </w:r>
      <w:r>
        <w:rPr>
          <w:sz w:val="22"/>
          <w:szCs w:val="22"/>
          <w:lang w:val="en-GB"/>
        </w:rPr>
        <w:t>UK-</w:t>
      </w:r>
      <w:r w:rsidRPr="00F26A3E">
        <w:rPr>
          <w:sz w:val="22"/>
          <w:szCs w:val="22"/>
          <w:lang w:val="en-GB"/>
        </w:rPr>
        <w:t>based</w:t>
      </w:r>
      <w:r w:rsidR="006B6676">
        <w:rPr>
          <w:sz w:val="22"/>
          <w:szCs w:val="22"/>
          <w:lang w:val="en-GB"/>
        </w:rPr>
        <w:t xml:space="preserve"> </w:t>
      </w:r>
      <w:r w:rsidRPr="00F26A3E">
        <w:rPr>
          <w:sz w:val="22"/>
          <w:szCs w:val="22"/>
          <w:lang w:val="en-GB"/>
        </w:rPr>
        <w:t>Triumph</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Ltd</w:t>
      </w:r>
      <w:r w:rsidRPr="00F26A3E">
        <w:rPr>
          <w:sz w:val="22"/>
          <w:szCs w:val="22"/>
          <w:lang w:val="en-GB"/>
        </w:rPr>
        <w:t>.</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planned</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produce</w:t>
      </w:r>
      <w:r w:rsidR="006B6676">
        <w:rPr>
          <w:sz w:val="22"/>
          <w:szCs w:val="22"/>
          <w:lang w:val="en-GB"/>
        </w:rPr>
        <w:t xml:space="preserve"> </w:t>
      </w:r>
      <w:r w:rsidRPr="00F26A3E">
        <w:rPr>
          <w:sz w:val="22"/>
          <w:szCs w:val="22"/>
          <w:lang w:val="en-GB"/>
        </w:rPr>
        <w:t>mid-sized</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under</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Triumph</w:t>
      </w:r>
      <w:r w:rsidR="006B6676">
        <w:rPr>
          <w:sz w:val="22"/>
          <w:szCs w:val="22"/>
          <w:lang w:val="en-GB"/>
        </w:rPr>
        <w:t xml:space="preserve"> </w:t>
      </w:r>
      <w:r w:rsidRPr="00F26A3E">
        <w:rPr>
          <w:sz w:val="22"/>
          <w:szCs w:val="22"/>
          <w:lang w:val="en-GB"/>
        </w:rPr>
        <w:t>brand</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compete</w:t>
      </w:r>
      <w:r w:rsidR="006B6676">
        <w:rPr>
          <w:sz w:val="22"/>
          <w:szCs w:val="22"/>
          <w:lang w:val="en-GB"/>
        </w:rPr>
        <w:t xml:space="preserve"> </w:t>
      </w:r>
      <w:r>
        <w:rPr>
          <w:sz w:val="22"/>
          <w:szCs w:val="22"/>
          <w:lang w:val="en-GB"/>
        </w:rPr>
        <w:t>directly</w:t>
      </w:r>
      <w:r w:rsidR="006B6676">
        <w:rPr>
          <w:sz w:val="22"/>
          <w:szCs w:val="22"/>
          <w:lang w:val="en-GB"/>
        </w:rPr>
        <w:t xml:space="preserve"> </w:t>
      </w:r>
      <w:r>
        <w:rPr>
          <w:sz w:val="22"/>
          <w:szCs w:val="22"/>
          <w:lang w:val="en-GB"/>
        </w:rPr>
        <w:t>against</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Pr="00F26A3E">
        <w:rPr>
          <w:sz w:val="22"/>
          <w:szCs w:val="22"/>
          <w:vertAlign w:val="superscript"/>
          <w:lang w:val="en-GB"/>
        </w:rPr>
        <w:endnoteReference w:id="86"/>
      </w:r>
      <w:r w:rsidR="006B6676">
        <w:rPr>
          <w:sz w:val="22"/>
          <w:szCs w:val="22"/>
          <w:lang w:val="en-GB"/>
        </w:rPr>
        <w:t xml:space="preserve"> </w:t>
      </w:r>
      <w:r>
        <w:rPr>
          <w:sz w:val="22"/>
          <w:szCs w:val="22"/>
          <w:lang w:val="en-GB"/>
        </w:rPr>
        <w:t>Third,</w:t>
      </w:r>
      <w:r w:rsidR="006B6676">
        <w:rPr>
          <w:sz w:val="22"/>
          <w:szCs w:val="22"/>
          <w:lang w:val="en-GB"/>
        </w:rPr>
        <w:t xml:space="preserve"> </w:t>
      </w:r>
      <w:r w:rsidRPr="00F26A3E">
        <w:rPr>
          <w:sz w:val="22"/>
          <w:szCs w:val="22"/>
          <w:lang w:val="en-GB"/>
        </w:rPr>
        <w:t>Bajaj</w:t>
      </w:r>
      <w:r w:rsidR="006B6676">
        <w:rPr>
          <w:sz w:val="22"/>
          <w:szCs w:val="22"/>
          <w:lang w:val="en-GB"/>
        </w:rPr>
        <w:t xml:space="preserve"> </w:t>
      </w:r>
      <w:r>
        <w:rPr>
          <w:sz w:val="22"/>
          <w:szCs w:val="22"/>
          <w:lang w:val="en-GB"/>
        </w:rPr>
        <w:t>promoted</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KTM</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Pr>
          <w:sz w:val="22"/>
          <w:szCs w:val="22"/>
          <w:lang w:val="en-GB"/>
        </w:rPr>
        <w:t>brand,</w:t>
      </w:r>
      <w:r w:rsidR="006B6676">
        <w:rPr>
          <w:sz w:val="22"/>
          <w:szCs w:val="22"/>
          <w:lang w:val="en-GB"/>
        </w:rPr>
        <w:t xml:space="preserve"> </w:t>
      </w:r>
      <w:r>
        <w:rPr>
          <w:sz w:val="22"/>
          <w:szCs w:val="22"/>
          <w:lang w:val="en-GB"/>
        </w:rPr>
        <w:t>from</w:t>
      </w:r>
      <w:r w:rsidR="006B6676">
        <w:rPr>
          <w:sz w:val="22"/>
          <w:szCs w:val="22"/>
          <w:lang w:val="en-GB"/>
        </w:rPr>
        <w:t xml:space="preserve"> </w:t>
      </w:r>
      <w:r w:rsidRPr="00F26A3E">
        <w:rPr>
          <w:sz w:val="22"/>
          <w:szCs w:val="22"/>
          <w:lang w:val="en-GB"/>
        </w:rPr>
        <w:t>its</w:t>
      </w:r>
      <w:r w:rsidR="006B6676">
        <w:rPr>
          <w:sz w:val="22"/>
          <w:szCs w:val="22"/>
          <w:lang w:val="en-GB"/>
        </w:rPr>
        <w:t xml:space="preserve"> </w:t>
      </w:r>
      <w:r>
        <w:rPr>
          <w:sz w:val="22"/>
          <w:szCs w:val="22"/>
          <w:lang w:val="en-GB"/>
        </w:rPr>
        <w:t>large</w:t>
      </w:r>
      <w:r w:rsidR="006B6676">
        <w:rPr>
          <w:sz w:val="22"/>
          <w:szCs w:val="22"/>
          <w:lang w:val="en-GB"/>
        </w:rPr>
        <w:t xml:space="preserve"> </w:t>
      </w:r>
      <w:r w:rsidRPr="00F26A3E">
        <w:rPr>
          <w:sz w:val="22"/>
          <w:szCs w:val="22"/>
          <w:lang w:val="en-GB"/>
        </w:rPr>
        <w:t>repertoire</w:t>
      </w:r>
      <w:r>
        <w:rPr>
          <w:sz w:val="22"/>
          <w:szCs w:val="22"/>
          <w:lang w:val="en-GB"/>
        </w:rPr>
        <w:t>,</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additional</w:t>
      </w:r>
      <w:r w:rsidR="006B6676">
        <w:rPr>
          <w:sz w:val="22"/>
          <w:szCs w:val="22"/>
          <w:lang w:val="en-GB"/>
        </w:rPr>
        <w:t xml:space="preserve"> </w:t>
      </w:r>
      <w:r>
        <w:rPr>
          <w:sz w:val="22"/>
          <w:szCs w:val="22"/>
          <w:lang w:val="en-GB"/>
        </w:rPr>
        <w:t>competitive</w:t>
      </w:r>
      <w:r w:rsidR="006B6676">
        <w:rPr>
          <w:sz w:val="22"/>
          <w:szCs w:val="22"/>
          <w:lang w:val="en-GB"/>
        </w:rPr>
        <w:t xml:space="preserve"> </w:t>
      </w:r>
      <w:r>
        <w:rPr>
          <w:sz w:val="22"/>
          <w:szCs w:val="22"/>
          <w:lang w:val="en-GB"/>
        </w:rPr>
        <w:t>impact.</w:t>
      </w:r>
      <w:r w:rsidRPr="00F26A3E">
        <w:rPr>
          <w:sz w:val="22"/>
          <w:szCs w:val="22"/>
          <w:vertAlign w:val="superscript"/>
          <w:lang w:val="en-GB"/>
        </w:rPr>
        <w:endnoteReference w:id="87"/>
      </w:r>
    </w:p>
    <w:p w14:paraId="3FF7DF03" w14:textId="77777777" w:rsidR="00CA6A0D" w:rsidRDefault="00CA6A0D" w:rsidP="00B607FC">
      <w:pPr>
        <w:jc w:val="both"/>
        <w:rPr>
          <w:sz w:val="22"/>
          <w:szCs w:val="22"/>
          <w:lang w:val="en-GB"/>
        </w:rPr>
      </w:pPr>
    </w:p>
    <w:p w14:paraId="233352C7" w14:textId="05EFC5D0" w:rsidR="00CA6A0D" w:rsidRPr="00F26A3E" w:rsidRDefault="00CA6A0D" w:rsidP="00B607FC">
      <w:pPr>
        <w:jc w:val="both"/>
        <w:rPr>
          <w:sz w:val="22"/>
          <w:szCs w:val="22"/>
          <w:lang w:val="en-GB"/>
        </w:rPr>
      </w:pPr>
      <w:r>
        <w:rPr>
          <w:sz w:val="22"/>
          <w:szCs w:val="22"/>
          <w:lang w:val="en-GB"/>
        </w:rPr>
        <w:lastRenderedPageBreak/>
        <w:t>Another</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w:t>
      </w:r>
      <w:r w:rsidR="006B6676">
        <w:rPr>
          <w:sz w:val="22"/>
          <w:szCs w:val="22"/>
          <w:lang w:val="en-GB"/>
        </w:rPr>
        <w:t xml:space="preserve"> </w:t>
      </w:r>
      <w:r>
        <w:rPr>
          <w:sz w:val="22"/>
          <w:szCs w:val="22"/>
          <w:lang w:val="en-GB"/>
        </w:rPr>
        <w:t>competitor</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also</w:t>
      </w:r>
      <w:r w:rsidR="006B6676">
        <w:rPr>
          <w:sz w:val="22"/>
          <w:szCs w:val="22"/>
          <w:lang w:val="en-GB"/>
        </w:rPr>
        <w:t xml:space="preserve"> </w:t>
      </w:r>
      <w:r>
        <w:rPr>
          <w:sz w:val="22"/>
          <w:szCs w:val="22"/>
          <w:lang w:val="en-GB"/>
        </w:rPr>
        <w:t>making</w:t>
      </w:r>
      <w:r w:rsidR="006B6676">
        <w:rPr>
          <w:sz w:val="22"/>
          <w:szCs w:val="22"/>
          <w:lang w:val="en-GB"/>
        </w:rPr>
        <w:t xml:space="preserve"> </w:t>
      </w:r>
      <w:r>
        <w:rPr>
          <w:sz w:val="22"/>
          <w:szCs w:val="22"/>
          <w:lang w:val="en-GB"/>
        </w:rPr>
        <w:t>plans</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earn</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share.</w:t>
      </w:r>
      <w:r w:rsidR="006B6676">
        <w:rPr>
          <w:sz w:val="22"/>
          <w:szCs w:val="22"/>
          <w:lang w:val="en-GB"/>
        </w:rPr>
        <w:t xml:space="preserve"> </w:t>
      </w:r>
      <w:r w:rsidRPr="00F26A3E">
        <w:rPr>
          <w:sz w:val="22"/>
          <w:szCs w:val="22"/>
          <w:lang w:val="en-GB"/>
        </w:rPr>
        <w:t>TVS</w:t>
      </w:r>
      <w:r w:rsidR="006B6676">
        <w:rPr>
          <w:sz w:val="22"/>
          <w:szCs w:val="22"/>
          <w:lang w:val="en-GB"/>
        </w:rPr>
        <w:t xml:space="preserve"> </w:t>
      </w:r>
      <w:r>
        <w:rPr>
          <w:sz w:val="22"/>
          <w:szCs w:val="22"/>
          <w:lang w:val="en-GB"/>
        </w:rPr>
        <w:t>formed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partnership</w:t>
      </w:r>
      <w:r w:rsidR="006B6676">
        <w:rPr>
          <w:sz w:val="22"/>
          <w:szCs w:val="22"/>
          <w:lang w:val="en-GB"/>
        </w:rPr>
        <w:t xml:space="preserve"> </w:t>
      </w:r>
      <w:r w:rsidRPr="00F26A3E">
        <w:rPr>
          <w:sz w:val="22"/>
          <w:szCs w:val="22"/>
          <w:lang w:val="en-GB"/>
        </w:rPr>
        <w:t>with</w:t>
      </w:r>
      <w:r w:rsidR="006B6676">
        <w:rPr>
          <w:sz w:val="22"/>
          <w:szCs w:val="22"/>
          <w:lang w:val="en-GB"/>
        </w:rPr>
        <w:t xml:space="preserve"> </w:t>
      </w:r>
      <w:r w:rsidRPr="00F26A3E">
        <w:rPr>
          <w:sz w:val="22"/>
          <w:szCs w:val="22"/>
          <w:lang w:val="en-GB"/>
        </w:rPr>
        <w:t>BMW</w:t>
      </w:r>
      <w:r w:rsidR="006B6676">
        <w:rPr>
          <w:sz w:val="22"/>
          <w:szCs w:val="22"/>
          <w:lang w:val="en-GB"/>
        </w:rPr>
        <w:t xml:space="preserve"> </w:t>
      </w:r>
      <w:r w:rsidRPr="00F26A3E">
        <w:rPr>
          <w:sz w:val="22"/>
          <w:szCs w:val="22"/>
          <w:lang w:val="en-GB"/>
        </w:rPr>
        <w:t>Motorrad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manufacture</w:t>
      </w:r>
      <w:r w:rsidR="006B6676">
        <w:rPr>
          <w:sz w:val="22"/>
          <w:szCs w:val="22"/>
          <w:lang w:val="en-GB"/>
        </w:rPr>
        <w:t xml:space="preserve"> </w:t>
      </w:r>
      <w:r w:rsidRPr="00F26A3E">
        <w:rPr>
          <w:sz w:val="22"/>
          <w:szCs w:val="22"/>
          <w:lang w:val="en-GB"/>
        </w:rPr>
        <w:t>500cc</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India</w:t>
      </w:r>
      <w:r w:rsidR="006B6676">
        <w:rPr>
          <w:sz w:val="22"/>
          <w:szCs w:val="22"/>
          <w:lang w:val="en-GB"/>
        </w:rPr>
        <w:t xml:space="preserve"> </w:t>
      </w:r>
      <w:r w:rsidRPr="00F26A3E">
        <w:rPr>
          <w:sz w:val="22"/>
          <w:szCs w:val="22"/>
          <w:lang w:val="en-GB"/>
        </w:rPr>
        <w:t>for</w:t>
      </w:r>
      <w:r w:rsidR="006B6676">
        <w:rPr>
          <w:sz w:val="22"/>
          <w:szCs w:val="22"/>
          <w:lang w:val="en-GB"/>
        </w:rPr>
        <w:t xml:space="preserve"> </w:t>
      </w:r>
      <w:r>
        <w:rPr>
          <w:sz w:val="22"/>
          <w:szCs w:val="22"/>
          <w:lang w:val="en-GB"/>
        </w:rPr>
        <w:t>distribution</w:t>
      </w:r>
      <w:r w:rsidR="006B6676">
        <w:rPr>
          <w:sz w:val="22"/>
          <w:szCs w:val="22"/>
          <w:lang w:val="en-GB"/>
        </w:rPr>
        <w:t xml:space="preserve"> </w:t>
      </w:r>
      <w:r>
        <w:rPr>
          <w:sz w:val="22"/>
          <w:szCs w:val="22"/>
          <w:lang w:val="en-GB"/>
        </w:rPr>
        <w:t>in</w:t>
      </w:r>
      <w:r w:rsidR="006B6676">
        <w:rPr>
          <w:sz w:val="22"/>
          <w:szCs w:val="22"/>
          <w:lang w:val="en-GB"/>
        </w:rPr>
        <w:t xml:space="preserve"> </w:t>
      </w:r>
      <w:r w:rsidRPr="00F26A3E">
        <w:rPr>
          <w:sz w:val="22"/>
          <w:szCs w:val="22"/>
          <w:lang w:val="en-GB"/>
        </w:rPr>
        <w:t>global</w:t>
      </w:r>
      <w:r w:rsidR="006B6676">
        <w:rPr>
          <w:sz w:val="22"/>
          <w:szCs w:val="22"/>
          <w:lang w:val="en-GB"/>
        </w:rPr>
        <w:t xml:space="preserve"> </w:t>
      </w:r>
      <w:r w:rsidRPr="00F26A3E">
        <w:rPr>
          <w:sz w:val="22"/>
          <w:szCs w:val="22"/>
          <w:lang w:val="en-GB"/>
        </w:rPr>
        <w:t>markets.</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India,</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Pr>
          <w:sz w:val="22"/>
          <w:szCs w:val="22"/>
          <w:lang w:val="en-GB"/>
        </w:rPr>
        <w:t>partnership’s</w:t>
      </w:r>
      <w:r w:rsidR="006B6676">
        <w:rPr>
          <w:sz w:val="22"/>
          <w:szCs w:val="22"/>
          <w:lang w:val="en-GB"/>
        </w:rPr>
        <w:t xml:space="preserve"> </w:t>
      </w:r>
      <w:r w:rsidRPr="00F26A3E">
        <w:rPr>
          <w:sz w:val="22"/>
          <w:szCs w:val="22"/>
          <w:lang w:val="en-GB"/>
        </w:rPr>
        <w:t>racing</w:t>
      </w:r>
      <w:r w:rsidR="006B6676">
        <w:rPr>
          <w:sz w:val="22"/>
          <w:szCs w:val="22"/>
          <w:lang w:val="en-GB"/>
        </w:rPr>
        <w:t xml:space="preserve"> </w:t>
      </w:r>
      <w:r w:rsidRPr="00F26A3E">
        <w:rPr>
          <w:sz w:val="22"/>
          <w:szCs w:val="22"/>
          <w:lang w:val="en-GB"/>
        </w:rPr>
        <w:t>bikes</w:t>
      </w:r>
      <w:r w:rsidR="006B6676">
        <w:rPr>
          <w:sz w:val="22"/>
          <w:szCs w:val="22"/>
          <w:lang w:val="en-GB"/>
        </w:rPr>
        <w:t xml:space="preserve"> </w:t>
      </w:r>
      <w:r w:rsidRPr="00F26A3E">
        <w:rPr>
          <w:sz w:val="22"/>
          <w:szCs w:val="22"/>
          <w:lang w:val="en-GB"/>
        </w:rPr>
        <w:t>w</w:t>
      </w:r>
      <w:r>
        <w:rPr>
          <w:sz w:val="22"/>
          <w:szCs w:val="22"/>
          <w:lang w:val="en-GB"/>
        </w:rPr>
        <w:t>ould</w:t>
      </w:r>
      <w:r w:rsidR="006B6676">
        <w:rPr>
          <w:sz w:val="22"/>
          <w:szCs w:val="22"/>
          <w:lang w:val="en-GB"/>
        </w:rPr>
        <w:t xml:space="preserve"> </w:t>
      </w:r>
      <w:r>
        <w:rPr>
          <w:sz w:val="22"/>
          <w:szCs w:val="22"/>
          <w:lang w:val="en-GB"/>
        </w:rPr>
        <w:t>be</w:t>
      </w:r>
      <w:r w:rsidR="006B6676">
        <w:rPr>
          <w:sz w:val="22"/>
          <w:szCs w:val="22"/>
          <w:lang w:val="en-GB"/>
        </w:rPr>
        <w:t xml:space="preserve"> </w:t>
      </w:r>
      <w:r w:rsidRPr="00F26A3E">
        <w:rPr>
          <w:sz w:val="22"/>
          <w:szCs w:val="22"/>
          <w:lang w:val="en-GB"/>
        </w:rPr>
        <w:t>sold</w:t>
      </w:r>
      <w:r w:rsidR="006B6676">
        <w:rPr>
          <w:sz w:val="22"/>
          <w:szCs w:val="22"/>
          <w:lang w:val="en-GB"/>
        </w:rPr>
        <w:t xml:space="preserve"> </w:t>
      </w:r>
      <w:r w:rsidRPr="00F26A3E">
        <w:rPr>
          <w:sz w:val="22"/>
          <w:szCs w:val="22"/>
          <w:lang w:val="en-GB"/>
        </w:rPr>
        <w:t>under</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TVS</w:t>
      </w:r>
      <w:r w:rsidR="006B6676">
        <w:rPr>
          <w:sz w:val="22"/>
          <w:szCs w:val="22"/>
          <w:lang w:val="en-GB"/>
        </w:rPr>
        <w:t xml:space="preserve"> </w:t>
      </w:r>
      <w:r w:rsidRPr="00F26A3E">
        <w:rPr>
          <w:sz w:val="22"/>
          <w:szCs w:val="22"/>
          <w:lang w:val="en-GB"/>
        </w:rPr>
        <w:t>Apache</w:t>
      </w:r>
      <w:r w:rsidR="006B6676">
        <w:rPr>
          <w:sz w:val="22"/>
          <w:szCs w:val="22"/>
          <w:lang w:val="en-GB"/>
        </w:rPr>
        <w:t xml:space="preserve"> </w:t>
      </w:r>
      <w:r w:rsidRPr="00F26A3E">
        <w:rPr>
          <w:sz w:val="22"/>
          <w:szCs w:val="22"/>
          <w:lang w:val="en-GB"/>
        </w:rPr>
        <w:t>brand</w:t>
      </w:r>
      <w:r>
        <w:rPr>
          <w:sz w:val="22"/>
          <w:szCs w:val="22"/>
          <w:lang w:val="en-GB"/>
        </w:rPr>
        <w:t>.</w:t>
      </w:r>
      <w:r w:rsidRPr="00F26A3E">
        <w:rPr>
          <w:sz w:val="22"/>
          <w:szCs w:val="22"/>
          <w:vertAlign w:val="superscript"/>
          <w:lang w:val="en-GB"/>
        </w:rPr>
        <w:endnoteReference w:id="88"/>
      </w:r>
    </w:p>
    <w:p w14:paraId="02FB6A39" w14:textId="77777777" w:rsidR="00CA6A0D" w:rsidRPr="00F26A3E" w:rsidRDefault="00CA6A0D" w:rsidP="00B607FC">
      <w:pPr>
        <w:jc w:val="both"/>
        <w:rPr>
          <w:sz w:val="22"/>
          <w:szCs w:val="22"/>
          <w:lang w:val="en-GB"/>
        </w:rPr>
      </w:pPr>
    </w:p>
    <w:p w14:paraId="0226BC97" w14:textId="2DB47829"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Enfield’s</w:t>
      </w:r>
      <w:r w:rsidR="006B6676">
        <w:rPr>
          <w:sz w:val="22"/>
          <w:szCs w:val="22"/>
          <w:lang w:val="en-GB"/>
        </w:rPr>
        <w:t xml:space="preserve"> </w:t>
      </w:r>
      <w:r>
        <w:rPr>
          <w:sz w:val="22"/>
          <w:szCs w:val="22"/>
          <w:lang w:val="en-GB"/>
        </w:rPr>
        <w:t>vintage</w:t>
      </w:r>
      <w:r w:rsidR="006B6676">
        <w:rPr>
          <w:sz w:val="22"/>
          <w:szCs w:val="22"/>
          <w:lang w:val="en-GB"/>
        </w:rPr>
        <w:t xml:space="preserve"> </w:t>
      </w:r>
      <w:r>
        <w:rPr>
          <w:sz w:val="22"/>
          <w:szCs w:val="22"/>
          <w:lang w:val="en-GB"/>
        </w:rPr>
        <w:t>motorcycles</w:t>
      </w:r>
      <w:r w:rsidR="006B6676">
        <w:rPr>
          <w:sz w:val="22"/>
          <w:szCs w:val="22"/>
          <w:lang w:val="en-GB"/>
        </w:rPr>
        <w:t xml:space="preserve"> </w:t>
      </w:r>
      <w:r>
        <w:rPr>
          <w:sz w:val="22"/>
          <w:szCs w:val="22"/>
          <w:lang w:val="en-GB"/>
        </w:rPr>
        <w:t>were</w:t>
      </w:r>
      <w:r w:rsidR="006B6676">
        <w:rPr>
          <w:sz w:val="22"/>
          <w:szCs w:val="22"/>
          <w:lang w:val="en-GB"/>
        </w:rPr>
        <w:t xml:space="preserve"> </w:t>
      </w:r>
      <w:r>
        <w:rPr>
          <w:sz w:val="22"/>
          <w:szCs w:val="22"/>
          <w:lang w:val="en-GB"/>
        </w:rPr>
        <w:t>highly</w:t>
      </w:r>
      <w:r w:rsidR="006B6676">
        <w:rPr>
          <w:sz w:val="22"/>
          <w:szCs w:val="22"/>
          <w:lang w:val="en-GB"/>
        </w:rPr>
        <w:t xml:space="preserve"> </w:t>
      </w:r>
      <w:r>
        <w:rPr>
          <w:sz w:val="22"/>
          <w:szCs w:val="22"/>
          <w:lang w:val="en-GB"/>
        </w:rPr>
        <w:t>striking</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appearance</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design,</w:t>
      </w:r>
      <w:r w:rsidR="006B6676">
        <w:rPr>
          <w:sz w:val="22"/>
          <w:szCs w:val="22"/>
          <w:lang w:val="en-GB"/>
        </w:rPr>
        <w:t xml:space="preserve"> </w:t>
      </w:r>
      <w:r>
        <w:rPr>
          <w:sz w:val="22"/>
          <w:szCs w:val="22"/>
          <w:lang w:val="en-GB"/>
        </w:rPr>
        <w:t>although</w:t>
      </w:r>
      <w:r w:rsidR="006B6676">
        <w:rPr>
          <w:sz w:val="22"/>
          <w:szCs w:val="22"/>
          <w:lang w:val="en-GB"/>
        </w:rPr>
        <w:t xml:space="preserve"> </w:t>
      </w:r>
      <w:r>
        <w:rPr>
          <w:sz w:val="22"/>
          <w:szCs w:val="22"/>
          <w:lang w:val="en-GB"/>
        </w:rPr>
        <w:t>they</w:t>
      </w:r>
      <w:r w:rsidR="006B6676">
        <w:rPr>
          <w:sz w:val="22"/>
          <w:szCs w:val="22"/>
          <w:lang w:val="en-GB"/>
        </w:rPr>
        <w:t xml:space="preserve"> </w:t>
      </w:r>
      <w:r w:rsidRPr="00F26A3E">
        <w:rPr>
          <w:sz w:val="22"/>
          <w:szCs w:val="22"/>
          <w:lang w:val="en-GB"/>
        </w:rPr>
        <w:t>lacked</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reliability</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Pr="00F26A3E">
        <w:rPr>
          <w:sz w:val="22"/>
          <w:szCs w:val="22"/>
          <w:lang w:val="en-GB"/>
        </w:rPr>
        <w:t>mainstream</w:t>
      </w:r>
      <w:r w:rsidR="006B6676">
        <w:rPr>
          <w:sz w:val="22"/>
          <w:szCs w:val="22"/>
          <w:lang w:val="en-GB"/>
        </w:rPr>
        <w:t xml:space="preserve"> </w:t>
      </w:r>
      <w:r w:rsidRPr="00F26A3E">
        <w:rPr>
          <w:sz w:val="22"/>
          <w:szCs w:val="22"/>
          <w:lang w:val="en-GB"/>
        </w:rPr>
        <w:t>Japanese</w:t>
      </w:r>
      <w:r w:rsidR="006B6676">
        <w:rPr>
          <w:sz w:val="22"/>
          <w:szCs w:val="22"/>
          <w:lang w:val="en-GB"/>
        </w:rPr>
        <w:t xml:space="preserve"> </w:t>
      </w:r>
      <w:r w:rsidRPr="00F26A3E">
        <w:rPr>
          <w:sz w:val="22"/>
          <w:szCs w:val="22"/>
          <w:lang w:val="en-GB"/>
        </w:rPr>
        <w:t>bikes</w:t>
      </w:r>
      <w:r>
        <w:rPr>
          <w:sz w:val="22"/>
          <w:szCs w:val="22"/>
          <w:lang w:val="en-GB"/>
        </w:rPr>
        <w:t>.</w:t>
      </w:r>
      <w:r w:rsidRPr="00F26A3E">
        <w:rPr>
          <w:sz w:val="22"/>
          <w:szCs w:val="22"/>
          <w:vertAlign w:val="superscript"/>
          <w:lang w:val="en-GB"/>
        </w:rPr>
        <w:endnoteReference w:id="89"/>
      </w:r>
      <w:r w:rsidR="006B6676">
        <w:rPr>
          <w:sz w:val="22"/>
          <w:szCs w:val="22"/>
          <w:lang w:val="en-GB"/>
        </w:rPr>
        <w:t xml:space="preserve"> </w:t>
      </w:r>
      <w:r w:rsidRPr="00F26A3E">
        <w:rPr>
          <w:sz w:val="22"/>
          <w:szCs w:val="22"/>
          <w:lang w:val="en-GB"/>
        </w:rPr>
        <w:t>However,</w:t>
      </w:r>
      <w:r w:rsidR="006B6676">
        <w:rPr>
          <w:sz w:val="22"/>
          <w:szCs w:val="22"/>
          <w:lang w:val="en-GB"/>
        </w:rPr>
        <w:t xml:space="preserve"> </w:t>
      </w:r>
      <w:r w:rsidRPr="00F26A3E">
        <w:rPr>
          <w:sz w:val="22"/>
          <w:szCs w:val="22"/>
          <w:lang w:val="en-GB"/>
        </w:rPr>
        <w:t>Japanese</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such</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Suzuki</w:t>
      </w:r>
      <w:r w:rsidR="006B6676">
        <w:rPr>
          <w:sz w:val="22"/>
          <w:szCs w:val="22"/>
          <w:lang w:val="en-GB"/>
        </w:rPr>
        <w:t xml:space="preserve"> </w:t>
      </w:r>
      <w:r w:rsidRPr="00F26A3E">
        <w:rPr>
          <w:sz w:val="22"/>
          <w:szCs w:val="22"/>
          <w:lang w:val="en-GB"/>
        </w:rPr>
        <w:t>V-Strom</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Kawasaki</w:t>
      </w:r>
      <w:r w:rsidR="006B6676">
        <w:rPr>
          <w:sz w:val="22"/>
          <w:szCs w:val="22"/>
          <w:lang w:val="en-GB"/>
        </w:rPr>
        <w:t xml:space="preserve"> </w:t>
      </w:r>
      <w:r w:rsidRPr="00F26A3E">
        <w:rPr>
          <w:sz w:val="22"/>
          <w:szCs w:val="22"/>
          <w:lang w:val="en-GB"/>
        </w:rPr>
        <w:t>Ninja</w:t>
      </w:r>
      <w:r w:rsidR="006B6676">
        <w:rPr>
          <w:sz w:val="22"/>
          <w:szCs w:val="22"/>
          <w:lang w:val="en-GB"/>
        </w:rPr>
        <w:t xml:space="preserve"> </w:t>
      </w:r>
      <w:r w:rsidRPr="00F26A3E">
        <w:rPr>
          <w:sz w:val="22"/>
          <w:szCs w:val="22"/>
          <w:lang w:val="en-GB"/>
        </w:rPr>
        <w:t>came</w:t>
      </w:r>
      <w:r w:rsidR="006B6676">
        <w:rPr>
          <w:sz w:val="22"/>
          <w:szCs w:val="22"/>
          <w:lang w:val="en-GB"/>
        </w:rPr>
        <w:t xml:space="preserve"> </w:t>
      </w:r>
      <w:r w:rsidRPr="00F26A3E">
        <w:rPr>
          <w:sz w:val="22"/>
          <w:szCs w:val="22"/>
          <w:lang w:val="en-GB"/>
        </w:rPr>
        <w:t>with</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hefty</w:t>
      </w:r>
      <w:r w:rsidR="006B6676">
        <w:rPr>
          <w:sz w:val="22"/>
          <w:szCs w:val="22"/>
          <w:lang w:val="en-GB"/>
        </w:rPr>
        <w:t xml:space="preserve"> </w:t>
      </w:r>
      <w:r w:rsidRPr="00F26A3E">
        <w:rPr>
          <w:sz w:val="22"/>
          <w:szCs w:val="22"/>
          <w:lang w:val="en-GB"/>
        </w:rPr>
        <w:t>price</w:t>
      </w:r>
      <w:r w:rsidR="006B6676">
        <w:rPr>
          <w:sz w:val="22"/>
          <w:szCs w:val="22"/>
          <w:lang w:val="en-GB"/>
        </w:rPr>
        <w:t xml:space="preserve"> </w:t>
      </w:r>
      <w:r w:rsidRPr="00F26A3E">
        <w:rPr>
          <w:sz w:val="22"/>
          <w:szCs w:val="22"/>
          <w:lang w:val="en-GB"/>
        </w:rPr>
        <w:t>tag</w:t>
      </w:r>
      <w:r>
        <w:rPr>
          <w:sz w:val="22"/>
          <w:szCs w:val="22"/>
          <w:lang w:val="en-GB"/>
        </w:rPr>
        <w:t>.</w:t>
      </w:r>
      <w:r w:rsidRPr="00F26A3E">
        <w:rPr>
          <w:sz w:val="22"/>
          <w:szCs w:val="22"/>
          <w:vertAlign w:val="superscript"/>
          <w:lang w:val="en-GB"/>
        </w:rPr>
        <w:endnoteReference w:id="90"/>
      </w:r>
      <w:r w:rsidR="006B6676">
        <w:rPr>
          <w:sz w:val="22"/>
          <w:szCs w:val="22"/>
          <w:lang w:val="en-GB"/>
        </w:rPr>
        <w:t xml:space="preserve"> </w:t>
      </w:r>
      <w:r>
        <w:rPr>
          <w:sz w:val="22"/>
          <w:szCs w:val="22"/>
          <w:lang w:val="en-GB"/>
        </w:rPr>
        <w:t>Therefore,</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Pr>
          <w:sz w:val="22"/>
          <w:szCs w:val="22"/>
          <w:lang w:val="en-GB"/>
        </w:rPr>
        <w:t>’s</w:t>
      </w:r>
      <w:r w:rsidR="006B6676">
        <w:rPr>
          <w:sz w:val="22"/>
          <w:szCs w:val="22"/>
          <w:lang w:val="en-GB"/>
        </w:rPr>
        <w:t xml:space="preserve"> </w:t>
      </w:r>
      <w:r>
        <w:rPr>
          <w:sz w:val="22"/>
          <w:szCs w:val="22"/>
          <w:lang w:val="en-GB"/>
        </w:rPr>
        <w:t>competitors</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overcome</w:t>
      </w:r>
      <w:r w:rsidR="006B6676">
        <w:rPr>
          <w:sz w:val="22"/>
          <w:szCs w:val="22"/>
          <w:lang w:val="en-GB"/>
        </w:rPr>
        <w:t xml:space="preserve"> </w:t>
      </w:r>
      <w:r>
        <w:rPr>
          <w:sz w:val="22"/>
          <w:szCs w:val="22"/>
          <w:lang w:val="en-GB"/>
        </w:rPr>
        <w:t>two</w:t>
      </w:r>
      <w:r w:rsidR="006B6676">
        <w:rPr>
          <w:sz w:val="22"/>
          <w:szCs w:val="22"/>
          <w:lang w:val="en-GB"/>
        </w:rPr>
        <w:t xml:space="preserve"> </w:t>
      </w:r>
      <w:r>
        <w:rPr>
          <w:sz w:val="22"/>
          <w:szCs w:val="22"/>
          <w:lang w:val="en-GB"/>
        </w:rPr>
        <w:t>main</w:t>
      </w:r>
      <w:r w:rsidR="006B6676">
        <w:rPr>
          <w:sz w:val="22"/>
          <w:szCs w:val="22"/>
          <w:lang w:val="en-GB"/>
        </w:rPr>
        <w:t xml:space="preserve"> </w:t>
      </w:r>
      <w:r>
        <w:rPr>
          <w:sz w:val="22"/>
          <w:szCs w:val="22"/>
          <w:lang w:val="en-GB"/>
        </w:rPr>
        <w:t>obstacles—</w:t>
      </w:r>
      <w:r w:rsidRPr="00F26A3E">
        <w:rPr>
          <w:sz w:val="22"/>
          <w:szCs w:val="22"/>
          <w:lang w:val="en-GB"/>
        </w:rPr>
        <w:t>aggressive</w:t>
      </w:r>
      <w:r w:rsidR="006B6676">
        <w:rPr>
          <w:sz w:val="22"/>
          <w:szCs w:val="22"/>
          <w:lang w:val="en-GB"/>
        </w:rPr>
        <w:t xml:space="preserve"> </w:t>
      </w:r>
      <w:r w:rsidRPr="00F26A3E">
        <w:rPr>
          <w:sz w:val="22"/>
          <w:szCs w:val="22"/>
          <w:lang w:val="en-GB"/>
        </w:rPr>
        <w:t>pricing</w:t>
      </w:r>
      <w:r w:rsidR="006B6676">
        <w:rPr>
          <w:sz w:val="22"/>
          <w:szCs w:val="22"/>
          <w:lang w:val="en-GB"/>
        </w:rPr>
        <w:t xml:space="preserve"> </w:t>
      </w:r>
      <w:r>
        <w:rPr>
          <w:sz w:val="22"/>
          <w:szCs w:val="22"/>
          <w:lang w:val="en-GB"/>
        </w:rPr>
        <w:t>and</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highly</w:t>
      </w:r>
      <w:r w:rsidR="006B6676">
        <w:rPr>
          <w:sz w:val="22"/>
          <w:szCs w:val="22"/>
          <w:lang w:val="en-GB"/>
        </w:rPr>
        <w:t xml:space="preserve"> </w:t>
      </w:r>
      <w:r>
        <w:rPr>
          <w:sz w:val="22"/>
          <w:szCs w:val="22"/>
          <w:lang w:val="en-GB"/>
        </w:rPr>
        <w:t>appealing</w:t>
      </w:r>
      <w:r w:rsidR="006B6676">
        <w:rPr>
          <w:sz w:val="22"/>
          <w:szCs w:val="22"/>
          <w:lang w:val="en-GB"/>
        </w:rPr>
        <w:t xml:space="preserve"> </w:t>
      </w:r>
      <w:r>
        <w:rPr>
          <w:sz w:val="22"/>
          <w:szCs w:val="22"/>
          <w:lang w:val="en-GB"/>
        </w:rPr>
        <w:t>design.</w:t>
      </w:r>
      <w:r w:rsidRPr="00F26A3E">
        <w:rPr>
          <w:sz w:val="22"/>
          <w:szCs w:val="22"/>
          <w:vertAlign w:val="superscript"/>
          <w:lang w:val="en-GB"/>
        </w:rPr>
        <w:endnoteReference w:id="91"/>
      </w:r>
    </w:p>
    <w:p w14:paraId="231DA2F5" w14:textId="77777777" w:rsidR="00CA6A0D" w:rsidRPr="00F26A3E" w:rsidRDefault="00CA6A0D" w:rsidP="00B607FC">
      <w:pPr>
        <w:jc w:val="both"/>
        <w:rPr>
          <w:sz w:val="22"/>
          <w:szCs w:val="22"/>
          <w:lang w:val="en-GB"/>
        </w:rPr>
      </w:pPr>
    </w:p>
    <w:p w14:paraId="43016106" w14:textId="02CF3465" w:rsidR="00CA6A0D"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c</w:t>
      </w:r>
      <w:r w:rsidRPr="00F26A3E">
        <w:rPr>
          <w:sz w:val="22"/>
          <w:szCs w:val="22"/>
          <w:lang w:val="en-GB"/>
        </w:rPr>
        <w:t>us</w:t>
      </w:r>
      <w:r>
        <w:rPr>
          <w:sz w:val="22"/>
          <w:szCs w:val="22"/>
          <w:lang w:val="en-GB"/>
        </w:rPr>
        <w:t>tom</w:t>
      </w:r>
      <w:r w:rsidRPr="00F26A3E">
        <w:rPr>
          <w:sz w:val="22"/>
          <w:szCs w:val="22"/>
          <w:lang w:val="en-GB"/>
        </w:rPr>
        <w:t>ers</w:t>
      </w:r>
      <w:r w:rsidR="006B6676">
        <w:rPr>
          <w:sz w:val="22"/>
          <w:szCs w:val="22"/>
          <w:lang w:val="en-GB"/>
        </w:rPr>
        <w:t xml:space="preserve"> </w:t>
      </w:r>
      <w:r>
        <w:rPr>
          <w:sz w:val="22"/>
          <w:szCs w:val="22"/>
          <w:lang w:val="en-GB"/>
        </w:rPr>
        <w:t>who</w:t>
      </w:r>
      <w:r w:rsidR="006B6676">
        <w:rPr>
          <w:sz w:val="22"/>
          <w:szCs w:val="22"/>
          <w:lang w:val="en-GB"/>
        </w:rPr>
        <w:t xml:space="preserve"> </w:t>
      </w:r>
      <w:r>
        <w:rPr>
          <w:sz w:val="22"/>
          <w:szCs w:val="22"/>
          <w:lang w:val="en-GB"/>
        </w:rPr>
        <w:t>intended</w:t>
      </w:r>
      <w:r w:rsidR="006B6676">
        <w:rPr>
          <w:sz w:val="22"/>
          <w:szCs w:val="22"/>
          <w:lang w:val="en-GB"/>
        </w:rPr>
        <w:t xml:space="preserve"> </w:t>
      </w:r>
      <w:r>
        <w:rPr>
          <w:sz w:val="22"/>
          <w:szCs w:val="22"/>
          <w:lang w:val="en-GB"/>
        </w:rPr>
        <w:t>to</w:t>
      </w:r>
      <w:r w:rsidR="006B6676">
        <w:rPr>
          <w:sz w:val="22"/>
          <w:szCs w:val="22"/>
          <w:lang w:val="en-GB"/>
        </w:rPr>
        <w:t xml:space="preserve"> </w:t>
      </w:r>
      <w:r w:rsidRPr="00F26A3E">
        <w:rPr>
          <w:sz w:val="22"/>
          <w:szCs w:val="22"/>
          <w:lang w:val="en-GB"/>
        </w:rPr>
        <w:t>upgrade</w:t>
      </w:r>
      <w:r w:rsidR="006B6676">
        <w:rPr>
          <w:sz w:val="22"/>
          <w:szCs w:val="22"/>
          <w:lang w:val="en-GB"/>
        </w:rPr>
        <w:t xml:space="preserve"> </w:t>
      </w:r>
      <w:r>
        <w:rPr>
          <w:sz w:val="22"/>
          <w:szCs w:val="22"/>
          <w:lang w:val="en-GB"/>
        </w:rPr>
        <w:t>their</w:t>
      </w:r>
      <w:r w:rsidR="006B6676">
        <w:rPr>
          <w:sz w:val="22"/>
          <w:szCs w:val="22"/>
          <w:lang w:val="en-GB"/>
        </w:rPr>
        <w:t xml:space="preserve"> </w:t>
      </w:r>
      <w:r>
        <w:rPr>
          <w:sz w:val="22"/>
          <w:szCs w:val="22"/>
          <w:lang w:val="en-GB"/>
        </w:rPr>
        <w:t>motorcycles</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higher-power</w:t>
      </w:r>
      <w:r w:rsidR="006B6676">
        <w:rPr>
          <w:sz w:val="22"/>
          <w:szCs w:val="22"/>
          <w:lang w:val="en-GB"/>
        </w:rPr>
        <w:t xml:space="preserve"> </w:t>
      </w:r>
      <w:r>
        <w:rPr>
          <w:sz w:val="22"/>
          <w:szCs w:val="22"/>
          <w:lang w:val="en-GB"/>
        </w:rPr>
        <w:t>models</w:t>
      </w:r>
      <w:r w:rsidR="006B6676">
        <w:rPr>
          <w:sz w:val="22"/>
          <w:szCs w:val="22"/>
          <w:lang w:val="en-GB"/>
        </w:rPr>
        <w:t xml:space="preserve"> </w:t>
      </w:r>
      <w:r>
        <w:rPr>
          <w:sz w:val="22"/>
          <w:szCs w:val="22"/>
          <w:lang w:val="en-GB"/>
        </w:rPr>
        <w:t>bought</w:t>
      </w:r>
      <w:r w:rsidR="006B6676">
        <w:rPr>
          <w:sz w:val="22"/>
          <w:szCs w:val="22"/>
          <w:lang w:val="en-GB"/>
        </w:rPr>
        <w:t xml:space="preserve"> </w:t>
      </w:r>
      <w:r>
        <w:rPr>
          <w:sz w:val="22"/>
          <w:szCs w:val="22"/>
          <w:lang w:val="en-GB"/>
        </w:rPr>
        <w:t>Harley-Davidson</w:t>
      </w:r>
      <w:r w:rsidR="006B6676">
        <w:rPr>
          <w:sz w:val="22"/>
          <w:szCs w:val="22"/>
          <w:lang w:val="en-GB"/>
        </w:rPr>
        <w:t xml:space="preserve"> </w:t>
      </w:r>
      <w:r>
        <w:rPr>
          <w:sz w:val="22"/>
          <w:szCs w:val="22"/>
          <w:lang w:val="en-GB"/>
        </w:rPr>
        <w:t>motorcycles</w:t>
      </w:r>
      <w:r w:rsidRPr="00F26A3E">
        <w:rPr>
          <w:sz w:val="22"/>
          <w:szCs w:val="22"/>
          <w:lang w:val="en-GB"/>
        </w:rPr>
        <w:t>.</w:t>
      </w:r>
      <w:r w:rsidR="006B6676">
        <w:rPr>
          <w:sz w:val="22"/>
          <w:szCs w:val="22"/>
          <w:lang w:val="en-GB"/>
        </w:rPr>
        <w:t xml:space="preserve"> </w:t>
      </w:r>
      <w:r>
        <w:rPr>
          <w:sz w:val="22"/>
          <w:szCs w:val="22"/>
          <w:lang w:val="en-GB"/>
        </w:rPr>
        <w:t>However,</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latter’s</w:t>
      </w:r>
      <w:r w:rsidR="006B6676">
        <w:rPr>
          <w:sz w:val="22"/>
          <w:szCs w:val="22"/>
          <w:lang w:val="en-GB"/>
        </w:rPr>
        <w:t xml:space="preserve"> </w:t>
      </w:r>
      <w:r w:rsidRPr="00F26A3E">
        <w:rPr>
          <w:sz w:val="22"/>
          <w:szCs w:val="22"/>
          <w:lang w:val="en-GB"/>
        </w:rPr>
        <w:t>lowest</w:t>
      </w:r>
      <w:r>
        <w:rPr>
          <w:sz w:val="22"/>
          <w:szCs w:val="22"/>
          <w:lang w:val="en-GB"/>
        </w:rPr>
        <w:t>-</w:t>
      </w:r>
      <w:r w:rsidRPr="00F26A3E">
        <w:rPr>
          <w:sz w:val="22"/>
          <w:szCs w:val="22"/>
          <w:lang w:val="en-GB"/>
        </w:rPr>
        <w:t>priced</w:t>
      </w:r>
      <w:r w:rsidR="006B6676">
        <w:rPr>
          <w:sz w:val="22"/>
          <w:szCs w:val="22"/>
          <w:lang w:val="en-GB"/>
        </w:rPr>
        <w:t xml:space="preserve"> </w:t>
      </w:r>
      <w:r w:rsidRPr="00F26A3E">
        <w:rPr>
          <w:sz w:val="22"/>
          <w:szCs w:val="22"/>
          <w:lang w:val="en-GB"/>
        </w:rPr>
        <w:t>model</w:t>
      </w:r>
      <w:r>
        <w:rPr>
          <w:sz w:val="22"/>
          <w:szCs w:val="22"/>
          <w:lang w:val="en-GB"/>
        </w:rPr>
        <w:t>—the</w:t>
      </w:r>
      <w:r w:rsidR="006B6676">
        <w:rPr>
          <w:sz w:val="22"/>
          <w:szCs w:val="22"/>
          <w:lang w:val="en-GB"/>
        </w:rPr>
        <w:t xml:space="preserve"> </w:t>
      </w:r>
      <w:r w:rsidRPr="00F26A3E">
        <w:rPr>
          <w:sz w:val="22"/>
          <w:szCs w:val="22"/>
          <w:shd w:val="clear" w:color="auto" w:fill="FFFFFF"/>
          <w:lang w:val="en-GB"/>
        </w:rPr>
        <w:t>Street</w:t>
      </w:r>
      <w:r w:rsidR="006B6676">
        <w:rPr>
          <w:sz w:val="22"/>
          <w:szCs w:val="22"/>
          <w:shd w:val="clear" w:color="auto" w:fill="FFFFFF"/>
          <w:lang w:val="en-GB"/>
        </w:rPr>
        <w:t xml:space="preserve"> </w:t>
      </w:r>
      <w:r w:rsidRPr="00F26A3E">
        <w:rPr>
          <w:sz w:val="22"/>
          <w:szCs w:val="22"/>
          <w:shd w:val="clear" w:color="auto" w:fill="FFFFFF"/>
          <w:lang w:val="en-GB"/>
        </w:rPr>
        <w:t>750</w:t>
      </w:r>
      <w:r>
        <w:rPr>
          <w:sz w:val="22"/>
          <w:szCs w:val="22"/>
          <w:shd w:val="clear" w:color="auto" w:fill="FFFFFF"/>
          <w:lang w:val="en-GB"/>
        </w:rPr>
        <w:t>—</w:t>
      </w:r>
      <w:r w:rsidRPr="00F26A3E">
        <w:rPr>
          <w:sz w:val="22"/>
          <w:szCs w:val="22"/>
          <w:shd w:val="clear" w:color="auto" w:fill="FFFFFF"/>
          <w:lang w:val="en-GB"/>
        </w:rPr>
        <w:t>came</w:t>
      </w:r>
      <w:r w:rsidR="006B6676">
        <w:rPr>
          <w:sz w:val="22"/>
          <w:szCs w:val="22"/>
          <w:shd w:val="clear" w:color="auto" w:fill="FFFFFF"/>
          <w:lang w:val="en-GB"/>
        </w:rPr>
        <w:t xml:space="preserve"> </w:t>
      </w:r>
      <w:r w:rsidRPr="00F26A3E">
        <w:rPr>
          <w:sz w:val="22"/>
          <w:szCs w:val="22"/>
          <w:shd w:val="clear" w:color="auto" w:fill="FFFFFF"/>
          <w:lang w:val="en-GB"/>
        </w:rPr>
        <w:t>with</w:t>
      </w:r>
      <w:r w:rsidR="006B6676">
        <w:rPr>
          <w:sz w:val="22"/>
          <w:szCs w:val="22"/>
          <w:shd w:val="clear" w:color="auto" w:fill="FFFFFF"/>
          <w:lang w:val="en-GB"/>
        </w:rPr>
        <w:t xml:space="preserve"> </w:t>
      </w:r>
      <w:r w:rsidRPr="00F26A3E">
        <w:rPr>
          <w:sz w:val="22"/>
          <w:szCs w:val="22"/>
          <w:shd w:val="clear" w:color="auto" w:fill="FFFFFF"/>
          <w:lang w:val="en-GB"/>
        </w:rPr>
        <w:t>a</w:t>
      </w:r>
      <w:r w:rsidR="006B6676">
        <w:rPr>
          <w:sz w:val="22"/>
          <w:szCs w:val="22"/>
          <w:shd w:val="clear" w:color="auto" w:fill="FFFFFF"/>
          <w:lang w:val="en-GB"/>
        </w:rPr>
        <w:t xml:space="preserve"> </w:t>
      </w:r>
      <w:r w:rsidRPr="00F26A3E">
        <w:rPr>
          <w:sz w:val="22"/>
          <w:szCs w:val="22"/>
          <w:shd w:val="clear" w:color="auto" w:fill="FFFFFF"/>
          <w:lang w:val="en-GB"/>
        </w:rPr>
        <w:t>price</w:t>
      </w:r>
      <w:r w:rsidR="006B6676">
        <w:rPr>
          <w:sz w:val="22"/>
          <w:szCs w:val="22"/>
          <w:shd w:val="clear" w:color="auto" w:fill="FFFFFF"/>
          <w:lang w:val="en-GB"/>
        </w:rPr>
        <w:t xml:space="preserve"> </w:t>
      </w:r>
      <w:r w:rsidRPr="00F26A3E">
        <w:rPr>
          <w:sz w:val="22"/>
          <w:szCs w:val="22"/>
          <w:shd w:val="clear" w:color="auto" w:fill="FFFFFF"/>
          <w:lang w:val="en-GB"/>
        </w:rPr>
        <w:t>tag</w:t>
      </w:r>
      <w:r w:rsidR="006B6676">
        <w:rPr>
          <w:sz w:val="22"/>
          <w:szCs w:val="22"/>
          <w:shd w:val="clear" w:color="auto" w:fill="FFFFFF"/>
          <w:lang w:val="en-GB"/>
        </w:rPr>
        <w:t xml:space="preserve"> </w:t>
      </w:r>
      <w:r w:rsidRPr="00F26A3E">
        <w:rPr>
          <w:sz w:val="22"/>
          <w:szCs w:val="22"/>
          <w:shd w:val="clear" w:color="auto" w:fill="FFFFFF"/>
          <w:lang w:val="en-GB"/>
        </w:rPr>
        <w:t>of</w:t>
      </w:r>
      <w:r w:rsidR="006B6676">
        <w:rPr>
          <w:sz w:val="22"/>
          <w:szCs w:val="22"/>
          <w:shd w:val="clear" w:color="auto" w:fill="FFFFFF"/>
          <w:lang w:val="en-GB"/>
        </w:rPr>
        <w:t xml:space="preserve"> </w:t>
      </w:r>
      <w:r>
        <w:rPr>
          <w:sz w:val="22"/>
          <w:szCs w:val="22"/>
          <w:shd w:val="clear" w:color="auto" w:fill="FFFFFF"/>
          <w:lang w:val="en-GB"/>
        </w:rPr>
        <w:t>over</w:t>
      </w:r>
      <w:r w:rsidR="006B6676">
        <w:rPr>
          <w:sz w:val="22"/>
          <w:szCs w:val="22"/>
          <w:shd w:val="clear" w:color="auto" w:fill="FFFFFF"/>
          <w:lang w:val="en-GB"/>
        </w:rPr>
        <w:t xml:space="preserve"> </w:t>
      </w:r>
      <w:r>
        <w:rPr>
          <w:sz w:val="22"/>
          <w:szCs w:val="22"/>
          <w:shd w:val="clear" w:color="auto" w:fill="FFFFFF"/>
          <w:lang w:val="en-GB"/>
        </w:rPr>
        <w:t>₹</w:t>
      </w:r>
      <w:r w:rsidRPr="00F26A3E">
        <w:rPr>
          <w:sz w:val="22"/>
          <w:szCs w:val="22"/>
          <w:shd w:val="clear" w:color="auto" w:fill="FFFFFF"/>
          <w:lang w:val="en-GB"/>
        </w:rPr>
        <w:t>500,000</w:t>
      </w:r>
      <w:r>
        <w:rPr>
          <w:sz w:val="22"/>
          <w:szCs w:val="22"/>
          <w:shd w:val="clear" w:color="auto" w:fill="FFFFFF"/>
          <w:lang w:val="en-GB"/>
        </w:rPr>
        <w:t>,</w:t>
      </w:r>
      <w:r w:rsidRPr="00F26A3E">
        <w:rPr>
          <w:sz w:val="22"/>
          <w:szCs w:val="22"/>
          <w:shd w:val="clear" w:color="auto" w:fill="FFFFFF"/>
          <w:vertAlign w:val="superscript"/>
          <w:lang w:val="en-GB"/>
        </w:rPr>
        <w:endnoteReference w:id="92"/>
      </w:r>
      <w:r w:rsidR="006B6676">
        <w:rPr>
          <w:sz w:val="22"/>
          <w:szCs w:val="22"/>
          <w:shd w:val="clear" w:color="auto" w:fill="FFFFFF"/>
          <w:lang w:val="en-GB"/>
        </w:rPr>
        <w:t xml:space="preserve"> </w:t>
      </w:r>
      <w:r>
        <w:rPr>
          <w:sz w:val="22"/>
          <w:szCs w:val="22"/>
          <w:shd w:val="clear" w:color="auto" w:fill="FFFFFF"/>
          <w:lang w:val="en-GB"/>
        </w:rPr>
        <w:t>which</w:t>
      </w:r>
      <w:r w:rsidR="006B6676">
        <w:rPr>
          <w:sz w:val="22"/>
          <w:szCs w:val="22"/>
          <w:shd w:val="clear" w:color="auto" w:fill="FFFFFF"/>
          <w:lang w:val="en-GB"/>
        </w:rPr>
        <w:t xml:space="preserve"> </w:t>
      </w:r>
      <w:r>
        <w:rPr>
          <w:sz w:val="22"/>
          <w:szCs w:val="22"/>
          <w:shd w:val="clear" w:color="auto" w:fill="FFFFFF"/>
          <w:lang w:val="en-GB"/>
        </w:rPr>
        <w:t>gave</w:t>
      </w:r>
      <w:r w:rsidR="006B6676">
        <w:rPr>
          <w:sz w:val="22"/>
          <w:szCs w:val="22"/>
          <w:shd w:val="clear" w:color="auto" w:fill="FFFFFF"/>
          <w:lang w:val="en-GB"/>
        </w:rPr>
        <w:t xml:space="preserve"> </w:t>
      </w:r>
      <w:r w:rsidRPr="00F26A3E">
        <w:rPr>
          <w:sz w:val="22"/>
          <w:szCs w:val="22"/>
          <w:shd w:val="clear" w:color="auto" w:fill="FFFFFF"/>
          <w:lang w:val="en-GB"/>
        </w:rPr>
        <w:t>Royal</w:t>
      </w:r>
      <w:r w:rsidR="006B6676">
        <w:rPr>
          <w:sz w:val="22"/>
          <w:szCs w:val="22"/>
          <w:shd w:val="clear" w:color="auto" w:fill="FFFFFF"/>
          <w:lang w:val="en-GB"/>
        </w:rPr>
        <w:t xml:space="preserve"> </w:t>
      </w:r>
      <w:r w:rsidRPr="00F26A3E">
        <w:rPr>
          <w:sz w:val="22"/>
          <w:szCs w:val="22"/>
          <w:shd w:val="clear" w:color="auto" w:fill="FFFFFF"/>
          <w:lang w:val="en-GB"/>
        </w:rPr>
        <w:t>Enfield</w:t>
      </w:r>
      <w:r w:rsidR="006B6676">
        <w:rPr>
          <w:sz w:val="22"/>
          <w:szCs w:val="22"/>
          <w:shd w:val="clear" w:color="auto" w:fill="FFFFFF"/>
          <w:lang w:val="en-GB"/>
        </w:rPr>
        <w:t xml:space="preserve"> </w:t>
      </w:r>
      <w:r w:rsidRPr="00F26A3E">
        <w:rPr>
          <w:sz w:val="22"/>
          <w:szCs w:val="22"/>
          <w:shd w:val="clear" w:color="auto" w:fill="FFFFFF"/>
          <w:lang w:val="en-GB"/>
        </w:rPr>
        <w:t>a</w:t>
      </w:r>
      <w:r w:rsidR="006B6676">
        <w:rPr>
          <w:sz w:val="22"/>
          <w:szCs w:val="22"/>
          <w:shd w:val="clear" w:color="auto" w:fill="FFFFFF"/>
          <w:lang w:val="en-GB"/>
        </w:rPr>
        <w:t xml:space="preserve"> </w:t>
      </w:r>
      <w:r w:rsidRPr="00F26A3E">
        <w:rPr>
          <w:sz w:val="22"/>
          <w:szCs w:val="22"/>
          <w:shd w:val="clear" w:color="auto" w:fill="FFFFFF"/>
          <w:lang w:val="en-GB"/>
        </w:rPr>
        <w:t>clear</w:t>
      </w:r>
      <w:r w:rsidR="006B6676">
        <w:rPr>
          <w:sz w:val="22"/>
          <w:szCs w:val="22"/>
          <w:shd w:val="clear" w:color="auto" w:fill="FFFFFF"/>
          <w:lang w:val="en-GB"/>
        </w:rPr>
        <w:t xml:space="preserve"> </w:t>
      </w:r>
      <w:r w:rsidRPr="00F26A3E">
        <w:rPr>
          <w:sz w:val="22"/>
          <w:szCs w:val="22"/>
          <w:shd w:val="clear" w:color="auto" w:fill="FFFFFF"/>
          <w:lang w:val="en-GB"/>
        </w:rPr>
        <w:t>price</w:t>
      </w:r>
      <w:r w:rsidR="006B6676">
        <w:rPr>
          <w:sz w:val="22"/>
          <w:szCs w:val="22"/>
          <w:shd w:val="clear" w:color="auto" w:fill="FFFFFF"/>
          <w:lang w:val="en-GB"/>
        </w:rPr>
        <w:t xml:space="preserve"> </w:t>
      </w:r>
      <w:r w:rsidRPr="00F26A3E">
        <w:rPr>
          <w:sz w:val="22"/>
          <w:szCs w:val="22"/>
          <w:shd w:val="clear" w:color="auto" w:fill="FFFFFF"/>
          <w:lang w:val="en-GB"/>
        </w:rPr>
        <w:t>advantage.</w:t>
      </w:r>
      <w:r w:rsidR="006B6676">
        <w:rPr>
          <w:sz w:val="22"/>
          <w:szCs w:val="22"/>
          <w:shd w:val="clear" w:color="auto" w:fill="FFFFFF"/>
          <w:lang w:val="en-GB"/>
        </w:rPr>
        <w:t xml:space="preserve"> </w:t>
      </w:r>
      <w:r>
        <w:rPr>
          <w:sz w:val="22"/>
          <w:szCs w:val="22"/>
          <w:shd w:val="clear" w:color="auto" w:fill="FFFFFF"/>
          <w:lang w:val="en-GB"/>
        </w:rPr>
        <w:t>Now,</w:t>
      </w:r>
      <w:r w:rsidR="006B6676">
        <w:rPr>
          <w:sz w:val="22"/>
          <w:szCs w:val="22"/>
          <w:shd w:val="clear" w:color="auto" w:fill="FFFFFF"/>
          <w:lang w:val="en-GB"/>
        </w:rPr>
        <w:t xml:space="preserve"> </w:t>
      </w:r>
      <w:r>
        <w:rPr>
          <w:sz w:val="22"/>
          <w:szCs w:val="22"/>
          <w:shd w:val="clear" w:color="auto" w:fill="FFFFFF"/>
          <w:lang w:val="en-GB"/>
        </w:rPr>
        <w:t>Harley</w:t>
      </w:r>
      <w:r w:rsidR="00FC44AC">
        <w:rPr>
          <w:sz w:val="22"/>
          <w:szCs w:val="22"/>
          <w:shd w:val="clear" w:color="auto" w:fill="FFFFFF"/>
          <w:lang w:val="en-GB"/>
        </w:rPr>
        <w:t>-</w:t>
      </w:r>
      <w:r>
        <w:rPr>
          <w:sz w:val="22"/>
          <w:szCs w:val="22"/>
          <w:shd w:val="clear" w:color="auto" w:fill="FFFFFF"/>
          <w:lang w:val="en-GB"/>
        </w:rPr>
        <w:t>Davidson</w:t>
      </w:r>
      <w:r w:rsidR="006B6676">
        <w:rPr>
          <w:sz w:val="22"/>
          <w:szCs w:val="22"/>
          <w:shd w:val="clear" w:color="auto" w:fill="FFFFFF"/>
          <w:lang w:val="en-GB"/>
        </w:rPr>
        <w:t xml:space="preserve"> </w:t>
      </w:r>
      <w:r w:rsidRPr="00F26A3E">
        <w:rPr>
          <w:sz w:val="22"/>
          <w:szCs w:val="22"/>
          <w:shd w:val="clear" w:color="auto" w:fill="FFFFFF"/>
          <w:lang w:val="en-GB"/>
        </w:rPr>
        <w:t>was</w:t>
      </w:r>
      <w:r w:rsidR="006B6676">
        <w:rPr>
          <w:sz w:val="22"/>
          <w:szCs w:val="22"/>
          <w:shd w:val="clear" w:color="auto" w:fill="FFFFFF"/>
          <w:lang w:val="en-GB"/>
        </w:rPr>
        <w:t xml:space="preserve"> </w:t>
      </w:r>
      <w:r w:rsidRPr="00F26A3E">
        <w:rPr>
          <w:sz w:val="22"/>
          <w:szCs w:val="22"/>
          <w:lang w:val="en-GB"/>
        </w:rPr>
        <w:t>planning</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challenge</w:t>
      </w:r>
      <w:r w:rsidR="006B6676">
        <w:rPr>
          <w:sz w:val="22"/>
          <w:szCs w:val="22"/>
          <w:lang w:val="en-GB"/>
        </w:rPr>
        <w:t xml:space="preserve"> </w:t>
      </w:r>
      <w:r>
        <w:rPr>
          <w:sz w:val="22"/>
          <w:szCs w:val="22"/>
          <w:lang w:val="en-GB"/>
        </w:rPr>
        <w:t>Royal</w:t>
      </w:r>
      <w:r w:rsidR="006B6676">
        <w:rPr>
          <w:sz w:val="22"/>
          <w:szCs w:val="22"/>
          <w:lang w:val="en-GB"/>
        </w:rPr>
        <w:t xml:space="preserve"> </w:t>
      </w:r>
      <w:r>
        <w:rPr>
          <w:sz w:val="22"/>
          <w:szCs w:val="22"/>
          <w:lang w:val="en-GB"/>
        </w:rPr>
        <w:t>Enfield</w:t>
      </w:r>
      <w:r w:rsidR="006B6676">
        <w:rPr>
          <w:sz w:val="22"/>
          <w:szCs w:val="22"/>
          <w:lang w:val="en-GB"/>
        </w:rPr>
        <w:t xml:space="preserve"> </w:t>
      </w:r>
      <w:r>
        <w:rPr>
          <w:sz w:val="22"/>
          <w:szCs w:val="22"/>
          <w:lang w:val="en-GB"/>
        </w:rPr>
        <w:t>directly</w:t>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250</w:t>
      </w:r>
      <w:r>
        <w:rPr>
          <w:sz w:val="22"/>
          <w:szCs w:val="22"/>
          <w:lang w:val="en-GB"/>
        </w:rPr>
        <w:t>–</w:t>
      </w:r>
      <w:r w:rsidRPr="00F26A3E">
        <w:rPr>
          <w:sz w:val="22"/>
          <w:szCs w:val="22"/>
          <w:lang w:val="en-GB"/>
        </w:rPr>
        <w:t>500cc</w:t>
      </w:r>
      <w:r w:rsidR="006B6676">
        <w:rPr>
          <w:sz w:val="22"/>
          <w:szCs w:val="22"/>
          <w:lang w:val="en-GB"/>
        </w:rPr>
        <w:t xml:space="preserve"> </w:t>
      </w:r>
      <w:r>
        <w:rPr>
          <w:sz w:val="22"/>
          <w:szCs w:val="22"/>
          <w:lang w:val="en-GB"/>
        </w:rPr>
        <w:t>market</w:t>
      </w:r>
      <w:r w:rsidR="006B6676">
        <w:rPr>
          <w:sz w:val="22"/>
          <w:szCs w:val="22"/>
          <w:lang w:val="en-GB"/>
        </w:rPr>
        <w:t xml:space="preserve"> </w:t>
      </w:r>
      <w:r>
        <w:rPr>
          <w:sz w:val="22"/>
          <w:szCs w:val="22"/>
          <w:lang w:val="en-GB"/>
        </w:rPr>
        <w:t>segment,</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was</w:t>
      </w:r>
      <w:r w:rsidR="006B6676">
        <w:rPr>
          <w:sz w:val="22"/>
          <w:szCs w:val="22"/>
          <w:lang w:val="en-GB"/>
        </w:rPr>
        <w:t xml:space="preserve"> </w:t>
      </w:r>
      <w:r>
        <w:rPr>
          <w:sz w:val="22"/>
          <w:szCs w:val="22"/>
          <w:lang w:val="en-GB"/>
        </w:rPr>
        <w:t>looking</w:t>
      </w:r>
      <w:r w:rsidR="006B6676">
        <w:rPr>
          <w:sz w:val="22"/>
          <w:szCs w:val="22"/>
          <w:lang w:val="en-GB"/>
        </w:rPr>
        <w:t xml:space="preserve"> </w:t>
      </w:r>
      <w:r w:rsidRPr="00F26A3E">
        <w:rPr>
          <w:sz w:val="22"/>
          <w:szCs w:val="22"/>
          <w:lang w:val="en-GB"/>
        </w:rPr>
        <w:t>for</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partner</w:t>
      </w:r>
      <w:r w:rsidR="006B6676">
        <w:rPr>
          <w:sz w:val="22"/>
          <w:szCs w:val="22"/>
          <w:lang w:val="en-GB"/>
        </w:rPr>
        <w:t xml:space="preserve"> </w:t>
      </w:r>
      <w:r w:rsidRPr="00F26A3E">
        <w:rPr>
          <w:sz w:val="22"/>
          <w:szCs w:val="22"/>
          <w:lang w:val="en-GB"/>
        </w:rPr>
        <w:t>to</w:t>
      </w:r>
      <w:r w:rsidR="006B6676">
        <w:rPr>
          <w:sz w:val="22"/>
          <w:szCs w:val="22"/>
          <w:lang w:val="en-GB"/>
        </w:rPr>
        <w:t xml:space="preserve"> </w:t>
      </w:r>
      <w:r>
        <w:rPr>
          <w:sz w:val="22"/>
          <w:szCs w:val="22"/>
          <w:lang w:val="en-GB"/>
        </w:rPr>
        <w:t>form</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strategic</w:t>
      </w:r>
      <w:r w:rsidR="006B6676">
        <w:rPr>
          <w:sz w:val="22"/>
          <w:szCs w:val="22"/>
          <w:lang w:val="en-GB"/>
        </w:rPr>
        <w:t xml:space="preserve"> </w:t>
      </w:r>
      <w:r w:rsidRPr="00F26A3E">
        <w:rPr>
          <w:sz w:val="22"/>
          <w:szCs w:val="22"/>
          <w:lang w:val="en-GB"/>
        </w:rPr>
        <w:t>alliance</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launch.</w:t>
      </w:r>
      <w:r w:rsidRPr="00F26A3E">
        <w:rPr>
          <w:sz w:val="22"/>
          <w:szCs w:val="22"/>
          <w:vertAlign w:val="superscript"/>
          <w:lang w:val="en-GB"/>
        </w:rPr>
        <w:endnoteReference w:id="93"/>
      </w:r>
    </w:p>
    <w:p w14:paraId="26F3F514" w14:textId="77777777" w:rsidR="00CA6A0D" w:rsidRDefault="00CA6A0D" w:rsidP="00B607FC">
      <w:pPr>
        <w:jc w:val="both"/>
        <w:rPr>
          <w:sz w:val="22"/>
          <w:szCs w:val="22"/>
          <w:lang w:val="en-GB"/>
        </w:rPr>
      </w:pPr>
    </w:p>
    <w:p w14:paraId="780DC832" w14:textId="7FE9D85B" w:rsidR="00CA6A0D" w:rsidRPr="00F26A3E" w:rsidRDefault="00CA6A0D" w:rsidP="00B607FC">
      <w:pPr>
        <w:jc w:val="both"/>
        <w:rPr>
          <w:sz w:val="22"/>
          <w:szCs w:val="22"/>
          <w:lang w:val="en-GB"/>
        </w:rPr>
      </w:pP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Pr>
          <w:sz w:val="22"/>
          <w:szCs w:val="22"/>
          <w:lang w:val="en-GB"/>
        </w:rPr>
        <w:t>had</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prepare</w:t>
      </w:r>
      <w:r w:rsidR="006B6676">
        <w:rPr>
          <w:sz w:val="22"/>
          <w:szCs w:val="22"/>
          <w:lang w:val="en-GB"/>
        </w:rPr>
        <w:t xml:space="preserve"> </w:t>
      </w:r>
      <w:r>
        <w:rPr>
          <w:sz w:val="22"/>
          <w:szCs w:val="22"/>
          <w:lang w:val="en-GB"/>
        </w:rPr>
        <w:t>for</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possibility</w:t>
      </w:r>
      <w:r w:rsidR="006B6676">
        <w:rPr>
          <w:sz w:val="22"/>
          <w:szCs w:val="22"/>
          <w:lang w:val="en-GB"/>
        </w:rPr>
        <w:t xml:space="preserve"> </w:t>
      </w:r>
      <w:r>
        <w:rPr>
          <w:sz w:val="22"/>
          <w:szCs w:val="22"/>
          <w:lang w:val="en-GB"/>
        </w:rPr>
        <w:t>of</w:t>
      </w:r>
      <w:r w:rsidR="006B6676">
        <w:rPr>
          <w:sz w:val="22"/>
          <w:szCs w:val="22"/>
          <w:lang w:val="en-GB"/>
        </w:rPr>
        <w:t xml:space="preserve"> </w:t>
      </w:r>
      <w:r>
        <w:rPr>
          <w:sz w:val="22"/>
          <w:szCs w:val="22"/>
          <w:lang w:val="en-GB"/>
        </w:rPr>
        <w:t>serious</w:t>
      </w:r>
      <w:r w:rsidR="006B6676">
        <w:rPr>
          <w:sz w:val="22"/>
          <w:szCs w:val="22"/>
          <w:lang w:val="en-GB"/>
        </w:rPr>
        <w:t xml:space="preserve"> </w:t>
      </w:r>
      <w:r>
        <w:rPr>
          <w:sz w:val="22"/>
          <w:szCs w:val="22"/>
          <w:lang w:val="en-GB"/>
        </w:rPr>
        <w:t>threats</w:t>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competitors,</w:t>
      </w:r>
      <w:r w:rsidR="006B6676">
        <w:rPr>
          <w:sz w:val="22"/>
          <w:szCs w:val="22"/>
          <w:lang w:val="en-GB"/>
        </w:rPr>
        <w:t xml:space="preserve"> </w:t>
      </w:r>
      <w:r>
        <w:rPr>
          <w:sz w:val="22"/>
          <w:szCs w:val="22"/>
          <w:lang w:val="en-GB"/>
        </w:rPr>
        <w:t>including</w:t>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US</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giant</w:t>
      </w:r>
      <w:r w:rsidRPr="00F26A3E">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most</w:t>
      </w:r>
      <w:r w:rsidR="006B6676">
        <w:rPr>
          <w:sz w:val="22"/>
          <w:szCs w:val="22"/>
          <w:lang w:val="en-GB"/>
        </w:rPr>
        <w:t xml:space="preserve"> </w:t>
      </w:r>
      <w:r>
        <w:rPr>
          <w:sz w:val="22"/>
          <w:szCs w:val="22"/>
          <w:lang w:val="en-GB"/>
        </w:rPr>
        <w:t>imminent</w:t>
      </w:r>
      <w:r w:rsidR="006B6676">
        <w:rPr>
          <w:sz w:val="22"/>
          <w:szCs w:val="22"/>
          <w:lang w:val="en-GB"/>
        </w:rPr>
        <w:t xml:space="preserve"> </w:t>
      </w:r>
      <w:r>
        <w:rPr>
          <w:sz w:val="22"/>
          <w:szCs w:val="22"/>
          <w:lang w:val="en-GB"/>
        </w:rPr>
        <w:t>threat,</w:t>
      </w:r>
      <w:r w:rsidR="006B6676">
        <w:rPr>
          <w:sz w:val="22"/>
          <w:szCs w:val="22"/>
          <w:lang w:val="en-GB"/>
        </w:rPr>
        <w:t xml:space="preserve"> </w:t>
      </w:r>
      <w:r>
        <w:rPr>
          <w:sz w:val="22"/>
          <w:szCs w:val="22"/>
          <w:lang w:val="en-GB"/>
        </w:rPr>
        <w:t>however,</w:t>
      </w:r>
      <w:r w:rsidR="006B6676">
        <w:rPr>
          <w:sz w:val="22"/>
          <w:szCs w:val="22"/>
          <w:lang w:val="en-GB"/>
        </w:rPr>
        <w:t xml:space="preserve"> </w:t>
      </w:r>
      <w:r>
        <w:rPr>
          <w:sz w:val="22"/>
          <w:szCs w:val="22"/>
          <w:lang w:val="en-GB"/>
        </w:rPr>
        <w:t>remained</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sidRPr="00F26A3E">
        <w:rPr>
          <w:sz w:val="22"/>
          <w:szCs w:val="22"/>
          <w:lang w:val="en-GB"/>
        </w:rPr>
        <w:t>reintroduction</w:t>
      </w:r>
      <w:r w:rsidR="006B6676">
        <w:rPr>
          <w:sz w:val="22"/>
          <w:szCs w:val="22"/>
          <w:lang w:val="en-GB"/>
        </w:rPr>
        <w:t xml:space="preserve"> </w:t>
      </w:r>
      <w:r w:rsidRPr="00F26A3E">
        <w:rPr>
          <w:sz w:val="22"/>
          <w:szCs w:val="22"/>
          <w:lang w:val="en-GB"/>
        </w:rPr>
        <w:t>of</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Jawa</w:t>
      </w:r>
      <w:r w:rsidR="006B6676">
        <w:rPr>
          <w:sz w:val="22"/>
          <w:szCs w:val="22"/>
          <w:lang w:val="en-GB"/>
        </w:rPr>
        <w:t xml:space="preserve"> </w:t>
      </w:r>
      <w:r>
        <w:rPr>
          <w:sz w:val="22"/>
          <w:szCs w:val="22"/>
          <w:lang w:val="en-GB"/>
        </w:rPr>
        <w:t>motorcycle</w:t>
      </w:r>
      <w:r w:rsidR="006B6676">
        <w:rPr>
          <w:sz w:val="22"/>
          <w:szCs w:val="22"/>
          <w:lang w:val="en-GB"/>
        </w:rPr>
        <w:t xml:space="preserve"> </w:t>
      </w:r>
      <w:r w:rsidRPr="00F26A3E">
        <w:rPr>
          <w:sz w:val="22"/>
          <w:szCs w:val="22"/>
          <w:lang w:val="en-GB"/>
        </w:rPr>
        <w:t>brand</w:t>
      </w:r>
      <w:r w:rsidR="006B6676">
        <w:rPr>
          <w:sz w:val="22"/>
          <w:szCs w:val="22"/>
          <w:lang w:val="en-GB"/>
        </w:rPr>
        <w:t xml:space="preserve"> </w:t>
      </w:r>
      <w:r w:rsidRPr="00F26A3E">
        <w:rPr>
          <w:sz w:val="22"/>
          <w:szCs w:val="22"/>
          <w:lang w:val="en-GB"/>
        </w:rPr>
        <w:t>by</w:t>
      </w:r>
      <w:r w:rsidR="006B6676">
        <w:rPr>
          <w:sz w:val="22"/>
          <w:szCs w:val="22"/>
          <w:lang w:val="en-GB"/>
        </w:rPr>
        <w:t xml:space="preserve"> </w:t>
      </w:r>
      <w:r w:rsidRPr="00F26A3E">
        <w:rPr>
          <w:sz w:val="22"/>
          <w:szCs w:val="22"/>
          <w:lang w:val="en-GB"/>
        </w:rPr>
        <w:t>M</w:t>
      </w:r>
      <w:r>
        <w:rPr>
          <w:sz w:val="22"/>
          <w:szCs w:val="22"/>
          <w:lang w:val="en-GB"/>
        </w:rPr>
        <w:t>ahindra</w:t>
      </w:r>
      <w:r w:rsidRPr="00F26A3E">
        <w:rPr>
          <w:sz w:val="22"/>
          <w:szCs w:val="22"/>
          <w:lang w:val="en-GB"/>
        </w:rPr>
        <w:t>.</w:t>
      </w:r>
    </w:p>
    <w:p w14:paraId="43C60E64" w14:textId="77777777" w:rsidR="00CA6A0D" w:rsidRPr="00F26A3E" w:rsidRDefault="00CA6A0D" w:rsidP="00B607FC">
      <w:pPr>
        <w:jc w:val="both"/>
        <w:rPr>
          <w:sz w:val="22"/>
          <w:szCs w:val="22"/>
          <w:lang w:val="en-GB"/>
        </w:rPr>
      </w:pPr>
    </w:p>
    <w:p w14:paraId="2022DF48" w14:textId="77777777" w:rsidR="00CA6A0D" w:rsidRPr="00F26A3E" w:rsidRDefault="00CA6A0D" w:rsidP="00B607FC">
      <w:pPr>
        <w:jc w:val="both"/>
        <w:rPr>
          <w:sz w:val="22"/>
          <w:szCs w:val="22"/>
          <w:lang w:val="en-GB"/>
        </w:rPr>
      </w:pPr>
    </w:p>
    <w:p w14:paraId="74DC9589" w14:textId="6CE13AFD" w:rsidR="00CA6A0D" w:rsidRPr="00F26A3E" w:rsidRDefault="00CA6A0D" w:rsidP="007C2757">
      <w:pPr>
        <w:pStyle w:val="Casehead1"/>
        <w:rPr>
          <w:lang w:val="en-GB"/>
        </w:rPr>
      </w:pPr>
      <w:r>
        <w:rPr>
          <w:lang w:val="en-GB"/>
        </w:rPr>
        <w:t>ABOUT</w:t>
      </w:r>
      <w:r w:rsidR="006B6676">
        <w:rPr>
          <w:lang w:val="en-GB"/>
        </w:rPr>
        <w:t xml:space="preserve"> </w:t>
      </w:r>
      <w:r w:rsidRPr="00F26A3E">
        <w:rPr>
          <w:lang w:val="en-GB"/>
        </w:rPr>
        <w:t>Mahindra</w:t>
      </w:r>
      <w:r w:rsidR="006B6676">
        <w:rPr>
          <w:lang w:val="en-GB"/>
        </w:rPr>
        <w:t xml:space="preserve"> </w:t>
      </w:r>
    </w:p>
    <w:p w14:paraId="4D619471" w14:textId="77777777" w:rsidR="00CA6A0D" w:rsidRPr="00F26A3E" w:rsidRDefault="00CA6A0D" w:rsidP="00B607FC">
      <w:pPr>
        <w:keepNext/>
        <w:jc w:val="both"/>
        <w:rPr>
          <w:sz w:val="22"/>
          <w:szCs w:val="22"/>
          <w:lang w:val="en-GB"/>
        </w:rPr>
      </w:pPr>
    </w:p>
    <w:p w14:paraId="33888DA4" w14:textId="5ED8B9AD" w:rsidR="00CA6A0D" w:rsidRPr="00F26A3E" w:rsidRDefault="00CA6A0D" w:rsidP="00B607FC">
      <w:pPr>
        <w:keepNext/>
        <w:jc w:val="both"/>
        <w:rPr>
          <w:sz w:val="22"/>
          <w:szCs w:val="22"/>
          <w:lang w:val="en-GB"/>
        </w:rPr>
      </w:pPr>
      <w:r w:rsidRPr="00F26A3E">
        <w:rPr>
          <w:sz w:val="22"/>
          <w:szCs w:val="22"/>
          <w:lang w:val="en-GB"/>
        </w:rPr>
        <w:t>Mahindra</w:t>
      </w:r>
      <w:r w:rsidR="006B6676">
        <w:rPr>
          <w:sz w:val="22"/>
          <w:szCs w:val="22"/>
          <w:lang w:val="en-GB"/>
        </w:rPr>
        <w:t xml:space="preserve"> </w:t>
      </w:r>
      <w:r>
        <w:rPr>
          <w:sz w:val="22"/>
          <w:szCs w:val="22"/>
          <w:lang w:val="en-GB"/>
        </w:rPr>
        <w:t>was</w:t>
      </w:r>
      <w:r w:rsidR="006B6676">
        <w:rPr>
          <w:sz w:val="22"/>
          <w:szCs w:val="22"/>
          <w:lang w:val="en-GB"/>
        </w:rPr>
        <w:t xml:space="preserve"> </w:t>
      </w:r>
      <w:r>
        <w:rPr>
          <w:sz w:val="22"/>
          <w:szCs w:val="22"/>
          <w:lang w:val="en-GB"/>
        </w:rPr>
        <w:t>a</w:t>
      </w:r>
      <w:r w:rsidR="006B6676">
        <w:rPr>
          <w:sz w:val="22"/>
          <w:szCs w:val="22"/>
          <w:lang w:val="en-GB"/>
        </w:rPr>
        <w:t xml:space="preserve"> </w:t>
      </w:r>
      <w:r>
        <w:rPr>
          <w:sz w:val="22"/>
          <w:szCs w:val="22"/>
          <w:lang w:val="en-GB"/>
        </w:rPr>
        <w:t>conglomerate</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business</w:t>
      </w:r>
      <w:r w:rsidR="006B6676">
        <w:rPr>
          <w:sz w:val="22"/>
          <w:szCs w:val="22"/>
          <w:lang w:val="en-GB"/>
        </w:rPr>
        <w:t xml:space="preserve"> </w:t>
      </w:r>
      <w:r w:rsidRPr="00F26A3E">
        <w:rPr>
          <w:sz w:val="22"/>
          <w:szCs w:val="22"/>
          <w:lang w:val="en-GB"/>
        </w:rPr>
        <w:t>presence</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more</w:t>
      </w:r>
      <w:r w:rsidR="006B6676">
        <w:rPr>
          <w:sz w:val="22"/>
          <w:szCs w:val="22"/>
          <w:lang w:val="en-GB"/>
        </w:rPr>
        <w:t xml:space="preserve"> </w:t>
      </w:r>
      <w:r w:rsidRPr="00F26A3E">
        <w:rPr>
          <w:sz w:val="22"/>
          <w:szCs w:val="22"/>
          <w:lang w:val="en-GB"/>
        </w:rPr>
        <w:t>than</w:t>
      </w:r>
      <w:r w:rsidR="006B6676">
        <w:rPr>
          <w:sz w:val="22"/>
          <w:szCs w:val="22"/>
          <w:lang w:val="en-GB"/>
        </w:rPr>
        <w:t xml:space="preserve"> </w:t>
      </w:r>
      <w:r w:rsidRPr="00F26A3E">
        <w:rPr>
          <w:sz w:val="22"/>
          <w:szCs w:val="22"/>
          <w:lang w:val="en-GB"/>
        </w:rPr>
        <w:t>100</w:t>
      </w:r>
      <w:r w:rsidR="006B6676">
        <w:rPr>
          <w:sz w:val="22"/>
          <w:szCs w:val="22"/>
          <w:lang w:val="en-GB"/>
        </w:rPr>
        <w:t xml:space="preserve"> </w:t>
      </w:r>
      <w:r w:rsidRPr="00F26A3E">
        <w:rPr>
          <w:sz w:val="22"/>
          <w:szCs w:val="22"/>
          <w:lang w:val="en-GB"/>
        </w:rPr>
        <w:t>countries.</w:t>
      </w:r>
      <w:r w:rsidR="006B6676">
        <w:rPr>
          <w:sz w:val="22"/>
          <w:szCs w:val="22"/>
          <w:lang w:val="en-GB"/>
        </w:rPr>
        <w:t xml:space="preserve"> </w:t>
      </w:r>
      <w:r>
        <w:rPr>
          <w:sz w:val="22"/>
          <w:szCs w:val="22"/>
          <w:lang w:val="en-GB"/>
        </w:rPr>
        <w:t>It</w:t>
      </w:r>
      <w:r w:rsidR="006B6676">
        <w:rPr>
          <w:sz w:val="22"/>
          <w:szCs w:val="22"/>
          <w:lang w:val="en-GB"/>
        </w:rPr>
        <w:t xml:space="preserve"> </w:t>
      </w:r>
      <w:r>
        <w:rPr>
          <w:sz w:val="22"/>
          <w:szCs w:val="22"/>
          <w:lang w:val="en-GB"/>
        </w:rPr>
        <w:t>had</w:t>
      </w:r>
      <w:r w:rsidR="006B6676">
        <w:rPr>
          <w:sz w:val="22"/>
          <w:szCs w:val="22"/>
          <w:lang w:val="en-GB"/>
        </w:rPr>
        <w:t xml:space="preserve"> </w:t>
      </w:r>
      <w:r w:rsidRPr="00F26A3E">
        <w:rPr>
          <w:sz w:val="22"/>
          <w:szCs w:val="22"/>
          <w:lang w:val="en-GB"/>
        </w:rPr>
        <w:t>started</w:t>
      </w:r>
      <w:r w:rsidR="006B6676">
        <w:rPr>
          <w:sz w:val="22"/>
          <w:szCs w:val="22"/>
          <w:lang w:val="en-GB"/>
        </w:rPr>
        <w:t xml:space="preserve"> </w:t>
      </w:r>
      <w:r>
        <w:rPr>
          <w:sz w:val="22"/>
          <w:szCs w:val="22"/>
          <w:lang w:val="en-GB"/>
        </w:rPr>
        <w:t>operations</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steel</w:t>
      </w:r>
      <w:r w:rsidR="00A9250C">
        <w:rPr>
          <w:sz w:val="22"/>
          <w:szCs w:val="22"/>
          <w:lang w:val="en-GB"/>
        </w:rPr>
        <w:t>-</w:t>
      </w:r>
      <w:r w:rsidRPr="00F26A3E">
        <w:rPr>
          <w:sz w:val="22"/>
          <w:szCs w:val="22"/>
          <w:lang w:val="en-GB"/>
        </w:rPr>
        <w:t>trading</w:t>
      </w:r>
      <w:r w:rsidR="006B6676">
        <w:rPr>
          <w:sz w:val="22"/>
          <w:szCs w:val="22"/>
          <w:lang w:val="en-GB"/>
        </w:rPr>
        <w:t xml:space="preserve"> </w:t>
      </w:r>
      <w:r w:rsidRPr="00F26A3E">
        <w:rPr>
          <w:sz w:val="22"/>
          <w:szCs w:val="22"/>
          <w:lang w:val="en-GB"/>
        </w:rPr>
        <w:t>business</w:t>
      </w:r>
      <w:r w:rsidR="006B6676">
        <w:rPr>
          <w:sz w:val="22"/>
          <w:szCs w:val="22"/>
          <w:lang w:val="en-GB"/>
        </w:rPr>
        <w:t xml:space="preserve"> </w:t>
      </w:r>
      <w:r w:rsidRPr="00F26A3E">
        <w:rPr>
          <w:sz w:val="22"/>
          <w:szCs w:val="22"/>
          <w:lang w:val="en-GB"/>
        </w:rPr>
        <w:t>and</w:t>
      </w:r>
      <w:r w:rsidR="006B6676">
        <w:rPr>
          <w:sz w:val="22"/>
          <w:szCs w:val="22"/>
          <w:lang w:val="en-GB"/>
        </w:rPr>
        <w:t xml:space="preserve"> </w:t>
      </w:r>
      <w:r>
        <w:rPr>
          <w:sz w:val="22"/>
          <w:szCs w:val="22"/>
          <w:lang w:val="en-GB"/>
        </w:rPr>
        <w:t>eventually</w:t>
      </w:r>
      <w:r w:rsidR="006B6676">
        <w:rPr>
          <w:sz w:val="22"/>
          <w:szCs w:val="22"/>
          <w:lang w:val="en-GB"/>
        </w:rPr>
        <w:t xml:space="preserve"> </w:t>
      </w:r>
      <w:r w:rsidRPr="00F26A3E">
        <w:rPr>
          <w:sz w:val="22"/>
          <w:szCs w:val="22"/>
          <w:lang w:val="en-GB"/>
        </w:rPr>
        <w:t>diversified</w:t>
      </w:r>
      <w:r w:rsidR="006B6676">
        <w:rPr>
          <w:sz w:val="22"/>
          <w:szCs w:val="22"/>
          <w:lang w:val="en-GB"/>
        </w:rPr>
        <w:t xml:space="preserve"> </w:t>
      </w:r>
      <w:r w:rsidRPr="00F26A3E">
        <w:rPr>
          <w:sz w:val="22"/>
          <w:szCs w:val="22"/>
          <w:lang w:val="en-GB"/>
        </w:rPr>
        <w:t>into</w:t>
      </w:r>
      <w:r w:rsidR="006B6676">
        <w:rPr>
          <w:sz w:val="22"/>
          <w:szCs w:val="22"/>
          <w:lang w:val="en-GB"/>
        </w:rPr>
        <w:t xml:space="preserve"> </w:t>
      </w:r>
      <w:r>
        <w:rPr>
          <w:sz w:val="22"/>
          <w:szCs w:val="22"/>
          <w:lang w:val="en-GB"/>
        </w:rPr>
        <w:t>numerous</w:t>
      </w:r>
      <w:r w:rsidR="006B6676">
        <w:rPr>
          <w:sz w:val="22"/>
          <w:szCs w:val="22"/>
          <w:lang w:val="en-GB"/>
        </w:rPr>
        <w:t xml:space="preserve"> </w:t>
      </w:r>
      <w:r>
        <w:rPr>
          <w:sz w:val="22"/>
          <w:szCs w:val="22"/>
          <w:lang w:val="en-GB"/>
        </w:rPr>
        <w:t>areas</w:t>
      </w:r>
      <w:r w:rsidR="006B6676">
        <w:rPr>
          <w:sz w:val="22"/>
          <w:szCs w:val="22"/>
          <w:lang w:val="en-GB"/>
        </w:rPr>
        <w:t xml:space="preserve"> </w:t>
      </w:r>
      <w:r>
        <w:rPr>
          <w:sz w:val="22"/>
          <w:szCs w:val="22"/>
          <w:lang w:val="en-GB"/>
        </w:rPr>
        <w:t>including</w:t>
      </w:r>
      <w:r w:rsidR="006B6676">
        <w:rPr>
          <w:sz w:val="22"/>
          <w:szCs w:val="22"/>
          <w:lang w:val="en-GB"/>
        </w:rPr>
        <w:t xml:space="preserve"> </w:t>
      </w:r>
      <w:r w:rsidRPr="00F26A3E">
        <w:rPr>
          <w:sz w:val="22"/>
          <w:szCs w:val="22"/>
          <w:lang w:val="en-GB"/>
        </w:rPr>
        <w:t>aerospace,</w:t>
      </w:r>
      <w:r w:rsidR="006B6676">
        <w:rPr>
          <w:sz w:val="22"/>
          <w:szCs w:val="22"/>
          <w:lang w:val="en-GB"/>
        </w:rPr>
        <w:t xml:space="preserve"> </w:t>
      </w:r>
      <w:r w:rsidRPr="00F26A3E">
        <w:rPr>
          <w:sz w:val="22"/>
          <w:szCs w:val="22"/>
          <w:lang w:val="en-GB"/>
        </w:rPr>
        <w:t>construction</w:t>
      </w:r>
      <w:r w:rsidR="006B6676">
        <w:rPr>
          <w:sz w:val="22"/>
          <w:szCs w:val="22"/>
          <w:lang w:val="en-GB"/>
        </w:rPr>
        <w:t xml:space="preserve"> </w:t>
      </w:r>
      <w:r w:rsidRPr="00F26A3E">
        <w:rPr>
          <w:sz w:val="22"/>
          <w:szCs w:val="22"/>
          <w:lang w:val="en-GB"/>
        </w:rPr>
        <w:t>equipment,</w:t>
      </w:r>
      <w:r w:rsidR="006B6676">
        <w:rPr>
          <w:sz w:val="22"/>
          <w:szCs w:val="22"/>
          <w:lang w:val="en-GB"/>
        </w:rPr>
        <w:t xml:space="preserve"> </w:t>
      </w:r>
      <w:r w:rsidRPr="00F26A3E">
        <w:rPr>
          <w:sz w:val="22"/>
          <w:szCs w:val="22"/>
          <w:lang w:val="en-GB"/>
        </w:rPr>
        <w:t>farm</w:t>
      </w:r>
      <w:r w:rsidR="006B6676">
        <w:rPr>
          <w:sz w:val="22"/>
          <w:szCs w:val="22"/>
          <w:lang w:val="en-GB"/>
        </w:rPr>
        <w:t xml:space="preserve"> </w:t>
      </w:r>
      <w:r w:rsidRPr="00F26A3E">
        <w:rPr>
          <w:sz w:val="22"/>
          <w:szCs w:val="22"/>
          <w:lang w:val="en-GB"/>
        </w:rPr>
        <w:t>equipment,</w:t>
      </w:r>
      <w:r w:rsidR="006B6676">
        <w:rPr>
          <w:sz w:val="22"/>
          <w:szCs w:val="22"/>
          <w:lang w:val="en-GB"/>
        </w:rPr>
        <w:t xml:space="preserve"> </w:t>
      </w:r>
      <w:r w:rsidRPr="00F26A3E">
        <w:rPr>
          <w:sz w:val="22"/>
          <w:szCs w:val="22"/>
          <w:lang w:val="en-GB"/>
        </w:rPr>
        <w:t>financing,</w:t>
      </w:r>
      <w:r w:rsidR="006B6676">
        <w:rPr>
          <w:sz w:val="22"/>
          <w:szCs w:val="22"/>
          <w:lang w:val="en-GB"/>
        </w:rPr>
        <w:t xml:space="preserve"> </w:t>
      </w:r>
      <w:r w:rsidRPr="00F26A3E">
        <w:rPr>
          <w:sz w:val="22"/>
          <w:szCs w:val="22"/>
          <w:lang w:val="en-GB"/>
        </w:rPr>
        <w:t>retail,</w:t>
      </w:r>
      <w:r w:rsidR="006B6676">
        <w:rPr>
          <w:sz w:val="22"/>
          <w:szCs w:val="22"/>
          <w:lang w:val="en-GB"/>
        </w:rPr>
        <w:t xml:space="preserve"> </w:t>
      </w:r>
      <w:r w:rsidRPr="00F26A3E">
        <w:rPr>
          <w:sz w:val="22"/>
          <w:szCs w:val="22"/>
          <w:lang w:val="en-GB"/>
        </w:rPr>
        <w:t>rural</w:t>
      </w:r>
      <w:r w:rsidR="006B6676">
        <w:rPr>
          <w:sz w:val="22"/>
          <w:szCs w:val="22"/>
          <w:lang w:val="en-GB"/>
        </w:rPr>
        <w:t xml:space="preserve"> </w:t>
      </w:r>
      <w:r w:rsidRPr="00F26A3E">
        <w:rPr>
          <w:sz w:val="22"/>
          <w:szCs w:val="22"/>
          <w:lang w:val="en-GB"/>
        </w:rPr>
        <w:t>housing</w:t>
      </w:r>
      <w:r>
        <w:rPr>
          <w:sz w:val="22"/>
          <w:szCs w:val="22"/>
          <w:lang w:val="en-GB"/>
        </w:rPr>
        <w: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two-wheelers</w:t>
      </w:r>
      <w:r>
        <w:rPr>
          <w:sz w:val="22"/>
          <w:szCs w:val="22"/>
          <w:lang w:val="en-GB"/>
        </w:rPr>
        <w:t>.</w:t>
      </w:r>
      <w:r w:rsidRPr="00F26A3E">
        <w:rPr>
          <w:sz w:val="22"/>
          <w:szCs w:val="22"/>
          <w:vertAlign w:val="superscript"/>
          <w:lang w:val="en-GB"/>
        </w:rPr>
        <w:endnoteReference w:id="94"/>
      </w:r>
    </w:p>
    <w:p w14:paraId="18AE9736" w14:textId="77777777" w:rsidR="00CA6A0D" w:rsidRPr="00F26A3E" w:rsidRDefault="00CA6A0D" w:rsidP="00B607FC">
      <w:pPr>
        <w:keepNext/>
        <w:jc w:val="both"/>
        <w:rPr>
          <w:sz w:val="22"/>
          <w:szCs w:val="22"/>
          <w:lang w:val="en-GB"/>
        </w:rPr>
      </w:pPr>
    </w:p>
    <w:p w14:paraId="7CEBA2CB" w14:textId="77777777" w:rsidR="00CA6A0D" w:rsidRPr="00F26A3E" w:rsidRDefault="00CA6A0D" w:rsidP="00B607FC">
      <w:pPr>
        <w:keepNext/>
        <w:jc w:val="both"/>
        <w:rPr>
          <w:sz w:val="22"/>
          <w:szCs w:val="22"/>
          <w:lang w:val="en-GB"/>
        </w:rPr>
      </w:pPr>
    </w:p>
    <w:p w14:paraId="76D13E14" w14:textId="57376DF1" w:rsidR="00CA6A0D" w:rsidRPr="00F26A3E" w:rsidRDefault="00CA6A0D" w:rsidP="007C2757">
      <w:pPr>
        <w:pStyle w:val="Casehead2"/>
        <w:rPr>
          <w:lang w:val="en-GB"/>
        </w:rPr>
      </w:pPr>
      <w:r w:rsidRPr="00F26A3E">
        <w:rPr>
          <w:lang w:val="en-GB"/>
        </w:rPr>
        <w:t>M</w:t>
      </w:r>
      <w:r>
        <w:rPr>
          <w:lang w:val="en-GB"/>
        </w:rPr>
        <w:t>ahindra</w:t>
      </w:r>
      <w:r w:rsidR="006B6676">
        <w:rPr>
          <w:lang w:val="en-GB"/>
        </w:rPr>
        <w:t xml:space="preserve"> </w:t>
      </w:r>
      <w:r w:rsidRPr="00F26A3E">
        <w:rPr>
          <w:lang w:val="en-GB"/>
        </w:rPr>
        <w:t>Two-Wheeler</w:t>
      </w:r>
      <w:r w:rsidR="006B6676">
        <w:rPr>
          <w:lang w:val="en-GB"/>
        </w:rPr>
        <w:t xml:space="preserve"> </w:t>
      </w:r>
      <w:r w:rsidRPr="00F26A3E">
        <w:rPr>
          <w:lang w:val="en-GB"/>
        </w:rPr>
        <w:t>Business:</w:t>
      </w:r>
      <w:r w:rsidR="006B6676">
        <w:rPr>
          <w:lang w:val="en-GB"/>
        </w:rPr>
        <w:t xml:space="preserve"> </w:t>
      </w:r>
      <w:r w:rsidRPr="00F26A3E">
        <w:rPr>
          <w:lang w:val="en-GB"/>
        </w:rPr>
        <w:t>A</w:t>
      </w:r>
      <w:r w:rsidR="006B6676">
        <w:rPr>
          <w:lang w:val="en-GB"/>
        </w:rPr>
        <w:t xml:space="preserve"> </w:t>
      </w:r>
      <w:r w:rsidRPr="00F26A3E">
        <w:rPr>
          <w:lang w:val="en-GB"/>
        </w:rPr>
        <w:t>Tortuous</w:t>
      </w:r>
      <w:r w:rsidR="006B6676">
        <w:rPr>
          <w:lang w:val="en-GB"/>
        </w:rPr>
        <w:t xml:space="preserve"> </w:t>
      </w:r>
      <w:r w:rsidRPr="00F26A3E">
        <w:rPr>
          <w:lang w:val="en-GB"/>
        </w:rPr>
        <w:t>Route</w:t>
      </w:r>
      <w:r w:rsidR="006B6676">
        <w:rPr>
          <w:lang w:val="en-GB"/>
        </w:rPr>
        <w:t xml:space="preserve"> </w:t>
      </w:r>
    </w:p>
    <w:p w14:paraId="54477AAD" w14:textId="77777777" w:rsidR="00CA6A0D" w:rsidRPr="00F26A3E" w:rsidRDefault="00CA6A0D" w:rsidP="00B607FC">
      <w:pPr>
        <w:jc w:val="both"/>
        <w:rPr>
          <w:sz w:val="22"/>
          <w:szCs w:val="22"/>
          <w:lang w:val="en-GB"/>
        </w:rPr>
      </w:pPr>
    </w:p>
    <w:p w14:paraId="553A30F6" w14:textId="3996DE72" w:rsidR="00CA6A0D" w:rsidRDefault="00CA6A0D" w:rsidP="00B607FC">
      <w:pPr>
        <w:jc w:val="both"/>
        <w:rPr>
          <w:sz w:val="22"/>
          <w:szCs w:val="22"/>
          <w:lang w:val="en-GB"/>
        </w:rPr>
      </w:pPr>
      <w:r w:rsidRPr="00F26A3E">
        <w:rPr>
          <w:sz w:val="22"/>
          <w:szCs w:val="22"/>
          <w:lang w:val="en-GB"/>
        </w:rPr>
        <w:t>M</w:t>
      </w:r>
      <w:r>
        <w:rPr>
          <w:sz w:val="22"/>
          <w:szCs w:val="22"/>
          <w:lang w:val="en-GB"/>
        </w:rPr>
        <w:t>ahindra</w:t>
      </w:r>
      <w:r w:rsidR="006B6676">
        <w:rPr>
          <w:sz w:val="22"/>
          <w:szCs w:val="22"/>
          <w:lang w:val="en-GB"/>
        </w:rPr>
        <w:t xml:space="preserve"> </w:t>
      </w:r>
      <w:r w:rsidRPr="00F26A3E">
        <w:rPr>
          <w:sz w:val="22"/>
          <w:szCs w:val="22"/>
          <w:lang w:val="en-GB"/>
        </w:rPr>
        <w:t>forayed</w:t>
      </w:r>
      <w:r w:rsidR="006B6676">
        <w:rPr>
          <w:sz w:val="22"/>
          <w:szCs w:val="22"/>
          <w:lang w:val="en-GB"/>
        </w:rPr>
        <w:t xml:space="preserve"> </w:t>
      </w:r>
      <w:r w:rsidRPr="00F26A3E">
        <w:rPr>
          <w:sz w:val="22"/>
          <w:szCs w:val="22"/>
          <w:lang w:val="en-GB"/>
        </w:rPr>
        <w:t>in</w:t>
      </w:r>
      <w:r w:rsidR="00A9250C">
        <w:rPr>
          <w:sz w:val="22"/>
          <w:szCs w:val="22"/>
          <w:lang w:val="en-GB"/>
        </w:rPr>
        <w:t>to</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two-wheeler</w:t>
      </w:r>
      <w:r w:rsidR="006B6676">
        <w:rPr>
          <w:sz w:val="22"/>
          <w:szCs w:val="22"/>
          <w:lang w:val="en-GB"/>
        </w:rPr>
        <w:t xml:space="preserve"> </w:t>
      </w:r>
      <w:r w:rsidRPr="00F26A3E">
        <w:rPr>
          <w:sz w:val="22"/>
          <w:szCs w:val="22"/>
          <w:lang w:val="en-GB"/>
        </w:rPr>
        <w:t>business</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2008</w:t>
      </w:r>
      <w:r w:rsidR="006B6676">
        <w:rPr>
          <w:sz w:val="22"/>
          <w:szCs w:val="22"/>
          <w:lang w:val="en-GB"/>
        </w:rPr>
        <w:t xml:space="preserve"> </w:t>
      </w:r>
      <w:r w:rsidRPr="00F26A3E">
        <w:rPr>
          <w:sz w:val="22"/>
          <w:szCs w:val="22"/>
          <w:lang w:val="en-GB"/>
        </w:rPr>
        <w:t>when</w:t>
      </w:r>
      <w:r w:rsidR="006B6676">
        <w:rPr>
          <w:sz w:val="22"/>
          <w:szCs w:val="22"/>
          <w:lang w:val="en-GB"/>
        </w:rPr>
        <w:t xml:space="preserve"> </w:t>
      </w:r>
      <w:r w:rsidRPr="00F26A3E">
        <w:rPr>
          <w:sz w:val="22"/>
          <w:szCs w:val="22"/>
          <w:lang w:val="en-GB"/>
        </w:rPr>
        <w:t>it</w:t>
      </w:r>
      <w:r w:rsidR="006B6676">
        <w:rPr>
          <w:sz w:val="22"/>
          <w:szCs w:val="22"/>
          <w:lang w:val="en-GB"/>
        </w:rPr>
        <w:t xml:space="preserve"> </w:t>
      </w:r>
      <w:r w:rsidRPr="00F26A3E">
        <w:rPr>
          <w:sz w:val="22"/>
          <w:szCs w:val="22"/>
          <w:lang w:val="en-GB"/>
        </w:rPr>
        <w:t>acquired</w:t>
      </w:r>
      <w:r w:rsidR="006B6676">
        <w:rPr>
          <w:sz w:val="22"/>
          <w:szCs w:val="22"/>
          <w:lang w:val="en-GB"/>
        </w:rPr>
        <w:t xml:space="preserve"> </w:t>
      </w:r>
      <w:r>
        <w:rPr>
          <w:sz w:val="22"/>
          <w:szCs w:val="22"/>
          <w:lang w:val="en-GB"/>
        </w:rPr>
        <w:t>an</w:t>
      </w:r>
      <w:r w:rsidR="006B6676">
        <w:rPr>
          <w:sz w:val="22"/>
          <w:szCs w:val="22"/>
          <w:lang w:val="en-GB"/>
        </w:rPr>
        <w:t xml:space="preserve"> </w:t>
      </w:r>
      <w:r w:rsidRPr="00F26A3E">
        <w:rPr>
          <w:sz w:val="22"/>
          <w:szCs w:val="22"/>
          <w:lang w:val="en-GB"/>
        </w:rPr>
        <w:t>80</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stake</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Kinetic</w:t>
      </w:r>
      <w:r w:rsidR="006B6676">
        <w:rPr>
          <w:sz w:val="22"/>
          <w:szCs w:val="22"/>
          <w:lang w:val="en-GB"/>
        </w:rPr>
        <w:t xml:space="preserve"> </w:t>
      </w:r>
      <w:r w:rsidRPr="00F26A3E">
        <w:rPr>
          <w:sz w:val="22"/>
          <w:szCs w:val="22"/>
          <w:lang w:val="en-GB"/>
        </w:rPr>
        <w:t>Motor</w:t>
      </w:r>
      <w:r w:rsidR="006B6676">
        <w:rPr>
          <w:sz w:val="22"/>
          <w:szCs w:val="22"/>
          <w:lang w:val="en-GB"/>
        </w:rPr>
        <w:t xml:space="preserve"> </w:t>
      </w:r>
      <w:r>
        <w:rPr>
          <w:sz w:val="22"/>
          <w:szCs w:val="22"/>
          <w:lang w:val="en-GB"/>
        </w:rPr>
        <w:t>Company</w:t>
      </w:r>
      <w:r w:rsidR="006B6676">
        <w:rPr>
          <w:sz w:val="22"/>
          <w:szCs w:val="22"/>
          <w:lang w:val="en-GB"/>
        </w:rPr>
        <w:t xml:space="preserve"> </w:t>
      </w:r>
      <w:r w:rsidRPr="00F26A3E">
        <w:rPr>
          <w:sz w:val="22"/>
          <w:szCs w:val="22"/>
          <w:lang w:val="en-GB"/>
        </w:rPr>
        <w:t>Limited</w:t>
      </w:r>
      <w:r w:rsidR="006B6676">
        <w:rPr>
          <w:sz w:val="22"/>
          <w:szCs w:val="22"/>
          <w:lang w:val="en-GB"/>
        </w:rPr>
        <w:t xml:space="preserve"> </w:t>
      </w:r>
      <w:r>
        <w:rPr>
          <w:sz w:val="22"/>
          <w:szCs w:val="22"/>
          <w:lang w:val="en-GB"/>
        </w:rPr>
        <w:t>(Kinetic).</w:t>
      </w:r>
      <w:r w:rsidRPr="00F26A3E">
        <w:rPr>
          <w:sz w:val="22"/>
          <w:szCs w:val="22"/>
          <w:vertAlign w:val="superscript"/>
          <w:lang w:val="en-GB"/>
        </w:rPr>
        <w:endnoteReference w:id="95"/>
      </w:r>
      <w:r w:rsidR="006B6676">
        <w:rPr>
          <w:sz w:val="22"/>
          <w:szCs w:val="22"/>
          <w:lang w:val="en-GB"/>
        </w:rPr>
        <w:t xml:space="preserve"> </w:t>
      </w:r>
      <w:r>
        <w:rPr>
          <w:sz w:val="22"/>
          <w:szCs w:val="22"/>
          <w:lang w:val="en-GB"/>
        </w:rPr>
        <w:t>Initially,</w:t>
      </w:r>
      <w:r w:rsidR="006B6676">
        <w:rPr>
          <w:sz w:val="22"/>
          <w:szCs w:val="22"/>
          <w:lang w:val="en-GB"/>
        </w:rPr>
        <w:t xml:space="preserve"> </w:t>
      </w:r>
      <w:r>
        <w:rPr>
          <w:sz w:val="22"/>
          <w:szCs w:val="22"/>
          <w:lang w:val="en-GB"/>
        </w:rPr>
        <w:t>it</w:t>
      </w:r>
      <w:r w:rsidR="006B6676">
        <w:rPr>
          <w:sz w:val="22"/>
          <w:szCs w:val="22"/>
          <w:lang w:val="en-GB"/>
        </w:rPr>
        <w:t xml:space="preserve"> </w:t>
      </w:r>
      <w:r w:rsidRPr="00F26A3E">
        <w:rPr>
          <w:sz w:val="22"/>
          <w:szCs w:val="22"/>
          <w:lang w:val="en-GB"/>
        </w:rPr>
        <w:t>market</w:t>
      </w:r>
      <w:r>
        <w:rPr>
          <w:sz w:val="22"/>
          <w:szCs w:val="22"/>
          <w:lang w:val="en-GB"/>
        </w:rPr>
        <w:t>ed</w:t>
      </w:r>
      <w:r w:rsidR="006B6676">
        <w:rPr>
          <w:sz w:val="22"/>
          <w:szCs w:val="22"/>
          <w:lang w:val="en-GB"/>
        </w:rPr>
        <w:t xml:space="preserve"> </w:t>
      </w:r>
      <w:r w:rsidRPr="00F26A3E">
        <w:rPr>
          <w:sz w:val="22"/>
          <w:szCs w:val="22"/>
          <w:lang w:val="en-GB"/>
        </w:rPr>
        <w:t>reb</w:t>
      </w:r>
      <w:r>
        <w:rPr>
          <w:sz w:val="22"/>
          <w:szCs w:val="22"/>
          <w:lang w:val="en-GB"/>
        </w:rPr>
        <w:t>r</w:t>
      </w:r>
      <w:r w:rsidRPr="00F26A3E">
        <w:rPr>
          <w:sz w:val="22"/>
          <w:szCs w:val="22"/>
          <w:lang w:val="en-GB"/>
        </w:rPr>
        <w:t>a</w:t>
      </w:r>
      <w:r>
        <w:rPr>
          <w:sz w:val="22"/>
          <w:szCs w:val="22"/>
          <w:lang w:val="en-GB"/>
        </w:rPr>
        <w:t>n</w:t>
      </w:r>
      <w:r w:rsidRPr="00F26A3E">
        <w:rPr>
          <w:sz w:val="22"/>
          <w:szCs w:val="22"/>
          <w:lang w:val="en-GB"/>
        </w:rPr>
        <w:t>ded</w:t>
      </w:r>
      <w:r w:rsidR="006B6676">
        <w:rPr>
          <w:sz w:val="22"/>
          <w:szCs w:val="22"/>
          <w:lang w:val="en-GB"/>
        </w:rPr>
        <w:t xml:space="preserve"> </w:t>
      </w:r>
      <w:r>
        <w:rPr>
          <w:sz w:val="22"/>
          <w:szCs w:val="22"/>
          <w:lang w:val="en-GB"/>
        </w:rPr>
        <w:t>versions</w:t>
      </w:r>
      <w:r w:rsidR="006B6676">
        <w:rPr>
          <w:sz w:val="22"/>
          <w:szCs w:val="22"/>
          <w:lang w:val="en-GB"/>
        </w:rPr>
        <w:t xml:space="preserve"> </w:t>
      </w:r>
      <w:r>
        <w:rPr>
          <w:sz w:val="22"/>
          <w:szCs w:val="22"/>
          <w:lang w:val="en-GB"/>
        </w:rPr>
        <w:t>of</w:t>
      </w:r>
      <w:r w:rsidR="006B6676">
        <w:rPr>
          <w:sz w:val="22"/>
          <w:szCs w:val="22"/>
          <w:lang w:val="en-GB"/>
        </w:rPr>
        <w:t xml:space="preserve"> </w:t>
      </w:r>
      <w:r w:rsidRPr="00F26A3E">
        <w:rPr>
          <w:sz w:val="22"/>
          <w:szCs w:val="22"/>
          <w:lang w:val="en-GB"/>
        </w:rPr>
        <w:t>Kinetic</w:t>
      </w:r>
      <w:r w:rsidR="006B6676">
        <w:rPr>
          <w:sz w:val="22"/>
          <w:szCs w:val="22"/>
          <w:lang w:val="en-GB"/>
        </w:rPr>
        <w:t xml:space="preserve"> </w:t>
      </w:r>
      <w:r w:rsidRPr="00F26A3E">
        <w:rPr>
          <w:sz w:val="22"/>
          <w:szCs w:val="22"/>
          <w:lang w:val="en-GB"/>
        </w:rPr>
        <w:t>two</w:t>
      </w:r>
      <w:r>
        <w:rPr>
          <w:sz w:val="22"/>
          <w:szCs w:val="22"/>
          <w:lang w:val="en-GB"/>
        </w:rPr>
        <w:t>-</w:t>
      </w:r>
      <w:r w:rsidRPr="00F26A3E">
        <w:rPr>
          <w:sz w:val="22"/>
          <w:szCs w:val="22"/>
          <w:lang w:val="en-GB"/>
        </w:rPr>
        <w:t>wheelers</w:t>
      </w:r>
      <w:r w:rsidR="006B6676">
        <w:rPr>
          <w:sz w:val="22"/>
          <w:szCs w:val="22"/>
          <w:lang w:val="en-GB"/>
        </w:rPr>
        <w:t xml:space="preserve"> </w:t>
      </w:r>
      <w:r>
        <w:rPr>
          <w:sz w:val="22"/>
          <w:szCs w:val="22"/>
          <w:lang w:val="en-GB"/>
        </w:rPr>
        <w:t>before</w:t>
      </w:r>
      <w:r w:rsidR="006B6676">
        <w:rPr>
          <w:sz w:val="22"/>
          <w:szCs w:val="22"/>
          <w:lang w:val="en-GB"/>
        </w:rPr>
        <w:t xml:space="preserve"> </w:t>
      </w:r>
      <w:r w:rsidRPr="00F26A3E">
        <w:rPr>
          <w:sz w:val="22"/>
          <w:szCs w:val="22"/>
          <w:lang w:val="en-GB"/>
        </w:rPr>
        <w:t>add</w:t>
      </w:r>
      <w:r>
        <w:rPr>
          <w:sz w:val="22"/>
          <w:szCs w:val="22"/>
          <w:lang w:val="en-GB"/>
        </w:rPr>
        <w:t>ing</w:t>
      </w:r>
      <w:r w:rsidR="006B6676">
        <w:rPr>
          <w:sz w:val="22"/>
          <w:szCs w:val="22"/>
          <w:lang w:val="en-GB"/>
        </w:rPr>
        <w:t xml:space="preserve"> </w:t>
      </w:r>
      <w:r w:rsidRPr="00F26A3E">
        <w:rPr>
          <w:sz w:val="22"/>
          <w:szCs w:val="22"/>
          <w:lang w:val="en-GB"/>
        </w:rPr>
        <w:t>new</w:t>
      </w:r>
      <w:r w:rsidR="006B6676">
        <w:rPr>
          <w:sz w:val="22"/>
          <w:szCs w:val="22"/>
          <w:lang w:val="en-GB"/>
        </w:rPr>
        <w:t xml:space="preserve"> </w:t>
      </w:r>
      <w:r w:rsidRPr="00F26A3E">
        <w:rPr>
          <w:sz w:val="22"/>
          <w:szCs w:val="22"/>
          <w:lang w:val="en-GB"/>
        </w:rPr>
        <w:t>models</w:t>
      </w:r>
      <w:r w:rsidR="006B6676">
        <w:rPr>
          <w:sz w:val="22"/>
          <w:szCs w:val="22"/>
          <w:lang w:val="en-GB"/>
        </w:rPr>
        <w:t xml:space="preserve"> </w:t>
      </w:r>
      <w:r w:rsidRPr="00F26A3E">
        <w:rPr>
          <w:sz w:val="22"/>
          <w:szCs w:val="22"/>
          <w:lang w:val="en-GB"/>
        </w:rPr>
        <w:t>in</w:t>
      </w:r>
      <w:r w:rsidR="006B6676">
        <w:rPr>
          <w:sz w:val="22"/>
          <w:szCs w:val="22"/>
          <w:lang w:val="en-GB"/>
        </w:rPr>
        <w:t xml:space="preserve"> </w:t>
      </w:r>
      <w:r>
        <w:rPr>
          <w:sz w:val="22"/>
          <w:szCs w:val="22"/>
          <w:lang w:val="en-GB"/>
        </w:rPr>
        <w:t>its</w:t>
      </w:r>
      <w:r w:rsidR="006B6676">
        <w:rPr>
          <w:sz w:val="22"/>
          <w:szCs w:val="22"/>
          <w:lang w:val="en-GB"/>
        </w:rPr>
        <w:t xml:space="preserve"> </w:t>
      </w:r>
      <w:r w:rsidRPr="00F26A3E">
        <w:rPr>
          <w:sz w:val="22"/>
          <w:szCs w:val="22"/>
          <w:lang w:val="en-GB"/>
        </w:rPr>
        <w:t>line</w:t>
      </w:r>
      <w:r>
        <w:rPr>
          <w:sz w:val="22"/>
          <w:szCs w:val="22"/>
          <w:lang w:val="en-GB"/>
        </w:rPr>
        <w:t>up.</w:t>
      </w:r>
      <w:r w:rsidRPr="00F26A3E">
        <w:rPr>
          <w:sz w:val="22"/>
          <w:szCs w:val="22"/>
          <w:vertAlign w:val="superscript"/>
          <w:lang w:val="en-GB"/>
        </w:rPr>
        <w:endnoteReference w:id="96"/>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2015,</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Mahindra</w:t>
      </w:r>
      <w:r w:rsidR="006B6676">
        <w:rPr>
          <w:sz w:val="22"/>
          <w:szCs w:val="22"/>
          <w:lang w:val="en-GB"/>
        </w:rPr>
        <w:t xml:space="preserve"> </w:t>
      </w:r>
      <w:r w:rsidRPr="00F26A3E">
        <w:rPr>
          <w:sz w:val="22"/>
          <w:szCs w:val="22"/>
          <w:lang w:val="en-GB"/>
        </w:rPr>
        <w:t>Mojo</w:t>
      </w:r>
      <w:r w:rsidR="006B6676">
        <w:rPr>
          <w:sz w:val="22"/>
          <w:szCs w:val="22"/>
          <w:lang w:val="en-GB"/>
        </w:rPr>
        <w:t xml:space="preserve"> </w:t>
      </w:r>
      <w:r>
        <w:rPr>
          <w:sz w:val="22"/>
          <w:szCs w:val="22"/>
          <w:lang w:val="en-GB"/>
        </w:rPr>
        <w:t>model</w:t>
      </w:r>
      <w:r w:rsidRPr="00F26A3E">
        <w:rPr>
          <w:sz w:val="22"/>
          <w:szCs w:val="22"/>
          <w:lang w:val="en-GB"/>
        </w:rPr>
        <w:t>,</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niche</w:t>
      </w:r>
      <w:r w:rsidR="006B6676">
        <w:rPr>
          <w:sz w:val="22"/>
          <w:szCs w:val="22"/>
          <w:lang w:val="en-GB"/>
        </w:rPr>
        <w:t xml:space="preserve"> </w:t>
      </w:r>
      <w:r w:rsidRPr="00F26A3E">
        <w:rPr>
          <w:sz w:val="22"/>
          <w:szCs w:val="22"/>
          <w:lang w:val="en-GB"/>
        </w:rPr>
        <w:t>segment</w:t>
      </w:r>
      <w:r w:rsidR="006B6676">
        <w:rPr>
          <w:sz w:val="22"/>
          <w:szCs w:val="22"/>
          <w:lang w:val="en-GB"/>
        </w:rPr>
        <w:t xml:space="preserve"> </w:t>
      </w:r>
      <w:r w:rsidRPr="00F26A3E">
        <w:rPr>
          <w:sz w:val="22"/>
          <w:szCs w:val="22"/>
          <w:lang w:val="en-GB"/>
        </w:rPr>
        <w:t>touring</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Pr="00F26A3E">
        <w:rPr>
          <w:sz w:val="22"/>
          <w:szCs w:val="22"/>
          <w:lang w:val="en-GB"/>
        </w:rPr>
        <w:t>launched</w:t>
      </w:r>
      <w:r w:rsidR="006B6676">
        <w:rPr>
          <w:sz w:val="22"/>
          <w:szCs w:val="22"/>
          <w:lang w:val="en-GB"/>
        </w:rPr>
        <w:t xml:space="preserve"> </w:t>
      </w:r>
      <w:r w:rsidRPr="00F26A3E">
        <w:rPr>
          <w:sz w:val="22"/>
          <w:szCs w:val="22"/>
          <w:lang w:val="en-GB"/>
        </w:rPr>
        <w:t>with</w:t>
      </w:r>
      <w:r w:rsidR="006B6676">
        <w:rPr>
          <w:sz w:val="22"/>
          <w:szCs w:val="22"/>
          <w:lang w:val="en-GB"/>
        </w:rPr>
        <w:t xml:space="preserve"> </w:t>
      </w:r>
      <w:r>
        <w:rPr>
          <w:sz w:val="22"/>
          <w:szCs w:val="22"/>
          <w:lang w:val="en-GB"/>
        </w:rPr>
        <w:t>great</w:t>
      </w:r>
      <w:r w:rsidR="006B6676">
        <w:rPr>
          <w:sz w:val="22"/>
          <w:szCs w:val="22"/>
          <w:lang w:val="en-GB"/>
        </w:rPr>
        <w:t xml:space="preserve"> </w:t>
      </w:r>
      <w:r w:rsidRPr="00F26A3E">
        <w:rPr>
          <w:sz w:val="22"/>
          <w:szCs w:val="22"/>
          <w:lang w:val="en-GB"/>
        </w:rPr>
        <w:t>fanfare</w:t>
      </w:r>
      <w:r>
        <w:rPr>
          <w:sz w:val="22"/>
          <w:szCs w:val="22"/>
          <w:lang w:val="en-GB"/>
        </w:rPr>
        <w:t>.</w:t>
      </w:r>
      <w:r w:rsidRPr="00F26A3E">
        <w:rPr>
          <w:sz w:val="22"/>
          <w:szCs w:val="22"/>
          <w:vertAlign w:val="superscript"/>
          <w:lang w:val="en-GB"/>
        </w:rPr>
        <w:endnoteReference w:id="97"/>
      </w:r>
      <w:r w:rsidR="006B6676">
        <w:rPr>
          <w:sz w:val="22"/>
          <w:szCs w:val="22"/>
          <w:lang w:val="en-GB"/>
        </w:rPr>
        <w:t xml:space="preserve"> </w:t>
      </w:r>
      <w:r w:rsidR="00A93740">
        <w:rPr>
          <w:sz w:val="22"/>
          <w:szCs w:val="22"/>
          <w:lang w:val="en-GB"/>
        </w:rPr>
        <w:t>Despite</w:t>
      </w:r>
      <w:r w:rsidR="006B6676">
        <w:rPr>
          <w:sz w:val="22"/>
          <w:szCs w:val="22"/>
          <w:lang w:val="en-GB"/>
        </w:rPr>
        <w:t xml:space="preserve"> </w:t>
      </w:r>
      <w:r w:rsidR="00A93740" w:rsidRPr="00F26A3E">
        <w:rPr>
          <w:sz w:val="22"/>
          <w:szCs w:val="22"/>
          <w:lang w:val="en-GB"/>
        </w:rPr>
        <w:t>rave</w:t>
      </w:r>
      <w:r w:rsidR="006B6676">
        <w:rPr>
          <w:sz w:val="22"/>
          <w:szCs w:val="22"/>
          <w:lang w:val="en-GB"/>
        </w:rPr>
        <w:t xml:space="preserve"> </w:t>
      </w:r>
      <w:r w:rsidRPr="00F26A3E">
        <w:rPr>
          <w:sz w:val="22"/>
          <w:szCs w:val="22"/>
          <w:lang w:val="en-GB"/>
        </w:rPr>
        <w:t>reviews</w:t>
      </w:r>
      <w:r>
        <w:rPr>
          <w:sz w:val="22"/>
          <w:szCs w:val="22"/>
          <w:lang w:val="en-GB"/>
        </w:rPr>
        <w:t>,</w:t>
      </w:r>
      <w:r w:rsidR="006B6676">
        <w:rPr>
          <w:sz w:val="22"/>
          <w:szCs w:val="22"/>
          <w:lang w:val="en-GB"/>
        </w:rPr>
        <w:t xml:space="preserve"> </w:t>
      </w:r>
      <w:r w:rsidRPr="00F26A3E">
        <w:rPr>
          <w:sz w:val="22"/>
          <w:szCs w:val="22"/>
          <w:lang w:val="en-GB"/>
        </w:rPr>
        <w:t>Mojo</w:t>
      </w:r>
      <w:r w:rsidR="006B6676">
        <w:rPr>
          <w:sz w:val="22"/>
          <w:szCs w:val="22"/>
          <w:lang w:val="en-GB"/>
        </w:rPr>
        <w:t xml:space="preserve"> </w:t>
      </w:r>
      <w:r w:rsidRPr="00F26A3E">
        <w:rPr>
          <w:sz w:val="22"/>
          <w:szCs w:val="22"/>
          <w:lang w:val="en-GB"/>
        </w:rPr>
        <w:t>failed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gain</w:t>
      </w:r>
      <w:r w:rsidR="006B6676">
        <w:rPr>
          <w:sz w:val="22"/>
          <w:szCs w:val="22"/>
          <w:lang w:val="en-GB"/>
        </w:rPr>
        <w:t xml:space="preserve"> </w:t>
      </w:r>
      <w:r w:rsidRPr="00F26A3E">
        <w:rPr>
          <w:sz w:val="22"/>
          <w:szCs w:val="22"/>
          <w:lang w:val="en-GB"/>
        </w:rPr>
        <w:t>traction</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marketplace</w:t>
      </w:r>
      <w:r>
        <w:rPr>
          <w:sz w:val="22"/>
          <w:szCs w:val="22"/>
          <w:lang w:val="en-GB"/>
        </w:rPr>
        <w:t>.</w:t>
      </w:r>
      <w:r w:rsidRPr="00F26A3E">
        <w:rPr>
          <w:sz w:val="22"/>
          <w:szCs w:val="22"/>
          <w:vertAlign w:val="superscript"/>
          <w:lang w:val="en-GB"/>
        </w:rPr>
        <w:endnoteReference w:id="98"/>
      </w:r>
      <w:r w:rsidR="006B6676">
        <w:rPr>
          <w:sz w:val="22"/>
          <w:szCs w:val="22"/>
          <w:lang w:val="en-GB"/>
        </w:rPr>
        <w:t xml:space="preserve"> </w:t>
      </w:r>
      <w:r>
        <w:rPr>
          <w:sz w:val="22"/>
          <w:szCs w:val="22"/>
          <w:lang w:val="en-GB"/>
        </w:rPr>
        <w:t>F</w:t>
      </w:r>
      <w:r w:rsidRPr="00F26A3E">
        <w:rPr>
          <w:sz w:val="22"/>
          <w:szCs w:val="22"/>
          <w:lang w:val="en-GB"/>
        </w:rPr>
        <w:t>ac</w:t>
      </w:r>
      <w:r>
        <w:rPr>
          <w:sz w:val="22"/>
          <w:szCs w:val="22"/>
          <w:lang w:val="en-GB"/>
        </w:rPr>
        <w:t>ing</w:t>
      </w:r>
      <w:r w:rsidR="006B6676">
        <w:rPr>
          <w:sz w:val="22"/>
          <w:szCs w:val="22"/>
          <w:lang w:val="en-GB"/>
        </w:rPr>
        <w:t xml:space="preserve"> </w:t>
      </w:r>
      <w:r>
        <w:rPr>
          <w:sz w:val="22"/>
          <w:szCs w:val="22"/>
          <w:lang w:val="en-GB"/>
        </w:rPr>
        <w:t>fierce</w:t>
      </w:r>
      <w:r w:rsidR="006B6676">
        <w:rPr>
          <w:sz w:val="22"/>
          <w:szCs w:val="22"/>
          <w:lang w:val="en-GB"/>
        </w:rPr>
        <w:t xml:space="preserve"> </w:t>
      </w:r>
      <w:r w:rsidRPr="00F26A3E">
        <w:rPr>
          <w:sz w:val="22"/>
          <w:szCs w:val="22"/>
          <w:lang w:val="en-GB"/>
        </w:rPr>
        <w:t>competition</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rivals</w:t>
      </w:r>
      <w:r w:rsidR="006B6676">
        <w:rPr>
          <w:sz w:val="22"/>
          <w:szCs w:val="22"/>
          <w:lang w:val="en-GB"/>
        </w:rPr>
        <w:t xml:space="preserve"> </w:t>
      </w:r>
      <w:r w:rsidRPr="00F26A3E">
        <w:rPr>
          <w:sz w:val="22"/>
          <w:szCs w:val="22"/>
          <w:lang w:val="en-GB"/>
        </w:rPr>
        <w:t>such</w:t>
      </w:r>
      <w:r w:rsidR="006B6676">
        <w:rPr>
          <w:sz w:val="22"/>
          <w:szCs w:val="22"/>
          <w:lang w:val="en-GB"/>
        </w:rPr>
        <w:t xml:space="preserve"> </w:t>
      </w:r>
      <w:r w:rsidRPr="00F26A3E">
        <w:rPr>
          <w:sz w:val="22"/>
          <w:szCs w:val="22"/>
          <w:lang w:val="en-GB"/>
        </w:rPr>
        <w:t>TVS,</w:t>
      </w:r>
      <w:r w:rsidR="006B6676">
        <w:rPr>
          <w:sz w:val="22"/>
          <w:szCs w:val="22"/>
          <w:lang w:val="en-GB"/>
        </w:rPr>
        <w:t xml:space="preserve"> </w:t>
      </w:r>
      <w:r w:rsidRPr="00F26A3E">
        <w:rPr>
          <w:sz w:val="22"/>
          <w:szCs w:val="22"/>
          <w:lang w:val="en-GB"/>
        </w:rPr>
        <w:t>Hero,</w:t>
      </w:r>
      <w:r w:rsidR="006B6676">
        <w:rPr>
          <w:sz w:val="22"/>
          <w:szCs w:val="22"/>
          <w:lang w:val="en-GB"/>
        </w:rPr>
        <w:t xml:space="preserve"> </w:t>
      </w:r>
      <w:r w:rsidRPr="00F26A3E">
        <w:rPr>
          <w:sz w:val="22"/>
          <w:szCs w:val="22"/>
          <w:lang w:val="en-GB"/>
        </w:rPr>
        <w:t>Honda</w:t>
      </w:r>
      <w:r>
        <w:rPr>
          <w:sz w:val="22"/>
          <w:szCs w:val="22"/>
          <w:lang w:val="en-GB"/>
        </w:rPr>
        <w:t>,</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Bajaj</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entry-level</w:t>
      </w:r>
      <w:r w:rsidR="006B6676">
        <w:rPr>
          <w:sz w:val="22"/>
          <w:szCs w:val="22"/>
          <w:lang w:val="en-GB"/>
        </w:rPr>
        <w:t xml:space="preserve"> </w:t>
      </w:r>
      <w:r w:rsidRPr="00F26A3E">
        <w:rPr>
          <w:sz w:val="22"/>
          <w:szCs w:val="22"/>
          <w:lang w:val="en-GB"/>
        </w:rPr>
        <w:t>commuter</w:t>
      </w:r>
      <w:r w:rsidR="006B6676">
        <w:rPr>
          <w:sz w:val="22"/>
          <w:szCs w:val="22"/>
          <w:lang w:val="en-GB"/>
        </w:rPr>
        <w:t xml:space="preserve"> </w:t>
      </w:r>
      <w:r w:rsidRPr="00F26A3E">
        <w:rPr>
          <w:sz w:val="22"/>
          <w:szCs w:val="22"/>
          <w:lang w:val="en-GB"/>
        </w:rPr>
        <w:t>segment</w:t>
      </w:r>
      <w:r>
        <w:rPr>
          <w:sz w:val="22"/>
          <w:szCs w:val="22"/>
          <w:lang w:val="en-GB"/>
        </w:rPr>
        <w:t>,</w:t>
      </w:r>
      <w:r w:rsidR="006B6676">
        <w:rPr>
          <w:sz w:val="22"/>
          <w:szCs w:val="22"/>
          <w:lang w:val="en-GB"/>
        </w:rPr>
        <w:t xml:space="preserve"> </w:t>
      </w:r>
      <w:r>
        <w:rPr>
          <w:sz w:val="22"/>
          <w:szCs w:val="22"/>
          <w:lang w:val="en-GB"/>
        </w:rPr>
        <w:t>t</w:t>
      </w:r>
      <w:r w:rsidRPr="00F26A3E">
        <w:rPr>
          <w:sz w:val="22"/>
          <w:szCs w:val="22"/>
          <w:lang w:val="en-GB"/>
        </w:rPr>
        <w:t>he</w:t>
      </w:r>
      <w:r w:rsidR="006B6676">
        <w:rPr>
          <w:sz w:val="22"/>
          <w:szCs w:val="22"/>
          <w:lang w:val="en-GB"/>
        </w:rPr>
        <w:t xml:space="preserve"> </w:t>
      </w:r>
      <w:r w:rsidRPr="00F26A3E">
        <w:rPr>
          <w:sz w:val="22"/>
          <w:szCs w:val="22"/>
          <w:lang w:val="en-GB"/>
        </w:rPr>
        <w:t>Mahindra</w:t>
      </w:r>
      <w:r w:rsidR="006B6676">
        <w:rPr>
          <w:sz w:val="22"/>
          <w:szCs w:val="22"/>
          <w:lang w:val="en-GB"/>
        </w:rPr>
        <w:t xml:space="preserve"> </w:t>
      </w:r>
      <w:r w:rsidRPr="00F26A3E">
        <w:rPr>
          <w:sz w:val="22"/>
          <w:szCs w:val="22"/>
          <w:lang w:val="en-GB"/>
        </w:rPr>
        <w:t>two</w:t>
      </w:r>
      <w:r>
        <w:rPr>
          <w:sz w:val="22"/>
          <w:szCs w:val="22"/>
          <w:lang w:val="en-GB"/>
        </w:rPr>
        <w:t>-</w:t>
      </w:r>
      <w:r w:rsidRPr="00F26A3E">
        <w:rPr>
          <w:sz w:val="22"/>
          <w:szCs w:val="22"/>
          <w:lang w:val="en-GB"/>
        </w:rPr>
        <w:t>wheeler</w:t>
      </w:r>
      <w:r w:rsidR="006B6676">
        <w:rPr>
          <w:sz w:val="22"/>
          <w:szCs w:val="22"/>
          <w:lang w:val="en-GB"/>
        </w:rPr>
        <w:t xml:space="preserve"> </w:t>
      </w:r>
      <w:r w:rsidRPr="00F26A3E">
        <w:rPr>
          <w:sz w:val="22"/>
          <w:szCs w:val="22"/>
          <w:lang w:val="en-GB"/>
        </w:rPr>
        <w:t>venture</w:t>
      </w:r>
      <w:r w:rsidR="006B6676">
        <w:rPr>
          <w:sz w:val="22"/>
          <w:szCs w:val="22"/>
          <w:lang w:val="en-GB"/>
        </w:rPr>
        <w:t xml:space="preserve"> </w:t>
      </w:r>
      <w:r w:rsidRPr="00F26A3E">
        <w:rPr>
          <w:sz w:val="22"/>
          <w:szCs w:val="22"/>
          <w:lang w:val="en-GB"/>
        </w:rPr>
        <w:t>remained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red</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never</w:t>
      </w:r>
      <w:r w:rsidR="006B6676">
        <w:rPr>
          <w:sz w:val="22"/>
          <w:szCs w:val="22"/>
          <w:lang w:val="en-GB"/>
        </w:rPr>
        <w:t xml:space="preserve"> </w:t>
      </w:r>
      <w:r w:rsidRPr="00F26A3E">
        <w:rPr>
          <w:sz w:val="22"/>
          <w:szCs w:val="22"/>
          <w:lang w:val="en-GB"/>
        </w:rPr>
        <w:t>turned</w:t>
      </w:r>
      <w:r w:rsidR="006B6676">
        <w:rPr>
          <w:sz w:val="22"/>
          <w:szCs w:val="22"/>
          <w:lang w:val="en-GB"/>
        </w:rPr>
        <w:t xml:space="preserve"> </w:t>
      </w:r>
      <w:r w:rsidRPr="00F26A3E">
        <w:rPr>
          <w:sz w:val="22"/>
          <w:szCs w:val="22"/>
          <w:lang w:val="en-GB"/>
        </w:rPr>
        <w:t>profitable</w:t>
      </w:r>
      <w:r>
        <w:rPr>
          <w:sz w:val="22"/>
          <w:szCs w:val="22"/>
          <w:lang w:val="en-GB"/>
        </w:rPr>
        <w:t>.</w:t>
      </w:r>
      <w:r w:rsidRPr="00F26A3E">
        <w:rPr>
          <w:sz w:val="22"/>
          <w:szCs w:val="22"/>
          <w:vertAlign w:val="superscript"/>
          <w:lang w:val="en-GB"/>
        </w:rPr>
        <w:endnoteReference w:id="99"/>
      </w:r>
      <w:r w:rsidR="006B6676">
        <w:rPr>
          <w:sz w:val="22"/>
          <w:szCs w:val="22"/>
          <w:lang w:val="en-GB"/>
        </w:rPr>
        <w:t xml:space="preserve"> </w:t>
      </w:r>
      <w:r>
        <w:rPr>
          <w:sz w:val="22"/>
          <w:szCs w:val="22"/>
          <w:lang w:val="en-GB"/>
        </w:rPr>
        <w:t>In</w:t>
      </w:r>
      <w:r w:rsidR="006B6676">
        <w:rPr>
          <w:sz w:val="22"/>
          <w:szCs w:val="22"/>
          <w:lang w:val="en-GB"/>
        </w:rPr>
        <w:t xml:space="preserve"> </w:t>
      </w:r>
      <w:r>
        <w:rPr>
          <w:sz w:val="22"/>
          <w:szCs w:val="22"/>
          <w:lang w:val="en-GB"/>
        </w:rPr>
        <w:t>2016,</w:t>
      </w:r>
      <w:r w:rsidR="006B6676">
        <w:rPr>
          <w:sz w:val="22"/>
          <w:szCs w:val="22"/>
          <w:lang w:val="en-GB"/>
        </w:rPr>
        <w:t xml:space="preserve"> </w:t>
      </w:r>
      <w:r>
        <w:rPr>
          <w:sz w:val="22"/>
          <w:szCs w:val="22"/>
          <w:lang w:val="en-GB"/>
        </w:rPr>
        <w:t>Mahindra</w:t>
      </w:r>
      <w:r w:rsidR="006B6676">
        <w:rPr>
          <w:sz w:val="22"/>
          <w:szCs w:val="22"/>
          <w:lang w:val="en-GB"/>
        </w:rPr>
        <w:t xml:space="preserve"> </w:t>
      </w:r>
      <w:r>
        <w:rPr>
          <w:sz w:val="22"/>
          <w:szCs w:val="22"/>
          <w:lang w:val="en-GB"/>
        </w:rPr>
        <w:t>decided</w:t>
      </w:r>
      <w:r w:rsidR="006B6676">
        <w:rPr>
          <w:sz w:val="22"/>
          <w:szCs w:val="22"/>
          <w:lang w:val="en-GB"/>
        </w:rPr>
        <w:t xml:space="preserve"> </w:t>
      </w:r>
      <w:r>
        <w:rPr>
          <w:sz w:val="22"/>
          <w:szCs w:val="22"/>
          <w:lang w:val="en-GB"/>
        </w:rPr>
        <w:t>to</w:t>
      </w:r>
      <w:r w:rsidR="006B6676">
        <w:rPr>
          <w:sz w:val="22"/>
          <w:szCs w:val="22"/>
          <w:lang w:val="en-GB"/>
        </w:rPr>
        <w:t xml:space="preserve"> </w:t>
      </w:r>
      <w:r w:rsidR="00A9250C">
        <w:rPr>
          <w:sz w:val="22"/>
          <w:szCs w:val="22"/>
          <w:lang w:val="en-GB"/>
        </w:rPr>
        <w:t>“</w:t>
      </w:r>
      <w:r>
        <w:rPr>
          <w:sz w:val="22"/>
          <w:szCs w:val="22"/>
          <w:lang w:val="en-GB"/>
        </w:rPr>
        <w:t>de-focus</w:t>
      </w:r>
      <w:r w:rsidR="00A9250C">
        <w:rPr>
          <w:sz w:val="22"/>
          <w:szCs w:val="22"/>
          <w:lang w:val="en-GB"/>
        </w:rPr>
        <w:t>”</w:t>
      </w:r>
      <w:r>
        <w:rPr>
          <w:rStyle w:val="EndnoteReference"/>
          <w:sz w:val="22"/>
          <w:szCs w:val="22"/>
          <w:lang w:val="en-GB"/>
        </w:rPr>
        <w:endnoteReference w:id="100"/>
      </w:r>
      <w:r w:rsidR="006B6676">
        <w:rPr>
          <w:sz w:val="22"/>
          <w:szCs w:val="22"/>
          <w:lang w:val="en-GB"/>
        </w:rPr>
        <w:t xml:space="preserve"> </w:t>
      </w:r>
      <w:r>
        <w:rPr>
          <w:sz w:val="22"/>
          <w:szCs w:val="22"/>
          <w:lang w:val="en-GB"/>
        </w:rPr>
        <w:t>from</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mass</w:t>
      </w:r>
      <w:r w:rsidR="006B6676">
        <w:rPr>
          <w:sz w:val="22"/>
          <w:szCs w:val="22"/>
          <w:lang w:val="en-GB"/>
        </w:rPr>
        <w:t xml:space="preserve"> </w:t>
      </w:r>
      <w:r>
        <w:rPr>
          <w:sz w:val="22"/>
          <w:szCs w:val="22"/>
          <w:lang w:val="en-GB"/>
        </w:rPr>
        <w:t>motorcycle</w:t>
      </w:r>
      <w:r w:rsidR="006B6676">
        <w:rPr>
          <w:sz w:val="22"/>
          <w:szCs w:val="22"/>
          <w:lang w:val="en-GB"/>
        </w:rPr>
        <w:t xml:space="preserve"> </w:t>
      </w:r>
      <w:r>
        <w:rPr>
          <w:sz w:val="22"/>
          <w:szCs w:val="22"/>
          <w:lang w:val="en-GB"/>
        </w:rPr>
        <w:t>segment</w:t>
      </w:r>
      <w:r w:rsidRPr="00F26A3E">
        <w:rPr>
          <w:sz w:val="22"/>
          <w:szCs w:val="22"/>
          <w:lang w:val="en-GB"/>
        </w:rPr>
        <w:t>.</w:t>
      </w:r>
    </w:p>
    <w:p w14:paraId="34753FB5" w14:textId="77777777" w:rsidR="00CA6A0D" w:rsidRDefault="00CA6A0D" w:rsidP="00B607FC">
      <w:pPr>
        <w:jc w:val="both"/>
        <w:rPr>
          <w:sz w:val="22"/>
          <w:szCs w:val="22"/>
          <w:lang w:val="en-GB"/>
        </w:rPr>
      </w:pPr>
    </w:p>
    <w:p w14:paraId="1119E3A4" w14:textId="0E794A75" w:rsidR="00CA6A0D" w:rsidRPr="00F26A3E" w:rsidRDefault="00CA6A0D">
      <w:pPr>
        <w:jc w:val="both"/>
        <w:rPr>
          <w:sz w:val="22"/>
          <w:szCs w:val="22"/>
          <w:lang w:val="en-GB"/>
        </w:rPr>
      </w:pPr>
      <w:r>
        <w:rPr>
          <w:sz w:val="22"/>
          <w:szCs w:val="22"/>
          <w:lang w:val="en-GB"/>
        </w:rPr>
        <w:t>When</w:t>
      </w:r>
      <w:r w:rsidR="006B6676">
        <w:rPr>
          <w:sz w:val="22"/>
          <w:szCs w:val="22"/>
          <w:lang w:val="en-GB"/>
        </w:rPr>
        <w:t xml:space="preserve"> </w:t>
      </w:r>
      <w:r>
        <w:rPr>
          <w:sz w:val="22"/>
          <w:szCs w:val="22"/>
          <w:lang w:val="en-GB"/>
        </w:rPr>
        <w:t>referring</w:t>
      </w:r>
      <w:r w:rsidR="006B6676">
        <w:rPr>
          <w:sz w:val="22"/>
          <w:szCs w:val="22"/>
          <w:lang w:val="en-GB"/>
        </w:rPr>
        <w:t xml:space="preserve"> </w:t>
      </w:r>
      <w:r>
        <w:rPr>
          <w:sz w:val="22"/>
          <w:szCs w:val="22"/>
          <w:lang w:val="en-GB"/>
        </w:rPr>
        <w:t>to</w:t>
      </w:r>
      <w:r w:rsidR="006B6676">
        <w:rPr>
          <w:sz w:val="22"/>
          <w:szCs w:val="22"/>
          <w:lang w:val="en-GB"/>
        </w:rPr>
        <w:t xml:space="preserve"> </w:t>
      </w:r>
      <w:r>
        <w:rPr>
          <w:sz w:val="22"/>
          <w:szCs w:val="22"/>
          <w:lang w:val="en-GB"/>
        </w:rPr>
        <w:t>Mahindra’s</w:t>
      </w:r>
      <w:r w:rsidR="006B6676">
        <w:rPr>
          <w:sz w:val="22"/>
          <w:szCs w:val="22"/>
          <w:lang w:val="en-GB"/>
        </w:rPr>
        <w:t xml:space="preserve"> </w:t>
      </w:r>
      <w:r w:rsidRPr="00F26A3E">
        <w:rPr>
          <w:sz w:val="22"/>
          <w:szCs w:val="22"/>
          <w:lang w:val="en-GB"/>
        </w:rPr>
        <w:t>entry</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subsequent</w:t>
      </w:r>
      <w:r w:rsidR="006B6676">
        <w:rPr>
          <w:sz w:val="22"/>
          <w:szCs w:val="22"/>
          <w:lang w:val="en-GB"/>
        </w:rPr>
        <w:t xml:space="preserve"> </w:t>
      </w:r>
      <w:r w:rsidRPr="00F26A3E">
        <w:rPr>
          <w:sz w:val="22"/>
          <w:szCs w:val="22"/>
          <w:lang w:val="en-GB"/>
        </w:rPr>
        <w:t>withdrawal</w:t>
      </w:r>
      <w:r w:rsidR="006B6676">
        <w:rPr>
          <w:sz w:val="22"/>
          <w:szCs w:val="22"/>
          <w:lang w:val="en-GB"/>
        </w:rPr>
        <w:t xml:space="preserve"> </w:t>
      </w:r>
      <w:r w:rsidRPr="00F26A3E">
        <w:rPr>
          <w:sz w:val="22"/>
          <w:szCs w:val="22"/>
          <w:lang w:val="en-GB"/>
        </w:rPr>
        <w:t>from</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commuter</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Pr>
          <w:sz w:val="22"/>
          <w:szCs w:val="22"/>
          <w:lang w:val="en-GB"/>
        </w:rPr>
        <w:t>,</w:t>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company’s</w:t>
      </w:r>
      <w:r w:rsidR="006B6676">
        <w:rPr>
          <w:sz w:val="22"/>
          <w:szCs w:val="22"/>
          <w:lang w:val="en-GB"/>
        </w:rPr>
        <w:t xml:space="preserve"> </w:t>
      </w:r>
      <w:r>
        <w:rPr>
          <w:sz w:val="22"/>
          <w:szCs w:val="22"/>
          <w:lang w:val="en-GB"/>
        </w:rPr>
        <w:t>chairman,</w:t>
      </w:r>
      <w:r w:rsidR="006B6676">
        <w:rPr>
          <w:sz w:val="22"/>
          <w:szCs w:val="22"/>
          <w:lang w:val="en-GB"/>
        </w:rPr>
        <w:t xml:space="preserve"> </w:t>
      </w:r>
      <w:r w:rsidRPr="00F26A3E">
        <w:rPr>
          <w:sz w:val="22"/>
          <w:szCs w:val="22"/>
          <w:lang w:val="en-GB"/>
        </w:rPr>
        <w:t>Anand</w:t>
      </w:r>
      <w:r w:rsidR="006B6676">
        <w:rPr>
          <w:sz w:val="22"/>
          <w:szCs w:val="22"/>
          <w:lang w:val="en-GB"/>
        </w:rPr>
        <w:t xml:space="preserve"> </w:t>
      </w:r>
      <w:r w:rsidRPr="00F26A3E">
        <w:rPr>
          <w:sz w:val="22"/>
          <w:szCs w:val="22"/>
          <w:lang w:val="en-GB"/>
        </w:rPr>
        <w:t>Mahindra</w:t>
      </w:r>
      <w:r>
        <w:rPr>
          <w:sz w:val="22"/>
          <w:szCs w:val="22"/>
          <w:lang w:val="en-GB"/>
        </w:rPr>
        <w:t>,</w:t>
      </w:r>
      <w:r w:rsidR="006B6676">
        <w:rPr>
          <w:sz w:val="22"/>
          <w:szCs w:val="22"/>
          <w:lang w:val="en-GB"/>
        </w:rPr>
        <w:t xml:space="preserve"> </w:t>
      </w:r>
      <w:r>
        <w:rPr>
          <w:sz w:val="22"/>
          <w:szCs w:val="22"/>
          <w:lang w:val="en-GB"/>
        </w:rPr>
        <w:t>described</w:t>
      </w:r>
      <w:r w:rsidR="006B6676">
        <w:rPr>
          <w:sz w:val="22"/>
          <w:szCs w:val="22"/>
          <w:lang w:val="en-GB"/>
        </w:rPr>
        <w:t xml:space="preserve"> </w:t>
      </w:r>
      <w:r>
        <w:rPr>
          <w:sz w:val="22"/>
          <w:szCs w:val="22"/>
          <w:lang w:val="en-GB"/>
        </w:rPr>
        <w:t>it</w:t>
      </w:r>
      <w:r w:rsidR="006B6676">
        <w:rPr>
          <w:sz w:val="22"/>
          <w:szCs w:val="22"/>
          <w:lang w:val="en-GB"/>
        </w:rPr>
        <w:t xml:space="preserve"> </w:t>
      </w:r>
      <w:r w:rsidRPr="00F26A3E">
        <w:rPr>
          <w:sz w:val="22"/>
          <w:szCs w:val="22"/>
          <w:lang w:val="en-GB"/>
        </w:rPr>
        <w:t>as</w:t>
      </w:r>
      <w:r w:rsidR="006B6676">
        <w:rPr>
          <w:sz w:val="22"/>
          <w:szCs w:val="22"/>
          <w:lang w:val="en-GB"/>
        </w:rPr>
        <w:t xml:space="preserve"> </w:t>
      </w:r>
      <w:r w:rsidRPr="00F26A3E">
        <w:rPr>
          <w:sz w:val="22"/>
          <w:szCs w:val="22"/>
          <w:lang w:val="en-GB"/>
        </w:rPr>
        <w:t>a</w:t>
      </w:r>
      <w:r w:rsidR="006B6676">
        <w:rPr>
          <w:sz w:val="22"/>
          <w:szCs w:val="22"/>
          <w:lang w:val="en-GB"/>
        </w:rPr>
        <w:t xml:space="preserve"> </w:t>
      </w:r>
      <w:r>
        <w:rPr>
          <w:sz w:val="22"/>
          <w:szCs w:val="22"/>
          <w:lang w:val="en-GB"/>
        </w:rPr>
        <w:t>“p</w:t>
      </w:r>
      <w:r w:rsidRPr="00F26A3E">
        <w:rPr>
          <w:sz w:val="22"/>
          <w:szCs w:val="22"/>
          <w:lang w:val="en-GB"/>
        </w:rPr>
        <w:t>roduct</w:t>
      </w:r>
      <w:r w:rsidR="006B6676">
        <w:rPr>
          <w:sz w:val="22"/>
          <w:szCs w:val="22"/>
          <w:lang w:val="en-GB"/>
        </w:rPr>
        <w:t xml:space="preserve"> </w:t>
      </w:r>
      <w:r>
        <w:rPr>
          <w:sz w:val="22"/>
          <w:szCs w:val="22"/>
          <w:lang w:val="en-GB"/>
        </w:rPr>
        <w:t>f</w:t>
      </w:r>
      <w:r w:rsidRPr="00F26A3E">
        <w:rPr>
          <w:sz w:val="22"/>
          <w:szCs w:val="22"/>
          <w:lang w:val="en-GB"/>
        </w:rPr>
        <w:t>ailure.</w:t>
      </w:r>
      <w:r>
        <w:rPr>
          <w:sz w:val="22"/>
          <w:szCs w:val="22"/>
          <w:lang w:val="en-GB"/>
        </w:rPr>
        <w:t>”</w:t>
      </w:r>
      <w:r w:rsidRPr="00F26A3E">
        <w:rPr>
          <w:sz w:val="22"/>
          <w:szCs w:val="22"/>
          <w:vertAlign w:val="superscript"/>
          <w:lang w:val="en-GB"/>
        </w:rPr>
        <w:endnoteReference w:id="101"/>
      </w:r>
      <w:r w:rsidR="006B6676">
        <w:rPr>
          <w:sz w:val="22"/>
          <w:szCs w:val="22"/>
          <w:lang w:val="en-GB"/>
        </w:rPr>
        <w:t xml:space="preserve"> </w:t>
      </w:r>
      <w:r>
        <w:rPr>
          <w:sz w:val="22"/>
          <w:szCs w:val="22"/>
          <w:lang w:val="en-GB"/>
        </w:rPr>
        <w:t>But</w:t>
      </w:r>
      <w:r w:rsidR="006B6676">
        <w:rPr>
          <w:sz w:val="22"/>
          <w:szCs w:val="22"/>
          <w:lang w:val="en-GB"/>
        </w:rPr>
        <w:t xml:space="preserve"> </w:t>
      </w:r>
      <w:r w:rsidRPr="00F26A3E">
        <w:rPr>
          <w:sz w:val="22"/>
          <w:szCs w:val="22"/>
          <w:lang w:val="en-GB"/>
        </w:rPr>
        <w:t>that</w:t>
      </w:r>
      <w:r w:rsidR="006B6676">
        <w:rPr>
          <w:sz w:val="22"/>
          <w:szCs w:val="22"/>
          <w:lang w:val="en-GB"/>
        </w:rPr>
        <w:t xml:space="preserve"> </w:t>
      </w:r>
      <w:r>
        <w:rPr>
          <w:sz w:val="22"/>
          <w:szCs w:val="22"/>
          <w:lang w:val="en-GB"/>
        </w:rPr>
        <w:t>seemed</w:t>
      </w:r>
      <w:r w:rsidR="006B6676">
        <w:rPr>
          <w:sz w:val="22"/>
          <w:szCs w:val="22"/>
          <w:lang w:val="en-GB"/>
        </w:rPr>
        <w:t xml:space="preserve"> </w:t>
      </w:r>
      <w:r w:rsidR="002D724D">
        <w:rPr>
          <w:sz w:val="22"/>
          <w:szCs w:val="22"/>
          <w:lang w:val="en-GB"/>
        </w:rPr>
        <w:t>to</w:t>
      </w:r>
      <w:r w:rsidR="006B6676">
        <w:rPr>
          <w:sz w:val="22"/>
          <w:szCs w:val="22"/>
          <w:lang w:val="en-GB"/>
        </w:rPr>
        <w:t xml:space="preserve"> </w:t>
      </w:r>
      <w:r w:rsidR="002D724D">
        <w:rPr>
          <w:sz w:val="22"/>
          <w:szCs w:val="22"/>
          <w:lang w:val="en-GB"/>
        </w:rPr>
        <w:t>be</w:t>
      </w:r>
      <w:r w:rsidR="006B6676">
        <w:rPr>
          <w:sz w:val="22"/>
          <w:szCs w:val="22"/>
          <w:lang w:val="en-GB"/>
        </w:rPr>
        <w:t xml:space="preserve"> </w:t>
      </w:r>
      <w:r w:rsidRPr="00F26A3E">
        <w:rPr>
          <w:sz w:val="22"/>
          <w:szCs w:val="22"/>
          <w:lang w:val="en-GB"/>
        </w:rPr>
        <w:t>history</w:t>
      </w:r>
      <w:r w:rsidR="006B6676">
        <w:rPr>
          <w:sz w:val="22"/>
          <w:szCs w:val="22"/>
          <w:lang w:val="en-GB"/>
        </w:rPr>
        <w:t xml:space="preserve"> </w:t>
      </w:r>
      <w:r>
        <w:rPr>
          <w:sz w:val="22"/>
          <w:szCs w:val="22"/>
          <w:lang w:val="en-GB"/>
        </w:rPr>
        <w:t>as</w:t>
      </w:r>
      <w:r w:rsidR="006B6676">
        <w:rPr>
          <w:sz w:val="22"/>
          <w:szCs w:val="22"/>
          <w:lang w:val="en-GB"/>
        </w:rPr>
        <w:t xml:space="preserve"> </w:t>
      </w:r>
      <w:r w:rsidRPr="00F26A3E">
        <w:rPr>
          <w:sz w:val="22"/>
          <w:szCs w:val="22"/>
          <w:lang w:val="en-GB"/>
        </w:rPr>
        <w:t>M</w:t>
      </w:r>
      <w:r>
        <w:rPr>
          <w:sz w:val="22"/>
          <w:szCs w:val="22"/>
          <w:lang w:val="en-GB"/>
        </w:rPr>
        <w:t>ahindra</w:t>
      </w:r>
      <w:r w:rsidR="006B6676">
        <w:rPr>
          <w:sz w:val="22"/>
          <w:szCs w:val="22"/>
          <w:lang w:val="en-GB"/>
        </w:rPr>
        <w:t xml:space="preserve"> </w:t>
      </w:r>
      <w:r>
        <w:rPr>
          <w:sz w:val="22"/>
          <w:szCs w:val="22"/>
          <w:lang w:val="en-GB"/>
        </w:rPr>
        <w:t>announced</w:t>
      </w:r>
      <w:r w:rsidR="006B6676">
        <w:rPr>
          <w:sz w:val="22"/>
          <w:szCs w:val="22"/>
          <w:lang w:val="en-GB"/>
        </w:rPr>
        <w:t xml:space="preserve"> </w:t>
      </w:r>
      <w:r>
        <w:rPr>
          <w:sz w:val="22"/>
          <w:szCs w:val="22"/>
          <w:lang w:val="en-GB"/>
        </w:rPr>
        <w:t>its</w:t>
      </w:r>
      <w:r w:rsidR="006B6676">
        <w:rPr>
          <w:sz w:val="22"/>
          <w:szCs w:val="22"/>
          <w:lang w:val="en-GB"/>
        </w:rPr>
        <w:t xml:space="preserve"> </w:t>
      </w:r>
      <w:r>
        <w:rPr>
          <w:sz w:val="22"/>
          <w:szCs w:val="22"/>
          <w:lang w:val="en-GB"/>
        </w:rPr>
        <w:t>new</w:t>
      </w:r>
      <w:r w:rsidR="006B6676">
        <w:rPr>
          <w:sz w:val="22"/>
          <w:szCs w:val="22"/>
          <w:lang w:val="en-GB"/>
        </w:rPr>
        <w:t xml:space="preserve"> </w:t>
      </w:r>
      <w:r w:rsidRPr="00F26A3E">
        <w:rPr>
          <w:sz w:val="22"/>
          <w:szCs w:val="22"/>
          <w:lang w:val="en-GB"/>
        </w:rPr>
        <w:t>strategy</w:t>
      </w:r>
      <w:r>
        <w:rPr>
          <w:sz w:val="22"/>
          <w:szCs w:val="22"/>
          <w:lang w:val="en-GB"/>
        </w:rPr>
        <w:t>.</w:t>
      </w:r>
      <w:r w:rsidRPr="00F26A3E">
        <w:rPr>
          <w:sz w:val="22"/>
          <w:szCs w:val="22"/>
          <w:vertAlign w:val="superscript"/>
          <w:lang w:val="en-GB"/>
        </w:rPr>
        <w:endnoteReference w:id="102"/>
      </w:r>
      <w:r w:rsidR="006B6676">
        <w:rPr>
          <w:sz w:val="22"/>
          <w:szCs w:val="22"/>
          <w:lang w:val="en-GB"/>
        </w:rPr>
        <w:t xml:space="preserve"> </w:t>
      </w:r>
      <w:r>
        <w:rPr>
          <w:sz w:val="22"/>
          <w:szCs w:val="22"/>
          <w:lang w:val="en-GB"/>
        </w:rPr>
        <w:t>With</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focus</w:t>
      </w:r>
      <w:r w:rsidR="006B6676">
        <w:rPr>
          <w:sz w:val="22"/>
          <w:szCs w:val="22"/>
          <w:lang w:val="en-GB"/>
        </w:rPr>
        <w:t xml:space="preserve"> </w:t>
      </w:r>
      <w:r w:rsidRPr="00F26A3E">
        <w:rPr>
          <w:sz w:val="22"/>
          <w:szCs w:val="22"/>
          <w:lang w:val="en-GB"/>
        </w:rPr>
        <w:t>on</w:t>
      </w:r>
      <w:r w:rsidR="006B6676">
        <w:rPr>
          <w:sz w:val="22"/>
          <w:szCs w:val="22"/>
          <w:lang w:val="en-GB"/>
        </w:rPr>
        <w:t xml:space="preserve"> </w:t>
      </w:r>
      <w:r>
        <w:rPr>
          <w:sz w:val="22"/>
          <w:szCs w:val="22"/>
          <w:lang w:val="en-GB"/>
        </w:rPr>
        <w:t>the</w:t>
      </w:r>
      <w:r w:rsidR="006B6676">
        <w:rPr>
          <w:sz w:val="22"/>
          <w:szCs w:val="22"/>
          <w:lang w:val="en-GB"/>
        </w:rPr>
        <w:t xml:space="preserve"> </w:t>
      </w:r>
      <w:r w:rsidRPr="00F26A3E">
        <w:rPr>
          <w:sz w:val="22"/>
          <w:szCs w:val="22"/>
          <w:lang w:val="en-GB"/>
        </w:rPr>
        <w:t>premium</w:t>
      </w:r>
      <w:r w:rsidR="006B6676">
        <w:rPr>
          <w:sz w:val="22"/>
          <w:szCs w:val="22"/>
          <w:lang w:val="en-GB"/>
        </w:rPr>
        <w:t xml:space="preserve"> </w:t>
      </w:r>
      <w:r w:rsidRPr="00F26A3E">
        <w:rPr>
          <w:sz w:val="22"/>
          <w:szCs w:val="22"/>
          <w:lang w:val="en-GB"/>
        </w:rPr>
        <w:t>two-wheeler</w:t>
      </w:r>
      <w:r w:rsidR="006B6676">
        <w:rPr>
          <w:sz w:val="22"/>
          <w:szCs w:val="22"/>
          <w:lang w:val="en-GB"/>
        </w:rPr>
        <w:t xml:space="preserve"> </w:t>
      </w:r>
      <w:r w:rsidRPr="00F26A3E">
        <w:rPr>
          <w:sz w:val="22"/>
          <w:szCs w:val="22"/>
          <w:lang w:val="en-GB"/>
        </w:rPr>
        <w:t>segment</w:t>
      </w:r>
      <w:r>
        <w:rPr>
          <w:sz w:val="22"/>
          <w:szCs w:val="22"/>
          <w:lang w:val="en-GB"/>
        </w:rPr>
        <w:t>,</w:t>
      </w:r>
      <w:r w:rsidRPr="00F26A3E">
        <w:rPr>
          <w:sz w:val="22"/>
          <w:szCs w:val="22"/>
          <w:vertAlign w:val="superscript"/>
          <w:lang w:val="en-GB"/>
        </w:rPr>
        <w:endnoteReference w:id="103"/>
      </w:r>
      <w:r w:rsidR="006B6676">
        <w:rPr>
          <w:sz w:val="22"/>
          <w:szCs w:val="22"/>
          <w:lang w:val="en-GB"/>
        </w:rPr>
        <w:t xml:space="preserve"> </w:t>
      </w:r>
      <w:r w:rsidRPr="00F26A3E">
        <w:rPr>
          <w:sz w:val="22"/>
          <w:szCs w:val="22"/>
          <w:lang w:val="en-GB"/>
        </w:rPr>
        <w:t>M</w:t>
      </w:r>
      <w:r>
        <w:rPr>
          <w:sz w:val="22"/>
          <w:szCs w:val="22"/>
          <w:lang w:val="en-GB"/>
        </w:rPr>
        <w:t>ahindra</w:t>
      </w:r>
      <w:r w:rsidR="006B6676">
        <w:rPr>
          <w:sz w:val="22"/>
          <w:szCs w:val="22"/>
          <w:lang w:val="en-GB"/>
        </w:rPr>
        <w:t xml:space="preserve"> </w:t>
      </w:r>
      <w:r w:rsidRPr="00F26A3E">
        <w:rPr>
          <w:sz w:val="22"/>
          <w:szCs w:val="22"/>
          <w:lang w:val="en-GB"/>
        </w:rPr>
        <w:t>acquired</w:t>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60</w:t>
      </w:r>
      <w:r w:rsidR="006B6676">
        <w:rPr>
          <w:sz w:val="22"/>
          <w:szCs w:val="22"/>
          <w:lang w:val="en-GB"/>
        </w:rPr>
        <w:t xml:space="preserve"> </w:t>
      </w:r>
      <w:r w:rsidRPr="00F26A3E">
        <w:rPr>
          <w:sz w:val="22"/>
          <w:szCs w:val="22"/>
          <w:lang w:val="en-GB"/>
        </w:rPr>
        <w:t>per</w:t>
      </w:r>
      <w:r w:rsidR="006B6676">
        <w:rPr>
          <w:sz w:val="22"/>
          <w:szCs w:val="22"/>
          <w:lang w:val="en-GB"/>
        </w:rPr>
        <w:t xml:space="preserve"> </w:t>
      </w:r>
      <w:r w:rsidRPr="00F26A3E">
        <w:rPr>
          <w:sz w:val="22"/>
          <w:szCs w:val="22"/>
          <w:lang w:val="en-GB"/>
        </w:rPr>
        <w:t>cent</w:t>
      </w:r>
      <w:r w:rsidR="006B6676">
        <w:rPr>
          <w:sz w:val="22"/>
          <w:szCs w:val="22"/>
          <w:lang w:val="en-GB"/>
        </w:rPr>
        <w:t xml:space="preserve"> </w:t>
      </w:r>
      <w:r w:rsidRPr="00F26A3E">
        <w:rPr>
          <w:sz w:val="22"/>
          <w:szCs w:val="22"/>
          <w:lang w:val="en-GB"/>
        </w:rPr>
        <w:t>stake</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CLPL</w:t>
      </w:r>
      <w:r>
        <w:rPr>
          <w:sz w:val="22"/>
          <w:szCs w:val="22"/>
          <w:lang w:val="en-GB"/>
        </w:rPr>
        <w:t>.</w:t>
      </w:r>
      <w:r w:rsidRPr="00F26A3E">
        <w:rPr>
          <w:sz w:val="22"/>
          <w:szCs w:val="22"/>
          <w:vertAlign w:val="superscript"/>
          <w:lang w:val="en-GB"/>
        </w:rPr>
        <w:endnoteReference w:id="104"/>
      </w:r>
      <w:r w:rsidR="006B6676">
        <w:rPr>
          <w:sz w:val="22"/>
          <w:szCs w:val="22"/>
          <w:lang w:val="en-GB"/>
        </w:rPr>
        <w:t xml:space="preserve"> </w:t>
      </w:r>
      <w:r>
        <w:rPr>
          <w:sz w:val="22"/>
          <w:szCs w:val="22"/>
          <w:lang w:val="en-GB"/>
        </w:rPr>
        <w:t>The</w:t>
      </w:r>
      <w:r w:rsidR="006B6676">
        <w:rPr>
          <w:sz w:val="22"/>
          <w:szCs w:val="22"/>
          <w:lang w:val="en-GB"/>
        </w:rPr>
        <w:t xml:space="preserve"> </w:t>
      </w:r>
      <w:r>
        <w:rPr>
          <w:sz w:val="22"/>
          <w:szCs w:val="22"/>
          <w:lang w:val="en-GB"/>
        </w:rPr>
        <w:t>latter</w:t>
      </w:r>
      <w:r w:rsidR="006B6676">
        <w:rPr>
          <w:sz w:val="22"/>
          <w:szCs w:val="22"/>
          <w:lang w:val="en-GB"/>
        </w:rPr>
        <w:t xml:space="preserve"> </w:t>
      </w:r>
      <w:r w:rsidRPr="00F26A3E">
        <w:rPr>
          <w:sz w:val="22"/>
          <w:szCs w:val="22"/>
          <w:lang w:val="en-GB"/>
        </w:rPr>
        <w:t>had</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color w:val="000000"/>
          <w:sz w:val="22"/>
          <w:szCs w:val="22"/>
          <w:lang w:val="en-GB"/>
        </w:rPr>
        <w:t>licensing</w:t>
      </w:r>
      <w:r w:rsidR="006B6676">
        <w:rPr>
          <w:color w:val="000000"/>
          <w:sz w:val="22"/>
          <w:szCs w:val="22"/>
          <w:lang w:val="en-GB"/>
        </w:rPr>
        <w:t xml:space="preserve"> </w:t>
      </w:r>
      <w:r w:rsidRPr="00F26A3E">
        <w:rPr>
          <w:color w:val="000000"/>
          <w:sz w:val="22"/>
          <w:szCs w:val="22"/>
          <w:lang w:val="en-GB"/>
        </w:rPr>
        <w:t>arrangement</w:t>
      </w:r>
      <w:r w:rsidR="006B6676">
        <w:rPr>
          <w:color w:val="000000"/>
          <w:sz w:val="22"/>
          <w:szCs w:val="22"/>
          <w:lang w:val="en-GB"/>
        </w:rPr>
        <w:t xml:space="preserve"> </w:t>
      </w:r>
      <w:r w:rsidRPr="00F26A3E">
        <w:rPr>
          <w:color w:val="000000"/>
          <w:sz w:val="22"/>
          <w:szCs w:val="22"/>
          <w:lang w:val="en-GB"/>
        </w:rPr>
        <w:t>for</w:t>
      </w:r>
      <w:r w:rsidR="006B6676">
        <w:rPr>
          <w:color w:val="000000"/>
          <w:sz w:val="22"/>
          <w:szCs w:val="22"/>
          <w:lang w:val="en-GB"/>
        </w:rPr>
        <w:t xml:space="preserve"> </w:t>
      </w:r>
      <w:r>
        <w:rPr>
          <w:color w:val="000000"/>
          <w:sz w:val="22"/>
          <w:szCs w:val="22"/>
          <w:lang w:val="en-GB"/>
        </w:rPr>
        <w:t>India’s</w:t>
      </w:r>
      <w:r w:rsidR="006B6676">
        <w:rPr>
          <w:color w:val="000000"/>
          <w:sz w:val="22"/>
          <w:szCs w:val="22"/>
          <w:lang w:val="en-GB"/>
        </w:rPr>
        <w:t xml:space="preserve"> </w:t>
      </w:r>
      <w:r>
        <w:rPr>
          <w:color w:val="000000"/>
          <w:sz w:val="22"/>
          <w:szCs w:val="22"/>
          <w:lang w:val="en-GB"/>
        </w:rPr>
        <w:t>popular</w:t>
      </w:r>
      <w:r w:rsidR="006B6676">
        <w:rPr>
          <w:color w:val="000000"/>
          <w:sz w:val="22"/>
          <w:szCs w:val="22"/>
          <w:lang w:val="en-GB"/>
        </w:rPr>
        <w:t xml:space="preserve"> </w:t>
      </w:r>
      <w:r w:rsidRPr="00F26A3E">
        <w:rPr>
          <w:color w:val="000000"/>
          <w:sz w:val="22"/>
          <w:szCs w:val="22"/>
          <w:lang w:val="en-GB"/>
        </w:rPr>
        <w:t>Jawa</w:t>
      </w:r>
      <w:r w:rsidR="006B6676">
        <w:rPr>
          <w:color w:val="000000"/>
          <w:sz w:val="22"/>
          <w:szCs w:val="22"/>
          <w:lang w:val="en-GB"/>
        </w:rPr>
        <w:t xml:space="preserve"> </w:t>
      </w:r>
      <w:r w:rsidRPr="00F26A3E">
        <w:rPr>
          <w:color w:val="000000"/>
          <w:sz w:val="22"/>
          <w:szCs w:val="22"/>
          <w:lang w:val="en-GB"/>
        </w:rPr>
        <w:t>motorcycles</w:t>
      </w:r>
      <w:r>
        <w:rPr>
          <w:sz w:val="22"/>
          <w:szCs w:val="22"/>
          <w:lang w:val="en-GB"/>
        </w:rPr>
        <w:t>.</w:t>
      </w:r>
      <w:r w:rsidRPr="00F26A3E">
        <w:rPr>
          <w:sz w:val="22"/>
          <w:szCs w:val="22"/>
          <w:vertAlign w:val="superscript"/>
          <w:lang w:val="en-GB"/>
        </w:rPr>
        <w:endnoteReference w:id="105"/>
      </w:r>
      <w:r w:rsidR="006B6676">
        <w:rPr>
          <w:sz w:val="22"/>
          <w:szCs w:val="22"/>
          <w:lang w:val="en-GB"/>
        </w:rPr>
        <w:t xml:space="preserve"> </w:t>
      </w:r>
      <w:r w:rsidRPr="00F26A3E">
        <w:rPr>
          <w:sz w:val="22"/>
          <w:szCs w:val="22"/>
          <w:lang w:val="en-GB"/>
        </w:rPr>
        <w:t>M</w:t>
      </w:r>
      <w:r>
        <w:rPr>
          <w:sz w:val="22"/>
          <w:szCs w:val="22"/>
          <w:lang w:val="en-GB"/>
        </w:rPr>
        <w:t>ahindra</w:t>
      </w:r>
      <w:r w:rsidR="006B6676">
        <w:rPr>
          <w:sz w:val="22"/>
          <w:szCs w:val="22"/>
          <w:lang w:val="en-GB"/>
        </w:rPr>
        <w:t xml:space="preserve"> </w:t>
      </w:r>
      <w:r w:rsidRPr="00F26A3E">
        <w:rPr>
          <w:sz w:val="22"/>
          <w:szCs w:val="22"/>
          <w:lang w:val="en-GB"/>
        </w:rPr>
        <w:t>revived</w:t>
      </w:r>
      <w:r w:rsidR="006B6676">
        <w:rPr>
          <w:sz w:val="22"/>
          <w:szCs w:val="22"/>
          <w:lang w:val="en-GB"/>
        </w:rPr>
        <w:t xml:space="preserve"> </w:t>
      </w:r>
      <w:r w:rsidRPr="00F26A3E">
        <w:rPr>
          <w:sz w:val="22"/>
          <w:szCs w:val="22"/>
          <w:lang w:val="en-GB"/>
        </w:rPr>
        <w:t>the</w:t>
      </w:r>
      <w:r w:rsidR="006B6676">
        <w:rPr>
          <w:sz w:val="22"/>
          <w:szCs w:val="22"/>
          <w:lang w:val="en-GB"/>
        </w:rPr>
        <w:t xml:space="preserve"> </w:t>
      </w:r>
      <w:r>
        <w:rPr>
          <w:sz w:val="22"/>
          <w:szCs w:val="22"/>
          <w:lang w:val="en-GB"/>
        </w:rPr>
        <w:t>Jawa</w:t>
      </w:r>
      <w:r w:rsidR="006B6676">
        <w:rPr>
          <w:sz w:val="22"/>
          <w:szCs w:val="22"/>
          <w:lang w:val="en-GB"/>
        </w:rPr>
        <w:t xml:space="preserve"> </w:t>
      </w:r>
      <w:r w:rsidRPr="00F26A3E">
        <w:rPr>
          <w:sz w:val="22"/>
          <w:szCs w:val="22"/>
          <w:lang w:val="en-GB"/>
        </w:rPr>
        <w:t>brand</w:t>
      </w:r>
      <w:r w:rsidR="006B6676">
        <w:rPr>
          <w:sz w:val="22"/>
          <w:szCs w:val="22"/>
          <w:lang w:val="en-GB"/>
        </w:rPr>
        <w:t xml:space="preserve"> </w:t>
      </w:r>
      <w:r>
        <w:rPr>
          <w:sz w:val="22"/>
          <w:szCs w:val="22"/>
          <w:lang w:val="en-GB"/>
        </w:rPr>
        <w:t>and</w:t>
      </w:r>
      <w:r w:rsidR="006B6676">
        <w:rPr>
          <w:sz w:val="22"/>
          <w:szCs w:val="22"/>
          <w:lang w:val="en-GB"/>
        </w:rPr>
        <w:t xml:space="preserve"> </w:t>
      </w:r>
      <w:r w:rsidRPr="00F26A3E">
        <w:rPr>
          <w:sz w:val="22"/>
          <w:szCs w:val="22"/>
          <w:lang w:val="en-GB"/>
        </w:rPr>
        <w:t>planned</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leverage</w:t>
      </w:r>
      <w:r w:rsidR="006B6676">
        <w:rPr>
          <w:sz w:val="22"/>
          <w:szCs w:val="22"/>
          <w:lang w:val="en-GB"/>
        </w:rPr>
        <w:t xml:space="preserve"> </w:t>
      </w:r>
      <w:r w:rsidRPr="00F26A3E">
        <w:rPr>
          <w:sz w:val="22"/>
          <w:szCs w:val="22"/>
          <w:lang w:val="en-GB"/>
        </w:rPr>
        <w:t>its</w:t>
      </w:r>
      <w:r w:rsidR="006B6676">
        <w:rPr>
          <w:sz w:val="22"/>
          <w:szCs w:val="22"/>
          <w:lang w:val="en-GB"/>
        </w:rPr>
        <w:t xml:space="preserve"> </w:t>
      </w:r>
      <w:r w:rsidRPr="00F26A3E">
        <w:rPr>
          <w:sz w:val="22"/>
          <w:szCs w:val="22"/>
          <w:lang w:val="en-GB"/>
        </w:rPr>
        <w:t>nostalgic</w:t>
      </w:r>
      <w:r w:rsidR="006B6676">
        <w:rPr>
          <w:sz w:val="22"/>
          <w:szCs w:val="22"/>
          <w:lang w:val="en-GB"/>
        </w:rPr>
        <w:t xml:space="preserve"> </w:t>
      </w:r>
      <w:r w:rsidRPr="00F26A3E">
        <w:rPr>
          <w:sz w:val="22"/>
          <w:szCs w:val="22"/>
          <w:lang w:val="en-GB"/>
        </w:rPr>
        <w:t>appeal</w:t>
      </w:r>
      <w:r>
        <w:rPr>
          <w:sz w:val="22"/>
          <w:szCs w:val="22"/>
          <w:lang w:val="en-GB"/>
        </w:rPr>
        <w:t>.</w:t>
      </w:r>
      <w:r w:rsidRPr="00F26A3E">
        <w:rPr>
          <w:sz w:val="22"/>
          <w:szCs w:val="22"/>
          <w:vertAlign w:val="superscript"/>
          <w:lang w:val="en-GB"/>
        </w:rPr>
        <w:endnoteReference w:id="106"/>
      </w:r>
      <w:r w:rsidR="006B6676">
        <w:rPr>
          <w:sz w:val="22"/>
          <w:szCs w:val="22"/>
          <w:lang w:val="en-GB"/>
        </w:rPr>
        <w:t xml:space="preserve"> </w:t>
      </w:r>
      <w:r>
        <w:rPr>
          <w:sz w:val="22"/>
          <w:szCs w:val="22"/>
          <w:lang w:val="en-GB"/>
        </w:rPr>
        <w:t>Two</w:t>
      </w:r>
      <w:r w:rsidR="006B6676">
        <w:rPr>
          <w:sz w:val="22"/>
          <w:szCs w:val="22"/>
          <w:lang w:val="en-GB"/>
        </w:rPr>
        <w:t xml:space="preserve"> </w:t>
      </w:r>
      <w:r>
        <w:rPr>
          <w:sz w:val="22"/>
          <w:szCs w:val="22"/>
          <w:lang w:val="en-GB"/>
        </w:rPr>
        <w:t>models—</w:t>
      </w:r>
      <w:r w:rsidRPr="00F26A3E">
        <w:rPr>
          <w:sz w:val="22"/>
          <w:szCs w:val="22"/>
          <w:lang w:val="en-GB"/>
        </w:rPr>
        <w:t>Jawa</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Pr="00F26A3E">
        <w:rPr>
          <w:sz w:val="22"/>
          <w:szCs w:val="22"/>
          <w:lang w:val="en-GB"/>
        </w:rPr>
        <w:t>Jawa</w:t>
      </w:r>
      <w:r w:rsidR="006B6676">
        <w:rPr>
          <w:sz w:val="22"/>
          <w:szCs w:val="22"/>
          <w:lang w:val="en-GB"/>
        </w:rPr>
        <w:t xml:space="preserve"> </w:t>
      </w:r>
      <w:r w:rsidRPr="00F26A3E">
        <w:rPr>
          <w:sz w:val="22"/>
          <w:szCs w:val="22"/>
          <w:lang w:val="en-GB"/>
        </w:rPr>
        <w:t>Forty</w:t>
      </w:r>
      <w:r w:rsidR="006B6676">
        <w:rPr>
          <w:sz w:val="22"/>
          <w:szCs w:val="22"/>
          <w:lang w:val="en-GB"/>
        </w:rPr>
        <w:t xml:space="preserve"> </w:t>
      </w:r>
      <w:r w:rsidRPr="00F26A3E">
        <w:rPr>
          <w:sz w:val="22"/>
          <w:szCs w:val="22"/>
          <w:lang w:val="en-GB"/>
        </w:rPr>
        <w:t>Two</w:t>
      </w:r>
      <w:r>
        <w:rPr>
          <w:sz w:val="22"/>
          <w:szCs w:val="22"/>
          <w:lang w:val="en-GB"/>
        </w:rPr>
        <w:t>—</w:t>
      </w:r>
      <w:r w:rsidRPr="00F26A3E">
        <w:rPr>
          <w:sz w:val="22"/>
          <w:szCs w:val="22"/>
          <w:lang w:val="en-GB"/>
        </w:rPr>
        <w:t>were</w:t>
      </w:r>
      <w:r w:rsidR="006B6676">
        <w:rPr>
          <w:sz w:val="22"/>
          <w:szCs w:val="22"/>
          <w:lang w:val="en-GB"/>
        </w:rPr>
        <w:t xml:space="preserve"> </w:t>
      </w:r>
      <w:r w:rsidRPr="00F26A3E">
        <w:rPr>
          <w:sz w:val="22"/>
          <w:szCs w:val="22"/>
          <w:lang w:val="en-GB"/>
        </w:rPr>
        <w:t>unveiled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India</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Pr="00F26A3E">
        <w:rPr>
          <w:sz w:val="22"/>
          <w:szCs w:val="22"/>
          <w:lang w:val="en-GB"/>
        </w:rPr>
        <w:t>2018</w:t>
      </w:r>
      <w:r>
        <w:rPr>
          <w:sz w:val="22"/>
          <w:szCs w:val="22"/>
          <w:lang w:val="en-GB"/>
        </w:rPr>
        <w:t>.</w:t>
      </w:r>
      <w:r w:rsidRPr="00F26A3E">
        <w:rPr>
          <w:sz w:val="22"/>
          <w:szCs w:val="22"/>
          <w:vertAlign w:val="superscript"/>
          <w:lang w:val="en-GB"/>
        </w:rPr>
        <w:endnoteReference w:id="107"/>
      </w:r>
      <w:r w:rsidR="006B6676">
        <w:rPr>
          <w:sz w:val="22"/>
          <w:szCs w:val="22"/>
          <w:lang w:val="en-GB"/>
        </w:rPr>
        <w:t xml:space="preserve"> </w:t>
      </w:r>
      <w:r>
        <w:rPr>
          <w:sz w:val="22"/>
          <w:szCs w:val="22"/>
          <w:lang w:val="en-GB"/>
        </w:rPr>
        <w:t>A</w:t>
      </w:r>
      <w:r w:rsidR="006B6676">
        <w:rPr>
          <w:sz w:val="22"/>
          <w:szCs w:val="22"/>
          <w:lang w:val="en-GB"/>
        </w:rPr>
        <w:t xml:space="preserve"> </w:t>
      </w:r>
      <w:r w:rsidRPr="00F26A3E">
        <w:rPr>
          <w:sz w:val="22"/>
          <w:szCs w:val="22"/>
          <w:lang w:val="en-GB"/>
        </w:rPr>
        <w:t>third</w:t>
      </w:r>
      <w:r w:rsidR="006B6676">
        <w:rPr>
          <w:sz w:val="22"/>
          <w:szCs w:val="22"/>
          <w:lang w:val="en-GB"/>
        </w:rPr>
        <w:t xml:space="preserve"> </w:t>
      </w:r>
      <w:r w:rsidRPr="00F26A3E">
        <w:rPr>
          <w:sz w:val="22"/>
          <w:szCs w:val="22"/>
          <w:lang w:val="en-GB"/>
        </w:rPr>
        <w:t>model</w:t>
      </w:r>
      <w:r>
        <w:rPr>
          <w:sz w:val="22"/>
          <w:szCs w:val="22"/>
          <w:lang w:val="en-GB"/>
        </w:rPr>
        <w:t>—</w:t>
      </w:r>
      <w:r w:rsidRPr="00F26A3E">
        <w:rPr>
          <w:sz w:val="22"/>
          <w:szCs w:val="22"/>
          <w:lang w:val="en-GB"/>
        </w:rPr>
        <w:t>Jawa</w:t>
      </w:r>
      <w:r w:rsidR="006B6676">
        <w:rPr>
          <w:sz w:val="22"/>
          <w:szCs w:val="22"/>
          <w:lang w:val="en-GB"/>
        </w:rPr>
        <w:t xml:space="preserve"> </w:t>
      </w:r>
      <w:r w:rsidRPr="00F26A3E">
        <w:rPr>
          <w:sz w:val="22"/>
          <w:szCs w:val="22"/>
          <w:lang w:val="en-GB"/>
        </w:rPr>
        <w:t>Perak</w:t>
      </w:r>
      <w:r>
        <w:rPr>
          <w:sz w:val="22"/>
          <w:szCs w:val="22"/>
          <w:lang w:val="en-GB"/>
        </w:rPr>
        <w:t>—began</w:t>
      </w:r>
      <w:r w:rsidR="006B6676">
        <w:rPr>
          <w:sz w:val="22"/>
          <w:szCs w:val="22"/>
          <w:lang w:val="en-GB"/>
        </w:rPr>
        <w:t xml:space="preserve"> </w:t>
      </w:r>
      <w:r>
        <w:rPr>
          <w:sz w:val="22"/>
          <w:szCs w:val="22"/>
          <w:lang w:val="en-GB"/>
        </w:rPr>
        <w:t>accepting</w:t>
      </w:r>
      <w:r w:rsidR="006B6676">
        <w:rPr>
          <w:sz w:val="22"/>
          <w:szCs w:val="22"/>
          <w:lang w:val="en-GB"/>
        </w:rPr>
        <w:t xml:space="preserve"> </w:t>
      </w:r>
      <w:r>
        <w:rPr>
          <w:sz w:val="22"/>
          <w:szCs w:val="22"/>
          <w:lang w:val="en-GB"/>
        </w:rPr>
        <w:t>orders</w:t>
      </w:r>
      <w:r w:rsidR="006B6676">
        <w:rPr>
          <w:sz w:val="22"/>
          <w:szCs w:val="22"/>
          <w:lang w:val="en-GB"/>
        </w:rPr>
        <w:t xml:space="preserve"> </w:t>
      </w:r>
      <w:r w:rsidRPr="00F26A3E">
        <w:rPr>
          <w:sz w:val="22"/>
          <w:szCs w:val="22"/>
          <w:lang w:val="en-GB"/>
        </w:rPr>
        <w:t>on</w:t>
      </w:r>
      <w:r w:rsidR="006B6676">
        <w:rPr>
          <w:sz w:val="22"/>
          <w:szCs w:val="22"/>
          <w:lang w:val="en-GB"/>
        </w:rPr>
        <w:t xml:space="preserve"> </w:t>
      </w:r>
      <w:r w:rsidRPr="00F26A3E">
        <w:rPr>
          <w:sz w:val="22"/>
          <w:szCs w:val="22"/>
          <w:lang w:val="en-GB"/>
        </w:rPr>
        <w:t>January</w:t>
      </w:r>
      <w:r w:rsidR="006B6676">
        <w:rPr>
          <w:sz w:val="22"/>
          <w:szCs w:val="22"/>
          <w:lang w:val="en-GB"/>
        </w:rPr>
        <w:t xml:space="preserve"> </w:t>
      </w:r>
      <w:r w:rsidRPr="00F26A3E">
        <w:rPr>
          <w:sz w:val="22"/>
          <w:szCs w:val="22"/>
          <w:lang w:val="en-GB"/>
        </w:rPr>
        <w:t>1,</w:t>
      </w:r>
      <w:r w:rsidR="006B6676">
        <w:rPr>
          <w:sz w:val="22"/>
          <w:szCs w:val="22"/>
          <w:lang w:val="en-GB"/>
        </w:rPr>
        <w:t xml:space="preserve"> </w:t>
      </w:r>
      <w:r w:rsidRPr="00F26A3E">
        <w:rPr>
          <w:sz w:val="22"/>
          <w:szCs w:val="22"/>
          <w:lang w:val="en-GB"/>
        </w:rPr>
        <w:t>2020</w:t>
      </w:r>
      <w:r>
        <w:rPr>
          <w:sz w:val="22"/>
          <w:szCs w:val="22"/>
          <w:lang w:val="en-GB"/>
        </w:rPr>
        <w:t>.</w:t>
      </w:r>
      <w:r w:rsidRPr="00F26A3E">
        <w:rPr>
          <w:sz w:val="22"/>
          <w:szCs w:val="22"/>
          <w:vertAlign w:val="superscript"/>
          <w:lang w:val="en-GB"/>
        </w:rPr>
        <w:endnoteReference w:id="108"/>
      </w:r>
    </w:p>
    <w:p w14:paraId="293EB8BC" w14:textId="77777777" w:rsidR="00CA6A0D" w:rsidRPr="00F26A3E" w:rsidRDefault="00CA6A0D" w:rsidP="00B607FC">
      <w:pPr>
        <w:jc w:val="both"/>
        <w:rPr>
          <w:sz w:val="22"/>
          <w:szCs w:val="22"/>
          <w:lang w:val="en-GB"/>
        </w:rPr>
      </w:pPr>
    </w:p>
    <w:p w14:paraId="6641D9F0" w14:textId="5B3CD712" w:rsidR="00B607FC" w:rsidRPr="00F26A3E" w:rsidRDefault="00CA6A0D" w:rsidP="007C2757">
      <w:pPr>
        <w:pStyle w:val="BodyTextMain"/>
        <w:rPr>
          <w:lang w:val="en-GB"/>
        </w:rPr>
      </w:pPr>
      <w:r w:rsidRPr="00F26A3E">
        <w:rPr>
          <w:lang w:val="en-GB"/>
        </w:rPr>
        <w:t>Jawa</w:t>
      </w:r>
      <w:r w:rsidR="006B6676">
        <w:rPr>
          <w:lang w:val="en-GB"/>
        </w:rPr>
        <w:t xml:space="preserve"> </w:t>
      </w:r>
      <w:r w:rsidRPr="00F26A3E">
        <w:rPr>
          <w:lang w:val="en-GB"/>
        </w:rPr>
        <w:t>motorcycles</w:t>
      </w:r>
      <w:r w:rsidR="006B6676">
        <w:rPr>
          <w:lang w:val="en-GB"/>
        </w:rPr>
        <w:t xml:space="preserve"> </w:t>
      </w:r>
      <w:r w:rsidRPr="00F26A3E">
        <w:rPr>
          <w:lang w:val="en-GB"/>
        </w:rPr>
        <w:t>were</w:t>
      </w:r>
      <w:r w:rsidR="006B6676">
        <w:rPr>
          <w:lang w:val="en-GB"/>
        </w:rPr>
        <w:t xml:space="preserve"> </w:t>
      </w:r>
      <w:r>
        <w:rPr>
          <w:lang w:val="en-GB"/>
        </w:rPr>
        <w:t>hailed</w:t>
      </w:r>
      <w:r w:rsidR="006B6676">
        <w:rPr>
          <w:lang w:val="en-GB"/>
        </w:rPr>
        <w:t xml:space="preserve"> </w:t>
      </w:r>
      <w:r>
        <w:rPr>
          <w:lang w:val="en-GB"/>
        </w:rPr>
        <w:t>as</w:t>
      </w:r>
      <w:r w:rsidR="006B6676">
        <w:rPr>
          <w:lang w:val="en-GB"/>
        </w:rPr>
        <w:t xml:space="preserve"> </w:t>
      </w:r>
      <w:r>
        <w:rPr>
          <w:lang w:val="en-GB"/>
        </w:rPr>
        <w:t>attractive</w:t>
      </w:r>
      <w:r w:rsidR="006B6676">
        <w:rPr>
          <w:lang w:val="en-GB"/>
        </w:rPr>
        <w:t xml:space="preserve"> </w:t>
      </w:r>
      <w:r>
        <w:rPr>
          <w:lang w:val="en-GB"/>
        </w:rPr>
        <w:t>and</w:t>
      </w:r>
      <w:r w:rsidR="006B6676">
        <w:rPr>
          <w:lang w:val="en-GB"/>
        </w:rPr>
        <w:t xml:space="preserve"> </w:t>
      </w:r>
      <w:r w:rsidRPr="00F26A3E">
        <w:rPr>
          <w:lang w:val="en-GB"/>
        </w:rPr>
        <w:t>tastefully</w:t>
      </w:r>
      <w:r>
        <w:rPr>
          <w:lang w:val="en-GB"/>
        </w:rPr>
        <w:t>-</w:t>
      </w:r>
      <w:r w:rsidRPr="00F26A3E">
        <w:rPr>
          <w:lang w:val="en-GB"/>
        </w:rPr>
        <w:t>designed</w:t>
      </w:r>
      <w:r w:rsidR="006B6676">
        <w:rPr>
          <w:lang w:val="en-GB"/>
        </w:rPr>
        <w:t xml:space="preserve"> </w:t>
      </w:r>
      <w:r>
        <w:rPr>
          <w:lang w:val="en-GB"/>
        </w:rPr>
        <w:t>two-wheelers</w:t>
      </w:r>
      <w:r w:rsidR="006B6676">
        <w:rPr>
          <w:lang w:val="en-GB"/>
        </w:rPr>
        <w:t xml:space="preserve"> </w:t>
      </w:r>
      <w:r>
        <w:rPr>
          <w:lang w:val="en-GB"/>
        </w:rPr>
        <w:t>with</w:t>
      </w:r>
      <w:r w:rsidR="006B6676">
        <w:rPr>
          <w:lang w:val="en-GB"/>
        </w:rPr>
        <w:t xml:space="preserve"> </w:t>
      </w:r>
      <w:r w:rsidRPr="00F26A3E">
        <w:rPr>
          <w:lang w:val="en-GB"/>
        </w:rPr>
        <w:t>modern</w:t>
      </w:r>
      <w:r w:rsidR="006B6676">
        <w:rPr>
          <w:lang w:val="en-GB"/>
        </w:rPr>
        <w:t xml:space="preserve"> </w:t>
      </w:r>
      <w:r w:rsidRPr="00F26A3E">
        <w:rPr>
          <w:lang w:val="en-GB"/>
        </w:rPr>
        <w:t>engine</w:t>
      </w:r>
      <w:r>
        <w:rPr>
          <w:lang w:val="en-GB"/>
        </w:rPr>
        <w:t>ering.</w:t>
      </w:r>
      <w:r w:rsidRPr="00F26A3E">
        <w:rPr>
          <w:vertAlign w:val="superscript"/>
          <w:lang w:val="en-GB"/>
        </w:rPr>
        <w:endnoteReference w:id="109"/>
      </w:r>
      <w:r w:rsidR="006B6676">
        <w:rPr>
          <w:lang w:val="en-GB"/>
        </w:rPr>
        <w:t xml:space="preserve"> </w:t>
      </w:r>
      <w:r>
        <w:rPr>
          <w:lang w:val="en-GB"/>
        </w:rPr>
        <w:t>The</w:t>
      </w:r>
      <w:r w:rsidR="006B6676">
        <w:rPr>
          <w:lang w:val="en-GB"/>
        </w:rPr>
        <w:t xml:space="preserve"> </w:t>
      </w:r>
      <w:r>
        <w:rPr>
          <w:lang w:val="en-GB"/>
        </w:rPr>
        <w:t>Jawa</w:t>
      </w:r>
      <w:r w:rsidR="006B6676">
        <w:rPr>
          <w:lang w:val="en-GB"/>
        </w:rPr>
        <w:t xml:space="preserve"> </w:t>
      </w:r>
      <w:r>
        <w:rPr>
          <w:lang w:val="en-GB"/>
        </w:rPr>
        <w:t>Perak</w:t>
      </w:r>
      <w:r w:rsidR="006B6676">
        <w:rPr>
          <w:lang w:val="en-GB"/>
        </w:rPr>
        <w:t xml:space="preserve"> </w:t>
      </w:r>
      <w:r>
        <w:rPr>
          <w:lang w:val="en-GB"/>
        </w:rPr>
        <w:t>price</w:t>
      </w:r>
      <w:r w:rsidR="006B6676">
        <w:rPr>
          <w:lang w:val="en-GB"/>
        </w:rPr>
        <w:t xml:space="preserve"> </w:t>
      </w:r>
      <w:r>
        <w:rPr>
          <w:lang w:val="en-GB"/>
        </w:rPr>
        <w:t>tag</w:t>
      </w:r>
      <w:r w:rsidR="006B6676">
        <w:rPr>
          <w:lang w:val="en-GB"/>
        </w:rPr>
        <w:t xml:space="preserve"> </w:t>
      </w:r>
      <w:r>
        <w:rPr>
          <w:lang w:val="en-GB"/>
        </w:rPr>
        <w:t>of</w:t>
      </w:r>
      <w:r w:rsidR="006B6676">
        <w:rPr>
          <w:lang w:val="en-GB"/>
        </w:rPr>
        <w:t xml:space="preserve"> </w:t>
      </w:r>
      <w:r>
        <w:rPr>
          <w:lang w:val="en-GB"/>
        </w:rPr>
        <w:t>₹</w:t>
      </w:r>
      <w:r w:rsidRPr="00F26A3E">
        <w:rPr>
          <w:lang w:val="en-GB"/>
        </w:rPr>
        <w:t>194,500</w:t>
      </w:r>
      <w:r w:rsidR="006B6676">
        <w:rPr>
          <w:lang w:val="en-GB"/>
        </w:rPr>
        <w:t xml:space="preserve"> </w:t>
      </w:r>
      <w:r w:rsidRPr="00F26A3E">
        <w:rPr>
          <w:lang w:val="en-GB"/>
        </w:rPr>
        <w:t>was</w:t>
      </w:r>
      <w:r w:rsidR="006B6676">
        <w:rPr>
          <w:lang w:val="en-GB"/>
        </w:rPr>
        <w:t xml:space="preserve"> </w:t>
      </w:r>
      <w:r>
        <w:rPr>
          <w:lang w:val="en-GB"/>
        </w:rPr>
        <w:t>approximately</w:t>
      </w:r>
      <w:r w:rsidR="006B6676">
        <w:rPr>
          <w:lang w:val="en-GB"/>
        </w:rPr>
        <w:t xml:space="preserve"> </w:t>
      </w:r>
      <w:r>
        <w:rPr>
          <w:lang w:val="en-GB"/>
        </w:rPr>
        <w:t>₹30,000</w:t>
      </w:r>
      <w:r w:rsidR="006B6676">
        <w:rPr>
          <w:lang w:val="en-GB"/>
        </w:rPr>
        <w:t xml:space="preserve"> </w:t>
      </w:r>
      <w:r>
        <w:rPr>
          <w:lang w:val="en-GB"/>
        </w:rPr>
        <w:t>higher</w:t>
      </w:r>
      <w:r w:rsidR="006B6676">
        <w:rPr>
          <w:lang w:val="en-GB"/>
        </w:rPr>
        <w:t xml:space="preserve"> </w:t>
      </w:r>
      <w:r w:rsidRPr="00F26A3E">
        <w:rPr>
          <w:lang w:val="en-GB"/>
        </w:rPr>
        <w:t>than</w:t>
      </w:r>
      <w:r w:rsidR="006B6676">
        <w:rPr>
          <w:lang w:val="en-GB"/>
        </w:rPr>
        <w:t xml:space="preserve"> </w:t>
      </w:r>
      <w:r w:rsidRPr="00F26A3E">
        <w:rPr>
          <w:lang w:val="en-GB"/>
        </w:rPr>
        <w:t>Royal</w:t>
      </w:r>
      <w:r w:rsidR="006B6676">
        <w:rPr>
          <w:lang w:val="en-GB"/>
        </w:rPr>
        <w:t xml:space="preserve"> </w:t>
      </w:r>
      <w:r w:rsidRPr="00F26A3E">
        <w:rPr>
          <w:lang w:val="en-GB"/>
        </w:rPr>
        <w:t>Enfield</w:t>
      </w:r>
      <w:r>
        <w:rPr>
          <w:lang w:val="en-GB"/>
        </w:rPr>
        <w:t>’s</w:t>
      </w:r>
      <w:r w:rsidR="006B6676">
        <w:rPr>
          <w:lang w:val="en-GB"/>
        </w:rPr>
        <w:t xml:space="preserve"> </w:t>
      </w:r>
      <w:r w:rsidRPr="00F26A3E">
        <w:rPr>
          <w:lang w:val="en-GB"/>
        </w:rPr>
        <w:t>Classic</w:t>
      </w:r>
      <w:r w:rsidR="006B6676">
        <w:rPr>
          <w:lang w:val="en-GB"/>
        </w:rPr>
        <w:t xml:space="preserve"> </w:t>
      </w:r>
      <w:r w:rsidRPr="00F26A3E">
        <w:rPr>
          <w:lang w:val="en-GB"/>
        </w:rPr>
        <w:t>350</w:t>
      </w:r>
      <w:r>
        <w:rPr>
          <w:lang w:val="en-GB"/>
        </w:rPr>
        <w:t>.</w:t>
      </w:r>
      <w:r w:rsidRPr="00F26A3E">
        <w:rPr>
          <w:vertAlign w:val="superscript"/>
          <w:lang w:val="en-GB"/>
        </w:rPr>
        <w:endnoteReference w:id="110"/>
      </w:r>
      <w:r w:rsidR="006B6676">
        <w:rPr>
          <w:lang w:val="en-GB"/>
        </w:rPr>
        <w:t xml:space="preserve"> </w:t>
      </w:r>
      <w:r w:rsidRPr="00F26A3E">
        <w:rPr>
          <w:lang w:val="en-GB"/>
        </w:rPr>
        <w:t>The</w:t>
      </w:r>
      <w:r w:rsidR="006B6676">
        <w:rPr>
          <w:lang w:val="en-GB"/>
        </w:rPr>
        <w:t xml:space="preserve"> </w:t>
      </w:r>
      <w:r w:rsidRPr="00F26A3E">
        <w:rPr>
          <w:lang w:val="en-GB"/>
        </w:rPr>
        <w:t>price</w:t>
      </w:r>
      <w:r w:rsidR="006B6676">
        <w:rPr>
          <w:lang w:val="en-GB"/>
        </w:rPr>
        <w:t xml:space="preserve"> </w:t>
      </w:r>
      <w:r w:rsidRPr="00F26A3E">
        <w:rPr>
          <w:lang w:val="en-GB"/>
        </w:rPr>
        <w:t>difference</w:t>
      </w:r>
      <w:r w:rsidR="006B6676">
        <w:rPr>
          <w:lang w:val="en-GB"/>
        </w:rPr>
        <w:t xml:space="preserve"> </w:t>
      </w:r>
      <w:r w:rsidRPr="00F26A3E">
        <w:rPr>
          <w:lang w:val="en-GB"/>
        </w:rPr>
        <w:t>between</w:t>
      </w:r>
      <w:r w:rsidR="006B6676">
        <w:rPr>
          <w:lang w:val="en-GB"/>
        </w:rPr>
        <w:t xml:space="preserve"> </w:t>
      </w:r>
      <w:r w:rsidRPr="00F26A3E">
        <w:rPr>
          <w:lang w:val="en-GB"/>
        </w:rPr>
        <w:t>Royal</w:t>
      </w:r>
      <w:r w:rsidR="006B6676">
        <w:rPr>
          <w:lang w:val="en-GB"/>
        </w:rPr>
        <w:t xml:space="preserve"> </w:t>
      </w:r>
      <w:r w:rsidRPr="00F26A3E">
        <w:rPr>
          <w:lang w:val="en-GB"/>
        </w:rPr>
        <w:t>Enfield</w:t>
      </w:r>
      <w:r>
        <w:rPr>
          <w:lang w:val="en-GB"/>
        </w:rPr>
        <w:t>’s</w:t>
      </w:r>
      <w:r w:rsidR="006B6676">
        <w:rPr>
          <w:lang w:val="en-GB"/>
        </w:rPr>
        <w:t xml:space="preserve"> </w:t>
      </w:r>
      <w:r w:rsidRPr="00F26A3E">
        <w:rPr>
          <w:lang w:val="en-GB"/>
        </w:rPr>
        <w:t>Bullet</w:t>
      </w:r>
      <w:r w:rsidR="006B6676">
        <w:rPr>
          <w:lang w:val="en-GB"/>
        </w:rPr>
        <w:t xml:space="preserve"> </w:t>
      </w:r>
      <w:r w:rsidRPr="00F26A3E">
        <w:rPr>
          <w:lang w:val="en-GB"/>
        </w:rPr>
        <w:t>and</w:t>
      </w:r>
      <w:r w:rsidR="006B6676">
        <w:rPr>
          <w:lang w:val="en-GB"/>
        </w:rPr>
        <w:t xml:space="preserve"> </w:t>
      </w:r>
      <w:r>
        <w:rPr>
          <w:lang w:val="en-GB"/>
        </w:rPr>
        <w:t>the</w:t>
      </w:r>
      <w:r w:rsidR="006B6676">
        <w:rPr>
          <w:lang w:val="en-GB"/>
        </w:rPr>
        <w:t xml:space="preserve"> </w:t>
      </w:r>
      <w:r>
        <w:rPr>
          <w:lang w:val="en-GB"/>
        </w:rPr>
        <w:t>earlier</w:t>
      </w:r>
      <w:r w:rsidR="006B6676">
        <w:rPr>
          <w:lang w:val="en-GB"/>
        </w:rPr>
        <w:t xml:space="preserve"> </w:t>
      </w:r>
      <w:r w:rsidRPr="00F26A3E">
        <w:rPr>
          <w:lang w:val="en-GB"/>
        </w:rPr>
        <w:t>Jawa</w:t>
      </w:r>
      <w:r w:rsidR="006B6676">
        <w:rPr>
          <w:lang w:val="en-GB"/>
        </w:rPr>
        <w:t xml:space="preserve"> </w:t>
      </w:r>
      <w:r>
        <w:rPr>
          <w:lang w:val="en-GB"/>
        </w:rPr>
        <w:t>model</w:t>
      </w:r>
      <w:r w:rsidR="006B6676">
        <w:rPr>
          <w:lang w:val="en-GB"/>
        </w:rPr>
        <w:t xml:space="preserve"> </w:t>
      </w:r>
      <w:r w:rsidRPr="00F26A3E">
        <w:rPr>
          <w:lang w:val="en-GB"/>
        </w:rPr>
        <w:t>was</w:t>
      </w:r>
      <w:r w:rsidR="006B6676">
        <w:rPr>
          <w:lang w:val="en-GB"/>
        </w:rPr>
        <w:t xml:space="preserve"> </w:t>
      </w:r>
      <w:r w:rsidRPr="00F26A3E">
        <w:rPr>
          <w:lang w:val="en-GB"/>
        </w:rPr>
        <w:t>even</w:t>
      </w:r>
      <w:r w:rsidR="006B6676">
        <w:rPr>
          <w:lang w:val="en-GB"/>
        </w:rPr>
        <w:t xml:space="preserve"> </w:t>
      </w:r>
      <w:r>
        <w:rPr>
          <w:lang w:val="en-GB"/>
        </w:rPr>
        <w:t>greater,</w:t>
      </w:r>
      <w:r w:rsidR="006B6676">
        <w:rPr>
          <w:lang w:val="en-GB"/>
        </w:rPr>
        <w:t xml:space="preserve"> </w:t>
      </w:r>
      <w:r w:rsidR="00A93740">
        <w:rPr>
          <w:lang w:val="en-GB"/>
        </w:rPr>
        <w:t>at</w:t>
      </w:r>
      <w:r w:rsidR="006B6676">
        <w:rPr>
          <w:lang w:val="en-GB"/>
        </w:rPr>
        <w:t xml:space="preserve"> </w:t>
      </w:r>
      <w:r w:rsidR="00A93740">
        <w:rPr>
          <w:lang w:val="en-GB"/>
        </w:rPr>
        <w:t>a</w:t>
      </w:r>
      <w:r w:rsidR="006B6676">
        <w:rPr>
          <w:lang w:val="en-GB"/>
        </w:rPr>
        <w:t xml:space="preserve"> </w:t>
      </w:r>
      <w:r>
        <w:rPr>
          <w:lang w:val="en-GB"/>
        </w:rPr>
        <w:t>difference</w:t>
      </w:r>
      <w:r w:rsidR="006B6676">
        <w:rPr>
          <w:lang w:val="en-GB"/>
        </w:rPr>
        <w:t xml:space="preserve"> </w:t>
      </w:r>
      <w:r>
        <w:rPr>
          <w:lang w:val="en-GB"/>
        </w:rPr>
        <w:t>of</w:t>
      </w:r>
      <w:r w:rsidR="006B6676">
        <w:rPr>
          <w:lang w:val="en-GB"/>
        </w:rPr>
        <w:t xml:space="preserve"> </w:t>
      </w:r>
      <w:r>
        <w:rPr>
          <w:lang w:val="en-GB"/>
        </w:rPr>
        <w:t>over</w:t>
      </w:r>
      <w:r w:rsidR="006B6676">
        <w:rPr>
          <w:lang w:val="en-GB"/>
        </w:rPr>
        <w:t xml:space="preserve"> </w:t>
      </w:r>
      <w:r>
        <w:rPr>
          <w:lang w:val="en-GB"/>
        </w:rPr>
        <w:t>₹</w:t>
      </w:r>
      <w:r w:rsidRPr="00F26A3E">
        <w:rPr>
          <w:lang w:val="en-GB"/>
        </w:rPr>
        <w:t>40,000</w:t>
      </w:r>
      <w:r>
        <w:rPr>
          <w:lang w:val="en-GB"/>
        </w:rPr>
        <w:t>.</w:t>
      </w:r>
      <w:r w:rsidRPr="00F26A3E">
        <w:rPr>
          <w:vertAlign w:val="superscript"/>
          <w:lang w:val="en-GB"/>
        </w:rPr>
        <w:endnoteReference w:id="111"/>
      </w:r>
      <w:r w:rsidR="006B6676">
        <w:rPr>
          <w:lang w:val="en-GB"/>
        </w:rPr>
        <w:t xml:space="preserve"> </w:t>
      </w:r>
      <w:r w:rsidRPr="00F26A3E">
        <w:rPr>
          <w:lang w:val="en-GB"/>
        </w:rPr>
        <w:t>Both</w:t>
      </w:r>
      <w:r w:rsidR="006B6676">
        <w:rPr>
          <w:lang w:val="en-GB"/>
        </w:rPr>
        <w:t xml:space="preserve"> </w:t>
      </w:r>
      <w:r w:rsidRPr="00F26A3E">
        <w:rPr>
          <w:lang w:val="en-GB"/>
        </w:rPr>
        <w:t>Bullet</w:t>
      </w:r>
      <w:r w:rsidR="006B6676">
        <w:rPr>
          <w:lang w:val="en-GB"/>
        </w:rPr>
        <w:t xml:space="preserve"> </w:t>
      </w:r>
      <w:r w:rsidRPr="00F26A3E">
        <w:rPr>
          <w:lang w:val="en-GB"/>
        </w:rPr>
        <w:t>350</w:t>
      </w:r>
      <w:r w:rsidR="006B6676">
        <w:rPr>
          <w:lang w:val="en-GB"/>
        </w:rPr>
        <w:t xml:space="preserve"> </w:t>
      </w:r>
      <w:r w:rsidRPr="00F26A3E">
        <w:rPr>
          <w:lang w:val="en-GB"/>
        </w:rPr>
        <w:t>and</w:t>
      </w:r>
      <w:r w:rsidR="006B6676">
        <w:rPr>
          <w:lang w:val="en-GB"/>
        </w:rPr>
        <w:t xml:space="preserve"> </w:t>
      </w:r>
      <w:r w:rsidRPr="00F26A3E">
        <w:rPr>
          <w:lang w:val="en-GB"/>
        </w:rPr>
        <w:t>Classic</w:t>
      </w:r>
      <w:r w:rsidR="006B6676">
        <w:rPr>
          <w:lang w:val="en-GB"/>
        </w:rPr>
        <w:t xml:space="preserve"> </w:t>
      </w:r>
      <w:r w:rsidRPr="00F26A3E">
        <w:rPr>
          <w:lang w:val="en-GB"/>
        </w:rPr>
        <w:t>350</w:t>
      </w:r>
      <w:r w:rsidR="006B6676">
        <w:rPr>
          <w:lang w:val="en-GB"/>
        </w:rPr>
        <w:t xml:space="preserve"> </w:t>
      </w:r>
      <w:r w:rsidRPr="00F26A3E">
        <w:rPr>
          <w:lang w:val="en-GB"/>
        </w:rPr>
        <w:t>had</w:t>
      </w:r>
      <w:r w:rsidR="006B6676">
        <w:rPr>
          <w:lang w:val="en-GB"/>
        </w:rPr>
        <w:t xml:space="preserve"> </w:t>
      </w:r>
      <w:r w:rsidRPr="00F26A3E">
        <w:rPr>
          <w:lang w:val="en-GB"/>
        </w:rPr>
        <w:t>an</w:t>
      </w:r>
      <w:r w:rsidR="006B6676">
        <w:rPr>
          <w:lang w:val="en-GB"/>
        </w:rPr>
        <w:t xml:space="preserve"> </w:t>
      </w:r>
      <w:r w:rsidRPr="00F26A3E">
        <w:rPr>
          <w:lang w:val="en-GB"/>
        </w:rPr>
        <w:t>engine</w:t>
      </w:r>
      <w:r w:rsidR="006B6676">
        <w:rPr>
          <w:lang w:val="en-GB"/>
        </w:rPr>
        <w:t xml:space="preserve"> </w:t>
      </w:r>
      <w:r w:rsidRPr="00F26A3E">
        <w:rPr>
          <w:lang w:val="en-GB"/>
        </w:rPr>
        <w:t>displacement</w:t>
      </w:r>
      <w:r w:rsidR="006B6676">
        <w:rPr>
          <w:lang w:val="en-GB"/>
        </w:rPr>
        <w:t xml:space="preserve"> </w:t>
      </w:r>
      <w:r w:rsidRPr="00F26A3E">
        <w:rPr>
          <w:lang w:val="en-GB"/>
        </w:rPr>
        <w:t>of</w:t>
      </w:r>
      <w:r w:rsidR="006B6676">
        <w:rPr>
          <w:lang w:val="en-GB"/>
        </w:rPr>
        <w:t xml:space="preserve"> </w:t>
      </w:r>
      <w:r w:rsidRPr="00F26A3E">
        <w:rPr>
          <w:lang w:val="en-GB"/>
        </w:rPr>
        <w:t>346cc</w:t>
      </w:r>
      <w:r>
        <w:rPr>
          <w:lang w:val="en-GB"/>
        </w:rPr>
        <w:t>,</w:t>
      </w:r>
      <w:r w:rsidR="006B6676">
        <w:rPr>
          <w:lang w:val="en-GB"/>
        </w:rPr>
        <w:t xml:space="preserve"> </w:t>
      </w:r>
      <w:r>
        <w:rPr>
          <w:lang w:val="en-GB"/>
        </w:rPr>
        <w:t>compared</w:t>
      </w:r>
      <w:r w:rsidR="006B6676">
        <w:rPr>
          <w:lang w:val="en-GB"/>
        </w:rPr>
        <w:t xml:space="preserve"> </w:t>
      </w:r>
      <w:r>
        <w:rPr>
          <w:lang w:val="en-GB"/>
        </w:rPr>
        <w:t>to</w:t>
      </w:r>
      <w:r w:rsidR="006B6676">
        <w:rPr>
          <w:lang w:val="en-GB"/>
        </w:rPr>
        <w:t xml:space="preserve"> </w:t>
      </w:r>
      <w:r>
        <w:rPr>
          <w:lang w:val="en-GB"/>
        </w:rPr>
        <w:t>the</w:t>
      </w:r>
      <w:r w:rsidR="006B6676">
        <w:rPr>
          <w:lang w:val="en-GB"/>
        </w:rPr>
        <w:t xml:space="preserve"> </w:t>
      </w:r>
      <w:r w:rsidRPr="00F26A3E">
        <w:rPr>
          <w:lang w:val="en-GB"/>
        </w:rPr>
        <w:t>Jawa</w:t>
      </w:r>
      <w:r w:rsidR="006B6676">
        <w:rPr>
          <w:lang w:val="en-GB"/>
        </w:rPr>
        <w:t xml:space="preserve"> </w:t>
      </w:r>
      <w:r>
        <w:rPr>
          <w:lang w:val="en-GB"/>
        </w:rPr>
        <w:t>engine</w:t>
      </w:r>
      <w:r w:rsidR="006B6676">
        <w:rPr>
          <w:lang w:val="en-GB"/>
        </w:rPr>
        <w:t xml:space="preserve"> </w:t>
      </w:r>
      <w:r>
        <w:rPr>
          <w:lang w:val="en-GB"/>
        </w:rPr>
        <w:t>size</w:t>
      </w:r>
      <w:r w:rsidR="006B6676">
        <w:rPr>
          <w:lang w:val="en-GB"/>
        </w:rPr>
        <w:t xml:space="preserve"> </w:t>
      </w:r>
      <w:r>
        <w:rPr>
          <w:lang w:val="en-GB"/>
        </w:rPr>
        <w:t>of</w:t>
      </w:r>
      <w:r w:rsidR="006B6676">
        <w:rPr>
          <w:lang w:val="en-GB"/>
        </w:rPr>
        <w:t xml:space="preserve"> </w:t>
      </w:r>
      <w:r>
        <w:rPr>
          <w:lang w:val="en-GB"/>
        </w:rPr>
        <w:t>293</w:t>
      </w:r>
      <w:r w:rsidR="006B6676">
        <w:rPr>
          <w:lang w:val="en-GB"/>
        </w:rPr>
        <w:t xml:space="preserve"> </w:t>
      </w:r>
      <w:r>
        <w:rPr>
          <w:lang w:val="en-GB"/>
        </w:rPr>
        <w:t>cc</w:t>
      </w:r>
      <w:r w:rsidR="006B6676">
        <w:rPr>
          <w:lang w:val="en-GB"/>
        </w:rPr>
        <w:t xml:space="preserve"> </w:t>
      </w:r>
      <w:r w:rsidRPr="00F26A3E">
        <w:rPr>
          <w:lang w:val="en-GB"/>
        </w:rPr>
        <w:t>and</w:t>
      </w:r>
      <w:r w:rsidR="006B6676">
        <w:rPr>
          <w:lang w:val="en-GB"/>
        </w:rPr>
        <w:t xml:space="preserve"> </w:t>
      </w:r>
      <w:r w:rsidRPr="00F26A3E">
        <w:rPr>
          <w:lang w:val="en-GB"/>
        </w:rPr>
        <w:t>Jawa</w:t>
      </w:r>
      <w:r w:rsidR="006B6676">
        <w:rPr>
          <w:lang w:val="en-GB"/>
        </w:rPr>
        <w:t xml:space="preserve"> </w:t>
      </w:r>
      <w:r w:rsidRPr="00F26A3E">
        <w:rPr>
          <w:lang w:val="en-GB"/>
        </w:rPr>
        <w:t>Perak</w:t>
      </w:r>
      <w:r w:rsidR="006B6676">
        <w:rPr>
          <w:lang w:val="en-GB"/>
        </w:rPr>
        <w:t xml:space="preserve"> </w:t>
      </w:r>
      <w:r>
        <w:rPr>
          <w:lang w:val="en-GB"/>
        </w:rPr>
        <w:t>at</w:t>
      </w:r>
      <w:r w:rsidR="006B6676">
        <w:rPr>
          <w:lang w:val="en-GB"/>
        </w:rPr>
        <w:t xml:space="preserve"> </w:t>
      </w:r>
      <w:r w:rsidRPr="00F26A3E">
        <w:rPr>
          <w:lang w:val="en-GB"/>
        </w:rPr>
        <w:t>334cc.</w:t>
      </w:r>
      <w:r w:rsidR="006B6676">
        <w:rPr>
          <w:lang w:val="en-GB"/>
        </w:rPr>
        <w:t xml:space="preserve"> </w:t>
      </w:r>
      <w:r w:rsidRPr="00F26A3E">
        <w:rPr>
          <w:lang w:val="en-GB"/>
        </w:rPr>
        <w:t>Affordability</w:t>
      </w:r>
      <w:r w:rsidR="006B6676">
        <w:rPr>
          <w:lang w:val="en-GB"/>
        </w:rPr>
        <w:t xml:space="preserve"> </w:t>
      </w:r>
      <w:r w:rsidRPr="00F26A3E">
        <w:rPr>
          <w:lang w:val="en-GB"/>
        </w:rPr>
        <w:lastRenderedPageBreak/>
        <w:t>was</w:t>
      </w:r>
      <w:r w:rsidR="006B6676">
        <w:rPr>
          <w:lang w:val="en-GB"/>
        </w:rPr>
        <w:t xml:space="preserve"> </w:t>
      </w:r>
      <w:r>
        <w:rPr>
          <w:lang w:val="en-GB"/>
        </w:rPr>
        <w:t>definitely</w:t>
      </w:r>
      <w:r w:rsidR="006B6676">
        <w:rPr>
          <w:lang w:val="en-GB"/>
        </w:rPr>
        <w:t xml:space="preserve"> </w:t>
      </w:r>
      <w:r>
        <w:rPr>
          <w:lang w:val="en-GB"/>
        </w:rPr>
        <w:t>a</w:t>
      </w:r>
      <w:r w:rsidR="006B6676">
        <w:rPr>
          <w:lang w:val="en-GB"/>
        </w:rPr>
        <w:t xml:space="preserve"> </w:t>
      </w:r>
      <w:r w:rsidRPr="00F26A3E">
        <w:rPr>
          <w:lang w:val="en-GB"/>
        </w:rPr>
        <w:t>key</w:t>
      </w:r>
      <w:r w:rsidR="006B6676">
        <w:rPr>
          <w:lang w:val="en-GB"/>
        </w:rPr>
        <w:t xml:space="preserve"> </w:t>
      </w:r>
      <w:r w:rsidRPr="00F26A3E">
        <w:rPr>
          <w:lang w:val="en-GB"/>
        </w:rPr>
        <w:t>factor</w:t>
      </w:r>
      <w:r w:rsidR="006B6676">
        <w:rPr>
          <w:lang w:val="en-GB"/>
        </w:rPr>
        <w:t xml:space="preserve"> </w:t>
      </w:r>
      <w:r>
        <w:rPr>
          <w:lang w:val="en-GB"/>
        </w:rPr>
        <w:t>in</w:t>
      </w:r>
      <w:r w:rsidR="006B6676">
        <w:rPr>
          <w:lang w:val="en-GB"/>
        </w:rPr>
        <w:t xml:space="preserve"> </w:t>
      </w:r>
      <w:r w:rsidRPr="00F26A3E">
        <w:rPr>
          <w:lang w:val="en-GB"/>
        </w:rPr>
        <w:t>attract</w:t>
      </w:r>
      <w:r>
        <w:rPr>
          <w:lang w:val="en-GB"/>
        </w:rPr>
        <w:t>ing</w:t>
      </w:r>
      <w:r w:rsidR="006B6676">
        <w:rPr>
          <w:lang w:val="en-GB"/>
        </w:rPr>
        <w:t xml:space="preserve"> </w:t>
      </w:r>
      <w:r w:rsidRPr="00F26A3E">
        <w:rPr>
          <w:lang w:val="en-GB"/>
        </w:rPr>
        <w:t>customers</w:t>
      </w:r>
      <w:r w:rsidR="006B6676">
        <w:rPr>
          <w:lang w:val="en-GB"/>
        </w:rPr>
        <w:t xml:space="preserve"> </w:t>
      </w:r>
      <w:r w:rsidRPr="00F26A3E">
        <w:rPr>
          <w:lang w:val="en-GB"/>
        </w:rPr>
        <w:t>to</w:t>
      </w:r>
      <w:r w:rsidR="006B6676">
        <w:rPr>
          <w:lang w:val="en-GB"/>
        </w:rPr>
        <w:t xml:space="preserve"> </w:t>
      </w:r>
      <w:r w:rsidRPr="00F26A3E">
        <w:rPr>
          <w:lang w:val="en-GB"/>
        </w:rPr>
        <w:t>the</w:t>
      </w:r>
      <w:r w:rsidR="006B6676">
        <w:rPr>
          <w:lang w:val="en-GB"/>
        </w:rPr>
        <w:t xml:space="preserve"> </w:t>
      </w:r>
      <w:r w:rsidRPr="00F26A3E">
        <w:rPr>
          <w:lang w:val="en-GB"/>
        </w:rPr>
        <w:t>Royal</w:t>
      </w:r>
      <w:r w:rsidR="006B6676">
        <w:rPr>
          <w:lang w:val="en-GB"/>
        </w:rPr>
        <w:t xml:space="preserve"> </w:t>
      </w:r>
      <w:r w:rsidRPr="00F26A3E">
        <w:rPr>
          <w:lang w:val="en-GB"/>
        </w:rPr>
        <w:t>Enfield</w:t>
      </w:r>
      <w:r w:rsidR="006B6676">
        <w:rPr>
          <w:lang w:val="en-GB"/>
        </w:rPr>
        <w:t xml:space="preserve"> </w:t>
      </w:r>
      <w:r w:rsidRPr="00F26A3E">
        <w:rPr>
          <w:lang w:val="en-GB"/>
        </w:rPr>
        <w:t>brand</w:t>
      </w:r>
      <w:r>
        <w:rPr>
          <w:lang w:val="en-GB"/>
        </w:rPr>
        <w:t>.</w:t>
      </w:r>
      <w:r w:rsidRPr="00F26A3E">
        <w:rPr>
          <w:vertAlign w:val="superscript"/>
          <w:lang w:val="en-GB"/>
        </w:rPr>
        <w:endnoteReference w:id="112"/>
      </w:r>
      <w:r w:rsidR="006B6676">
        <w:rPr>
          <w:lang w:val="en-GB"/>
        </w:rPr>
        <w:t xml:space="preserve"> </w:t>
      </w:r>
      <w:r>
        <w:rPr>
          <w:lang w:val="en-GB"/>
        </w:rPr>
        <w:t>T</w:t>
      </w:r>
      <w:r w:rsidR="00534F8C">
        <w:rPr>
          <w:lang w:val="en-GB"/>
        </w:rPr>
        <w:t>he</w:t>
      </w:r>
      <w:r w:rsidR="006B6676">
        <w:rPr>
          <w:lang w:val="en-GB"/>
        </w:rPr>
        <w:t xml:space="preserve"> </w:t>
      </w:r>
      <w:r w:rsidR="00B607FC" w:rsidRPr="00F26A3E">
        <w:rPr>
          <w:lang w:val="en-GB"/>
        </w:rPr>
        <w:t>Jawa</w:t>
      </w:r>
      <w:r w:rsidR="006B6676">
        <w:rPr>
          <w:lang w:val="en-GB"/>
        </w:rPr>
        <w:t xml:space="preserve"> </w:t>
      </w:r>
      <w:r w:rsidR="00534F8C">
        <w:rPr>
          <w:lang w:val="en-GB"/>
        </w:rPr>
        <w:t>Forty</w:t>
      </w:r>
      <w:r w:rsidR="006B6676">
        <w:rPr>
          <w:lang w:val="en-GB"/>
        </w:rPr>
        <w:t xml:space="preserve"> </w:t>
      </w:r>
      <w:r w:rsidR="00534F8C">
        <w:rPr>
          <w:lang w:val="en-GB"/>
        </w:rPr>
        <w:t>Two</w:t>
      </w:r>
      <w:r w:rsidR="006B6676">
        <w:rPr>
          <w:lang w:val="en-GB"/>
        </w:rPr>
        <w:t xml:space="preserve"> </w:t>
      </w:r>
      <w:r w:rsidR="00534F8C">
        <w:rPr>
          <w:lang w:val="en-GB"/>
        </w:rPr>
        <w:t>provided</w:t>
      </w:r>
      <w:r w:rsidR="006B6676">
        <w:rPr>
          <w:lang w:val="en-GB"/>
        </w:rPr>
        <w:t xml:space="preserve"> </w:t>
      </w:r>
      <w:r w:rsidR="00534F8C">
        <w:rPr>
          <w:lang w:val="en-GB"/>
        </w:rPr>
        <w:t>the</w:t>
      </w:r>
      <w:r w:rsidR="006B6676">
        <w:rPr>
          <w:lang w:val="en-GB"/>
        </w:rPr>
        <w:t xml:space="preserve"> </w:t>
      </w:r>
      <w:r w:rsidR="00534F8C">
        <w:rPr>
          <w:lang w:val="en-GB"/>
        </w:rPr>
        <w:t>closest</w:t>
      </w:r>
      <w:r w:rsidR="006B6676">
        <w:rPr>
          <w:lang w:val="en-GB"/>
        </w:rPr>
        <w:t xml:space="preserve"> </w:t>
      </w:r>
      <w:r w:rsidR="00534F8C">
        <w:rPr>
          <w:lang w:val="en-GB"/>
        </w:rPr>
        <w:t>challenge</w:t>
      </w:r>
      <w:r w:rsidR="003A487A">
        <w:rPr>
          <w:lang w:val="en-GB"/>
        </w:rPr>
        <w:t>,</w:t>
      </w:r>
      <w:r w:rsidR="006B6676">
        <w:rPr>
          <w:lang w:val="en-GB"/>
        </w:rPr>
        <w:t xml:space="preserve"> </w:t>
      </w:r>
      <w:r w:rsidR="00B607FC" w:rsidRPr="00F26A3E">
        <w:rPr>
          <w:lang w:val="en-GB"/>
        </w:rPr>
        <w:t>with</w:t>
      </w:r>
      <w:r w:rsidR="006B6676">
        <w:rPr>
          <w:lang w:val="en-GB"/>
        </w:rPr>
        <w:t xml:space="preserve"> </w:t>
      </w:r>
      <w:r w:rsidR="00B607FC" w:rsidRPr="00F26A3E">
        <w:rPr>
          <w:lang w:val="en-GB"/>
        </w:rPr>
        <w:t>a</w:t>
      </w:r>
      <w:r w:rsidR="006B6676">
        <w:rPr>
          <w:lang w:val="en-GB"/>
        </w:rPr>
        <w:t xml:space="preserve"> </w:t>
      </w:r>
      <w:r w:rsidR="00B607FC" w:rsidRPr="00F26A3E">
        <w:rPr>
          <w:lang w:val="en-GB"/>
        </w:rPr>
        <w:t>price</w:t>
      </w:r>
      <w:r w:rsidR="006B6676">
        <w:rPr>
          <w:lang w:val="en-GB"/>
        </w:rPr>
        <w:t xml:space="preserve"> </w:t>
      </w:r>
      <w:r w:rsidR="00B607FC" w:rsidRPr="00F26A3E">
        <w:rPr>
          <w:lang w:val="en-GB"/>
        </w:rPr>
        <w:t>tag</w:t>
      </w:r>
      <w:r w:rsidR="006B6676">
        <w:rPr>
          <w:lang w:val="en-GB"/>
        </w:rPr>
        <w:t xml:space="preserve"> </w:t>
      </w:r>
      <w:r w:rsidR="00B607FC" w:rsidRPr="00F26A3E">
        <w:rPr>
          <w:lang w:val="en-GB"/>
        </w:rPr>
        <w:t>of</w:t>
      </w:r>
      <w:r w:rsidR="006B6676">
        <w:rPr>
          <w:lang w:val="en-GB"/>
        </w:rPr>
        <w:t xml:space="preserve"> </w:t>
      </w:r>
      <w:r w:rsidR="00534F8C">
        <w:rPr>
          <w:lang w:val="en-GB"/>
        </w:rPr>
        <w:t>₹</w:t>
      </w:r>
      <w:r w:rsidR="00B607FC" w:rsidRPr="00F26A3E">
        <w:rPr>
          <w:lang w:val="en-GB"/>
        </w:rPr>
        <w:t>155,000</w:t>
      </w:r>
      <w:r w:rsidR="00534F8C">
        <w:rPr>
          <w:lang w:val="en-GB"/>
        </w:rPr>
        <w:t>,</w:t>
      </w:r>
      <w:r w:rsidR="006B6676">
        <w:rPr>
          <w:lang w:val="en-GB"/>
        </w:rPr>
        <w:t xml:space="preserve"> </w:t>
      </w:r>
      <w:r w:rsidR="00534F8C">
        <w:rPr>
          <w:lang w:val="en-GB"/>
        </w:rPr>
        <w:t>which</w:t>
      </w:r>
      <w:r w:rsidR="006B6676">
        <w:rPr>
          <w:lang w:val="en-GB"/>
        </w:rPr>
        <w:t xml:space="preserve"> </w:t>
      </w:r>
      <w:r w:rsidR="003A487A">
        <w:rPr>
          <w:lang w:val="en-GB"/>
        </w:rPr>
        <w:t>fell</w:t>
      </w:r>
      <w:r w:rsidR="006B6676">
        <w:rPr>
          <w:lang w:val="en-GB"/>
        </w:rPr>
        <w:t xml:space="preserve"> </w:t>
      </w:r>
      <w:r w:rsidR="00534F8C">
        <w:rPr>
          <w:lang w:val="en-GB"/>
        </w:rPr>
        <w:t>within</w:t>
      </w:r>
      <w:r w:rsidR="006B6676">
        <w:rPr>
          <w:lang w:val="en-GB"/>
        </w:rPr>
        <w:t xml:space="preserve"> </w:t>
      </w:r>
      <w:r w:rsidR="00B607FC" w:rsidRPr="00F26A3E">
        <w:rPr>
          <w:lang w:val="en-GB"/>
        </w:rPr>
        <w:t>Royal</w:t>
      </w:r>
      <w:r w:rsidR="006B6676">
        <w:rPr>
          <w:lang w:val="en-GB"/>
        </w:rPr>
        <w:t xml:space="preserve"> </w:t>
      </w:r>
      <w:r w:rsidR="00B607FC" w:rsidRPr="00F26A3E">
        <w:rPr>
          <w:lang w:val="en-GB"/>
        </w:rPr>
        <w:t>Enfield’s</w:t>
      </w:r>
      <w:r w:rsidR="006B6676">
        <w:rPr>
          <w:lang w:val="en-GB"/>
        </w:rPr>
        <w:t xml:space="preserve"> </w:t>
      </w:r>
      <w:r w:rsidR="00B607FC" w:rsidRPr="00F26A3E">
        <w:rPr>
          <w:lang w:val="en-GB"/>
        </w:rPr>
        <w:t>pricing</w:t>
      </w:r>
      <w:r w:rsidR="006B6676">
        <w:rPr>
          <w:lang w:val="en-GB"/>
        </w:rPr>
        <w:t xml:space="preserve"> </w:t>
      </w:r>
      <w:r w:rsidR="00B607FC" w:rsidRPr="00F26A3E">
        <w:rPr>
          <w:lang w:val="en-GB"/>
        </w:rPr>
        <w:t>range</w:t>
      </w:r>
      <w:r w:rsidR="006B6676">
        <w:rPr>
          <w:lang w:val="en-GB"/>
        </w:rPr>
        <w:t xml:space="preserve"> </w:t>
      </w:r>
      <w:r w:rsidR="00534F8C">
        <w:rPr>
          <w:lang w:val="en-GB"/>
        </w:rPr>
        <w:t>(see</w:t>
      </w:r>
      <w:r w:rsidR="006B6676">
        <w:rPr>
          <w:lang w:val="en-GB"/>
        </w:rPr>
        <w:t xml:space="preserve"> </w:t>
      </w:r>
      <w:r w:rsidR="00534F8C">
        <w:rPr>
          <w:lang w:val="en-GB"/>
        </w:rPr>
        <w:t>Exhibits</w:t>
      </w:r>
      <w:r w:rsidR="006B6676">
        <w:rPr>
          <w:lang w:val="en-GB"/>
        </w:rPr>
        <w:t xml:space="preserve"> </w:t>
      </w:r>
      <w:r w:rsidR="00534F8C">
        <w:rPr>
          <w:lang w:val="en-GB"/>
        </w:rPr>
        <w:t>7A</w:t>
      </w:r>
      <w:r w:rsidR="006B6676">
        <w:rPr>
          <w:lang w:val="en-GB"/>
        </w:rPr>
        <w:t xml:space="preserve"> </w:t>
      </w:r>
      <w:r w:rsidR="00534F8C">
        <w:rPr>
          <w:lang w:val="en-GB"/>
        </w:rPr>
        <w:t>and</w:t>
      </w:r>
      <w:r w:rsidR="006B6676">
        <w:rPr>
          <w:lang w:val="en-GB"/>
        </w:rPr>
        <w:t xml:space="preserve"> </w:t>
      </w:r>
      <w:r w:rsidR="00534F8C">
        <w:rPr>
          <w:lang w:val="en-GB"/>
        </w:rPr>
        <w:t>7B)</w:t>
      </w:r>
      <w:r w:rsidR="00B607FC" w:rsidRPr="00F26A3E">
        <w:rPr>
          <w:lang w:val="en-GB"/>
        </w:rPr>
        <w:t>.</w:t>
      </w:r>
      <w:r w:rsidR="006B6676">
        <w:rPr>
          <w:lang w:val="en-GB"/>
        </w:rPr>
        <w:t xml:space="preserve"> </w:t>
      </w:r>
    </w:p>
    <w:p w14:paraId="0752BDA2" w14:textId="77777777" w:rsidR="00B607FC" w:rsidRPr="00F26A3E" w:rsidRDefault="00B607FC" w:rsidP="00B607FC">
      <w:pPr>
        <w:jc w:val="both"/>
        <w:rPr>
          <w:sz w:val="22"/>
          <w:szCs w:val="22"/>
          <w:lang w:val="en-GB"/>
        </w:rPr>
      </w:pPr>
    </w:p>
    <w:p w14:paraId="0C41A37B" w14:textId="5021DF84" w:rsidR="00B607FC" w:rsidRPr="00F26A3E" w:rsidRDefault="00B607FC" w:rsidP="00B607FC">
      <w:pPr>
        <w:jc w:val="both"/>
        <w:rPr>
          <w:sz w:val="22"/>
          <w:szCs w:val="22"/>
          <w:lang w:val="en-GB"/>
        </w:rPr>
      </w:pPr>
      <w:r w:rsidRPr="00F26A3E">
        <w:rPr>
          <w:sz w:val="22"/>
          <w:szCs w:val="22"/>
          <w:lang w:val="en-GB"/>
        </w:rPr>
        <w:t>With</w:t>
      </w:r>
      <w:r w:rsidR="006B6676">
        <w:rPr>
          <w:sz w:val="22"/>
          <w:szCs w:val="22"/>
          <w:lang w:val="en-GB"/>
        </w:rPr>
        <w:t xml:space="preserve"> </w:t>
      </w:r>
      <w:r w:rsidRPr="00F26A3E">
        <w:rPr>
          <w:sz w:val="22"/>
          <w:szCs w:val="22"/>
          <w:lang w:val="en-GB"/>
        </w:rPr>
        <w:t>the</w:t>
      </w:r>
      <w:r w:rsidR="006B6676">
        <w:rPr>
          <w:sz w:val="22"/>
          <w:szCs w:val="22"/>
          <w:lang w:val="en-GB"/>
        </w:rPr>
        <w:t xml:space="preserve"> </w:t>
      </w:r>
      <w:r w:rsidRPr="00F26A3E">
        <w:rPr>
          <w:sz w:val="22"/>
          <w:szCs w:val="22"/>
          <w:lang w:val="en-GB"/>
        </w:rPr>
        <w:t>launch</w:t>
      </w:r>
      <w:r w:rsidR="006B6676">
        <w:rPr>
          <w:sz w:val="22"/>
          <w:szCs w:val="22"/>
          <w:lang w:val="en-GB"/>
        </w:rPr>
        <w:t xml:space="preserve"> </w:t>
      </w:r>
      <w:r w:rsidRPr="00F26A3E">
        <w:rPr>
          <w:sz w:val="22"/>
          <w:szCs w:val="22"/>
          <w:lang w:val="en-GB"/>
        </w:rPr>
        <w:t>of</w:t>
      </w:r>
      <w:r w:rsidR="006B6676">
        <w:rPr>
          <w:sz w:val="22"/>
          <w:szCs w:val="22"/>
          <w:lang w:val="en-GB"/>
        </w:rPr>
        <w:t xml:space="preserve"> </w:t>
      </w:r>
      <w:r w:rsidR="003A487A">
        <w:rPr>
          <w:sz w:val="22"/>
          <w:szCs w:val="22"/>
          <w:lang w:val="en-GB"/>
        </w:rPr>
        <w:t>the</w:t>
      </w:r>
      <w:r w:rsidR="006B6676">
        <w:rPr>
          <w:sz w:val="22"/>
          <w:szCs w:val="22"/>
          <w:lang w:val="en-GB"/>
        </w:rPr>
        <w:t xml:space="preserve"> </w:t>
      </w:r>
      <w:r w:rsidRPr="00F26A3E">
        <w:rPr>
          <w:sz w:val="22"/>
          <w:szCs w:val="22"/>
          <w:lang w:val="en-GB"/>
        </w:rPr>
        <w:t>Jawa</w:t>
      </w:r>
      <w:r w:rsidR="006B6676">
        <w:rPr>
          <w:sz w:val="22"/>
          <w:szCs w:val="22"/>
          <w:lang w:val="en-GB"/>
        </w:rPr>
        <w:t xml:space="preserve"> </w:t>
      </w:r>
      <w:r w:rsidR="003A487A">
        <w:rPr>
          <w:sz w:val="22"/>
          <w:szCs w:val="22"/>
          <w:lang w:val="en-GB"/>
        </w:rPr>
        <w:t>brand</w:t>
      </w:r>
      <w:r w:rsidR="006B6676">
        <w:rPr>
          <w:sz w:val="22"/>
          <w:szCs w:val="22"/>
          <w:lang w:val="en-GB"/>
        </w:rPr>
        <w:t xml:space="preserve"> </w:t>
      </w:r>
      <w:r w:rsidR="003A487A">
        <w:rPr>
          <w:sz w:val="22"/>
          <w:szCs w:val="22"/>
          <w:lang w:val="en-GB"/>
        </w:rPr>
        <w:t>of</w:t>
      </w:r>
      <w:r w:rsidR="006B6676">
        <w:rPr>
          <w:sz w:val="22"/>
          <w:szCs w:val="22"/>
          <w:lang w:val="en-GB"/>
        </w:rPr>
        <w:t xml:space="preserve"> </w:t>
      </w:r>
      <w:r w:rsidRPr="00F26A3E">
        <w:rPr>
          <w:sz w:val="22"/>
          <w:szCs w:val="22"/>
          <w:lang w:val="en-GB"/>
        </w:rPr>
        <w:t>motorcycles,</w:t>
      </w:r>
      <w:r w:rsidR="006B6676">
        <w:rPr>
          <w:sz w:val="22"/>
          <w:szCs w:val="22"/>
          <w:lang w:val="en-GB"/>
        </w:rPr>
        <w:t xml:space="preserve"> </w:t>
      </w:r>
      <w:r w:rsidRPr="00F26A3E">
        <w:rPr>
          <w:sz w:val="22"/>
          <w:szCs w:val="22"/>
          <w:lang w:val="en-GB"/>
        </w:rPr>
        <w:t>M</w:t>
      </w:r>
      <w:r w:rsidR="00C8370F">
        <w:rPr>
          <w:sz w:val="22"/>
          <w:szCs w:val="22"/>
          <w:lang w:val="en-GB"/>
        </w:rPr>
        <w:t>ahindra</w:t>
      </w:r>
      <w:r w:rsidR="006B6676">
        <w:rPr>
          <w:sz w:val="22"/>
          <w:szCs w:val="22"/>
          <w:lang w:val="en-GB"/>
        </w:rPr>
        <w:t xml:space="preserve"> </w:t>
      </w:r>
      <w:r w:rsidR="00534F8C">
        <w:rPr>
          <w:sz w:val="22"/>
          <w:szCs w:val="22"/>
          <w:lang w:val="en-GB"/>
        </w:rPr>
        <w:t>presented</w:t>
      </w:r>
      <w:r w:rsidR="006B6676">
        <w:rPr>
          <w:sz w:val="22"/>
          <w:szCs w:val="22"/>
          <w:lang w:val="en-GB"/>
        </w:rPr>
        <w:t xml:space="preserve"> </w:t>
      </w:r>
      <w:r w:rsidR="00534F8C">
        <w:rPr>
          <w:sz w:val="22"/>
          <w:szCs w:val="22"/>
          <w:lang w:val="en-GB"/>
        </w:rPr>
        <w:t>a</w:t>
      </w:r>
      <w:r w:rsidR="006B6676">
        <w:rPr>
          <w:sz w:val="22"/>
          <w:szCs w:val="22"/>
          <w:lang w:val="en-GB"/>
        </w:rPr>
        <w:t xml:space="preserve"> </w:t>
      </w:r>
      <w:r w:rsidR="00534F8C">
        <w:rPr>
          <w:sz w:val="22"/>
          <w:szCs w:val="22"/>
          <w:lang w:val="en-GB"/>
        </w:rPr>
        <w:t>serious</w:t>
      </w:r>
      <w:r w:rsidR="006B6676">
        <w:rPr>
          <w:sz w:val="22"/>
          <w:szCs w:val="22"/>
          <w:lang w:val="en-GB"/>
        </w:rPr>
        <w:t xml:space="preserve"> </w:t>
      </w:r>
      <w:r w:rsidRPr="00F26A3E">
        <w:rPr>
          <w:sz w:val="22"/>
          <w:szCs w:val="22"/>
          <w:lang w:val="en-GB"/>
        </w:rPr>
        <w:t>challenge</w:t>
      </w:r>
      <w:r w:rsidR="006B6676">
        <w:rPr>
          <w:sz w:val="22"/>
          <w:szCs w:val="22"/>
          <w:lang w:val="en-GB"/>
        </w:rPr>
        <w:t xml:space="preserve"> </w:t>
      </w:r>
      <w:r w:rsidR="00534F8C">
        <w:rPr>
          <w:sz w:val="22"/>
          <w:szCs w:val="22"/>
          <w:lang w:val="en-GB"/>
        </w:rPr>
        <w:t>to</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Pr="00F26A3E">
        <w:rPr>
          <w:sz w:val="22"/>
          <w:szCs w:val="22"/>
          <w:lang w:val="en-GB"/>
        </w:rPr>
        <w:t>in</w:t>
      </w:r>
      <w:r w:rsidR="006B6676">
        <w:rPr>
          <w:sz w:val="22"/>
          <w:szCs w:val="22"/>
          <w:lang w:val="en-GB"/>
        </w:rPr>
        <w:t xml:space="preserve"> </w:t>
      </w:r>
      <w:r w:rsidR="00534F8C">
        <w:rPr>
          <w:sz w:val="22"/>
          <w:szCs w:val="22"/>
          <w:lang w:val="en-GB"/>
        </w:rPr>
        <w:t>India’s</w:t>
      </w:r>
      <w:r w:rsidR="006B6676">
        <w:rPr>
          <w:sz w:val="22"/>
          <w:szCs w:val="22"/>
          <w:lang w:val="en-GB"/>
        </w:rPr>
        <w:t xml:space="preserve"> </w:t>
      </w:r>
      <w:r w:rsidRPr="00F26A3E">
        <w:rPr>
          <w:sz w:val="22"/>
          <w:szCs w:val="22"/>
          <w:lang w:val="en-GB"/>
        </w:rPr>
        <w:t>niche</w:t>
      </w:r>
      <w:r w:rsidR="006B6676">
        <w:rPr>
          <w:sz w:val="22"/>
          <w:szCs w:val="22"/>
          <w:lang w:val="en-GB"/>
        </w:rPr>
        <w:t xml:space="preserve"> </w:t>
      </w:r>
      <w:r w:rsidRPr="00F26A3E">
        <w:rPr>
          <w:sz w:val="22"/>
          <w:szCs w:val="22"/>
          <w:lang w:val="en-GB"/>
        </w:rPr>
        <w:t>250</w:t>
      </w:r>
      <w:r w:rsidR="00534F8C">
        <w:rPr>
          <w:sz w:val="22"/>
          <w:szCs w:val="22"/>
          <w:lang w:val="en-GB"/>
        </w:rPr>
        <w:t>–</w:t>
      </w:r>
      <w:r w:rsidRPr="00F26A3E">
        <w:rPr>
          <w:sz w:val="22"/>
          <w:szCs w:val="22"/>
          <w:lang w:val="en-GB"/>
        </w:rPr>
        <w:t>750cc</w:t>
      </w:r>
      <w:r w:rsidR="006B6676">
        <w:rPr>
          <w:sz w:val="22"/>
          <w:szCs w:val="22"/>
          <w:lang w:val="en-GB"/>
        </w:rPr>
        <w:t xml:space="preserve"> </w:t>
      </w:r>
      <w:r w:rsidRPr="00F26A3E">
        <w:rPr>
          <w:sz w:val="22"/>
          <w:szCs w:val="22"/>
          <w:lang w:val="en-GB"/>
        </w:rPr>
        <w:t>motorcycle</w:t>
      </w:r>
      <w:r w:rsidR="006B6676">
        <w:rPr>
          <w:sz w:val="22"/>
          <w:szCs w:val="22"/>
          <w:lang w:val="en-GB"/>
        </w:rPr>
        <w:t xml:space="preserve"> </w:t>
      </w:r>
      <w:r w:rsidRPr="00F26A3E">
        <w:rPr>
          <w:sz w:val="22"/>
          <w:szCs w:val="22"/>
          <w:lang w:val="en-GB"/>
        </w:rPr>
        <w:t>segment.</w:t>
      </w:r>
      <w:r w:rsidR="006B6676">
        <w:rPr>
          <w:sz w:val="22"/>
          <w:szCs w:val="22"/>
          <w:lang w:val="en-GB"/>
        </w:rPr>
        <w:t xml:space="preserve"> </w:t>
      </w:r>
      <w:r w:rsidR="00534F8C">
        <w:rPr>
          <w:sz w:val="22"/>
          <w:szCs w:val="22"/>
          <w:lang w:val="en-GB"/>
        </w:rPr>
        <w:t>The</w:t>
      </w:r>
      <w:r w:rsidR="006B6676">
        <w:rPr>
          <w:sz w:val="22"/>
          <w:szCs w:val="22"/>
          <w:lang w:val="en-GB"/>
        </w:rPr>
        <w:t xml:space="preserve"> </w:t>
      </w:r>
      <w:r w:rsidR="00534F8C">
        <w:rPr>
          <w:sz w:val="22"/>
          <w:szCs w:val="22"/>
          <w:lang w:val="en-GB"/>
        </w:rPr>
        <w:t>US</w:t>
      </w:r>
      <w:r w:rsidR="006B6676">
        <w:rPr>
          <w:sz w:val="22"/>
          <w:szCs w:val="22"/>
          <w:lang w:val="en-GB"/>
        </w:rPr>
        <w:t xml:space="preserve"> </w:t>
      </w:r>
      <w:r w:rsidR="00534F8C">
        <w:rPr>
          <w:sz w:val="22"/>
          <w:szCs w:val="22"/>
          <w:lang w:val="en-GB"/>
        </w:rPr>
        <w:t>giant</w:t>
      </w:r>
      <w:r w:rsidR="006B6676">
        <w:rPr>
          <w:sz w:val="22"/>
          <w:szCs w:val="22"/>
          <w:lang w:val="en-GB"/>
        </w:rPr>
        <w:t xml:space="preserve"> </w:t>
      </w:r>
      <w:r w:rsidRPr="00F26A3E">
        <w:rPr>
          <w:sz w:val="22"/>
          <w:szCs w:val="22"/>
          <w:lang w:val="en-GB"/>
        </w:rPr>
        <w:t>Harley</w:t>
      </w:r>
      <w:r w:rsidR="003A487A">
        <w:rPr>
          <w:sz w:val="22"/>
          <w:szCs w:val="22"/>
          <w:lang w:val="en-GB"/>
        </w:rPr>
        <w:t>-</w:t>
      </w:r>
      <w:r w:rsidRPr="00F26A3E">
        <w:rPr>
          <w:sz w:val="22"/>
          <w:szCs w:val="22"/>
          <w:lang w:val="en-GB"/>
        </w:rPr>
        <w:t>Davidson</w:t>
      </w:r>
      <w:r w:rsidR="006B6676">
        <w:rPr>
          <w:sz w:val="22"/>
          <w:szCs w:val="22"/>
          <w:lang w:val="en-GB"/>
        </w:rPr>
        <w:t xml:space="preserve"> </w:t>
      </w:r>
      <w:r w:rsidRPr="00F26A3E">
        <w:rPr>
          <w:sz w:val="22"/>
          <w:szCs w:val="22"/>
          <w:lang w:val="en-GB"/>
        </w:rPr>
        <w:t>was</w:t>
      </w:r>
      <w:r w:rsidR="006B6676">
        <w:rPr>
          <w:sz w:val="22"/>
          <w:szCs w:val="22"/>
          <w:lang w:val="en-GB"/>
        </w:rPr>
        <w:t xml:space="preserve"> </w:t>
      </w:r>
      <w:r w:rsidR="003A487A">
        <w:rPr>
          <w:sz w:val="22"/>
          <w:szCs w:val="22"/>
          <w:lang w:val="en-GB"/>
        </w:rPr>
        <w:t>also</w:t>
      </w:r>
      <w:r w:rsidR="006B6676">
        <w:rPr>
          <w:sz w:val="22"/>
          <w:szCs w:val="22"/>
          <w:lang w:val="en-GB"/>
        </w:rPr>
        <w:t xml:space="preserve"> </w:t>
      </w:r>
      <w:r w:rsidR="00534F8C">
        <w:rPr>
          <w:sz w:val="22"/>
          <w:szCs w:val="22"/>
          <w:lang w:val="en-GB"/>
        </w:rPr>
        <w:t>actively</w:t>
      </w:r>
      <w:r w:rsidR="006B6676">
        <w:rPr>
          <w:sz w:val="22"/>
          <w:szCs w:val="22"/>
          <w:lang w:val="en-GB"/>
        </w:rPr>
        <w:t xml:space="preserve"> </w:t>
      </w:r>
      <w:r w:rsidR="00534F8C">
        <w:rPr>
          <w:sz w:val="22"/>
          <w:szCs w:val="22"/>
          <w:lang w:val="en-GB"/>
        </w:rPr>
        <w:t>seeking</w:t>
      </w:r>
      <w:r w:rsidR="006B6676">
        <w:rPr>
          <w:sz w:val="22"/>
          <w:szCs w:val="22"/>
          <w:lang w:val="en-GB"/>
        </w:rPr>
        <w:t xml:space="preserve"> </w:t>
      </w:r>
      <w:r w:rsidRPr="00F26A3E">
        <w:rPr>
          <w:sz w:val="22"/>
          <w:szCs w:val="22"/>
          <w:lang w:val="en-GB"/>
        </w:rPr>
        <w:t>a</w:t>
      </w:r>
      <w:r w:rsidR="006B6676">
        <w:rPr>
          <w:sz w:val="22"/>
          <w:szCs w:val="22"/>
          <w:lang w:val="en-GB"/>
        </w:rPr>
        <w:t xml:space="preserve"> </w:t>
      </w:r>
      <w:r w:rsidRPr="00F26A3E">
        <w:rPr>
          <w:sz w:val="22"/>
          <w:szCs w:val="22"/>
          <w:lang w:val="en-GB"/>
        </w:rPr>
        <w:t>partner</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00534F8C">
        <w:rPr>
          <w:sz w:val="22"/>
          <w:szCs w:val="22"/>
          <w:lang w:val="en-GB"/>
        </w:rPr>
        <w:t>enter</w:t>
      </w:r>
      <w:r w:rsidR="006B6676">
        <w:rPr>
          <w:sz w:val="22"/>
          <w:szCs w:val="22"/>
          <w:lang w:val="en-GB"/>
        </w:rPr>
        <w:t xml:space="preserve"> </w:t>
      </w:r>
      <w:r w:rsidR="00534F8C">
        <w:rPr>
          <w:sz w:val="22"/>
          <w:szCs w:val="22"/>
          <w:lang w:val="en-GB"/>
        </w:rPr>
        <w:t>the</w:t>
      </w:r>
      <w:r w:rsidR="006B6676">
        <w:rPr>
          <w:sz w:val="22"/>
          <w:szCs w:val="22"/>
          <w:lang w:val="en-GB"/>
        </w:rPr>
        <w:t xml:space="preserve"> </w:t>
      </w:r>
      <w:r w:rsidR="00534F8C">
        <w:rPr>
          <w:sz w:val="22"/>
          <w:szCs w:val="22"/>
          <w:lang w:val="en-GB"/>
        </w:rPr>
        <w:t>mid-sized</w:t>
      </w:r>
      <w:r w:rsidR="006B6676">
        <w:rPr>
          <w:sz w:val="22"/>
          <w:szCs w:val="22"/>
          <w:lang w:val="en-GB"/>
        </w:rPr>
        <w:t xml:space="preserve"> </w:t>
      </w:r>
      <w:r w:rsidR="00534F8C">
        <w:rPr>
          <w:sz w:val="22"/>
          <w:szCs w:val="22"/>
          <w:lang w:val="en-GB"/>
        </w:rPr>
        <w:t>motorcycle</w:t>
      </w:r>
      <w:r w:rsidR="006B6676">
        <w:rPr>
          <w:sz w:val="22"/>
          <w:szCs w:val="22"/>
          <w:lang w:val="en-GB"/>
        </w:rPr>
        <w:t xml:space="preserve"> </w:t>
      </w:r>
      <w:r w:rsidR="00534F8C">
        <w:rPr>
          <w:sz w:val="22"/>
          <w:szCs w:val="22"/>
          <w:lang w:val="en-GB"/>
        </w:rPr>
        <w:t>segment</w:t>
      </w:r>
      <w:r w:rsidR="003A487A">
        <w:rPr>
          <w:sz w:val="22"/>
          <w:szCs w:val="22"/>
          <w:lang w:val="en-GB"/>
        </w:rPr>
        <w:t>,</w:t>
      </w:r>
      <w:r w:rsidR="006B6676">
        <w:rPr>
          <w:sz w:val="22"/>
          <w:szCs w:val="22"/>
          <w:lang w:val="en-GB"/>
        </w:rPr>
        <w:t xml:space="preserve"> </w:t>
      </w:r>
      <w:r w:rsidR="003A487A">
        <w:rPr>
          <w:sz w:val="22"/>
          <w:szCs w:val="22"/>
          <w:lang w:val="en-GB"/>
        </w:rPr>
        <w:t>which</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00534F8C">
        <w:rPr>
          <w:sz w:val="22"/>
          <w:szCs w:val="22"/>
          <w:lang w:val="en-GB"/>
        </w:rPr>
        <w:t>currently</w:t>
      </w:r>
      <w:r w:rsidR="006B6676">
        <w:rPr>
          <w:sz w:val="22"/>
          <w:szCs w:val="22"/>
          <w:lang w:val="en-GB"/>
        </w:rPr>
        <w:t xml:space="preserve"> </w:t>
      </w:r>
      <w:r w:rsidR="00534F8C">
        <w:rPr>
          <w:sz w:val="22"/>
          <w:szCs w:val="22"/>
          <w:lang w:val="en-GB"/>
        </w:rPr>
        <w:t>dominated</w:t>
      </w:r>
      <w:r w:rsidRPr="00F26A3E">
        <w:rPr>
          <w:sz w:val="22"/>
          <w:szCs w:val="22"/>
          <w:lang w:val="en-GB"/>
        </w:rPr>
        <w:t>.</w:t>
      </w:r>
      <w:r w:rsidR="006B6676">
        <w:rPr>
          <w:sz w:val="22"/>
          <w:szCs w:val="22"/>
          <w:lang w:val="en-GB"/>
        </w:rPr>
        <w:t xml:space="preserve"> </w:t>
      </w:r>
      <w:r w:rsidRPr="00F26A3E">
        <w:rPr>
          <w:sz w:val="22"/>
          <w:szCs w:val="22"/>
          <w:lang w:val="en-GB"/>
        </w:rPr>
        <w:t>What</w:t>
      </w:r>
      <w:r w:rsidR="006B6676">
        <w:rPr>
          <w:sz w:val="22"/>
          <w:szCs w:val="22"/>
          <w:lang w:val="en-GB"/>
        </w:rPr>
        <w:t xml:space="preserve"> </w:t>
      </w:r>
      <w:r w:rsidRPr="00F26A3E">
        <w:rPr>
          <w:sz w:val="22"/>
          <w:szCs w:val="22"/>
          <w:lang w:val="en-GB"/>
        </w:rPr>
        <w:t>strategic</w:t>
      </w:r>
      <w:r w:rsidR="006B6676">
        <w:rPr>
          <w:sz w:val="22"/>
          <w:szCs w:val="22"/>
          <w:lang w:val="en-GB"/>
        </w:rPr>
        <w:t xml:space="preserve"> </w:t>
      </w:r>
      <w:r w:rsidRPr="00F26A3E">
        <w:rPr>
          <w:sz w:val="22"/>
          <w:szCs w:val="22"/>
          <w:lang w:val="en-GB"/>
        </w:rPr>
        <w:t>options</w:t>
      </w:r>
      <w:r w:rsidR="006B6676">
        <w:rPr>
          <w:sz w:val="22"/>
          <w:szCs w:val="22"/>
          <w:lang w:val="en-GB"/>
        </w:rPr>
        <w:t xml:space="preserve"> </w:t>
      </w:r>
      <w:r w:rsidR="00534F8C">
        <w:rPr>
          <w:sz w:val="22"/>
          <w:szCs w:val="22"/>
          <w:lang w:val="en-GB"/>
        </w:rPr>
        <w:t>did</w:t>
      </w:r>
      <w:r w:rsidR="006B6676">
        <w:rPr>
          <w:sz w:val="22"/>
          <w:szCs w:val="22"/>
          <w:lang w:val="en-GB"/>
        </w:rPr>
        <w:t xml:space="preserve"> </w:t>
      </w:r>
      <w:r w:rsidRPr="00F26A3E">
        <w:rPr>
          <w:sz w:val="22"/>
          <w:szCs w:val="22"/>
          <w:lang w:val="en-GB"/>
        </w:rPr>
        <w:t>Royal</w:t>
      </w:r>
      <w:r w:rsidR="006B6676">
        <w:rPr>
          <w:sz w:val="22"/>
          <w:szCs w:val="22"/>
          <w:lang w:val="en-GB"/>
        </w:rPr>
        <w:t xml:space="preserve"> </w:t>
      </w:r>
      <w:r w:rsidRPr="00F26A3E">
        <w:rPr>
          <w:sz w:val="22"/>
          <w:szCs w:val="22"/>
          <w:lang w:val="en-GB"/>
        </w:rPr>
        <w:t>Enfield</w:t>
      </w:r>
      <w:r w:rsidR="006B6676">
        <w:rPr>
          <w:sz w:val="22"/>
          <w:szCs w:val="22"/>
          <w:lang w:val="en-GB"/>
        </w:rPr>
        <w:t xml:space="preserve"> </w:t>
      </w:r>
      <w:r w:rsidR="00534F8C">
        <w:rPr>
          <w:sz w:val="22"/>
          <w:szCs w:val="22"/>
          <w:lang w:val="en-GB"/>
        </w:rPr>
        <w:t>have</w:t>
      </w:r>
      <w:r w:rsidR="006B6676">
        <w:rPr>
          <w:sz w:val="22"/>
          <w:szCs w:val="22"/>
          <w:lang w:val="en-GB"/>
        </w:rPr>
        <w:t xml:space="preserve"> </w:t>
      </w:r>
      <w:r w:rsidRPr="00F26A3E">
        <w:rPr>
          <w:sz w:val="22"/>
          <w:szCs w:val="22"/>
          <w:lang w:val="en-GB"/>
        </w:rPr>
        <w:t>to</w:t>
      </w:r>
      <w:r w:rsidR="006B6676">
        <w:rPr>
          <w:sz w:val="22"/>
          <w:szCs w:val="22"/>
          <w:lang w:val="en-GB"/>
        </w:rPr>
        <w:t xml:space="preserve"> </w:t>
      </w:r>
      <w:r w:rsidRPr="00F26A3E">
        <w:rPr>
          <w:sz w:val="22"/>
          <w:szCs w:val="22"/>
          <w:lang w:val="en-GB"/>
        </w:rPr>
        <w:t>maintain</w:t>
      </w:r>
      <w:r w:rsidR="006B6676">
        <w:rPr>
          <w:sz w:val="22"/>
          <w:szCs w:val="22"/>
          <w:lang w:val="en-GB"/>
        </w:rPr>
        <w:t xml:space="preserve"> </w:t>
      </w:r>
      <w:r w:rsidR="003A487A">
        <w:rPr>
          <w:sz w:val="22"/>
          <w:szCs w:val="22"/>
          <w:lang w:val="en-GB"/>
        </w:rPr>
        <w:t>its</w:t>
      </w:r>
      <w:r w:rsidR="006B6676">
        <w:rPr>
          <w:sz w:val="22"/>
          <w:szCs w:val="22"/>
          <w:lang w:val="en-GB"/>
        </w:rPr>
        <w:t xml:space="preserve"> </w:t>
      </w:r>
      <w:r w:rsidR="00534F8C">
        <w:rPr>
          <w:sz w:val="22"/>
          <w:szCs w:val="22"/>
          <w:lang w:val="en-GB"/>
        </w:rPr>
        <w:t>un</w:t>
      </w:r>
      <w:r w:rsidRPr="00F26A3E">
        <w:rPr>
          <w:sz w:val="22"/>
          <w:szCs w:val="22"/>
          <w:lang w:val="en-GB"/>
        </w:rPr>
        <w:t>matche</w:t>
      </w:r>
      <w:r w:rsidR="00534F8C">
        <w:rPr>
          <w:sz w:val="22"/>
          <w:szCs w:val="22"/>
          <w:lang w:val="en-GB"/>
        </w:rPr>
        <w:t>d</w:t>
      </w:r>
      <w:r w:rsidR="006B6676">
        <w:rPr>
          <w:sz w:val="22"/>
          <w:szCs w:val="22"/>
          <w:lang w:val="en-GB"/>
        </w:rPr>
        <w:t xml:space="preserve"> </w:t>
      </w:r>
      <w:r w:rsidRPr="00F26A3E">
        <w:rPr>
          <w:sz w:val="22"/>
          <w:szCs w:val="22"/>
          <w:lang w:val="en-GB"/>
        </w:rPr>
        <w:t>growth</w:t>
      </w:r>
      <w:r w:rsidR="006B6676">
        <w:rPr>
          <w:sz w:val="22"/>
          <w:szCs w:val="22"/>
          <w:lang w:val="en-GB"/>
        </w:rPr>
        <w:t xml:space="preserve"> </w:t>
      </w:r>
      <w:r w:rsidRPr="00F26A3E">
        <w:rPr>
          <w:sz w:val="22"/>
          <w:szCs w:val="22"/>
          <w:lang w:val="en-GB"/>
        </w:rPr>
        <w:t>and</w:t>
      </w:r>
      <w:r w:rsidR="006B6676">
        <w:rPr>
          <w:sz w:val="22"/>
          <w:szCs w:val="22"/>
          <w:lang w:val="en-GB"/>
        </w:rPr>
        <w:t xml:space="preserve"> </w:t>
      </w:r>
      <w:r w:rsidR="00534F8C">
        <w:rPr>
          <w:sz w:val="22"/>
          <w:szCs w:val="22"/>
          <w:lang w:val="en-GB"/>
        </w:rPr>
        <w:t>market</w:t>
      </w:r>
      <w:r w:rsidR="006B6676">
        <w:rPr>
          <w:sz w:val="22"/>
          <w:szCs w:val="22"/>
          <w:lang w:val="en-GB"/>
        </w:rPr>
        <w:t xml:space="preserve"> </w:t>
      </w:r>
      <w:r w:rsidR="00534F8C">
        <w:rPr>
          <w:sz w:val="22"/>
          <w:szCs w:val="22"/>
          <w:lang w:val="en-GB"/>
        </w:rPr>
        <w:t>leadership</w:t>
      </w:r>
      <w:r w:rsidRPr="00F26A3E">
        <w:rPr>
          <w:sz w:val="22"/>
          <w:szCs w:val="22"/>
          <w:lang w:val="en-GB"/>
        </w:rPr>
        <w:t>?</w:t>
      </w:r>
      <w:r w:rsidR="006B6676">
        <w:rPr>
          <w:sz w:val="22"/>
          <w:szCs w:val="22"/>
          <w:lang w:val="en-GB"/>
        </w:rPr>
        <w:t xml:space="preserve"> </w:t>
      </w:r>
    </w:p>
    <w:p w14:paraId="4D295EEE" w14:textId="77777777" w:rsidR="00B607FC" w:rsidRPr="00F26A3E" w:rsidRDefault="00B607FC">
      <w:pPr>
        <w:spacing w:after="200" w:line="276" w:lineRule="auto"/>
        <w:rPr>
          <w:sz w:val="22"/>
          <w:szCs w:val="22"/>
          <w:lang w:val="en-GB"/>
        </w:rPr>
      </w:pPr>
      <w:r w:rsidRPr="00F26A3E">
        <w:rPr>
          <w:sz w:val="22"/>
          <w:szCs w:val="22"/>
          <w:lang w:val="en-GB"/>
        </w:rPr>
        <w:br w:type="page"/>
      </w:r>
    </w:p>
    <w:p w14:paraId="472BA19C" w14:textId="4CF8DFE0" w:rsidR="00B607FC" w:rsidRPr="00F26A3E" w:rsidRDefault="00B607FC" w:rsidP="00B607FC">
      <w:pPr>
        <w:jc w:val="center"/>
        <w:rPr>
          <w:rFonts w:ascii="Arial" w:hAnsi="Arial" w:cs="Arial"/>
          <w:b/>
          <w:caps/>
          <w:lang w:val="en-GB"/>
        </w:rPr>
      </w:pPr>
      <w:r w:rsidRPr="00F26A3E">
        <w:rPr>
          <w:rFonts w:ascii="Arial" w:hAnsi="Arial" w:cs="Arial"/>
          <w:b/>
          <w:caps/>
          <w:lang w:val="en-GB"/>
        </w:rPr>
        <w:lastRenderedPageBreak/>
        <w:t>Exhibit</w:t>
      </w:r>
      <w:r w:rsidR="006B6676">
        <w:rPr>
          <w:rFonts w:ascii="Arial" w:hAnsi="Arial" w:cs="Arial"/>
          <w:b/>
          <w:caps/>
          <w:lang w:val="en-GB"/>
        </w:rPr>
        <w:t xml:space="preserve"> </w:t>
      </w:r>
      <w:r w:rsidRPr="00F26A3E">
        <w:rPr>
          <w:rFonts w:ascii="Arial" w:hAnsi="Arial" w:cs="Arial"/>
          <w:b/>
          <w:caps/>
          <w:lang w:val="en-GB"/>
        </w:rPr>
        <w:t>1:</w:t>
      </w:r>
      <w:r w:rsidR="006B6676">
        <w:rPr>
          <w:rFonts w:ascii="Arial" w:hAnsi="Arial" w:cs="Arial"/>
          <w:b/>
          <w:caps/>
          <w:lang w:val="en-GB"/>
        </w:rPr>
        <w:t xml:space="preserve"> </w:t>
      </w:r>
      <w:r w:rsidRPr="00F26A3E">
        <w:rPr>
          <w:rFonts w:ascii="Arial" w:hAnsi="Arial" w:cs="Arial"/>
          <w:b/>
          <w:caps/>
          <w:lang w:val="en-GB"/>
        </w:rPr>
        <w:t>Unit</w:t>
      </w:r>
      <w:r w:rsidR="006B6676">
        <w:rPr>
          <w:rFonts w:ascii="Arial" w:hAnsi="Arial" w:cs="Arial"/>
          <w:b/>
          <w:caps/>
          <w:lang w:val="en-GB"/>
        </w:rPr>
        <w:t xml:space="preserve"> </w:t>
      </w:r>
      <w:r w:rsidRPr="00F26A3E">
        <w:rPr>
          <w:rFonts w:ascii="Arial" w:hAnsi="Arial" w:cs="Arial"/>
          <w:b/>
          <w:caps/>
          <w:lang w:val="en-GB"/>
        </w:rPr>
        <w:t>Sales</w:t>
      </w:r>
      <w:r w:rsidR="006B6676">
        <w:rPr>
          <w:rFonts w:ascii="Arial" w:hAnsi="Arial" w:cs="Arial"/>
          <w:b/>
          <w:caps/>
          <w:lang w:val="en-GB"/>
        </w:rPr>
        <w:t xml:space="preserve"> </w:t>
      </w:r>
      <w:r w:rsidRPr="00F26A3E">
        <w:rPr>
          <w:rFonts w:ascii="Arial" w:hAnsi="Arial" w:cs="Arial"/>
          <w:b/>
          <w:caps/>
          <w:lang w:val="en-GB"/>
        </w:rPr>
        <w:t>of</w:t>
      </w:r>
      <w:r w:rsidR="006B6676">
        <w:rPr>
          <w:rFonts w:ascii="Arial" w:hAnsi="Arial" w:cs="Arial"/>
          <w:b/>
          <w:caps/>
          <w:lang w:val="en-GB"/>
        </w:rPr>
        <w:t xml:space="preserve"> </w:t>
      </w:r>
      <w:r w:rsidRPr="00F26A3E">
        <w:rPr>
          <w:rFonts w:ascii="Arial" w:hAnsi="Arial" w:cs="Arial"/>
          <w:b/>
          <w:caps/>
          <w:lang w:val="en-GB"/>
        </w:rPr>
        <w:t>Two</w:t>
      </w:r>
      <w:r w:rsidR="00B2768B">
        <w:rPr>
          <w:rFonts w:ascii="Arial" w:hAnsi="Arial" w:cs="Arial"/>
          <w:b/>
          <w:caps/>
          <w:lang w:val="en-GB"/>
        </w:rPr>
        <w:t>-</w:t>
      </w:r>
      <w:r w:rsidRPr="00F26A3E">
        <w:rPr>
          <w:rFonts w:ascii="Arial" w:hAnsi="Arial" w:cs="Arial"/>
          <w:b/>
          <w:caps/>
          <w:lang w:val="en-GB"/>
        </w:rPr>
        <w:t>Wheelers</w:t>
      </w:r>
      <w:r w:rsidR="006B6676">
        <w:rPr>
          <w:rFonts w:ascii="Arial" w:hAnsi="Arial" w:cs="Arial"/>
          <w:b/>
          <w:caps/>
          <w:lang w:val="en-GB"/>
        </w:rPr>
        <w:t xml:space="preserve"> </w:t>
      </w:r>
      <w:r w:rsidRPr="00F26A3E">
        <w:rPr>
          <w:rFonts w:ascii="Arial" w:hAnsi="Arial" w:cs="Arial"/>
          <w:b/>
          <w:caps/>
          <w:lang w:val="en-GB"/>
        </w:rPr>
        <w:t>and</w:t>
      </w:r>
      <w:r w:rsidR="006B6676">
        <w:rPr>
          <w:rFonts w:ascii="Arial" w:hAnsi="Arial" w:cs="Arial"/>
          <w:b/>
          <w:caps/>
          <w:lang w:val="en-GB"/>
        </w:rPr>
        <w:t xml:space="preserve"> </w:t>
      </w:r>
      <w:r w:rsidRPr="00F26A3E">
        <w:rPr>
          <w:rFonts w:ascii="Arial" w:hAnsi="Arial" w:cs="Arial"/>
          <w:b/>
          <w:caps/>
          <w:lang w:val="en-GB"/>
        </w:rPr>
        <w:t>Motorcycles</w:t>
      </w:r>
      <w:r w:rsidR="006B6676">
        <w:rPr>
          <w:rFonts w:ascii="Arial" w:hAnsi="Arial" w:cs="Arial"/>
          <w:b/>
          <w:caps/>
          <w:lang w:val="en-GB"/>
        </w:rPr>
        <w:t xml:space="preserve"> </w:t>
      </w:r>
      <w:r w:rsidR="00B2768B">
        <w:rPr>
          <w:rFonts w:ascii="Arial" w:hAnsi="Arial" w:cs="Arial"/>
          <w:b/>
          <w:caps/>
          <w:lang w:val="en-GB"/>
        </w:rPr>
        <w:t>in</w:t>
      </w:r>
      <w:r w:rsidR="006B6676">
        <w:rPr>
          <w:rFonts w:ascii="Arial" w:hAnsi="Arial" w:cs="Arial"/>
          <w:b/>
          <w:caps/>
          <w:lang w:val="en-GB"/>
        </w:rPr>
        <w:t xml:space="preserve"> </w:t>
      </w:r>
      <w:r w:rsidR="00B2768B">
        <w:rPr>
          <w:rFonts w:ascii="Arial" w:hAnsi="Arial" w:cs="Arial"/>
          <w:b/>
          <w:caps/>
          <w:lang w:val="en-GB"/>
        </w:rPr>
        <w:t>INdia</w:t>
      </w:r>
      <w:r w:rsidR="006B6676">
        <w:rPr>
          <w:rFonts w:ascii="Arial" w:hAnsi="Arial" w:cs="Arial"/>
          <w:b/>
          <w:caps/>
          <w:lang w:val="en-GB"/>
        </w:rPr>
        <w:t xml:space="preserve"> </w:t>
      </w:r>
      <w:r w:rsidRPr="00F26A3E">
        <w:rPr>
          <w:rFonts w:ascii="Arial" w:hAnsi="Arial" w:cs="Arial"/>
          <w:b/>
          <w:caps/>
          <w:lang w:val="en-GB"/>
        </w:rPr>
        <w:t>(2015</w:t>
      </w:r>
      <w:r w:rsidR="00B2768B">
        <w:rPr>
          <w:rFonts w:ascii="Arial" w:hAnsi="Arial" w:cs="Arial"/>
          <w:b/>
          <w:caps/>
          <w:lang w:val="en-GB"/>
        </w:rPr>
        <w:t>–</w:t>
      </w:r>
      <w:r w:rsidRPr="00F26A3E">
        <w:rPr>
          <w:rFonts w:ascii="Arial" w:hAnsi="Arial" w:cs="Arial"/>
          <w:b/>
          <w:caps/>
          <w:lang w:val="en-GB"/>
        </w:rPr>
        <w:t>19)</w:t>
      </w:r>
    </w:p>
    <w:p w14:paraId="6FE3ACA5" w14:textId="77777777" w:rsidR="00B607FC" w:rsidRPr="00F26A3E" w:rsidRDefault="00B607FC" w:rsidP="00B607FC">
      <w:pPr>
        <w:rPr>
          <w:b/>
          <w:lang w:val="en-GB"/>
        </w:rPr>
      </w:pPr>
    </w:p>
    <w:tbl>
      <w:tblPr>
        <w:tblW w:w="8620" w:type="dxa"/>
        <w:jc w:val="center"/>
        <w:tblLook w:val="04A0" w:firstRow="1" w:lastRow="0" w:firstColumn="1" w:lastColumn="0" w:noHBand="0" w:noVBand="1"/>
        <w:tblCaption w:val="EXHIBIT 1"/>
        <w:tblDescription w:val="UNIT SALES OF TWO-WHEELERS AND MOTORCYCLES IN INDIA (2015–19)"/>
      </w:tblPr>
      <w:tblGrid>
        <w:gridCol w:w="1460"/>
        <w:gridCol w:w="1970"/>
        <w:gridCol w:w="1709"/>
        <w:gridCol w:w="1817"/>
        <w:gridCol w:w="1664"/>
      </w:tblGrid>
      <w:tr w:rsidR="00B607FC" w:rsidRPr="00F26A3E" w14:paraId="3F1F4309" w14:textId="77777777" w:rsidTr="00F57EDA">
        <w:trPr>
          <w:trHeight w:val="60"/>
          <w:tblHeader/>
          <w:jc w:val="center"/>
        </w:trPr>
        <w:tc>
          <w:tcPr>
            <w:tcW w:w="1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C632104" w14:textId="6EF761F5" w:rsidR="00B607FC" w:rsidRPr="00F26A3E" w:rsidRDefault="006B6676" w:rsidP="00B607FC">
            <w:pPr>
              <w:rPr>
                <w:rFonts w:ascii="Arial" w:hAnsi="Arial" w:cs="Arial"/>
                <w:color w:val="000000"/>
                <w:lang w:val="en-GB"/>
              </w:rPr>
            </w:pPr>
            <w:r>
              <w:rPr>
                <w:rFonts w:ascii="Arial" w:hAnsi="Arial" w:cs="Arial"/>
                <w:color w:val="000000"/>
                <w:lang w:val="en-GB"/>
              </w:rPr>
              <w:t xml:space="preserve"> </w:t>
            </w:r>
          </w:p>
        </w:tc>
        <w:tc>
          <w:tcPr>
            <w:tcW w:w="3679" w:type="dxa"/>
            <w:gridSpan w:val="2"/>
            <w:tcBorders>
              <w:top w:val="single" w:sz="8" w:space="0" w:color="auto"/>
              <w:left w:val="nil"/>
              <w:bottom w:val="single" w:sz="4" w:space="0" w:color="auto"/>
              <w:right w:val="single" w:sz="4" w:space="0" w:color="000000"/>
            </w:tcBorders>
            <w:shd w:val="clear" w:color="auto" w:fill="auto"/>
            <w:noWrap/>
            <w:vAlign w:val="bottom"/>
            <w:hideMark/>
          </w:tcPr>
          <w:p w14:paraId="51F65FA8" w14:textId="4CEB5EE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Domestic</w:t>
            </w:r>
            <w:r w:rsidR="006B6676">
              <w:rPr>
                <w:rFonts w:ascii="Arial" w:hAnsi="Arial" w:cs="Arial"/>
                <w:b/>
                <w:bCs/>
                <w:color w:val="000000"/>
                <w:lang w:val="en-GB"/>
              </w:rPr>
              <w:t xml:space="preserve"> </w:t>
            </w:r>
            <w:r w:rsidRPr="00F26A3E">
              <w:rPr>
                <w:rFonts w:ascii="Arial" w:hAnsi="Arial" w:cs="Arial"/>
                <w:b/>
                <w:bCs/>
                <w:color w:val="000000"/>
                <w:lang w:val="en-GB"/>
              </w:rPr>
              <w:t>Sales</w:t>
            </w:r>
            <w:r w:rsidR="006B6676">
              <w:rPr>
                <w:rFonts w:ascii="Arial" w:hAnsi="Arial" w:cs="Arial"/>
                <w:b/>
                <w:bCs/>
                <w:color w:val="000000"/>
                <w:lang w:val="en-GB"/>
              </w:rPr>
              <w:t xml:space="preserve"> </w:t>
            </w:r>
            <w:r w:rsidR="00254CA1">
              <w:rPr>
                <w:rFonts w:ascii="Arial" w:hAnsi="Arial" w:cs="Arial"/>
                <w:b/>
                <w:bCs/>
                <w:color w:val="000000"/>
                <w:lang w:val="en-GB"/>
              </w:rPr>
              <w:t>Units</w:t>
            </w:r>
            <w:r w:rsidR="006B6676">
              <w:rPr>
                <w:rFonts w:ascii="Arial" w:hAnsi="Arial" w:cs="Arial"/>
                <w:b/>
                <w:bCs/>
                <w:color w:val="000000"/>
                <w:lang w:val="en-GB"/>
              </w:rPr>
              <w:t xml:space="preserve"> </w:t>
            </w:r>
            <w:r w:rsidRPr="00F26A3E">
              <w:rPr>
                <w:rFonts w:ascii="Arial" w:hAnsi="Arial" w:cs="Arial"/>
                <w:b/>
                <w:bCs/>
                <w:color w:val="000000"/>
                <w:lang w:val="en-GB"/>
              </w:rPr>
              <w:t>(</w:t>
            </w:r>
            <w:r w:rsidR="00B2768B">
              <w:rPr>
                <w:rFonts w:ascii="Arial" w:hAnsi="Arial" w:cs="Arial"/>
                <w:b/>
                <w:bCs/>
                <w:color w:val="000000"/>
                <w:lang w:val="en-GB"/>
              </w:rPr>
              <w:t>in</w:t>
            </w:r>
            <w:r w:rsidR="006B6676">
              <w:rPr>
                <w:rFonts w:ascii="Arial" w:hAnsi="Arial" w:cs="Arial"/>
                <w:b/>
                <w:bCs/>
                <w:color w:val="000000"/>
                <w:lang w:val="en-GB"/>
              </w:rPr>
              <w:t xml:space="preserve"> </w:t>
            </w:r>
            <w:r w:rsidRPr="00F26A3E">
              <w:rPr>
                <w:rFonts w:ascii="Arial" w:hAnsi="Arial" w:cs="Arial"/>
                <w:b/>
                <w:bCs/>
                <w:color w:val="000000"/>
                <w:lang w:val="en-GB"/>
              </w:rPr>
              <w:t>Million)</w:t>
            </w:r>
          </w:p>
        </w:tc>
        <w:tc>
          <w:tcPr>
            <w:tcW w:w="3481"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3C09BA0" w14:textId="5B5EEBF9"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Export</w:t>
            </w:r>
            <w:r w:rsidR="00254CA1">
              <w:rPr>
                <w:rFonts w:ascii="Arial" w:hAnsi="Arial" w:cs="Arial"/>
                <w:b/>
                <w:bCs/>
                <w:color w:val="000000"/>
                <w:lang w:val="en-GB"/>
              </w:rPr>
              <w:t>ed</w:t>
            </w:r>
            <w:r w:rsidR="006B6676">
              <w:rPr>
                <w:rFonts w:ascii="Arial" w:hAnsi="Arial" w:cs="Arial"/>
                <w:b/>
                <w:bCs/>
                <w:color w:val="000000"/>
                <w:lang w:val="en-GB"/>
              </w:rPr>
              <w:t xml:space="preserve"> </w:t>
            </w:r>
            <w:r w:rsidR="00254CA1">
              <w:rPr>
                <w:rFonts w:ascii="Arial" w:hAnsi="Arial" w:cs="Arial"/>
                <w:b/>
                <w:bCs/>
                <w:color w:val="000000"/>
                <w:lang w:val="en-GB"/>
              </w:rPr>
              <w:t>Unit</w:t>
            </w:r>
            <w:r w:rsidRPr="00F26A3E">
              <w:rPr>
                <w:rFonts w:ascii="Arial" w:hAnsi="Arial" w:cs="Arial"/>
                <w:b/>
                <w:bCs/>
                <w:color w:val="000000"/>
                <w:lang w:val="en-GB"/>
              </w:rPr>
              <w:t>s</w:t>
            </w:r>
            <w:r w:rsidR="006B6676">
              <w:rPr>
                <w:rFonts w:ascii="Arial" w:hAnsi="Arial" w:cs="Arial"/>
                <w:b/>
                <w:bCs/>
                <w:color w:val="000000"/>
                <w:lang w:val="en-GB"/>
              </w:rPr>
              <w:t xml:space="preserve"> </w:t>
            </w:r>
            <w:r w:rsidRPr="00F26A3E">
              <w:rPr>
                <w:rFonts w:ascii="Arial" w:hAnsi="Arial" w:cs="Arial"/>
                <w:b/>
                <w:bCs/>
                <w:color w:val="000000"/>
                <w:lang w:val="en-GB"/>
              </w:rPr>
              <w:t>(</w:t>
            </w:r>
            <w:r w:rsidR="00B2768B">
              <w:rPr>
                <w:rFonts w:ascii="Arial" w:hAnsi="Arial" w:cs="Arial"/>
                <w:b/>
                <w:bCs/>
                <w:color w:val="000000"/>
                <w:lang w:val="en-GB"/>
              </w:rPr>
              <w:t>in</w:t>
            </w:r>
            <w:r w:rsidR="006B6676">
              <w:rPr>
                <w:rFonts w:ascii="Arial" w:hAnsi="Arial" w:cs="Arial"/>
                <w:b/>
                <w:bCs/>
                <w:color w:val="000000"/>
                <w:lang w:val="en-GB"/>
              </w:rPr>
              <w:t xml:space="preserve"> </w:t>
            </w:r>
            <w:r w:rsidRPr="00F26A3E">
              <w:rPr>
                <w:rFonts w:ascii="Arial" w:hAnsi="Arial" w:cs="Arial"/>
                <w:b/>
                <w:bCs/>
                <w:color w:val="000000"/>
                <w:lang w:val="en-GB"/>
              </w:rPr>
              <w:t>Million)</w:t>
            </w:r>
          </w:p>
        </w:tc>
      </w:tr>
      <w:tr w:rsidR="00B607FC" w:rsidRPr="00F26A3E" w14:paraId="2FB0A762" w14:textId="77777777" w:rsidTr="00F57EDA">
        <w:trPr>
          <w:trHeight w:val="70"/>
          <w:tblHeader/>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D5B7821" w14:textId="182AD0E6" w:rsidR="00B607FC" w:rsidRPr="00F26A3E" w:rsidRDefault="00254CA1" w:rsidP="00B607FC">
            <w:pPr>
              <w:jc w:val="center"/>
              <w:rPr>
                <w:rFonts w:ascii="Arial" w:hAnsi="Arial" w:cs="Arial"/>
                <w:b/>
                <w:bCs/>
                <w:color w:val="000000"/>
                <w:lang w:val="en-GB"/>
              </w:rPr>
            </w:pPr>
            <w:r>
              <w:rPr>
                <w:rFonts w:ascii="Arial" w:hAnsi="Arial" w:cs="Arial"/>
                <w:b/>
                <w:bCs/>
                <w:color w:val="000000"/>
                <w:lang w:val="en-GB"/>
              </w:rPr>
              <w:t>Fiscal</w:t>
            </w:r>
            <w:r w:rsidR="006B6676">
              <w:rPr>
                <w:rFonts w:ascii="Arial" w:hAnsi="Arial" w:cs="Arial"/>
                <w:b/>
                <w:bCs/>
                <w:color w:val="000000"/>
                <w:lang w:val="en-GB"/>
              </w:rPr>
              <w:t xml:space="preserve"> </w:t>
            </w:r>
            <w:r w:rsidR="00B607FC" w:rsidRPr="00F26A3E">
              <w:rPr>
                <w:rFonts w:ascii="Arial" w:hAnsi="Arial" w:cs="Arial"/>
                <w:b/>
                <w:bCs/>
                <w:color w:val="000000"/>
                <w:lang w:val="en-GB"/>
              </w:rPr>
              <w:t>Year</w:t>
            </w:r>
          </w:p>
        </w:tc>
        <w:tc>
          <w:tcPr>
            <w:tcW w:w="1970" w:type="dxa"/>
            <w:tcBorders>
              <w:top w:val="nil"/>
              <w:left w:val="nil"/>
              <w:bottom w:val="single" w:sz="4" w:space="0" w:color="auto"/>
              <w:right w:val="single" w:sz="4" w:space="0" w:color="auto"/>
            </w:tcBorders>
            <w:shd w:val="clear" w:color="auto" w:fill="auto"/>
            <w:noWrap/>
            <w:vAlign w:val="bottom"/>
            <w:hideMark/>
          </w:tcPr>
          <w:p w14:paraId="291C44E2"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Two</w:t>
            </w:r>
            <w:r w:rsidR="00254CA1">
              <w:rPr>
                <w:rFonts w:ascii="Arial" w:hAnsi="Arial" w:cs="Arial"/>
                <w:b/>
                <w:bCs/>
                <w:color w:val="000000"/>
                <w:lang w:val="en-GB"/>
              </w:rPr>
              <w:t>-</w:t>
            </w:r>
            <w:r w:rsidRPr="00F26A3E">
              <w:rPr>
                <w:rFonts w:ascii="Arial" w:hAnsi="Arial" w:cs="Arial"/>
                <w:b/>
                <w:bCs/>
                <w:color w:val="000000"/>
                <w:lang w:val="en-GB"/>
              </w:rPr>
              <w:t>Wheelers</w:t>
            </w:r>
          </w:p>
        </w:tc>
        <w:tc>
          <w:tcPr>
            <w:tcW w:w="1709" w:type="dxa"/>
            <w:tcBorders>
              <w:top w:val="nil"/>
              <w:left w:val="nil"/>
              <w:bottom w:val="single" w:sz="4" w:space="0" w:color="auto"/>
              <w:right w:val="single" w:sz="4" w:space="0" w:color="auto"/>
            </w:tcBorders>
            <w:shd w:val="clear" w:color="auto" w:fill="auto"/>
            <w:noWrap/>
            <w:vAlign w:val="bottom"/>
            <w:hideMark/>
          </w:tcPr>
          <w:p w14:paraId="3C8B6319" w14:textId="0F8D826E"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Motorcycles</w:t>
            </w:r>
            <w:r w:rsidR="006B6676">
              <w:rPr>
                <w:rFonts w:ascii="Arial" w:hAnsi="Arial" w:cs="Arial"/>
                <w:b/>
                <w:bCs/>
                <w:color w:val="000000"/>
                <w:lang w:val="en-GB"/>
              </w:rPr>
              <w:t xml:space="preserve">  </w:t>
            </w:r>
          </w:p>
        </w:tc>
        <w:tc>
          <w:tcPr>
            <w:tcW w:w="1817" w:type="dxa"/>
            <w:tcBorders>
              <w:top w:val="nil"/>
              <w:left w:val="nil"/>
              <w:bottom w:val="single" w:sz="4" w:space="0" w:color="auto"/>
              <w:right w:val="single" w:sz="4" w:space="0" w:color="auto"/>
            </w:tcBorders>
            <w:shd w:val="clear" w:color="auto" w:fill="auto"/>
            <w:noWrap/>
            <w:vAlign w:val="bottom"/>
            <w:hideMark/>
          </w:tcPr>
          <w:p w14:paraId="4A659D7C" w14:textId="75AD0C08"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Two</w:t>
            </w:r>
            <w:r w:rsidR="00254CA1">
              <w:rPr>
                <w:rFonts w:ascii="Arial" w:hAnsi="Arial" w:cs="Arial"/>
                <w:b/>
                <w:bCs/>
                <w:color w:val="000000"/>
                <w:lang w:val="en-GB"/>
              </w:rPr>
              <w:t>-</w:t>
            </w:r>
            <w:r w:rsidRPr="00F26A3E">
              <w:rPr>
                <w:rFonts w:ascii="Arial" w:hAnsi="Arial" w:cs="Arial"/>
                <w:b/>
                <w:bCs/>
                <w:color w:val="000000"/>
                <w:lang w:val="en-GB"/>
              </w:rPr>
              <w:t>Wheelers</w:t>
            </w:r>
            <w:r w:rsidR="006B6676">
              <w:rPr>
                <w:rFonts w:ascii="Arial" w:hAnsi="Arial" w:cs="Arial"/>
                <w:b/>
                <w:bCs/>
                <w:color w:val="000000"/>
                <w:lang w:val="en-GB"/>
              </w:rPr>
              <w:t xml:space="preserve"> </w:t>
            </w:r>
          </w:p>
        </w:tc>
        <w:tc>
          <w:tcPr>
            <w:tcW w:w="1664" w:type="dxa"/>
            <w:tcBorders>
              <w:top w:val="nil"/>
              <w:left w:val="nil"/>
              <w:bottom w:val="single" w:sz="4" w:space="0" w:color="auto"/>
              <w:right w:val="single" w:sz="8" w:space="0" w:color="auto"/>
            </w:tcBorders>
            <w:shd w:val="clear" w:color="auto" w:fill="auto"/>
            <w:noWrap/>
            <w:vAlign w:val="bottom"/>
            <w:hideMark/>
          </w:tcPr>
          <w:p w14:paraId="37576B00"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Motorcycles</w:t>
            </w:r>
          </w:p>
        </w:tc>
      </w:tr>
      <w:tr w:rsidR="00B607FC" w:rsidRPr="00F26A3E" w14:paraId="2E5A4B25" w14:textId="77777777" w:rsidTr="00F57EDA">
        <w:trPr>
          <w:trHeight w:val="70"/>
          <w:tblHeader/>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7121FE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2014</w:t>
            </w:r>
            <w:r w:rsidR="00254CA1">
              <w:rPr>
                <w:rFonts w:ascii="Arial" w:hAnsi="Arial" w:cs="Arial"/>
                <w:color w:val="000000"/>
                <w:lang w:val="en-GB"/>
              </w:rPr>
              <w:t>–</w:t>
            </w:r>
            <w:r w:rsidRPr="00F26A3E">
              <w:rPr>
                <w:rFonts w:ascii="Arial" w:hAnsi="Arial" w:cs="Arial"/>
                <w:color w:val="000000"/>
                <w:lang w:val="en-GB"/>
              </w:rPr>
              <w:t>15</w:t>
            </w:r>
          </w:p>
        </w:tc>
        <w:tc>
          <w:tcPr>
            <w:tcW w:w="1970" w:type="dxa"/>
            <w:tcBorders>
              <w:top w:val="nil"/>
              <w:left w:val="nil"/>
              <w:bottom w:val="single" w:sz="4" w:space="0" w:color="auto"/>
              <w:right w:val="single" w:sz="4" w:space="0" w:color="auto"/>
            </w:tcBorders>
            <w:shd w:val="clear" w:color="auto" w:fill="auto"/>
            <w:noWrap/>
            <w:vAlign w:val="bottom"/>
            <w:hideMark/>
          </w:tcPr>
          <w:p w14:paraId="7D5F082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15.98</w:t>
            </w:r>
          </w:p>
        </w:tc>
        <w:tc>
          <w:tcPr>
            <w:tcW w:w="1709" w:type="dxa"/>
            <w:tcBorders>
              <w:top w:val="nil"/>
              <w:left w:val="nil"/>
              <w:bottom w:val="single" w:sz="4" w:space="0" w:color="auto"/>
              <w:right w:val="single" w:sz="4" w:space="0" w:color="auto"/>
            </w:tcBorders>
            <w:shd w:val="clear" w:color="auto" w:fill="auto"/>
            <w:noWrap/>
            <w:vAlign w:val="bottom"/>
            <w:hideMark/>
          </w:tcPr>
          <w:p w14:paraId="41C8D08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10.74</w:t>
            </w:r>
          </w:p>
        </w:tc>
        <w:tc>
          <w:tcPr>
            <w:tcW w:w="1817" w:type="dxa"/>
            <w:tcBorders>
              <w:top w:val="nil"/>
              <w:left w:val="nil"/>
              <w:bottom w:val="single" w:sz="4" w:space="0" w:color="auto"/>
              <w:right w:val="single" w:sz="4" w:space="0" w:color="auto"/>
            </w:tcBorders>
            <w:shd w:val="clear" w:color="auto" w:fill="auto"/>
            <w:noWrap/>
            <w:vAlign w:val="bottom"/>
            <w:hideMark/>
          </w:tcPr>
          <w:p w14:paraId="4FF5B25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2.46</w:t>
            </w:r>
          </w:p>
        </w:tc>
        <w:tc>
          <w:tcPr>
            <w:tcW w:w="1664" w:type="dxa"/>
            <w:tcBorders>
              <w:top w:val="nil"/>
              <w:left w:val="nil"/>
              <w:bottom w:val="single" w:sz="4" w:space="0" w:color="auto"/>
              <w:right w:val="single" w:sz="8" w:space="0" w:color="auto"/>
            </w:tcBorders>
            <w:shd w:val="clear" w:color="auto" w:fill="auto"/>
            <w:noWrap/>
            <w:vAlign w:val="bottom"/>
            <w:hideMark/>
          </w:tcPr>
          <w:p w14:paraId="1FC6F2B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2.25</w:t>
            </w:r>
          </w:p>
        </w:tc>
      </w:tr>
      <w:tr w:rsidR="00B607FC" w:rsidRPr="00F26A3E" w14:paraId="0B85F76C" w14:textId="77777777" w:rsidTr="00F57EDA">
        <w:trPr>
          <w:trHeight w:val="70"/>
          <w:tblHeader/>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019D2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2015</w:t>
            </w:r>
            <w:r w:rsidR="00254CA1">
              <w:rPr>
                <w:rFonts w:ascii="Arial" w:hAnsi="Arial" w:cs="Arial"/>
                <w:color w:val="000000"/>
                <w:lang w:val="en-GB"/>
              </w:rPr>
              <w:t>–</w:t>
            </w:r>
            <w:r w:rsidRPr="00F26A3E">
              <w:rPr>
                <w:rFonts w:ascii="Arial" w:hAnsi="Arial" w:cs="Arial"/>
                <w:color w:val="000000"/>
                <w:lang w:val="en-GB"/>
              </w:rPr>
              <w:t>16</w:t>
            </w:r>
          </w:p>
        </w:tc>
        <w:tc>
          <w:tcPr>
            <w:tcW w:w="1970" w:type="dxa"/>
            <w:tcBorders>
              <w:top w:val="nil"/>
              <w:left w:val="nil"/>
              <w:bottom w:val="single" w:sz="4" w:space="0" w:color="auto"/>
              <w:right w:val="single" w:sz="4" w:space="0" w:color="auto"/>
            </w:tcBorders>
            <w:shd w:val="clear" w:color="auto" w:fill="auto"/>
            <w:noWrap/>
            <w:vAlign w:val="bottom"/>
            <w:hideMark/>
          </w:tcPr>
          <w:p w14:paraId="2DF71C1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16.64</w:t>
            </w:r>
          </w:p>
        </w:tc>
        <w:tc>
          <w:tcPr>
            <w:tcW w:w="1709" w:type="dxa"/>
            <w:tcBorders>
              <w:top w:val="nil"/>
              <w:left w:val="nil"/>
              <w:bottom w:val="single" w:sz="4" w:space="0" w:color="auto"/>
              <w:right w:val="single" w:sz="4" w:space="0" w:color="auto"/>
            </w:tcBorders>
            <w:shd w:val="clear" w:color="auto" w:fill="auto"/>
            <w:noWrap/>
            <w:vAlign w:val="bottom"/>
            <w:hideMark/>
          </w:tcPr>
          <w:p w14:paraId="7BFE65C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10.7</w:t>
            </w:r>
            <w:r w:rsidR="00B2768B">
              <w:rPr>
                <w:rFonts w:ascii="Arial" w:hAnsi="Arial" w:cs="Arial"/>
                <w:color w:val="000000"/>
                <w:lang w:val="en-GB"/>
              </w:rPr>
              <w:t>0</w:t>
            </w:r>
          </w:p>
        </w:tc>
        <w:tc>
          <w:tcPr>
            <w:tcW w:w="1817" w:type="dxa"/>
            <w:tcBorders>
              <w:top w:val="nil"/>
              <w:left w:val="nil"/>
              <w:bottom w:val="single" w:sz="4" w:space="0" w:color="auto"/>
              <w:right w:val="single" w:sz="4" w:space="0" w:color="auto"/>
            </w:tcBorders>
            <w:shd w:val="clear" w:color="auto" w:fill="auto"/>
            <w:noWrap/>
            <w:vAlign w:val="bottom"/>
            <w:hideMark/>
          </w:tcPr>
          <w:p w14:paraId="6993EDB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2.48</w:t>
            </w:r>
          </w:p>
        </w:tc>
        <w:tc>
          <w:tcPr>
            <w:tcW w:w="1664" w:type="dxa"/>
            <w:tcBorders>
              <w:top w:val="nil"/>
              <w:left w:val="nil"/>
              <w:bottom w:val="single" w:sz="4" w:space="0" w:color="auto"/>
              <w:right w:val="single" w:sz="8" w:space="0" w:color="auto"/>
            </w:tcBorders>
            <w:shd w:val="clear" w:color="auto" w:fill="auto"/>
            <w:noWrap/>
            <w:vAlign w:val="bottom"/>
            <w:hideMark/>
          </w:tcPr>
          <w:p w14:paraId="6B14797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2.21</w:t>
            </w:r>
          </w:p>
        </w:tc>
      </w:tr>
      <w:tr w:rsidR="00B607FC" w:rsidRPr="00F26A3E" w14:paraId="0ED1936F" w14:textId="77777777" w:rsidTr="00F57EDA">
        <w:trPr>
          <w:trHeight w:val="70"/>
          <w:tblHeader/>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D71AE7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2016</w:t>
            </w:r>
            <w:r w:rsidR="00254CA1">
              <w:rPr>
                <w:rFonts w:ascii="Arial" w:hAnsi="Arial" w:cs="Arial"/>
                <w:color w:val="000000"/>
                <w:lang w:val="en-GB"/>
              </w:rPr>
              <w:t>–</w:t>
            </w:r>
            <w:r w:rsidRPr="00F26A3E">
              <w:rPr>
                <w:rFonts w:ascii="Arial" w:hAnsi="Arial" w:cs="Arial"/>
                <w:color w:val="000000"/>
                <w:lang w:val="en-GB"/>
              </w:rPr>
              <w:t>17</w:t>
            </w:r>
          </w:p>
        </w:tc>
        <w:tc>
          <w:tcPr>
            <w:tcW w:w="1970" w:type="dxa"/>
            <w:tcBorders>
              <w:top w:val="nil"/>
              <w:left w:val="nil"/>
              <w:bottom w:val="single" w:sz="4" w:space="0" w:color="auto"/>
              <w:right w:val="single" w:sz="4" w:space="0" w:color="auto"/>
            </w:tcBorders>
            <w:shd w:val="clear" w:color="auto" w:fill="auto"/>
            <w:noWrap/>
            <w:vAlign w:val="bottom"/>
            <w:hideMark/>
          </w:tcPr>
          <w:p w14:paraId="7D4003D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17.59</w:t>
            </w:r>
          </w:p>
        </w:tc>
        <w:tc>
          <w:tcPr>
            <w:tcW w:w="1709" w:type="dxa"/>
            <w:tcBorders>
              <w:top w:val="nil"/>
              <w:left w:val="nil"/>
              <w:bottom w:val="single" w:sz="4" w:space="0" w:color="auto"/>
              <w:right w:val="single" w:sz="4" w:space="0" w:color="auto"/>
            </w:tcBorders>
            <w:shd w:val="clear" w:color="auto" w:fill="auto"/>
            <w:noWrap/>
            <w:vAlign w:val="bottom"/>
            <w:hideMark/>
          </w:tcPr>
          <w:p w14:paraId="1BDF664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11.09</w:t>
            </w:r>
          </w:p>
        </w:tc>
        <w:tc>
          <w:tcPr>
            <w:tcW w:w="1817" w:type="dxa"/>
            <w:tcBorders>
              <w:top w:val="nil"/>
              <w:left w:val="nil"/>
              <w:bottom w:val="single" w:sz="4" w:space="0" w:color="auto"/>
              <w:right w:val="single" w:sz="4" w:space="0" w:color="auto"/>
            </w:tcBorders>
            <w:shd w:val="clear" w:color="auto" w:fill="auto"/>
            <w:noWrap/>
            <w:vAlign w:val="bottom"/>
            <w:hideMark/>
          </w:tcPr>
          <w:p w14:paraId="6463ADA6"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2.34</w:t>
            </w:r>
          </w:p>
        </w:tc>
        <w:tc>
          <w:tcPr>
            <w:tcW w:w="1664" w:type="dxa"/>
            <w:tcBorders>
              <w:top w:val="nil"/>
              <w:left w:val="nil"/>
              <w:bottom w:val="single" w:sz="4" w:space="0" w:color="auto"/>
              <w:right w:val="single" w:sz="8" w:space="0" w:color="auto"/>
            </w:tcBorders>
            <w:shd w:val="clear" w:color="auto" w:fill="auto"/>
            <w:noWrap/>
            <w:vAlign w:val="bottom"/>
            <w:hideMark/>
          </w:tcPr>
          <w:p w14:paraId="5F099CC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2.03</w:t>
            </w:r>
          </w:p>
        </w:tc>
      </w:tr>
      <w:tr w:rsidR="00B607FC" w:rsidRPr="00F26A3E" w14:paraId="6C87CD85" w14:textId="77777777" w:rsidTr="00F57EDA">
        <w:trPr>
          <w:trHeight w:val="70"/>
          <w:tblHeader/>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1911C1D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2017</w:t>
            </w:r>
            <w:r w:rsidR="00254CA1">
              <w:rPr>
                <w:rFonts w:ascii="Arial" w:hAnsi="Arial" w:cs="Arial"/>
                <w:color w:val="000000"/>
                <w:lang w:val="en-GB"/>
              </w:rPr>
              <w:t>–</w:t>
            </w:r>
            <w:r w:rsidRPr="00F26A3E">
              <w:rPr>
                <w:rFonts w:ascii="Arial" w:hAnsi="Arial" w:cs="Arial"/>
                <w:color w:val="000000"/>
                <w:lang w:val="en-GB"/>
              </w:rPr>
              <w:t>18</w:t>
            </w:r>
          </w:p>
        </w:tc>
        <w:tc>
          <w:tcPr>
            <w:tcW w:w="1970" w:type="dxa"/>
            <w:tcBorders>
              <w:top w:val="nil"/>
              <w:left w:val="nil"/>
              <w:bottom w:val="single" w:sz="4" w:space="0" w:color="auto"/>
              <w:right w:val="single" w:sz="4" w:space="0" w:color="auto"/>
            </w:tcBorders>
            <w:shd w:val="clear" w:color="auto" w:fill="auto"/>
            <w:noWrap/>
            <w:vAlign w:val="bottom"/>
            <w:hideMark/>
          </w:tcPr>
          <w:p w14:paraId="59456D7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20.20</w:t>
            </w:r>
          </w:p>
        </w:tc>
        <w:tc>
          <w:tcPr>
            <w:tcW w:w="1709" w:type="dxa"/>
            <w:tcBorders>
              <w:top w:val="nil"/>
              <w:left w:val="nil"/>
              <w:bottom w:val="single" w:sz="4" w:space="0" w:color="auto"/>
              <w:right w:val="single" w:sz="4" w:space="0" w:color="auto"/>
            </w:tcBorders>
            <w:shd w:val="clear" w:color="auto" w:fill="auto"/>
            <w:noWrap/>
            <w:vAlign w:val="bottom"/>
            <w:hideMark/>
          </w:tcPr>
          <w:p w14:paraId="5785D98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12.61</w:t>
            </w:r>
          </w:p>
        </w:tc>
        <w:tc>
          <w:tcPr>
            <w:tcW w:w="1817" w:type="dxa"/>
            <w:tcBorders>
              <w:top w:val="nil"/>
              <w:left w:val="nil"/>
              <w:bottom w:val="single" w:sz="4" w:space="0" w:color="auto"/>
              <w:right w:val="single" w:sz="4" w:space="0" w:color="auto"/>
            </w:tcBorders>
            <w:shd w:val="clear" w:color="auto" w:fill="auto"/>
            <w:noWrap/>
            <w:vAlign w:val="bottom"/>
            <w:hideMark/>
          </w:tcPr>
          <w:p w14:paraId="44F61130"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2.82</w:t>
            </w:r>
          </w:p>
        </w:tc>
        <w:tc>
          <w:tcPr>
            <w:tcW w:w="1664" w:type="dxa"/>
            <w:tcBorders>
              <w:top w:val="nil"/>
              <w:left w:val="nil"/>
              <w:bottom w:val="single" w:sz="4" w:space="0" w:color="auto"/>
              <w:right w:val="single" w:sz="8" w:space="0" w:color="auto"/>
            </w:tcBorders>
            <w:shd w:val="clear" w:color="auto" w:fill="auto"/>
            <w:noWrap/>
            <w:vAlign w:val="bottom"/>
            <w:hideMark/>
          </w:tcPr>
          <w:p w14:paraId="2EFE4AC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2.48</w:t>
            </w:r>
          </w:p>
        </w:tc>
      </w:tr>
      <w:tr w:rsidR="00B607FC" w:rsidRPr="00F26A3E" w14:paraId="16C899E0" w14:textId="77777777" w:rsidTr="00F57EDA">
        <w:trPr>
          <w:trHeight w:val="70"/>
          <w:tblHeader/>
          <w:jc w:val="center"/>
        </w:trPr>
        <w:tc>
          <w:tcPr>
            <w:tcW w:w="1460" w:type="dxa"/>
            <w:tcBorders>
              <w:top w:val="nil"/>
              <w:left w:val="single" w:sz="8" w:space="0" w:color="auto"/>
              <w:bottom w:val="single" w:sz="8" w:space="0" w:color="auto"/>
              <w:right w:val="single" w:sz="4" w:space="0" w:color="auto"/>
            </w:tcBorders>
            <w:shd w:val="clear" w:color="auto" w:fill="auto"/>
            <w:noWrap/>
            <w:vAlign w:val="bottom"/>
            <w:hideMark/>
          </w:tcPr>
          <w:p w14:paraId="30E4529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2018</w:t>
            </w:r>
            <w:r w:rsidR="00254CA1">
              <w:rPr>
                <w:rFonts w:ascii="Arial" w:hAnsi="Arial" w:cs="Arial"/>
                <w:color w:val="000000"/>
                <w:lang w:val="en-GB"/>
              </w:rPr>
              <w:t>–</w:t>
            </w:r>
            <w:r w:rsidRPr="00F26A3E">
              <w:rPr>
                <w:rFonts w:ascii="Arial" w:hAnsi="Arial" w:cs="Arial"/>
                <w:color w:val="000000"/>
                <w:lang w:val="en-GB"/>
              </w:rPr>
              <w:t>19</w:t>
            </w:r>
          </w:p>
        </w:tc>
        <w:tc>
          <w:tcPr>
            <w:tcW w:w="1970" w:type="dxa"/>
            <w:tcBorders>
              <w:top w:val="nil"/>
              <w:left w:val="nil"/>
              <w:bottom w:val="single" w:sz="8" w:space="0" w:color="auto"/>
              <w:right w:val="single" w:sz="4" w:space="0" w:color="auto"/>
            </w:tcBorders>
            <w:shd w:val="clear" w:color="auto" w:fill="auto"/>
            <w:noWrap/>
            <w:vAlign w:val="bottom"/>
            <w:hideMark/>
          </w:tcPr>
          <w:p w14:paraId="42422F1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21.18</w:t>
            </w:r>
          </w:p>
        </w:tc>
        <w:tc>
          <w:tcPr>
            <w:tcW w:w="1709" w:type="dxa"/>
            <w:tcBorders>
              <w:top w:val="nil"/>
              <w:left w:val="nil"/>
              <w:bottom w:val="single" w:sz="8" w:space="0" w:color="auto"/>
              <w:right w:val="single" w:sz="4" w:space="0" w:color="auto"/>
            </w:tcBorders>
            <w:shd w:val="clear" w:color="auto" w:fill="auto"/>
            <w:noWrap/>
            <w:vAlign w:val="bottom"/>
            <w:hideMark/>
          </w:tcPr>
          <w:p w14:paraId="00149DC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13.59</w:t>
            </w:r>
          </w:p>
        </w:tc>
        <w:tc>
          <w:tcPr>
            <w:tcW w:w="1817" w:type="dxa"/>
            <w:tcBorders>
              <w:top w:val="nil"/>
              <w:left w:val="nil"/>
              <w:bottom w:val="single" w:sz="8" w:space="0" w:color="auto"/>
              <w:right w:val="single" w:sz="4" w:space="0" w:color="auto"/>
            </w:tcBorders>
            <w:shd w:val="clear" w:color="auto" w:fill="auto"/>
            <w:noWrap/>
            <w:vAlign w:val="bottom"/>
            <w:hideMark/>
          </w:tcPr>
          <w:p w14:paraId="31F6C0A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3.28</w:t>
            </w:r>
          </w:p>
        </w:tc>
        <w:tc>
          <w:tcPr>
            <w:tcW w:w="1664" w:type="dxa"/>
            <w:tcBorders>
              <w:top w:val="nil"/>
              <w:left w:val="nil"/>
              <w:bottom w:val="single" w:sz="8" w:space="0" w:color="auto"/>
              <w:right w:val="single" w:sz="8" w:space="0" w:color="auto"/>
            </w:tcBorders>
            <w:shd w:val="clear" w:color="auto" w:fill="auto"/>
            <w:noWrap/>
            <w:vAlign w:val="bottom"/>
            <w:hideMark/>
          </w:tcPr>
          <w:p w14:paraId="62489D5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2.87</w:t>
            </w:r>
          </w:p>
        </w:tc>
      </w:tr>
    </w:tbl>
    <w:p w14:paraId="28C3F19B" w14:textId="77777777" w:rsidR="00B607FC" w:rsidRPr="00F26A3E" w:rsidRDefault="00B607FC" w:rsidP="00B607FC">
      <w:pPr>
        <w:rPr>
          <w:lang w:val="en-GB"/>
        </w:rPr>
      </w:pPr>
    </w:p>
    <w:p w14:paraId="001888E0" w14:textId="6B03B5F4" w:rsidR="00B607FC" w:rsidRPr="00254CA1" w:rsidRDefault="00A93740" w:rsidP="00B607FC">
      <w:pPr>
        <w:jc w:val="both"/>
        <w:rPr>
          <w:rFonts w:ascii="Arial" w:hAnsi="Arial" w:cs="Arial"/>
          <w:sz w:val="17"/>
          <w:szCs w:val="17"/>
          <w:lang w:val="en-GB"/>
        </w:rPr>
      </w:pPr>
      <w:r w:rsidRPr="00254CA1">
        <w:rPr>
          <w:rFonts w:ascii="Arial" w:hAnsi="Arial" w:cs="Arial"/>
          <w:sz w:val="17"/>
          <w:szCs w:val="17"/>
          <w:lang w:val="en-GB"/>
        </w:rPr>
        <w:t>Sources:</w:t>
      </w:r>
      <w:r w:rsidR="006B6676">
        <w:rPr>
          <w:rFonts w:ascii="Arial" w:hAnsi="Arial" w:cs="Arial"/>
          <w:sz w:val="17"/>
          <w:szCs w:val="17"/>
          <w:lang w:val="en-GB"/>
        </w:rPr>
        <w:t xml:space="preserve"> </w:t>
      </w:r>
      <w:r w:rsidRPr="00254CA1">
        <w:rPr>
          <w:rFonts w:ascii="Arial" w:hAnsi="Arial" w:cs="Arial"/>
          <w:sz w:val="17"/>
          <w:szCs w:val="17"/>
          <w:lang w:val="en-GB"/>
        </w:rPr>
        <w:t>Society</w:t>
      </w:r>
      <w:r w:rsidR="006B6676">
        <w:rPr>
          <w:rFonts w:ascii="Arial" w:hAnsi="Arial" w:cs="Arial"/>
          <w:sz w:val="17"/>
          <w:szCs w:val="17"/>
          <w:lang w:val="en-GB"/>
        </w:rPr>
        <w:t xml:space="preserve"> </w:t>
      </w:r>
      <w:r w:rsidR="00B607FC" w:rsidRPr="00254CA1">
        <w:rPr>
          <w:rFonts w:ascii="Arial" w:hAnsi="Arial" w:cs="Arial"/>
          <w:sz w:val="17"/>
          <w:szCs w:val="17"/>
          <w:lang w:val="en-GB"/>
        </w:rPr>
        <w:t>of</w:t>
      </w:r>
      <w:r w:rsidR="006B6676">
        <w:rPr>
          <w:rFonts w:ascii="Arial" w:hAnsi="Arial" w:cs="Arial"/>
          <w:sz w:val="17"/>
          <w:szCs w:val="17"/>
          <w:lang w:val="en-GB"/>
        </w:rPr>
        <w:t xml:space="preserve"> </w:t>
      </w:r>
      <w:r w:rsidR="00B607FC" w:rsidRPr="00254CA1">
        <w:rPr>
          <w:rFonts w:ascii="Arial" w:hAnsi="Arial" w:cs="Arial"/>
          <w:sz w:val="17"/>
          <w:szCs w:val="17"/>
          <w:lang w:val="en-GB"/>
        </w:rPr>
        <w:t>Indian</w:t>
      </w:r>
      <w:r w:rsidR="006B6676">
        <w:rPr>
          <w:rFonts w:ascii="Arial" w:hAnsi="Arial" w:cs="Arial"/>
          <w:sz w:val="17"/>
          <w:szCs w:val="17"/>
          <w:lang w:val="en-GB"/>
        </w:rPr>
        <w:t xml:space="preserve"> </w:t>
      </w:r>
      <w:r w:rsidR="00B607FC" w:rsidRPr="00254CA1">
        <w:rPr>
          <w:rFonts w:ascii="Arial" w:hAnsi="Arial" w:cs="Arial"/>
          <w:sz w:val="17"/>
          <w:szCs w:val="17"/>
          <w:lang w:val="en-GB"/>
        </w:rPr>
        <w:t>Automobile</w:t>
      </w:r>
      <w:r w:rsidR="006B6676">
        <w:rPr>
          <w:rFonts w:ascii="Arial" w:hAnsi="Arial" w:cs="Arial"/>
          <w:sz w:val="17"/>
          <w:szCs w:val="17"/>
          <w:lang w:val="en-GB"/>
        </w:rPr>
        <w:t xml:space="preserve"> </w:t>
      </w:r>
      <w:r w:rsidR="00254CA1">
        <w:rPr>
          <w:rFonts w:ascii="Arial" w:hAnsi="Arial" w:cs="Arial"/>
          <w:sz w:val="17"/>
          <w:szCs w:val="17"/>
          <w:lang w:val="en-GB"/>
        </w:rPr>
        <w:t>M</w:t>
      </w:r>
      <w:r w:rsidR="00B607FC" w:rsidRPr="00254CA1">
        <w:rPr>
          <w:rFonts w:ascii="Arial" w:hAnsi="Arial" w:cs="Arial"/>
          <w:sz w:val="17"/>
          <w:szCs w:val="17"/>
          <w:lang w:val="en-GB"/>
        </w:rPr>
        <w:t>anufacturers</w:t>
      </w:r>
      <w:r w:rsidR="006B6676">
        <w:rPr>
          <w:rFonts w:ascii="Arial" w:hAnsi="Arial" w:cs="Arial"/>
          <w:sz w:val="17"/>
          <w:szCs w:val="17"/>
          <w:lang w:val="en-GB"/>
        </w:rPr>
        <w:t xml:space="preserve"> </w:t>
      </w:r>
      <w:r w:rsidR="00B607FC" w:rsidRPr="00254CA1">
        <w:rPr>
          <w:rFonts w:ascii="Arial" w:hAnsi="Arial" w:cs="Arial"/>
          <w:sz w:val="17"/>
          <w:szCs w:val="17"/>
          <w:lang w:val="en-GB"/>
        </w:rPr>
        <w:t>(SIAM),</w:t>
      </w:r>
      <w:r w:rsidR="006B6676">
        <w:rPr>
          <w:rFonts w:ascii="Arial" w:hAnsi="Arial" w:cs="Arial"/>
          <w:sz w:val="17"/>
          <w:szCs w:val="17"/>
          <w:lang w:val="en-GB"/>
        </w:rPr>
        <w:t xml:space="preserve"> </w:t>
      </w:r>
      <w:r w:rsidR="00B607FC" w:rsidRPr="00254CA1">
        <w:rPr>
          <w:rFonts w:ascii="Arial" w:hAnsi="Arial" w:cs="Arial"/>
          <w:i/>
          <w:sz w:val="17"/>
          <w:szCs w:val="17"/>
          <w:lang w:val="en-GB"/>
        </w:rPr>
        <w:t>Domestic</w:t>
      </w:r>
      <w:r w:rsidR="006B6676">
        <w:rPr>
          <w:rFonts w:ascii="Arial" w:hAnsi="Arial" w:cs="Arial"/>
          <w:i/>
          <w:sz w:val="17"/>
          <w:szCs w:val="17"/>
          <w:lang w:val="en-GB"/>
        </w:rPr>
        <w:t xml:space="preserve"> </w:t>
      </w:r>
      <w:r w:rsidR="00B607FC" w:rsidRPr="00254CA1">
        <w:rPr>
          <w:rFonts w:ascii="Arial" w:hAnsi="Arial" w:cs="Arial"/>
          <w:i/>
          <w:sz w:val="17"/>
          <w:szCs w:val="17"/>
          <w:lang w:val="en-GB"/>
        </w:rPr>
        <w:t>Sales</w:t>
      </w:r>
      <w:r w:rsidR="006B6676">
        <w:rPr>
          <w:rFonts w:ascii="Arial" w:hAnsi="Arial" w:cs="Arial"/>
          <w:i/>
          <w:sz w:val="17"/>
          <w:szCs w:val="17"/>
          <w:lang w:val="en-GB"/>
        </w:rPr>
        <w:t xml:space="preserve"> </w:t>
      </w:r>
      <w:r w:rsidR="00B607FC" w:rsidRPr="00254CA1">
        <w:rPr>
          <w:rFonts w:ascii="Arial" w:hAnsi="Arial" w:cs="Arial"/>
          <w:i/>
          <w:sz w:val="17"/>
          <w:szCs w:val="17"/>
          <w:lang w:val="en-GB"/>
        </w:rPr>
        <w:t>Trends</w:t>
      </w:r>
      <w:r w:rsidR="00B607FC" w:rsidRPr="00254CA1">
        <w:rPr>
          <w:rFonts w:ascii="Arial" w:hAnsi="Arial" w:cs="Arial"/>
          <w:sz w:val="17"/>
          <w:szCs w:val="17"/>
          <w:lang w:val="en-GB"/>
        </w:rPr>
        <w:t>,</w:t>
      </w:r>
      <w:r w:rsidR="006B6676">
        <w:rPr>
          <w:rFonts w:ascii="Arial" w:hAnsi="Arial" w:cs="Arial"/>
          <w:sz w:val="17"/>
          <w:szCs w:val="17"/>
          <w:lang w:val="en-GB"/>
        </w:rPr>
        <w:t xml:space="preserve"> </w:t>
      </w:r>
      <w:r w:rsidR="00254CA1" w:rsidRPr="00254CA1">
        <w:rPr>
          <w:rFonts w:ascii="Arial" w:hAnsi="Arial" w:cs="Arial"/>
          <w:sz w:val="17"/>
          <w:szCs w:val="17"/>
          <w:lang w:val="en-GB"/>
        </w:rPr>
        <w:t>accessed</w:t>
      </w:r>
      <w:r w:rsidR="006B6676">
        <w:rPr>
          <w:rFonts w:ascii="Arial" w:hAnsi="Arial" w:cs="Arial"/>
          <w:sz w:val="17"/>
          <w:szCs w:val="17"/>
          <w:lang w:val="en-GB"/>
        </w:rPr>
        <w:t xml:space="preserve"> </w:t>
      </w:r>
      <w:r w:rsidR="00254CA1" w:rsidRPr="00254CA1">
        <w:rPr>
          <w:rFonts w:ascii="Arial" w:hAnsi="Arial" w:cs="Arial"/>
          <w:sz w:val="17"/>
          <w:szCs w:val="17"/>
          <w:lang w:val="en-GB"/>
        </w:rPr>
        <w:t>October</w:t>
      </w:r>
      <w:r w:rsidR="006B6676">
        <w:rPr>
          <w:rFonts w:ascii="Arial" w:hAnsi="Arial" w:cs="Arial"/>
          <w:sz w:val="17"/>
          <w:szCs w:val="17"/>
          <w:lang w:val="en-GB"/>
        </w:rPr>
        <w:t xml:space="preserve"> </w:t>
      </w:r>
      <w:r w:rsidR="00254CA1" w:rsidRPr="00254CA1">
        <w:rPr>
          <w:rFonts w:ascii="Arial" w:hAnsi="Arial" w:cs="Arial"/>
          <w:sz w:val="17"/>
          <w:szCs w:val="17"/>
          <w:lang w:val="en-GB"/>
        </w:rPr>
        <w:t>22,</w:t>
      </w:r>
      <w:r w:rsidR="006B6676">
        <w:rPr>
          <w:rFonts w:ascii="Arial" w:hAnsi="Arial" w:cs="Arial"/>
          <w:sz w:val="17"/>
          <w:szCs w:val="17"/>
          <w:lang w:val="en-GB"/>
        </w:rPr>
        <w:t xml:space="preserve"> </w:t>
      </w:r>
      <w:r w:rsidR="00254CA1" w:rsidRPr="00254CA1">
        <w:rPr>
          <w:rFonts w:ascii="Arial" w:hAnsi="Arial" w:cs="Arial"/>
          <w:sz w:val="17"/>
          <w:szCs w:val="17"/>
          <w:lang w:val="en-GB"/>
        </w:rPr>
        <w:t>2020</w:t>
      </w:r>
      <w:r w:rsidR="00254CA1">
        <w:rPr>
          <w:rFonts w:ascii="Arial" w:hAnsi="Arial" w:cs="Arial"/>
          <w:sz w:val="17"/>
          <w:szCs w:val="17"/>
          <w:lang w:val="en-GB"/>
        </w:rPr>
        <w:t>,</w:t>
      </w:r>
      <w:r w:rsidR="006B6676">
        <w:rPr>
          <w:rFonts w:ascii="Arial" w:hAnsi="Arial" w:cs="Arial"/>
          <w:sz w:val="17"/>
          <w:szCs w:val="17"/>
          <w:lang w:val="en-GB"/>
        </w:rPr>
        <w:t xml:space="preserve"> </w:t>
      </w:r>
      <w:r w:rsidR="00B607FC" w:rsidRPr="00254CA1">
        <w:rPr>
          <w:rFonts w:ascii="Arial" w:hAnsi="Arial" w:cs="Arial"/>
          <w:sz w:val="17"/>
          <w:szCs w:val="17"/>
          <w:lang w:val="en-GB"/>
        </w:rPr>
        <w:t>www.siam.in/statistics.aspx?mpgid=8&amp;pgidtrail=14</w:t>
      </w:r>
      <w:r w:rsidR="00254CA1">
        <w:rPr>
          <w:rFonts w:ascii="Arial" w:hAnsi="Arial" w:cs="Arial"/>
          <w:sz w:val="17"/>
          <w:szCs w:val="17"/>
          <w:lang w:val="en-GB"/>
        </w:rPr>
        <w:t>;</w:t>
      </w:r>
      <w:r w:rsidR="006B6676">
        <w:rPr>
          <w:rFonts w:ascii="Arial" w:hAnsi="Arial" w:cs="Arial"/>
          <w:sz w:val="17"/>
          <w:szCs w:val="17"/>
          <w:lang w:val="en-GB"/>
        </w:rPr>
        <w:t xml:space="preserve"> </w:t>
      </w:r>
      <w:r w:rsidR="00B607FC" w:rsidRPr="00254CA1">
        <w:rPr>
          <w:rFonts w:ascii="Arial" w:hAnsi="Arial" w:cs="Arial"/>
          <w:sz w:val="17"/>
          <w:szCs w:val="17"/>
          <w:lang w:val="en-GB"/>
        </w:rPr>
        <w:t>Bajaj</w:t>
      </w:r>
      <w:r w:rsidR="006B6676">
        <w:rPr>
          <w:rFonts w:ascii="Arial" w:hAnsi="Arial" w:cs="Arial"/>
          <w:sz w:val="17"/>
          <w:szCs w:val="17"/>
          <w:lang w:val="en-GB"/>
        </w:rPr>
        <w:t xml:space="preserve"> </w:t>
      </w:r>
      <w:r w:rsidR="00B607FC" w:rsidRPr="00254CA1">
        <w:rPr>
          <w:rFonts w:ascii="Arial" w:hAnsi="Arial" w:cs="Arial"/>
          <w:sz w:val="17"/>
          <w:szCs w:val="17"/>
          <w:lang w:val="en-GB"/>
        </w:rPr>
        <w:t>Auto</w:t>
      </w:r>
      <w:r w:rsidR="006B6676">
        <w:rPr>
          <w:rFonts w:ascii="Arial" w:hAnsi="Arial" w:cs="Arial"/>
          <w:sz w:val="17"/>
          <w:szCs w:val="17"/>
          <w:lang w:val="en-GB"/>
        </w:rPr>
        <w:t xml:space="preserve"> </w:t>
      </w:r>
      <w:r w:rsidR="00B607FC" w:rsidRPr="00254CA1">
        <w:rPr>
          <w:rFonts w:ascii="Arial" w:hAnsi="Arial" w:cs="Arial"/>
          <w:sz w:val="17"/>
          <w:szCs w:val="17"/>
          <w:lang w:val="en-GB"/>
        </w:rPr>
        <w:t>Limited,</w:t>
      </w:r>
      <w:r w:rsidR="006B6676">
        <w:rPr>
          <w:rFonts w:ascii="Arial" w:hAnsi="Arial" w:cs="Arial"/>
          <w:sz w:val="17"/>
          <w:szCs w:val="17"/>
          <w:lang w:val="en-GB"/>
        </w:rPr>
        <w:t xml:space="preserve"> </w:t>
      </w:r>
      <w:r w:rsidR="00B607FC" w:rsidRPr="00254CA1">
        <w:rPr>
          <w:rFonts w:ascii="Arial" w:hAnsi="Arial" w:cs="Arial"/>
          <w:i/>
          <w:sz w:val="17"/>
          <w:szCs w:val="17"/>
          <w:lang w:val="en-GB"/>
        </w:rPr>
        <w:t>12</w:t>
      </w:r>
      <w:r w:rsidR="00254CA1">
        <w:rPr>
          <w:rFonts w:ascii="Arial" w:hAnsi="Arial" w:cs="Arial"/>
          <w:i/>
          <w:sz w:val="17"/>
          <w:szCs w:val="17"/>
          <w:lang w:val="en-GB"/>
        </w:rPr>
        <w:t>th</w:t>
      </w:r>
      <w:r w:rsidR="006B6676">
        <w:rPr>
          <w:rFonts w:ascii="Arial" w:hAnsi="Arial" w:cs="Arial"/>
          <w:i/>
          <w:sz w:val="17"/>
          <w:szCs w:val="17"/>
          <w:lang w:val="en-GB"/>
        </w:rPr>
        <w:t xml:space="preserve"> </w:t>
      </w:r>
      <w:r w:rsidR="00B607FC" w:rsidRPr="00254CA1">
        <w:rPr>
          <w:rFonts w:ascii="Arial" w:hAnsi="Arial" w:cs="Arial"/>
          <w:i/>
          <w:sz w:val="17"/>
          <w:szCs w:val="17"/>
          <w:lang w:val="en-GB"/>
        </w:rPr>
        <w:t>Annual</w:t>
      </w:r>
      <w:r w:rsidR="006B6676">
        <w:rPr>
          <w:rFonts w:ascii="Arial" w:hAnsi="Arial" w:cs="Arial"/>
          <w:i/>
          <w:sz w:val="17"/>
          <w:szCs w:val="17"/>
          <w:lang w:val="en-GB"/>
        </w:rPr>
        <w:t xml:space="preserve"> </w:t>
      </w:r>
      <w:r w:rsidR="00B607FC" w:rsidRPr="00254CA1">
        <w:rPr>
          <w:rFonts w:ascii="Arial" w:hAnsi="Arial" w:cs="Arial"/>
          <w:i/>
          <w:sz w:val="17"/>
          <w:szCs w:val="17"/>
          <w:lang w:val="en-GB"/>
        </w:rPr>
        <w:t>Report</w:t>
      </w:r>
      <w:r w:rsidR="006B6676">
        <w:rPr>
          <w:rFonts w:ascii="Arial" w:hAnsi="Arial" w:cs="Arial"/>
          <w:i/>
          <w:sz w:val="17"/>
          <w:szCs w:val="17"/>
          <w:lang w:val="en-GB"/>
        </w:rPr>
        <w:t xml:space="preserve"> </w:t>
      </w:r>
      <w:r w:rsidR="00B607FC" w:rsidRPr="00254CA1">
        <w:rPr>
          <w:rFonts w:ascii="Arial" w:hAnsi="Arial" w:cs="Arial"/>
          <w:i/>
          <w:sz w:val="17"/>
          <w:szCs w:val="17"/>
          <w:lang w:val="en-GB"/>
        </w:rPr>
        <w:t>2018-19</w:t>
      </w:r>
      <w:r w:rsidR="00B607FC" w:rsidRPr="00254CA1">
        <w:rPr>
          <w:rFonts w:ascii="Arial" w:hAnsi="Arial" w:cs="Arial"/>
          <w:sz w:val="17"/>
          <w:szCs w:val="17"/>
          <w:lang w:val="en-GB"/>
        </w:rPr>
        <w:t>,</w:t>
      </w:r>
      <w:r w:rsidR="006B6676">
        <w:rPr>
          <w:rFonts w:ascii="Arial" w:hAnsi="Arial" w:cs="Arial"/>
          <w:sz w:val="17"/>
          <w:szCs w:val="17"/>
          <w:lang w:val="en-GB"/>
        </w:rPr>
        <w:t xml:space="preserve"> </w:t>
      </w:r>
      <w:r w:rsidR="0023084D" w:rsidRPr="0023084D">
        <w:rPr>
          <w:rFonts w:ascii="Arial" w:hAnsi="Arial" w:cs="Arial"/>
          <w:sz w:val="17"/>
          <w:szCs w:val="17"/>
          <w:lang w:val="en-GB"/>
        </w:rPr>
        <w:t>a</w:t>
      </w:r>
      <w:r w:rsidR="0023084D" w:rsidRPr="00254CA1">
        <w:rPr>
          <w:rFonts w:ascii="Arial" w:hAnsi="Arial" w:cs="Arial"/>
          <w:sz w:val="17"/>
          <w:szCs w:val="17"/>
          <w:lang w:val="en-GB"/>
        </w:rPr>
        <w:t>ccessed</w:t>
      </w:r>
      <w:r w:rsidR="006B6676">
        <w:rPr>
          <w:rFonts w:ascii="Arial" w:hAnsi="Arial" w:cs="Arial"/>
          <w:sz w:val="17"/>
          <w:szCs w:val="17"/>
          <w:lang w:val="en-GB"/>
        </w:rPr>
        <w:t xml:space="preserve"> </w:t>
      </w:r>
      <w:r w:rsidR="0023084D" w:rsidRPr="00254CA1">
        <w:rPr>
          <w:rFonts w:ascii="Arial" w:hAnsi="Arial" w:cs="Arial"/>
          <w:sz w:val="17"/>
          <w:szCs w:val="17"/>
          <w:lang w:val="en-GB"/>
        </w:rPr>
        <w:t>October</w:t>
      </w:r>
      <w:r w:rsidR="006B6676">
        <w:rPr>
          <w:rFonts w:ascii="Arial" w:hAnsi="Arial" w:cs="Arial"/>
          <w:sz w:val="17"/>
          <w:szCs w:val="17"/>
          <w:lang w:val="en-GB"/>
        </w:rPr>
        <w:t xml:space="preserve"> </w:t>
      </w:r>
      <w:r w:rsidR="0023084D" w:rsidRPr="00254CA1">
        <w:rPr>
          <w:rFonts w:ascii="Arial" w:hAnsi="Arial" w:cs="Arial"/>
          <w:sz w:val="17"/>
          <w:szCs w:val="17"/>
          <w:lang w:val="en-GB"/>
        </w:rPr>
        <w:t>22,</w:t>
      </w:r>
      <w:r w:rsidR="006B6676">
        <w:rPr>
          <w:rFonts w:ascii="Arial" w:hAnsi="Arial" w:cs="Arial"/>
          <w:sz w:val="17"/>
          <w:szCs w:val="17"/>
          <w:lang w:val="en-GB"/>
        </w:rPr>
        <w:t xml:space="preserve"> </w:t>
      </w:r>
      <w:r w:rsidR="0023084D" w:rsidRPr="00254CA1">
        <w:rPr>
          <w:rFonts w:ascii="Arial" w:hAnsi="Arial" w:cs="Arial"/>
          <w:sz w:val="17"/>
          <w:szCs w:val="17"/>
          <w:lang w:val="en-GB"/>
        </w:rPr>
        <w:t>2020</w:t>
      </w:r>
      <w:r w:rsidR="00254CA1">
        <w:rPr>
          <w:rFonts w:ascii="Arial" w:hAnsi="Arial" w:cs="Arial"/>
          <w:sz w:val="17"/>
          <w:szCs w:val="17"/>
          <w:lang w:val="en-GB"/>
        </w:rPr>
        <w:t>,</w:t>
      </w:r>
      <w:r w:rsidR="006B6676">
        <w:rPr>
          <w:rFonts w:ascii="Arial" w:hAnsi="Arial" w:cs="Arial"/>
          <w:sz w:val="17"/>
          <w:szCs w:val="17"/>
          <w:lang w:val="en-GB"/>
        </w:rPr>
        <w:t xml:space="preserve"> </w:t>
      </w:r>
      <w:r w:rsidR="00B607FC" w:rsidRPr="00254CA1">
        <w:rPr>
          <w:rFonts w:ascii="Arial" w:hAnsi="Arial" w:cs="Arial"/>
          <w:sz w:val="17"/>
          <w:szCs w:val="17"/>
          <w:lang w:val="en-GB"/>
        </w:rPr>
        <w:t>www.bajajauto.com/investors/annual-reports</w:t>
      </w:r>
      <w:r w:rsidR="00254CA1">
        <w:rPr>
          <w:rFonts w:ascii="Arial" w:hAnsi="Arial" w:cs="Arial"/>
          <w:sz w:val="17"/>
          <w:szCs w:val="17"/>
          <w:lang w:val="en-GB"/>
        </w:rPr>
        <w:t>,</w:t>
      </w:r>
      <w:r w:rsidR="006B6676">
        <w:rPr>
          <w:rFonts w:ascii="Arial" w:hAnsi="Arial" w:cs="Arial"/>
          <w:sz w:val="17"/>
          <w:szCs w:val="17"/>
          <w:lang w:val="en-GB"/>
        </w:rPr>
        <w:t xml:space="preserve"> </w:t>
      </w:r>
      <w:r w:rsidR="00254CA1">
        <w:rPr>
          <w:rFonts w:ascii="Arial" w:hAnsi="Arial" w:cs="Arial"/>
          <w:sz w:val="17"/>
          <w:szCs w:val="17"/>
          <w:lang w:val="en-GB"/>
        </w:rPr>
        <w:t>14.</w:t>
      </w:r>
    </w:p>
    <w:p w14:paraId="4847AA61" w14:textId="3F07AC89" w:rsidR="00B607FC" w:rsidRDefault="00B607FC" w:rsidP="00B607FC">
      <w:pPr>
        <w:rPr>
          <w:b/>
          <w:color w:val="000000"/>
          <w:lang w:val="en-GB"/>
        </w:rPr>
      </w:pPr>
    </w:p>
    <w:p w14:paraId="2472CACE" w14:textId="77777777" w:rsidR="00D82A78" w:rsidRPr="00F26A3E" w:rsidRDefault="00D82A78" w:rsidP="00B607FC">
      <w:pPr>
        <w:rPr>
          <w:b/>
          <w:color w:val="000000"/>
          <w:lang w:val="en-GB"/>
        </w:rPr>
      </w:pPr>
    </w:p>
    <w:p w14:paraId="00601D24" w14:textId="04E15551" w:rsidR="00B607FC" w:rsidRPr="00F26A3E" w:rsidRDefault="00B607FC" w:rsidP="00B607FC">
      <w:pPr>
        <w:jc w:val="center"/>
        <w:rPr>
          <w:rFonts w:ascii="Arial" w:hAnsi="Arial" w:cs="Arial"/>
          <w:b/>
          <w:caps/>
          <w:lang w:val="en-GB"/>
        </w:rPr>
      </w:pPr>
      <w:r w:rsidRPr="00F26A3E">
        <w:rPr>
          <w:rFonts w:ascii="Arial" w:hAnsi="Arial" w:cs="Arial"/>
          <w:b/>
          <w:caps/>
          <w:lang w:val="en-GB"/>
        </w:rPr>
        <w:t>Exhibit</w:t>
      </w:r>
      <w:r w:rsidR="006B6676">
        <w:rPr>
          <w:rFonts w:ascii="Arial" w:hAnsi="Arial" w:cs="Arial"/>
          <w:b/>
          <w:caps/>
          <w:lang w:val="en-GB"/>
        </w:rPr>
        <w:t xml:space="preserve"> </w:t>
      </w:r>
      <w:r w:rsidRPr="00F26A3E">
        <w:rPr>
          <w:rFonts w:ascii="Arial" w:hAnsi="Arial" w:cs="Arial"/>
          <w:b/>
          <w:caps/>
          <w:lang w:val="en-GB"/>
        </w:rPr>
        <w:t>2:</w:t>
      </w:r>
      <w:r w:rsidR="006B6676">
        <w:rPr>
          <w:rFonts w:ascii="Arial" w:hAnsi="Arial" w:cs="Arial"/>
          <w:b/>
          <w:caps/>
          <w:lang w:val="en-GB"/>
        </w:rPr>
        <w:t xml:space="preserve"> </w:t>
      </w:r>
      <w:r w:rsidRPr="00F26A3E">
        <w:rPr>
          <w:rFonts w:ascii="Arial" w:hAnsi="Arial" w:cs="Arial"/>
          <w:b/>
          <w:caps/>
          <w:lang w:val="en-GB"/>
        </w:rPr>
        <w:t>Royal</w:t>
      </w:r>
      <w:r w:rsidR="006B6676">
        <w:rPr>
          <w:rFonts w:ascii="Arial" w:hAnsi="Arial" w:cs="Arial"/>
          <w:b/>
          <w:caps/>
          <w:lang w:val="en-GB"/>
        </w:rPr>
        <w:t xml:space="preserve"> </w:t>
      </w:r>
      <w:r w:rsidRPr="00F26A3E">
        <w:rPr>
          <w:rFonts w:ascii="Arial" w:hAnsi="Arial" w:cs="Arial"/>
          <w:b/>
          <w:caps/>
          <w:lang w:val="en-GB"/>
        </w:rPr>
        <w:t>Enfield</w:t>
      </w:r>
      <w:r w:rsidR="006B6676">
        <w:rPr>
          <w:rFonts w:ascii="Arial" w:hAnsi="Arial" w:cs="Arial"/>
          <w:b/>
          <w:caps/>
          <w:lang w:val="en-GB"/>
        </w:rPr>
        <w:t xml:space="preserve"> </w:t>
      </w:r>
      <w:r w:rsidRPr="00F26A3E">
        <w:rPr>
          <w:rFonts w:ascii="Arial" w:hAnsi="Arial" w:cs="Arial"/>
          <w:b/>
          <w:caps/>
          <w:lang w:val="en-GB"/>
        </w:rPr>
        <w:t>Motorcycles</w:t>
      </w:r>
      <w:r w:rsidR="006B6676">
        <w:rPr>
          <w:rFonts w:ascii="Arial" w:hAnsi="Arial" w:cs="Arial"/>
          <w:b/>
          <w:caps/>
          <w:lang w:val="en-GB"/>
        </w:rPr>
        <w:t xml:space="preserve"> </w:t>
      </w:r>
      <w:r w:rsidR="005774D6">
        <w:rPr>
          <w:rFonts w:ascii="Arial" w:hAnsi="Arial" w:cs="Arial"/>
          <w:b/>
          <w:caps/>
          <w:lang w:val="en-GB"/>
        </w:rPr>
        <w:t>Sales</w:t>
      </w:r>
      <w:r w:rsidR="006B6676">
        <w:rPr>
          <w:rFonts w:ascii="Arial" w:hAnsi="Arial" w:cs="Arial"/>
          <w:b/>
          <w:caps/>
          <w:lang w:val="en-GB"/>
        </w:rPr>
        <w:t xml:space="preserve"> </w:t>
      </w:r>
      <w:r w:rsidR="005774D6">
        <w:rPr>
          <w:rFonts w:ascii="Arial" w:hAnsi="Arial" w:cs="Arial"/>
          <w:b/>
          <w:caps/>
          <w:lang w:val="en-GB"/>
        </w:rPr>
        <w:t>Volume</w:t>
      </w:r>
      <w:r w:rsidR="006B6676">
        <w:rPr>
          <w:rFonts w:ascii="Arial" w:hAnsi="Arial" w:cs="Arial"/>
          <w:b/>
          <w:caps/>
          <w:lang w:val="en-GB"/>
        </w:rPr>
        <w:t xml:space="preserve"> </w:t>
      </w:r>
      <w:r w:rsidRPr="00F26A3E">
        <w:rPr>
          <w:rFonts w:ascii="Arial" w:hAnsi="Arial" w:cs="Arial"/>
          <w:b/>
          <w:caps/>
          <w:lang w:val="en-GB"/>
        </w:rPr>
        <w:t>201</w:t>
      </w:r>
      <w:r w:rsidR="00F90EBC">
        <w:rPr>
          <w:rFonts w:ascii="Arial" w:hAnsi="Arial" w:cs="Arial"/>
          <w:b/>
          <w:caps/>
          <w:lang w:val="en-GB"/>
        </w:rPr>
        <w:t>8</w:t>
      </w:r>
      <w:r w:rsidR="006B6676">
        <w:rPr>
          <w:rFonts w:ascii="Arial" w:hAnsi="Arial" w:cs="Arial"/>
          <w:b/>
          <w:caps/>
          <w:lang w:val="en-GB"/>
        </w:rPr>
        <w:t xml:space="preserve"> </w:t>
      </w:r>
      <w:r w:rsidR="00F90EBC">
        <w:rPr>
          <w:rFonts w:ascii="Arial" w:hAnsi="Arial" w:cs="Arial"/>
          <w:b/>
          <w:caps/>
          <w:lang w:val="en-GB"/>
        </w:rPr>
        <w:t>and</w:t>
      </w:r>
      <w:r w:rsidR="006B6676">
        <w:rPr>
          <w:rFonts w:ascii="Arial" w:hAnsi="Arial" w:cs="Arial"/>
          <w:b/>
          <w:caps/>
          <w:lang w:val="en-GB"/>
        </w:rPr>
        <w:t xml:space="preserve"> </w:t>
      </w:r>
      <w:r w:rsidR="00F90EBC">
        <w:rPr>
          <w:rFonts w:ascii="Arial" w:hAnsi="Arial" w:cs="Arial"/>
          <w:b/>
          <w:caps/>
          <w:lang w:val="en-GB"/>
        </w:rPr>
        <w:t>201</w:t>
      </w:r>
      <w:r w:rsidRPr="00F26A3E">
        <w:rPr>
          <w:rFonts w:ascii="Arial" w:hAnsi="Arial" w:cs="Arial"/>
          <w:b/>
          <w:caps/>
          <w:lang w:val="en-GB"/>
        </w:rPr>
        <w:t>9</w:t>
      </w:r>
    </w:p>
    <w:p w14:paraId="024A9D49" w14:textId="77777777" w:rsidR="00B607FC" w:rsidRPr="00F26A3E" w:rsidRDefault="00B607FC" w:rsidP="00B607FC">
      <w:pPr>
        <w:jc w:val="center"/>
        <w:rPr>
          <w:rFonts w:ascii="Arial" w:hAnsi="Arial" w:cs="Arial"/>
          <w:b/>
          <w:caps/>
          <w:lang w:val="en-GB"/>
        </w:rPr>
      </w:pPr>
    </w:p>
    <w:tbl>
      <w:tblPr>
        <w:tblStyle w:val="TableGrid1"/>
        <w:tblW w:w="9224" w:type="dxa"/>
        <w:tblLayout w:type="fixed"/>
        <w:tblCellMar>
          <w:left w:w="29" w:type="dxa"/>
          <w:right w:w="29" w:type="dxa"/>
        </w:tblCellMar>
        <w:tblLook w:val="04A0" w:firstRow="1" w:lastRow="0" w:firstColumn="1" w:lastColumn="0" w:noHBand="0" w:noVBand="1"/>
        <w:tblCaption w:val="EXHIBIT 2"/>
        <w:tblDescription w:val="ROYAL ENFIELD MOTORCYCLES SALES VOLUME 2018 AND 2019"/>
      </w:tblPr>
      <w:tblGrid>
        <w:gridCol w:w="1075"/>
        <w:gridCol w:w="1260"/>
        <w:gridCol w:w="1350"/>
        <w:gridCol w:w="1350"/>
        <w:gridCol w:w="1260"/>
        <w:gridCol w:w="873"/>
        <w:gridCol w:w="939"/>
        <w:gridCol w:w="1117"/>
      </w:tblGrid>
      <w:tr w:rsidR="00B607FC" w:rsidRPr="00F26A3E" w14:paraId="50A3CCFF" w14:textId="77777777" w:rsidTr="00995787">
        <w:trPr>
          <w:trHeight w:val="70"/>
          <w:tblHeader/>
        </w:trPr>
        <w:tc>
          <w:tcPr>
            <w:tcW w:w="1075" w:type="dxa"/>
            <w:noWrap/>
            <w:hideMark/>
          </w:tcPr>
          <w:p w14:paraId="0380BDA3" w14:textId="3F3DE7C1" w:rsidR="00B607FC" w:rsidRPr="00F26A3E" w:rsidRDefault="006B6676" w:rsidP="00B607FC">
            <w:pPr>
              <w:jc w:val="center"/>
              <w:rPr>
                <w:rFonts w:ascii="Arial" w:hAnsi="Arial" w:cs="Arial"/>
                <w:color w:val="000000"/>
                <w:lang w:val="en-GB"/>
              </w:rPr>
            </w:pPr>
            <w:r>
              <w:rPr>
                <w:rFonts w:ascii="Arial" w:hAnsi="Arial" w:cs="Arial"/>
                <w:color w:val="000000"/>
                <w:lang w:val="en-GB"/>
              </w:rPr>
              <w:t xml:space="preserve"> </w:t>
            </w:r>
          </w:p>
        </w:tc>
        <w:tc>
          <w:tcPr>
            <w:tcW w:w="2610" w:type="dxa"/>
            <w:gridSpan w:val="2"/>
            <w:noWrap/>
            <w:hideMark/>
          </w:tcPr>
          <w:p w14:paraId="7CF7B5F8"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2019</w:t>
            </w:r>
          </w:p>
        </w:tc>
        <w:tc>
          <w:tcPr>
            <w:tcW w:w="2610" w:type="dxa"/>
            <w:gridSpan w:val="2"/>
            <w:noWrap/>
            <w:hideMark/>
          </w:tcPr>
          <w:p w14:paraId="460CEC02"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2018</w:t>
            </w:r>
          </w:p>
        </w:tc>
        <w:tc>
          <w:tcPr>
            <w:tcW w:w="1812" w:type="dxa"/>
            <w:gridSpan w:val="2"/>
            <w:noWrap/>
            <w:hideMark/>
          </w:tcPr>
          <w:p w14:paraId="78C6E329" w14:textId="5D7FB7D1"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Total</w:t>
            </w:r>
            <w:r w:rsidR="006B6676">
              <w:rPr>
                <w:rFonts w:ascii="Arial" w:hAnsi="Arial" w:cs="Arial"/>
                <w:b/>
                <w:bCs/>
                <w:color w:val="000000"/>
                <w:lang w:val="en-GB"/>
              </w:rPr>
              <w:t xml:space="preserve"> </w:t>
            </w:r>
          </w:p>
        </w:tc>
        <w:tc>
          <w:tcPr>
            <w:tcW w:w="1117" w:type="dxa"/>
            <w:noWrap/>
            <w:hideMark/>
          </w:tcPr>
          <w:p w14:paraId="0105A551" w14:textId="45C87590" w:rsidR="00B607FC" w:rsidRPr="00F26A3E" w:rsidRDefault="006B6676" w:rsidP="00B607FC">
            <w:pPr>
              <w:jc w:val="center"/>
              <w:rPr>
                <w:rFonts w:ascii="Arial" w:hAnsi="Arial" w:cs="Arial"/>
                <w:b/>
                <w:bCs/>
                <w:color w:val="000000"/>
                <w:lang w:val="en-GB"/>
              </w:rPr>
            </w:pPr>
            <w:r>
              <w:rPr>
                <w:rFonts w:ascii="Arial" w:hAnsi="Arial" w:cs="Arial"/>
                <w:b/>
                <w:bCs/>
                <w:color w:val="000000"/>
                <w:lang w:val="en-GB"/>
              </w:rPr>
              <w:t xml:space="preserve"> </w:t>
            </w:r>
          </w:p>
        </w:tc>
      </w:tr>
      <w:tr w:rsidR="00B607FC" w:rsidRPr="004F493A" w14:paraId="22B5C209" w14:textId="77777777" w:rsidTr="00995787">
        <w:trPr>
          <w:trHeight w:val="242"/>
          <w:tblHeader/>
        </w:trPr>
        <w:tc>
          <w:tcPr>
            <w:tcW w:w="1075" w:type="dxa"/>
            <w:noWrap/>
            <w:hideMark/>
          </w:tcPr>
          <w:p w14:paraId="36FC31CC" w14:textId="4E8819B9" w:rsidR="00B607FC" w:rsidRPr="00195AC2" w:rsidRDefault="00B607FC" w:rsidP="00B607FC">
            <w:pPr>
              <w:jc w:val="center"/>
              <w:rPr>
                <w:rFonts w:ascii="Arial" w:hAnsi="Arial" w:cs="Arial"/>
                <w:b/>
                <w:color w:val="000000"/>
                <w:lang w:val="en-GB"/>
              </w:rPr>
            </w:pPr>
            <w:r w:rsidRPr="00195AC2">
              <w:rPr>
                <w:rFonts w:ascii="Arial" w:hAnsi="Arial" w:cs="Arial"/>
                <w:b/>
                <w:color w:val="000000"/>
                <w:lang w:val="en-GB"/>
              </w:rPr>
              <w:t>Month</w:t>
            </w:r>
            <w:r w:rsidR="006B6676" w:rsidRPr="00195AC2">
              <w:rPr>
                <w:rFonts w:ascii="Arial" w:hAnsi="Arial" w:cs="Arial"/>
                <w:b/>
                <w:color w:val="000000"/>
                <w:lang w:val="en-GB"/>
              </w:rPr>
              <w:t xml:space="preserve"> </w:t>
            </w:r>
            <w:r w:rsidR="00254CA1" w:rsidRPr="00195AC2">
              <w:rPr>
                <w:rFonts w:ascii="Arial" w:hAnsi="Arial" w:cs="Arial"/>
                <w:b/>
                <w:color w:val="000000"/>
                <w:lang w:val="en-GB"/>
              </w:rPr>
              <w:t>or</w:t>
            </w:r>
            <w:r w:rsidR="006B6676" w:rsidRPr="00195AC2">
              <w:rPr>
                <w:rFonts w:ascii="Arial" w:hAnsi="Arial" w:cs="Arial"/>
                <w:b/>
                <w:color w:val="000000"/>
                <w:lang w:val="en-GB"/>
              </w:rPr>
              <w:t xml:space="preserve"> </w:t>
            </w:r>
            <w:r w:rsidRPr="00195AC2">
              <w:rPr>
                <w:rFonts w:ascii="Arial" w:hAnsi="Arial" w:cs="Arial"/>
                <w:b/>
                <w:color w:val="000000"/>
                <w:lang w:val="en-GB"/>
              </w:rPr>
              <w:t>Quarter</w:t>
            </w:r>
          </w:p>
        </w:tc>
        <w:tc>
          <w:tcPr>
            <w:tcW w:w="1260" w:type="dxa"/>
            <w:hideMark/>
          </w:tcPr>
          <w:p w14:paraId="040F3847" w14:textId="5700A49B" w:rsidR="00B607FC" w:rsidRPr="00195AC2" w:rsidRDefault="00A93740" w:rsidP="00B607FC">
            <w:pPr>
              <w:jc w:val="center"/>
              <w:rPr>
                <w:rFonts w:ascii="Arial" w:hAnsi="Arial" w:cs="Arial"/>
                <w:b/>
                <w:color w:val="000000"/>
                <w:lang w:val="en-GB"/>
              </w:rPr>
            </w:pPr>
            <w:r w:rsidRPr="00195AC2">
              <w:rPr>
                <w:rFonts w:ascii="Arial" w:hAnsi="Arial" w:cs="Arial"/>
                <w:b/>
                <w:color w:val="000000"/>
                <w:lang w:val="en-GB"/>
              </w:rPr>
              <w:t>Up</w:t>
            </w:r>
            <w:r w:rsidR="006B6676" w:rsidRPr="00195AC2">
              <w:rPr>
                <w:rFonts w:ascii="Arial" w:hAnsi="Arial" w:cs="Arial"/>
                <w:b/>
                <w:color w:val="000000"/>
                <w:lang w:val="en-GB"/>
              </w:rPr>
              <w:t xml:space="preserve"> </w:t>
            </w:r>
            <w:r w:rsidRPr="00195AC2">
              <w:rPr>
                <w:rFonts w:ascii="Arial" w:hAnsi="Arial" w:cs="Arial"/>
                <w:b/>
                <w:color w:val="000000"/>
                <w:lang w:val="en-GB"/>
              </w:rPr>
              <w:t>to</w:t>
            </w:r>
            <w:r w:rsidR="006B6676" w:rsidRPr="00195AC2">
              <w:rPr>
                <w:rFonts w:ascii="Arial" w:hAnsi="Arial" w:cs="Arial"/>
                <w:b/>
                <w:color w:val="000000"/>
                <w:lang w:val="en-GB"/>
              </w:rPr>
              <w:t xml:space="preserve"> </w:t>
            </w:r>
            <w:r w:rsidR="00B607FC" w:rsidRPr="00195AC2">
              <w:rPr>
                <w:rFonts w:ascii="Arial" w:hAnsi="Arial" w:cs="Arial"/>
                <w:b/>
                <w:color w:val="000000"/>
                <w:lang w:val="en-GB"/>
              </w:rPr>
              <w:t>350cc</w:t>
            </w:r>
          </w:p>
        </w:tc>
        <w:tc>
          <w:tcPr>
            <w:tcW w:w="1350" w:type="dxa"/>
            <w:hideMark/>
          </w:tcPr>
          <w:p w14:paraId="56EEB51D" w14:textId="7B271885" w:rsidR="00B607FC" w:rsidRPr="00195AC2" w:rsidRDefault="00254CA1" w:rsidP="00B607FC">
            <w:pPr>
              <w:jc w:val="center"/>
              <w:rPr>
                <w:rFonts w:ascii="Arial" w:hAnsi="Arial" w:cs="Arial"/>
                <w:b/>
                <w:color w:val="000000"/>
                <w:lang w:val="en-GB"/>
              </w:rPr>
            </w:pPr>
            <w:r w:rsidRPr="00195AC2">
              <w:rPr>
                <w:rFonts w:ascii="Arial" w:hAnsi="Arial" w:cs="Arial"/>
                <w:b/>
                <w:color w:val="000000"/>
                <w:lang w:val="en-GB"/>
              </w:rPr>
              <w:t>Over</w:t>
            </w:r>
            <w:r w:rsidR="006B6676" w:rsidRPr="00195AC2">
              <w:rPr>
                <w:rFonts w:ascii="Arial" w:hAnsi="Arial" w:cs="Arial"/>
                <w:b/>
                <w:color w:val="000000"/>
                <w:lang w:val="en-GB"/>
              </w:rPr>
              <w:t xml:space="preserve"> </w:t>
            </w:r>
            <w:r w:rsidR="00B607FC" w:rsidRPr="00195AC2">
              <w:rPr>
                <w:rFonts w:ascii="Arial" w:hAnsi="Arial" w:cs="Arial"/>
                <w:b/>
                <w:color w:val="000000"/>
                <w:lang w:val="en-GB"/>
              </w:rPr>
              <w:t>350cc</w:t>
            </w:r>
          </w:p>
        </w:tc>
        <w:tc>
          <w:tcPr>
            <w:tcW w:w="1350" w:type="dxa"/>
            <w:hideMark/>
          </w:tcPr>
          <w:p w14:paraId="1EA6F1A7" w14:textId="685BEB36" w:rsidR="00B607FC" w:rsidRPr="00195AC2" w:rsidRDefault="00A93740" w:rsidP="00B607FC">
            <w:pPr>
              <w:jc w:val="center"/>
              <w:rPr>
                <w:rFonts w:ascii="Arial" w:hAnsi="Arial" w:cs="Arial"/>
                <w:b/>
                <w:color w:val="000000"/>
                <w:lang w:val="en-GB"/>
              </w:rPr>
            </w:pPr>
            <w:r w:rsidRPr="00195AC2">
              <w:rPr>
                <w:rFonts w:ascii="Arial" w:hAnsi="Arial" w:cs="Arial"/>
                <w:b/>
                <w:color w:val="000000"/>
                <w:lang w:val="en-GB"/>
              </w:rPr>
              <w:t>Up</w:t>
            </w:r>
            <w:r w:rsidR="006B6676" w:rsidRPr="00195AC2">
              <w:rPr>
                <w:rFonts w:ascii="Arial" w:hAnsi="Arial" w:cs="Arial"/>
                <w:b/>
                <w:color w:val="000000"/>
                <w:lang w:val="en-GB"/>
              </w:rPr>
              <w:t xml:space="preserve"> </w:t>
            </w:r>
            <w:r w:rsidRPr="00195AC2">
              <w:rPr>
                <w:rFonts w:ascii="Arial" w:hAnsi="Arial" w:cs="Arial"/>
                <w:b/>
                <w:color w:val="000000"/>
                <w:lang w:val="en-GB"/>
              </w:rPr>
              <w:t>to</w:t>
            </w:r>
            <w:r w:rsidR="006B6676" w:rsidRPr="00195AC2">
              <w:rPr>
                <w:rFonts w:ascii="Arial" w:hAnsi="Arial" w:cs="Arial"/>
                <w:b/>
                <w:color w:val="000000"/>
                <w:lang w:val="en-GB"/>
              </w:rPr>
              <w:t xml:space="preserve"> </w:t>
            </w:r>
            <w:r w:rsidR="00B607FC" w:rsidRPr="00195AC2">
              <w:rPr>
                <w:rFonts w:ascii="Arial" w:hAnsi="Arial" w:cs="Arial"/>
                <w:b/>
                <w:color w:val="000000"/>
                <w:lang w:val="en-GB"/>
              </w:rPr>
              <w:t>350cc</w:t>
            </w:r>
          </w:p>
        </w:tc>
        <w:tc>
          <w:tcPr>
            <w:tcW w:w="1260" w:type="dxa"/>
            <w:hideMark/>
          </w:tcPr>
          <w:p w14:paraId="05915E86" w14:textId="31A5AD99" w:rsidR="00B607FC" w:rsidRPr="00195AC2" w:rsidRDefault="00254CA1" w:rsidP="00B607FC">
            <w:pPr>
              <w:jc w:val="center"/>
              <w:rPr>
                <w:rFonts w:ascii="Arial" w:hAnsi="Arial" w:cs="Arial"/>
                <w:b/>
                <w:color w:val="000000"/>
                <w:lang w:val="en-GB"/>
              </w:rPr>
            </w:pPr>
            <w:r w:rsidRPr="00195AC2">
              <w:rPr>
                <w:rFonts w:ascii="Arial" w:hAnsi="Arial" w:cs="Arial"/>
                <w:b/>
                <w:color w:val="000000"/>
                <w:lang w:val="en-GB"/>
              </w:rPr>
              <w:t>Over</w:t>
            </w:r>
            <w:r w:rsidR="006B6676" w:rsidRPr="00195AC2">
              <w:rPr>
                <w:rFonts w:ascii="Arial" w:hAnsi="Arial" w:cs="Arial"/>
                <w:b/>
                <w:color w:val="000000"/>
                <w:lang w:val="en-GB"/>
              </w:rPr>
              <w:t xml:space="preserve"> </w:t>
            </w:r>
            <w:r w:rsidR="00B607FC" w:rsidRPr="00195AC2">
              <w:rPr>
                <w:rFonts w:ascii="Arial" w:hAnsi="Arial" w:cs="Arial"/>
                <w:b/>
                <w:color w:val="000000"/>
                <w:lang w:val="en-GB"/>
              </w:rPr>
              <w:t>350cc</w:t>
            </w:r>
          </w:p>
        </w:tc>
        <w:tc>
          <w:tcPr>
            <w:tcW w:w="873" w:type="dxa"/>
            <w:hideMark/>
          </w:tcPr>
          <w:p w14:paraId="34E3FFC4" w14:textId="77777777" w:rsidR="00B607FC" w:rsidRPr="00195AC2" w:rsidRDefault="00B607FC" w:rsidP="00B607FC">
            <w:pPr>
              <w:jc w:val="center"/>
              <w:rPr>
                <w:rFonts w:ascii="Arial" w:hAnsi="Arial" w:cs="Arial"/>
                <w:b/>
                <w:color w:val="000000"/>
                <w:lang w:val="en-GB"/>
              </w:rPr>
            </w:pPr>
            <w:r w:rsidRPr="00195AC2">
              <w:rPr>
                <w:rFonts w:ascii="Arial" w:hAnsi="Arial" w:cs="Arial"/>
                <w:b/>
                <w:color w:val="000000"/>
                <w:lang w:val="en-GB"/>
              </w:rPr>
              <w:t>2019</w:t>
            </w:r>
          </w:p>
        </w:tc>
        <w:tc>
          <w:tcPr>
            <w:tcW w:w="939" w:type="dxa"/>
            <w:hideMark/>
          </w:tcPr>
          <w:p w14:paraId="29D7C7D0" w14:textId="77777777" w:rsidR="00B607FC" w:rsidRPr="00195AC2" w:rsidRDefault="00B607FC" w:rsidP="00B607FC">
            <w:pPr>
              <w:jc w:val="center"/>
              <w:rPr>
                <w:rFonts w:ascii="Arial" w:hAnsi="Arial" w:cs="Arial"/>
                <w:b/>
                <w:color w:val="000000"/>
                <w:lang w:val="en-GB"/>
              </w:rPr>
            </w:pPr>
            <w:r w:rsidRPr="00195AC2">
              <w:rPr>
                <w:rFonts w:ascii="Arial" w:hAnsi="Arial" w:cs="Arial"/>
                <w:b/>
                <w:color w:val="000000"/>
                <w:lang w:val="en-GB"/>
              </w:rPr>
              <w:t>2018</w:t>
            </w:r>
          </w:p>
        </w:tc>
        <w:tc>
          <w:tcPr>
            <w:tcW w:w="1117" w:type="dxa"/>
            <w:hideMark/>
          </w:tcPr>
          <w:p w14:paraId="56194696" w14:textId="73200D80" w:rsidR="00B607FC" w:rsidRPr="00195AC2" w:rsidRDefault="00B607FC" w:rsidP="00B607FC">
            <w:pPr>
              <w:jc w:val="center"/>
              <w:rPr>
                <w:rFonts w:ascii="Arial" w:hAnsi="Arial" w:cs="Arial"/>
                <w:b/>
                <w:color w:val="000000"/>
                <w:lang w:val="en-GB"/>
              </w:rPr>
            </w:pPr>
            <w:r w:rsidRPr="00195AC2">
              <w:rPr>
                <w:rFonts w:ascii="Arial" w:hAnsi="Arial" w:cs="Arial"/>
                <w:b/>
                <w:color w:val="000000"/>
                <w:lang w:val="en-GB"/>
              </w:rPr>
              <w:t>Change</w:t>
            </w:r>
          </w:p>
        </w:tc>
      </w:tr>
      <w:tr w:rsidR="00B607FC" w:rsidRPr="00F26A3E" w14:paraId="34543B0D" w14:textId="77777777" w:rsidTr="00995787">
        <w:trPr>
          <w:trHeight w:val="70"/>
          <w:tblHeader/>
        </w:trPr>
        <w:tc>
          <w:tcPr>
            <w:tcW w:w="9224" w:type="dxa"/>
            <w:gridSpan w:val="8"/>
            <w:noWrap/>
            <w:hideMark/>
          </w:tcPr>
          <w:p w14:paraId="31E18912" w14:textId="1AC91FA6" w:rsidR="00B607FC" w:rsidRPr="00F26A3E" w:rsidRDefault="006B6676" w:rsidP="00B607FC">
            <w:pPr>
              <w:jc w:val="center"/>
              <w:rPr>
                <w:rFonts w:ascii="Arial" w:hAnsi="Arial" w:cs="Arial"/>
                <w:color w:val="000000"/>
                <w:lang w:val="en-GB"/>
              </w:rPr>
            </w:pPr>
            <w:r>
              <w:rPr>
                <w:rFonts w:ascii="Arial" w:hAnsi="Arial" w:cs="Arial"/>
                <w:color w:val="000000"/>
                <w:lang w:val="en-GB"/>
              </w:rPr>
              <w:t xml:space="preserve"> </w:t>
            </w:r>
          </w:p>
        </w:tc>
      </w:tr>
      <w:tr w:rsidR="00B607FC" w:rsidRPr="00F26A3E" w14:paraId="6D1B9FCD" w14:textId="77777777" w:rsidTr="00995787">
        <w:trPr>
          <w:trHeight w:val="70"/>
          <w:tblHeader/>
        </w:trPr>
        <w:tc>
          <w:tcPr>
            <w:tcW w:w="1075" w:type="dxa"/>
            <w:noWrap/>
            <w:hideMark/>
          </w:tcPr>
          <w:p w14:paraId="1E6A2E74" w14:textId="304A2A03"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April</w:t>
            </w:r>
            <w:r w:rsidR="006B6676">
              <w:rPr>
                <w:rFonts w:ascii="Arial" w:hAnsi="Arial" w:cs="Arial"/>
                <w:color w:val="000000"/>
                <w:lang w:val="en-GB"/>
              </w:rPr>
              <w:t xml:space="preserve"> </w:t>
            </w:r>
          </w:p>
        </w:tc>
        <w:tc>
          <w:tcPr>
            <w:tcW w:w="1260" w:type="dxa"/>
            <w:noWrap/>
            <w:hideMark/>
          </w:tcPr>
          <w:p w14:paraId="6A84CB9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55</w:t>
            </w:r>
            <w:r w:rsidR="00545DD9">
              <w:rPr>
                <w:rFonts w:ascii="Arial" w:hAnsi="Arial" w:cs="Arial"/>
                <w:color w:val="000000"/>
                <w:lang w:val="en-GB"/>
              </w:rPr>
              <w:t>,</w:t>
            </w:r>
            <w:r w:rsidRPr="00F26A3E">
              <w:rPr>
                <w:rFonts w:ascii="Arial" w:hAnsi="Arial" w:cs="Arial"/>
                <w:color w:val="000000"/>
                <w:lang w:val="en-GB"/>
              </w:rPr>
              <w:t>522</w:t>
            </w:r>
          </w:p>
        </w:tc>
        <w:tc>
          <w:tcPr>
            <w:tcW w:w="1350" w:type="dxa"/>
            <w:noWrap/>
            <w:hideMark/>
          </w:tcPr>
          <w:p w14:paraId="03843E1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w:t>
            </w:r>
            <w:r w:rsidR="00545DD9">
              <w:rPr>
                <w:rFonts w:ascii="Arial" w:hAnsi="Arial" w:cs="Arial"/>
                <w:color w:val="000000"/>
                <w:lang w:val="en-GB"/>
              </w:rPr>
              <w:t>,</w:t>
            </w:r>
            <w:r w:rsidRPr="00F26A3E">
              <w:rPr>
                <w:rFonts w:ascii="Arial" w:hAnsi="Arial" w:cs="Arial"/>
                <w:color w:val="000000"/>
                <w:lang w:val="en-GB"/>
              </w:rPr>
              <w:t>357</w:t>
            </w:r>
          </w:p>
        </w:tc>
        <w:tc>
          <w:tcPr>
            <w:tcW w:w="1350" w:type="dxa"/>
            <w:noWrap/>
            <w:hideMark/>
          </w:tcPr>
          <w:p w14:paraId="034E11E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70</w:t>
            </w:r>
            <w:r w:rsidR="00254CA1">
              <w:rPr>
                <w:rFonts w:ascii="Arial" w:hAnsi="Arial" w:cs="Arial"/>
                <w:color w:val="000000"/>
                <w:lang w:val="en-GB"/>
              </w:rPr>
              <w:t>,</w:t>
            </w:r>
            <w:r w:rsidRPr="00F26A3E">
              <w:rPr>
                <w:rFonts w:ascii="Arial" w:hAnsi="Arial" w:cs="Arial"/>
                <w:color w:val="000000"/>
                <w:lang w:val="en-GB"/>
              </w:rPr>
              <w:t>111</w:t>
            </w:r>
          </w:p>
        </w:tc>
        <w:tc>
          <w:tcPr>
            <w:tcW w:w="1260" w:type="dxa"/>
            <w:noWrap/>
            <w:hideMark/>
          </w:tcPr>
          <w:p w14:paraId="6512A5A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w:t>
            </w:r>
            <w:r w:rsidR="00254CA1">
              <w:rPr>
                <w:rFonts w:ascii="Arial" w:hAnsi="Arial" w:cs="Arial"/>
                <w:color w:val="000000"/>
                <w:lang w:val="en-GB"/>
              </w:rPr>
              <w:t>,</w:t>
            </w:r>
            <w:r w:rsidRPr="00F26A3E">
              <w:rPr>
                <w:rFonts w:ascii="Arial" w:hAnsi="Arial" w:cs="Arial"/>
                <w:color w:val="000000"/>
                <w:lang w:val="en-GB"/>
              </w:rPr>
              <w:t>076</w:t>
            </w:r>
          </w:p>
        </w:tc>
        <w:tc>
          <w:tcPr>
            <w:tcW w:w="873" w:type="dxa"/>
            <w:noWrap/>
            <w:hideMark/>
          </w:tcPr>
          <w:p w14:paraId="176B1CB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62</w:t>
            </w:r>
            <w:r w:rsidR="00254CA1">
              <w:rPr>
                <w:rFonts w:ascii="Arial" w:hAnsi="Arial" w:cs="Arial"/>
                <w:color w:val="000000"/>
                <w:lang w:val="en-GB"/>
              </w:rPr>
              <w:t>,</w:t>
            </w:r>
            <w:r w:rsidRPr="00F26A3E">
              <w:rPr>
                <w:rFonts w:ascii="Arial" w:hAnsi="Arial" w:cs="Arial"/>
                <w:color w:val="000000"/>
                <w:lang w:val="en-GB"/>
              </w:rPr>
              <w:t>879</w:t>
            </w:r>
          </w:p>
        </w:tc>
        <w:tc>
          <w:tcPr>
            <w:tcW w:w="939" w:type="dxa"/>
            <w:noWrap/>
            <w:hideMark/>
          </w:tcPr>
          <w:p w14:paraId="0338954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76</w:t>
            </w:r>
            <w:r w:rsidR="00254CA1">
              <w:rPr>
                <w:rFonts w:ascii="Arial" w:hAnsi="Arial" w:cs="Arial"/>
                <w:color w:val="000000"/>
                <w:lang w:val="en-GB"/>
              </w:rPr>
              <w:t>,</w:t>
            </w:r>
            <w:r w:rsidRPr="00F26A3E">
              <w:rPr>
                <w:rFonts w:ascii="Arial" w:hAnsi="Arial" w:cs="Arial"/>
                <w:color w:val="000000"/>
                <w:lang w:val="en-GB"/>
              </w:rPr>
              <w:t>187</w:t>
            </w:r>
          </w:p>
        </w:tc>
        <w:tc>
          <w:tcPr>
            <w:tcW w:w="1117" w:type="dxa"/>
            <w:noWrap/>
            <w:hideMark/>
          </w:tcPr>
          <w:p w14:paraId="2CC3C2F9"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17.47%</w:t>
            </w:r>
          </w:p>
        </w:tc>
      </w:tr>
      <w:tr w:rsidR="00B607FC" w:rsidRPr="00F26A3E" w14:paraId="253280A5" w14:textId="77777777" w:rsidTr="00995787">
        <w:trPr>
          <w:trHeight w:val="70"/>
          <w:tblHeader/>
        </w:trPr>
        <w:tc>
          <w:tcPr>
            <w:tcW w:w="1075" w:type="dxa"/>
            <w:noWrap/>
            <w:hideMark/>
          </w:tcPr>
          <w:p w14:paraId="57CE680B" w14:textId="66009ADE"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May</w:t>
            </w:r>
            <w:r w:rsidR="006B6676">
              <w:rPr>
                <w:rFonts w:ascii="Arial" w:hAnsi="Arial" w:cs="Arial"/>
                <w:color w:val="000000"/>
                <w:lang w:val="en-GB"/>
              </w:rPr>
              <w:t xml:space="preserve"> </w:t>
            </w:r>
          </w:p>
        </w:tc>
        <w:tc>
          <w:tcPr>
            <w:tcW w:w="1260" w:type="dxa"/>
            <w:noWrap/>
            <w:hideMark/>
          </w:tcPr>
          <w:p w14:paraId="247A4F7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55</w:t>
            </w:r>
            <w:r w:rsidR="00254CA1">
              <w:rPr>
                <w:rFonts w:ascii="Arial" w:hAnsi="Arial" w:cs="Arial"/>
                <w:color w:val="000000"/>
                <w:lang w:val="en-GB"/>
              </w:rPr>
              <w:t>,</w:t>
            </w:r>
            <w:r w:rsidRPr="00F26A3E">
              <w:rPr>
                <w:rFonts w:ascii="Arial" w:hAnsi="Arial" w:cs="Arial"/>
                <w:color w:val="000000"/>
                <w:lang w:val="en-GB"/>
              </w:rPr>
              <w:t>833</w:t>
            </w:r>
          </w:p>
        </w:tc>
        <w:tc>
          <w:tcPr>
            <w:tcW w:w="1350" w:type="dxa"/>
            <w:noWrap/>
            <w:hideMark/>
          </w:tcPr>
          <w:p w14:paraId="0347E13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w:t>
            </w:r>
            <w:r w:rsidR="00254CA1">
              <w:rPr>
                <w:rFonts w:ascii="Arial" w:hAnsi="Arial" w:cs="Arial"/>
                <w:color w:val="000000"/>
                <w:lang w:val="en-GB"/>
              </w:rPr>
              <w:t>,</w:t>
            </w:r>
            <w:r w:rsidRPr="00F26A3E">
              <w:rPr>
                <w:rFonts w:ascii="Arial" w:hAnsi="Arial" w:cs="Arial"/>
                <w:color w:val="000000"/>
                <w:lang w:val="en-GB"/>
              </w:rPr>
              <w:t>538</w:t>
            </w:r>
          </w:p>
        </w:tc>
        <w:tc>
          <w:tcPr>
            <w:tcW w:w="1350" w:type="dxa"/>
            <w:noWrap/>
            <w:hideMark/>
          </w:tcPr>
          <w:p w14:paraId="779822B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68</w:t>
            </w:r>
            <w:r w:rsidR="00254CA1">
              <w:rPr>
                <w:rFonts w:ascii="Arial" w:hAnsi="Arial" w:cs="Arial"/>
                <w:color w:val="000000"/>
                <w:lang w:val="en-GB"/>
              </w:rPr>
              <w:t>,</w:t>
            </w:r>
            <w:r w:rsidRPr="00F26A3E">
              <w:rPr>
                <w:rFonts w:ascii="Arial" w:hAnsi="Arial" w:cs="Arial"/>
                <w:color w:val="000000"/>
                <w:lang w:val="en-GB"/>
              </w:rPr>
              <w:t>813</w:t>
            </w:r>
          </w:p>
        </w:tc>
        <w:tc>
          <w:tcPr>
            <w:tcW w:w="1260" w:type="dxa"/>
            <w:noWrap/>
            <w:hideMark/>
          </w:tcPr>
          <w:p w14:paraId="2279C77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w:t>
            </w:r>
            <w:r w:rsidR="00254CA1">
              <w:rPr>
                <w:rFonts w:ascii="Arial" w:hAnsi="Arial" w:cs="Arial"/>
                <w:color w:val="000000"/>
                <w:lang w:val="en-GB"/>
              </w:rPr>
              <w:t>,</w:t>
            </w:r>
            <w:r w:rsidRPr="00F26A3E">
              <w:rPr>
                <w:rFonts w:ascii="Arial" w:hAnsi="Arial" w:cs="Arial"/>
                <w:color w:val="000000"/>
                <w:lang w:val="en-GB"/>
              </w:rPr>
              <w:t>884</w:t>
            </w:r>
          </w:p>
        </w:tc>
        <w:tc>
          <w:tcPr>
            <w:tcW w:w="873" w:type="dxa"/>
            <w:noWrap/>
            <w:hideMark/>
          </w:tcPr>
          <w:p w14:paraId="34E5F520"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62</w:t>
            </w:r>
            <w:r w:rsidR="00254CA1">
              <w:rPr>
                <w:rFonts w:ascii="Arial" w:hAnsi="Arial" w:cs="Arial"/>
                <w:color w:val="000000"/>
                <w:lang w:val="en-GB"/>
              </w:rPr>
              <w:t>,</w:t>
            </w:r>
            <w:r w:rsidRPr="00F26A3E">
              <w:rPr>
                <w:rFonts w:ascii="Arial" w:hAnsi="Arial" w:cs="Arial"/>
                <w:color w:val="000000"/>
                <w:lang w:val="en-GB"/>
              </w:rPr>
              <w:t>371</w:t>
            </w:r>
          </w:p>
        </w:tc>
        <w:tc>
          <w:tcPr>
            <w:tcW w:w="939" w:type="dxa"/>
            <w:noWrap/>
            <w:hideMark/>
          </w:tcPr>
          <w:p w14:paraId="74F99EB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74</w:t>
            </w:r>
            <w:r w:rsidR="00254CA1">
              <w:rPr>
                <w:rFonts w:ascii="Arial" w:hAnsi="Arial" w:cs="Arial"/>
                <w:color w:val="000000"/>
                <w:lang w:val="en-GB"/>
              </w:rPr>
              <w:t>,</w:t>
            </w:r>
            <w:r w:rsidRPr="00F26A3E">
              <w:rPr>
                <w:rFonts w:ascii="Arial" w:hAnsi="Arial" w:cs="Arial"/>
                <w:color w:val="000000"/>
                <w:lang w:val="en-GB"/>
              </w:rPr>
              <w:t>697</w:t>
            </w:r>
          </w:p>
        </w:tc>
        <w:tc>
          <w:tcPr>
            <w:tcW w:w="1117" w:type="dxa"/>
            <w:noWrap/>
            <w:hideMark/>
          </w:tcPr>
          <w:p w14:paraId="274BE23A"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16.50%</w:t>
            </w:r>
          </w:p>
        </w:tc>
      </w:tr>
      <w:tr w:rsidR="00B607FC" w:rsidRPr="00F26A3E" w14:paraId="43F79C59" w14:textId="77777777" w:rsidTr="00995787">
        <w:trPr>
          <w:trHeight w:val="70"/>
          <w:tblHeader/>
        </w:trPr>
        <w:tc>
          <w:tcPr>
            <w:tcW w:w="1075" w:type="dxa"/>
            <w:noWrap/>
            <w:hideMark/>
          </w:tcPr>
          <w:p w14:paraId="1D7E0EE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June</w:t>
            </w:r>
          </w:p>
        </w:tc>
        <w:tc>
          <w:tcPr>
            <w:tcW w:w="1260" w:type="dxa"/>
            <w:noWrap/>
            <w:hideMark/>
          </w:tcPr>
          <w:p w14:paraId="080ED9B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51</w:t>
            </w:r>
            <w:r w:rsidR="00254CA1">
              <w:rPr>
                <w:rFonts w:ascii="Arial" w:hAnsi="Arial" w:cs="Arial"/>
                <w:color w:val="000000"/>
                <w:lang w:val="en-GB"/>
              </w:rPr>
              <w:t>,</w:t>
            </w:r>
            <w:r w:rsidRPr="00F26A3E">
              <w:rPr>
                <w:rFonts w:ascii="Arial" w:hAnsi="Arial" w:cs="Arial"/>
                <w:color w:val="000000"/>
                <w:lang w:val="en-GB"/>
              </w:rPr>
              <w:t>678</w:t>
            </w:r>
          </w:p>
        </w:tc>
        <w:tc>
          <w:tcPr>
            <w:tcW w:w="1350" w:type="dxa"/>
            <w:noWrap/>
            <w:hideMark/>
          </w:tcPr>
          <w:p w14:paraId="3CC3DA0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w:t>
            </w:r>
            <w:r w:rsidR="00254CA1">
              <w:rPr>
                <w:rFonts w:ascii="Arial" w:hAnsi="Arial" w:cs="Arial"/>
                <w:color w:val="000000"/>
                <w:lang w:val="en-GB"/>
              </w:rPr>
              <w:t>,</w:t>
            </w:r>
            <w:r w:rsidRPr="00F26A3E">
              <w:rPr>
                <w:rFonts w:ascii="Arial" w:hAnsi="Arial" w:cs="Arial"/>
                <w:color w:val="000000"/>
                <w:lang w:val="en-GB"/>
              </w:rPr>
              <w:t>661</w:t>
            </w:r>
          </w:p>
        </w:tc>
        <w:tc>
          <w:tcPr>
            <w:tcW w:w="1350" w:type="dxa"/>
            <w:noWrap/>
            <w:hideMark/>
          </w:tcPr>
          <w:p w14:paraId="408F815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68</w:t>
            </w:r>
            <w:r w:rsidR="00254CA1">
              <w:rPr>
                <w:rFonts w:ascii="Arial" w:hAnsi="Arial" w:cs="Arial"/>
                <w:color w:val="000000"/>
                <w:lang w:val="en-GB"/>
              </w:rPr>
              <w:t>,</w:t>
            </w:r>
            <w:r w:rsidRPr="00F26A3E">
              <w:rPr>
                <w:rFonts w:ascii="Arial" w:hAnsi="Arial" w:cs="Arial"/>
                <w:color w:val="000000"/>
                <w:lang w:val="en-GB"/>
              </w:rPr>
              <w:t>769</w:t>
            </w:r>
          </w:p>
        </w:tc>
        <w:tc>
          <w:tcPr>
            <w:tcW w:w="1260" w:type="dxa"/>
            <w:noWrap/>
            <w:hideMark/>
          </w:tcPr>
          <w:p w14:paraId="5C613DF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w:t>
            </w:r>
            <w:r w:rsidR="00254CA1">
              <w:rPr>
                <w:rFonts w:ascii="Arial" w:hAnsi="Arial" w:cs="Arial"/>
                <w:color w:val="000000"/>
                <w:lang w:val="en-GB"/>
              </w:rPr>
              <w:t>,</w:t>
            </w:r>
            <w:r w:rsidRPr="00F26A3E">
              <w:rPr>
                <w:rFonts w:ascii="Arial" w:hAnsi="Arial" w:cs="Arial"/>
                <w:color w:val="000000"/>
                <w:lang w:val="en-GB"/>
              </w:rPr>
              <w:t>708</w:t>
            </w:r>
          </w:p>
        </w:tc>
        <w:tc>
          <w:tcPr>
            <w:tcW w:w="873" w:type="dxa"/>
            <w:noWrap/>
            <w:hideMark/>
          </w:tcPr>
          <w:p w14:paraId="1994283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58</w:t>
            </w:r>
            <w:r w:rsidR="00254CA1">
              <w:rPr>
                <w:rFonts w:ascii="Arial" w:hAnsi="Arial" w:cs="Arial"/>
                <w:color w:val="000000"/>
                <w:lang w:val="en-GB"/>
              </w:rPr>
              <w:t>,</w:t>
            </w:r>
            <w:r w:rsidRPr="00F26A3E">
              <w:rPr>
                <w:rFonts w:ascii="Arial" w:hAnsi="Arial" w:cs="Arial"/>
                <w:color w:val="000000"/>
                <w:lang w:val="en-GB"/>
              </w:rPr>
              <w:t>339</w:t>
            </w:r>
          </w:p>
        </w:tc>
        <w:tc>
          <w:tcPr>
            <w:tcW w:w="939" w:type="dxa"/>
            <w:noWrap/>
            <w:hideMark/>
          </w:tcPr>
          <w:p w14:paraId="63D8ACB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74</w:t>
            </w:r>
            <w:r w:rsidR="00254CA1">
              <w:rPr>
                <w:rFonts w:ascii="Arial" w:hAnsi="Arial" w:cs="Arial"/>
                <w:color w:val="000000"/>
                <w:lang w:val="en-GB"/>
              </w:rPr>
              <w:t>,</w:t>
            </w:r>
            <w:r w:rsidRPr="00F26A3E">
              <w:rPr>
                <w:rFonts w:ascii="Arial" w:hAnsi="Arial" w:cs="Arial"/>
                <w:color w:val="000000"/>
                <w:lang w:val="en-GB"/>
              </w:rPr>
              <w:t>477</w:t>
            </w:r>
          </w:p>
        </w:tc>
        <w:tc>
          <w:tcPr>
            <w:tcW w:w="1117" w:type="dxa"/>
            <w:noWrap/>
            <w:hideMark/>
          </w:tcPr>
          <w:p w14:paraId="0A679CD0"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21.67%</w:t>
            </w:r>
          </w:p>
        </w:tc>
      </w:tr>
      <w:tr w:rsidR="00B607FC" w:rsidRPr="00F26A3E" w14:paraId="2ECEAA61" w14:textId="77777777" w:rsidTr="00995787">
        <w:trPr>
          <w:trHeight w:val="70"/>
          <w:tblHeader/>
        </w:trPr>
        <w:tc>
          <w:tcPr>
            <w:tcW w:w="1075" w:type="dxa"/>
            <w:noWrap/>
            <w:hideMark/>
          </w:tcPr>
          <w:p w14:paraId="0D35D26F"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Q1</w:t>
            </w:r>
          </w:p>
        </w:tc>
        <w:tc>
          <w:tcPr>
            <w:tcW w:w="1260" w:type="dxa"/>
            <w:noWrap/>
            <w:hideMark/>
          </w:tcPr>
          <w:p w14:paraId="64D6A677"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163</w:t>
            </w:r>
            <w:r w:rsidR="00254CA1">
              <w:rPr>
                <w:rFonts w:ascii="Arial" w:hAnsi="Arial" w:cs="Arial"/>
                <w:b/>
                <w:bCs/>
                <w:color w:val="000000"/>
                <w:lang w:val="en-GB"/>
              </w:rPr>
              <w:t>,</w:t>
            </w:r>
            <w:r w:rsidRPr="00F26A3E">
              <w:rPr>
                <w:rFonts w:ascii="Arial" w:hAnsi="Arial" w:cs="Arial"/>
                <w:b/>
                <w:bCs/>
                <w:color w:val="000000"/>
                <w:lang w:val="en-GB"/>
              </w:rPr>
              <w:t>033</w:t>
            </w:r>
          </w:p>
        </w:tc>
        <w:tc>
          <w:tcPr>
            <w:tcW w:w="1350" w:type="dxa"/>
            <w:noWrap/>
            <w:hideMark/>
          </w:tcPr>
          <w:p w14:paraId="19BD21A3"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20</w:t>
            </w:r>
            <w:r w:rsidR="00254CA1">
              <w:rPr>
                <w:rFonts w:ascii="Arial" w:hAnsi="Arial" w:cs="Arial"/>
                <w:b/>
                <w:bCs/>
                <w:color w:val="000000"/>
                <w:lang w:val="en-GB"/>
              </w:rPr>
              <w:t>,</w:t>
            </w:r>
            <w:r w:rsidRPr="00F26A3E">
              <w:rPr>
                <w:rFonts w:ascii="Arial" w:hAnsi="Arial" w:cs="Arial"/>
                <w:b/>
                <w:bCs/>
                <w:color w:val="000000"/>
                <w:lang w:val="en-GB"/>
              </w:rPr>
              <w:t>556</w:t>
            </w:r>
          </w:p>
        </w:tc>
        <w:tc>
          <w:tcPr>
            <w:tcW w:w="1350" w:type="dxa"/>
            <w:noWrap/>
            <w:hideMark/>
          </w:tcPr>
          <w:p w14:paraId="07C02E1B"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207</w:t>
            </w:r>
            <w:r w:rsidR="00254CA1">
              <w:rPr>
                <w:rFonts w:ascii="Arial" w:hAnsi="Arial" w:cs="Arial"/>
                <w:b/>
                <w:bCs/>
                <w:color w:val="000000"/>
                <w:lang w:val="en-GB"/>
              </w:rPr>
              <w:t>,</w:t>
            </w:r>
            <w:r w:rsidRPr="00F26A3E">
              <w:rPr>
                <w:rFonts w:ascii="Arial" w:hAnsi="Arial" w:cs="Arial"/>
                <w:b/>
                <w:bCs/>
                <w:color w:val="000000"/>
                <w:lang w:val="en-GB"/>
              </w:rPr>
              <w:t>693</w:t>
            </w:r>
          </w:p>
        </w:tc>
        <w:tc>
          <w:tcPr>
            <w:tcW w:w="1260" w:type="dxa"/>
            <w:noWrap/>
            <w:hideMark/>
          </w:tcPr>
          <w:p w14:paraId="72B564A6"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17</w:t>
            </w:r>
            <w:r w:rsidR="00254CA1">
              <w:rPr>
                <w:rFonts w:ascii="Arial" w:hAnsi="Arial" w:cs="Arial"/>
                <w:b/>
                <w:bCs/>
                <w:color w:val="000000"/>
                <w:lang w:val="en-GB"/>
              </w:rPr>
              <w:t>,</w:t>
            </w:r>
            <w:r w:rsidRPr="00F26A3E">
              <w:rPr>
                <w:rFonts w:ascii="Arial" w:hAnsi="Arial" w:cs="Arial"/>
                <w:b/>
                <w:bCs/>
                <w:color w:val="000000"/>
                <w:lang w:val="en-GB"/>
              </w:rPr>
              <w:t>668</w:t>
            </w:r>
          </w:p>
        </w:tc>
        <w:tc>
          <w:tcPr>
            <w:tcW w:w="873" w:type="dxa"/>
            <w:noWrap/>
            <w:hideMark/>
          </w:tcPr>
          <w:p w14:paraId="33E31FE7"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183</w:t>
            </w:r>
            <w:r w:rsidR="00254CA1">
              <w:rPr>
                <w:rFonts w:ascii="Arial" w:hAnsi="Arial" w:cs="Arial"/>
                <w:b/>
                <w:bCs/>
                <w:color w:val="000000"/>
                <w:lang w:val="en-GB"/>
              </w:rPr>
              <w:t>,</w:t>
            </w:r>
            <w:r w:rsidRPr="00F26A3E">
              <w:rPr>
                <w:rFonts w:ascii="Arial" w:hAnsi="Arial" w:cs="Arial"/>
                <w:b/>
                <w:bCs/>
                <w:color w:val="000000"/>
                <w:lang w:val="en-GB"/>
              </w:rPr>
              <w:t>589</w:t>
            </w:r>
          </w:p>
        </w:tc>
        <w:tc>
          <w:tcPr>
            <w:tcW w:w="939" w:type="dxa"/>
            <w:noWrap/>
            <w:hideMark/>
          </w:tcPr>
          <w:p w14:paraId="2B4BB477"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225</w:t>
            </w:r>
            <w:r w:rsidR="00254CA1">
              <w:rPr>
                <w:rFonts w:ascii="Arial" w:hAnsi="Arial" w:cs="Arial"/>
                <w:b/>
                <w:bCs/>
                <w:color w:val="000000"/>
                <w:lang w:val="en-GB"/>
              </w:rPr>
              <w:t>,</w:t>
            </w:r>
            <w:r w:rsidRPr="00F26A3E">
              <w:rPr>
                <w:rFonts w:ascii="Arial" w:hAnsi="Arial" w:cs="Arial"/>
                <w:b/>
                <w:bCs/>
                <w:color w:val="000000"/>
                <w:lang w:val="en-GB"/>
              </w:rPr>
              <w:t>361</w:t>
            </w:r>
          </w:p>
        </w:tc>
        <w:tc>
          <w:tcPr>
            <w:tcW w:w="1117" w:type="dxa"/>
            <w:noWrap/>
            <w:hideMark/>
          </w:tcPr>
          <w:p w14:paraId="12570104" w14:textId="77777777" w:rsidR="00B607FC" w:rsidRPr="00F26A3E" w:rsidRDefault="00254CA1" w:rsidP="00B607FC">
            <w:pPr>
              <w:jc w:val="center"/>
              <w:rPr>
                <w:rFonts w:ascii="Arial" w:hAnsi="Arial" w:cs="Arial"/>
                <w:b/>
                <w:bCs/>
                <w:color w:val="000000"/>
                <w:lang w:val="en-GB"/>
              </w:rPr>
            </w:pPr>
            <w:r>
              <w:rPr>
                <w:rFonts w:ascii="Arial" w:hAnsi="Arial" w:cs="Arial"/>
                <w:color w:val="000000"/>
                <w:lang w:val="en-GB"/>
              </w:rPr>
              <w:t>–</w:t>
            </w:r>
            <w:r w:rsidR="00B607FC" w:rsidRPr="00F26A3E">
              <w:rPr>
                <w:rFonts w:ascii="Arial" w:hAnsi="Arial" w:cs="Arial"/>
                <w:b/>
                <w:bCs/>
                <w:color w:val="000000"/>
                <w:lang w:val="en-GB"/>
              </w:rPr>
              <w:t>18.54%</w:t>
            </w:r>
          </w:p>
        </w:tc>
      </w:tr>
      <w:tr w:rsidR="00B607FC" w:rsidRPr="00F26A3E" w14:paraId="2DC52A16" w14:textId="77777777" w:rsidTr="00995787">
        <w:trPr>
          <w:trHeight w:val="70"/>
          <w:tblHeader/>
        </w:trPr>
        <w:tc>
          <w:tcPr>
            <w:tcW w:w="9224" w:type="dxa"/>
            <w:gridSpan w:val="8"/>
            <w:noWrap/>
            <w:hideMark/>
          </w:tcPr>
          <w:p w14:paraId="496B205B" w14:textId="463F4661" w:rsidR="00B607FC" w:rsidRPr="00F26A3E" w:rsidRDefault="006B6676" w:rsidP="00B607FC">
            <w:pPr>
              <w:jc w:val="center"/>
              <w:rPr>
                <w:rFonts w:ascii="Arial" w:hAnsi="Arial" w:cs="Arial"/>
                <w:color w:val="000000"/>
                <w:lang w:val="en-GB"/>
              </w:rPr>
            </w:pPr>
            <w:r>
              <w:rPr>
                <w:rFonts w:ascii="Arial" w:hAnsi="Arial" w:cs="Arial"/>
                <w:color w:val="000000"/>
                <w:lang w:val="en-GB"/>
              </w:rPr>
              <w:t xml:space="preserve"> </w:t>
            </w:r>
          </w:p>
        </w:tc>
      </w:tr>
      <w:tr w:rsidR="00B607FC" w:rsidRPr="00F26A3E" w14:paraId="5665A502" w14:textId="77777777" w:rsidTr="00995787">
        <w:trPr>
          <w:trHeight w:val="70"/>
          <w:tblHeader/>
        </w:trPr>
        <w:tc>
          <w:tcPr>
            <w:tcW w:w="1075" w:type="dxa"/>
            <w:noWrap/>
            <w:hideMark/>
          </w:tcPr>
          <w:p w14:paraId="7FEC5E76" w14:textId="1A78BBD0"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July</w:t>
            </w:r>
            <w:r w:rsidR="006B6676">
              <w:rPr>
                <w:rFonts w:ascii="Arial" w:hAnsi="Arial" w:cs="Arial"/>
                <w:color w:val="000000"/>
                <w:lang w:val="en-GB"/>
              </w:rPr>
              <w:t xml:space="preserve"> </w:t>
            </w:r>
          </w:p>
        </w:tc>
        <w:tc>
          <w:tcPr>
            <w:tcW w:w="1260" w:type="dxa"/>
            <w:noWrap/>
            <w:hideMark/>
          </w:tcPr>
          <w:p w14:paraId="29F0D83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45</w:t>
            </w:r>
            <w:r w:rsidR="00545DD9">
              <w:rPr>
                <w:rFonts w:ascii="Arial" w:hAnsi="Arial" w:cs="Arial"/>
                <w:color w:val="000000"/>
                <w:lang w:val="en-GB"/>
              </w:rPr>
              <w:t>,</w:t>
            </w:r>
            <w:r w:rsidRPr="00F26A3E">
              <w:rPr>
                <w:rFonts w:ascii="Arial" w:hAnsi="Arial" w:cs="Arial"/>
                <w:color w:val="000000"/>
                <w:lang w:val="en-GB"/>
              </w:rPr>
              <w:t>041</w:t>
            </w:r>
          </w:p>
        </w:tc>
        <w:tc>
          <w:tcPr>
            <w:tcW w:w="1350" w:type="dxa"/>
            <w:noWrap/>
            <w:hideMark/>
          </w:tcPr>
          <w:p w14:paraId="17A39FD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9</w:t>
            </w:r>
            <w:r w:rsidR="00545DD9">
              <w:rPr>
                <w:rFonts w:ascii="Arial" w:hAnsi="Arial" w:cs="Arial"/>
                <w:color w:val="000000"/>
                <w:lang w:val="en-GB"/>
              </w:rPr>
              <w:t>,</w:t>
            </w:r>
            <w:r w:rsidRPr="00F26A3E">
              <w:rPr>
                <w:rFonts w:ascii="Arial" w:hAnsi="Arial" w:cs="Arial"/>
                <w:color w:val="000000"/>
                <w:lang w:val="en-GB"/>
              </w:rPr>
              <w:t>144</w:t>
            </w:r>
          </w:p>
        </w:tc>
        <w:tc>
          <w:tcPr>
            <w:tcW w:w="1350" w:type="dxa"/>
            <w:noWrap/>
            <w:hideMark/>
          </w:tcPr>
          <w:p w14:paraId="7B38614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63713</w:t>
            </w:r>
          </w:p>
        </w:tc>
        <w:tc>
          <w:tcPr>
            <w:tcW w:w="1260" w:type="dxa"/>
            <w:noWrap/>
            <w:hideMark/>
          </w:tcPr>
          <w:p w14:paraId="3CF9075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w:t>
            </w:r>
            <w:r w:rsidR="00254CA1">
              <w:rPr>
                <w:rFonts w:ascii="Arial" w:hAnsi="Arial" w:cs="Arial"/>
                <w:color w:val="000000"/>
                <w:lang w:val="en-GB"/>
              </w:rPr>
              <w:t>,</w:t>
            </w:r>
            <w:r w:rsidRPr="00F26A3E">
              <w:rPr>
                <w:rFonts w:ascii="Arial" w:hAnsi="Arial" w:cs="Arial"/>
                <w:color w:val="000000"/>
                <w:lang w:val="en-GB"/>
              </w:rPr>
              <w:t>350</w:t>
            </w:r>
          </w:p>
        </w:tc>
        <w:tc>
          <w:tcPr>
            <w:tcW w:w="873" w:type="dxa"/>
            <w:noWrap/>
            <w:hideMark/>
          </w:tcPr>
          <w:p w14:paraId="389C262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54</w:t>
            </w:r>
            <w:r w:rsidR="00254CA1">
              <w:rPr>
                <w:rFonts w:ascii="Arial" w:hAnsi="Arial" w:cs="Arial"/>
                <w:color w:val="000000"/>
                <w:lang w:val="en-GB"/>
              </w:rPr>
              <w:t>,</w:t>
            </w:r>
            <w:r w:rsidRPr="00F26A3E">
              <w:rPr>
                <w:rFonts w:ascii="Arial" w:hAnsi="Arial" w:cs="Arial"/>
                <w:color w:val="000000"/>
                <w:lang w:val="en-GB"/>
              </w:rPr>
              <w:t>185</w:t>
            </w:r>
          </w:p>
        </w:tc>
        <w:tc>
          <w:tcPr>
            <w:tcW w:w="939" w:type="dxa"/>
            <w:noWrap/>
            <w:hideMark/>
          </w:tcPr>
          <w:p w14:paraId="59711FF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69</w:t>
            </w:r>
            <w:r w:rsidR="00254CA1">
              <w:rPr>
                <w:rFonts w:ascii="Arial" w:hAnsi="Arial" w:cs="Arial"/>
                <w:color w:val="000000"/>
                <w:lang w:val="en-GB"/>
              </w:rPr>
              <w:t>,</w:t>
            </w:r>
            <w:r w:rsidRPr="00F26A3E">
              <w:rPr>
                <w:rFonts w:ascii="Arial" w:hAnsi="Arial" w:cs="Arial"/>
                <w:color w:val="000000"/>
                <w:lang w:val="en-GB"/>
              </w:rPr>
              <w:t>063</w:t>
            </w:r>
          </w:p>
        </w:tc>
        <w:tc>
          <w:tcPr>
            <w:tcW w:w="1117" w:type="dxa"/>
            <w:noWrap/>
            <w:hideMark/>
          </w:tcPr>
          <w:p w14:paraId="63E4AA49"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21.54%</w:t>
            </w:r>
          </w:p>
        </w:tc>
      </w:tr>
      <w:tr w:rsidR="00B607FC" w:rsidRPr="00F26A3E" w14:paraId="07784603" w14:textId="77777777" w:rsidTr="00995787">
        <w:trPr>
          <w:trHeight w:val="70"/>
          <w:tblHeader/>
        </w:trPr>
        <w:tc>
          <w:tcPr>
            <w:tcW w:w="1075" w:type="dxa"/>
            <w:noWrap/>
            <w:hideMark/>
          </w:tcPr>
          <w:p w14:paraId="14782C8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August</w:t>
            </w:r>
          </w:p>
        </w:tc>
        <w:tc>
          <w:tcPr>
            <w:tcW w:w="1260" w:type="dxa"/>
            <w:noWrap/>
            <w:hideMark/>
          </w:tcPr>
          <w:p w14:paraId="6151C32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44</w:t>
            </w:r>
            <w:r w:rsidR="00254CA1">
              <w:rPr>
                <w:rFonts w:ascii="Arial" w:hAnsi="Arial" w:cs="Arial"/>
                <w:color w:val="000000"/>
                <w:lang w:val="en-GB"/>
              </w:rPr>
              <w:t>,</w:t>
            </w:r>
            <w:r w:rsidRPr="00F26A3E">
              <w:rPr>
                <w:rFonts w:ascii="Arial" w:hAnsi="Arial" w:cs="Arial"/>
                <w:color w:val="000000"/>
                <w:lang w:val="en-GB"/>
              </w:rPr>
              <w:t>694</w:t>
            </w:r>
          </w:p>
        </w:tc>
        <w:tc>
          <w:tcPr>
            <w:tcW w:w="1350" w:type="dxa"/>
            <w:noWrap/>
            <w:hideMark/>
          </w:tcPr>
          <w:p w14:paraId="18B7EC1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8</w:t>
            </w:r>
            <w:r w:rsidR="00254CA1">
              <w:rPr>
                <w:rFonts w:ascii="Arial" w:hAnsi="Arial" w:cs="Arial"/>
                <w:color w:val="000000"/>
                <w:lang w:val="en-GB"/>
              </w:rPr>
              <w:t>,</w:t>
            </w:r>
            <w:r w:rsidRPr="00F26A3E">
              <w:rPr>
                <w:rFonts w:ascii="Arial" w:hAnsi="Arial" w:cs="Arial"/>
                <w:color w:val="000000"/>
                <w:lang w:val="en-GB"/>
              </w:rPr>
              <w:t>210</w:t>
            </w:r>
          </w:p>
        </w:tc>
        <w:tc>
          <w:tcPr>
            <w:tcW w:w="1350" w:type="dxa"/>
            <w:noWrap/>
            <w:hideMark/>
          </w:tcPr>
          <w:p w14:paraId="62E9B23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65</w:t>
            </w:r>
            <w:r w:rsidR="00254CA1">
              <w:rPr>
                <w:rFonts w:ascii="Arial" w:hAnsi="Arial" w:cs="Arial"/>
                <w:color w:val="000000"/>
                <w:lang w:val="en-GB"/>
              </w:rPr>
              <w:t>,</w:t>
            </w:r>
            <w:r w:rsidRPr="00F26A3E">
              <w:rPr>
                <w:rFonts w:ascii="Arial" w:hAnsi="Arial" w:cs="Arial"/>
                <w:color w:val="000000"/>
                <w:lang w:val="en-GB"/>
              </w:rPr>
              <w:t>712</w:t>
            </w:r>
          </w:p>
        </w:tc>
        <w:tc>
          <w:tcPr>
            <w:tcW w:w="1260" w:type="dxa"/>
            <w:noWrap/>
            <w:hideMark/>
          </w:tcPr>
          <w:p w14:paraId="3A667265"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w:t>
            </w:r>
            <w:r w:rsidR="00254CA1">
              <w:rPr>
                <w:rFonts w:ascii="Arial" w:hAnsi="Arial" w:cs="Arial"/>
                <w:color w:val="000000"/>
                <w:lang w:val="en-GB"/>
              </w:rPr>
              <w:t>,</w:t>
            </w:r>
            <w:r w:rsidRPr="00F26A3E">
              <w:rPr>
                <w:rFonts w:ascii="Arial" w:hAnsi="Arial" w:cs="Arial"/>
                <w:color w:val="000000"/>
                <w:lang w:val="en-GB"/>
              </w:rPr>
              <w:t>665</w:t>
            </w:r>
          </w:p>
        </w:tc>
        <w:tc>
          <w:tcPr>
            <w:tcW w:w="873" w:type="dxa"/>
            <w:noWrap/>
            <w:hideMark/>
          </w:tcPr>
          <w:p w14:paraId="073F700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52</w:t>
            </w:r>
            <w:r w:rsidR="00254CA1">
              <w:rPr>
                <w:rFonts w:ascii="Arial" w:hAnsi="Arial" w:cs="Arial"/>
                <w:color w:val="000000"/>
                <w:lang w:val="en-GB"/>
              </w:rPr>
              <w:t>,</w:t>
            </w:r>
            <w:r w:rsidRPr="00F26A3E">
              <w:rPr>
                <w:rFonts w:ascii="Arial" w:hAnsi="Arial" w:cs="Arial"/>
                <w:color w:val="000000"/>
                <w:lang w:val="en-GB"/>
              </w:rPr>
              <w:t>904</w:t>
            </w:r>
          </w:p>
        </w:tc>
        <w:tc>
          <w:tcPr>
            <w:tcW w:w="939" w:type="dxa"/>
            <w:noWrap/>
            <w:hideMark/>
          </w:tcPr>
          <w:p w14:paraId="27BA50A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69</w:t>
            </w:r>
            <w:r w:rsidR="00254CA1">
              <w:rPr>
                <w:rFonts w:ascii="Arial" w:hAnsi="Arial" w:cs="Arial"/>
                <w:color w:val="000000"/>
                <w:lang w:val="en-GB"/>
              </w:rPr>
              <w:t>,</w:t>
            </w:r>
            <w:r w:rsidRPr="00F26A3E">
              <w:rPr>
                <w:rFonts w:ascii="Arial" w:hAnsi="Arial" w:cs="Arial"/>
                <w:color w:val="000000"/>
                <w:lang w:val="en-GB"/>
              </w:rPr>
              <w:t>377</w:t>
            </w:r>
          </w:p>
        </w:tc>
        <w:tc>
          <w:tcPr>
            <w:tcW w:w="1117" w:type="dxa"/>
            <w:noWrap/>
            <w:hideMark/>
          </w:tcPr>
          <w:p w14:paraId="31B4FDC5"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23.74%</w:t>
            </w:r>
          </w:p>
        </w:tc>
      </w:tr>
      <w:tr w:rsidR="00B607FC" w:rsidRPr="00F26A3E" w14:paraId="55D5E03E" w14:textId="77777777" w:rsidTr="00995787">
        <w:trPr>
          <w:trHeight w:val="70"/>
          <w:tblHeader/>
        </w:trPr>
        <w:tc>
          <w:tcPr>
            <w:tcW w:w="1075" w:type="dxa"/>
            <w:noWrap/>
            <w:hideMark/>
          </w:tcPr>
          <w:p w14:paraId="2C22939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September</w:t>
            </w:r>
          </w:p>
        </w:tc>
        <w:tc>
          <w:tcPr>
            <w:tcW w:w="1260" w:type="dxa"/>
            <w:noWrap/>
            <w:hideMark/>
          </w:tcPr>
          <w:p w14:paraId="4584F20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52</w:t>
            </w:r>
            <w:r w:rsidR="00254CA1">
              <w:rPr>
                <w:rFonts w:ascii="Arial" w:hAnsi="Arial" w:cs="Arial"/>
                <w:color w:val="000000"/>
                <w:lang w:val="en-GB"/>
              </w:rPr>
              <w:t>,</w:t>
            </w:r>
            <w:r w:rsidRPr="00F26A3E">
              <w:rPr>
                <w:rFonts w:ascii="Arial" w:hAnsi="Arial" w:cs="Arial"/>
                <w:color w:val="000000"/>
                <w:lang w:val="en-GB"/>
              </w:rPr>
              <w:t>017</w:t>
            </w:r>
          </w:p>
        </w:tc>
        <w:tc>
          <w:tcPr>
            <w:tcW w:w="1350" w:type="dxa"/>
            <w:noWrap/>
            <w:hideMark/>
          </w:tcPr>
          <w:p w14:paraId="1845DF25"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w:t>
            </w:r>
            <w:r w:rsidR="00254CA1">
              <w:rPr>
                <w:rFonts w:ascii="Arial" w:hAnsi="Arial" w:cs="Arial"/>
                <w:color w:val="000000"/>
                <w:lang w:val="en-GB"/>
              </w:rPr>
              <w:t>,</w:t>
            </w:r>
            <w:r w:rsidRPr="00F26A3E">
              <w:rPr>
                <w:rFonts w:ascii="Arial" w:hAnsi="Arial" w:cs="Arial"/>
                <w:color w:val="000000"/>
                <w:lang w:val="en-GB"/>
              </w:rPr>
              <w:t>483</w:t>
            </w:r>
          </w:p>
        </w:tc>
        <w:tc>
          <w:tcPr>
            <w:tcW w:w="1350" w:type="dxa"/>
            <w:noWrap/>
            <w:hideMark/>
          </w:tcPr>
          <w:p w14:paraId="4B8E57C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67</w:t>
            </w:r>
            <w:r w:rsidR="00254CA1">
              <w:rPr>
                <w:rFonts w:ascii="Arial" w:hAnsi="Arial" w:cs="Arial"/>
                <w:color w:val="000000"/>
                <w:lang w:val="en-GB"/>
              </w:rPr>
              <w:t>,</w:t>
            </w:r>
            <w:r w:rsidRPr="00F26A3E">
              <w:rPr>
                <w:rFonts w:ascii="Arial" w:hAnsi="Arial" w:cs="Arial"/>
                <w:color w:val="000000"/>
                <w:lang w:val="en-GB"/>
              </w:rPr>
              <w:t>582</w:t>
            </w:r>
          </w:p>
        </w:tc>
        <w:tc>
          <w:tcPr>
            <w:tcW w:w="1260" w:type="dxa"/>
            <w:noWrap/>
            <w:hideMark/>
          </w:tcPr>
          <w:p w14:paraId="2ECB004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w:t>
            </w:r>
            <w:r w:rsidR="00254CA1">
              <w:rPr>
                <w:rFonts w:ascii="Arial" w:hAnsi="Arial" w:cs="Arial"/>
                <w:color w:val="000000"/>
                <w:lang w:val="en-GB"/>
              </w:rPr>
              <w:t>,</w:t>
            </w:r>
            <w:r w:rsidRPr="00F26A3E">
              <w:rPr>
                <w:rFonts w:ascii="Arial" w:hAnsi="Arial" w:cs="Arial"/>
                <w:color w:val="000000"/>
                <w:lang w:val="en-GB"/>
              </w:rPr>
              <w:t>080</w:t>
            </w:r>
          </w:p>
        </w:tc>
        <w:tc>
          <w:tcPr>
            <w:tcW w:w="873" w:type="dxa"/>
            <w:noWrap/>
            <w:hideMark/>
          </w:tcPr>
          <w:p w14:paraId="3CD69576"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59</w:t>
            </w:r>
            <w:r w:rsidR="00254CA1">
              <w:rPr>
                <w:rFonts w:ascii="Arial" w:hAnsi="Arial" w:cs="Arial"/>
                <w:color w:val="000000"/>
                <w:lang w:val="en-GB"/>
              </w:rPr>
              <w:t>,</w:t>
            </w:r>
            <w:r w:rsidRPr="00F26A3E">
              <w:rPr>
                <w:rFonts w:ascii="Arial" w:hAnsi="Arial" w:cs="Arial"/>
                <w:color w:val="000000"/>
                <w:lang w:val="en-GB"/>
              </w:rPr>
              <w:t>500</w:t>
            </w:r>
          </w:p>
        </w:tc>
        <w:tc>
          <w:tcPr>
            <w:tcW w:w="939" w:type="dxa"/>
            <w:noWrap/>
            <w:hideMark/>
          </w:tcPr>
          <w:p w14:paraId="0F30986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71</w:t>
            </w:r>
            <w:r w:rsidR="00254CA1">
              <w:rPr>
                <w:rFonts w:ascii="Arial" w:hAnsi="Arial" w:cs="Arial"/>
                <w:color w:val="000000"/>
                <w:lang w:val="en-GB"/>
              </w:rPr>
              <w:t>,</w:t>
            </w:r>
            <w:r w:rsidRPr="00F26A3E">
              <w:rPr>
                <w:rFonts w:ascii="Arial" w:hAnsi="Arial" w:cs="Arial"/>
                <w:color w:val="000000"/>
                <w:lang w:val="en-GB"/>
              </w:rPr>
              <w:t>662</w:t>
            </w:r>
          </w:p>
        </w:tc>
        <w:tc>
          <w:tcPr>
            <w:tcW w:w="1117" w:type="dxa"/>
            <w:noWrap/>
            <w:hideMark/>
          </w:tcPr>
          <w:p w14:paraId="5653544D"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16.97%</w:t>
            </w:r>
          </w:p>
        </w:tc>
      </w:tr>
      <w:tr w:rsidR="00B607FC" w:rsidRPr="00F26A3E" w14:paraId="156F3919" w14:textId="77777777" w:rsidTr="00995787">
        <w:trPr>
          <w:trHeight w:val="70"/>
          <w:tblHeader/>
        </w:trPr>
        <w:tc>
          <w:tcPr>
            <w:tcW w:w="1075" w:type="dxa"/>
            <w:noWrap/>
            <w:hideMark/>
          </w:tcPr>
          <w:p w14:paraId="0908954D"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Q2</w:t>
            </w:r>
          </w:p>
        </w:tc>
        <w:tc>
          <w:tcPr>
            <w:tcW w:w="1260" w:type="dxa"/>
            <w:noWrap/>
            <w:hideMark/>
          </w:tcPr>
          <w:p w14:paraId="2954583B"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141</w:t>
            </w:r>
            <w:r w:rsidR="00254CA1">
              <w:rPr>
                <w:rFonts w:ascii="Arial" w:hAnsi="Arial" w:cs="Arial"/>
                <w:b/>
                <w:bCs/>
                <w:color w:val="000000"/>
                <w:lang w:val="en-GB"/>
              </w:rPr>
              <w:t>,</w:t>
            </w:r>
            <w:r w:rsidRPr="00F26A3E">
              <w:rPr>
                <w:rFonts w:ascii="Arial" w:hAnsi="Arial" w:cs="Arial"/>
                <w:b/>
                <w:bCs/>
                <w:color w:val="000000"/>
                <w:lang w:val="en-GB"/>
              </w:rPr>
              <w:t>752</w:t>
            </w:r>
          </w:p>
        </w:tc>
        <w:tc>
          <w:tcPr>
            <w:tcW w:w="1350" w:type="dxa"/>
            <w:noWrap/>
            <w:hideMark/>
          </w:tcPr>
          <w:p w14:paraId="23C99E2F"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24</w:t>
            </w:r>
            <w:r w:rsidR="00254CA1">
              <w:rPr>
                <w:rFonts w:ascii="Arial" w:hAnsi="Arial" w:cs="Arial"/>
                <w:b/>
                <w:bCs/>
                <w:color w:val="000000"/>
                <w:lang w:val="en-GB"/>
              </w:rPr>
              <w:t>,</w:t>
            </w:r>
            <w:r w:rsidRPr="00F26A3E">
              <w:rPr>
                <w:rFonts w:ascii="Arial" w:hAnsi="Arial" w:cs="Arial"/>
                <w:b/>
                <w:bCs/>
                <w:color w:val="000000"/>
                <w:lang w:val="en-GB"/>
              </w:rPr>
              <w:t>837</w:t>
            </w:r>
          </w:p>
        </w:tc>
        <w:tc>
          <w:tcPr>
            <w:tcW w:w="1350" w:type="dxa"/>
            <w:noWrap/>
            <w:hideMark/>
          </w:tcPr>
          <w:p w14:paraId="08C6473F"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197</w:t>
            </w:r>
            <w:r w:rsidR="00254CA1">
              <w:rPr>
                <w:rFonts w:ascii="Arial" w:hAnsi="Arial" w:cs="Arial"/>
                <w:b/>
                <w:bCs/>
                <w:color w:val="000000"/>
                <w:lang w:val="en-GB"/>
              </w:rPr>
              <w:t>,</w:t>
            </w:r>
            <w:r w:rsidRPr="00F26A3E">
              <w:rPr>
                <w:rFonts w:ascii="Arial" w:hAnsi="Arial" w:cs="Arial"/>
                <w:b/>
                <w:bCs/>
                <w:color w:val="000000"/>
                <w:lang w:val="en-GB"/>
              </w:rPr>
              <w:t>007</w:t>
            </w:r>
          </w:p>
        </w:tc>
        <w:tc>
          <w:tcPr>
            <w:tcW w:w="1260" w:type="dxa"/>
            <w:noWrap/>
            <w:hideMark/>
          </w:tcPr>
          <w:p w14:paraId="39A7EB04"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13</w:t>
            </w:r>
            <w:r w:rsidR="00254CA1">
              <w:rPr>
                <w:rFonts w:ascii="Arial" w:hAnsi="Arial" w:cs="Arial"/>
                <w:b/>
                <w:bCs/>
                <w:color w:val="000000"/>
                <w:lang w:val="en-GB"/>
              </w:rPr>
              <w:t>,</w:t>
            </w:r>
            <w:r w:rsidRPr="00F26A3E">
              <w:rPr>
                <w:rFonts w:ascii="Arial" w:hAnsi="Arial" w:cs="Arial"/>
                <w:b/>
                <w:bCs/>
                <w:color w:val="000000"/>
                <w:lang w:val="en-GB"/>
              </w:rPr>
              <w:t>095</w:t>
            </w:r>
          </w:p>
        </w:tc>
        <w:tc>
          <w:tcPr>
            <w:tcW w:w="873" w:type="dxa"/>
            <w:noWrap/>
            <w:hideMark/>
          </w:tcPr>
          <w:p w14:paraId="79EFDBF4"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166</w:t>
            </w:r>
            <w:r w:rsidR="00254CA1">
              <w:rPr>
                <w:rFonts w:ascii="Arial" w:hAnsi="Arial" w:cs="Arial"/>
                <w:b/>
                <w:bCs/>
                <w:color w:val="000000"/>
                <w:lang w:val="en-GB"/>
              </w:rPr>
              <w:t>,</w:t>
            </w:r>
            <w:r w:rsidRPr="00F26A3E">
              <w:rPr>
                <w:rFonts w:ascii="Arial" w:hAnsi="Arial" w:cs="Arial"/>
                <w:b/>
                <w:bCs/>
                <w:color w:val="000000"/>
                <w:lang w:val="en-GB"/>
              </w:rPr>
              <w:t>589</w:t>
            </w:r>
          </w:p>
        </w:tc>
        <w:tc>
          <w:tcPr>
            <w:tcW w:w="939" w:type="dxa"/>
            <w:noWrap/>
            <w:hideMark/>
          </w:tcPr>
          <w:p w14:paraId="01D6283D"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210</w:t>
            </w:r>
            <w:r w:rsidR="00254CA1">
              <w:rPr>
                <w:rFonts w:ascii="Arial" w:hAnsi="Arial" w:cs="Arial"/>
                <w:b/>
                <w:bCs/>
                <w:color w:val="000000"/>
                <w:lang w:val="en-GB"/>
              </w:rPr>
              <w:t>,</w:t>
            </w:r>
            <w:r w:rsidRPr="00F26A3E">
              <w:rPr>
                <w:rFonts w:ascii="Arial" w:hAnsi="Arial" w:cs="Arial"/>
                <w:b/>
                <w:bCs/>
                <w:color w:val="000000"/>
                <w:lang w:val="en-GB"/>
              </w:rPr>
              <w:t>102</w:t>
            </w:r>
          </w:p>
        </w:tc>
        <w:tc>
          <w:tcPr>
            <w:tcW w:w="1117" w:type="dxa"/>
            <w:noWrap/>
            <w:hideMark/>
          </w:tcPr>
          <w:p w14:paraId="0FD264BC" w14:textId="77777777" w:rsidR="00B607FC" w:rsidRPr="00F26A3E" w:rsidRDefault="00254CA1" w:rsidP="00B607FC">
            <w:pPr>
              <w:jc w:val="center"/>
              <w:rPr>
                <w:rFonts w:ascii="Arial" w:hAnsi="Arial" w:cs="Arial"/>
                <w:b/>
                <w:bCs/>
                <w:color w:val="000000"/>
                <w:lang w:val="en-GB"/>
              </w:rPr>
            </w:pPr>
            <w:r>
              <w:rPr>
                <w:rFonts w:ascii="Arial" w:hAnsi="Arial" w:cs="Arial"/>
                <w:color w:val="000000"/>
                <w:lang w:val="en-GB"/>
              </w:rPr>
              <w:t>–</w:t>
            </w:r>
            <w:r w:rsidR="00B607FC" w:rsidRPr="00F26A3E">
              <w:rPr>
                <w:rFonts w:ascii="Arial" w:hAnsi="Arial" w:cs="Arial"/>
                <w:b/>
                <w:bCs/>
                <w:color w:val="000000"/>
                <w:lang w:val="en-GB"/>
              </w:rPr>
              <w:t>20.71%</w:t>
            </w:r>
          </w:p>
        </w:tc>
      </w:tr>
      <w:tr w:rsidR="00B607FC" w:rsidRPr="00F26A3E" w14:paraId="5B1137DE" w14:textId="77777777" w:rsidTr="00995787">
        <w:trPr>
          <w:trHeight w:val="70"/>
          <w:tblHeader/>
        </w:trPr>
        <w:tc>
          <w:tcPr>
            <w:tcW w:w="9224" w:type="dxa"/>
            <w:gridSpan w:val="8"/>
            <w:noWrap/>
            <w:hideMark/>
          </w:tcPr>
          <w:p w14:paraId="66EE326C" w14:textId="718F9226" w:rsidR="00B607FC" w:rsidRPr="00F26A3E" w:rsidRDefault="006B6676" w:rsidP="00B607FC">
            <w:pPr>
              <w:jc w:val="center"/>
              <w:rPr>
                <w:rFonts w:ascii="Arial" w:hAnsi="Arial" w:cs="Arial"/>
                <w:color w:val="000000"/>
                <w:lang w:val="en-GB"/>
              </w:rPr>
            </w:pPr>
            <w:r>
              <w:rPr>
                <w:rFonts w:ascii="Arial" w:hAnsi="Arial" w:cs="Arial"/>
                <w:color w:val="000000"/>
                <w:lang w:val="en-GB"/>
              </w:rPr>
              <w:t xml:space="preserve"> </w:t>
            </w:r>
          </w:p>
        </w:tc>
      </w:tr>
      <w:tr w:rsidR="00B607FC" w:rsidRPr="00F26A3E" w14:paraId="7C24F536" w14:textId="77777777" w:rsidTr="00995787">
        <w:trPr>
          <w:trHeight w:val="70"/>
          <w:tblHeader/>
        </w:trPr>
        <w:tc>
          <w:tcPr>
            <w:tcW w:w="1075" w:type="dxa"/>
            <w:noWrap/>
            <w:hideMark/>
          </w:tcPr>
          <w:p w14:paraId="3E99294C" w14:textId="4CD8D522"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October</w:t>
            </w:r>
            <w:r w:rsidR="006B6676">
              <w:rPr>
                <w:rFonts w:ascii="Arial" w:hAnsi="Arial" w:cs="Arial"/>
                <w:color w:val="000000"/>
                <w:lang w:val="en-GB"/>
              </w:rPr>
              <w:t xml:space="preserve"> </w:t>
            </w:r>
          </w:p>
        </w:tc>
        <w:tc>
          <w:tcPr>
            <w:tcW w:w="1260" w:type="dxa"/>
            <w:noWrap/>
            <w:hideMark/>
          </w:tcPr>
          <w:p w14:paraId="14D226C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64</w:t>
            </w:r>
            <w:r w:rsidR="00545DD9">
              <w:rPr>
                <w:rFonts w:ascii="Arial" w:hAnsi="Arial" w:cs="Arial"/>
                <w:color w:val="000000"/>
                <w:lang w:val="en-GB"/>
              </w:rPr>
              <w:t>,</w:t>
            </w:r>
            <w:r w:rsidRPr="00F26A3E">
              <w:rPr>
                <w:rFonts w:ascii="Arial" w:hAnsi="Arial" w:cs="Arial"/>
                <w:color w:val="000000"/>
                <w:lang w:val="en-GB"/>
              </w:rPr>
              <w:t>257</w:t>
            </w:r>
          </w:p>
        </w:tc>
        <w:tc>
          <w:tcPr>
            <w:tcW w:w="1350" w:type="dxa"/>
            <w:noWrap/>
            <w:hideMark/>
          </w:tcPr>
          <w:p w14:paraId="5D271FF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7707</w:t>
            </w:r>
          </w:p>
        </w:tc>
        <w:tc>
          <w:tcPr>
            <w:tcW w:w="1350" w:type="dxa"/>
            <w:noWrap/>
            <w:hideMark/>
          </w:tcPr>
          <w:p w14:paraId="41017DD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67484</w:t>
            </w:r>
          </w:p>
        </w:tc>
        <w:tc>
          <w:tcPr>
            <w:tcW w:w="1260" w:type="dxa"/>
            <w:noWrap/>
            <w:hideMark/>
          </w:tcPr>
          <w:p w14:paraId="7144EB9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w:t>
            </w:r>
            <w:r w:rsidR="00254CA1">
              <w:rPr>
                <w:rFonts w:ascii="Arial" w:hAnsi="Arial" w:cs="Arial"/>
                <w:color w:val="000000"/>
                <w:lang w:val="en-GB"/>
              </w:rPr>
              <w:t>,</w:t>
            </w:r>
            <w:r w:rsidRPr="00F26A3E">
              <w:rPr>
                <w:rFonts w:ascii="Arial" w:hAnsi="Arial" w:cs="Arial"/>
                <w:color w:val="000000"/>
                <w:lang w:val="en-GB"/>
              </w:rPr>
              <w:t>967</w:t>
            </w:r>
          </w:p>
        </w:tc>
        <w:tc>
          <w:tcPr>
            <w:tcW w:w="873" w:type="dxa"/>
            <w:noWrap/>
            <w:hideMark/>
          </w:tcPr>
          <w:p w14:paraId="7C0F7EF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71</w:t>
            </w:r>
            <w:r w:rsidR="00254CA1">
              <w:rPr>
                <w:rFonts w:ascii="Arial" w:hAnsi="Arial" w:cs="Arial"/>
                <w:color w:val="000000"/>
                <w:lang w:val="en-GB"/>
              </w:rPr>
              <w:t>,</w:t>
            </w:r>
            <w:r w:rsidRPr="00F26A3E">
              <w:rPr>
                <w:rFonts w:ascii="Arial" w:hAnsi="Arial" w:cs="Arial"/>
                <w:color w:val="000000"/>
                <w:lang w:val="en-GB"/>
              </w:rPr>
              <w:t>964</w:t>
            </w:r>
          </w:p>
        </w:tc>
        <w:tc>
          <w:tcPr>
            <w:tcW w:w="939" w:type="dxa"/>
            <w:noWrap/>
            <w:hideMark/>
          </w:tcPr>
          <w:p w14:paraId="7987761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70</w:t>
            </w:r>
            <w:r w:rsidR="00254CA1">
              <w:rPr>
                <w:rFonts w:ascii="Arial" w:hAnsi="Arial" w:cs="Arial"/>
                <w:color w:val="000000"/>
                <w:lang w:val="en-GB"/>
              </w:rPr>
              <w:t>,</w:t>
            </w:r>
            <w:r w:rsidRPr="00F26A3E">
              <w:rPr>
                <w:rFonts w:ascii="Arial" w:hAnsi="Arial" w:cs="Arial"/>
                <w:color w:val="000000"/>
                <w:lang w:val="en-GB"/>
              </w:rPr>
              <w:t>451</w:t>
            </w:r>
          </w:p>
        </w:tc>
        <w:tc>
          <w:tcPr>
            <w:tcW w:w="1117" w:type="dxa"/>
            <w:noWrap/>
            <w:hideMark/>
          </w:tcPr>
          <w:p w14:paraId="5CCB3E6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2.15%</w:t>
            </w:r>
          </w:p>
        </w:tc>
      </w:tr>
      <w:tr w:rsidR="00B607FC" w:rsidRPr="00F26A3E" w14:paraId="2E7B6876" w14:textId="77777777" w:rsidTr="00995787">
        <w:trPr>
          <w:trHeight w:val="70"/>
          <w:tblHeader/>
        </w:trPr>
        <w:tc>
          <w:tcPr>
            <w:tcW w:w="1075" w:type="dxa"/>
            <w:noWrap/>
            <w:hideMark/>
          </w:tcPr>
          <w:p w14:paraId="30E020FD" w14:textId="707876CF"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November</w:t>
            </w:r>
            <w:r w:rsidR="006B6676">
              <w:rPr>
                <w:rFonts w:ascii="Arial" w:hAnsi="Arial" w:cs="Arial"/>
                <w:color w:val="000000"/>
                <w:lang w:val="en-GB"/>
              </w:rPr>
              <w:t xml:space="preserve"> </w:t>
            </w:r>
          </w:p>
        </w:tc>
        <w:tc>
          <w:tcPr>
            <w:tcW w:w="1260" w:type="dxa"/>
            <w:noWrap/>
            <w:hideMark/>
          </w:tcPr>
          <w:p w14:paraId="215E53D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56</w:t>
            </w:r>
            <w:r w:rsidR="00254CA1">
              <w:rPr>
                <w:rFonts w:ascii="Arial" w:hAnsi="Arial" w:cs="Arial"/>
                <w:color w:val="000000"/>
                <w:lang w:val="en-GB"/>
              </w:rPr>
              <w:t>,</w:t>
            </w:r>
            <w:r w:rsidRPr="00F26A3E">
              <w:rPr>
                <w:rFonts w:ascii="Arial" w:hAnsi="Arial" w:cs="Arial"/>
                <w:color w:val="000000"/>
                <w:lang w:val="en-GB"/>
              </w:rPr>
              <w:t>204</w:t>
            </w:r>
          </w:p>
        </w:tc>
        <w:tc>
          <w:tcPr>
            <w:tcW w:w="1350" w:type="dxa"/>
            <w:noWrap/>
            <w:hideMark/>
          </w:tcPr>
          <w:p w14:paraId="3AC429D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w:t>
            </w:r>
            <w:r w:rsidR="00254CA1">
              <w:rPr>
                <w:rFonts w:ascii="Arial" w:hAnsi="Arial" w:cs="Arial"/>
                <w:color w:val="000000"/>
                <w:lang w:val="en-GB"/>
              </w:rPr>
              <w:t>,</w:t>
            </w:r>
            <w:r w:rsidRPr="00F26A3E">
              <w:rPr>
                <w:rFonts w:ascii="Arial" w:hAnsi="Arial" w:cs="Arial"/>
                <w:color w:val="000000"/>
                <w:lang w:val="en-GB"/>
              </w:rPr>
              <w:t>207</w:t>
            </w:r>
          </w:p>
        </w:tc>
        <w:tc>
          <w:tcPr>
            <w:tcW w:w="1350" w:type="dxa"/>
            <w:noWrap/>
            <w:hideMark/>
          </w:tcPr>
          <w:p w14:paraId="1285EDC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61</w:t>
            </w:r>
            <w:r w:rsidR="00254CA1">
              <w:rPr>
                <w:rFonts w:ascii="Arial" w:hAnsi="Arial" w:cs="Arial"/>
                <w:color w:val="000000"/>
                <w:lang w:val="en-GB"/>
              </w:rPr>
              <w:t>,</w:t>
            </w:r>
            <w:r w:rsidRPr="00F26A3E">
              <w:rPr>
                <w:rFonts w:ascii="Arial" w:hAnsi="Arial" w:cs="Arial"/>
                <w:color w:val="000000"/>
                <w:lang w:val="en-GB"/>
              </w:rPr>
              <w:t>890</w:t>
            </w:r>
          </w:p>
        </w:tc>
        <w:tc>
          <w:tcPr>
            <w:tcW w:w="1260" w:type="dxa"/>
            <w:noWrap/>
            <w:hideMark/>
          </w:tcPr>
          <w:p w14:paraId="3700C35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w:t>
            </w:r>
            <w:r w:rsidR="00254CA1">
              <w:rPr>
                <w:rFonts w:ascii="Arial" w:hAnsi="Arial" w:cs="Arial"/>
                <w:color w:val="000000"/>
                <w:lang w:val="en-GB"/>
              </w:rPr>
              <w:t>,</w:t>
            </w:r>
            <w:r w:rsidRPr="00F26A3E">
              <w:rPr>
                <w:rFonts w:ascii="Arial" w:hAnsi="Arial" w:cs="Arial"/>
                <w:color w:val="000000"/>
                <w:lang w:val="en-GB"/>
              </w:rPr>
              <w:t>854</w:t>
            </w:r>
          </w:p>
        </w:tc>
        <w:tc>
          <w:tcPr>
            <w:tcW w:w="873" w:type="dxa"/>
            <w:noWrap/>
            <w:hideMark/>
          </w:tcPr>
          <w:p w14:paraId="3353A43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60</w:t>
            </w:r>
            <w:r w:rsidR="00254CA1">
              <w:rPr>
                <w:rFonts w:ascii="Arial" w:hAnsi="Arial" w:cs="Arial"/>
                <w:color w:val="000000"/>
                <w:lang w:val="en-GB"/>
              </w:rPr>
              <w:t>,</w:t>
            </w:r>
            <w:r w:rsidRPr="00F26A3E">
              <w:rPr>
                <w:rFonts w:ascii="Arial" w:hAnsi="Arial" w:cs="Arial"/>
                <w:color w:val="000000"/>
                <w:lang w:val="en-GB"/>
              </w:rPr>
              <w:t>411</w:t>
            </w:r>
          </w:p>
        </w:tc>
        <w:tc>
          <w:tcPr>
            <w:tcW w:w="939" w:type="dxa"/>
            <w:noWrap/>
            <w:hideMark/>
          </w:tcPr>
          <w:p w14:paraId="2ACFE59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65</w:t>
            </w:r>
            <w:r w:rsidR="00254CA1">
              <w:rPr>
                <w:rFonts w:ascii="Arial" w:hAnsi="Arial" w:cs="Arial"/>
                <w:color w:val="000000"/>
                <w:lang w:val="en-GB"/>
              </w:rPr>
              <w:t>,</w:t>
            </w:r>
            <w:r w:rsidRPr="00F26A3E">
              <w:rPr>
                <w:rFonts w:ascii="Arial" w:hAnsi="Arial" w:cs="Arial"/>
                <w:color w:val="000000"/>
                <w:lang w:val="en-GB"/>
              </w:rPr>
              <w:t>744</w:t>
            </w:r>
          </w:p>
        </w:tc>
        <w:tc>
          <w:tcPr>
            <w:tcW w:w="1117" w:type="dxa"/>
            <w:noWrap/>
            <w:hideMark/>
          </w:tcPr>
          <w:p w14:paraId="04A7A541"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8.11%</w:t>
            </w:r>
          </w:p>
        </w:tc>
      </w:tr>
      <w:tr w:rsidR="00B607FC" w:rsidRPr="00F26A3E" w14:paraId="71D2C650" w14:textId="77777777" w:rsidTr="00995787">
        <w:trPr>
          <w:trHeight w:val="70"/>
          <w:tblHeader/>
        </w:trPr>
        <w:tc>
          <w:tcPr>
            <w:tcW w:w="1075" w:type="dxa"/>
            <w:noWrap/>
            <w:hideMark/>
          </w:tcPr>
          <w:p w14:paraId="4F633309" w14:textId="463DC99F"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December</w:t>
            </w:r>
            <w:r w:rsidR="006B6676">
              <w:rPr>
                <w:rFonts w:ascii="Arial" w:hAnsi="Arial" w:cs="Arial"/>
                <w:color w:val="000000"/>
                <w:lang w:val="en-GB"/>
              </w:rPr>
              <w:t xml:space="preserve"> </w:t>
            </w:r>
          </w:p>
        </w:tc>
        <w:tc>
          <w:tcPr>
            <w:tcW w:w="1260" w:type="dxa"/>
            <w:noWrap/>
            <w:hideMark/>
          </w:tcPr>
          <w:p w14:paraId="2BA9B4A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47</w:t>
            </w:r>
            <w:r w:rsidR="00254CA1">
              <w:rPr>
                <w:rFonts w:ascii="Arial" w:hAnsi="Arial" w:cs="Arial"/>
                <w:color w:val="000000"/>
                <w:lang w:val="en-GB"/>
              </w:rPr>
              <w:t>,</w:t>
            </w:r>
            <w:r w:rsidRPr="00F26A3E">
              <w:rPr>
                <w:rFonts w:ascii="Arial" w:hAnsi="Arial" w:cs="Arial"/>
                <w:color w:val="000000"/>
                <w:lang w:val="en-GB"/>
              </w:rPr>
              <w:t>788</w:t>
            </w:r>
          </w:p>
        </w:tc>
        <w:tc>
          <w:tcPr>
            <w:tcW w:w="1350" w:type="dxa"/>
            <w:noWrap/>
            <w:hideMark/>
          </w:tcPr>
          <w:p w14:paraId="2883BF4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w:t>
            </w:r>
            <w:r w:rsidR="00254CA1">
              <w:rPr>
                <w:rFonts w:ascii="Arial" w:hAnsi="Arial" w:cs="Arial"/>
                <w:color w:val="000000"/>
                <w:lang w:val="en-GB"/>
              </w:rPr>
              <w:t>,</w:t>
            </w:r>
            <w:r w:rsidRPr="00F26A3E">
              <w:rPr>
                <w:rFonts w:ascii="Arial" w:hAnsi="Arial" w:cs="Arial"/>
                <w:color w:val="000000"/>
                <w:lang w:val="en-GB"/>
              </w:rPr>
              <w:t>628</w:t>
            </w:r>
          </w:p>
        </w:tc>
        <w:tc>
          <w:tcPr>
            <w:tcW w:w="1350" w:type="dxa"/>
            <w:noWrap/>
            <w:hideMark/>
          </w:tcPr>
          <w:p w14:paraId="614E26D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53</w:t>
            </w:r>
            <w:r w:rsidR="00254CA1">
              <w:rPr>
                <w:rFonts w:ascii="Arial" w:hAnsi="Arial" w:cs="Arial"/>
                <w:color w:val="000000"/>
                <w:lang w:val="en-GB"/>
              </w:rPr>
              <w:t>,</w:t>
            </w:r>
            <w:r w:rsidRPr="00F26A3E">
              <w:rPr>
                <w:rFonts w:ascii="Arial" w:hAnsi="Arial" w:cs="Arial"/>
                <w:color w:val="000000"/>
                <w:lang w:val="en-GB"/>
              </w:rPr>
              <w:t>790</w:t>
            </w:r>
          </w:p>
        </w:tc>
        <w:tc>
          <w:tcPr>
            <w:tcW w:w="1260" w:type="dxa"/>
            <w:noWrap/>
            <w:hideMark/>
          </w:tcPr>
          <w:p w14:paraId="0E34DF5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w:t>
            </w:r>
            <w:r w:rsidR="00254CA1">
              <w:rPr>
                <w:rFonts w:ascii="Arial" w:hAnsi="Arial" w:cs="Arial"/>
                <w:color w:val="000000"/>
                <w:lang w:val="en-GB"/>
              </w:rPr>
              <w:t>,</w:t>
            </w:r>
            <w:r w:rsidRPr="00F26A3E">
              <w:rPr>
                <w:rFonts w:ascii="Arial" w:hAnsi="Arial" w:cs="Arial"/>
                <w:color w:val="000000"/>
                <w:lang w:val="en-GB"/>
              </w:rPr>
              <w:t>488</w:t>
            </w:r>
          </w:p>
        </w:tc>
        <w:tc>
          <w:tcPr>
            <w:tcW w:w="873" w:type="dxa"/>
            <w:noWrap/>
            <w:hideMark/>
          </w:tcPr>
          <w:p w14:paraId="1D69199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50</w:t>
            </w:r>
            <w:r w:rsidR="00254CA1">
              <w:rPr>
                <w:rFonts w:ascii="Arial" w:hAnsi="Arial" w:cs="Arial"/>
                <w:color w:val="000000"/>
                <w:lang w:val="en-GB"/>
              </w:rPr>
              <w:t>,</w:t>
            </w:r>
            <w:r w:rsidRPr="00F26A3E">
              <w:rPr>
                <w:rFonts w:ascii="Arial" w:hAnsi="Arial" w:cs="Arial"/>
                <w:color w:val="000000"/>
                <w:lang w:val="en-GB"/>
              </w:rPr>
              <w:t>416</w:t>
            </w:r>
          </w:p>
        </w:tc>
        <w:tc>
          <w:tcPr>
            <w:tcW w:w="939" w:type="dxa"/>
            <w:noWrap/>
            <w:hideMark/>
          </w:tcPr>
          <w:p w14:paraId="6408BCC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58</w:t>
            </w:r>
            <w:r w:rsidR="00254CA1">
              <w:rPr>
                <w:rFonts w:ascii="Arial" w:hAnsi="Arial" w:cs="Arial"/>
                <w:color w:val="000000"/>
                <w:lang w:val="en-GB"/>
              </w:rPr>
              <w:t>,</w:t>
            </w:r>
            <w:r w:rsidRPr="00F26A3E">
              <w:rPr>
                <w:rFonts w:ascii="Arial" w:hAnsi="Arial" w:cs="Arial"/>
                <w:color w:val="000000"/>
                <w:lang w:val="en-GB"/>
              </w:rPr>
              <w:t>278</w:t>
            </w:r>
          </w:p>
        </w:tc>
        <w:tc>
          <w:tcPr>
            <w:tcW w:w="1117" w:type="dxa"/>
            <w:noWrap/>
            <w:hideMark/>
          </w:tcPr>
          <w:p w14:paraId="3E3E29B4" w14:textId="77777777" w:rsidR="00B607FC" w:rsidRPr="00F26A3E" w:rsidRDefault="00254CA1" w:rsidP="00B607FC">
            <w:pPr>
              <w:jc w:val="center"/>
              <w:rPr>
                <w:rFonts w:ascii="Arial" w:hAnsi="Arial" w:cs="Arial"/>
                <w:color w:val="000000"/>
                <w:lang w:val="en-GB"/>
              </w:rPr>
            </w:pPr>
            <w:r>
              <w:rPr>
                <w:rFonts w:ascii="Arial" w:hAnsi="Arial" w:cs="Arial"/>
                <w:color w:val="000000"/>
                <w:lang w:val="en-GB"/>
              </w:rPr>
              <w:t>–</w:t>
            </w:r>
            <w:r w:rsidR="00B607FC" w:rsidRPr="00F26A3E">
              <w:rPr>
                <w:rFonts w:ascii="Arial" w:hAnsi="Arial" w:cs="Arial"/>
                <w:color w:val="000000"/>
                <w:lang w:val="en-GB"/>
              </w:rPr>
              <w:t>13.49%</w:t>
            </w:r>
          </w:p>
        </w:tc>
      </w:tr>
      <w:tr w:rsidR="00B607FC" w:rsidRPr="00F26A3E" w14:paraId="04B7D4C9" w14:textId="77777777" w:rsidTr="00995787">
        <w:trPr>
          <w:trHeight w:val="70"/>
          <w:tblHeader/>
        </w:trPr>
        <w:tc>
          <w:tcPr>
            <w:tcW w:w="1075" w:type="dxa"/>
            <w:noWrap/>
            <w:hideMark/>
          </w:tcPr>
          <w:p w14:paraId="3E0EE8CB"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Q3</w:t>
            </w:r>
          </w:p>
        </w:tc>
        <w:tc>
          <w:tcPr>
            <w:tcW w:w="1260" w:type="dxa"/>
            <w:noWrap/>
            <w:hideMark/>
          </w:tcPr>
          <w:p w14:paraId="5D0585CB"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168</w:t>
            </w:r>
            <w:r w:rsidR="00254CA1">
              <w:rPr>
                <w:rFonts w:ascii="Arial" w:hAnsi="Arial" w:cs="Arial"/>
                <w:b/>
                <w:bCs/>
                <w:color w:val="000000"/>
                <w:lang w:val="en-GB"/>
              </w:rPr>
              <w:t>,</w:t>
            </w:r>
            <w:r w:rsidRPr="00F26A3E">
              <w:rPr>
                <w:rFonts w:ascii="Arial" w:hAnsi="Arial" w:cs="Arial"/>
                <w:b/>
                <w:bCs/>
                <w:color w:val="000000"/>
                <w:lang w:val="en-GB"/>
              </w:rPr>
              <w:t>249</w:t>
            </w:r>
          </w:p>
        </w:tc>
        <w:tc>
          <w:tcPr>
            <w:tcW w:w="1350" w:type="dxa"/>
            <w:noWrap/>
            <w:hideMark/>
          </w:tcPr>
          <w:p w14:paraId="37EA929D"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14</w:t>
            </w:r>
            <w:r w:rsidR="00254CA1">
              <w:rPr>
                <w:rFonts w:ascii="Arial" w:hAnsi="Arial" w:cs="Arial"/>
                <w:b/>
                <w:bCs/>
                <w:color w:val="000000"/>
                <w:lang w:val="en-GB"/>
              </w:rPr>
              <w:t>,</w:t>
            </w:r>
            <w:r w:rsidRPr="00F26A3E">
              <w:rPr>
                <w:rFonts w:ascii="Arial" w:hAnsi="Arial" w:cs="Arial"/>
                <w:b/>
                <w:bCs/>
                <w:color w:val="000000"/>
                <w:lang w:val="en-GB"/>
              </w:rPr>
              <w:t>542</w:t>
            </w:r>
          </w:p>
        </w:tc>
        <w:tc>
          <w:tcPr>
            <w:tcW w:w="1350" w:type="dxa"/>
            <w:noWrap/>
            <w:hideMark/>
          </w:tcPr>
          <w:p w14:paraId="3D077105"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183</w:t>
            </w:r>
            <w:r w:rsidR="00254CA1">
              <w:rPr>
                <w:rFonts w:ascii="Arial" w:hAnsi="Arial" w:cs="Arial"/>
                <w:b/>
                <w:bCs/>
                <w:color w:val="000000"/>
                <w:lang w:val="en-GB"/>
              </w:rPr>
              <w:t>,</w:t>
            </w:r>
            <w:r w:rsidRPr="00F26A3E">
              <w:rPr>
                <w:rFonts w:ascii="Arial" w:hAnsi="Arial" w:cs="Arial"/>
                <w:b/>
                <w:bCs/>
                <w:color w:val="000000"/>
                <w:lang w:val="en-GB"/>
              </w:rPr>
              <w:t>164</w:t>
            </w:r>
          </w:p>
        </w:tc>
        <w:tc>
          <w:tcPr>
            <w:tcW w:w="1260" w:type="dxa"/>
            <w:noWrap/>
            <w:hideMark/>
          </w:tcPr>
          <w:p w14:paraId="61879A71"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11</w:t>
            </w:r>
            <w:r w:rsidR="00254CA1">
              <w:rPr>
                <w:rFonts w:ascii="Arial" w:hAnsi="Arial" w:cs="Arial"/>
                <w:b/>
                <w:bCs/>
                <w:color w:val="000000"/>
                <w:lang w:val="en-GB"/>
              </w:rPr>
              <w:t>,</w:t>
            </w:r>
            <w:r w:rsidRPr="00F26A3E">
              <w:rPr>
                <w:rFonts w:ascii="Arial" w:hAnsi="Arial" w:cs="Arial"/>
                <w:b/>
                <w:bCs/>
                <w:color w:val="000000"/>
                <w:lang w:val="en-GB"/>
              </w:rPr>
              <w:t>309</w:t>
            </w:r>
          </w:p>
        </w:tc>
        <w:tc>
          <w:tcPr>
            <w:tcW w:w="873" w:type="dxa"/>
            <w:noWrap/>
            <w:hideMark/>
          </w:tcPr>
          <w:p w14:paraId="2A3CC1C9"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182</w:t>
            </w:r>
            <w:r w:rsidR="00254CA1">
              <w:rPr>
                <w:rFonts w:ascii="Arial" w:hAnsi="Arial" w:cs="Arial"/>
                <w:b/>
                <w:bCs/>
                <w:color w:val="000000"/>
                <w:lang w:val="en-GB"/>
              </w:rPr>
              <w:t>,</w:t>
            </w:r>
            <w:r w:rsidRPr="00F26A3E">
              <w:rPr>
                <w:rFonts w:ascii="Arial" w:hAnsi="Arial" w:cs="Arial"/>
                <w:b/>
                <w:bCs/>
                <w:color w:val="000000"/>
                <w:lang w:val="en-GB"/>
              </w:rPr>
              <w:t>791</w:t>
            </w:r>
          </w:p>
        </w:tc>
        <w:tc>
          <w:tcPr>
            <w:tcW w:w="939" w:type="dxa"/>
            <w:noWrap/>
            <w:hideMark/>
          </w:tcPr>
          <w:p w14:paraId="77E30299"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194</w:t>
            </w:r>
            <w:r w:rsidR="00254CA1">
              <w:rPr>
                <w:rFonts w:ascii="Arial" w:hAnsi="Arial" w:cs="Arial"/>
                <w:b/>
                <w:bCs/>
                <w:color w:val="000000"/>
                <w:lang w:val="en-GB"/>
              </w:rPr>
              <w:t>,</w:t>
            </w:r>
            <w:r w:rsidRPr="00F26A3E">
              <w:rPr>
                <w:rFonts w:ascii="Arial" w:hAnsi="Arial" w:cs="Arial"/>
                <w:b/>
                <w:bCs/>
                <w:color w:val="000000"/>
                <w:lang w:val="en-GB"/>
              </w:rPr>
              <w:t>473</w:t>
            </w:r>
          </w:p>
        </w:tc>
        <w:tc>
          <w:tcPr>
            <w:tcW w:w="1117" w:type="dxa"/>
            <w:noWrap/>
            <w:hideMark/>
          </w:tcPr>
          <w:p w14:paraId="5AE7ABD4" w14:textId="77777777" w:rsidR="00B607FC" w:rsidRPr="00F26A3E" w:rsidRDefault="00254CA1" w:rsidP="00B607FC">
            <w:pPr>
              <w:jc w:val="center"/>
              <w:rPr>
                <w:rFonts w:ascii="Arial" w:hAnsi="Arial" w:cs="Arial"/>
                <w:b/>
                <w:bCs/>
                <w:color w:val="000000"/>
                <w:lang w:val="en-GB"/>
              </w:rPr>
            </w:pPr>
            <w:r>
              <w:rPr>
                <w:rFonts w:ascii="Arial" w:hAnsi="Arial" w:cs="Arial"/>
                <w:color w:val="000000"/>
                <w:lang w:val="en-GB"/>
              </w:rPr>
              <w:t>–</w:t>
            </w:r>
            <w:r w:rsidR="00B607FC" w:rsidRPr="00F26A3E">
              <w:rPr>
                <w:rFonts w:ascii="Arial" w:hAnsi="Arial" w:cs="Arial"/>
                <w:b/>
                <w:bCs/>
                <w:color w:val="000000"/>
                <w:lang w:val="en-GB"/>
              </w:rPr>
              <w:t>6.01%</w:t>
            </w:r>
          </w:p>
        </w:tc>
      </w:tr>
    </w:tbl>
    <w:p w14:paraId="1B6AE4A9" w14:textId="77777777" w:rsidR="00B607FC" w:rsidRPr="00F26A3E" w:rsidRDefault="00B607FC" w:rsidP="00B607FC">
      <w:pPr>
        <w:rPr>
          <w:lang w:val="en-GB"/>
        </w:rPr>
      </w:pPr>
    </w:p>
    <w:p w14:paraId="6ED2DF5D" w14:textId="2AA8A8F3" w:rsidR="00254CA1" w:rsidRDefault="00254CA1" w:rsidP="00B607FC">
      <w:pPr>
        <w:jc w:val="both"/>
        <w:rPr>
          <w:rFonts w:ascii="Arial" w:hAnsi="Arial" w:cs="Arial"/>
          <w:sz w:val="17"/>
          <w:szCs w:val="17"/>
          <w:lang w:val="en-GB"/>
        </w:rPr>
      </w:pPr>
      <w:r>
        <w:rPr>
          <w:rFonts w:ascii="Arial" w:hAnsi="Arial" w:cs="Arial"/>
          <w:sz w:val="17"/>
          <w:szCs w:val="17"/>
          <w:lang w:val="en-GB"/>
        </w:rPr>
        <w:t>Note:</w:t>
      </w:r>
      <w:r w:rsidR="006B6676">
        <w:rPr>
          <w:rFonts w:ascii="Arial" w:hAnsi="Arial" w:cs="Arial"/>
          <w:sz w:val="17"/>
          <w:szCs w:val="17"/>
          <w:lang w:val="en-GB"/>
        </w:rPr>
        <w:t xml:space="preserve"> </w:t>
      </w:r>
      <w:r>
        <w:rPr>
          <w:rFonts w:ascii="Arial" w:hAnsi="Arial" w:cs="Arial"/>
          <w:sz w:val="17"/>
          <w:szCs w:val="17"/>
          <w:lang w:val="en-GB"/>
        </w:rPr>
        <w:t>Q</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quarter;</w:t>
      </w:r>
      <w:r w:rsidR="006B6676">
        <w:rPr>
          <w:rFonts w:ascii="Arial" w:hAnsi="Arial" w:cs="Arial"/>
          <w:sz w:val="17"/>
          <w:szCs w:val="17"/>
          <w:lang w:val="en-GB"/>
        </w:rPr>
        <w:t xml:space="preserve"> </w:t>
      </w:r>
      <w:r>
        <w:rPr>
          <w:rFonts w:ascii="Arial" w:hAnsi="Arial" w:cs="Arial"/>
          <w:sz w:val="17"/>
          <w:szCs w:val="17"/>
          <w:lang w:val="en-GB"/>
        </w:rPr>
        <w:t>cc</w:t>
      </w:r>
      <w:r w:rsidR="006B6676">
        <w:rPr>
          <w:rFonts w:ascii="Arial" w:hAnsi="Arial" w:cs="Arial"/>
          <w:sz w:val="17"/>
          <w:szCs w:val="17"/>
          <w:lang w:val="en-GB"/>
        </w:rPr>
        <w:t xml:space="preserve"> </w:t>
      </w:r>
      <w:r w:rsidR="00CF3B2D">
        <w:rPr>
          <w:rFonts w:ascii="Arial" w:hAnsi="Arial" w:cs="Arial"/>
          <w:sz w:val="17"/>
          <w:szCs w:val="17"/>
          <w:lang w:val="en-GB"/>
        </w:rPr>
        <w:t>=</w:t>
      </w:r>
      <w:r w:rsidR="006B6676">
        <w:rPr>
          <w:rFonts w:ascii="Arial" w:hAnsi="Arial" w:cs="Arial"/>
          <w:sz w:val="17"/>
          <w:szCs w:val="17"/>
          <w:lang w:val="en-GB"/>
        </w:rPr>
        <w:t xml:space="preserve"> </w:t>
      </w:r>
      <w:r w:rsidR="00CF3B2D">
        <w:rPr>
          <w:rFonts w:ascii="Arial" w:hAnsi="Arial" w:cs="Arial"/>
          <w:sz w:val="17"/>
          <w:szCs w:val="17"/>
          <w:lang w:val="en-GB"/>
        </w:rPr>
        <w:t>cubic</w:t>
      </w:r>
      <w:r w:rsidR="006B6676">
        <w:rPr>
          <w:rFonts w:ascii="Arial" w:hAnsi="Arial" w:cs="Arial"/>
          <w:sz w:val="17"/>
          <w:szCs w:val="17"/>
          <w:lang w:val="en-GB"/>
        </w:rPr>
        <w:t xml:space="preserve"> </w:t>
      </w:r>
      <w:r w:rsidR="00C52073">
        <w:rPr>
          <w:rFonts w:ascii="Arial" w:hAnsi="Arial" w:cs="Arial"/>
          <w:sz w:val="17"/>
          <w:szCs w:val="17"/>
          <w:lang w:val="en-GB"/>
        </w:rPr>
        <w:t xml:space="preserve">centimetres. </w:t>
      </w:r>
    </w:p>
    <w:p w14:paraId="2ACFE6ED" w14:textId="187B8E2F" w:rsidR="00B607FC" w:rsidRPr="00F26A3E" w:rsidRDefault="00B607FC" w:rsidP="00B607FC">
      <w:pPr>
        <w:jc w:val="both"/>
        <w:rPr>
          <w:rFonts w:ascii="Arial" w:hAnsi="Arial" w:cs="Arial"/>
          <w:sz w:val="17"/>
          <w:szCs w:val="17"/>
          <w:lang w:val="en-GB"/>
        </w:rPr>
      </w:pPr>
      <w:r w:rsidRPr="00F26A3E">
        <w:rPr>
          <w:rFonts w:ascii="Arial" w:hAnsi="Arial" w:cs="Arial"/>
          <w:sz w:val="17"/>
          <w:szCs w:val="17"/>
          <w:lang w:val="en-GB"/>
        </w:rPr>
        <w:t>Source:</w:t>
      </w:r>
      <w:r w:rsidR="006B6676">
        <w:rPr>
          <w:rFonts w:ascii="Arial" w:hAnsi="Arial" w:cs="Arial"/>
          <w:sz w:val="17"/>
          <w:szCs w:val="17"/>
          <w:lang w:val="en-GB"/>
        </w:rPr>
        <w:t xml:space="preserve"> </w:t>
      </w:r>
      <w:r w:rsidRPr="00F26A3E">
        <w:rPr>
          <w:rFonts w:ascii="Arial" w:hAnsi="Arial" w:cs="Arial"/>
          <w:sz w:val="17"/>
          <w:szCs w:val="17"/>
          <w:lang w:val="en-GB"/>
        </w:rPr>
        <w:t>Compiled</w:t>
      </w:r>
      <w:r w:rsidR="006B6676">
        <w:rPr>
          <w:rFonts w:ascii="Arial" w:hAnsi="Arial" w:cs="Arial"/>
          <w:sz w:val="17"/>
          <w:szCs w:val="17"/>
          <w:lang w:val="en-GB"/>
        </w:rPr>
        <w:t xml:space="preserve"> </w:t>
      </w:r>
      <w:r w:rsidRPr="00F26A3E">
        <w:rPr>
          <w:rFonts w:ascii="Arial" w:hAnsi="Arial" w:cs="Arial"/>
          <w:sz w:val="17"/>
          <w:szCs w:val="17"/>
          <w:lang w:val="en-GB"/>
        </w:rPr>
        <w:t>by</w:t>
      </w:r>
      <w:r w:rsidR="006B6676">
        <w:rPr>
          <w:rFonts w:ascii="Arial" w:hAnsi="Arial" w:cs="Arial"/>
          <w:sz w:val="17"/>
          <w:szCs w:val="17"/>
          <w:lang w:val="en-GB"/>
        </w:rPr>
        <w:t xml:space="preserve"> </w:t>
      </w:r>
      <w:r w:rsidR="00254CA1">
        <w:rPr>
          <w:rFonts w:ascii="Arial" w:hAnsi="Arial" w:cs="Arial"/>
          <w:sz w:val="17"/>
          <w:szCs w:val="17"/>
          <w:lang w:val="en-GB"/>
        </w:rPr>
        <w:t>the</w:t>
      </w:r>
      <w:r w:rsidR="006B6676">
        <w:rPr>
          <w:rFonts w:ascii="Arial" w:hAnsi="Arial" w:cs="Arial"/>
          <w:sz w:val="17"/>
          <w:szCs w:val="17"/>
          <w:lang w:val="en-GB"/>
        </w:rPr>
        <w:t xml:space="preserve"> </w:t>
      </w:r>
      <w:r w:rsidRPr="00F26A3E">
        <w:rPr>
          <w:rFonts w:ascii="Arial" w:hAnsi="Arial" w:cs="Arial"/>
          <w:sz w:val="17"/>
          <w:szCs w:val="17"/>
          <w:lang w:val="en-GB"/>
        </w:rPr>
        <w:t>author</w:t>
      </w:r>
      <w:r w:rsidR="006B6676">
        <w:rPr>
          <w:rFonts w:ascii="Arial" w:hAnsi="Arial" w:cs="Arial"/>
          <w:sz w:val="17"/>
          <w:szCs w:val="17"/>
          <w:lang w:val="en-GB"/>
        </w:rPr>
        <w:t xml:space="preserve"> </w:t>
      </w:r>
      <w:r w:rsidR="00254CA1">
        <w:rPr>
          <w:rFonts w:ascii="Arial" w:hAnsi="Arial" w:cs="Arial"/>
          <w:sz w:val="17"/>
          <w:szCs w:val="17"/>
          <w:lang w:val="en-GB"/>
        </w:rPr>
        <w:t>with</w:t>
      </w:r>
      <w:r w:rsidR="006B6676">
        <w:rPr>
          <w:rFonts w:ascii="Arial" w:hAnsi="Arial" w:cs="Arial"/>
          <w:sz w:val="17"/>
          <w:szCs w:val="17"/>
          <w:lang w:val="en-GB"/>
        </w:rPr>
        <w:t xml:space="preserve"> </w:t>
      </w:r>
      <w:r w:rsidR="00254CA1">
        <w:rPr>
          <w:rFonts w:ascii="Arial" w:hAnsi="Arial" w:cs="Arial"/>
          <w:sz w:val="17"/>
          <w:szCs w:val="17"/>
          <w:lang w:val="en-GB"/>
        </w:rPr>
        <w:t>information</w:t>
      </w:r>
      <w:r w:rsidR="006B6676">
        <w:rPr>
          <w:rFonts w:ascii="Arial" w:hAnsi="Arial" w:cs="Arial"/>
          <w:sz w:val="17"/>
          <w:szCs w:val="17"/>
          <w:lang w:val="en-GB"/>
        </w:rPr>
        <w:t xml:space="preserve"> </w:t>
      </w:r>
      <w:r w:rsidRPr="00F26A3E">
        <w:rPr>
          <w:rFonts w:ascii="Arial" w:hAnsi="Arial" w:cs="Arial"/>
          <w:sz w:val="17"/>
          <w:szCs w:val="17"/>
          <w:lang w:val="en-GB"/>
        </w:rPr>
        <w:t>from</w:t>
      </w:r>
      <w:r w:rsidR="006B6676">
        <w:rPr>
          <w:rFonts w:ascii="Arial" w:hAnsi="Arial" w:cs="Arial"/>
          <w:sz w:val="17"/>
          <w:szCs w:val="17"/>
          <w:lang w:val="en-GB"/>
        </w:rPr>
        <w:t xml:space="preserve"> </w:t>
      </w:r>
      <w:r w:rsidR="00254CA1">
        <w:rPr>
          <w:rFonts w:ascii="Arial" w:hAnsi="Arial" w:cs="Arial"/>
          <w:sz w:val="17"/>
          <w:szCs w:val="17"/>
          <w:lang w:val="en-GB"/>
        </w:rPr>
        <w:t>“Monthly</w:t>
      </w:r>
      <w:r w:rsidR="006B6676">
        <w:rPr>
          <w:rFonts w:ascii="Arial" w:hAnsi="Arial" w:cs="Arial"/>
          <w:sz w:val="17"/>
          <w:szCs w:val="17"/>
          <w:lang w:val="en-GB"/>
        </w:rPr>
        <w:t xml:space="preserve"> </w:t>
      </w:r>
      <w:r w:rsidR="00254CA1">
        <w:rPr>
          <w:rFonts w:ascii="Arial" w:hAnsi="Arial" w:cs="Arial"/>
          <w:sz w:val="17"/>
          <w:szCs w:val="17"/>
          <w:lang w:val="en-GB"/>
        </w:rPr>
        <w:t>Sales</w:t>
      </w:r>
      <w:r w:rsidR="006B6676">
        <w:rPr>
          <w:rFonts w:ascii="Arial" w:hAnsi="Arial" w:cs="Arial"/>
          <w:sz w:val="17"/>
          <w:szCs w:val="17"/>
          <w:lang w:val="en-GB"/>
        </w:rPr>
        <w:t xml:space="preserve"> </w:t>
      </w:r>
      <w:r w:rsidR="00254CA1">
        <w:rPr>
          <w:rFonts w:ascii="Arial" w:hAnsi="Arial" w:cs="Arial"/>
          <w:sz w:val="17"/>
          <w:szCs w:val="17"/>
          <w:lang w:val="en-GB"/>
        </w:rPr>
        <w:t>Volume,”</w:t>
      </w:r>
      <w:r w:rsidR="006B6676">
        <w:rPr>
          <w:rFonts w:ascii="Arial" w:hAnsi="Arial" w:cs="Arial"/>
          <w:sz w:val="17"/>
          <w:szCs w:val="17"/>
          <w:lang w:val="en-GB"/>
        </w:rPr>
        <w:t xml:space="preserve"> </w:t>
      </w:r>
      <w:r w:rsidR="00254CA1">
        <w:rPr>
          <w:rFonts w:ascii="Arial" w:hAnsi="Arial" w:cs="Arial"/>
          <w:sz w:val="17"/>
          <w:szCs w:val="17"/>
          <w:lang w:val="en-GB"/>
        </w:rPr>
        <w:t>Eicher</w:t>
      </w:r>
      <w:r w:rsidR="006B6676">
        <w:rPr>
          <w:rFonts w:ascii="Arial" w:hAnsi="Arial" w:cs="Arial"/>
          <w:sz w:val="17"/>
          <w:szCs w:val="17"/>
          <w:lang w:val="en-GB"/>
        </w:rPr>
        <w:t xml:space="preserve"> </w:t>
      </w:r>
      <w:r w:rsidR="00254CA1">
        <w:rPr>
          <w:rFonts w:ascii="Arial" w:hAnsi="Arial" w:cs="Arial"/>
          <w:sz w:val="17"/>
          <w:szCs w:val="17"/>
          <w:lang w:val="en-GB"/>
        </w:rPr>
        <w:t>Motors</w:t>
      </w:r>
      <w:r w:rsidR="006B6676">
        <w:rPr>
          <w:rFonts w:ascii="Arial" w:hAnsi="Arial" w:cs="Arial"/>
          <w:sz w:val="17"/>
          <w:szCs w:val="17"/>
          <w:lang w:val="en-GB"/>
        </w:rPr>
        <w:t xml:space="preserve"> </w:t>
      </w:r>
      <w:r w:rsidR="00254CA1">
        <w:rPr>
          <w:rFonts w:ascii="Arial" w:hAnsi="Arial" w:cs="Arial"/>
          <w:sz w:val="17"/>
          <w:szCs w:val="17"/>
          <w:lang w:val="en-GB"/>
        </w:rPr>
        <w:t>Limited,</w:t>
      </w:r>
      <w:r w:rsidR="006B6676">
        <w:rPr>
          <w:rFonts w:ascii="Arial" w:hAnsi="Arial" w:cs="Arial"/>
          <w:sz w:val="17"/>
          <w:szCs w:val="17"/>
          <w:lang w:val="en-GB"/>
        </w:rPr>
        <w:t xml:space="preserve"> </w:t>
      </w:r>
      <w:r w:rsidR="0023084D" w:rsidRPr="0023084D">
        <w:rPr>
          <w:rFonts w:ascii="Arial" w:hAnsi="Arial" w:cs="Arial"/>
          <w:sz w:val="17"/>
          <w:szCs w:val="17"/>
          <w:lang w:val="en-GB"/>
        </w:rPr>
        <w:t>accessed</w:t>
      </w:r>
      <w:r w:rsidR="006B6676">
        <w:rPr>
          <w:rFonts w:ascii="Arial" w:hAnsi="Arial" w:cs="Arial"/>
          <w:sz w:val="17"/>
          <w:szCs w:val="17"/>
          <w:lang w:val="en-GB"/>
        </w:rPr>
        <w:t xml:space="preserve"> </w:t>
      </w:r>
      <w:r w:rsidR="0023084D" w:rsidRPr="0023084D">
        <w:rPr>
          <w:rFonts w:ascii="Arial" w:hAnsi="Arial" w:cs="Arial"/>
          <w:sz w:val="17"/>
          <w:szCs w:val="17"/>
          <w:lang w:val="en-GB"/>
        </w:rPr>
        <w:t>September</w:t>
      </w:r>
      <w:r w:rsidR="006B6676">
        <w:rPr>
          <w:rFonts w:ascii="Arial" w:hAnsi="Arial" w:cs="Arial"/>
          <w:sz w:val="17"/>
          <w:szCs w:val="17"/>
          <w:lang w:val="en-GB"/>
        </w:rPr>
        <w:t xml:space="preserve"> </w:t>
      </w:r>
      <w:r w:rsidR="0023084D" w:rsidRPr="0023084D">
        <w:rPr>
          <w:rFonts w:ascii="Arial" w:hAnsi="Arial" w:cs="Arial"/>
          <w:sz w:val="17"/>
          <w:szCs w:val="17"/>
          <w:lang w:val="en-GB"/>
        </w:rPr>
        <w:t>24,</w:t>
      </w:r>
      <w:r w:rsidR="006B6676">
        <w:rPr>
          <w:rFonts w:ascii="Arial" w:hAnsi="Arial" w:cs="Arial"/>
          <w:sz w:val="17"/>
          <w:szCs w:val="17"/>
          <w:lang w:val="en-GB"/>
        </w:rPr>
        <w:t xml:space="preserve"> </w:t>
      </w:r>
      <w:r w:rsidR="0023084D" w:rsidRPr="0023084D">
        <w:rPr>
          <w:rFonts w:ascii="Arial" w:hAnsi="Arial" w:cs="Arial"/>
          <w:sz w:val="17"/>
          <w:szCs w:val="17"/>
          <w:lang w:val="en-GB"/>
        </w:rPr>
        <w:t>2020</w:t>
      </w:r>
      <w:r w:rsidR="00254CA1">
        <w:rPr>
          <w:rFonts w:ascii="Arial" w:hAnsi="Arial" w:cs="Arial"/>
          <w:sz w:val="17"/>
          <w:szCs w:val="17"/>
          <w:lang w:val="en-GB"/>
        </w:rPr>
        <w:t>,</w:t>
      </w:r>
      <w:r w:rsidR="006B6676">
        <w:rPr>
          <w:rFonts w:ascii="Arial" w:hAnsi="Arial" w:cs="Arial"/>
          <w:sz w:val="17"/>
          <w:szCs w:val="17"/>
          <w:lang w:val="en-GB"/>
        </w:rPr>
        <w:t xml:space="preserve"> </w:t>
      </w:r>
      <w:r w:rsidRPr="00F26A3E">
        <w:rPr>
          <w:rFonts w:ascii="Arial" w:hAnsi="Arial" w:cs="Arial"/>
          <w:sz w:val="17"/>
          <w:szCs w:val="17"/>
          <w:lang w:val="en-GB"/>
        </w:rPr>
        <w:t>www.eicher.in/monthly-sales-number</w:t>
      </w:r>
      <w:r w:rsidR="00254CA1">
        <w:rPr>
          <w:rFonts w:ascii="Arial" w:hAnsi="Arial" w:cs="Arial"/>
          <w:sz w:val="17"/>
          <w:szCs w:val="17"/>
          <w:lang w:val="en-GB"/>
        </w:rPr>
        <w:t>.</w:t>
      </w:r>
    </w:p>
    <w:p w14:paraId="04DADA8F" w14:textId="77777777" w:rsidR="00B607FC" w:rsidRPr="00F26A3E" w:rsidRDefault="00B607FC" w:rsidP="00B607FC">
      <w:pPr>
        <w:jc w:val="both"/>
        <w:rPr>
          <w:sz w:val="22"/>
          <w:szCs w:val="22"/>
          <w:lang w:val="en-GB"/>
        </w:rPr>
      </w:pPr>
    </w:p>
    <w:p w14:paraId="5AFF45DD" w14:textId="77777777" w:rsidR="00B607FC" w:rsidRPr="00F26A3E" w:rsidRDefault="00B607FC" w:rsidP="00B607FC">
      <w:pPr>
        <w:jc w:val="both"/>
        <w:rPr>
          <w:sz w:val="22"/>
          <w:szCs w:val="22"/>
          <w:lang w:val="en-GB"/>
        </w:rPr>
      </w:pPr>
    </w:p>
    <w:p w14:paraId="0E2805AE" w14:textId="77777777" w:rsidR="00F268A5" w:rsidRPr="00F26A3E" w:rsidRDefault="00F268A5">
      <w:pPr>
        <w:spacing w:after="200" w:line="276" w:lineRule="auto"/>
        <w:rPr>
          <w:rFonts w:ascii="Arial" w:hAnsi="Arial" w:cs="Arial"/>
          <w:b/>
          <w:caps/>
          <w:lang w:val="en-GB"/>
        </w:rPr>
      </w:pPr>
      <w:r w:rsidRPr="00F26A3E">
        <w:rPr>
          <w:rFonts w:ascii="Arial" w:hAnsi="Arial" w:cs="Arial"/>
          <w:b/>
          <w:caps/>
          <w:lang w:val="en-GB"/>
        </w:rPr>
        <w:br w:type="page"/>
      </w:r>
    </w:p>
    <w:p w14:paraId="306EA83F" w14:textId="164B0061" w:rsidR="00B607FC" w:rsidRPr="00F26A3E" w:rsidRDefault="00B607FC" w:rsidP="00B607FC">
      <w:pPr>
        <w:jc w:val="center"/>
        <w:rPr>
          <w:rFonts w:ascii="Arial" w:hAnsi="Arial" w:cs="Arial"/>
          <w:b/>
          <w:caps/>
          <w:lang w:val="en-GB"/>
        </w:rPr>
      </w:pPr>
      <w:r w:rsidRPr="00F26A3E">
        <w:rPr>
          <w:rFonts w:ascii="Arial" w:hAnsi="Arial" w:cs="Arial"/>
          <w:b/>
          <w:caps/>
          <w:lang w:val="en-GB"/>
        </w:rPr>
        <w:lastRenderedPageBreak/>
        <w:t>Exhibit</w:t>
      </w:r>
      <w:r w:rsidR="006B6676">
        <w:rPr>
          <w:rFonts w:ascii="Arial" w:hAnsi="Arial" w:cs="Arial"/>
          <w:b/>
          <w:caps/>
          <w:lang w:val="en-GB"/>
        </w:rPr>
        <w:t xml:space="preserve"> </w:t>
      </w:r>
      <w:r w:rsidRPr="00F26A3E">
        <w:rPr>
          <w:rFonts w:ascii="Arial" w:hAnsi="Arial" w:cs="Arial"/>
          <w:b/>
          <w:caps/>
          <w:lang w:val="en-GB"/>
        </w:rPr>
        <w:t>3:</w:t>
      </w:r>
      <w:r w:rsidR="006B6676">
        <w:rPr>
          <w:rFonts w:ascii="Arial" w:hAnsi="Arial" w:cs="Arial"/>
          <w:b/>
          <w:caps/>
          <w:lang w:val="en-GB"/>
        </w:rPr>
        <w:t xml:space="preserve"> </w:t>
      </w:r>
      <w:r w:rsidRPr="00F26A3E">
        <w:rPr>
          <w:rFonts w:ascii="Arial" w:hAnsi="Arial" w:cs="Arial"/>
          <w:b/>
          <w:caps/>
          <w:lang w:val="en-GB"/>
        </w:rPr>
        <w:t>Royal</w:t>
      </w:r>
      <w:r w:rsidR="006B6676">
        <w:rPr>
          <w:rFonts w:ascii="Arial" w:hAnsi="Arial" w:cs="Arial"/>
          <w:b/>
          <w:caps/>
          <w:lang w:val="en-GB"/>
        </w:rPr>
        <w:t xml:space="preserve"> </w:t>
      </w:r>
      <w:r w:rsidRPr="00F26A3E">
        <w:rPr>
          <w:rFonts w:ascii="Arial" w:hAnsi="Arial" w:cs="Arial"/>
          <w:b/>
          <w:caps/>
          <w:lang w:val="en-GB"/>
        </w:rPr>
        <w:t>Enfield</w:t>
      </w:r>
      <w:r w:rsidR="006B6676">
        <w:rPr>
          <w:rFonts w:ascii="Arial" w:hAnsi="Arial" w:cs="Arial"/>
          <w:b/>
          <w:caps/>
          <w:lang w:val="en-GB"/>
        </w:rPr>
        <w:t xml:space="preserve"> </w:t>
      </w:r>
      <w:r w:rsidRPr="00F26A3E">
        <w:rPr>
          <w:rFonts w:ascii="Arial" w:hAnsi="Arial" w:cs="Arial"/>
          <w:b/>
          <w:caps/>
          <w:lang w:val="en-GB"/>
        </w:rPr>
        <w:t>Sales</w:t>
      </w:r>
      <w:r w:rsidR="006B6676">
        <w:rPr>
          <w:rFonts w:ascii="Arial" w:hAnsi="Arial" w:cs="Arial"/>
          <w:b/>
          <w:caps/>
          <w:lang w:val="en-GB"/>
        </w:rPr>
        <w:t xml:space="preserve"> </w:t>
      </w:r>
      <w:r w:rsidRPr="00F26A3E">
        <w:rPr>
          <w:rFonts w:ascii="Arial" w:hAnsi="Arial" w:cs="Arial"/>
          <w:b/>
          <w:caps/>
          <w:lang w:val="en-GB"/>
        </w:rPr>
        <w:t>Volume</w:t>
      </w:r>
      <w:r w:rsidR="006B6676">
        <w:rPr>
          <w:rFonts w:ascii="Arial" w:hAnsi="Arial" w:cs="Arial"/>
          <w:b/>
          <w:caps/>
          <w:lang w:val="en-GB"/>
        </w:rPr>
        <w:t xml:space="preserve"> </w:t>
      </w:r>
      <w:r w:rsidRPr="00F26A3E">
        <w:rPr>
          <w:rFonts w:ascii="Arial" w:hAnsi="Arial" w:cs="Arial"/>
          <w:b/>
          <w:caps/>
          <w:lang w:val="en-GB"/>
        </w:rPr>
        <w:t>2002</w:t>
      </w:r>
      <w:r w:rsidR="002B0BAD">
        <w:rPr>
          <w:rFonts w:ascii="Arial" w:hAnsi="Arial" w:cs="Arial"/>
          <w:b/>
          <w:caps/>
          <w:lang w:val="en-GB"/>
        </w:rPr>
        <w:t>–</w:t>
      </w:r>
      <w:r w:rsidRPr="00F26A3E">
        <w:rPr>
          <w:rFonts w:ascii="Arial" w:hAnsi="Arial" w:cs="Arial"/>
          <w:b/>
          <w:caps/>
          <w:lang w:val="en-GB"/>
        </w:rPr>
        <w:t>03</w:t>
      </w:r>
      <w:r w:rsidR="006B6676">
        <w:rPr>
          <w:rFonts w:ascii="Arial" w:hAnsi="Arial" w:cs="Arial"/>
          <w:b/>
          <w:caps/>
          <w:lang w:val="en-GB"/>
        </w:rPr>
        <w:t xml:space="preserve"> </w:t>
      </w:r>
      <w:r w:rsidRPr="00F26A3E">
        <w:rPr>
          <w:rFonts w:ascii="Arial" w:hAnsi="Arial" w:cs="Arial"/>
          <w:b/>
          <w:caps/>
          <w:lang w:val="en-GB"/>
        </w:rPr>
        <w:t>to</w:t>
      </w:r>
      <w:r w:rsidR="006B6676">
        <w:rPr>
          <w:rFonts w:ascii="Arial" w:hAnsi="Arial" w:cs="Arial"/>
          <w:b/>
          <w:caps/>
          <w:lang w:val="en-GB"/>
        </w:rPr>
        <w:t xml:space="preserve"> </w:t>
      </w:r>
      <w:r w:rsidRPr="00F26A3E">
        <w:rPr>
          <w:rFonts w:ascii="Arial" w:hAnsi="Arial" w:cs="Arial"/>
          <w:b/>
          <w:caps/>
          <w:lang w:val="en-GB"/>
        </w:rPr>
        <w:t>2018</w:t>
      </w:r>
      <w:r w:rsidR="002B0BAD">
        <w:rPr>
          <w:rFonts w:ascii="Arial" w:hAnsi="Arial" w:cs="Arial"/>
          <w:b/>
          <w:caps/>
          <w:lang w:val="en-GB"/>
        </w:rPr>
        <w:t>–</w:t>
      </w:r>
      <w:r w:rsidRPr="00F26A3E">
        <w:rPr>
          <w:rFonts w:ascii="Arial" w:hAnsi="Arial" w:cs="Arial"/>
          <w:b/>
          <w:caps/>
          <w:lang w:val="en-GB"/>
        </w:rPr>
        <w:t>19</w:t>
      </w:r>
    </w:p>
    <w:p w14:paraId="20395008" w14:textId="77777777" w:rsidR="00B607FC" w:rsidRPr="00F26A3E" w:rsidRDefault="00B607FC" w:rsidP="00B607FC">
      <w:pPr>
        <w:rPr>
          <w:lang w:val="en-GB"/>
        </w:rPr>
      </w:pPr>
    </w:p>
    <w:tbl>
      <w:tblPr>
        <w:tblStyle w:val="TableGrid1"/>
        <w:tblW w:w="6445" w:type="dxa"/>
        <w:jc w:val="center"/>
        <w:tblLook w:val="04A0" w:firstRow="1" w:lastRow="0" w:firstColumn="1" w:lastColumn="0" w:noHBand="0" w:noVBand="1"/>
        <w:tblCaption w:val="EXHIBIT 3"/>
        <w:tblDescription w:val="ROYAL ENFIELD SALES VOLUME 2002–03 TO 2018–19"/>
      </w:tblPr>
      <w:tblGrid>
        <w:gridCol w:w="2825"/>
        <w:gridCol w:w="1920"/>
        <w:gridCol w:w="1700"/>
      </w:tblGrid>
      <w:tr w:rsidR="00B607FC" w:rsidRPr="00F26A3E" w14:paraId="350B6544" w14:textId="77777777" w:rsidTr="00F57EDA">
        <w:trPr>
          <w:trHeight w:val="60"/>
          <w:tblHeader/>
          <w:jc w:val="center"/>
        </w:trPr>
        <w:tc>
          <w:tcPr>
            <w:tcW w:w="2825" w:type="dxa"/>
            <w:noWrap/>
            <w:hideMark/>
          </w:tcPr>
          <w:p w14:paraId="51BFFFE6" w14:textId="21390861" w:rsidR="00B607FC" w:rsidRPr="00F26A3E" w:rsidRDefault="00CF3B2D" w:rsidP="00B607FC">
            <w:pPr>
              <w:jc w:val="center"/>
              <w:rPr>
                <w:rFonts w:ascii="Arial" w:hAnsi="Arial" w:cs="Arial"/>
                <w:b/>
                <w:bCs/>
                <w:color w:val="000000"/>
                <w:lang w:val="en-GB"/>
              </w:rPr>
            </w:pPr>
            <w:r>
              <w:rPr>
                <w:rFonts w:ascii="Arial" w:hAnsi="Arial" w:cs="Arial"/>
                <w:b/>
                <w:bCs/>
                <w:color w:val="000000"/>
                <w:lang w:val="en-GB"/>
              </w:rPr>
              <w:t>Financial</w:t>
            </w:r>
            <w:r w:rsidR="006B6676">
              <w:rPr>
                <w:rFonts w:ascii="Arial" w:hAnsi="Arial" w:cs="Arial"/>
                <w:b/>
                <w:bCs/>
                <w:color w:val="000000"/>
                <w:lang w:val="en-GB"/>
              </w:rPr>
              <w:t xml:space="preserve"> </w:t>
            </w:r>
            <w:r>
              <w:rPr>
                <w:rFonts w:ascii="Arial" w:hAnsi="Arial" w:cs="Arial"/>
                <w:b/>
                <w:bCs/>
                <w:color w:val="000000"/>
                <w:lang w:val="en-GB"/>
              </w:rPr>
              <w:t>or</w:t>
            </w:r>
            <w:r w:rsidR="006B6676">
              <w:rPr>
                <w:rFonts w:ascii="Arial" w:hAnsi="Arial" w:cs="Arial"/>
                <w:b/>
                <w:bCs/>
                <w:color w:val="000000"/>
                <w:lang w:val="en-GB"/>
              </w:rPr>
              <w:t xml:space="preserve"> </w:t>
            </w:r>
            <w:r>
              <w:rPr>
                <w:rFonts w:ascii="Arial" w:hAnsi="Arial" w:cs="Arial"/>
                <w:b/>
                <w:bCs/>
                <w:color w:val="000000"/>
                <w:lang w:val="en-GB"/>
              </w:rPr>
              <w:t>Calendar</w:t>
            </w:r>
            <w:r w:rsidR="006B6676">
              <w:rPr>
                <w:rFonts w:ascii="Arial" w:hAnsi="Arial" w:cs="Arial"/>
                <w:b/>
                <w:bCs/>
                <w:color w:val="000000"/>
                <w:lang w:val="en-GB"/>
              </w:rPr>
              <w:t xml:space="preserve"> </w:t>
            </w:r>
            <w:r w:rsidR="00B607FC" w:rsidRPr="00F26A3E">
              <w:rPr>
                <w:rFonts w:ascii="Arial" w:hAnsi="Arial" w:cs="Arial"/>
                <w:b/>
                <w:bCs/>
                <w:color w:val="000000"/>
                <w:lang w:val="en-GB"/>
              </w:rPr>
              <w:t>Year</w:t>
            </w:r>
          </w:p>
        </w:tc>
        <w:tc>
          <w:tcPr>
            <w:tcW w:w="1920" w:type="dxa"/>
            <w:noWrap/>
            <w:hideMark/>
          </w:tcPr>
          <w:p w14:paraId="4DC8EED9" w14:textId="5C2E52EA"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Sales</w:t>
            </w:r>
            <w:r w:rsidR="006B6676">
              <w:rPr>
                <w:rFonts w:ascii="Arial" w:hAnsi="Arial" w:cs="Arial"/>
                <w:b/>
                <w:bCs/>
                <w:color w:val="000000"/>
                <w:lang w:val="en-GB"/>
              </w:rPr>
              <w:t xml:space="preserve"> </w:t>
            </w:r>
            <w:r w:rsidRPr="00F26A3E">
              <w:rPr>
                <w:rFonts w:ascii="Arial" w:hAnsi="Arial" w:cs="Arial"/>
                <w:b/>
                <w:bCs/>
                <w:color w:val="000000"/>
                <w:lang w:val="en-GB"/>
              </w:rPr>
              <w:t>(</w:t>
            </w:r>
            <w:r w:rsidR="00CF3B2D">
              <w:rPr>
                <w:rFonts w:ascii="Arial" w:hAnsi="Arial" w:cs="Arial"/>
                <w:b/>
                <w:bCs/>
                <w:color w:val="000000"/>
                <w:lang w:val="en-GB"/>
              </w:rPr>
              <w:t>Units</w:t>
            </w:r>
            <w:r w:rsidRPr="00F26A3E">
              <w:rPr>
                <w:rFonts w:ascii="Arial" w:hAnsi="Arial" w:cs="Arial"/>
                <w:b/>
                <w:bCs/>
                <w:color w:val="000000"/>
                <w:lang w:val="en-GB"/>
              </w:rPr>
              <w:t>)</w:t>
            </w:r>
            <w:r w:rsidR="006B6676">
              <w:rPr>
                <w:rFonts w:ascii="Arial" w:hAnsi="Arial" w:cs="Arial"/>
                <w:b/>
                <w:bCs/>
                <w:color w:val="000000"/>
                <w:lang w:val="en-GB"/>
              </w:rPr>
              <w:t xml:space="preserve"> </w:t>
            </w:r>
          </w:p>
        </w:tc>
        <w:tc>
          <w:tcPr>
            <w:tcW w:w="1700" w:type="dxa"/>
            <w:noWrap/>
            <w:hideMark/>
          </w:tcPr>
          <w:p w14:paraId="307FE1EF" w14:textId="5CE89015"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Growth</w:t>
            </w:r>
            <w:r w:rsidR="006B6676">
              <w:rPr>
                <w:rFonts w:ascii="Arial" w:hAnsi="Arial" w:cs="Arial"/>
                <w:b/>
                <w:bCs/>
                <w:color w:val="000000"/>
                <w:lang w:val="en-GB"/>
              </w:rPr>
              <w:t xml:space="preserve"> </w:t>
            </w:r>
          </w:p>
        </w:tc>
      </w:tr>
      <w:tr w:rsidR="00B607FC" w:rsidRPr="00F26A3E" w14:paraId="6B7E6AAD" w14:textId="77777777" w:rsidTr="00F57EDA">
        <w:trPr>
          <w:trHeight w:val="70"/>
          <w:tblHeader/>
          <w:jc w:val="center"/>
        </w:trPr>
        <w:tc>
          <w:tcPr>
            <w:tcW w:w="2825" w:type="dxa"/>
            <w:noWrap/>
            <w:hideMark/>
          </w:tcPr>
          <w:p w14:paraId="1138BA92" w14:textId="690CCE16"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2002</w:t>
            </w:r>
            <w:r w:rsidR="005774D6">
              <w:rPr>
                <w:rFonts w:ascii="Arial" w:hAnsi="Arial" w:cs="Arial"/>
                <w:color w:val="000000"/>
                <w:lang w:val="en-GB"/>
              </w:rPr>
              <w:t>–</w:t>
            </w:r>
            <w:r w:rsidRPr="00F26A3E">
              <w:rPr>
                <w:rFonts w:ascii="Arial" w:hAnsi="Arial" w:cs="Arial"/>
                <w:color w:val="000000"/>
                <w:lang w:val="en-GB"/>
              </w:rPr>
              <w:t>03</w:t>
            </w:r>
          </w:p>
        </w:tc>
        <w:tc>
          <w:tcPr>
            <w:tcW w:w="1920" w:type="dxa"/>
            <w:noWrap/>
            <w:hideMark/>
          </w:tcPr>
          <w:p w14:paraId="485A36D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28</w:t>
            </w:r>
            <w:r w:rsidR="00545DD9">
              <w:rPr>
                <w:rFonts w:ascii="Arial" w:hAnsi="Arial" w:cs="Arial"/>
                <w:color w:val="000000"/>
                <w:lang w:val="en-GB"/>
              </w:rPr>
              <w:t>,</w:t>
            </w:r>
            <w:r w:rsidRPr="00F26A3E">
              <w:rPr>
                <w:rFonts w:ascii="Arial" w:hAnsi="Arial" w:cs="Arial"/>
                <w:color w:val="000000"/>
                <w:lang w:val="en-GB"/>
              </w:rPr>
              <w:t>029</w:t>
            </w:r>
          </w:p>
        </w:tc>
        <w:tc>
          <w:tcPr>
            <w:tcW w:w="1700" w:type="dxa"/>
            <w:noWrap/>
            <w:hideMark/>
          </w:tcPr>
          <w:p w14:paraId="47F70B6F" w14:textId="7872179D" w:rsidR="00B607FC" w:rsidRPr="00F26A3E" w:rsidRDefault="006B6676" w:rsidP="00B607FC">
            <w:pPr>
              <w:rPr>
                <w:rFonts w:ascii="Arial" w:hAnsi="Arial" w:cs="Arial"/>
                <w:color w:val="000000"/>
                <w:lang w:val="en-GB"/>
              </w:rPr>
            </w:pPr>
            <w:r>
              <w:rPr>
                <w:rFonts w:ascii="Arial" w:hAnsi="Arial" w:cs="Arial"/>
                <w:color w:val="000000"/>
                <w:lang w:val="en-GB"/>
              </w:rPr>
              <w:t xml:space="preserve"> </w:t>
            </w:r>
          </w:p>
        </w:tc>
      </w:tr>
      <w:tr w:rsidR="00B607FC" w:rsidRPr="00F26A3E" w14:paraId="5ABB6075" w14:textId="77777777" w:rsidTr="00F57EDA">
        <w:trPr>
          <w:trHeight w:val="70"/>
          <w:tblHeader/>
          <w:jc w:val="center"/>
        </w:trPr>
        <w:tc>
          <w:tcPr>
            <w:tcW w:w="2825" w:type="dxa"/>
            <w:noWrap/>
            <w:hideMark/>
          </w:tcPr>
          <w:p w14:paraId="6BCF6861" w14:textId="590B0EDF"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2003</w:t>
            </w:r>
            <w:r w:rsidR="005774D6">
              <w:rPr>
                <w:rFonts w:ascii="Arial" w:hAnsi="Arial" w:cs="Arial"/>
                <w:color w:val="000000"/>
                <w:lang w:val="en-GB"/>
              </w:rPr>
              <w:t>–</w:t>
            </w:r>
            <w:r w:rsidRPr="00F26A3E">
              <w:rPr>
                <w:rFonts w:ascii="Arial" w:hAnsi="Arial" w:cs="Arial"/>
                <w:color w:val="000000"/>
                <w:lang w:val="en-GB"/>
              </w:rPr>
              <w:t>04</w:t>
            </w:r>
          </w:p>
        </w:tc>
        <w:tc>
          <w:tcPr>
            <w:tcW w:w="1920" w:type="dxa"/>
            <w:noWrap/>
            <w:hideMark/>
          </w:tcPr>
          <w:p w14:paraId="0EE4430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28</w:t>
            </w:r>
            <w:r w:rsidR="00545DD9">
              <w:rPr>
                <w:rFonts w:ascii="Arial" w:hAnsi="Arial" w:cs="Arial"/>
                <w:color w:val="000000"/>
                <w:lang w:val="en-GB"/>
              </w:rPr>
              <w:t>,</w:t>
            </w:r>
            <w:r w:rsidRPr="00F26A3E">
              <w:rPr>
                <w:rFonts w:ascii="Arial" w:hAnsi="Arial" w:cs="Arial"/>
                <w:color w:val="000000"/>
                <w:lang w:val="en-GB"/>
              </w:rPr>
              <w:t>361</w:t>
            </w:r>
          </w:p>
        </w:tc>
        <w:tc>
          <w:tcPr>
            <w:tcW w:w="1700" w:type="dxa"/>
            <w:noWrap/>
            <w:hideMark/>
          </w:tcPr>
          <w:p w14:paraId="65ED46A0"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1.18%</w:t>
            </w:r>
          </w:p>
        </w:tc>
      </w:tr>
      <w:tr w:rsidR="00B607FC" w:rsidRPr="00F26A3E" w14:paraId="76D5F187" w14:textId="77777777" w:rsidTr="00F57EDA">
        <w:trPr>
          <w:trHeight w:val="70"/>
          <w:tblHeader/>
          <w:jc w:val="center"/>
        </w:trPr>
        <w:tc>
          <w:tcPr>
            <w:tcW w:w="2825" w:type="dxa"/>
            <w:noWrap/>
            <w:hideMark/>
          </w:tcPr>
          <w:p w14:paraId="61705DC4" w14:textId="5FE13A4D"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2004</w:t>
            </w:r>
            <w:r w:rsidR="005774D6">
              <w:rPr>
                <w:rFonts w:ascii="Arial" w:hAnsi="Arial" w:cs="Arial"/>
                <w:color w:val="000000"/>
                <w:lang w:val="en-GB"/>
              </w:rPr>
              <w:t>–</w:t>
            </w:r>
            <w:r w:rsidRPr="00F26A3E">
              <w:rPr>
                <w:rFonts w:ascii="Arial" w:hAnsi="Arial" w:cs="Arial"/>
                <w:color w:val="000000"/>
                <w:lang w:val="en-GB"/>
              </w:rPr>
              <w:t>05</w:t>
            </w:r>
          </w:p>
        </w:tc>
        <w:tc>
          <w:tcPr>
            <w:tcW w:w="1920" w:type="dxa"/>
            <w:noWrap/>
            <w:hideMark/>
          </w:tcPr>
          <w:p w14:paraId="2ECA0C4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29</w:t>
            </w:r>
            <w:r w:rsidR="00545DD9">
              <w:rPr>
                <w:rFonts w:ascii="Arial" w:hAnsi="Arial" w:cs="Arial"/>
                <w:color w:val="000000"/>
                <w:lang w:val="en-GB"/>
              </w:rPr>
              <w:t>,</w:t>
            </w:r>
            <w:r w:rsidRPr="00F26A3E">
              <w:rPr>
                <w:rFonts w:ascii="Arial" w:hAnsi="Arial" w:cs="Arial"/>
                <w:color w:val="000000"/>
                <w:lang w:val="en-GB"/>
              </w:rPr>
              <w:t>475</w:t>
            </w:r>
          </w:p>
        </w:tc>
        <w:tc>
          <w:tcPr>
            <w:tcW w:w="1700" w:type="dxa"/>
            <w:noWrap/>
            <w:hideMark/>
          </w:tcPr>
          <w:p w14:paraId="1846FFF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3.93%</w:t>
            </w:r>
          </w:p>
        </w:tc>
      </w:tr>
      <w:tr w:rsidR="00B607FC" w:rsidRPr="00F26A3E" w14:paraId="7F4E6A5E" w14:textId="77777777" w:rsidTr="00F57EDA">
        <w:trPr>
          <w:trHeight w:val="70"/>
          <w:tblHeader/>
          <w:jc w:val="center"/>
        </w:trPr>
        <w:tc>
          <w:tcPr>
            <w:tcW w:w="2825" w:type="dxa"/>
            <w:noWrap/>
            <w:hideMark/>
          </w:tcPr>
          <w:p w14:paraId="089FC999" w14:textId="6C9B2218"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2005</w:t>
            </w:r>
            <w:r w:rsidR="005774D6">
              <w:rPr>
                <w:rFonts w:ascii="Arial" w:hAnsi="Arial" w:cs="Arial"/>
                <w:color w:val="000000"/>
                <w:lang w:val="en-GB"/>
              </w:rPr>
              <w:t>–</w:t>
            </w:r>
            <w:r w:rsidRPr="00F26A3E">
              <w:rPr>
                <w:rFonts w:ascii="Arial" w:hAnsi="Arial" w:cs="Arial"/>
                <w:color w:val="000000"/>
                <w:lang w:val="en-GB"/>
              </w:rPr>
              <w:t>06</w:t>
            </w:r>
          </w:p>
        </w:tc>
        <w:tc>
          <w:tcPr>
            <w:tcW w:w="1920" w:type="dxa"/>
            <w:noWrap/>
            <w:hideMark/>
          </w:tcPr>
          <w:p w14:paraId="7505A84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30</w:t>
            </w:r>
            <w:r w:rsidR="00545DD9">
              <w:rPr>
                <w:rFonts w:ascii="Arial" w:hAnsi="Arial" w:cs="Arial"/>
                <w:color w:val="000000"/>
                <w:lang w:val="en-GB"/>
              </w:rPr>
              <w:t>,</w:t>
            </w:r>
            <w:r w:rsidRPr="00F26A3E">
              <w:rPr>
                <w:rFonts w:ascii="Arial" w:hAnsi="Arial" w:cs="Arial"/>
                <w:color w:val="000000"/>
                <w:lang w:val="en-GB"/>
              </w:rPr>
              <w:t>777</w:t>
            </w:r>
          </w:p>
        </w:tc>
        <w:tc>
          <w:tcPr>
            <w:tcW w:w="1700" w:type="dxa"/>
            <w:noWrap/>
            <w:hideMark/>
          </w:tcPr>
          <w:p w14:paraId="75169B3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4.42%</w:t>
            </w:r>
          </w:p>
        </w:tc>
      </w:tr>
      <w:tr w:rsidR="00B607FC" w:rsidRPr="00F26A3E" w14:paraId="481B8E4F" w14:textId="77777777" w:rsidTr="00F57EDA">
        <w:trPr>
          <w:trHeight w:val="70"/>
          <w:tblHeader/>
          <w:jc w:val="center"/>
        </w:trPr>
        <w:tc>
          <w:tcPr>
            <w:tcW w:w="2825" w:type="dxa"/>
            <w:noWrap/>
            <w:hideMark/>
          </w:tcPr>
          <w:p w14:paraId="7E53980C" w14:textId="12E5B71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2006</w:t>
            </w:r>
            <w:r w:rsidR="005774D6">
              <w:rPr>
                <w:rFonts w:ascii="Arial" w:hAnsi="Arial" w:cs="Arial"/>
                <w:color w:val="000000"/>
                <w:lang w:val="en-GB"/>
              </w:rPr>
              <w:t>–</w:t>
            </w:r>
            <w:r w:rsidRPr="00F26A3E">
              <w:rPr>
                <w:rFonts w:ascii="Arial" w:hAnsi="Arial" w:cs="Arial"/>
                <w:color w:val="000000"/>
                <w:lang w:val="en-GB"/>
              </w:rPr>
              <w:t>07</w:t>
            </w:r>
          </w:p>
        </w:tc>
        <w:tc>
          <w:tcPr>
            <w:tcW w:w="1920" w:type="dxa"/>
            <w:noWrap/>
            <w:hideMark/>
          </w:tcPr>
          <w:p w14:paraId="67FD06F5"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32</w:t>
            </w:r>
            <w:r w:rsidR="00545DD9">
              <w:rPr>
                <w:rFonts w:ascii="Arial" w:hAnsi="Arial" w:cs="Arial"/>
                <w:color w:val="000000"/>
                <w:lang w:val="en-GB"/>
              </w:rPr>
              <w:t>,</w:t>
            </w:r>
            <w:r w:rsidRPr="00F26A3E">
              <w:rPr>
                <w:rFonts w:ascii="Arial" w:hAnsi="Arial" w:cs="Arial"/>
                <w:color w:val="000000"/>
                <w:lang w:val="en-GB"/>
              </w:rPr>
              <w:t>612</w:t>
            </w:r>
          </w:p>
        </w:tc>
        <w:tc>
          <w:tcPr>
            <w:tcW w:w="1700" w:type="dxa"/>
            <w:noWrap/>
            <w:hideMark/>
          </w:tcPr>
          <w:p w14:paraId="7100D5E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5.96%</w:t>
            </w:r>
          </w:p>
        </w:tc>
      </w:tr>
      <w:tr w:rsidR="00B607FC" w:rsidRPr="00F26A3E" w14:paraId="37A46290" w14:textId="77777777" w:rsidTr="00F57EDA">
        <w:trPr>
          <w:trHeight w:val="70"/>
          <w:tblHeader/>
          <w:jc w:val="center"/>
        </w:trPr>
        <w:tc>
          <w:tcPr>
            <w:tcW w:w="2825" w:type="dxa"/>
            <w:noWrap/>
            <w:hideMark/>
          </w:tcPr>
          <w:p w14:paraId="642F42F1" w14:textId="600821D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2007</w:t>
            </w:r>
            <w:r w:rsidR="005774D6">
              <w:rPr>
                <w:rFonts w:ascii="Arial" w:hAnsi="Arial" w:cs="Arial"/>
                <w:color w:val="000000"/>
                <w:lang w:val="en-GB"/>
              </w:rPr>
              <w:t>–</w:t>
            </w:r>
            <w:r w:rsidRPr="00F26A3E">
              <w:rPr>
                <w:rFonts w:ascii="Arial" w:hAnsi="Arial" w:cs="Arial"/>
                <w:color w:val="000000"/>
                <w:lang w:val="en-GB"/>
              </w:rPr>
              <w:t>08</w:t>
            </w:r>
          </w:p>
        </w:tc>
        <w:tc>
          <w:tcPr>
            <w:tcW w:w="1920" w:type="dxa"/>
            <w:noWrap/>
            <w:hideMark/>
          </w:tcPr>
          <w:p w14:paraId="0427F40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38</w:t>
            </w:r>
            <w:r w:rsidR="00545DD9">
              <w:rPr>
                <w:rFonts w:ascii="Arial" w:hAnsi="Arial" w:cs="Arial"/>
                <w:color w:val="000000"/>
                <w:lang w:val="en-GB"/>
              </w:rPr>
              <w:t>,</w:t>
            </w:r>
            <w:r w:rsidRPr="00F26A3E">
              <w:rPr>
                <w:rFonts w:ascii="Arial" w:hAnsi="Arial" w:cs="Arial"/>
                <w:color w:val="000000"/>
                <w:lang w:val="en-GB"/>
              </w:rPr>
              <w:t>528</w:t>
            </w:r>
          </w:p>
        </w:tc>
        <w:tc>
          <w:tcPr>
            <w:tcW w:w="1700" w:type="dxa"/>
            <w:noWrap/>
            <w:hideMark/>
          </w:tcPr>
          <w:p w14:paraId="0BC8F67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18.14%</w:t>
            </w:r>
          </w:p>
        </w:tc>
      </w:tr>
      <w:tr w:rsidR="00B607FC" w:rsidRPr="00F26A3E" w14:paraId="74A5206A" w14:textId="77777777" w:rsidTr="00F57EDA">
        <w:trPr>
          <w:trHeight w:val="70"/>
          <w:tblHeader/>
          <w:jc w:val="center"/>
        </w:trPr>
        <w:tc>
          <w:tcPr>
            <w:tcW w:w="2825" w:type="dxa"/>
            <w:noWrap/>
            <w:hideMark/>
          </w:tcPr>
          <w:p w14:paraId="386609A7" w14:textId="360DCF73"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2008*</w:t>
            </w:r>
          </w:p>
        </w:tc>
        <w:tc>
          <w:tcPr>
            <w:tcW w:w="1920" w:type="dxa"/>
            <w:noWrap/>
            <w:hideMark/>
          </w:tcPr>
          <w:p w14:paraId="3D8D0F4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43</w:t>
            </w:r>
            <w:r w:rsidR="00545DD9">
              <w:rPr>
                <w:rFonts w:ascii="Arial" w:hAnsi="Arial" w:cs="Arial"/>
                <w:color w:val="000000"/>
                <w:lang w:val="en-GB"/>
              </w:rPr>
              <w:t>,</w:t>
            </w:r>
            <w:r w:rsidRPr="00F26A3E">
              <w:rPr>
                <w:rFonts w:ascii="Arial" w:hAnsi="Arial" w:cs="Arial"/>
                <w:color w:val="000000"/>
                <w:lang w:val="en-GB"/>
              </w:rPr>
              <w:t>298</w:t>
            </w:r>
          </w:p>
        </w:tc>
        <w:tc>
          <w:tcPr>
            <w:tcW w:w="1700" w:type="dxa"/>
            <w:noWrap/>
            <w:hideMark/>
          </w:tcPr>
          <w:p w14:paraId="678F044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12.38%</w:t>
            </w:r>
          </w:p>
        </w:tc>
      </w:tr>
      <w:tr w:rsidR="00B607FC" w:rsidRPr="00F26A3E" w14:paraId="14D5ADD5" w14:textId="77777777" w:rsidTr="00F57EDA">
        <w:trPr>
          <w:trHeight w:val="70"/>
          <w:tblHeader/>
          <w:jc w:val="center"/>
        </w:trPr>
        <w:tc>
          <w:tcPr>
            <w:tcW w:w="2825" w:type="dxa"/>
            <w:noWrap/>
            <w:hideMark/>
          </w:tcPr>
          <w:p w14:paraId="7DD97AEA" w14:textId="0011449E"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2009</w:t>
            </w:r>
          </w:p>
        </w:tc>
        <w:tc>
          <w:tcPr>
            <w:tcW w:w="1920" w:type="dxa"/>
            <w:noWrap/>
            <w:hideMark/>
          </w:tcPr>
          <w:p w14:paraId="1B4D5F5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51</w:t>
            </w:r>
            <w:r w:rsidR="00545DD9">
              <w:rPr>
                <w:rFonts w:ascii="Arial" w:hAnsi="Arial" w:cs="Arial"/>
                <w:color w:val="000000"/>
                <w:lang w:val="en-GB"/>
              </w:rPr>
              <w:t>,</w:t>
            </w:r>
            <w:r w:rsidRPr="00F26A3E">
              <w:rPr>
                <w:rFonts w:ascii="Arial" w:hAnsi="Arial" w:cs="Arial"/>
                <w:color w:val="000000"/>
                <w:lang w:val="en-GB"/>
              </w:rPr>
              <w:t>955</w:t>
            </w:r>
          </w:p>
        </w:tc>
        <w:tc>
          <w:tcPr>
            <w:tcW w:w="1700" w:type="dxa"/>
            <w:noWrap/>
            <w:hideMark/>
          </w:tcPr>
          <w:p w14:paraId="024E671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19.99%</w:t>
            </w:r>
          </w:p>
        </w:tc>
      </w:tr>
      <w:tr w:rsidR="00B607FC" w:rsidRPr="00F26A3E" w14:paraId="50ABCFD4" w14:textId="77777777" w:rsidTr="00F57EDA">
        <w:trPr>
          <w:trHeight w:val="70"/>
          <w:tblHeader/>
          <w:jc w:val="center"/>
        </w:trPr>
        <w:tc>
          <w:tcPr>
            <w:tcW w:w="2825" w:type="dxa"/>
            <w:noWrap/>
            <w:hideMark/>
          </w:tcPr>
          <w:p w14:paraId="647A7B01" w14:textId="661A0A8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2010</w:t>
            </w:r>
          </w:p>
        </w:tc>
        <w:tc>
          <w:tcPr>
            <w:tcW w:w="1920" w:type="dxa"/>
            <w:noWrap/>
            <w:hideMark/>
          </w:tcPr>
          <w:p w14:paraId="49CDAFC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52</w:t>
            </w:r>
            <w:r w:rsidR="00545DD9">
              <w:rPr>
                <w:rFonts w:ascii="Arial" w:hAnsi="Arial" w:cs="Arial"/>
                <w:color w:val="000000"/>
                <w:lang w:val="en-GB"/>
              </w:rPr>
              <w:t>,</w:t>
            </w:r>
            <w:r w:rsidRPr="00F26A3E">
              <w:rPr>
                <w:rFonts w:ascii="Arial" w:hAnsi="Arial" w:cs="Arial"/>
                <w:color w:val="000000"/>
                <w:lang w:val="en-GB"/>
              </w:rPr>
              <w:t>576</w:t>
            </w:r>
          </w:p>
        </w:tc>
        <w:tc>
          <w:tcPr>
            <w:tcW w:w="1700" w:type="dxa"/>
            <w:noWrap/>
            <w:hideMark/>
          </w:tcPr>
          <w:p w14:paraId="72DE2E86"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1.20%</w:t>
            </w:r>
          </w:p>
        </w:tc>
      </w:tr>
      <w:tr w:rsidR="00B607FC" w:rsidRPr="00F26A3E" w14:paraId="5139B5C3" w14:textId="77777777" w:rsidTr="00F57EDA">
        <w:trPr>
          <w:trHeight w:val="70"/>
          <w:tblHeader/>
          <w:jc w:val="center"/>
        </w:trPr>
        <w:tc>
          <w:tcPr>
            <w:tcW w:w="2825" w:type="dxa"/>
            <w:noWrap/>
            <w:hideMark/>
          </w:tcPr>
          <w:p w14:paraId="6A50C950" w14:textId="4BA556F6"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2011</w:t>
            </w:r>
          </w:p>
        </w:tc>
        <w:tc>
          <w:tcPr>
            <w:tcW w:w="1920" w:type="dxa"/>
            <w:noWrap/>
            <w:hideMark/>
          </w:tcPr>
          <w:p w14:paraId="3847DEF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74</w:t>
            </w:r>
            <w:r w:rsidR="00545DD9">
              <w:rPr>
                <w:rFonts w:ascii="Arial" w:hAnsi="Arial" w:cs="Arial"/>
                <w:color w:val="000000"/>
                <w:lang w:val="en-GB"/>
              </w:rPr>
              <w:t>,</w:t>
            </w:r>
            <w:r w:rsidRPr="00F26A3E">
              <w:rPr>
                <w:rFonts w:ascii="Arial" w:hAnsi="Arial" w:cs="Arial"/>
                <w:color w:val="000000"/>
                <w:lang w:val="en-GB"/>
              </w:rPr>
              <w:t>626</w:t>
            </w:r>
          </w:p>
        </w:tc>
        <w:tc>
          <w:tcPr>
            <w:tcW w:w="1700" w:type="dxa"/>
            <w:noWrap/>
            <w:hideMark/>
          </w:tcPr>
          <w:p w14:paraId="3841D94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41.94%</w:t>
            </w:r>
          </w:p>
        </w:tc>
      </w:tr>
      <w:tr w:rsidR="00B607FC" w:rsidRPr="00F26A3E" w14:paraId="16D8F824" w14:textId="77777777" w:rsidTr="00F57EDA">
        <w:trPr>
          <w:trHeight w:val="70"/>
          <w:tblHeader/>
          <w:jc w:val="center"/>
        </w:trPr>
        <w:tc>
          <w:tcPr>
            <w:tcW w:w="2825" w:type="dxa"/>
            <w:noWrap/>
            <w:hideMark/>
          </w:tcPr>
          <w:p w14:paraId="2DFED76D" w14:textId="7FD5BECE"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2012</w:t>
            </w:r>
          </w:p>
        </w:tc>
        <w:tc>
          <w:tcPr>
            <w:tcW w:w="1920" w:type="dxa"/>
            <w:noWrap/>
            <w:hideMark/>
          </w:tcPr>
          <w:p w14:paraId="249B456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113</w:t>
            </w:r>
            <w:r w:rsidR="00545DD9">
              <w:rPr>
                <w:rFonts w:ascii="Arial" w:hAnsi="Arial" w:cs="Arial"/>
                <w:color w:val="000000"/>
                <w:lang w:val="en-GB"/>
              </w:rPr>
              <w:t>,</w:t>
            </w:r>
            <w:r w:rsidRPr="00F26A3E">
              <w:rPr>
                <w:rFonts w:ascii="Arial" w:hAnsi="Arial" w:cs="Arial"/>
                <w:color w:val="000000"/>
                <w:lang w:val="en-GB"/>
              </w:rPr>
              <w:t>432</w:t>
            </w:r>
          </w:p>
        </w:tc>
        <w:tc>
          <w:tcPr>
            <w:tcW w:w="1700" w:type="dxa"/>
            <w:noWrap/>
            <w:hideMark/>
          </w:tcPr>
          <w:p w14:paraId="73C2E505"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52.00%</w:t>
            </w:r>
          </w:p>
        </w:tc>
      </w:tr>
      <w:tr w:rsidR="00B607FC" w:rsidRPr="00F26A3E" w14:paraId="27D2A33E" w14:textId="77777777" w:rsidTr="00F57EDA">
        <w:trPr>
          <w:trHeight w:val="70"/>
          <w:tblHeader/>
          <w:jc w:val="center"/>
        </w:trPr>
        <w:tc>
          <w:tcPr>
            <w:tcW w:w="2825" w:type="dxa"/>
            <w:noWrap/>
            <w:hideMark/>
          </w:tcPr>
          <w:p w14:paraId="1CB4325B" w14:textId="6C1957D4"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2013</w:t>
            </w:r>
          </w:p>
        </w:tc>
        <w:tc>
          <w:tcPr>
            <w:tcW w:w="1920" w:type="dxa"/>
            <w:noWrap/>
            <w:hideMark/>
          </w:tcPr>
          <w:p w14:paraId="47FC862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178</w:t>
            </w:r>
            <w:r w:rsidR="00545DD9">
              <w:rPr>
                <w:rFonts w:ascii="Arial" w:hAnsi="Arial" w:cs="Arial"/>
                <w:color w:val="000000"/>
                <w:lang w:val="en-GB"/>
              </w:rPr>
              <w:t>,</w:t>
            </w:r>
            <w:r w:rsidRPr="00F26A3E">
              <w:rPr>
                <w:rFonts w:ascii="Arial" w:hAnsi="Arial" w:cs="Arial"/>
                <w:color w:val="000000"/>
                <w:lang w:val="en-GB"/>
              </w:rPr>
              <w:t>121</w:t>
            </w:r>
          </w:p>
        </w:tc>
        <w:tc>
          <w:tcPr>
            <w:tcW w:w="1700" w:type="dxa"/>
            <w:noWrap/>
            <w:hideMark/>
          </w:tcPr>
          <w:p w14:paraId="3DB36FB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57.03%</w:t>
            </w:r>
          </w:p>
        </w:tc>
      </w:tr>
      <w:tr w:rsidR="00B607FC" w:rsidRPr="00F26A3E" w14:paraId="5E2C3135" w14:textId="77777777" w:rsidTr="00F57EDA">
        <w:trPr>
          <w:trHeight w:val="70"/>
          <w:tblHeader/>
          <w:jc w:val="center"/>
        </w:trPr>
        <w:tc>
          <w:tcPr>
            <w:tcW w:w="2825" w:type="dxa"/>
            <w:noWrap/>
            <w:hideMark/>
          </w:tcPr>
          <w:p w14:paraId="56CD457B" w14:textId="199DE55F"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2014</w:t>
            </w:r>
          </w:p>
        </w:tc>
        <w:tc>
          <w:tcPr>
            <w:tcW w:w="1920" w:type="dxa"/>
            <w:noWrap/>
            <w:hideMark/>
          </w:tcPr>
          <w:p w14:paraId="1BEF763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302</w:t>
            </w:r>
            <w:r w:rsidR="00545DD9">
              <w:rPr>
                <w:rFonts w:ascii="Arial" w:hAnsi="Arial" w:cs="Arial"/>
                <w:color w:val="000000"/>
                <w:lang w:val="en-GB"/>
              </w:rPr>
              <w:t>,</w:t>
            </w:r>
            <w:r w:rsidRPr="00F26A3E">
              <w:rPr>
                <w:rFonts w:ascii="Arial" w:hAnsi="Arial" w:cs="Arial"/>
                <w:color w:val="000000"/>
                <w:lang w:val="en-GB"/>
              </w:rPr>
              <w:t>592</w:t>
            </w:r>
          </w:p>
        </w:tc>
        <w:tc>
          <w:tcPr>
            <w:tcW w:w="1700" w:type="dxa"/>
            <w:noWrap/>
            <w:hideMark/>
          </w:tcPr>
          <w:p w14:paraId="4C9729D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69.88%</w:t>
            </w:r>
          </w:p>
        </w:tc>
      </w:tr>
      <w:tr w:rsidR="00B607FC" w:rsidRPr="00F26A3E" w14:paraId="4D99217D" w14:textId="77777777" w:rsidTr="00F57EDA">
        <w:trPr>
          <w:trHeight w:val="70"/>
          <w:tblHeader/>
          <w:jc w:val="center"/>
        </w:trPr>
        <w:tc>
          <w:tcPr>
            <w:tcW w:w="2825" w:type="dxa"/>
            <w:noWrap/>
            <w:hideMark/>
          </w:tcPr>
          <w:p w14:paraId="6068A8E0" w14:textId="565172BC"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2015</w:t>
            </w:r>
            <w:r w:rsidR="005774D6">
              <w:rPr>
                <w:rFonts w:ascii="Arial" w:hAnsi="Arial" w:cs="Arial"/>
                <w:color w:val="000000"/>
                <w:lang w:val="en-GB"/>
              </w:rPr>
              <w:t>–</w:t>
            </w:r>
            <w:r w:rsidRPr="00F26A3E">
              <w:rPr>
                <w:rFonts w:ascii="Arial" w:hAnsi="Arial" w:cs="Arial"/>
                <w:color w:val="000000"/>
                <w:lang w:val="en-GB"/>
              </w:rPr>
              <w:t>016</w:t>
            </w:r>
            <w:r w:rsidR="006B6676">
              <w:rPr>
                <w:rFonts w:ascii="Arial" w:hAnsi="Arial" w:cs="Arial"/>
                <w:color w:val="000000"/>
                <w:lang w:val="en-GB"/>
              </w:rPr>
              <w:t xml:space="preserve"> </w:t>
            </w:r>
            <w:r w:rsidRPr="00F26A3E">
              <w:rPr>
                <w:rFonts w:ascii="Arial" w:hAnsi="Arial" w:cs="Arial"/>
                <w:color w:val="000000"/>
                <w:lang w:val="en-GB"/>
              </w:rPr>
              <w:t>**</w:t>
            </w:r>
          </w:p>
        </w:tc>
        <w:tc>
          <w:tcPr>
            <w:tcW w:w="1920" w:type="dxa"/>
            <w:noWrap/>
            <w:hideMark/>
          </w:tcPr>
          <w:p w14:paraId="2A23856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508</w:t>
            </w:r>
            <w:r w:rsidR="00545DD9">
              <w:rPr>
                <w:rFonts w:ascii="Arial" w:hAnsi="Arial" w:cs="Arial"/>
                <w:color w:val="000000"/>
                <w:lang w:val="en-GB"/>
              </w:rPr>
              <w:t>,</w:t>
            </w:r>
            <w:r w:rsidRPr="00F26A3E">
              <w:rPr>
                <w:rFonts w:ascii="Arial" w:hAnsi="Arial" w:cs="Arial"/>
                <w:color w:val="000000"/>
                <w:lang w:val="en-GB"/>
              </w:rPr>
              <w:t>099</w:t>
            </w:r>
          </w:p>
        </w:tc>
        <w:tc>
          <w:tcPr>
            <w:tcW w:w="1700" w:type="dxa"/>
            <w:noWrap/>
            <w:hideMark/>
          </w:tcPr>
          <w:p w14:paraId="2FC2573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67.92%</w:t>
            </w:r>
          </w:p>
        </w:tc>
      </w:tr>
      <w:tr w:rsidR="00B607FC" w:rsidRPr="00F26A3E" w14:paraId="1B2B5E27" w14:textId="77777777" w:rsidTr="00F57EDA">
        <w:trPr>
          <w:trHeight w:val="70"/>
          <w:tblHeader/>
          <w:jc w:val="center"/>
        </w:trPr>
        <w:tc>
          <w:tcPr>
            <w:tcW w:w="2825" w:type="dxa"/>
            <w:noWrap/>
            <w:hideMark/>
          </w:tcPr>
          <w:p w14:paraId="06A694F3" w14:textId="08581998"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2016</w:t>
            </w:r>
            <w:r w:rsidR="005774D6">
              <w:rPr>
                <w:rFonts w:ascii="Arial" w:hAnsi="Arial" w:cs="Arial"/>
                <w:color w:val="000000"/>
                <w:lang w:val="en-GB"/>
              </w:rPr>
              <w:t>–</w:t>
            </w:r>
            <w:r w:rsidRPr="00F26A3E">
              <w:rPr>
                <w:rFonts w:ascii="Arial" w:hAnsi="Arial" w:cs="Arial"/>
                <w:color w:val="000000"/>
                <w:lang w:val="en-GB"/>
              </w:rPr>
              <w:t>17</w:t>
            </w:r>
          </w:p>
        </w:tc>
        <w:tc>
          <w:tcPr>
            <w:tcW w:w="1920" w:type="dxa"/>
            <w:noWrap/>
            <w:hideMark/>
          </w:tcPr>
          <w:p w14:paraId="3FACEE4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666</w:t>
            </w:r>
            <w:r w:rsidR="00545DD9">
              <w:rPr>
                <w:rFonts w:ascii="Arial" w:hAnsi="Arial" w:cs="Arial"/>
                <w:color w:val="000000"/>
                <w:lang w:val="en-GB"/>
              </w:rPr>
              <w:t>,</w:t>
            </w:r>
            <w:r w:rsidRPr="00F26A3E">
              <w:rPr>
                <w:rFonts w:ascii="Arial" w:hAnsi="Arial" w:cs="Arial"/>
                <w:color w:val="000000"/>
                <w:lang w:val="en-GB"/>
              </w:rPr>
              <w:t>493</w:t>
            </w:r>
          </w:p>
        </w:tc>
        <w:tc>
          <w:tcPr>
            <w:tcW w:w="1700" w:type="dxa"/>
            <w:noWrap/>
            <w:hideMark/>
          </w:tcPr>
          <w:p w14:paraId="683D8530"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31.17%</w:t>
            </w:r>
          </w:p>
        </w:tc>
      </w:tr>
      <w:tr w:rsidR="00B607FC" w:rsidRPr="00F26A3E" w14:paraId="3AF03DE3" w14:textId="77777777" w:rsidTr="00F57EDA">
        <w:trPr>
          <w:trHeight w:val="70"/>
          <w:tblHeader/>
          <w:jc w:val="center"/>
        </w:trPr>
        <w:tc>
          <w:tcPr>
            <w:tcW w:w="2825" w:type="dxa"/>
            <w:noWrap/>
            <w:hideMark/>
          </w:tcPr>
          <w:p w14:paraId="69C7BE3B" w14:textId="7868C11C"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2017</w:t>
            </w:r>
            <w:r w:rsidR="005774D6">
              <w:rPr>
                <w:rFonts w:ascii="Arial" w:hAnsi="Arial" w:cs="Arial"/>
                <w:color w:val="000000"/>
                <w:lang w:val="en-GB"/>
              </w:rPr>
              <w:t>–</w:t>
            </w:r>
            <w:r w:rsidRPr="00F26A3E">
              <w:rPr>
                <w:rFonts w:ascii="Arial" w:hAnsi="Arial" w:cs="Arial"/>
                <w:color w:val="000000"/>
                <w:lang w:val="en-GB"/>
              </w:rPr>
              <w:t>18</w:t>
            </w:r>
          </w:p>
        </w:tc>
        <w:tc>
          <w:tcPr>
            <w:tcW w:w="1920" w:type="dxa"/>
            <w:noWrap/>
            <w:hideMark/>
          </w:tcPr>
          <w:p w14:paraId="2ED9C2E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820</w:t>
            </w:r>
            <w:r w:rsidR="00545DD9">
              <w:rPr>
                <w:rFonts w:ascii="Arial" w:hAnsi="Arial" w:cs="Arial"/>
                <w:color w:val="000000"/>
                <w:lang w:val="en-GB"/>
              </w:rPr>
              <w:t>,</w:t>
            </w:r>
            <w:r w:rsidRPr="00F26A3E">
              <w:rPr>
                <w:rFonts w:ascii="Arial" w:hAnsi="Arial" w:cs="Arial"/>
                <w:color w:val="000000"/>
                <w:lang w:val="en-GB"/>
              </w:rPr>
              <w:t>492</w:t>
            </w:r>
          </w:p>
        </w:tc>
        <w:tc>
          <w:tcPr>
            <w:tcW w:w="1700" w:type="dxa"/>
            <w:noWrap/>
            <w:hideMark/>
          </w:tcPr>
          <w:p w14:paraId="7316560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23.11%</w:t>
            </w:r>
          </w:p>
        </w:tc>
      </w:tr>
      <w:tr w:rsidR="00B607FC" w:rsidRPr="00F26A3E" w14:paraId="28ED2606" w14:textId="77777777" w:rsidTr="00F57EDA">
        <w:trPr>
          <w:trHeight w:val="70"/>
          <w:tblHeader/>
          <w:jc w:val="center"/>
        </w:trPr>
        <w:tc>
          <w:tcPr>
            <w:tcW w:w="2825" w:type="dxa"/>
            <w:noWrap/>
            <w:hideMark/>
          </w:tcPr>
          <w:p w14:paraId="2D830F66" w14:textId="5E0CE16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2018</w:t>
            </w:r>
            <w:r w:rsidR="005774D6">
              <w:rPr>
                <w:rFonts w:ascii="Arial" w:hAnsi="Arial" w:cs="Arial"/>
                <w:color w:val="000000"/>
                <w:lang w:val="en-GB"/>
              </w:rPr>
              <w:t>–</w:t>
            </w:r>
            <w:r w:rsidRPr="00F26A3E">
              <w:rPr>
                <w:rFonts w:ascii="Arial" w:hAnsi="Arial" w:cs="Arial"/>
                <w:color w:val="000000"/>
                <w:lang w:val="en-GB"/>
              </w:rPr>
              <w:t>19</w:t>
            </w:r>
          </w:p>
        </w:tc>
        <w:tc>
          <w:tcPr>
            <w:tcW w:w="1920" w:type="dxa"/>
            <w:noWrap/>
            <w:hideMark/>
          </w:tcPr>
          <w:p w14:paraId="17F27F0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823</w:t>
            </w:r>
            <w:r w:rsidR="00545DD9">
              <w:rPr>
                <w:rFonts w:ascii="Arial" w:hAnsi="Arial" w:cs="Arial"/>
                <w:color w:val="000000"/>
                <w:lang w:val="en-GB"/>
              </w:rPr>
              <w:t>,</w:t>
            </w:r>
            <w:r w:rsidRPr="00F26A3E">
              <w:rPr>
                <w:rFonts w:ascii="Arial" w:hAnsi="Arial" w:cs="Arial"/>
                <w:color w:val="000000"/>
                <w:lang w:val="en-GB"/>
              </w:rPr>
              <w:t>828</w:t>
            </w:r>
          </w:p>
        </w:tc>
        <w:tc>
          <w:tcPr>
            <w:tcW w:w="1700" w:type="dxa"/>
            <w:noWrap/>
            <w:hideMark/>
          </w:tcPr>
          <w:p w14:paraId="4D008B4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0.41%</w:t>
            </w:r>
          </w:p>
        </w:tc>
      </w:tr>
    </w:tbl>
    <w:p w14:paraId="2CD8833B" w14:textId="77777777" w:rsidR="00B607FC" w:rsidRPr="00F26A3E" w:rsidRDefault="00B607FC" w:rsidP="00B607FC">
      <w:pPr>
        <w:rPr>
          <w:sz w:val="18"/>
          <w:szCs w:val="18"/>
          <w:lang w:val="en-GB"/>
        </w:rPr>
      </w:pPr>
    </w:p>
    <w:p w14:paraId="092F3A1D" w14:textId="6219CB53" w:rsidR="00B607FC" w:rsidRDefault="00CF3B2D" w:rsidP="00B607FC">
      <w:pPr>
        <w:jc w:val="both"/>
        <w:rPr>
          <w:rFonts w:ascii="Arial" w:hAnsi="Arial" w:cs="Arial"/>
          <w:sz w:val="17"/>
          <w:szCs w:val="17"/>
          <w:lang w:val="en-GB"/>
        </w:rPr>
      </w:pPr>
      <w:r>
        <w:rPr>
          <w:rFonts w:ascii="Arial" w:hAnsi="Arial" w:cs="Arial"/>
          <w:sz w:val="17"/>
          <w:szCs w:val="17"/>
          <w:lang w:val="en-GB"/>
        </w:rPr>
        <w:t>Note:</w:t>
      </w:r>
      <w:r w:rsidR="006B6676">
        <w:rPr>
          <w:rFonts w:ascii="Arial" w:hAnsi="Arial" w:cs="Arial"/>
          <w:sz w:val="17"/>
          <w:szCs w:val="17"/>
          <w:lang w:val="en-GB"/>
        </w:rPr>
        <w:t xml:space="preserve"> </w:t>
      </w:r>
      <w:r w:rsidR="00B607FC" w:rsidRPr="00F26A3E">
        <w:rPr>
          <w:rFonts w:ascii="Arial" w:hAnsi="Arial" w:cs="Arial"/>
          <w:sz w:val="17"/>
          <w:szCs w:val="17"/>
          <w:lang w:val="en-GB"/>
        </w:rPr>
        <w:t>FY</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f</w:t>
      </w:r>
      <w:r w:rsidR="00B607FC" w:rsidRPr="00F26A3E">
        <w:rPr>
          <w:rFonts w:ascii="Arial" w:hAnsi="Arial" w:cs="Arial"/>
          <w:sz w:val="17"/>
          <w:szCs w:val="17"/>
          <w:lang w:val="en-GB"/>
        </w:rPr>
        <w:t>inancial</w:t>
      </w:r>
      <w:r w:rsidR="006B6676">
        <w:rPr>
          <w:rFonts w:ascii="Arial" w:hAnsi="Arial" w:cs="Arial"/>
          <w:sz w:val="17"/>
          <w:szCs w:val="17"/>
          <w:lang w:val="en-GB"/>
        </w:rPr>
        <w:t xml:space="preserve"> </w:t>
      </w:r>
      <w:r>
        <w:rPr>
          <w:rFonts w:ascii="Arial" w:hAnsi="Arial" w:cs="Arial"/>
          <w:sz w:val="17"/>
          <w:szCs w:val="17"/>
          <w:lang w:val="en-GB"/>
        </w:rPr>
        <w:t>y</w:t>
      </w:r>
      <w:r w:rsidR="00B607FC" w:rsidRPr="00F26A3E">
        <w:rPr>
          <w:rFonts w:ascii="Arial" w:hAnsi="Arial" w:cs="Arial"/>
          <w:sz w:val="17"/>
          <w:szCs w:val="17"/>
          <w:lang w:val="en-GB"/>
        </w:rPr>
        <w:t>ear</w:t>
      </w:r>
      <w:r>
        <w:rPr>
          <w:rFonts w:ascii="Arial" w:hAnsi="Arial" w:cs="Arial"/>
          <w:sz w:val="17"/>
          <w:szCs w:val="17"/>
          <w:lang w:val="en-GB"/>
        </w:rPr>
        <w:t>;</w:t>
      </w:r>
      <w:r w:rsidR="006B6676">
        <w:rPr>
          <w:rFonts w:ascii="Arial" w:hAnsi="Arial" w:cs="Arial"/>
          <w:sz w:val="17"/>
          <w:szCs w:val="17"/>
          <w:lang w:val="en-GB"/>
        </w:rPr>
        <w:t xml:space="preserve"> </w:t>
      </w:r>
      <w:r w:rsidR="00B607FC" w:rsidRPr="00F26A3E">
        <w:rPr>
          <w:rFonts w:ascii="Arial" w:hAnsi="Arial" w:cs="Arial"/>
          <w:sz w:val="17"/>
          <w:szCs w:val="17"/>
          <w:lang w:val="en-GB"/>
        </w:rPr>
        <w:t>CY</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c</w:t>
      </w:r>
      <w:r w:rsidR="00B607FC" w:rsidRPr="00F26A3E">
        <w:rPr>
          <w:rFonts w:ascii="Arial" w:hAnsi="Arial" w:cs="Arial"/>
          <w:sz w:val="17"/>
          <w:szCs w:val="17"/>
          <w:lang w:val="en-GB"/>
        </w:rPr>
        <w:t>alendar</w:t>
      </w:r>
      <w:r w:rsidR="006B6676">
        <w:rPr>
          <w:rFonts w:ascii="Arial" w:hAnsi="Arial" w:cs="Arial"/>
          <w:sz w:val="17"/>
          <w:szCs w:val="17"/>
          <w:lang w:val="en-GB"/>
        </w:rPr>
        <w:t xml:space="preserve"> </w:t>
      </w:r>
      <w:r>
        <w:rPr>
          <w:rFonts w:ascii="Arial" w:hAnsi="Arial" w:cs="Arial"/>
          <w:sz w:val="17"/>
          <w:szCs w:val="17"/>
          <w:lang w:val="en-GB"/>
        </w:rPr>
        <w:t>y</w:t>
      </w:r>
      <w:r w:rsidR="00B607FC" w:rsidRPr="00F26A3E">
        <w:rPr>
          <w:rFonts w:ascii="Arial" w:hAnsi="Arial" w:cs="Arial"/>
          <w:sz w:val="17"/>
          <w:szCs w:val="17"/>
          <w:lang w:val="en-GB"/>
        </w:rPr>
        <w:t>ear</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w:t>
      </w:r>
      <w:r w:rsidR="005774D6">
        <w:rPr>
          <w:rFonts w:ascii="Arial" w:hAnsi="Arial" w:cs="Arial"/>
          <w:sz w:val="17"/>
          <w:szCs w:val="17"/>
          <w:lang w:val="en-GB"/>
        </w:rPr>
        <w:t>company</w:t>
      </w:r>
      <w:r w:rsidR="006B6676">
        <w:rPr>
          <w:rFonts w:ascii="Arial" w:hAnsi="Arial" w:cs="Arial"/>
          <w:sz w:val="17"/>
          <w:szCs w:val="17"/>
          <w:lang w:val="en-GB"/>
        </w:rPr>
        <w:t xml:space="preserve"> </w:t>
      </w:r>
      <w:r>
        <w:rPr>
          <w:rFonts w:ascii="Arial" w:hAnsi="Arial" w:cs="Arial"/>
          <w:sz w:val="17"/>
          <w:szCs w:val="17"/>
          <w:lang w:val="en-GB"/>
        </w:rPr>
        <w:t>switched</w:t>
      </w:r>
      <w:r w:rsidR="006B6676">
        <w:rPr>
          <w:rFonts w:ascii="Arial" w:hAnsi="Arial" w:cs="Arial"/>
          <w:sz w:val="17"/>
          <w:szCs w:val="17"/>
          <w:lang w:val="en-GB"/>
        </w:rPr>
        <w:t xml:space="preserve"> </w:t>
      </w:r>
      <w:r>
        <w:rPr>
          <w:rFonts w:ascii="Arial" w:hAnsi="Arial" w:cs="Arial"/>
          <w:sz w:val="17"/>
          <w:szCs w:val="17"/>
          <w:lang w:val="en-GB"/>
        </w:rPr>
        <w:t>to</w:t>
      </w:r>
      <w:r w:rsidR="006B6676">
        <w:rPr>
          <w:rFonts w:ascii="Arial" w:hAnsi="Arial" w:cs="Arial"/>
          <w:sz w:val="17"/>
          <w:szCs w:val="17"/>
          <w:lang w:val="en-GB"/>
        </w:rPr>
        <w:t xml:space="preserve"> </w:t>
      </w:r>
      <w:r>
        <w:rPr>
          <w:rFonts w:ascii="Arial" w:hAnsi="Arial" w:cs="Arial"/>
          <w:sz w:val="17"/>
          <w:szCs w:val="17"/>
          <w:lang w:val="en-GB"/>
        </w:rPr>
        <w:t>calendar</w:t>
      </w:r>
      <w:r w:rsidR="006B6676">
        <w:rPr>
          <w:rFonts w:ascii="Arial" w:hAnsi="Arial" w:cs="Arial"/>
          <w:sz w:val="17"/>
          <w:szCs w:val="17"/>
          <w:lang w:val="en-GB"/>
        </w:rPr>
        <w:t xml:space="preserve"> </w:t>
      </w:r>
      <w:r>
        <w:rPr>
          <w:rFonts w:ascii="Arial" w:hAnsi="Arial" w:cs="Arial"/>
          <w:sz w:val="17"/>
          <w:szCs w:val="17"/>
          <w:lang w:val="en-GB"/>
        </w:rPr>
        <w:t>year</w:t>
      </w:r>
      <w:r w:rsidR="006B6676">
        <w:rPr>
          <w:rFonts w:ascii="Arial" w:hAnsi="Arial" w:cs="Arial"/>
          <w:sz w:val="17"/>
          <w:szCs w:val="17"/>
          <w:lang w:val="en-GB"/>
        </w:rPr>
        <w:t xml:space="preserve"> </w:t>
      </w:r>
      <w:r>
        <w:rPr>
          <w:rFonts w:ascii="Arial" w:hAnsi="Arial" w:cs="Arial"/>
          <w:sz w:val="17"/>
          <w:szCs w:val="17"/>
          <w:lang w:val="en-GB"/>
        </w:rPr>
        <w:t>accounting,</w:t>
      </w:r>
      <w:r w:rsidR="006B6676">
        <w:rPr>
          <w:rFonts w:ascii="Arial" w:hAnsi="Arial" w:cs="Arial"/>
          <w:sz w:val="17"/>
          <w:szCs w:val="17"/>
          <w:lang w:val="en-GB"/>
        </w:rPr>
        <w:t xml:space="preserve"> </w:t>
      </w:r>
      <w:r>
        <w:rPr>
          <w:rFonts w:ascii="Arial" w:hAnsi="Arial" w:cs="Arial"/>
          <w:sz w:val="17"/>
          <w:szCs w:val="17"/>
          <w:lang w:val="en-GB"/>
        </w:rPr>
        <w:t>with</w:t>
      </w:r>
      <w:r w:rsidR="006B6676">
        <w:rPr>
          <w:rFonts w:ascii="Arial" w:hAnsi="Arial" w:cs="Arial"/>
          <w:sz w:val="17"/>
          <w:szCs w:val="17"/>
          <w:lang w:val="en-GB"/>
        </w:rPr>
        <w:t xml:space="preserve"> </w:t>
      </w:r>
      <w:r w:rsidRPr="00F26A3E">
        <w:rPr>
          <w:rFonts w:ascii="Arial" w:hAnsi="Arial" w:cs="Arial"/>
          <w:sz w:val="17"/>
          <w:szCs w:val="17"/>
          <w:lang w:val="en-GB"/>
        </w:rPr>
        <w:t>32</w:t>
      </w:r>
      <w:r>
        <w:rPr>
          <w:rFonts w:ascii="Arial" w:hAnsi="Arial" w:cs="Arial"/>
          <w:sz w:val="17"/>
          <w:szCs w:val="17"/>
          <w:lang w:val="en-GB"/>
        </w:rPr>
        <w:t>,</w:t>
      </w:r>
      <w:r w:rsidRPr="00F26A3E">
        <w:rPr>
          <w:rFonts w:ascii="Arial" w:hAnsi="Arial" w:cs="Arial"/>
          <w:sz w:val="17"/>
          <w:szCs w:val="17"/>
          <w:lang w:val="en-GB"/>
        </w:rPr>
        <w:t>566</w:t>
      </w:r>
      <w:r w:rsidR="006B6676">
        <w:rPr>
          <w:rFonts w:ascii="Arial" w:hAnsi="Arial" w:cs="Arial"/>
          <w:sz w:val="17"/>
          <w:szCs w:val="17"/>
          <w:lang w:val="en-GB"/>
        </w:rPr>
        <w:t xml:space="preserve"> </w:t>
      </w:r>
      <w:r w:rsidR="00B607FC" w:rsidRPr="00F26A3E">
        <w:rPr>
          <w:rFonts w:ascii="Arial" w:hAnsi="Arial" w:cs="Arial"/>
          <w:sz w:val="17"/>
          <w:szCs w:val="17"/>
          <w:lang w:val="en-GB"/>
        </w:rPr>
        <w:t>unit</w:t>
      </w:r>
      <w:r>
        <w:rPr>
          <w:rFonts w:ascii="Arial" w:hAnsi="Arial" w:cs="Arial"/>
          <w:sz w:val="17"/>
          <w:szCs w:val="17"/>
          <w:lang w:val="en-GB"/>
        </w:rPr>
        <w:t>s</w:t>
      </w:r>
      <w:r w:rsidR="006B6676">
        <w:rPr>
          <w:rFonts w:ascii="Arial" w:hAnsi="Arial" w:cs="Arial"/>
          <w:sz w:val="17"/>
          <w:szCs w:val="17"/>
          <w:lang w:val="en-GB"/>
        </w:rPr>
        <w:t xml:space="preserve"> </w:t>
      </w:r>
      <w:r w:rsidR="00B607FC" w:rsidRPr="00F26A3E">
        <w:rPr>
          <w:rFonts w:ascii="Arial" w:hAnsi="Arial" w:cs="Arial"/>
          <w:sz w:val="17"/>
          <w:szCs w:val="17"/>
          <w:lang w:val="en-GB"/>
        </w:rPr>
        <w:t>s</w:t>
      </w:r>
      <w:r>
        <w:rPr>
          <w:rFonts w:ascii="Arial" w:hAnsi="Arial" w:cs="Arial"/>
          <w:sz w:val="17"/>
          <w:szCs w:val="17"/>
          <w:lang w:val="en-GB"/>
        </w:rPr>
        <w:t>old</w:t>
      </w:r>
      <w:r w:rsidR="006B6676">
        <w:rPr>
          <w:rFonts w:ascii="Arial" w:hAnsi="Arial" w:cs="Arial"/>
          <w:sz w:val="17"/>
          <w:szCs w:val="17"/>
          <w:lang w:val="en-GB"/>
        </w:rPr>
        <w:t xml:space="preserve"> </w:t>
      </w:r>
      <w:r w:rsidR="00B607FC" w:rsidRPr="00F26A3E">
        <w:rPr>
          <w:rFonts w:ascii="Arial" w:hAnsi="Arial" w:cs="Arial"/>
          <w:sz w:val="17"/>
          <w:szCs w:val="17"/>
          <w:lang w:val="en-GB"/>
        </w:rPr>
        <w:t>during</w:t>
      </w:r>
      <w:r w:rsidR="006B6676">
        <w:rPr>
          <w:rFonts w:ascii="Arial" w:hAnsi="Arial" w:cs="Arial"/>
          <w:sz w:val="17"/>
          <w:szCs w:val="17"/>
          <w:lang w:val="en-GB"/>
        </w:rPr>
        <w:t xml:space="preserve"> </w:t>
      </w:r>
      <w:r w:rsidR="00B607FC" w:rsidRPr="00F26A3E">
        <w:rPr>
          <w:rFonts w:ascii="Arial" w:hAnsi="Arial" w:cs="Arial"/>
          <w:sz w:val="17"/>
          <w:szCs w:val="17"/>
          <w:lang w:val="en-GB"/>
        </w:rPr>
        <w:t>the</w:t>
      </w:r>
      <w:r w:rsidR="006B6676">
        <w:rPr>
          <w:rFonts w:ascii="Arial" w:hAnsi="Arial" w:cs="Arial"/>
          <w:sz w:val="17"/>
          <w:szCs w:val="17"/>
          <w:lang w:val="en-GB"/>
        </w:rPr>
        <w:t xml:space="preserve"> </w:t>
      </w:r>
      <w:r>
        <w:rPr>
          <w:rFonts w:ascii="Arial" w:hAnsi="Arial" w:cs="Arial"/>
          <w:sz w:val="17"/>
          <w:szCs w:val="17"/>
          <w:lang w:val="en-GB"/>
        </w:rPr>
        <w:t>nine-</w:t>
      </w:r>
      <w:r w:rsidR="00B607FC" w:rsidRPr="00F26A3E">
        <w:rPr>
          <w:rFonts w:ascii="Arial" w:hAnsi="Arial" w:cs="Arial"/>
          <w:sz w:val="17"/>
          <w:szCs w:val="17"/>
          <w:lang w:val="en-GB"/>
        </w:rPr>
        <w:t>months</w:t>
      </w:r>
      <w:r w:rsidR="006B6676">
        <w:rPr>
          <w:rFonts w:ascii="Arial" w:hAnsi="Arial" w:cs="Arial"/>
          <w:sz w:val="17"/>
          <w:szCs w:val="17"/>
          <w:lang w:val="en-GB"/>
        </w:rPr>
        <w:t xml:space="preserve"> </w:t>
      </w:r>
      <w:r w:rsidR="00B607FC" w:rsidRPr="00F26A3E">
        <w:rPr>
          <w:rFonts w:ascii="Arial" w:hAnsi="Arial" w:cs="Arial"/>
          <w:sz w:val="17"/>
          <w:szCs w:val="17"/>
          <w:lang w:val="en-GB"/>
        </w:rPr>
        <w:t>period</w:t>
      </w:r>
      <w:r w:rsidR="006B6676">
        <w:rPr>
          <w:rFonts w:ascii="Arial" w:hAnsi="Arial" w:cs="Arial"/>
          <w:sz w:val="17"/>
          <w:szCs w:val="17"/>
          <w:lang w:val="en-GB"/>
        </w:rPr>
        <w:t xml:space="preserve"> </w:t>
      </w:r>
      <w:r w:rsidR="00B607FC" w:rsidRPr="00F26A3E">
        <w:rPr>
          <w:rFonts w:ascii="Arial" w:hAnsi="Arial" w:cs="Arial"/>
          <w:sz w:val="17"/>
          <w:szCs w:val="17"/>
          <w:lang w:val="en-GB"/>
        </w:rPr>
        <w:t>April</w:t>
      </w:r>
      <w:r w:rsidR="006B6676">
        <w:rPr>
          <w:rFonts w:ascii="Arial" w:hAnsi="Arial" w:cs="Arial"/>
          <w:sz w:val="17"/>
          <w:szCs w:val="17"/>
          <w:lang w:val="en-GB"/>
        </w:rPr>
        <w:t xml:space="preserve"> </w:t>
      </w:r>
      <w:r w:rsidR="00B607FC" w:rsidRPr="00F26A3E">
        <w:rPr>
          <w:rFonts w:ascii="Arial" w:hAnsi="Arial" w:cs="Arial"/>
          <w:sz w:val="17"/>
          <w:szCs w:val="17"/>
          <w:lang w:val="en-GB"/>
        </w:rPr>
        <w:t>1,</w:t>
      </w:r>
      <w:r w:rsidR="006B6676">
        <w:rPr>
          <w:rFonts w:ascii="Arial" w:hAnsi="Arial" w:cs="Arial"/>
          <w:sz w:val="17"/>
          <w:szCs w:val="17"/>
          <w:lang w:val="en-GB"/>
        </w:rPr>
        <w:t xml:space="preserve"> </w:t>
      </w:r>
      <w:r w:rsidR="00B607FC" w:rsidRPr="00F26A3E">
        <w:rPr>
          <w:rFonts w:ascii="Arial" w:hAnsi="Arial" w:cs="Arial"/>
          <w:sz w:val="17"/>
          <w:szCs w:val="17"/>
          <w:lang w:val="en-GB"/>
        </w:rPr>
        <w:t>2008</w:t>
      </w:r>
      <w:r w:rsidR="006B6676">
        <w:rPr>
          <w:rFonts w:ascii="Arial" w:hAnsi="Arial" w:cs="Arial"/>
          <w:sz w:val="17"/>
          <w:szCs w:val="17"/>
          <w:lang w:val="en-GB"/>
        </w:rPr>
        <w:t xml:space="preserve"> </w:t>
      </w:r>
      <w:r w:rsidR="00B607FC" w:rsidRPr="00F26A3E">
        <w:rPr>
          <w:rFonts w:ascii="Arial" w:hAnsi="Arial" w:cs="Arial"/>
          <w:sz w:val="17"/>
          <w:szCs w:val="17"/>
          <w:lang w:val="en-GB"/>
        </w:rPr>
        <w:t>to</w:t>
      </w:r>
      <w:r w:rsidR="006B6676">
        <w:rPr>
          <w:rFonts w:ascii="Arial" w:hAnsi="Arial" w:cs="Arial"/>
          <w:sz w:val="17"/>
          <w:szCs w:val="17"/>
          <w:lang w:val="en-GB"/>
        </w:rPr>
        <w:t xml:space="preserve"> </w:t>
      </w:r>
      <w:r w:rsidR="00B607FC" w:rsidRPr="00F26A3E">
        <w:rPr>
          <w:rFonts w:ascii="Arial" w:hAnsi="Arial" w:cs="Arial"/>
          <w:sz w:val="17"/>
          <w:szCs w:val="17"/>
          <w:lang w:val="en-GB"/>
        </w:rPr>
        <w:t>December</w:t>
      </w:r>
      <w:r w:rsidR="006B6676">
        <w:rPr>
          <w:rFonts w:ascii="Arial" w:hAnsi="Arial" w:cs="Arial"/>
          <w:sz w:val="17"/>
          <w:szCs w:val="17"/>
          <w:lang w:val="en-GB"/>
        </w:rPr>
        <w:t xml:space="preserve"> </w:t>
      </w:r>
      <w:r w:rsidR="00B607FC" w:rsidRPr="00F26A3E">
        <w:rPr>
          <w:rFonts w:ascii="Arial" w:hAnsi="Arial" w:cs="Arial"/>
          <w:sz w:val="17"/>
          <w:szCs w:val="17"/>
          <w:lang w:val="en-GB"/>
        </w:rPr>
        <w:t>31,</w:t>
      </w:r>
      <w:r w:rsidR="006B6676">
        <w:rPr>
          <w:rFonts w:ascii="Arial" w:hAnsi="Arial" w:cs="Arial"/>
          <w:sz w:val="17"/>
          <w:szCs w:val="17"/>
          <w:lang w:val="en-GB"/>
        </w:rPr>
        <w:t xml:space="preserve"> </w:t>
      </w:r>
      <w:r w:rsidR="00B607FC" w:rsidRPr="00F26A3E">
        <w:rPr>
          <w:rFonts w:ascii="Arial" w:hAnsi="Arial" w:cs="Arial"/>
          <w:sz w:val="17"/>
          <w:szCs w:val="17"/>
          <w:lang w:val="en-GB"/>
        </w:rPr>
        <w:t>2008</w:t>
      </w:r>
      <w:r>
        <w:rPr>
          <w:rFonts w:ascii="Arial" w:hAnsi="Arial" w:cs="Arial"/>
          <w:sz w:val="17"/>
          <w:szCs w:val="17"/>
          <w:lang w:val="en-GB"/>
        </w:rPr>
        <w:t>;</w:t>
      </w:r>
      <w:r w:rsidR="006B6676">
        <w:rPr>
          <w:rFonts w:ascii="Arial" w:hAnsi="Arial" w:cs="Arial"/>
          <w:sz w:val="17"/>
          <w:szCs w:val="17"/>
          <w:lang w:val="en-GB"/>
        </w:rPr>
        <w:t xml:space="preserve"> </w:t>
      </w:r>
      <w:r w:rsidR="00B607FC" w:rsidRPr="00F26A3E">
        <w:rPr>
          <w:rFonts w:ascii="Arial" w:hAnsi="Arial" w:cs="Arial"/>
          <w:sz w:val="17"/>
          <w:szCs w:val="17"/>
          <w:lang w:val="en-GB"/>
        </w:rPr>
        <w:t>**</w:t>
      </w:r>
      <w:r w:rsidR="005774D6">
        <w:rPr>
          <w:rFonts w:ascii="Arial" w:hAnsi="Arial" w:cs="Arial"/>
          <w:sz w:val="17"/>
          <w:szCs w:val="17"/>
          <w:lang w:val="en-GB"/>
        </w:rPr>
        <w:t>company</w:t>
      </w:r>
      <w:r w:rsidR="006B6676">
        <w:rPr>
          <w:rFonts w:ascii="Arial" w:hAnsi="Arial" w:cs="Arial"/>
          <w:sz w:val="17"/>
          <w:szCs w:val="17"/>
          <w:lang w:val="en-GB"/>
        </w:rPr>
        <w:t xml:space="preserve"> </w:t>
      </w:r>
      <w:r>
        <w:rPr>
          <w:rFonts w:ascii="Arial" w:hAnsi="Arial" w:cs="Arial"/>
          <w:sz w:val="17"/>
          <w:szCs w:val="17"/>
          <w:lang w:val="en-GB"/>
        </w:rPr>
        <w:t>switched</w:t>
      </w:r>
      <w:r w:rsidR="006B6676">
        <w:rPr>
          <w:rFonts w:ascii="Arial" w:hAnsi="Arial" w:cs="Arial"/>
          <w:sz w:val="17"/>
          <w:szCs w:val="17"/>
          <w:lang w:val="en-GB"/>
        </w:rPr>
        <w:t xml:space="preserve"> </w:t>
      </w:r>
      <w:r w:rsidR="00B607FC" w:rsidRPr="00F26A3E">
        <w:rPr>
          <w:rFonts w:ascii="Arial" w:hAnsi="Arial" w:cs="Arial"/>
          <w:sz w:val="17"/>
          <w:szCs w:val="17"/>
          <w:lang w:val="en-GB"/>
        </w:rPr>
        <w:t>to</w:t>
      </w:r>
      <w:r w:rsidR="006B6676">
        <w:rPr>
          <w:rFonts w:ascii="Arial" w:hAnsi="Arial" w:cs="Arial"/>
          <w:sz w:val="17"/>
          <w:szCs w:val="17"/>
          <w:lang w:val="en-GB"/>
        </w:rPr>
        <w:t xml:space="preserve"> </w:t>
      </w:r>
      <w:r w:rsidR="00B607FC" w:rsidRPr="00F26A3E">
        <w:rPr>
          <w:rFonts w:ascii="Arial" w:hAnsi="Arial" w:cs="Arial"/>
          <w:sz w:val="17"/>
          <w:szCs w:val="17"/>
          <w:lang w:val="en-GB"/>
        </w:rPr>
        <w:t>financial</w:t>
      </w:r>
      <w:r w:rsidR="006B6676">
        <w:rPr>
          <w:rFonts w:ascii="Arial" w:hAnsi="Arial" w:cs="Arial"/>
          <w:sz w:val="17"/>
          <w:szCs w:val="17"/>
          <w:lang w:val="en-GB"/>
        </w:rPr>
        <w:t xml:space="preserve"> </w:t>
      </w:r>
      <w:r w:rsidR="00B607FC" w:rsidRPr="00F26A3E">
        <w:rPr>
          <w:rFonts w:ascii="Arial" w:hAnsi="Arial" w:cs="Arial"/>
          <w:sz w:val="17"/>
          <w:szCs w:val="17"/>
          <w:lang w:val="en-GB"/>
        </w:rPr>
        <w:t>year</w:t>
      </w:r>
      <w:r w:rsidR="006B6676">
        <w:rPr>
          <w:rFonts w:ascii="Arial" w:hAnsi="Arial" w:cs="Arial"/>
          <w:sz w:val="17"/>
          <w:szCs w:val="17"/>
          <w:lang w:val="en-GB"/>
        </w:rPr>
        <w:t xml:space="preserve"> </w:t>
      </w:r>
      <w:r>
        <w:rPr>
          <w:rFonts w:ascii="Arial" w:hAnsi="Arial" w:cs="Arial"/>
          <w:sz w:val="17"/>
          <w:szCs w:val="17"/>
          <w:lang w:val="en-GB"/>
        </w:rPr>
        <w:t>accounting,</w:t>
      </w:r>
      <w:r w:rsidR="006B6676">
        <w:rPr>
          <w:rFonts w:ascii="Arial" w:hAnsi="Arial" w:cs="Arial"/>
          <w:sz w:val="17"/>
          <w:szCs w:val="17"/>
          <w:lang w:val="en-GB"/>
        </w:rPr>
        <w:t xml:space="preserve"> </w:t>
      </w:r>
      <w:r>
        <w:rPr>
          <w:rFonts w:ascii="Arial" w:hAnsi="Arial" w:cs="Arial"/>
          <w:sz w:val="17"/>
          <w:szCs w:val="17"/>
          <w:lang w:val="en-GB"/>
        </w:rPr>
        <w:t>with</w:t>
      </w:r>
      <w:r w:rsidR="006B6676">
        <w:rPr>
          <w:rFonts w:ascii="Arial" w:hAnsi="Arial" w:cs="Arial"/>
          <w:sz w:val="17"/>
          <w:szCs w:val="17"/>
          <w:lang w:val="en-GB"/>
        </w:rPr>
        <w:t xml:space="preserve"> </w:t>
      </w:r>
      <w:r w:rsidRPr="00F26A3E">
        <w:rPr>
          <w:rFonts w:ascii="Arial" w:hAnsi="Arial" w:cs="Arial"/>
          <w:sz w:val="17"/>
          <w:szCs w:val="17"/>
          <w:lang w:val="en-GB"/>
        </w:rPr>
        <w:t>600</w:t>
      </w:r>
      <w:r w:rsidR="00307CCD">
        <w:rPr>
          <w:rFonts w:ascii="Arial" w:hAnsi="Arial" w:cs="Arial"/>
          <w:sz w:val="17"/>
          <w:szCs w:val="17"/>
          <w:lang w:val="en-GB"/>
        </w:rPr>
        <w:t>,</w:t>
      </w:r>
      <w:r w:rsidRPr="00F26A3E">
        <w:rPr>
          <w:rFonts w:ascii="Arial" w:hAnsi="Arial" w:cs="Arial"/>
          <w:sz w:val="17"/>
          <w:szCs w:val="17"/>
          <w:lang w:val="en-GB"/>
        </w:rPr>
        <w:t>944</w:t>
      </w:r>
      <w:r w:rsidR="006B6676">
        <w:rPr>
          <w:rFonts w:ascii="Arial" w:hAnsi="Arial" w:cs="Arial"/>
          <w:sz w:val="17"/>
          <w:szCs w:val="17"/>
          <w:lang w:val="en-GB"/>
        </w:rPr>
        <w:t xml:space="preserve"> </w:t>
      </w:r>
      <w:r>
        <w:rPr>
          <w:rFonts w:ascii="Arial" w:hAnsi="Arial" w:cs="Arial"/>
          <w:sz w:val="17"/>
          <w:szCs w:val="17"/>
          <w:lang w:val="en-GB"/>
        </w:rPr>
        <w:t>u</w:t>
      </w:r>
      <w:r w:rsidR="00B607FC" w:rsidRPr="00F26A3E">
        <w:rPr>
          <w:rFonts w:ascii="Arial" w:hAnsi="Arial" w:cs="Arial"/>
          <w:sz w:val="17"/>
          <w:szCs w:val="17"/>
          <w:lang w:val="en-GB"/>
        </w:rPr>
        <w:t>nit</w:t>
      </w:r>
      <w:r>
        <w:rPr>
          <w:rFonts w:ascii="Arial" w:hAnsi="Arial" w:cs="Arial"/>
          <w:sz w:val="17"/>
          <w:szCs w:val="17"/>
          <w:lang w:val="en-GB"/>
        </w:rPr>
        <w:t>s</w:t>
      </w:r>
      <w:r w:rsidR="006B6676">
        <w:rPr>
          <w:rFonts w:ascii="Arial" w:hAnsi="Arial" w:cs="Arial"/>
          <w:sz w:val="17"/>
          <w:szCs w:val="17"/>
          <w:lang w:val="en-GB"/>
        </w:rPr>
        <w:t xml:space="preserve"> </w:t>
      </w:r>
      <w:r w:rsidR="00B607FC" w:rsidRPr="00F26A3E">
        <w:rPr>
          <w:rFonts w:ascii="Arial" w:hAnsi="Arial" w:cs="Arial"/>
          <w:sz w:val="17"/>
          <w:szCs w:val="17"/>
          <w:lang w:val="en-GB"/>
        </w:rPr>
        <w:t>s</w:t>
      </w:r>
      <w:r>
        <w:rPr>
          <w:rFonts w:ascii="Arial" w:hAnsi="Arial" w:cs="Arial"/>
          <w:sz w:val="17"/>
          <w:szCs w:val="17"/>
          <w:lang w:val="en-GB"/>
        </w:rPr>
        <w:t>old</w:t>
      </w:r>
      <w:r w:rsidR="006B6676">
        <w:rPr>
          <w:rFonts w:ascii="Arial" w:hAnsi="Arial" w:cs="Arial"/>
          <w:sz w:val="17"/>
          <w:szCs w:val="17"/>
          <w:lang w:val="en-GB"/>
        </w:rPr>
        <w:t xml:space="preserve"> </w:t>
      </w:r>
      <w:r>
        <w:rPr>
          <w:rFonts w:ascii="Arial" w:hAnsi="Arial" w:cs="Arial"/>
          <w:sz w:val="17"/>
          <w:szCs w:val="17"/>
          <w:lang w:val="en-GB"/>
        </w:rPr>
        <w:t>during</w:t>
      </w:r>
      <w:r w:rsidR="006B6676">
        <w:rPr>
          <w:rFonts w:ascii="Arial" w:hAnsi="Arial" w:cs="Arial"/>
          <w:sz w:val="17"/>
          <w:szCs w:val="17"/>
          <w:lang w:val="en-GB"/>
        </w:rPr>
        <w:t xml:space="preserve"> </w:t>
      </w:r>
      <w:r w:rsidR="00B607FC" w:rsidRPr="00F26A3E">
        <w:rPr>
          <w:rFonts w:ascii="Arial" w:hAnsi="Arial" w:cs="Arial"/>
          <w:sz w:val="17"/>
          <w:szCs w:val="17"/>
          <w:lang w:val="en-GB"/>
        </w:rPr>
        <w:t>15</w:t>
      </w:r>
      <w:r>
        <w:rPr>
          <w:rFonts w:ascii="Arial" w:hAnsi="Arial" w:cs="Arial"/>
          <w:sz w:val="17"/>
          <w:szCs w:val="17"/>
          <w:lang w:val="en-GB"/>
        </w:rPr>
        <w:t>-</w:t>
      </w:r>
      <w:r w:rsidR="00B607FC" w:rsidRPr="00F26A3E">
        <w:rPr>
          <w:rFonts w:ascii="Arial" w:hAnsi="Arial" w:cs="Arial"/>
          <w:sz w:val="17"/>
          <w:szCs w:val="17"/>
          <w:lang w:val="en-GB"/>
        </w:rPr>
        <w:t>month</w:t>
      </w:r>
      <w:r w:rsidR="006B6676">
        <w:rPr>
          <w:rFonts w:ascii="Arial" w:hAnsi="Arial" w:cs="Arial"/>
          <w:sz w:val="17"/>
          <w:szCs w:val="17"/>
          <w:lang w:val="en-GB"/>
        </w:rPr>
        <w:t xml:space="preserve"> </w:t>
      </w:r>
      <w:r w:rsidR="00B607FC" w:rsidRPr="00F26A3E">
        <w:rPr>
          <w:rFonts w:ascii="Arial" w:hAnsi="Arial" w:cs="Arial"/>
          <w:sz w:val="17"/>
          <w:szCs w:val="17"/>
          <w:lang w:val="en-GB"/>
        </w:rPr>
        <w:t>period</w:t>
      </w:r>
      <w:r w:rsidR="006B6676">
        <w:rPr>
          <w:rFonts w:ascii="Arial" w:hAnsi="Arial" w:cs="Arial"/>
          <w:sz w:val="17"/>
          <w:szCs w:val="17"/>
          <w:lang w:val="en-GB"/>
        </w:rPr>
        <w:t xml:space="preserve"> </w:t>
      </w:r>
      <w:r w:rsidR="00B607FC" w:rsidRPr="00F26A3E">
        <w:rPr>
          <w:rFonts w:ascii="Arial" w:hAnsi="Arial" w:cs="Arial"/>
          <w:sz w:val="17"/>
          <w:szCs w:val="17"/>
          <w:lang w:val="en-GB"/>
        </w:rPr>
        <w:t>January</w:t>
      </w:r>
      <w:r w:rsidR="006B6676">
        <w:rPr>
          <w:rFonts w:ascii="Arial" w:hAnsi="Arial" w:cs="Arial"/>
          <w:sz w:val="17"/>
          <w:szCs w:val="17"/>
          <w:lang w:val="en-GB"/>
        </w:rPr>
        <w:t xml:space="preserve"> </w:t>
      </w:r>
      <w:r w:rsidR="00B607FC" w:rsidRPr="00F26A3E">
        <w:rPr>
          <w:rFonts w:ascii="Arial" w:hAnsi="Arial" w:cs="Arial"/>
          <w:sz w:val="17"/>
          <w:szCs w:val="17"/>
          <w:lang w:val="en-GB"/>
        </w:rPr>
        <w:t>1,</w:t>
      </w:r>
      <w:r w:rsidR="006B6676">
        <w:rPr>
          <w:rFonts w:ascii="Arial" w:hAnsi="Arial" w:cs="Arial"/>
          <w:sz w:val="17"/>
          <w:szCs w:val="17"/>
          <w:lang w:val="en-GB"/>
        </w:rPr>
        <w:t xml:space="preserve"> </w:t>
      </w:r>
      <w:r w:rsidR="00B607FC" w:rsidRPr="00F26A3E">
        <w:rPr>
          <w:rFonts w:ascii="Arial" w:hAnsi="Arial" w:cs="Arial"/>
          <w:sz w:val="17"/>
          <w:szCs w:val="17"/>
          <w:lang w:val="en-GB"/>
        </w:rPr>
        <w:t>2015</w:t>
      </w:r>
      <w:r w:rsidR="006B6676">
        <w:rPr>
          <w:rFonts w:ascii="Arial" w:hAnsi="Arial" w:cs="Arial"/>
          <w:sz w:val="17"/>
          <w:szCs w:val="17"/>
          <w:lang w:val="en-GB"/>
        </w:rPr>
        <w:t xml:space="preserve"> </w:t>
      </w:r>
      <w:r w:rsidR="00B607FC" w:rsidRPr="00F26A3E">
        <w:rPr>
          <w:rFonts w:ascii="Arial" w:hAnsi="Arial" w:cs="Arial"/>
          <w:sz w:val="17"/>
          <w:szCs w:val="17"/>
          <w:lang w:val="en-GB"/>
        </w:rPr>
        <w:t>to</w:t>
      </w:r>
      <w:r w:rsidR="006B6676">
        <w:rPr>
          <w:rFonts w:ascii="Arial" w:hAnsi="Arial" w:cs="Arial"/>
          <w:sz w:val="17"/>
          <w:szCs w:val="17"/>
          <w:lang w:val="en-GB"/>
        </w:rPr>
        <w:t xml:space="preserve"> </w:t>
      </w:r>
      <w:r w:rsidR="00B607FC" w:rsidRPr="00F26A3E">
        <w:rPr>
          <w:rFonts w:ascii="Arial" w:hAnsi="Arial" w:cs="Arial"/>
          <w:sz w:val="17"/>
          <w:szCs w:val="17"/>
          <w:lang w:val="en-GB"/>
        </w:rPr>
        <w:t>March</w:t>
      </w:r>
      <w:r w:rsidR="006B6676">
        <w:rPr>
          <w:rFonts w:ascii="Arial" w:hAnsi="Arial" w:cs="Arial"/>
          <w:sz w:val="17"/>
          <w:szCs w:val="17"/>
          <w:lang w:val="en-GB"/>
        </w:rPr>
        <w:t xml:space="preserve"> </w:t>
      </w:r>
      <w:r w:rsidR="00B607FC" w:rsidRPr="00F26A3E">
        <w:rPr>
          <w:rFonts w:ascii="Arial" w:hAnsi="Arial" w:cs="Arial"/>
          <w:sz w:val="17"/>
          <w:szCs w:val="17"/>
          <w:lang w:val="en-GB"/>
        </w:rPr>
        <w:t>31,</w:t>
      </w:r>
      <w:r w:rsidR="006B6676">
        <w:rPr>
          <w:rFonts w:ascii="Arial" w:hAnsi="Arial" w:cs="Arial"/>
          <w:sz w:val="17"/>
          <w:szCs w:val="17"/>
          <w:lang w:val="en-GB"/>
        </w:rPr>
        <w:t xml:space="preserve"> </w:t>
      </w:r>
      <w:r w:rsidR="00B607FC" w:rsidRPr="00F26A3E">
        <w:rPr>
          <w:rFonts w:ascii="Arial" w:hAnsi="Arial" w:cs="Arial"/>
          <w:sz w:val="17"/>
          <w:szCs w:val="17"/>
          <w:lang w:val="en-GB"/>
        </w:rPr>
        <w:t>2016</w:t>
      </w:r>
      <w:r w:rsidR="00C52073">
        <w:rPr>
          <w:rFonts w:ascii="Arial" w:hAnsi="Arial" w:cs="Arial"/>
          <w:sz w:val="17"/>
          <w:szCs w:val="17"/>
          <w:lang w:val="en-GB"/>
        </w:rPr>
        <w:t>.</w:t>
      </w:r>
    </w:p>
    <w:p w14:paraId="73D52F8B" w14:textId="391AA1D5" w:rsidR="00CF3B2D" w:rsidRPr="00F26A3E" w:rsidRDefault="00CF3B2D" w:rsidP="00CF3B2D">
      <w:pPr>
        <w:jc w:val="both"/>
        <w:rPr>
          <w:rFonts w:ascii="Arial" w:hAnsi="Arial" w:cs="Arial"/>
          <w:sz w:val="17"/>
          <w:szCs w:val="17"/>
          <w:lang w:val="en-GB"/>
        </w:rPr>
      </w:pPr>
      <w:r w:rsidRPr="00F26A3E">
        <w:rPr>
          <w:rFonts w:ascii="Arial" w:hAnsi="Arial" w:cs="Arial"/>
          <w:sz w:val="17"/>
          <w:szCs w:val="17"/>
          <w:lang w:val="en-GB"/>
        </w:rPr>
        <w:t>Source:</w:t>
      </w:r>
      <w:r w:rsidR="006B6676">
        <w:rPr>
          <w:rFonts w:ascii="Arial" w:hAnsi="Arial" w:cs="Arial"/>
          <w:sz w:val="17"/>
          <w:szCs w:val="17"/>
          <w:lang w:val="en-GB"/>
        </w:rPr>
        <w:t xml:space="preserve"> </w:t>
      </w:r>
      <w:r w:rsidRPr="00F26A3E">
        <w:rPr>
          <w:rFonts w:ascii="Arial" w:hAnsi="Arial" w:cs="Arial"/>
          <w:sz w:val="17"/>
          <w:szCs w:val="17"/>
          <w:lang w:val="en-GB"/>
        </w:rPr>
        <w:t>Compiled</w:t>
      </w:r>
      <w:r w:rsidR="006B6676">
        <w:rPr>
          <w:rFonts w:ascii="Arial" w:hAnsi="Arial" w:cs="Arial"/>
          <w:sz w:val="17"/>
          <w:szCs w:val="17"/>
          <w:lang w:val="en-GB"/>
        </w:rPr>
        <w:t xml:space="preserve"> </w:t>
      </w:r>
      <w:r w:rsidRPr="00F26A3E">
        <w:rPr>
          <w:rFonts w:ascii="Arial" w:hAnsi="Arial" w:cs="Arial"/>
          <w:sz w:val="17"/>
          <w:szCs w:val="17"/>
          <w:lang w:val="en-GB"/>
        </w:rPr>
        <w:t>by</w:t>
      </w:r>
      <w:r w:rsidR="006B6676">
        <w:rPr>
          <w:rFonts w:ascii="Arial" w:hAnsi="Arial" w:cs="Arial"/>
          <w:sz w:val="17"/>
          <w:szCs w:val="17"/>
          <w:lang w:val="en-GB"/>
        </w:rPr>
        <w:t xml:space="preserve"> </w:t>
      </w:r>
      <w:r>
        <w:rPr>
          <w:rFonts w:ascii="Arial" w:hAnsi="Arial" w:cs="Arial"/>
          <w:sz w:val="17"/>
          <w:szCs w:val="17"/>
          <w:lang w:val="en-GB"/>
        </w:rPr>
        <w:t>the</w:t>
      </w:r>
      <w:r w:rsidR="006B6676">
        <w:rPr>
          <w:rFonts w:ascii="Arial" w:hAnsi="Arial" w:cs="Arial"/>
          <w:sz w:val="17"/>
          <w:szCs w:val="17"/>
          <w:lang w:val="en-GB"/>
        </w:rPr>
        <w:t xml:space="preserve"> </w:t>
      </w:r>
      <w:r w:rsidRPr="00F26A3E">
        <w:rPr>
          <w:rFonts w:ascii="Arial" w:hAnsi="Arial" w:cs="Arial"/>
          <w:sz w:val="17"/>
          <w:szCs w:val="17"/>
          <w:lang w:val="en-GB"/>
        </w:rPr>
        <w:t>author</w:t>
      </w:r>
      <w:r w:rsidR="006B6676">
        <w:rPr>
          <w:rFonts w:ascii="Arial" w:hAnsi="Arial" w:cs="Arial"/>
          <w:sz w:val="17"/>
          <w:szCs w:val="17"/>
          <w:lang w:val="en-GB"/>
        </w:rPr>
        <w:t xml:space="preserve"> </w:t>
      </w:r>
      <w:r>
        <w:rPr>
          <w:rFonts w:ascii="Arial" w:hAnsi="Arial" w:cs="Arial"/>
          <w:sz w:val="17"/>
          <w:szCs w:val="17"/>
          <w:lang w:val="en-GB"/>
        </w:rPr>
        <w:t>with</w:t>
      </w:r>
      <w:r w:rsidR="006B6676">
        <w:rPr>
          <w:rFonts w:ascii="Arial" w:hAnsi="Arial" w:cs="Arial"/>
          <w:sz w:val="17"/>
          <w:szCs w:val="17"/>
          <w:lang w:val="en-GB"/>
        </w:rPr>
        <w:t xml:space="preserve"> </w:t>
      </w:r>
      <w:r>
        <w:rPr>
          <w:rFonts w:ascii="Arial" w:hAnsi="Arial" w:cs="Arial"/>
          <w:sz w:val="17"/>
          <w:szCs w:val="17"/>
          <w:lang w:val="en-GB"/>
        </w:rPr>
        <w:t>information</w:t>
      </w:r>
      <w:r w:rsidR="006B6676">
        <w:rPr>
          <w:rFonts w:ascii="Arial" w:hAnsi="Arial" w:cs="Arial"/>
          <w:sz w:val="17"/>
          <w:szCs w:val="17"/>
          <w:lang w:val="en-GB"/>
        </w:rPr>
        <w:t xml:space="preserve"> </w:t>
      </w:r>
      <w:r w:rsidRPr="00F26A3E">
        <w:rPr>
          <w:rFonts w:ascii="Arial" w:hAnsi="Arial" w:cs="Arial"/>
          <w:sz w:val="17"/>
          <w:szCs w:val="17"/>
          <w:lang w:val="en-GB"/>
        </w:rPr>
        <w:t>from</w:t>
      </w:r>
      <w:r w:rsidR="006B6676">
        <w:rPr>
          <w:rFonts w:ascii="Arial" w:hAnsi="Arial" w:cs="Arial"/>
          <w:sz w:val="17"/>
          <w:szCs w:val="17"/>
          <w:lang w:val="en-GB"/>
        </w:rPr>
        <w:t xml:space="preserve"> </w:t>
      </w:r>
      <w:r w:rsidR="005774D6">
        <w:rPr>
          <w:rFonts w:ascii="Arial" w:hAnsi="Arial" w:cs="Arial"/>
          <w:sz w:val="17"/>
          <w:szCs w:val="17"/>
          <w:lang w:val="en-GB"/>
        </w:rPr>
        <w:t>“</w:t>
      </w:r>
      <w:r w:rsidRPr="00F26A3E">
        <w:rPr>
          <w:rFonts w:ascii="Arial" w:hAnsi="Arial" w:cs="Arial"/>
          <w:sz w:val="17"/>
          <w:szCs w:val="17"/>
          <w:lang w:val="en-GB"/>
        </w:rPr>
        <w:t>Annual</w:t>
      </w:r>
      <w:r w:rsidR="006B6676">
        <w:rPr>
          <w:rFonts w:ascii="Arial" w:hAnsi="Arial" w:cs="Arial"/>
          <w:sz w:val="17"/>
          <w:szCs w:val="17"/>
          <w:lang w:val="en-GB"/>
        </w:rPr>
        <w:t xml:space="preserve"> </w:t>
      </w:r>
      <w:r w:rsidRPr="00F26A3E">
        <w:rPr>
          <w:rFonts w:ascii="Arial" w:hAnsi="Arial" w:cs="Arial"/>
          <w:sz w:val="17"/>
          <w:szCs w:val="17"/>
          <w:lang w:val="en-GB"/>
        </w:rPr>
        <w:t>Reports</w:t>
      </w:r>
      <w:r w:rsidR="005774D6">
        <w:rPr>
          <w:rFonts w:ascii="Arial" w:hAnsi="Arial" w:cs="Arial"/>
          <w:sz w:val="17"/>
          <w:szCs w:val="17"/>
          <w:lang w:val="en-GB"/>
        </w:rPr>
        <w:t>,”</w:t>
      </w:r>
      <w:r w:rsidR="006B6676">
        <w:rPr>
          <w:rFonts w:ascii="Arial" w:hAnsi="Arial" w:cs="Arial"/>
          <w:sz w:val="17"/>
          <w:szCs w:val="17"/>
          <w:lang w:val="en-GB"/>
        </w:rPr>
        <w:t xml:space="preserve"> </w:t>
      </w:r>
      <w:r w:rsidRPr="00F26A3E">
        <w:rPr>
          <w:rFonts w:ascii="Arial" w:hAnsi="Arial" w:cs="Arial"/>
          <w:sz w:val="17"/>
          <w:szCs w:val="17"/>
          <w:lang w:val="en-GB"/>
        </w:rPr>
        <w:t>Eicher</w:t>
      </w:r>
      <w:r w:rsidR="006B6676">
        <w:rPr>
          <w:rFonts w:ascii="Arial" w:hAnsi="Arial" w:cs="Arial"/>
          <w:sz w:val="17"/>
          <w:szCs w:val="17"/>
          <w:lang w:val="en-GB"/>
        </w:rPr>
        <w:t xml:space="preserve"> </w:t>
      </w:r>
      <w:r w:rsidRPr="00F26A3E">
        <w:rPr>
          <w:rFonts w:ascii="Arial" w:hAnsi="Arial" w:cs="Arial"/>
          <w:sz w:val="17"/>
          <w:szCs w:val="17"/>
          <w:lang w:val="en-GB"/>
        </w:rPr>
        <w:t>Motors</w:t>
      </w:r>
      <w:r w:rsidR="006B6676">
        <w:rPr>
          <w:rFonts w:ascii="Arial" w:hAnsi="Arial" w:cs="Arial"/>
          <w:sz w:val="17"/>
          <w:szCs w:val="17"/>
          <w:lang w:val="en-GB"/>
        </w:rPr>
        <w:t xml:space="preserve"> </w:t>
      </w:r>
      <w:r w:rsidRPr="00F26A3E">
        <w:rPr>
          <w:rFonts w:ascii="Arial" w:hAnsi="Arial" w:cs="Arial"/>
          <w:sz w:val="17"/>
          <w:szCs w:val="17"/>
          <w:lang w:val="en-GB"/>
        </w:rPr>
        <w:t>Limited</w:t>
      </w:r>
      <w:r w:rsidR="005774D6">
        <w:rPr>
          <w:rFonts w:ascii="Arial" w:hAnsi="Arial" w:cs="Arial"/>
          <w:sz w:val="17"/>
          <w:szCs w:val="17"/>
          <w:lang w:val="en-GB"/>
        </w:rPr>
        <w:t>,</w:t>
      </w:r>
      <w:r w:rsidR="006B6676">
        <w:rPr>
          <w:rFonts w:ascii="Arial" w:hAnsi="Arial" w:cs="Arial"/>
          <w:sz w:val="17"/>
          <w:szCs w:val="17"/>
          <w:lang w:val="en-GB"/>
        </w:rPr>
        <w:t xml:space="preserve"> </w:t>
      </w:r>
      <w:r w:rsidR="0023084D" w:rsidRPr="0023084D">
        <w:rPr>
          <w:rFonts w:ascii="Arial" w:hAnsi="Arial" w:cs="Arial"/>
          <w:sz w:val="17"/>
          <w:szCs w:val="17"/>
          <w:lang w:val="en-GB"/>
        </w:rPr>
        <w:t>accessed</w:t>
      </w:r>
      <w:r w:rsidR="006B6676">
        <w:rPr>
          <w:rFonts w:ascii="Arial" w:hAnsi="Arial" w:cs="Arial"/>
          <w:sz w:val="17"/>
          <w:szCs w:val="17"/>
          <w:lang w:val="en-GB"/>
        </w:rPr>
        <w:t xml:space="preserve"> </w:t>
      </w:r>
      <w:r w:rsidR="0023084D" w:rsidRPr="0023084D">
        <w:rPr>
          <w:rFonts w:ascii="Arial" w:hAnsi="Arial" w:cs="Arial"/>
          <w:sz w:val="17"/>
          <w:szCs w:val="17"/>
          <w:lang w:val="en-GB"/>
        </w:rPr>
        <w:t>September</w:t>
      </w:r>
      <w:r w:rsidR="006B6676">
        <w:rPr>
          <w:rFonts w:ascii="Arial" w:hAnsi="Arial" w:cs="Arial"/>
          <w:sz w:val="17"/>
          <w:szCs w:val="17"/>
          <w:lang w:val="en-GB"/>
        </w:rPr>
        <w:t xml:space="preserve"> </w:t>
      </w:r>
      <w:r w:rsidR="0023084D" w:rsidRPr="0023084D">
        <w:rPr>
          <w:rFonts w:ascii="Arial" w:hAnsi="Arial" w:cs="Arial"/>
          <w:sz w:val="17"/>
          <w:szCs w:val="17"/>
          <w:lang w:val="en-GB"/>
        </w:rPr>
        <w:t>24,</w:t>
      </w:r>
      <w:r w:rsidR="006B6676">
        <w:rPr>
          <w:rFonts w:ascii="Arial" w:hAnsi="Arial" w:cs="Arial"/>
          <w:sz w:val="17"/>
          <w:szCs w:val="17"/>
          <w:lang w:val="en-GB"/>
        </w:rPr>
        <w:t xml:space="preserve"> </w:t>
      </w:r>
      <w:r w:rsidR="0023084D" w:rsidRPr="0023084D">
        <w:rPr>
          <w:rFonts w:ascii="Arial" w:hAnsi="Arial" w:cs="Arial"/>
          <w:sz w:val="17"/>
          <w:szCs w:val="17"/>
          <w:lang w:val="en-GB"/>
        </w:rPr>
        <w:t>2020</w:t>
      </w:r>
      <w:r w:rsidR="005774D6">
        <w:rPr>
          <w:rFonts w:ascii="Arial" w:hAnsi="Arial" w:cs="Arial"/>
          <w:sz w:val="17"/>
          <w:szCs w:val="17"/>
          <w:lang w:val="en-GB"/>
        </w:rPr>
        <w:t>,</w:t>
      </w:r>
      <w:r w:rsidR="006B6676">
        <w:rPr>
          <w:rFonts w:ascii="Arial" w:hAnsi="Arial" w:cs="Arial"/>
          <w:sz w:val="17"/>
          <w:szCs w:val="17"/>
          <w:lang w:val="en-GB"/>
        </w:rPr>
        <w:t xml:space="preserve"> </w:t>
      </w:r>
      <w:hyperlink r:id="rId9" w:history="1">
        <w:r w:rsidR="008A25D6" w:rsidRPr="00485BE6">
          <w:rPr>
            <w:rStyle w:val="FootnoteChar"/>
          </w:rPr>
          <w:t>www.eicher.in/annual-reports</w:t>
        </w:r>
      </w:hyperlink>
      <w:r w:rsidR="008A25D6">
        <w:rPr>
          <w:rFonts w:ascii="Arial" w:hAnsi="Arial" w:cs="Arial"/>
          <w:sz w:val="17"/>
          <w:szCs w:val="17"/>
          <w:lang w:val="en-GB"/>
        </w:rPr>
        <w:t>;</w:t>
      </w:r>
      <w:r w:rsidR="006B6676">
        <w:rPr>
          <w:rFonts w:ascii="Arial" w:hAnsi="Arial" w:cs="Arial"/>
          <w:sz w:val="17"/>
          <w:szCs w:val="17"/>
          <w:lang w:val="en-GB"/>
        </w:rPr>
        <w:t xml:space="preserve"> </w:t>
      </w:r>
      <w:r w:rsidR="008A25D6">
        <w:rPr>
          <w:rFonts w:ascii="Arial" w:hAnsi="Arial" w:cs="Arial"/>
          <w:sz w:val="17"/>
          <w:szCs w:val="17"/>
          <w:lang w:val="en-GB"/>
        </w:rPr>
        <w:t>Eicher</w:t>
      </w:r>
      <w:r w:rsidR="006B6676">
        <w:rPr>
          <w:rFonts w:ascii="Arial" w:hAnsi="Arial" w:cs="Arial"/>
          <w:sz w:val="17"/>
          <w:szCs w:val="17"/>
          <w:lang w:val="en-GB"/>
        </w:rPr>
        <w:t xml:space="preserve"> </w:t>
      </w:r>
      <w:r w:rsidR="008A25D6">
        <w:rPr>
          <w:rFonts w:ascii="Arial" w:hAnsi="Arial" w:cs="Arial"/>
          <w:sz w:val="17"/>
          <w:szCs w:val="17"/>
          <w:lang w:val="en-GB"/>
        </w:rPr>
        <w:t>Motors</w:t>
      </w:r>
      <w:r w:rsidR="006B6676">
        <w:rPr>
          <w:rFonts w:ascii="Arial" w:hAnsi="Arial" w:cs="Arial"/>
          <w:sz w:val="17"/>
          <w:szCs w:val="17"/>
          <w:lang w:val="en-GB"/>
        </w:rPr>
        <w:t xml:space="preserve"> </w:t>
      </w:r>
      <w:r w:rsidR="008A25D6">
        <w:rPr>
          <w:rFonts w:ascii="Arial" w:hAnsi="Arial" w:cs="Arial"/>
          <w:sz w:val="17"/>
          <w:szCs w:val="17"/>
          <w:lang w:val="en-GB"/>
        </w:rPr>
        <w:t>Limited,</w:t>
      </w:r>
      <w:r w:rsidR="006B6676">
        <w:rPr>
          <w:rFonts w:ascii="Arial" w:hAnsi="Arial" w:cs="Arial"/>
          <w:sz w:val="17"/>
          <w:szCs w:val="17"/>
          <w:lang w:val="en-GB"/>
        </w:rPr>
        <w:t xml:space="preserve"> </w:t>
      </w:r>
      <w:r w:rsidR="008A25D6" w:rsidRPr="00485BE6">
        <w:rPr>
          <w:rFonts w:ascii="Arial" w:hAnsi="Arial" w:cs="Arial"/>
          <w:i/>
          <w:sz w:val="17"/>
          <w:szCs w:val="17"/>
          <w:lang w:val="en-GB"/>
        </w:rPr>
        <w:t>Annual</w:t>
      </w:r>
      <w:r w:rsidR="006B6676">
        <w:rPr>
          <w:rFonts w:ascii="Arial" w:hAnsi="Arial" w:cs="Arial"/>
          <w:i/>
          <w:sz w:val="17"/>
          <w:szCs w:val="17"/>
          <w:lang w:val="en-GB"/>
        </w:rPr>
        <w:t xml:space="preserve"> </w:t>
      </w:r>
      <w:r w:rsidR="008A25D6" w:rsidRPr="00485BE6">
        <w:rPr>
          <w:rFonts w:ascii="Arial" w:hAnsi="Arial" w:cs="Arial"/>
          <w:i/>
          <w:sz w:val="17"/>
          <w:szCs w:val="17"/>
          <w:lang w:val="en-GB"/>
        </w:rPr>
        <w:t>Report</w:t>
      </w:r>
      <w:r w:rsidR="006B6676">
        <w:rPr>
          <w:rFonts w:ascii="Arial" w:hAnsi="Arial" w:cs="Arial"/>
          <w:i/>
          <w:sz w:val="17"/>
          <w:szCs w:val="17"/>
          <w:lang w:val="en-GB"/>
        </w:rPr>
        <w:t xml:space="preserve"> </w:t>
      </w:r>
      <w:r w:rsidR="008A25D6" w:rsidRPr="00485BE6">
        <w:rPr>
          <w:rFonts w:ascii="Arial" w:hAnsi="Arial" w:cs="Arial"/>
          <w:i/>
          <w:sz w:val="17"/>
          <w:szCs w:val="17"/>
          <w:lang w:val="en-GB"/>
        </w:rPr>
        <w:t>April</w:t>
      </w:r>
      <w:r w:rsidR="006B6676">
        <w:rPr>
          <w:rFonts w:ascii="Arial" w:hAnsi="Arial" w:cs="Arial"/>
          <w:i/>
          <w:sz w:val="17"/>
          <w:szCs w:val="17"/>
          <w:lang w:val="en-GB"/>
        </w:rPr>
        <w:t xml:space="preserve"> </w:t>
      </w:r>
      <w:r w:rsidR="008A25D6" w:rsidRPr="00485BE6">
        <w:rPr>
          <w:rFonts w:ascii="Arial" w:hAnsi="Arial" w:cs="Arial"/>
          <w:i/>
          <w:sz w:val="17"/>
          <w:szCs w:val="17"/>
          <w:lang w:val="en-GB"/>
        </w:rPr>
        <w:t>01,</w:t>
      </w:r>
      <w:r w:rsidR="006B6676">
        <w:rPr>
          <w:rFonts w:ascii="Arial" w:hAnsi="Arial" w:cs="Arial"/>
          <w:i/>
          <w:sz w:val="17"/>
          <w:szCs w:val="17"/>
          <w:lang w:val="en-GB"/>
        </w:rPr>
        <w:t xml:space="preserve"> </w:t>
      </w:r>
      <w:r w:rsidR="008A25D6" w:rsidRPr="00485BE6">
        <w:rPr>
          <w:rFonts w:ascii="Arial" w:hAnsi="Arial" w:cs="Arial"/>
          <w:i/>
          <w:sz w:val="17"/>
          <w:szCs w:val="17"/>
          <w:lang w:val="en-GB"/>
        </w:rPr>
        <w:t>2008</w:t>
      </w:r>
      <w:r w:rsidR="006B6676">
        <w:rPr>
          <w:rFonts w:ascii="Arial" w:hAnsi="Arial" w:cs="Arial"/>
          <w:i/>
          <w:sz w:val="17"/>
          <w:szCs w:val="17"/>
          <w:lang w:val="en-GB"/>
        </w:rPr>
        <w:t xml:space="preserve"> </w:t>
      </w:r>
      <w:r w:rsidR="008A25D6" w:rsidRPr="00485BE6">
        <w:rPr>
          <w:rFonts w:ascii="Arial" w:hAnsi="Arial" w:cs="Arial"/>
          <w:i/>
          <w:sz w:val="17"/>
          <w:szCs w:val="17"/>
          <w:lang w:val="en-GB"/>
        </w:rPr>
        <w:t>–</w:t>
      </w:r>
      <w:r w:rsidR="006B6676">
        <w:rPr>
          <w:rFonts w:ascii="Arial" w:hAnsi="Arial" w:cs="Arial"/>
          <w:i/>
          <w:sz w:val="17"/>
          <w:szCs w:val="17"/>
          <w:lang w:val="en-GB"/>
        </w:rPr>
        <w:t xml:space="preserve"> </w:t>
      </w:r>
      <w:r w:rsidR="008A25D6" w:rsidRPr="00485BE6">
        <w:rPr>
          <w:rFonts w:ascii="Arial" w:hAnsi="Arial" w:cs="Arial"/>
          <w:i/>
          <w:sz w:val="17"/>
          <w:szCs w:val="17"/>
          <w:lang w:val="en-GB"/>
        </w:rPr>
        <w:t>December</w:t>
      </w:r>
      <w:r w:rsidR="006B6676">
        <w:rPr>
          <w:rFonts w:ascii="Arial" w:hAnsi="Arial" w:cs="Arial"/>
          <w:i/>
          <w:sz w:val="17"/>
          <w:szCs w:val="17"/>
          <w:lang w:val="en-GB"/>
        </w:rPr>
        <w:t xml:space="preserve"> </w:t>
      </w:r>
      <w:r w:rsidR="008A25D6" w:rsidRPr="00485BE6">
        <w:rPr>
          <w:rFonts w:ascii="Arial" w:hAnsi="Arial" w:cs="Arial"/>
          <w:i/>
          <w:sz w:val="17"/>
          <w:szCs w:val="17"/>
          <w:lang w:val="en-GB"/>
        </w:rPr>
        <w:t>31,</w:t>
      </w:r>
      <w:r w:rsidR="006B6676">
        <w:rPr>
          <w:rFonts w:ascii="Arial" w:hAnsi="Arial" w:cs="Arial"/>
          <w:i/>
          <w:sz w:val="17"/>
          <w:szCs w:val="17"/>
          <w:lang w:val="en-GB"/>
        </w:rPr>
        <w:t xml:space="preserve"> </w:t>
      </w:r>
      <w:r w:rsidR="008A25D6" w:rsidRPr="00485BE6">
        <w:rPr>
          <w:rFonts w:ascii="Arial" w:hAnsi="Arial" w:cs="Arial"/>
          <w:i/>
          <w:sz w:val="17"/>
          <w:szCs w:val="17"/>
          <w:lang w:val="en-GB"/>
        </w:rPr>
        <w:t>2008</w:t>
      </w:r>
      <w:r w:rsidR="008A25D6">
        <w:rPr>
          <w:rFonts w:ascii="Arial" w:hAnsi="Arial" w:cs="Arial"/>
          <w:sz w:val="17"/>
          <w:szCs w:val="17"/>
          <w:lang w:val="en-GB"/>
        </w:rPr>
        <w:t>,</w:t>
      </w:r>
      <w:r w:rsidR="006B6676">
        <w:rPr>
          <w:rFonts w:ascii="Arial" w:hAnsi="Arial" w:cs="Arial"/>
          <w:sz w:val="17"/>
          <w:szCs w:val="17"/>
          <w:lang w:val="en-GB"/>
        </w:rPr>
        <w:t xml:space="preserve"> </w:t>
      </w:r>
      <w:r w:rsidR="008A25D6">
        <w:rPr>
          <w:rFonts w:ascii="Arial" w:hAnsi="Arial" w:cs="Arial"/>
          <w:sz w:val="17"/>
          <w:szCs w:val="17"/>
          <w:lang w:val="en-GB"/>
        </w:rPr>
        <w:t>5</w:t>
      </w:r>
      <w:r w:rsidR="006B6676">
        <w:rPr>
          <w:rFonts w:ascii="Arial" w:hAnsi="Arial" w:cs="Arial"/>
          <w:sz w:val="17"/>
          <w:szCs w:val="17"/>
          <w:lang w:val="en-GB"/>
        </w:rPr>
        <w:t xml:space="preserve"> </w:t>
      </w:r>
      <w:r w:rsidR="008A25D6">
        <w:rPr>
          <w:rFonts w:ascii="Arial" w:hAnsi="Arial" w:cs="Arial"/>
          <w:sz w:val="17"/>
          <w:szCs w:val="17"/>
          <w:lang w:val="en-GB"/>
        </w:rPr>
        <w:t>and</w:t>
      </w:r>
      <w:r w:rsidR="006B6676">
        <w:rPr>
          <w:rFonts w:ascii="Arial" w:hAnsi="Arial" w:cs="Arial"/>
          <w:sz w:val="17"/>
          <w:szCs w:val="17"/>
          <w:lang w:val="en-GB"/>
        </w:rPr>
        <w:t xml:space="preserve"> </w:t>
      </w:r>
      <w:r w:rsidR="008A25D6">
        <w:rPr>
          <w:rFonts w:ascii="Arial" w:hAnsi="Arial" w:cs="Arial"/>
          <w:sz w:val="17"/>
          <w:szCs w:val="17"/>
          <w:lang w:val="en-GB"/>
        </w:rPr>
        <w:t>8,</w:t>
      </w:r>
      <w:r w:rsidR="006B6676">
        <w:rPr>
          <w:rFonts w:ascii="Arial" w:hAnsi="Arial" w:cs="Arial"/>
          <w:sz w:val="17"/>
          <w:szCs w:val="17"/>
          <w:lang w:val="en-GB"/>
        </w:rPr>
        <w:t xml:space="preserve"> </w:t>
      </w:r>
      <w:r w:rsidR="008A25D6">
        <w:rPr>
          <w:rFonts w:ascii="Arial" w:hAnsi="Arial" w:cs="Arial"/>
          <w:sz w:val="17"/>
          <w:szCs w:val="17"/>
          <w:lang w:val="en-GB"/>
        </w:rPr>
        <w:t>accessed</w:t>
      </w:r>
      <w:r w:rsidR="006B6676">
        <w:rPr>
          <w:rFonts w:ascii="Arial" w:hAnsi="Arial" w:cs="Arial"/>
          <w:sz w:val="17"/>
          <w:szCs w:val="17"/>
          <w:lang w:val="en-GB"/>
        </w:rPr>
        <w:t xml:space="preserve"> </w:t>
      </w:r>
      <w:r w:rsidR="008A25D6">
        <w:rPr>
          <w:rFonts w:ascii="Arial" w:hAnsi="Arial" w:cs="Arial"/>
          <w:sz w:val="17"/>
          <w:szCs w:val="17"/>
          <w:lang w:val="en-GB"/>
        </w:rPr>
        <w:t>September</w:t>
      </w:r>
      <w:r w:rsidR="006B6676">
        <w:rPr>
          <w:rFonts w:ascii="Arial" w:hAnsi="Arial" w:cs="Arial"/>
          <w:sz w:val="17"/>
          <w:szCs w:val="17"/>
          <w:lang w:val="en-GB"/>
        </w:rPr>
        <w:t xml:space="preserve"> </w:t>
      </w:r>
      <w:r w:rsidR="008A25D6">
        <w:rPr>
          <w:rFonts w:ascii="Arial" w:hAnsi="Arial" w:cs="Arial"/>
          <w:sz w:val="17"/>
          <w:szCs w:val="17"/>
          <w:lang w:val="en-GB"/>
        </w:rPr>
        <w:t>24,</w:t>
      </w:r>
      <w:r w:rsidR="006B6676">
        <w:rPr>
          <w:rFonts w:ascii="Arial" w:hAnsi="Arial" w:cs="Arial"/>
          <w:sz w:val="17"/>
          <w:szCs w:val="17"/>
          <w:lang w:val="en-GB"/>
        </w:rPr>
        <w:t xml:space="preserve"> </w:t>
      </w:r>
      <w:r w:rsidR="008A25D6">
        <w:rPr>
          <w:rFonts w:ascii="Arial" w:hAnsi="Arial" w:cs="Arial"/>
          <w:sz w:val="17"/>
          <w:szCs w:val="17"/>
          <w:lang w:val="en-GB"/>
        </w:rPr>
        <w:t>2020,</w:t>
      </w:r>
      <w:r w:rsidR="006B6676">
        <w:rPr>
          <w:rFonts w:ascii="Arial" w:hAnsi="Arial" w:cs="Arial"/>
          <w:sz w:val="17"/>
          <w:szCs w:val="17"/>
          <w:lang w:val="en-GB"/>
        </w:rPr>
        <w:t xml:space="preserve"> </w:t>
      </w:r>
      <w:hyperlink r:id="rId10" w:history="1">
        <w:r w:rsidR="008A25D6" w:rsidRPr="00485BE6">
          <w:rPr>
            <w:rStyle w:val="FootnoteChar"/>
          </w:rPr>
          <w:t>www.eicher.in/uploads/1532949097_Eicher_Motors_Annual_Report_2008.pdf</w:t>
        </w:r>
      </w:hyperlink>
      <w:r w:rsidR="005774D6" w:rsidRPr="00485BE6">
        <w:rPr>
          <w:rStyle w:val="FootnoteChar"/>
        </w:rPr>
        <w:t>.</w:t>
      </w:r>
    </w:p>
    <w:p w14:paraId="5EEB1EA5" w14:textId="77777777" w:rsidR="00B607FC" w:rsidRPr="00F26A3E" w:rsidRDefault="00B607FC" w:rsidP="00B607FC">
      <w:pPr>
        <w:rPr>
          <w:lang w:val="en-GB"/>
        </w:rPr>
      </w:pPr>
    </w:p>
    <w:p w14:paraId="7D03791A" w14:textId="77777777" w:rsidR="00B607FC" w:rsidRPr="00F26A3E" w:rsidRDefault="00B607FC" w:rsidP="00B607FC">
      <w:pPr>
        <w:rPr>
          <w:lang w:val="en-GB"/>
        </w:rPr>
      </w:pPr>
    </w:p>
    <w:p w14:paraId="0949E07F" w14:textId="6A5D141D" w:rsidR="00B607FC" w:rsidRPr="00F26A3E" w:rsidRDefault="00B607FC" w:rsidP="00B607FC">
      <w:pPr>
        <w:jc w:val="center"/>
        <w:rPr>
          <w:rFonts w:ascii="Arial" w:hAnsi="Arial" w:cs="Arial"/>
          <w:b/>
          <w:caps/>
          <w:lang w:val="en-GB"/>
        </w:rPr>
      </w:pPr>
      <w:r w:rsidRPr="00F26A3E">
        <w:rPr>
          <w:rFonts w:ascii="Arial" w:hAnsi="Arial" w:cs="Arial"/>
          <w:b/>
          <w:caps/>
          <w:lang w:val="en-GB"/>
        </w:rPr>
        <w:t>Exhibit</w:t>
      </w:r>
      <w:r w:rsidR="006B6676">
        <w:rPr>
          <w:rFonts w:ascii="Arial" w:hAnsi="Arial" w:cs="Arial"/>
          <w:b/>
          <w:caps/>
          <w:lang w:val="en-GB"/>
        </w:rPr>
        <w:t xml:space="preserve"> </w:t>
      </w:r>
      <w:r w:rsidRPr="00F26A3E">
        <w:rPr>
          <w:rFonts w:ascii="Arial" w:hAnsi="Arial" w:cs="Arial"/>
          <w:b/>
          <w:caps/>
          <w:lang w:val="en-GB"/>
        </w:rPr>
        <w:t>4:</w:t>
      </w:r>
      <w:r w:rsidR="006B6676">
        <w:rPr>
          <w:rFonts w:ascii="Arial" w:hAnsi="Arial" w:cs="Arial"/>
          <w:b/>
          <w:caps/>
          <w:lang w:val="en-GB"/>
        </w:rPr>
        <w:t xml:space="preserve"> </w:t>
      </w:r>
      <w:r w:rsidRPr="00F26A3E">
        <w:rPr>
          <w:rFonts w:ascii="Arial" w:hAnsi="Arial" w:cs="Arial"/>
          <w:b/>
          <w:caps/>
          <w:lang w:val="en-GB"/>
        </w:rPr>
        <w:t>Royal</w:t>
      </w:r>
      <w:r w:rsidR="006B6676">
        <w:rPr>
          <w:rFonts w:ascii="Arial" w:hAnsi="Arial" w:cs="Arial"/>
          <w:b/>
          <w:caps/>
          <w:lang w:val="en-GB"/>
        </w:rPr>
        <w:t xml:space="preserve"> </w:t>
      </w:r>
      <w:r w:rsidRPr="00F26A3E">
        <w:rPr>
          <w:rFonts w:ascii="Arial" w:hAnsi="Arial" w:cs="Arial"/>
          <w:b/>
          <w:caps/>
          <w:lang w:val="en-GB"/>
        </w:rPr>
        <w:t>Enfield</w:t>
      </w:r>
      <w:r w:rsidR="006B6676">
        <w:rPr>
          <w:rFonts w:ascii="Arial" w:hAnsi="Arial" w:cs="Arial"/>
          <w:b/>
          <w:caps/>
          <w:lang w:val="en-GB"/>
        </w:rPr>
        <w:t xml:space="preserve"> </w:t>
      </w:r>
      <w:r w:rsidRPr="00F26A3E">
        <w:rPr>
          <w:rFonts w:ascii="Arial" w:hAnsi="Arial" w:cs="Arial"/>
          <w:b/>
          <w:caps/>
          <w:lang w:val="en-GB"/>
        </w:rPr>
        <w:t>Research</w:t>
      </w:r>
      <w:r w:rsidR="006B6676">
        <w:rPr>
          <w:rFonts w:ascii="Arial" w:hAnsi="Arial" w:cs="Arial"/>
          <w:b/>
          <w:caps/>
          <w:lang w:val="en-GB"/>
        </w:rPr>
        <w:t xml:space="preserve"> </w:t>
      </w:r>
      <w:r w:rsidRPr="00F26A3E">
        <w:rPr>
          <w:rFonts w:ascii="Arial" w:hAnsi="Arial" w:cs="Arial"/>
          <w:b/>
          <w:caps/>
          <w:lang w:val="en-GB"/>
        </w:rPr>
        <w:t>and</w:t>
      </w:r>
      <w:r w:rsidR="006B6676">
        <w:rPr>
          <w:rFonts w:ascii="Arial" w:hAnsi="Arial" w:cs="Arial"/>
          <w:b/>
          <w:caps/>
          <w:lang w:val="en-GB"/>
        </w:rPr>
        <w:t xml:space="preserve"> </w:t>
      </w:r>
      <w:r w:rsidRPr="00F26A3E">
        <w:rPr>
          <w:rFonts w:ascii="Arial" w:hAnsi="Arial" w:cs="Arial"/>
          <w:b/>
          <w:caps/>
          <w:lang w:val="en-GB"/>
        </w:rPr>
        <w:t>Development</w:t>
      </w:r>
      <w:r w:rsidR="006B6676">
        <w:rPr>
          <w:rFonts w:ascii="Arial" w:hAnsi="Arial" w:cs="Arial"/>
          <w:b/>
          <w:caps/>
          <w:lang w:val="en-GB"/>
        </w:rPr>
        <w:t xml:space="preserve"> </w:t>
      </w:r>
      <w:r w:rsidRPr="00F26A3E">
        <w:rPr>
          <w:rFonts w:ascii="Arial" w:hAnsi="Arial" w:cs="Arial"/>
          <w:b/>
          <w:caps/>
          <w:lang w:val="en-GB"/>
        </w:rPr>
        <w:t>Expenses</w:t>
      </w:r>
      <w:r w:rsidR="006B6676">
        <w:rPr>
          <w:rFonts w:ascii="Arial" w:hAnsi="Arial" w:cs="Arial"/>
          <w:b/>
          <w:caps/>
          <w:lang w:val="en-GB"/>
        </w:rPr>
        <w:t xml:space="preserve"> </w:t>
      </w:r>
      <w:r w:rsidRPr="00F26A3E">
        <w:rPr>
          <w:rFonts w:ascii="Arial" w:hAnsi="Arial" w:cs="Arial"/>
          <w:b/>
          <w:caps/>
          <w:lang w:val="en-GB"/>
        </w:rPr>
        <w:t>(IN</w:t>
      </w:r>
      <w:r w:rsidR="006B6676">
        <w:rPr>
          <w:rFonts w:ascii="Arial" w:hAnsi="Arial" w:cs="Arial"/>
          <w:b/>
          <w:caps/>
          <w:lang w:val="en-GB"/>
        </w:rPr>
        <w:t xml:space="preserve"> </w:t>
      </w:r>
      <w:r w:rsidR="00545DD9">
        <w:rPr>
          <w:rFonts w:ascii="Arial" w:hAnsi="Arial" w:cs="Arial"/>
          <w:b/>
          <w:caps/>
          <w:lang w:val="en-GB"/>
        </w:rPr>
        <w:t>₹</w:t>
      </w:r>
      <w:r w:rsidR="006B6676">
        <w:rPr>
          <w:rFonts w:ascii="Arial" w:hAnsi="Arial" w:cs="Arial"/>
          <w:b/>
          <w:caps/>
          <w:lang w:val="en-GB"/>
        </w:rPr>
        <w:t xml:space="preserve"> </w:t>
      </w:r>
      <w:r w:rsidRPr="00F26A3E">
        <w:rPr>
          <w:rFonts w:ascii="Arial" w:hAnsi="Arial" w:cs="Arial"/>
          <w:b/>
          <w:caps/>
          <w:lang w:val="en-GB"/>
        </w:rPr>
        <w:t>Million)</w:t>
      </w:r>
    </w:p>
    <w:p w14:paraId="723619F6" w14:textId="77777777" w:rsidR="00B607FC" w:rsidRPr="00F26A3E" w:rsidRDefault="00B607FC" w:rsidP="00B607FC">
      <w:pPr>
        <w:rPr>
          <w:b/>
          <w:lang w:val="en-GB"/>
        </w:rPr>
      </w:pPr>
    </w:p>
    <w:tbl>
      <w:tblPr>
        <w:tblStyle w:val="TableGrid2"/>
        <w:tblW w:w="9275" w:type="dxa"/>
        <w:jc w:val="center"/>
        <w:tblLayout w:type="fixed"/>
        <w:tblLook w:val="04A0" w:firstRow="1" w:lastRow="0" w:firstColumn="1" w:lastColumn="0" w:noHBand="0" w:noVBand="1"/>
        <w:tblCaption w:val="EXHIBIT 4"/>
        <w:tblDescription w:val="ROYAL ENFIELD RESEARCH AND DEVELOPMENT EXPENSES (IN ₹ MILLION)"/>
      </w:tblPr>
      <w:tblGrid>
        <w:gridCol w:w="2435"/>
        <w:gridCol w:w="1688"/>
        <w:gridCol w:w="1559"/>
        <w:gridCol w:w="992"/>
        <w:gridCol w:w="2601"/>
      </w:tblGrid>
      <w:tr w:rsidR="00B607FC" w:rsidRPr="00F26A3E" w14:paraId="2A53C72E" w14:textId="77777777" w:rsidTr="00F57EDA">
        <w:trPr>
          <w:trHeight w:val="70"/>
          <w:tblHeader/>
          <w:jc w:val="center"/>
        </w:trPr>
        <w:tc>
          <w:tcPr>
            <w:tcW w:w="2435" w:type="dxa"/>
            <w:hideMark/>
          </w:tcPr>
          <w:p w14:paraId="208EEA8E" w14:textId="44D22D6E" w:rsidR="00B607FC" w:rsidRPr="00F26A3E" w:rsidRDefault="002B0BAD" w:rsidP="00B607FC">
            <w:pPr>
              <w:jc w:val="center"/>
              <w:rPr>
                <w:rFonts w:ascii="Arial" w:hAnsi="Arial" w:cs="Arial"/>
                <w:b/>
                <w:bCs/>
                <w:color w:val="000000"/>
                <w:lang w:val="en-GB"/>
              </w:rPr>
            </w:pPr>
            <w:r>
              <w:rPr>
                <w:rFonts w:ascii="Arial" w:hAnsi="Arial" w:cs="Arial"/>
                <w:b/>
                <w:bCs/>
                <w:color w:val="000000"/>
                <w:lang w:val="en-GB"/>
              </w:rPr>
              <w:t>Financial</w:t>
            </w:r>
            <w:r w:rsidR="006B6676">
              <w:rPr>
                <w:rFonts w:ascii="Arial" w:hAnsi="Arial" w:cs="Arial"/>
                <w:b/>
                <w:bCs/>
                <w:color w:val="000000"/>
                <w:lang w:val="en-GB"/>
              </w:rPr>
              <w:t xml:space="preserve"> </w:t>
            </w:r>
            <w:r>
              <w:rPr>
                <w:rFonts w:ascii="Arial" w:hAnsi="Arial" w:cs="Arial"/>
                <w:b/>
                <w:bCs/>
                <w:color w:val="000000"/>
                <w:lang w:val="en-GB"/>
              </w:rPr>
              <w:t>or</w:t>
            </w:r>
            <w:r w:rsidR="006B6676">
              <w:rPr>
                <w:rFonts w:ascii="Arial" w:hAnsi="Arial" w:cs="Arial"/>
                <w:b/>
                <w:bCs/>
                <w:color w:val="000000"/>
                <w:lang w:val="en-GB"/>
              </w:rPr>
              <w:t xml:space="preserve"> </w:t>
            </w:r>
            <w:r>
              <w:rPr>
                <w:rFonts w:ascii="Arial" w:hAnsi="Arial" w:cs="Arial"/>
                <w:b/>
                <w:bCs/>
                <w:color w:val="000000"/>
                <w:lang w:val="en-GB"/>
              </w:rPr>
              <w:t>Calendar</w:t>
            </w:r>
            <w:r w:rsidR="006B6676">
              <w:rPr>
                <w:rFonts w:ascii="Arial" w:hAnsi="Arial" w:cs="Arial"/>
                <w:b/>
                <w:bCs/>
                <w:color w:val="000000"/>
                <w:lang w:val="en-GB"/>
              </w:rPr>
              <w:t xml:space="preserve"> </w:t>
            </w:r>
            <w:r w:rsidR="00B607FC" w:rsidRPr="00F26A3E">
              <w:rPr>
                <w:rFonts w:ascii="Arial" w:hAnsi="Arial" w:cs="Arial"/>
                <w:b/>
                <w:bCs/>
                <w:color w:val="000000"/>
                <w:lang w:val="en-GB"/>
              </w:rPr>
              <w:t>Year</w:t>
            </w:r>
          </w:p>
        </w:tc>
        <w:tc>
          <w:tcPr>
            <w:tcW w:w="1688" w:type="dxa"/>
            <w:hideMark/>
          </w:tcPr>
          <w:p w14:paraId="25C90A8D" w14:textId="7E7CADFD"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Revenue</w:t>
            </w:r>
            <w:r w:rsidR="006B6676">
              <w:rPr>
                <w:rFonts w:ascii="Arial" w:hAnsi="Arial" w:cs="Arial"/>
                <w:b/>
                <w:bCs/>
                <w:color w:val="000000"/>
                <w:lang w:val="en-GB"/>
              </w:rPr>
              <w:t xml:space="preserve"> </w:t>
            </w:r>
            <w:r w:rsidRPr="00F26A3E">
              <w:rPr>
                <w:rFonts w:ascii="Arial" w:hAnsi="Arial" w:cs="Arial"/>
                <w:b/>
                <w:bCs/>
                <w:color w:val="000000"/>
                <w:lang w:val="en-GB"/>
              </w:rPr>
              <w:t>Expenditure</w:t>
            </w:r>
            <w:r w:rsidR="006B6676">
              <w:rPr>
                <w:rFonts w:ascii="Arial" w:hAnsi="Arial" w:cs="Arial"/>
                <w:b/>
                <w:bCs/>
                <w:color w:val="000000"/>
                <w:lang w:val="en-GB"/>
              </w:rPr>
              <w:t xml:space="preserve"> </w:t>
            </w:r>
          </w:p>
        </w:tc>
        <w:tc>
          <w:tcPr>
            <w:tcW w:w="1559" w:type="dxa"/>
            <w:hideMark/>
          </w:tcPr>
          <w:p w14:paraId="2CA68935" w14:textId="78313524"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Capital</w:t>
            </w:r>
            <w:r w:rsidR="006B6676">
              <w:rPr>
                <w:rFonts w:ascii="Arial" w:hAnsi="Arial" w:cs="Arial"/>
                <w:b/>
                <w:bCs/>
                <w:color w:val="000000"/>
                <w:lang w:val="en-GB"/>
              </w:rPr>
              <w:t xml:space="preserve"> </w:t>
            </w:r>
            <w:r w:rsidRPr="00F26A3E">
              <w:rPr>
                <w:rFonts w:ascii="Arial" w:hAnsi="Arial" w:cs="Arial"/>
                <w:b/>
                <w:bCs/>
                <w:color w:val="000000"/>
                <w:lang w:val="en-GB"/>
              </w:rPr>
              <w:t>Expenditure</w:t>
            </w:r>
          </w:p>
        </w:tc>
        <w:tc>
          <w:tcPr>
            <w:tcW w:w="992" w:type="dxa"/>
            <w:hideMark/>
          </w:tcPr>
          <w:p w14:paraId="0BEA82C2" w14:textId="77777777"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Total</w:t>
            </w:r>
          </w:p>
        </w:tc>
        <w:tc>
          <w:tcPr>
            <w:tcW w:w="2601" w:type="dxa"/>
            <w:hideMark/>
          </w:tcPr>
          <w:p w14:paraId="3EA71169" w14:textId="2D484048"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Research</w:t>
            </w:r>
            <w:r w:rsidR="006B6676">
              <w:rPr>
                <w:rFonts w:ascii="Arial" w:hAnsi="Arial" w:cs="Arial"/>
                <w:b/>
                <w:bCs/>
                <w:color w:val="000000"/>
                <w:lang w:val="en-GB"/>
              </w:rPr>
              <w:t xml:space="preserve"> </w:t>
            </w:r>
            <w:r w:rsidR="00545DD9">
              <w:rPr>
                <w:rFonts w:ascii="Arial" w:hAnsi="Arial" w:cs="Arial"/>
                <w:b/>
                <w:bCs/>
                <w:color w:val="000000"/>
                <w:lang w:val="en-GB"/>
              </w:rPr>
              <w:t>Expense</w:t>
            </w:r>
            <w:r w:rsidR="006B6676">
              <w:rPr>
                <w:rFonts w:ascii="Arial" w:hAnsi="Arial" w:cs="Arial"/>
                <w:b/>
                <w:bCs/>
                <w:color w:val="000000"/>
                <w:lang w:val="en-GB"/>
              </w:rPr>
              <w:t xml:space="preserve"> </w:t>
            </w:r>
            <w:r w:rsidRPr="00F26A3E">
              <w:rPr>
                <w:rFonts w:ascii="Arial" w:hAnsi="Arial" w:cs="Arial"/>
                <w:b/>
                <w:bCs/>
                <w:color w:val="000000"/>
                <w:lang w:val="en-GB"/>
              </w:rPr>
              <w:t>as</w:t>
            </w:r>
            <w:r w:rsidR="006B6676">
              <w:rPr>
                <w:rFonts w:ascii="Arial" w:hAnsi="Arial" w:cs="Arial"/>
                <w:b/>
                <w:bCs/>
                <w:color w:val="000000"/>
                <w:lang w:val="en-GB"/>
              </w:rPr>
              <w:t xml:space="preserve"> </w:t>
            </w:r>
            <w:r w:rsidR="00545DD9">
              <w:rPr>
                <w:rFonts w:ascii="Arial" w:hAnsi="Arial" w:cs="Arial"/>
                <w:b/>
                <w:bCs/>
                <w:color w:val="000000"/>
                <w:lang w:val="en-GB"/>
              </w:rPr>
              <w:t>a</w:t>
            </w:r>
            <w:r w:rsidR="006B6676">
              <w:rPr>
                <w:rFonts w:ascii="Arial" w:hAnsi="Arial" w:cs="Arial"/>
                <w:b/>
                <w:bCs/>
                <w:color w:val="000000"/>
                <w:lang w:val="en-GB"/>
              </w:rPr>
              <w:t xml:space="preserve"> </w:t>
            </w:r>
            <w:r w:rsidR="00545DD9">
              <w:rPr>
                <w:rFonts w:ascii="Arial" w:hAnsi="Arial" w:cs="Arial"/>
                <w:b/>
                <w:bCs/>
                <w:color w:val="000000"/>
                <w:lang w:val="en-GB"/>
              </w:rPr>
              <w:t>Percentage</w:t>
            </w:r>
            <w:r w:rsidR="006B6676">
              <w:rPr>
                <w:rFonts w:ascii="Arial" w:hAnsi="Arial" w:cs="Arial"/>
                <w:b/>
                <w:bCs/>
                <w:color w:val="000000"/>
                <w:lang w:val="en-GB"/>
              </w:rPr>
              <w:t xml:space="preserve"> </w:t>
            </w:r>
            <w:r w:rsidRPr="00F26A3E">
              <w:rPr>
                <w:rFonts w:ascii="Arial" w:hAnsi="Arial" w:cs="Arial"/>
                <w:b/>
                <w:bCs/>
                <w:color w:val="000000"/>
                <w:lang w:val="en-GB"/>
              </w:rPr>
              <w:t>of</w:t>
            </w:r>
            <w:r w:rsidR="006B6676">
              <w:rPr>
                <w:rFonts w:ascii="Arial" w:hAnsi="Arial" w:cs="Arial"/>
                <w:b/>
                <w:bCs/>
                <w:color w:val="000000"/>
                <w:lang w:val="en-GB"/>
              </w:rPr>
              <w:t xml:space="preserve"> </w:t>
            </w:r>
            <w:r w:rsidRPr="00F26A3E">
              <w:rPr>
                <w:rFonts w:ascii="Arial" w:hAnsi="Arial" w:cs="Arial"/>
                <w:b/>
                <w:bCs/>
                <w:color w:val="000000"/>
                <w:lang w:val="en-GB"/>
              </w:rPr>
              <w:t>Revenue</w:t>
            </w:r>
          </w:p>
        </w:tc>
      </w:tr>
      <w:tr w:rsidR="00B607FC" w:rsidRPr="00F26A3E" w14:paraId="57769599" w14:textId="77777777" w:rsidTr="00F57EDA">
        <w:trPr>
          <w:trHeight w:val="53"/>
          <w:tblHeader/>
          <w:jc w:val="center"/>
        </w:trPr>
        <w:tc>
          <w:tcPr>
            <w:tcW w:w="2435" w:type="dxa"/>
            <w:noWrap/>
            <w:hideMark/>
          </w:tcPr>
          <w:p w14:paraId="6B0D07F9" w14:textId="18B0ADED" w:rsidR="00B607FC" w:rsidRPr="00F26A3E" w:rsidRDefault="006B6676" w:rsidP="00B607FC">
            <w:pPr>
              <w:jc w:val="center"/>
              <w:rPr>
                <w:rFonts w:ascii="Arial" w:hAnsi="Arial" w:cs="Arial"/>
                <w:b/>
                <w:bCs/>
                <w:color w:val="000000"/>
                <w:lang w:val="en-GB"/>
              </w:rPr>
            </w:pPr>
            <w:r>
              <w:rPr>
                <w:rFonts w:ascii="Arial" w:hAnsi="Arial" w:cs="Arial"/>
                <w:b/>
                <w:bCs/>
                <w:color w:val="000000"/>
                <w:lang w:val="en-GB"/>
              </w:rPr>
              <w:t xml:space="preserve"> </w:t>
            </w:r>
          </w:p>
        </w:tc>
        <w:tc>
          <w:tcPr>
            <w:tcW w:w="1688" w:type="dxa"/>
            <w:noWrap/>
            <w:hideMark/>
          </w:tcPr>
          <w:p w14:paraId="6DF7DA9C" w14:textId="09FC80AC" w:rsidR="00B607FC" w:rsidRPr="00F26A3E" w:rsidRDefault="006B6676" w:rsidP="00B607FC">
            <w:pPr>
              <w:jc w:val="center"/>
              <w:rPr>
                <w:rFonts w:ascii="Arial" w:hAnsi="Arial" w:cs="Arial"/>
                <w:b/>
                <w:bCs/>
                <w:color w:val="000000"/>
                <w:lang w:val="en-GB"/>
              </w:rPr>
            </w:pPr>
            <w:r>
              <w:rPr>
                <w:rFonts w:ascii="Arial" w:hAnsi="Arial" w:cs="Arial"/>
                <w:b/>
                <w:bCs/>
                <w:color w:val="000000"/>
                <w:lang w:val="en-GB"/>
              </w:rPr>
              <w:t xml:space="preserve"> </w:t>
            </w:r>
          </w:p>
        </w:tc>
        <w:tc>
          <w:tcPr>
            <w:tcW w:w="1559" w:type="dxa"/>
            <w:noWrap/>
            <w:hideMark/>
          </w:tcPr>
          <w:p w14:paraId="588A75F3" w14:textId="6FEAC3A6" w:rsidR="00B607FC" w:rsidRPr="00F26A3E" w:rsidRDefault="006B6676" w:rsidP="00B607FC">
            <w:pPr>
              <w:jc w:val="center"/>
              <w:rPr>
                <w:rFonts w:ascii="Arial" w:hAnsi="Arial" w:cs="Arial"/>
                <w:b/>
                <w:bCs/>
                <w:color w:val="000000"/>
                <w:lang w:val="en-GB"/>
              </w:rPr>
            </w:pPr>
            <w:r>
              <w:rPr>
                <w:rFonts w:ascii="Arial" w:hAnsi="Arial" w:cs="Arial"/>
                <w:b/>
                <w:bCs/>
                <w:color w:val="000000"/>
                <w:lang w:val="en-GB"/>
              </w:rPr>
              <w:t xml:space="preserve"> </w:t>
            </w:r>
          </w:p>
        </w:tc>
        <w:tc>
          <w:tcPr>
            <w:tcW w:w="992" w:type="dxa"/>
            <w:noWrap/>
            <w:hideMark/>
          </w:tcPr>
          <w:p w14:paraId="52DBDF0A" w14:textId="43813E03" w:rsidR="00B607FC" w:rsidRPr="00F26A3E" w:rsidRDefault="006B6676" w:rsidP="00B607FC">
            <w:pPr>
              <w:jc w:val="center"/>
              <w:rPr>
                <w:rFonts w:ascii="Arial" w:hAnsi="Arial" w:cs="Arial"/>
                <w:b/>
                <w:bCs/>
                <w:color w:val="000000"/>
                <w:lang w:val="en-GB"/>
              </w:rPr>
            </w:pPr>
            <w:r>
              <w:rPr>
                <w:rFonts w:ascii="Arial" w:hAnsi="Arial" w:cs="Arial"/>
                <w:b/>
                <w:bCs/>
                <w:color w:val="000000"/>
                <w:lang w:val="en-GB"/>
              </w:rPr>
              <w:t xml:space="preserve"> </w:t>
            </w:r>
          </w:p>
        </w:tc>
        <w:tc>
          <w:tcPr>
            <w:tcW w:w="2601" w:type="dxa"/>
            <w:noWrap/>
            <w:hideMark/>
          </w:tcPr>
          <w:p w14:paraId="580874D3" w14:textId="179ACE78" w:rsidR="00B607FC" w:rsidRPr="00F26A3E" w:rsidRDefault="006B6676" w:rsidP="00B607FC">
            <w:pPr>
              <w:rPr>
                <w:rFonts w:ascii="Arial" w:hAnsi="Arial" w:cs="Arial"/>
                <w:color w:val="000000"/>
                <w:lang w:val="en-GB"/>
              </w:rPr>
            </w:pPr>
            <w:r>
              <w:rPr>
                <w:rFonts w:ascii="Arial" w:hAnsi="Arial" w:cs="Arial"/>
                <w:color w:val="000000"/>
                <w:lang w:val="en-GB"/>
              </w:rPr>
              <w:t xml:space="preserve"> </w:t>
            </w:r>
          </w:p>
        </w:tc>
      </w:tr>
      <w:tr w:rsidR="00B607FC" w:rsidRPr="00F26A3E" w14:paraId="12DBF29F" w14:textId="77777777" w:rsidTr="00F57EDA">
        <w:trPr>
          <w:trHeight w:val="70"/>
          <w:tblHeader/>
          <w:jc w:val="center"/>
        </w:trPr>
        <w:tc>
          <w:tcPr>
            <w:tcW w:w="2435" w:type="dxa"/>
            <w:noWrap/>
            <w:hideMark/>
          </w:tcPr>
          <w:p w14:paraId="7B55EB57" w14:textId="789189DB"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2008</w:t>
            </w:r>
            <w:r w:rsidR="006B6676">
              <w:rPr>
                <w:rFonts w:ascii="Arial" w:hAnsi="Arial" w:cs="Arial"/>
                <w:color w:val="000000"/>
                <w:lang w:val="en-GB"/>
              </w:rPr>
              <w:t xml:space="preserve"> </w:t>
            </w:r>
            <w:r w:rsidRPr="00F26A3E">
              <w:rPr>
                <w:rFonts w:ascii="Arial" w:hAnsi="Arial" w:cs="Arial"/>
                <w:color w:val="000000"/>
                <w:lang w:val="en-GB"/>
              </w:rPr>
              <w:t>(</w:t>
            </w:r>
            <w:r w:rsidR="005774D6">
              <w:rPr>
                <w:rFonts w:ascii="Arial" w:hAnsi="Arial" w:cs="Arial"/>
                <w:color w:val="000000"/>
                <w:lang w:val="en-GB"/>
              </w:rPr>
              <w:t>Nine</w:t>
            </w:r>
            <w:r w:rsidR="006B6676">
              <w:rPr>
                <w:rFonts w:ascii="Arial" w:hAnsi="Arial" w:cs="Arial"/>
                <w:color w:val="000000"/>
                <w:lang w:val="en-GB"/>
              </w:rPr>
              <w:t xml:space="preserve"> </w:t>
            </w:r>
            <w:r w:rsidRPr="00F26A3E">
              <w:rPr>
                <w:rFonts w:ascii="Arial" w:hAnsi="Arial" w:cs="Arial"/>
                <w:color w:val="000000"/>
                <w:lang w:val="en-GB"/>
              </w:rPr>
              <w:t>M</w:t>
            </w:r>
            <w:r w:rsidR="005774D6">
              <w:rPr>
                <w:rFonts w:ascii="Arial" w:hAnsi="Arial" w:cs="Arial"/>
                <w:color w:val="000000"/>
                <w:lang w:val="en-GB"/>
              </w:rPr>
              <w:t>onths</w:t>
            </w:r>
            <w:r w:rsidRPr="00F26A3E">
              <w:rPr>
                <w:rFonts w:ascii="Arial" w:hAnsi="Arial" w:cs="Arial"/>
                <w:color w:val="000000"/>
                <w:lang w:val="en-GB"/>
              </w:rPr>
              <w:t>)</w:t>
            </w:r>
          </w:p>
        </w:tc>
        <w:tc>
          <w:tcPr>
            <w:tcW w:w="1688" w:type="dxa"/>
            <w:noWrap/>
            <w:hideMark/>
          </w:tcPr>
          <w:p w14:paraId="2A3263DD" w14:textId="77777777" w:rsidR="00B607FC" w:rsidRPr="00F26A3E" w:rsidRDefault="00B607FC" w:rsidP="00B607FC">
            <w:pPr>
              <w:jc w:val="center"/>
              <w:rPr>
                <w:rFonts w:ascii="Arial" w:hAnsi="Arial" w:cs="Arial"/>
                <w:lang w:val="en-GB"/>
              </w:rPr>
            </w:pPr>
            <w:r w:rsidRPr="00F26A3E">
              <w:rPr>
                <w:rFonts w:ascii="Arial" w:hAnsi="Arial" w:cs="Arial"/>
                <w:lang w:val="en-GB"/>
              </w:rPr>
              <w:t>125</w:t>
            </w:r>
            <w:r w:rsidR="00A4501F">
              <w:rPr>
                <w:rFonts w:ascii="Arial" w:hAnsi="Arial" w:cs="Arial"/>
                <w:lang w:val="en-GB"/>
              </w:rPr>
              <w:t>.0</w:t>
            </w:r>
          </w:p>
        </w:tc>
        <w:tc>
          <w:tcPr>
            <w:tcW w:w="1559" w:type="dxa"/>
            <w:noWrap/>
            <w:hideMark/>
          </w:tcPr>
          <w:p w14:paraId="6A2DE77B" w14:textId="77777777" w:rsidR="00B607FC" w:rsidRPr="00F26A3E" w:rsidRDefault="00B607FC" w:rsidP="00B607FC">
            <w:pPr>
              <w:jc w:val="center"/>
              <w:rPr>
                <w:rFonts w:ascii="Arial" w:hAnsi="Arial" w:cs="Arial"/>
                <w:lang w:val="en-GB"/>
              </w:rPr>
            </w:pPr>
            <w:r w:rsidRPr="00F26A3E">
              <w:rPr>
                <w:rFonts w:ascii="Arial" w:hAnsi="Arial" w:cs="Arial"/>
                <w:lang w:val="en-GB"/>
              </w:rPr>
              <w:t>27.6</w:t>
            </w:r>
          </w:p>
        </w:tc>
        <w:tc>
          <w:tcPr>
            <w:tcW w:w="992" w:type="dxa"/>
            <w:noWrap/>
            <w:hideMark/>
          </w:tcPr>
          <w:p w14:paraId="7E163D7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152.6</w:t>
            </w:r>
          </w:p>
        </w:tc>
        <w:tc>
          <w:tcPr>
            <w:tcW w:w="2601" w:type="dxa"/>
            <w:noWrap/>
            <w:hideMark/>
          </w:tcPr>
          <w:p w14:paraId="3641BC27"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1.98</w:t>
            </w:r>
          </w:p>
        </w:tc>
      </w:tr>
      <w:tr w:rsidR="00B607FC" w:rsidRPr="00F26A3E" w14:paraId="3C685EF7" w14:textId="77777777" w:rsidTr="00F57EDA">
        <w:trPr>
          <w:trHeight w:val="70"/>
          <w:tblHeader/>
          <w:jc w:val="center"/>
        </w:trPr>
        <w:tc>
          <w:tcPr>
            <w:tcW w:w="2435" w:type="dxa"/>
            <w:noWrap/>
            <w:hideMark/>
          </w:tcPr>
          <w:p w14:paraId="1AF7780F" w14:textId="17FFCE0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2009</w:t>
            </w:r>
          </w:p>
        </w:tc>
        <w:tc>
          <w:tcPr>
            <w:tcW w:w="1688" w:type="dxa"/>
            <w:noWrap/>
            <w:hideMark/>
          </w:tcPr>
          <w:p w14:paraId="22C59711" w14:textId="77777777" w:rsidR="00B607FC" w:rsidRPr="00F26A3E" w:rsidRDefault="00B607FC" w:rsidP="00B607FC">
            <w:pPr>
              <w:jc w:val="center"/>
              <w:rPr>
                <w:rFonts w:ascii="Arial" w:hAnsi="Arial" w:cs="Arial"/>
                <w:lang w:val="en-GB"/>
              </w:rPr>
            </w:pPr>
            <w:r w:rsidRPr="00F26A3E">
              <w:rPr>
                <w:rFonts w:ascii="Arial" w:hAnsi="Arial" w:cs="Arial"/>
                <w:lang w:val="en-GB"/>
              </w:rPr>
              <w:t>77.7</w:t>
            </w:r>
          </w:p>
        </w:tc>
        <w:tc>
          <w:tcPr>
            <w:tcW w:w="1559" w:type="dxa"/>
            <w:noWrap/>
            <w:hideMark/>
          </w:tcPr>
          <w:p w14:paraId="114122D2" w14:textId="77777777" w:rsidR="00B607FC" w:rsidRPr="00F26A3E" w:rsidRDefault="00B607FC" w:rsidP="00B607FC">
            <w:pPr>
              <w:jc w:val="center"/>
              <w:rPr>
                <w:rFonts w:ascii="Arial" w:hAnsi="Arial" w:cs="Arial"/>
                <w:lang w:val="en-GB"/>
              </w:rPr>
            </w:pPr>
            <w:r w:rsidRPr="00F26A3E">
              <w:rPr>
                <w:rFonts w:ascii="Arial" w:hAnsi="Arial" w:cs="Arial"/>
                <w:lang w:val="en-GB"/>
              </w:rPr>
              <w:t>6.4</w:t>
            </w:r>
          </w:p>
        </w:tc>
        <w:tc>
          <w:tcPr>
            <w:tcW w:w="992" w:type="dxa"/>
            <w:noWrap/>
            <w:hideMark/>
          </w:tcPr>
          <w:p w14:paraId="0AE19C3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84.1</w:t>
            </w:r>
          </w:p>
        </w:tc>
        <w:tc>
          <w:tcPr>
            <w:tcW w:w="2601" w:type="dxa"/>
            <w:noWrap/>
            <w:hideMark/>
          </w:tcPr>
          <w:p w14:paraId="0C33DB15"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2.06</w:t>
            </w:r>
          </w:p>
        </w:tc>
      </w:tr>
      <w:tr w:rsidR="00B607FC" w:rsidRPr="00F26A3E" w14:paraId="354B63D2" w14:textId="77777777" w:rsidTr="00F57EDA">
        <w:trPr>
          <w:trHeight w:val="70"/>
          <w:tblHeader/>
          <w:jc w:val="center"/>
        </w:trPr>
        <w:tc>
          <w:tcPr>
            <w:tcW w:w="2435" w:type="dxa"/>
            <w:noWrap/>
            <w:hideMark/>
          </w:tcPr>
          <w:p w14:paraId="0B0FF543" w14:textId="7201E59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2010</w:t>
            </w:r>
          </w:p>
        </w:tc>
        <w:tc>
          <w:tcPr>
            <w:tcW w:w="1688" w:type="dxa"/>
            <w:noWrap/>
            <w:hideMark/>
          </w:tcPr>
          <w:p w14:paraId="7E40C269" w14:textId="77777777" w:rsidR="00B607FC" w:rsidRPr="00F26A3E" w:rsidRDefault="00B607FC" w:rsidP="00B607FC">
            <w:pPr>
              <w:jc w:val="center"/>
              <w:rPr>
                <w:rFonts w:ascii="Arial" w:hAnsi="Arial" w:cs="Arial"/>
                <w:lang w:val="en-GB"/>
              </w:rPr>
            </w:pPr>
            <w:r w:rsidRPr="00F26A3E">
              <w:rPr>
                <w:rFonts w:ascii="Arial" w:hAnsi="Arial" w:cs="Arial"/>
                <w:lang w:val="en-GB"/>
              </w:rPr>
              <w:t>92.4</w:t>
            </w:r>
          </w:p>
        </w:tc>
        <w:tc>
          <w:tcPr>
            <w:tcW w:w="1559" w:type="dxa"/>
            <w:noWrap/>
            <w:hideMark/>
          </w:tcPr>
          <w:p w14:paraId="156F2365" w14:textId="77777777" w:rsidR="00B607FC" w:rsidRPr="00F26A3E" w:rsidRDefault="00B607FC" w:rsidP="00B607FC">
            <w:pPr>
              <w:jc w:val="center"/>
              <w:rPr>
                <w:rFonts w:ascii="Arial" w:hAnsi="Arial" w:cs="Arial"/>
                <w:lang w:val="en-GB"/>
              </w:rPr>
            </w:pPr>
            <w:r w:rsidRPr="00F26A3E">
              <w:rPr>
                <w:rFonts w:ascii="Arial" w:hAnsi="Arial" w:cs="Arial"/>
                <w:lang w:val="en-GB"/>
              </w:rPr>
              <w:t>12.9</w:t>
            </w:r>
          </w:p>
        </w:tc>
        <w:tc>
          <w:tcPr>
            <w:tcW w:w="992" w:type="dxa"/>
            <w:noWrap/>
            <w:hideMark/>
          </w:tcPr>
          <w:p w14:paraId="63AD86D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105.3</w:t>
            </w:r>
          </w:p>
        </w:tc>
        <w:tc>
          <w:tcPr>
            <w:tcW w:w="2601" w:type="dxa"/>
            <w:noWrap/>
            <w:hideMark/>
          </w:tcPr>
          <w:p w14:paraId="131C072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2.17</w:t>
            </w:r>
          </w:p>
        </w:tc>
      </w:tr>
      <w:tr w:rsidR="00B607FC" w:rsidRPr="00F26A3E" w14:paraId="3451413B" w14:textId="77777777" w:rsidTr="00F57EDA">
        <w:trPr>
          <w:trHeight w:val="70"/>
          <w:tblHeader/>
          <w:jc w:val="center"/>
        </w:trPr>
        <w:tc>
          <w:tcPr>
            <w:tcW w:w="2435" w:type="dxa"/>
            <w:noWrap/>
            <w:hideMark/>
          </w:tcPr>
          <w:p w14:paraId="28414469" w14:textId="0523DED2"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2011</w:t>
            </w:r>
          </w:p>
        </w:tc>
        <w:tc>
          <w:tcPr>
            <w:tcW w:w="1688" w:type="dxa"/>
            <w:noWrap/>
            <w:hideMark/>
          </w:tcPr>
          <w:p w14:paraId="6AEA30CE" w14:textId="77777777" w:rsidR="00B607FC" w:rsidRPr="00F26A3E" w:rsidRDefault="00B607FC" w:rsidP="00B607FC">
            <w:pPr>
              <w:jc w:val="center"/>
              <w:rPr>
                <w:rFonts w:ascii="Arial" w:hAnsi="Arial" w:cs="Arial"/>
                <w:lang w:val="en-GB"/>
              </w:rPr>
            </w:pPr>
            <w:r w:rsidRPr="00F26A3E">
              <w:rPr>
                <w:rFonts w:ascii="Arial" w:hAnsi="Arial" w:cs="Arial"/>
                <w:lang w:val="en-GB"/>
              </w:rPr>
              <w:t>104.5</w:t>
            </w:r>
          </w:p>
        </w:tc>
        <w:tc>
          <w:tcPr>
            <w:tcW w:w="1559" w:type="dxa"/>
            <w:noWrap/>
            <w:hideMark/>
          </w:tcPr>
          <w:p w14:paraId="355F45AC" w14:textId="77777777" w:rsidR="00B607FC" w:rsidRPr="00F26A3E" w:rsidRDefault="00B607FC" w:rsidP="00B607FC">
            <w:pPr>
              <w:jc w:val="center"/>
              <w:rPr>
                <w:rFonts w:ascii="Arial" w:hAnsi="Arial" w:cs="Arial"/>
                <w:lang w:val="en-GB"/>
              </w:rPr>
            </w:pPr>
            <w:r w:rsidRPr="00F26A3E">
              <w:rPr>
                <w:rFonts w:ascii="Arial" w:hAnsi="Arial" w:cs="Arial"/>
                <w:lang w:val="en-GB"/>
              </w:rPr>
              <w:t>55.5</w:t>
            </w:r>
          </w:p>
        </w:tc>
        <w:tc>
          <w:tcPr>
            <w:tcW w:w="992" w:type="dxa"/>
            <w:noWrap/>
            <w:hideMark/>
          </w:tcPr>
          <w:p w14:paraId="2300B49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160</w:t>
            </w:r>
            <w:r w:rsidR="00A4501F">
              <w:rPr>
                <w:rFonts w:ascii="Arial" w:hAnsi="Arial" w:cs="Arial"/>
                <w:color w:val="000000"/>
                <w:lang w:val="en-GB"/>
              </w:rPr>
              <w:t>.0</w:t>
            </w:r>
          </w:p>
        </w:tc>
        <w:tc>
          <w:tcPr>
            <w:tcW w:w="2601" w:type="dxa"/>
            <w:noWrap/>
            <w:hideMark/>
          </w:tcPr>
          <w:p w14:paraId="6D1E092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2.17</w:t>
            </w:r>
          </w:p>
        </w:tc>
      </w:tr>
      <w:tr w:rsidR="00B607FC" w:rsidRPr="00F26A3E" w14:paraId="325113A3" w14:textId="77777777" w:rsidTr="00F57EDA">
        <w:trPr>
          <w:trHeight w:val="70"/>
          <w:tblHeader/>
          <w:jc w:val="center"/>
        </w:trPr>
        <w:tc>
          <w:tcPr>
            <w:tcW w:w="2435" w:type="dxa"/>
            <w:noWrap/>
            <w:hideMark/>
          </w:tcPr>
          <w:p w14:paraId="2C405338" w14:textId="2FACB21C"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2012</w:t>
            </w:r>
          </w:p>
        </w:tc>
        <w:tc>
          <w:tcPr>
            <w:tcW w:w="1688" w:type="dxa"/>
            <w:noWrap/>
            <w:hideMark/>
          </w:tcPr>
          <w:p w14:paraId="3AC55C91"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167.5</w:t>
            </w:r>
          </w:p>
        </w:tc>
        <w:tc>
          <w:tcPr>
            <w:tcW w:w="1559" w:type="dxa"/>
            <w:noWrap/>
            <w:hideMark/>
          </w:tcPr>
          <w:p w14:paraId="407CFC9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39.5</w:t>
            </w:r>
          </w:p>
        </w:tc>
        <w:tc>
          <w:tcPr>
            <w:tcW w:w="992" w:type="dxa"/>
            <w:noWrap/>
            <w:hideMark/>
          </w:tcPr>
          <w:p w14:paraId="15F4205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207</w:t>
            </w:r>
            <w:r w:rsidR="00A4501F">
              <w:rPr>
                <w:rFonts w:ascii="Arial" w:hAnsi="Arial" w:cs="Arial"/>
                <w:color w:val="000000"/>
                <w:lang w:val="en-GB"/>
              </w:rPr>
              <w:t>.0</w:t>
            </w:r>
          </w:p>
        </w:tc>
        <w:tc>
          <w:tcPr>
            <w:tcW w:w="2601" w:type="dxa"/>
            <w:noWrap/>
            <w:hideMark/>
          </w:tcPr>
          <w:p w14:paraId="5189E63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1.76</w:t>
            </w:r>
          </w:p>
        </w:tc>
      </w:tr>
      <w:tr w:rsidR="00B607FC" w:rsidRPr="00F26A3E" w14:paraId="6E1ACC8D" w14:textId="77777777" w:rsidTr="00F57EDA">
        <w:trPr>
          <w:trHeight w:val="70"/>
          <w:tblHeader/>
          <w:jc w:val="center"/>
        </w:trPr>
        <w:tc>
          <w:tcPr>
            <w:tcW w:w="2435" w:type="dxa"/>
            <w:noWrap/>
            <w:hideMark/>
          </w:tcPr>
          <w:p w14:paraId="6B6B1746" w14:textId="2F81F6E2"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2013</w:t>
            </w:r>
          </w:p>
        </w:tc>
        <w:tc>
          <w:tcPr>
            <w:tcW w:w="1688" w:type="dxa"/>
            <w:noWrap/>
            <w:hideMark/>
          </w:tcPr>
          <w:p w14:paraId="0668C81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208.8</w:t>
            </w:r>
          </w:p>
        </w:tc>
        <w:tc>
          <w:tcPr>
            <w:tcW w:w="1559" w:type="dxa"/>
            <w:noWrap/>
            <w:hideMark/>
          </w:tcPr>
          <w:p w14:paraId="7CD04D40"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108.9</w:t>
            </w:r>
          </w:p>
        </w:tc>
        <w:tc>
          <w:tcPr>
            <w:tcW w:w="992" w:type="dxa"/>
            <w:noWrap/>
            <w:hideMark/>
          </w:tcPr>
          <w:p w14:paraId="5E3093F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317.7</w:t>
            </w:r>
          </w:p>
        </w:tc>
        <w:tc>
          <w:tcPr>
            <w:tcW w:w="2601" w:type="dxa"/>
            <w:noWrap/>
            <w:hideMark/>
          </w:tcPr>
          <w:p w14:paraId="08A99DE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1.66</w:t>
            </w:r>
          </w:p>
        </w:tc>
      </w:tr>
      <w:tr w:rsidR="00B607FC" w:rsidRPr="00F26A3E" w14:paraId="7E99DF16" w14:textId="77777777" w:rsidTr="00F57EDA">
        <w:trPr>
          <w:trHeight w:val="70"/>
          <w:tblHeader/>
          <w:jc w:val="center"/>
        </w:trPr>
        <w:tc>
          <w:tcPr>
            <w:tcW w:w="2435" w:type="dxa"/>
            <w:noWrap/>
            <w:hideMark/>
          </w:tcPr>
          <w:p w14:paraId="15263B2E" w14:textId="2FD6DFF2"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2014</w:t>
            </w:r>
          </w:p>
        </w:tc>
        <w:tc>
          <w:tcPr>
            <w:tcW w:w="1688" w:type="dxa"/>
            <w:noWrap/>
            <w:hideMark/>
          </w:tcPr>
          <w:p w14:paraId="76B9143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192.6</w:t>
            </w:r>
          </w:p>
        </w:tc>
        <w:tc>
          <w:tcPr>
            <w:tcW w:w="1559" w:type="dxa"/>
            <w:noWrap/>
            <w:hideMark/>
          </w:tcPr>
          <w:p w14:paraId="3549B79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147.5</w:t>
            </w:r>
          </w:p>
        </w:tc>
        <w:tc>
          <w:tcPr>
            <w:tcW w:w="992" w:type="dxa"/>
            <w:noWrap/>
            <w:hideMark/>
          </w:tcPr>
          <w:p w14:paraId="68159A8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340.1</w:t>
            </w:r>
          </w:p>
        </w:tc>
        <w:tc>
          <w:tcPr>
            <w:tcW w:w="2601" w:type="dxa"/>
            <w:noWrap/>
            <w:hideMark/>
          </w:tcPr>
          <w:p w14:paraId="1FD662D2"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1.02</w:t>
            </w:r>
          </w:p>
        </w:tc>
      </w:tr>
      <w:tr w:rsidR="00B607FC" w:rsidRPr="00F26A3E" w14:paraId="6D125C89" w14:textId="77777777" w:rsidTr="00F57EDA">
        <w:trPr>
          <w:trHeight w:val="70"/>
          <w:tblHeader/>
          <w:jc w:val="center"/>
        </w:trPr>
        <w:tc>
          <w:tcPr>
            <w:tcW w:w="2435" w:type="dxa"/>
            <w:noWrap/>
            <w:hideMark/>
          </w:tcPr>
          <w:p w14:paraId="70105629" w14:textId="5D33165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2015</w:t>
            </w:r>
            <w:r w:rsidR="005774D6">
              <w:rPr>
                <w:rFonts w:ascii="Arial" w:hAnsi="Arial" w:cs="Arial"/>
                <w:color w:val="000000"/>
                <w:lang w:val="en-GB"/>
              </w:rPr>
              <w:t>–</w:t>
            </w:r>
            <w:r w:rsidRPr="00F26A3E">
              <w:rPr>
                <w:rFonts w:ascii="Arial" w:hAnsi="Arial" w:cs="Arial"/>
                <w:color w:val="000000"/>
                <w:lang w:val="en-GB"/>
              </w:rPr>
              <w:t>16</w:t>
            </w:r>
            <w:r w:rsidR="006B6676">
              <w:rPr>
                <w:rFonts w:ascii="Arial" w:hAnsi="Arial" w:cs="Arial"/>
                <w:color w:val="000000"/>
                <w:lang w:val="en-GB"/>
              </w:rPr>
              <w:t xml:space="preserve"> </w:t>
            </w:r>
            <w:r w:rsidRPr="00F26A3E">
              <w:rPr>
                <w:rFonts w:ascii="Arial" w:hAnsi="Arial" w:cs="Arial"/>
                <w:color w:val="000000"/>
                <w:lang w:val="en-GB"/>
              </w:rPr>
              <w:t>(15</w:t>
            </w:r>
            <w:r w:rsidR="006B6676">
              <w:rPr>
                <w:rFonts w:ascii="Arial" w:hAnsi="Arial" w:cs="Arial"/>
                <w:color w:val="000000"/>
                <w:lang w:val="en-GB"/>
              </w:rPr>
              <w:t xml:space="preserve"> </w:t>
            </w:r>
            <w:r w:rsidRPr="00F26A3E">
              <w:rPr>
                <w:rFonts w:ascii="Arial" w:hAnsi="Arial" w:cs="Arial"/>
                <w:color w:val="000000"/>
                <w:lang w:val="en-GB"/>
              </w:rPr>
              <w:t>M</w:t>
            </w:r>
            <w:r w:rsidR="005774D6">
              <w:rPr>
                <w:rFonts w:ascii="Arial" w:hAnsi="Arial" w:cs="Arial"/>
                <w:color w:val="000000"/>
                <w:lang w:val="en-GB"/>
              </w:rPr>
              <w:t>onths</w:t>
            </w:r>
            <w:r w:rsidRPr="00F26A3E">
              <w:rPr>
                <w:rFonts w:ascii="Arial" w:hAnsi="Arial" w:cs="Arial"/>
                <w:color w:val="000000"/>
                <w:lang w:val="en-GB"/>
              </w:rPr>
              <w:t>)</w:t>
            </w:r>
            <w:r w:rsidR="006B6676">
              <w:rPr>
                <w:rFonts w:ascii="Arial" w:hAnsi="Arial" w:cs="Arial"/>
                <w:color w:val="000000"/>
                <w:lang w:val="en-GB"/>
              </w:rPr>
              <w:t xml:space="preserve">  </w:t>
            </w:r>
          </w:p>
        </w:tc>
        <w:tc>
          <w:tcPr>
            <w:tcW w:w="1688" w:type="dxa"/>
            <w:noWrap/>
            <w:hideMark/>
          </w:tcPr>
          <w:p w14:paraId="3DC656C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322</w:t>
            </w:r>
            <w:r w:rsidR="00A4501F">
              <w:rPr>
                <w:rFonts w:ascii="Arial" w:hAnsi="Arial" w:cs="Arial"/>
                <w:color w:val="000000"/>
                <w:lang w:val="en-GB"/>
              </w:rPr>
              <w:t>.0</w:t>
            </w:r>
          </w:p>
        </w:tc>
        <w:tc>
          <w:tcPr>
            <w:tcW w:w="1559" w:type="dxa"/>
            <w:noWrap/>
            <w:hideMark/>
          </w:tcPr>
          <w:p w14:paraId="7CFD1D0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593.3</w:t>
            </w:r>
          </w:p>
        </w:tc>
        <w:tc>
          <w:tcPr>
            <w:tcW w:w="992" w:type="dxa"/>
            <w:noWrap/>
            <w:hideMark/>
          </w:tcPr>
          <w:p w14:paraId="154FDA4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915.3</w:t>
            </w:r>
          </w:p>
        </w:tc>
        <w:tc>
          <w:tcPr>
            <w:tcW w:w="2601" w:type="dxa"/>
            <w:noWrap/>
            <w:hideMark/>
          </w:tcPr>
          <w:p w14:paraId="3376BBE0"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1.31</w:t>
            </w:r>
          </w:p>
        </w:tc>
      </w:tr>
      <w:tr w:rsidR="00B607FC" w:rsidRPr="00F26A3E" w14:paraId="5FEDF3FA" w14:textId="77777777" w:rsidTr="00F57EDA">
        <w:trPr>
          <w:trHeight w:val="70"/>
          <w:tblHeader/>
          <w:jc w:val="center"/>
        </w:trPr>
        <w:tc>
          <w:tcPr>
            <w:tcW w:w="2435" w:type="dxa"/>
            <w:noWrap/>
            <w:hideMark/>
          </w:tcPr>
          <w:p w14:paraId="7474DDA4" w14:textId="2E5A54B5"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2016</w:t>
            </w:r>
            <w:r w:rsidR="005774D6">
              <w:rPr>
                <w:rFonts w:ascii="Arial" w:hAnsi="Arial" w:cs="Arial"/>
                <w:color w:val="000000"/>
                <w:lang w:val="en-GB"/>
              </w:rPr>
              <w:t>–</w:t>
            </w:r>
            <w:r w:rsidRPr="00F26A3E">
              <w:rPr>
                <w:rFonts w:ascii="Arial" w:hAnsi="Arial" w:cs="Arial"/>
                <w:color w:val="000000"/>
                <w:lang w:val="en-GB"/>
              </w:rPr>
              <w:t>17</w:t>
            </w:r>
          </w:p>
        </w:tc>
        <w:tc>
          <w:tcPr>
            <w:tcW w:w="1688" w:type="dxa"/>
            <w:noWrap/>
            <w:hideMark/>
          </w:tcPr>
          <w:p w14:paraId="4267CFB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367.8</w:t>
            </w:r>
          </w:p>
        </w:tc>
        <w:tc>
          <w:tcPr>
            <w:tcW w:w="1559" w:type="dxa"/>
            <w:noWrap/>
            <w:hideMark/>
          </w:tcPr>
          <w:p w14:paraId="23998CE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912.9</w:t>
            </w:r>
          </w:p>
        </w:tc>
        <w:tc>
          <w:tcPr>
            <w:tcW w:w="992" w:type="dxa"/>
            <w:noWrap/>
            <w:hideMark/>
          </w:tcPr>
          <w:p w14:paraId="54BF74C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w:t>
            </w:r>
            <w:r w:rsidR="00545DD9">
              <w:rPr>
                <w:rFonts w:ascii="Arial" w:hAnsi="Arial" w:cs="Arial"/>
                <w:color w:val="000000"/>
                <w:lang w:val="en-GB"/>
              </w:rPr>
              <w:t>,</w:t>
            </w:r>
            <w:r w:rsidRPr="00F26A3E">
              <w:rPr>
                <w:rFonts w:ascii="Arial" w:hAnsi="Arial" w:cs="Arial"/>
                <w:color w:val="000000"/>
                <w:lang w:val="en-GB"/>
              </w:rPr>
              <w:t>280.7</w:t>
            </w:r>
          </w:p>
        </w:tc>
        <w:tc>
          <w:tcPr>
            <w:tcW w:w="2601" w:type="dxa"/>
            <w:noWrap/>
            <w:hideMark/>
          </w:tcPr>
          <w:p w14:paraId="4FF0B21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1.61</w:t>
            </w:r>
          </w:p>
        </w:tc>
      </w:tr>
      <w:tr w:rsidR="00B607FC" w:rsidRPr="00F26A3E" w14:paraId="3D83FE46" w14:textId="77777777" w:rsidTr="00F57EDA">
        <w:trPr>
          <w:trHeight w:val="70"/>
          <w:tblHeader/>
          <w:jc w:val="center"/>
        </w:trPr>
        <w:tc>
          <w:tcPr>
            <w:tcW w:w="2435" w:type="dxa"/>
            <w:noWrap/>
            <w:hideMark/>
          </w:tcPr>
          <w:p w14:paraId="46B597CF" w14:textId="23AC9A26"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2017</w:t>
            </w:r>
            <w:r w:rsidR="005774D6">
              <w:rPr>
                <w:rFonts w:ascii="Arial" w:hAnsi="Arial" w:cs="Arial"/>
                <w:color w:val="000000"/>
                <w:lang w:val="en-GB"/>
              </w:rPr>
              <w:t>–</w:t>
            </w:r>
            <w:r w:rsidRPr="00F26A3E">
              <w:rPr>
                <w:rFonts w:ascii="Arial" w:hAnsi="Arial" w:cs="Arial"/>
                <w:color w:val="000000"/>
                <w:lang w:val="en-GB"/>
              </w:rPr>
              <w:t>18</w:t>
            </w:r>
          </w:p>
        </w:tc>
        <w:tc>
          <w:tcPr>
            <w:tcW w:w="1688" w:type="dxa"/>
            <w:noWrap/>
            <w:hideMark/>
          </w:tcPr>
          <w:p w14:paraId="3F8DBFC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313.8</w:t>
            </w:r>
          </w:p>
        </w:tc>
        <w:tc>
          <w:tcPr>
            <w:tcW w:w="1559" w:type="dxa"/>
            <w:noWrap/>
            <w:hideMark/>
          </w:tcPr>
          <w:p w14:paraId="3C04395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w:t>
            </w:r>
            <w:r w:rsidR="00545DD9">
              <w:rPr>
                <w:rFonts w:ascii="Arial" w:hAnsi="Arial" w:cs="Arial"/>
                <w:color w:val="000000"/>
                <w:lang w:val="en-GB"/>
              </w:rPr>
              <w:t>,</w:t>
            </w:r>
            <w:r w:rsidRPr="00F26A3E">
              <w:rPr>
                <w:rFonts w:ascii="Arial" w:hAnsi="Arial" w:cs="Arial"/>
                <w:color w:val="000000"/>
                <w:lang w:val="en-GB"/>
              </w:rPr>
              <w:t>061.8</w:t>
            </w:r>
          </w:p>
        </w:tc>
        <w:tc>
          <w:tcPr>
            <w:tcW w:w="992" w:type="dxa"/>
            <w:noWrap/>
            <w:hideMark/>
          </w:tcPr>
          <w:p w14:paraId="0918DA4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w:t>
            </w:r>
            <w:r w:rsidR="00545DD9">
              <w:rPr>
                <w:rFonts w:ascii="Arial" w:hAnsi="Arial" w:cs="Arial"/>
                <w:color w:val="000000"/>
                <w:lang w:val="en-GB"/>
              </w:rPr>
              <w:t>,</w:t>
            </w:r>
            <w:r w:rsidRPr="00F26A3E">
              <w:rPr>
                <w:rFonts w:ascii="Arial" w:hAnsi="Arial" w:cs="Arial"/>
                <w:color w:val="000000"/>
                <w:lang w:val="en-GB"/>
              </w:rPr>
              <w:t>375.6</w:t>
            </w:r>
          </w:p>
        </w:tc>
        <w:tc>
          <w:tcPr>
            <w:tcW w:w="2601" w:type="dxa"/>
            <w:noWrap/>
            <w:hideMark/>
          </w:tcPr>
          <w:p w14:paraId="197BCD69"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2.59</w:t>
            </w:r>
          </w:p>
        </w:tc>
      </w:tr>
      <w:tr w:rsidR="00B607FC" w:rsidRPr="00F26A3E" w14:paraId="5BBDDC69" w14:textId="77777777" w:rsidTr="00F57EDA">
        <w:trPr>
          <w:trHeight w:val="70"/>
          <w:tblHeader/>
          <w:jc w:val="center"/>
        </w:trPr>
        <w:tc>
          <w:tcPr>
            <w:tcW w:w="2435" w:type="dxa"/>
            <w:noWrap/>
            <w:hideMark/>
          </w:tcPr>
          <w:p w14:paraId="0BBEA810" w14:textId="061A275F"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2018</w:t>
            </w:r>
            <w:r w:rsidR="005774D6">
              <w:rPr>
                <w:rFonts w:ascii="Arial" w:hAnsi="Arial" w:cs="Arial"/>
                <w:color w:val="000000"/>
                <w:lang w:val="en-GB"/>
              </w:rPr>
              <w:t>–</w:t>
            </w:r>
            <w:r w:rsidRPr="00F26A3E">
              <w:rPr>
                <w:rFonts w:ascii="Arial" w:hAnsi="Arial" w:cs="Arial"/>
                <w:color w:val="000000"/>
                <w:lang w:val="en-GB"/>
              </w:rPr>
              <w:t>19</w:t>
            </w:r>
          </w:p>
        </w:tc>
        <w:tc>
          <w:tcPr>
            <w:tcW w:w="1688" w:type="dxa"/>
            <w:noWrap/>
            <w:hideMark/>
          </w:tcPr>
          <w:p w14:paraId="2C421F1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446</w:t>
            </w:r>
            <w:r w:rsidR="00A4501F">
              <w:rPr>
                <w:rFonts w:ascii="Arial" w:hAnsi="Arial" w:cs="Arial"/>
                <w:color w:val="000000"/>
                <w:lang w:val="en-GB"/>
              </w:rPr>
              <w:t>.0</w:t>
            </w:r>
          </w:p>
        </w:tc>
        <w:tc>
          <w:tcPr>
            <w:tcW w:w="1559" w:type="dxa"/>
            <w:noWrap/>
            <w:hideMark/>
          </w:tcPr>
          <w:p w14:paraId="7FB0894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w:t>
            </w:r>
            <w:r w:rsidR="00545DD9">
              <w:rPr>
                <w:rFonts w:ascii="Arial" w:hAnsi="Arial" w:cs="Arial"/>
                <w:color w:val="000000"/>
                <w:lang w:val="en-GB"/>
              </w:rPr>
              <w:t>,</w:t>
            </w:r>
            <w:r w:rsidRPr="00F26A3E">
              <w:rPr>
                <w:rFonts w:ascii="Arial" w:hAnsi="Arial" w:cs="Arial"/>
                <w:color w:val="000000"/>
                <w:lang w:val="en-GB"/>
              </w:rPr>
              <w:t>102.8</w:t>
            </w:r>
          </w:p>
        </w:tc>
        <w:tc>
          <w:tcPr>
            <w:tcW w:w="992" w:type="dxa"/>
            <w:noWrap/>
            <w:hideMark/>
          </w:tcPr>
          <w:p w14:paraId="32905326"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w:t>
            </w:r>
            <w:r w:rsidR="00545DD9">
              <w:rPr>
                <w:rFonts w:ascii="Arial" w:hAnsi="Arial" w:cs="Arial"/>
                <w:color w:val="000000"/>
                <w:lang w:val="en-GB"/>
              </w:rPr>
              <w:t>,</w:t>
            </w:r>
            <w:r w:rsidRPr="00F26A3E">
              <w:rPr>
                <w:rFonts w:ascii="Arial" w:hAnsi="Arial" w:cs="Arial"/>
                <w:color w:val="000000"/>
                <w:lang w:val="en-GB"/>
              </w:rPr>
              <w:t>548.8</w:t>
            </w:r>
          </w:p>
        </w:tc>
        <w:tc>
          <w:tcPr>
            <w:tcW w:w="2601" w:type="dxa"/>
            <w:noWrap/>
            <w:hideMark/>
          </w:tcPr>
          <w:p w14:paraId="65D29C2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3.65</w:t>
            </w:r>
          </w:p>
        </w:tc>
      </w:tr>
    </w:tbl>
    <w:p w14:paraId="1DBD8A3A" w14:textId="77777777" w:rsidR="00B607FC" w:rsidRPr="00F26A3E" w:rsidRDefault="00B607FC" w:rsidP="00B607FC">
      <w:pPr>
        <w:rPr>
          <w:sz w:val="18"/>
          <w:szCs w:val="18"/>
          <w:lang w:val="en-GB"/>
        </w:rPr>
      </w:pPr>
    </w:p>
    <w:p w14:paraId="0B6CA3FF" w14:textId="47FB550C" w:rsidR="005774D6" w:rsidRDefault="005774D6" w:rsidP="00B607FC">
      <w:pPr>
        <w:jc w:val="both"/>
        <w:rPr>
          <w:rFonts w:ascii="Arial" w:hAnsi="Arial" w:cs="Arial"/>
          <w:sz w:val="17"/>
          <w:szCs w:val="17"/>
          <w:lang w:val="en-GB"/>
        </w:rPr>
      </w:pPr>
      <w:r>
        <w:rPr>
          <w:rFonts w:ascii="Arial" w:hAnsi="Arial" w:cs="Arial"/>
          <w:sz w:val="17"/>
          <w:szCs w:val="17"/>
          <w:lang w:val="en-GB"/>
        </w:rPr>
        <w:t>Note:</w:t>
      </w:r>
      <w:r w:rsidR="006B6676">
        <w:rPr>
          <w:rFonts w:ascii="Arial" w:hAnsi="Arial" w:cs="Arial"/>
          <w:sz w:val="17"/>
          <w:szCs w:val="17"/>
          <w:lang w:val="en-GB"/>
        </w:rPr>
        <w:t xml:space="preserve"> </w:t>
      </w:r>
      <w:r w:rsidR="00545DD9">
        <w:rPr>
          <w:rFonts w:ascii="Arial" w:hAnsi="Arial" w:cs="Arial"/>
          <w:sz w:val="17"/>
          <w:szCs w:val="17"/>
          <w:lang w:val="en-GB"/>
        </w:rPr>
        <w:t>₹</w:t>
      </w:r>
      <w:r w:rsidR="006B6676">
        <w:rPr>
          <w:rFonts w:ascii="Arial" w:hAnsi="Arial" w:cs="Arial"/>
          <w:sz w:val="17"/>
          <w:szCs w:val="17"/>
          <w:lang w:val="en-GB"/>
        </w:rPr>
        <w:t xml:space="preserve"> </w:t>
      </w:r>
      <w:r w:rsidR="00545DD9">
        <w:rPr>
          <w:rFonts w:ascii="Arial" w:hAnsi="Arial" w:cs="Arial"/>
          <w:sz w:val="17"/>
          <w:szCs w:val="17"/>
          <w:lang w:val="en-GB"/>
        </w:rPr>
        <w:t>=</w:t>
      </w:r>
      <w:r w:rsidR="006B6676">
        <w:rPr>
          <w:rFonts w:ascii="Arial" w:hAnsi="Arial" w:cs="Arial"/>
          <w:sz w:val="17"/>
          <w:szCs w:val="17"/>
          <w:lang w:val="en-GB"/>
        </w:rPr>
        <w:t xml:space="preserve"> </w:t>
      </w:r>
      <w:r w:rsidR="00545DD9">
        <w:rPr>
          <w:rFonts w:ascii="Arial" w:hAnsi="Arial" w:cs="Arial"/>
          <w:sz w:val="17"/>
          <w:szCs w:val="17"/>
          <w:lang w:val="en-GB"/>
        </w:rPr>
        <w:t>INR</w:t>
      </w:r>
      <w:r w:rsidR="006B6676">
        <w:rPr>
          <w:rFonts w:ascii="Arial" w:hAnsi="Arial" w:cs="Arial"/>
          <w:sz w:val="17"/>
          <w:szCs w:val="17"/>
          <w:lang w:val="en-GB"/>
        </w:rPr>
        <w:t xml:space="preserve"> </w:t>
      </w:r>
      <w:r w:rsidR="00545DD9">
        <w:rPr>
          <w:rFonts w:ascii="Arial" w:hAnsi="Arial" w:cs="Arial"/>
          <w:sz w:val="17"/>
          <w:szCs w:val="17"/>
          <w:lang w:val="en-GB"/>
        </w:rPr>
        <w:t>=</w:t>
      </w:r>
      <w:r w:rsidR="006B6676">
        <w:rPr>
          <w:rFonts w:ascii="Arial" w:hAnsi="Arial" w:cs="Arial"/>
          <w:sz w:val="17"/>
          <w:szCs w:val="17"/>
          <w:lang w:val="en-GB"/>
        </w:rPr>
        <w:t xml:space="preserve"> </w:t>
      </w:r>
      <w:r w:rsidR="00545DD9">
        <w:rPr>
          <w:rFonts w:ascii="Arial" w:hAnsi="Arial" w:cs="Arial"/>
          <w:sz w:val="17"/>
          <w:szCs w:val="17"/>
          <w:lang w:val="en-GB"/>
        </w:rPr>
        <w:t>Indian</w:t>
      </w:r>
      <w:r w:rsidR="006B6676">
        <w:rPr>
          <w:rFonts w:ascii="Arial" w:hAnsi="Arial" w:cs="Arial"/>
          <w:sz w:val="17"/>
          <w:szCs w:val="17"/>
          <w:lang w:val="en-GB"/>
        </w:rPr>
        <w:t xml:space="preserve"> </w:t>
      </w:r>
      <w:r w:rsidR="00545DD9">
        <w:rPr>
          <w:rFonts w:ascii="Arial" w:hAnsi="Arial" w:cs="Arial"/>
          <w:sz w:val="17"/>
          <w:szCs w:val="17"/>
          <w:lang w:val="en-GB"/>
        </w:rPr>
        <w:t>rupee;</w:t>
      </w:r>
      <w:r w:rsidR="006B6676">
        <w:rPr>
          <w:rFonts w:ascii="Arial" w:hAnsi="Arial" w:cs="Arial"/>
          <w:sz w:val="17"/>
          <w:szCs w:val="17"/>
          <w:lang w:val="en-GB"/>
        </w:rPr>
        <w:t xml:space="preserve"> </w:t>
      </w:r>
      <w:r w:rsidRPr="00F26A3E">
        <w:rPr>
          <w:rFonts w:ascii="Arial" w:hAnsi="Arial" w:cs="Arial"/>
          <w:sz w:val="17"/>
          <w:szCs w:val="17"/>
          <w:lang w:val="en-GB"/>
        </w:rPr>
        <w:t>CY</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c</w:t>
      </w:r>
      <w:r w:rsidRPr="00F26A3E">
        <w:rPr>
          <w:rFonts w:ascii="Arial" w:hAnsi="Arial" w:cs="Arial"/>
          <w:sz w:val="17"/>
          <w:szCs w:val="17"/>
          <w:lang w:val="en-GB"/>
        </w:rPr>
        <w:t>alendar</w:t>
      </w:r>
      <w:r w:rsidR="006B6676">
        <w:rPr>
          <w:rFonts w:ascii="Arial" w:hAnsi="Arial" w:cs="Arial"/>
          <w:sz w:val="17"/>
          <w:szCs w:val="17"/>
          <w:lang w:val="en-GB"/>
        </w:rPr>
        <w:t xml:space="preserve"> </w:t>
      </w:r>
      <w:r>
        <w:rPr>
          <w:rFonts w:ascii="Arial" w:hAnsi="Arial" w:cs="Arial"/>
          <w:sz w:val="17"/>
          <w:szCs w:val="17"/>
          <w:lang w:val="en-GB"/>
        </w:rPr>
        <w:t>y</w:t>
      </w:r>
      <w:r w:rsidRPr="00F26A3E">
        <w:rPr>
          <w:rFonts w:ascii="Arial" w:hAnsi="Arial" w:cs="Arial"/>
          <w:sz w:val="17"/>
          <w:szCs w:val="17"/>
          <w:lang w:val="en-GB"/>
        </w:rPr>
        <w:t>ear</w:t>
      </w:r>
      <w:r>
        <w:rPr>
          <w:rFonts w:ascii="Arial" w:hAnsi="Arial" w:cs="Arial"/>
          <w:sz w:val="17"/>
          <w:szCs w:val="17"/>
          <w:lang w:val="en-GB"/>
        </w:rPr>
        <w:t>;</w:t>
      </w:r>
      <w:r w:rsidR="006B6676">
        <w:rPr>
          <w:rFonts w:ascii="Arial" w:hAnsi="Arial" w:cs="Arial"/>
          <w:sz w:val="17"/>
          <w:szCs w:val="17"/>
          <w:lang w:val="en-GB"/>
        </w:rPr>
        <w:t xml:space="preserve"> </w:t>
      </w:r>
      <w:r w:rsidRPr="00F26A3E">
        <w:rPr>
          <w:rFonts w:ascii="Arial" w:hAnsi="Arial" w:cs="Arial"/>
          <w:sz w:val="17"/>
          <w:szCs w:val="17"/>
          <w:lang w:val="en-GB"/>
        </w:rPr>
        <w:t>FY</w:t>
      </w:r>
      <w:r w:rsidR="006B6676">
        <w:rPr>
          <w:rFonts w:ascii="Arial" w:hAnsi="Arial" w:cs="Arial"/>
          <w:sz w:val="17"/>
          <w:szCs w:val="17"/>
          <w:lang w:val="en-GB"/>
        </w:rPr>
        <w:t xml:space="preserve"> </w:t>
      </w:r>
      <w:r>
        <w:rPr>
          <w:rFonts w:ascii="Arial" w:hAnsi="Arial" w:cs="Arial"/>
          <w:sz w:val="17"/>
          <w:szCs w:val="17"/>
          <w:lang w:val="en-GB"/>
        </w:rPr>
        <w:t>=f</w:t>
      </w:r>
      <w:r w:rsidRPr="00F26A3E">
        <w:rPr>
          <w:rFonts w:ascii="Arial" w:hAnsi="Arial" w:cs="Arial"/>
          <w:sz w:val="17"/>
          <w:szCs w:val="17"/>
          <w:lang w:val="en-GB"/>
        </w:rPr>
        <w:t>inancial</w:t>
      </w:r>
      <w:r w:rsidR="006B6676">
        <w:rPr>
          <w:rFonts w:ascii="Arial" w:hAnsi="Arial" w:cs="Arial"/>
          <w:sz w:val="17"/>
          <w:szCs w:val="17"/>
          <w:lang w:val="en-GB"/>
        </w:rPr>
        <w:t xml:space="preserve"> </w:t>
      </w:r>
      <w:r>
        <w:rPr>
          <w:rFonts w:ascii="Arial" w:hAnsi="Arial" w:cs="Arial"/>
          <w:sz w:val="17"/>
          <w:szCs w:val="17"/>
          <w:lang w:val="en-GB"/>
        </w:rPr>
        <w:t>y</w:t>
      </w:r>
      <w:r w:rsidRPr="00F26A3E">
        <w:rPr>
          <w:rFonts w:ascii="Arial" w:hAnsi="Arial" w:cs="Arial"/>
          <w:sz w:val="17"/>
          <w:szCs w:val="17"/>
          <w:lang w:val="en-GB"/>
        </w:rPr>
        <w:t>ear</w:t>
      </w:r>
      <w:r w:rsidR="00C52073">
        <w:rPr>
          <w:rFonts w:ascii="Arial" w:hAnsi="Arial" w:cs="Arial"/>
          <w:sz w:val="17"/>
          <w:szCs w:val="17"/>
          <w:lang w:val="en-GB"/>
        </w:rPr>
        <w:t>.</w:t>
      </w:r>
    </w:p>
    <w:p w14:paraId="61DC27B4" w14:textId="7CD2D2A9" w:rsidR="00B607FC" w:rsidRPr="00F26A3E" w:rsidRDefault="00B607FC" w:rsidP="00B607FC">
      <w:pPr>
        <w:jc w:val="both"/>
        <w:rPr>
          <w:rFonts w:ascii="Arial" w:hAnsi="Arial" w:cs="Arial"/>
          <w:sz w:val="17"/>
          <w:szCs w:val="17"/>
          <w:lang w:val="en-GB"/>
        </w:rPr>
      </w:pPr>
      <w:r w:rsidRPr="00F26A3E">
        <w:rPr>
          <w:rFonts w:ascii="Arial" w:hAnsi="Arial" w:cs="Arial"/>
          <w:sz w:val="17"/>
          <w:szCs w:val="17"/>
          <w:lang w:val="en-GB"/>
        </w:rPr>
        <w:t>Source:</w:t>
      </w:r>
      <w:r w:rsidR="006B6676">
        <w:rPr>
          <w:rFonts w:ascii="Arial" w:hAnsi="Arial" w:cs="Arial"/>
          <w:sz w:val="17"/>
          <w:szCs w:val="17"/>
          <w:lang w:val="en-GB"/>
        </w:rPr>
        <w:t xml:space="preserve"> </w:t>
      </w:r>
      <w:r w:rsidRPr="00F26A3E">
        <w:rPr>
          <w:rFonts w:ascii="Arial" w:hAnsi="Arial" w:cs="Arial"/>
          <w:sz w:val="17"/>
          <w:szCs w:val="17"/>
          <w:lang w:val="en-GB"/>
        </w:rPr>
        <w:t>Compiled</w:t>
      </w:r>
      <w:r w:rsidR="006B6676">
        <w:rPr>
          <w:rFonts w:ascii="Arial" w:hAnsi="Arial" w:cs="Arial"/>
          <w:sz w:val="17"/>
          <w:szCs w:val="17"/>
          <w:lang w:val="en-GB"/>
        </w:rPr>
        <w:t xml:space="preserve"> </w:t>
      </w:r>
      <w:r w:rsidRPr="00F26A3E">
        <w:rPr>
          <w:rFonts w:ascii="Arial" w:hAnsi="Arial" w:cs="Arial"/>
          <w:sz w:val="17"/>
          <w:szCs w:val="17"/>
          <w:lang w:val="en-GB"/>
        </w:rPr>
        <w:t>by</w:t>
      </w:r>
      <w:r w:rsidR="006B6676">
        <w:rPr>
          <w:rFonts w:ascii="Arial" w:hAnsi="Arial" w:cs="Arial"/>
          <w:sz w:val="17"/>
          <w:szCs w:val="17"/>
          <w:lang w:val="en-GB"/>
        </w:rPr>
        <w:t xml:space="preserve"> </w:t>
      </w:r>
      <w:r w:rsidR="005774D6">
        <w:rPr>
          <w:rFonts w:ascii="Arial" w:hAnsi="Arial" w:cs="Arial"/>
          <w:sz w:val="17"/>
          <w:szCs w:val="17"/>
          <w:lang w:val="en-GB"/>
        </w:rPr>
        <w:t>the</w:t>
      </w:r>
      <w:r w:rsidR="006B6676">
        <w:rPr>
          <w:rFonts w:ascii="Arial" w:hAnsi="Arial" w:cs="Arial"/>
          <w:sz w:val="17"/>
          <w:szCs w:val="17"/>
          <w:lang w:val="en-GB"/>
        </w:rPr>
        <w:t xml:space="preserve"> </w:t>
      </w:r>
      <w:r w:rsidR="005774D6" w:rsidRPr="00F26A3E">
        <w:rPr>
          <w:rFonts w:ascii="Arial" w:hAnsi="Arial" w:cs="Arial"/>
          <w:sz w:val="17"/>
          <w:szCs w:val="17"/>
          <w:lang w:val="en-GB"/>
        </w:rPr>
        <w:t>author</w:t>
      </w:r>
      <w:r w:rsidR="006B6676">
        <w:rPr>
          <w:rFonts w:ascii="Arial" w:hAnsi="Arial" w:cs="Arial"/>
          <w:sz w:val="17"/>
          <w:szCs w:val="17"/>
          <w:lang w:val="en-GB"/>
        </w:rPr>
        <w:t xml:space="preserve"> </w:t>
      </w:r>
      <w:r w:rsidR="005774D6">
        <w:rPr>
          <w:rFonts w:ascii="Arial" w:hAnsi="Arial" w:cs="Arial"/>
          <w:sz w:val="17"/>
          <w:szCs w:val="17"/>
          <w:lang w:val="en-GB"/>
        </w:rPr>
        <w:t>with</w:t>
      </w:r>
      <w:r w:rsidR="006B6676">
        <w:rPr>
          <w:rFonts w:ascii="Arial" w:hAnsi="Arial" w:cs="Arial"/>
          <w:sz w:val="17"/>
          <w:szCs w:val="17"/>
          <w:lang w:val="en-GB"/>
        </w:rPr>
        <w:t xml:space="preserve"> </w:t>
      </w:r>
      <w:r w:rsidR="005774D6">
        <w:rPr>
          <w:rFonts w:ascii="Arial" w:hAnsi="Arial" w:cs="Arial"/>
          <w:sz w:val="17"/>
          <w:szCs w:val="17"/>
          <w:lang w:val="en-GB"/>
        </w:rPr>
        <w:t>information</w:t>
      </w:r>
      <w:r w:rsidR="006B6676">
        <w:rPr>
          <w:rFonts w:ascii="Arial" w:hAnsi="Arial" w:cs="Arial"/>
          <w:sz w:val="17"/>
          <w:szCs w:val="17"/>
          <w:lang w:val="en-GB"/>
        </w:rPr>
        <w:t xml:space="preserve"> </w:t>
      </w:r>
      <w:r w:rsidR="005774D6" w:rsidRPr="00F26A3E">
        <w:rPr>
          <w:rFonts w:ascii="Arial" w:hAnsi="Arial" w:cs="Arial"/>
          <w:sz w:val="17"/>
          <w:szCs w:val="17"/>
          <w:lang w:val="en-GB"/>
        </w:rPr>
        <w:t>from</w:t>
      </w:r>
      <w:r w:rsidR="006B6676">
        <w:rPr>
          <w:rFonts w:ascii="Arial" w:hAnsi="Arial" w:cs="Arial"/>
          <w:sz w:val="17"/>
          <w:szCs w:val="17"/>
          <w:lang w:val="en-GB"/>
        </w:rPr>
        <w:t xml:space="preserve"> </w:t>
      </w:r>
      <w:r w:rsidR="005774D6">
        <w:rPr>
          <w:rFonts w:ascii="Arial" w:hAnsi="Arial" w:cs="Arial"/>
          <w:sz w:val="17"/>
          <w:szCs w:val="17"/>
          <w:lang w:val="en-GB"/>
        </w:rPr>
        <w:t>“</w:t>
      </w:r>
      <w:r w:rsidR="005774D6" w:rsidRPr="00F26A3E">
        <w:rPr>
          <w:rFonts w:ascii="Arial" w:hAnsi="Arial" w:cs="Arial"/>
          <w:sz w:val="17"/>
          <w:szCs w:val="17"/>
          <w:lang w:val="en-GB"/>
        </w:rPr>
        <w:t>Annual</w:t>
      </w:r>
      <w:r w:rsidR="006B6676">
        <w:rPr>
          <w:rFonts w:ascii="Arial" w:hAnsi="Arial" w:cs="Arial"/>
          <w:sz w:val="17"/>
          <w:szCs w:val="17"/>
          <w:lang w:val="en-GB"/>
        </w:rPr>
        <w:t xml:space="preserve"> </w:t>
      </w:r>
      <w:r w:rsidR="005774D6" w:rsidRPr="00F26A3E">
        <w:rPr>
          <w:rFonts w:ascii="Arial" w:hAnsi="Arial" w:cs="Arial"/>
          <w:sz w:val="17"/>
          <w:szCs w:val="17"/>
          <w:lang w:val="en-GB"/>
        </w:rPr>
        <w:t>Reports</w:t>
      </w:r>
      <w:r w:rsidR="005774D6">
        <w:rPr>
          <w:rFonts w:ascii="Arial" w:hAnsi="Arial" w:cs="Arial"/>
          <w:sz w:val="17"/>
          <w:szCs w:val="17"/>
          <w:lang w:val="en-GB"/>
        </w:rPr>
        <w:t>,”</w:t>
      </w:r>
      <w:r w:rsidR="006B6676">
        <w:rPr>
          <w:rFonts w:ascii="Arial" w:hAnsi="Arial" w:cs="Arial"/>
          <w:sz w:val="17"/>
          <w:szCs w:val="17"/>
          <w:lang w:val="en-GB"/>
        </w:rPr>
        <w:t xml:space="preserve"> </w:t>
      </w:r>
      <w:r w:rsidR="005774D6" w:rsidRPr="00F26A3E">
        <w:rPr>
          <w:rFonts w:ascii="Arial" w:hAnsi="Arial" w:cs="Arial"/>
          <w:sz w:val="17"/>
          <w:szCs w:val="17"/>
          <w:lang w:val="en-GB"/>
        </w:rPr>
        <w:t>Eicher</w:t>
      </w:r>
      <w:r w:rsidR="006B6676">
        <w:rPr>
          <w:rFonts w:ascii="Arial" w:hAnsi="Arial" w:cs="Arial"/>
          <w:sz w:val="17"/>
          <w:szCs w:val="17"/>
          <w:lang w:val="en-GB"/>
        </w:rPr>
        <w:t xml:space="preserve"> </w:t>
      </w:r>
      <w:r w:rsidR="005774D6" w:rsidRPr="00F26A3E">
        <w:rPr>
          <w:rFonts w:ascii="Arial" w:hAnsi="Arial" w:cs="Arial"/>
          <w:sz w:val="17"/>
          <w:szCs w:val="17"/>
          <w:lang w:val="en-GB"/>
        </w:rPr>
        <w:t>Motors</w:t>
      </w:r>
      <w:r w:rsidR="006B6676">
        <w:rPr>
          <w:rFonts w:ascii="Arial" w:hAnsi="Arial" w:cs="Arial"/>
          <w:sz w:val="17"/>
          <w:szCs w:val="17"/>
          <w:lang w:val="en-GB"/>
        </w:rPr>
        <w:t xml:space="preserve"> </w:t>
      </w:r>
      <w:r w:rsidR="005774D6" w:rsidRPr="00F26A3E">
        <w:rPr>
          <w:rFonts w:ascii="Arial" w:hAnsi="Arial" w:cs="Arial"/>
          <w:sz w:val="17"/>
          <w:szCs w:val="17"/>
          <w:lang w:val="en-GB"/>
        </w:rPr>
        <w:t>Limited</w:t>
      </w:r>
      <w:r w:rsidR="005774D6">
        <w:rPr>
          <w:rFonts w:ascii="Arial" w:hAnsi="Arial" w:cs="Arial"/>
          <w:sz w:val="17"/>
          <w:szCs w:val="17"/>
          <w:lang w:val="en-GB"/>
        </w:rPr>
        <w:t>,</w:t>
      </w:r>
      <w:r w:rsidR="006B6676">
        <w:rPr>
          <w:rFonts w:ascii="Arial" w:hAnsi="Arial" w:cs="Arial"/>
          <w:sz w:val="17"/>
          <w:szCs w:val="17"/>
          <w:lang w:val="en-GB"/>
        </w:rPr>
        <w:t xml:space="preserve"> </w:t>
      </w:r>
      <w:r w:rsidR="0023084D" w:rsidRPr="0023084D">
        <w:rPr>
          <w:rFonts w:ascii="Arial" w:hAnsi="Arial" w:cs="Arial"/>
          <w:sz w:val="17"/>
          <w:szCs w:val="17"/>
          <w:lang w:val="en-GB"/>
        </w:rPr>
        <w:t>accessed</w:t>
      </w:r>
      <w:r w:rsidR="006B6676">
        <w:rPr>
          <w:rFonts w:ascii="Arial" w:hAnsi="Arial" w:cs="Arial"/>
          <w:sz w:val="17"/>
          <w:szCs w:val="17"/>
          <w:lang w:val="en-GB"/>
        </w:rPr>
        <w:t xml:space="preserve"> </w:t>
      </w:r>
      <w:r w:rsidR="0023084D" w:rsidRPr="0023084D">
        <w:rPr>
          <w:rFonts w:ascii="Arial" w:hAnsi="Arial" w:cs="Arial"/>
          <w:sz w:val="17"/>
          <w:szCs w:val="17"/>
          <w:lang w:val="en-GB"/>
        </w:rPr>
        <w:t>September</w:t>
      </w:r>
      <w:r w:rsidR="006B6676">
        <w:rPr>
          <w:rFonts w:ascii="Arial" w:hAnsi="Arial" w:cs="Arial"/>
          <w:sz w:val="17"/>
          <w:szCs w:val="17"/>
          <w:lang w:val="en-GB"/>
        </w:rPr>
        <w:t xml:space="preserve"> </w:t>
      </w:r>
      <w:r w:rsidR="0023084D" w:rsidRPr="0023084D">
        <w:rPr>
          <w:rFonts w:ascii="Arial" w:hAnsi="Arial" w:cs="Arial"/>
          <w:sz w:val="17"/>
          <w:szCs w:val="17"/>
          <w:lang w:val="en-GB"/>
        </w:rPr>
        <w:t>24,</w:t>
      </w:r>
      <w:r w:rsidR="006B6676">
        <w:rPr>
          <w:rFonts w:ascii="Arial" w:hAnsi="Arial" w:cs="Arial"/>
          <w:sz w:val="17"/>
          <w:szCs w:val="17"/>
          <w:lang w:val="en-GB"/>
        </w:rPr>
        <w:t xml:space="preserve"> </w:t>
      </w:r>
      <w:r w:rsidR="0023084D" w:rsidRPr="0023084D">
        <w:rPr>
          <w:rFonts w:ascii="Arial" w:hAnsi="Arial" w:cs="Arial"/>
          <w:sz w:val="17"/>
          <w:szCs w:val="17"/>
          <w:lang w:val="en-GB"/>
        </w:rPr>
        <w:t>2020</w:t>
      </w:r>
      <w:r w:rsidR="005774D6">
        <w:rPr>
          <w:rFonts w:ascii="Arial" w:hAnsi="Arial" w:cs="Arial"/>
          <w:sz w:val="17"/>
          <w:szCs w:val="17"/>
          <w:lang w:val="en-GB"/>
        </w:rPr>
        <w:t>,</w:t>
      </w:r>
      <w:r w:rsidR="006B6676">
        <w:rPr>
          <w:rFonts w:ascii="Arial" w:hAnsi="Arial" w:cs="Arial"/>
          <w:sz w:val="17"/>
          <w:szCs w:val="17"/>
          <w:lang w:val="en-GB"/>
        </w:rPr>
        <w:t xml:space="preserve"> </w:t>
      </w:r>
      <w:r w:rsidR="005774D6" w:rsidRPr="005774D6">
        <w:rPr>
          <w:rFonts w:ascii="Arial" w:hAnsi="Arial" w:cs="Arial"/>
          <w:sz w:val="17"/>
          <w:szCs w:val="17"/>
          <w:lang w:val="en-GB"/>
        </w:rPr>
        <w:t>www.eicher.in/annual-reports</w:t>
      </w:r>
      <w:r w:rsidR="005774D6">
        <w:rPr>
          <w:rFonts w:ascii="Arial" w:hAnsi="Arial" w:cs="Arial"/>
          <w:sz w:val="17"/>
          <w:szCs w:val="17"/>
          <w:lang w:val="en-GB"/>
        </w:rPr>
        <w:t>.</w:t>
      </w:r>
    </w:p>
    <w:p w14:paraId="55EC1BD3" w14:textId="77777777" w:rsidR="007D45C1" w:rsidRDefault="007D45C1">
      <w:pPr>
        <w:spacing w:after="200" w:line="276" w:lineRule="auto"/>
        <w:rPr>
          <w:rFonts w:ascii="Arial" w:hAnsi="Arial" w:cs="Arial"/>
          <w:b/>
          <w:caps/>
          <w:lang w:val="en-GB"/>
        </w:rPr>
      </w:pPr>
      <w:r>
        <w:rPr>
          <w:rFonts w:ascii="Arial" w:hAnsi="Arial" w:cs="Arial"/>
          <w:b/>
          <w:caps/>
          <w:lang w:val="en-GB"/>
        </w:rPr>
        <w:br w:type="page"/>
      </w:r>
    </w:p>
    <w:p w14:paraId="5DF45C05" w14:textId="022DFDB9" w:rsidR="00B607FC" w:rsidRPr="00F26A3E" w:rsidRDefault="00B607FC" w:rsidP="00B607FC">
      <w:pPr>
        <w:jc w:val="center"/>
        <w:rPr>
          <w:rFonts w:ascii="Arial" w:hAnsi="Arial" w:cs="Arial"/>
          <w:b/>
          <w:caps/>
          <w:lang w:val="en-GB"/>
        </w:rPr>
      </w:pPr>
      <w:r w:rsidRPr="00F26A3E">
        <w:rPr>
          <w:rFonts w:ascii="Arial" w:hAnsi="Arial" w:cs="Arial"/>
          <w:b/>
          <w:caps/>
          <w:lang w:val="en-GB"/>
        </w:rPr>
        <w:lastRenderedPageBreak/>
        <w:t>Exhibit</w:t>
      </w:r>
      <w:r w:rsidR="00CB1AB7">
        <w:rPr>
          <w:rFonts w:ascii="Arial" w:hAnsi="Arial" w:cs="Arial"/>
          <w:b/>
          <w:caps/>
          <w:lang w:val="en-GB"/>
        </w:rPr>
        <w:t xml:space="preserve"> </w:t>
      </w:r>
      <w:r w:rsidRPr="00F26A3E">
        <w:rPr>
          <w:rFonts w:ascii="Arial" w:hAnsi="Arial" w:cs="Arial"/>
          <w:b/>
          <w:caps/>
          <w:lang w:val="en-GB"/>
        </w:rPr>
        <w:t>5:</w:t>
      </w:r>
      <w:r w:rsidR="006B6676">
        <w:rPr>
          <w:rFonts w:ascii="Arial" w:hAnsi="Arial" w:cs="Arial"/>
          <w:b/>
          <w:caps/>
          <w:lang w:val="en-GB"/>
        </w:rPr>
        <w:t xml:space="preserve"> </w:t>
      </w:r>
      <w:r w:rsidRPr="00F26A3E">
        <w:rPr>
          <w:rFonts w:ascii="Arial" w:hAnsi="Arial" w:cs="Arial"/>
          <w:b/>
          <w:caps/>
          <w:lang w:val="en-GB"/>
        </w:rPr>
        <w:t>Royal</w:t>
      </w:r>
      <w:r w:rsidR="006B6676">
        <w:rPr>
          <w:rFonts w:ascii="Arial" w:hAnsi="Arial" w:cs="Arial"/>
          <w:b/>
          <w:caps/>
          <w:lang w:val="en-GB"/>
        </w:rPr>
        <w:t xml:space="preserve"> </w:t>
      </w:r>
      <w:r w:rsidRPr="00F26A3E">
        <w:rPr>
          <w:rFonts w:ascii="Arial" w:hAnsi="Arial" w:cs="Arial"/>
          <w:b/>
          <w:caps/>
          <w:lang w:val="en-GB"/>
        </w:rPr>
        <w:t>Enfield</w:t>
      </w:r>
      <w:r w:rsidR="006B6676">
        <w:rPr>
          <w:rFonts w:ascii="Arial" w:hAnsi="Arial" w:cs="Arial"/>
          <w:b/>
          <w:caps/>
          <w:lang w:val="en-GB"/>
        </w:rPr>
        <w:t xml:space="preserve"> </w:t>
      </w:r>
      <w:r w:rsidRPr="00F26A3E">
        <w:rPr>
          <w:rFonts w:ascii="Arial" w:hAnsi="Arial" w:cs="Arial"/>
          <w:b/>
          <w:caps/>
          <w:lang w:val="en-GB"/>
        </w:rPr>
        <w:t>Advertisement</w:t>
      </w:r>
      <w:r w:rsidR="006B6676">
        <w:rPr>
          <w:rFonts w:ascii="Arial" w:hAnsi="Arial" w:cs="Arial"/>
          <w:b/>
          <w:caps/>
          <w:lang w:val="en-GB"/>
        </w:rPr>
        <w:t xml:space="preserve"> </w:t>
      </w:r>
      <w:r w:rsidRPr="00F26A3E">
        <w:rPr>
          <w:rFonts w:ascii="Arial" w:hAnsi="Arial" w:cs="Arial"/>
          <w:b/>
          <w:caps/>
          <w:lang w:val="en-GB"/>
        </w:rPr>
        <w:t>Expenditure</w:t>
      </w:r>
      <w:r w:rsidR="006B6676">
        <w:rPr>
          <w:rFonts w:ascii="Arial" w:hAnsi="Arial" w:cs="Arial"/>
          <w:b/>
          <w:caps/>
          <w:lang w:val="en-GB"/>
        </w:rPr>
        <w:t xml:space="preserve"> </w:t>
      </w:r>
      <w:r w:rsidRPr="00F26A3E">
        <w:rPr>
          <w:rFonts w:ascii="Arial" w:hAnsi="Arial" w:cs="Arial"/>
          <w:b/>
          <w:caps/>
          <w:lang w:val="en-GB"/>
        </w:rPr>
        <w:t>(200</w:t>
      </w:r>
      <w:r w:rsidR="001B3297">
        <w:rPr>
          <w:rFonts w:ascii="Arial" w:hAnsi="Arial" w:cs="Arial"/>
          <w:b/>
          <w:caps/>
          <w:lang w:val="en-GB"/>
        </w:rPr>
        <w:t>8</w:t>
      </w:r>
      <w:r w:rsidR="006B6676">
        <w:rPr>
          <w:rFonts w:ascii="Arial" w:hAnsi="Arial" w:cs="Arial"/>
          <w:b/>
          <w:caps/>
          <w:lang w:val="en-GB"/>
        </w:rPr>
        <w:t xml:space="preserve"> </w:t>
      </w:r>
      <w:r w:rsidRPr="00F26A3E">
        <w:rPr>
          <w:rFonts w:ascii="Arial" w:hAnsi="Arial" w:cs="Arial"/>
          <w:b/>
          <w:caps/>
          <w:lang w:val="en-GB"/>
        </w:rPr>
        <w:t>to</w:t>
      </w:r>
      <w:r w:rsidR="006B6676">
        <w:rPr>
          <w:rFonts w:ascii="Arial" w:hAnsi="Arial" w:cs="Arial"/>
          <w:b/>
          <w:caps/>
          <w:lang w:val="en-GB"/>
        </w:rPr>
        <w:t xml:space="preserve"> </w:t>
      </w:r>
      <w:r w:rsidRPr="00F26A3E">
        <w:rPr>
          <w:rFonts w:ascii="Arial" w:hAnsi="Arial" w:cs="Arial"/>
          <w:b/>
          <w:caps/>
          <w:lang w:val="en-GB"/>
        </w:rPr>
        <w:t>2019)</w:t>
      </w:r>
    </w:p>
    <w:p w14:paraId="027B1B04" w14:textId="77777777" w:rsidR="00B607FC" w:rsidRPr="00F26A3E" w:rsidRDefault="00B607FC" w:rsidP="007D45C1">
      <w:pPr>
        <w:pStyle w:val="BodyTextMain"/>
        <w:rPr>
          <w:lang w:val="en-GB"/>
        </w:rPr>
      </w:pPr>
    </w:p>
    <w:tbl>
      <w:tblPr>
        <w:tblStyle w:val="TableGrid1"/>
        <w:tblW w:w="6570" w:type="dxa"/>
        <w:jc w:val="center"/>
        <w:tblLook w:val="04A0" w:firstRow="1" w:lastRow="0" w:firstColumn="1" w:lastColumn="0" w:noHBand="0" w:noVBand="1"/>
        <w:tblCaption w:val="EXHIBIT 5"/>
        <w:tblDescription w:val="ROYAL ENFIELD ADVERTISEMENT EXPENDITURE (2008 TO 2019)"/>
      </w:tblPr>
      <w:tblGrid>
        <w:gridCol w:w="2610"/>
        <w:gridCol w:w="1435"/>
        <w:gridCol w:w="2525"/>
      </w:tblGrid>
      <w:tr w:rsidR="00B607FC" w:rsidRPr="00F26A3E" w14:paraId="538CC150" w14:textId="77777777" w:rsidTr="00995787">
        <w:trPr>
          <w:trHeight w:val="60"/>
          <w:tblHeader/>
          <w:jc w:val="center"/>
        </w:trPr>
        <w:tc>
          <w:tcPr>
            <w:tcW w:w="2610" w:type="dxa"/>
            <w:noWrap/>
            <w:hideMark/>
          </w:tcPr>
          <w:p w14:paraId="6678BBAF" w14:textId="40C51E70" w:rsidR="00CB1AB7" w:rsidRDefault="00953F07" w:rsidP="00B607FC">
            <w:pPr>
              <w:jc w:val="center"/>
              <w:rPr>
                <w:rFonts w:ascii="Arial" w:hAnsi="Arial" w:cs="Arial"/>
                <w:b/>
                <w:bCs/>
                <w:color w:val="000000"/>
                <w:lang w:val="en-GB"/>
              </w:rPr>
            </w:pPr>
            <w:r>
              <w:rPr>
                <w:rFonts w:ascii="Arial" w:hAnsi="Arial" w:cs="Arial"/>
                <w:b/>
                <w:bCs/>
                <w:color w:val="000000"/>
                <w:lang w:val="en-GB"/>
              </w:rPr>
              <w:t>Financial</w:t>
            </w:r>
            <w:r w:rsidR="006B6676">
              <w:rPr>
                <w:rFonts w:ascii="Arial" w:hAnsi="Arial" w:cs="Arial"/>
                <w:b/>
                <w:bCs/>
                <w:color w:val="000000"/>
                <w:lang w:val="en-GB"/>
              </w:rPr>
              <w:t xml:space="preserve"> </w:t>
            </w:r>
            <w:r>
              <w:rPr>
                <w:rFonts w:ascii="Arial" w:hAnsi="Arial" w:cs="Arial"/>
                <w:b/>
                <w:bCs/>
                <w:color w:val="000000"/>
                <w:lang w:val="en-GB"/>
              </w:rPr>
              <w:t>or</w:t>
            </w:r>
            <w:r w:rsidR="006B6676">
              <w:rPr>
                <w:rFonts w:ascii="Arial" w:hAnsi="Arial" w:cs="Arial"/>
                <w:b/>
                <w:bCs/>
                <w:color w:val="000000"/>
                <w:lang w:val="en-GB"/>
              </w:rPr>
              <w:t xml:space="preserve"> </w:t>
            </w:r>
            <w:r>
              <w:rPr>
                <w:rFonts w:ascii="Arial" w:hAnsi="Arial" w:cs="Arial"/>
                <w:b/>
                <w:bCs/>
                <w:color w:val="000000"/>
                <w:lang w:val="en-GB"/>
              </w:rPr>
              <w:t>Calendar</w:t>
            </w:r>
          </w:p>
          <w:p w14:paraId="47C80AD8" w14:textId="2F302E9B"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Year</w:t>
            </w:r>
          </w:p>
        </w:tc>
        <w:tc>
          <w:tcPr>
            <w:tcW w:w="1435" w:type="dxa"/>
            <w:noWrap/>
            <w:hideMark/>
          </w:tcPr>
          <w:p w14:paraId="5EBCE584" w14:textId="0FBDD1F9" w:rsidR="00CB1AB7" w:rsidRDefault="00B607FC" w:rsidP="00B607FC">
            <w:pPr>
              <w:jc w:val="center"/>
              <w:rPr>
                <w:rFonts w:ascii="Arial" w:hAnsi="Arial" w:cs="Arial"/>
                <w:b/>
                <w:bCs/>
                <w:color w:val="000000"/>
                <w:lang w:val="en-GB"/>
              </w:rPr>
            </w:pPr>
            <w:r w:rsidRPr="00F26A3E">
              <w:rPr>
                <w:rFonts w:ascii="Arial" w:hAnsi="Arial" w:cs="Arial"/>
                <w:b/>
                <w:bCs/>
                <w:color w:val="000000"/>
                <w:lang w:val="en-GB"/>
              </w:rPr>
              <w:t>Amount</w:t>
            </w:r>
            <w:r w:rsidR="006B6676">
              <w:rPr>
                <w:rFonts w:ascii="Arial" w:hAnsi="Arial" w:cs="Arial"/>
                <w:b/>
                <w:bCs/>
                <w:color w:val="000000"/>
                <w:lang w:val="en-GB"/>
              </w:rPr>
              <w:t xml:space="preserve"> </w:t>
            </w:r>
          </w:p>
          <w:p w14:paraId="6054E89F" w14:textId="11AAC10E" w:rsidR="00B607FC" w:rsidRPr="00F26A3E" w:rsidRDefault="00B607FC" w:rsidP="00B607FC">
            <w:pPr>
              <w:jc w:val="center"/>
              <w:rPr>
                <w:rFonts w:ascii="Arial" w:hAnsi="Arial" w:cs="Arial"/>
                <w:b/>
                <w:bCs/>
                <w:color w:val="000000"/>
                <w:lang w:val="en-GB"/>
              </w:rPr>
            </w:pPr>
            <w:r w:rsidRPr="00F26A3E">
              <w:rPr>
                <w:rFonts w:ascii="Arial" w:hAnsi="Arial" w:cs="Arial"/>
                <w:b/>
                <w:bCs/>
                <w:color w:val="000000"/>
                <w:lang w:val="en-GB"/>
              </w:rPr>
              <w:t>(</w:t>
            </w:r>
            <w:r w:rsidR="003515CC">
              <w:rPr>
                <w:rFonts w:ascii="Arial" w:hAnsi="Arial" w:cs="Arial"/>
                <w:b/>
                <w:bCs/>
                <w:color w:val="000000"/>
                <w:lang w:val="en-GB"/>
              </w:rPr>
              <w:t>in</w:t>
            </w:r>
            <w:r w:rsidR="006B6676">
              <w:rPr>
                <w:rFonts w:ascii="Arial" w:hAnsi="Arial" w:cs="Arial"/>
                <w:b/>
                <w:bCs/>
                <w:color w:val="000000"/>
                <w:lang w:val="en-GB"/>
              </w:rPr>
              <w:t xml:space="preserve"> </w:t>
            </w:r>
            <w:r w:rsidR="005774D6">
              <w:rPr>
                <w:rFonts w:ascii="Arial" w:hAnsi="Arial" w:cs="Arial"/>
                <w:b/>
                <w:bCs/>
                <w:color w:val="000000"/>
                <w:lang w:val="en-GB"/>
              </w:rPr>
              <w:t>₹</w:t>
            </w:r>
            <w:r w:rsidR="006B6676">
              <w:rPr>
                <w:rFonts w:ascii="Arial" w:hAnsi="Arial" w:cs="Arial"/>
                <w:b/>
                <w:bCs/>
                <w:color w:val="000000"/>
                <w:lang w:val="en-GB"/>
              </w:rPr>
              <w:t xml:space="preserve"> </w:t>
            </w:r>
            <w:r w:rsidRPr="00F26A3E">
              <w:rPr>
                <w:rFonts w:ascii="Arial" w:hAnsi="Arial" w:cs="Arial"/>
                <w:b/>
                <w:bCs/>
                <w:color w:val="000000"/>
                <w:lang w:val="en-GB"/>
              </w:rPr>
              <w:t>Million)</w:t>
            </w:r>
            <w:r w:rsidR="006B6676">
              <w:rPr>
                <w:rFonts w:ascii="Arial" w:hAnsi="Arial" w:cs="Arial"/>
                <w:b/>
                <w:bCs/>
                <w:color w:val="000000"/>
                <w:lang w:val="en-GB"/>
              </w:rPr>
              <w:t xml:space="preserve"> </w:t>
            </w:r>
          </w:p>
        </w:tc>
        <w:tc>
          <w:tcPr>
            <w:tcW w:w="2525" w:type="dxa"/>
            <w:noWrap/>
            <w:hideMark/>
          </w:tcPr>
          <w:p w14:paraId="346CF8AD" w14:textId="767FB2CE" w:rsidR="00B607FC" w:rsidRPr="00F26A3E" w:rsidRDefault="00B607FC" w:rsidP="005774D6">
            <w:pPr>
              <w:jc w:val="center"/>
              <w:rPr>
                <w:rFonts w:ascii="Arial" w:hAnsi="Arial" w:cs="Arial"/>
                <w:b/>
                <w:bCs/>
                <w:color w:val="000000"/>
                <w:lang w:val="en-GB"/>
              </w:rPr>
            </w:pPr>
            <w:r w:rsidRPr="00F26A3E">
              <w:rPr>
                <w:rFonts w:ascii="Arial" w:hAnsi="Arial" w:cs="Arial"/>
                <w:b/>
                <w:bCs/>
                <w:color w:val="000000"/>
                <w:lang w:val="en-GB"/>
              </w:rPr>
              <w:t>Advertis</w:t>
            </w:r>
            <w:r w:rsidR="005774D6">
              <w:rPr>
                <w:rFonts w:ascii="Arial" w:hAnsi="Arial" w:cs="Arial"/>
                <w:b/>
                <w:bCs/>
                <w:color w:val="000000"/>
                <w:lang w:val="en-GB"/>
              </w:rPr>
              <w:t>ing</w:t>
            </w:r>
            <w:r w:rsidR="006B6676">
              <w:rPr>
                <w:rFonts w:ascii="Arial" w:hAnsi="Arial" w:cs="Arial"/>
                <w:b/>
                <w:bCs/>
                <w:color w:val="000000"/>
                <w:lang w:val="en-GB"/>
              </w:rPr>
              <w:t xml:space="preserve"> </w:t>
            </w:r>
            <w:r w:rsidR="005774D6">
              <w:rPr>
                <w:rFonts w:ascii="Arial" w:hAnsi="Arial" w:cs="Arial"/>
                <w:b/>
                <w:bCs/>
                <w:color w:val="000000"/>
                <w:lang w:val="en-GB"/>
              </w:rPr>
              <w:t>Expense</w:t>
            </w:r>
            <w:r w:rsidR="006B6676">
              <w:rPr>
                <w:rFonts w:ascii="Arial" w:hAnsi="Arial" w:cs="Arial"/>
                <w:b/>
                <w:bCs/>
                <w:color w:val="000000"/>
                <w:lang w:val="en-GB"/>
              </w:rPr>
              <w:t xml:space="preserve"> </w:t>
            </w:r>
            <w:r w:rsidRPr="00F26A3E">
              <w:rPr>
                <w:rFonts w:ascii="Arial" w:hAnsi="Arial" w:cs="Arial"/>
                <w:b/>
                <w:bCs/>
                <w:color w:val="000000"/>
                <w:lang w:val="en-GB"/>
              </w:rPr>
              <w:t>as</w:t>
            </w:r>
            <w:r w:rsidR="006B6676">
              <w:rPr>
                <w:rFonts w:ascii="Arial" w:hAnsi="Arial" w:cs="Arial"/>
                <w:b/>
                <w:bCs/>
                <w:color w:val="000000"/>
                <w:lang w:val="en-GB"/>
              </w:rPr>
              <w:t xml:space="preserve"> </w:t>
            </w:r>
            <w:r w:rsidR="005774D6">
              <w:rPr>
                <w:rFonts w:ascii="Arial" w:hAnsi="Arial" w:cs="Arial"/>
                <w:b/>
                <w:bCs/>
                <w:color w:val="000000"/>
                <w:lang w:val="en-GB"/>
              </w:rPr>
              <w:t>Percentage</w:t>
            </w:r>
            <w:r w:rsidR="006B6676">
              <w:rPr>
                <w:rFonts w:ascii="Arial" w:hAnsi="Arial" w:cs="Arial"/>
                <w:b/>
                <w:bCs/>
                <w:color w:val="000000"/>
                <w:lang w:val="en-GB"/>
              </w:rPr>
              <w:t xml:space="preserve"> </w:t>
            </w:r>
            <w:r w:rsidRPr="00F26A3E">
              <w:rPr>
                <w:rFonts w:ascii="Arial" w:hAnsi="Arial" w:cs="Arial"/>
                <w:b/>
                <w:bCs/>
                <w:color w:val="000000"/>
                <w:lang w:val="en-GB"/>
              </w:rPr>
              <w:t>of</w:t>
            </w:r>
            <w:r w:rsidR="006B6676">
              <w:rPr>
                <w:rFonts w:ascii="Arial" w:hAnsi="Arial" w:cs="Arial"/>
                <w:b/>
                <w:bCs/>
                <w:color w:val="000000"/>
                <w:lang w:val="en-GB"/>
              </w:rPr>
              <w:t xml:space="preserve"> </w:t>
            </w:r>
            <w:r w:rsidRPr="00F26A3E">
              <w:rPr>
                <w:rFonts w:ascii="Arial" w:hAnsi="Arial" w:cs="Arial"/>
                <w:b/>
                <w:bCs/>
                <w:color w:val="000000"/>
                <w:lang w:val="en-GB"/>
              </w:rPr>
              <w:t>Revenue</w:t>
            </w:r>
          </w:p>
        </w:tc>
      </w:tr>
      <w:tr w:rsidR="00B607FC" w:rsidRPr="00F26A3E" w14:paraId="0BA523BE" w14:textId="77777777" w:rsidTr="00995787">
        <w:trPr>
          <w:trHeight w:val="70"/>
          <w:tblHeader/>
          <w:jc w:val="center"/>
        </w:trPr>
        <w:tc>
          <w:tcPr>
            <w:tcW w:w="2610" w:type="dxa"/>
            <w:noWrap/>
            <w:hideMark/>
          </w:tcPr>
          <w:p w14:paraId="59E10A4E" w14:textId="0E950EB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2008</w:t>
            </w:r>
            <w:r w:rsidR="006B6676">
              <w:rPr>
                <w:rFonts w:ascii="Arial" w:hAnsi="Arial" w:cs="Arial"/>
                <w:color w:val="000000"/>
                <w:lang w:val="en-GB"/>
              </w:rPr>
              <w:t xml:space="preserve"> </w:t>
            </w:r>
            <w:r w:rsidRPr="00F26A3E">
              <w:rPr>
                <w:rFonts w:ascii="Arial" w:hAnsi="Arial" w:cs="Arial"/>
                <w:color w:val="000000"/>
                <w:lang w:val="en-GB"/>
              </w:rPr>
              <w:t>(</w:t>
            </w:r>
            <w:r w:rsidR="005774D6">
              <w:rPr>
                <w:rFonts w:ascii="Arial" w:hAnsi="Arial" w:cs="Arial"/>
                <w:color w:val="000000"/>
                <w:lang w:val="en-GB"/>
              </w:rPr>
              <w:t>Nine</w:t>
            </w:r>
            <w:r w:rsidR="006B6676">
              <w:rPr>
                <w:rFonts w:ascii="Arial" w:hAnsi="Arial" w:cs="Arial"/>
                <w:color w:val="000000"/>
                <w:lang w:val="en-GB"/>
              </w:rPr>
              <w:t xml:space="preserve"> </w:t>
            </w:r>
            <w:r w:rsidRPr="00F26A3E">
              <w:rPr>
                <w:rFonts w:ascii="Arial" w:hAnsi="Arial" w:cs="Arial"/>
                <w:color w:val="000000"/>
                <w:lang w:val="en-GB"/>
              </w:rPr>
              <w:t>M</w:t>
            </w:r>
            <w:r w:rsidR="005774D6">
              <w:rPr>
                <w:rFonts w:ascii="Arial" w:hAnsi="Arial" w:cs="Arial"/>
                <w:color w:val="000000"/>
                <w:lang w:val="en-GB"/>
              </w:rPr>
              <w:t>onths</w:t>
            </w:r>
            <w:r w:rsidRPr="00F26A3E">
              <w:rPr>
                <w:rFonts w:ascii="Arial" w:hAnsi="Arial" w:cs="Arial"/>
                <w:color w:val="000000"/>
                <w:lang w:val="en-GB"/>
              </w:rPr>
              <w:t>)</w:t>
            </w:r>
          </w:p>
        </w:tc>
        <w:tc>
          <w:tcPr>
            <w:tcW w:w="1435" w:type="dxa"/>
            <w:noWrap/>
            <w:hideMark/>
          </w:tcPr>
          <w:p w14:paraId="29552FE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45.7</w:t>
            </w:r>
          </w:p>
        </w:tc>
        <w:tc>
          <w:tcPr>
            <w:tcW w:w="2525" w:type="dxa"/>
            <w:noWrap/>
            <w:hideMark/>
          </w:tcPr>
          <w:p w14:paraId="441C458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0.59</w:t>
            </w:r>
          </w:p>
        </w:tc>
      </w:tr>
      <w:tr w:rsidR="00B607FC" w:rsidRPr="00F26A3E" w14:paraId="4277705D" w14:textId="77777777" w:rsidTr="00995787">
        <w:trPr>
          <w:trHeight w:val="70"/>
          <w:tblHeader/>
          <w:jc w:val="center"/>
        </w:trPr>
        <w:tc>
          <w:tcPr>
            <w:tcW w:w="2610" w:type="dxa"/>
            <w:noWrap/>
            <w:hideMark/>
          </w:tcPr>
          <w:p w14:paraId="5958EA9E" w14:textId="7069129B"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2009</w:t>
            </w:r>
          </w:p>
        </w:tc>
        <w:tc>
          <w:tcPr>
            <w:tcW w:w="1435" w:type="dxa"/>
            <w:noWrap/>
            <w:hideMark/>
          </w:tcPr>
          <w:p w14:paraId="432D8AE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36.3</w:t>
            </w:r>
          </w:p>
        </w:tc>
        <w:tc>
          <w:tcPr>
            <w:tcW w:w="2525" w:type="dxa"/>
            <w:noWrap/>
            <w:hideMark/>
          </w:tcPr>
          <w:p w14:paraId="4535F7F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0.89</w:t>
            </w:r>
          </w:p>
        </w:tc>
      </w:tr>
      <w:tr w:rsidR="00B607FC" w:rsidRPr="00F26A3E" w14:paraId="37436279" w14:textId="77777777" w:rsidTr="00995787">
        <w:trPr>
          <w:trHeight w:val="70"/>
          <w:tblHeader/>
          <w:jc w:val="center"/>
        </w:trPr>
        <w:tc>
          <w:tcPr>
            <w:tcW w:w="2610" w:type="dxa"/>
            <w:noWrap/>
            <w:hideMark/>
          </w:tcPr>
          <w:p w14:paraId="7B1E7640" w14:textId="16EBB29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2010</w:t>
            </w:r>
          </w:p>
        </w:tc>
        <w:tc>
          <w:tcPr>
            <w:tcW w:w="1435" w:type="dxa"/>
            <w:noWrap/>
            <w:hideMark/>
          </w:tcPr>
          <w:p w14:paraId="5AAB669D"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53</w:t>
            </w:r>
            <w:r w:rsidR="00A356D5">
              <w:rPr>
                <w:rFonts w:ascii="Arial" w:hAnsi="Arial" w:cs="Arial"/>
                <w:color w:val="000000"/>
                <w:lang w:val="en-GB"/>
              </w:rPr>
              <w:t>.0</w:t>
            </w:r>
          </w:p>
        </w:tc>
        <w:tc>
          <w:tcPr>
            <w:tcW w:w="2525" w:type="dxa"/>
            <w:noWrap/>
            <w:hideMark/>
          </w:tcPr>
          <w:p w14:paraId="7C8C8E7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1.09</w:t>
            </w:r>
          </w:p>
        </w:tc>
      </w:tr>
      <w:tr w:rsidR="00B607FC" w:rsidRPr="00F26A3E" w14:paraId="619D64E5" w14:textId="77777777" w:rsidTr="00995787">
        <w:trPr>
          <w:trHeight w:val="70"/>
          <w:tblHeader/>
          <w:jc w:val="center"/>
        </w:trPr>
        <w:tc>
          <w:tcPr>
            <w:tcW w:w="2610" w:type="dxa"/>
            <w:noWrap/>
            <w:hideMark/>
          </w:tcPr>
          <w:p w14:paraId="2F25889C" w14:textId="04BA763C"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2011</w:t>
            </w:r>
          </w:p>
        </w:tc>
        <w:tc>
          <w:tcPr>
            <w:tcW w:w="1435" w:type="dxa"/>
            <w:noWrap/>
            <w:hideMark/>
          </w:tcPr>
          <w:p w14:paraId="4DF69B8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48.8</w:t>
            </w:r>
          </w:p>
        </w:tc>
        <w:tc>
          <w:tcPr>
            <w:tcW w:w="2525" w:type="dxa"/>
            <w:noWrap/>
            <w:hideMark/>
          </w:tcPr>
          <w:p w14:paraId="08B9F94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0.66</w:t>
            </w:r>
          </w:p>
        </w:tc>
      </w:tr>
      <w:tr w:rsidR="00B607FC" w:rsidRPr="00F26A3E" w14:paraId="487E487D" w14:textId="77777777" w:rsidTr="00995787">
        <w:trPr>
          <w:trHeight w:val="70"/>
          <w:tblHeader/>
          <w:jc w:val="center"/>
        </w:trPr>
        <w:tc>
          <w:tcPr>
            <w:tcW w:w="2610" w:type="dxa"/>
            <w:noWrap/>
            <w:hideMark/>
          </w:tcPr>
          <w:p w14:paraId="6E349D4D" w14:textId="15FC687F"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2012</w:t>
            </w:r>
          </w:p>
        </w:tc>
        <w:tc>
          <w:tcPr>
            <w:tcW w:w="1435" w:type="dxa"/>
            <w:noWrap/>
            <w:hideMark/>
          </w:tcPr>
          <w:p w14:paraId="7383735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72.3</w:t>
            </w:r>
          </w:p>
        </w:tc>
        <w:tc>
          <w:tcPr>
            <w:tcW w:w="2525" w:type="dxa"/>
            <w:noWrap/>
            <w:hideMark/>
          </w:tcPr>
          <w:p w14:paraId="14EC4E2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0.61</w:t>
            </w:r>
          </w:p>
        </w:tc>
      </w:tr>
      <w:tr w:rsidR="00B607FC" w:rsidRPr="00F26A3E" w14:paraId="6F9C532D" w14:textId="77777777" w:rsidTr="00995787">
        <w:trPr>
          <w:trHeight w:val="70"/>
          <w:tblHeader/>
          <w:jc w:val="center"/>
        </w:trPr>
        <w:tc>
          <w:tcPr>
            <w:tcW w:w="2610" w:type="dxa"/>
            <w:noWrap/>
            <w:hideMark/>
          </w:tcPr>
          <w:p w14:paraId="2FAFD0F5" w14:textId="6384CE7B"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2013</w:t>
            </w:r>
          </w:p>
        </w:tc>
        <w:tc>
          <w:tcPr>
            <w:tcW w:w="1435" w:type="dxa"/>
            <w:noWrap/>
            <w:hideMark/>
          </w:tcPr>
          <w:p w14:paraId="06F00FE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67.1</w:t>
            </w:r>
          </w:p>
        </w:tc>
        <w:tc>
          <w:tcPr>
            <w:tcW w:w="2525" w:type="dxa"/>
            <w:noWrap/>
            <w:hideMark/>
          </w:tcPr>
          <w:p w14:paraId="429F2D5E"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0.35</w:t>
            </w:r>
          </w:p>
        </w:tc>
      </w:tr>
      <w:tr w:rsidR="00B607FC" w:rsidRPr="00F26A3E" w14:paraId="5868EE36" w14:textId="77777777" w:rsidTr="00995787">
        <w:trPr>
          <w:trHeight w:val="70"/>
          <w:tblHeader/>
          <w:jc w:val="center"/>
        </w:trPr>
        <w:tc>
          <w:tcPr>
            <w:tcW w:w="2610" w:type="dxa"/>
            <w:noWrap/>
            <w:hideMark/>
          </w:tcPr>
          <w:p w14:paraId="5B2FD1FE" w14:textId="7E9F90D6"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CY</w:t>
            </w:r>
            <w:r w:rsidR="006B6676">
              <w:rPr>
                <w:rFonts w:ascii="Arial" w:hAnsi="Arial" w:cs="Arial"/>
                <w:color w:val="000000"/>
                <w:lang w:val="en-GB"/>
              </w:rPr>
              <w:t xml:space="preserve"> </w:t>
            </w:r>
            <w:r w:rsidRPr="00F26A3E">
              <w:rPr>
                <w:rFonts w:ascii="Arial" w:hAnsi="Arial" w:cs="Arial"/>
                <w:color w:val="000000"/>
                <w:lang w:val="en-GB"/>
              </w:rPr>
              <w:t>2014</w:t>
            </w:r>
          </w:p>
        </w:tc>
        <w:tc>
          <w:tcPr>
            <w:tcW w:w="1435" w:type="dxa"/>
            <w:noWrap/>
            <w:hideMark/>
          </w:tcPr>
          <w:p w14:paraId="5497E5CC"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55.3</w:t>
            </w:r>
          </w:p>
        </w:tc>
        <w:tc>
          <w:tcPr>
            <w:tcW w:w="2525" w:type="dxa"/>
            <w:noWrap/>
            <w:hideMark/>
          </w:tcPr>
          <w:p w14:paraId="6257ABD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0.17</w:t>
            </w:r>
          </w:p>
        </w:tc>
      </w:tr>
      <w:tr w:rsidR="00B607FC" w:rsidRPr="00F26A3E" w14:paraId="6762B859" w14:textId="77777777" w:rsidTr="00995787">
        <w:trPr>
          <w:trHeight w:val="70"/>
          <w:tblHeader/>
          <w:jc w:val="center"/>
        </w:trPr>
        <w:tc>
          <w:tcPr>
            <w:tcW w:w="2610" w:type="dxa"/>
            <w:noWrap/>
            <w:hideMark/>
          </w:tcPr>
          <w:p w14:paraId="4C877EE9" w14:textId="22ADD9A4"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2015</w:t>
            </w:r>
            <w:r w:rsidR="005774D6">
              <w:rPr>
                <w:rFonts w:ascii="Arial" w:hAnsi="Arial" w:cs="Arial"/>
                <w:color w:val="000000"/>
                <w:lang w:val="en-GB"/>
              </w:rPr>
              <w:t>–</w:t>
            </w:r>
            <w:r w:rsidRPr="00F26A3E">
              <w:rPr>
                <w:rFonts w:ascii="Arial" w:hAnsi="Arial" w:cs="Arial"/>
                <w:color w:val="000000"/>
                <w:lang w:val="en-GB"/>
              </w:rPr>
              <w:t>16</w:t>
            </w:r>
            <w:r w:rsidR="006B6676">
              <w:rPr>
                <w:rFonts w:ascii="Arial" w:hAnsi="Arial" w:cs="Arial"/>
                <w:color w:val="000000"/>
                <w:lang w:val="en-GB"/>
              </w:rPr>
              <w:t xml:space="preserve"> </w:t>
            </w:r>
            <w:r w:rsidRPr="00F26A3E">
              <w:rPr>
                <w:rFonts w:ascii="Arial" w:hAnsi="Arial" w:cs="Arial"/>
                <w:color w:val="000000"/>
                <w:lang w:val="en-GB"/>
              </w:rPr>
              <w:t>(15</w:t>
            </w:r>
            <w:r w:rsidR="006B6676">
              <w:rPr>
                <w:rFonts w:ascii="Arial" w:hAnsi="Arial" w:cs="Arial"/>
                <w:color w:val="000000"/>
                <w:lang w:val="en-GB"/>
              </w:rPr>
              <w:t xml:space="preserve"> </w:t>
            </w:r>
            <w:r w:rsidRPr="00F26A3E">
              <w:rPr>
                <w:rFonts w:ascii="Arial" w:hAnsi="Arial" w:cs="Arial"/>
                <w:color w:val="000000"/>
                <w:lang w:val="en-GB"/>
              </w:rPr>
              <w:t>M</w:t>
            </w:r>
            <w:r w:rsidR="005774D6">
              <w:rPr>
                <w:rFonts w:ascii="Arial" w:hAnsi="Arial" w:cs="Arial"/>
                <w:color w:val="000000"/>
                <w:lang w:val="en-GB"/>
              </w:rPr>
              <w:t>onths</w:t>
            </w:r>
            <w:r w:rsidRPr="00F26A3E">
              <w:rPr>
                <w:rFonts w:ascii="Arial" w:hAnsi="Arial" w:cs="Arial"/>
                <w:color w:val="000000"/>
                <w:lang w:val="en-GB"/>
              </w:rPr>
              <w:t>)</w:t>
            </w:r>
            <w:r w:rsidR="006B6676">
              <w:rPr>
                <w:rFonts w:ascii="Arial" w:hAnsi="Arial" w:cs="Arial"/>
                <w:color w:val="000000"/>
                <w:lang w:val="en-GB"/>
              </w:rPr>
              <w:t xml:space="preserve">  </w:t>
            </w:r>
          </w:p>
        </w:tc>
        <w:tc>
          <w:tcPr>
            <w:tcW w:w="1435" w:type="dxa"/>
            <w:noWrap/>
            <w:hideMark/>
          </w:tcPr>
          <w:p w14:paraId="051C7CB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340.9</w:t>
            </w:r>
          </w:p>
        </w:tc>
        <w:tc>
          <w:tcPr>
            <w:tcW w:w="2525" w:type="dxa"/>
            <w:noWrap/>
            <w:hideMark/>
          </w:tcPr>
          <w:p w14:paraId="30E8A084"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0.49</w:t>
            </w:r>
          </w:p>
        </w:tc>
      </w:tr>
      <w:tr w:rsidR="00B607FC" w:rsidRPr="00F26A3E" w14:paraId="27A331F0" w14:textId="77777777" w:rsidTr="00995787">
        <w:trPr>
          <w:trHeight w:val="70"/>
          <w:tblHeader/>
          <w:jc w:val="center"/>
        </w:trPr>
        <w:tc>
          <w:tcPr>
            <w:tcW w:w="2610" w:type="dxa"/>
            <w:noWrap/>
            <w:hideMark/>
          </w:tcPr>
          <w:p w14:paraId="51472AB6" w14:textId="7C0E88CA"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2016</w:t>
            </w:r>
            <w:r w:rsidR="005774D6">
              <w:rPr>
                <w:rFonts w:ascii="Arial" w:hAnsi="Arial" w:cs="Arial"/>
                <w:color w:val="000000"/>
                <w:lang w:val="en-GB"/>
              </w:rPr>
              <w:t>–</w:t>
            </w:r>
            <w:r w:rsidRPr="00F26A3E">
              <w:rPr>
                <w:rFonts w:ascii="Arial" w:hAnsi="Arial" w:cs="Arial"/>
                <w:color w:val="000000"/>
                <w:lang w:val="en-GB"/>
              </w:rPr>
              <w:t>17</w:t>
            </w:r>
          </w:p>
        </w:tc>
        <w:tc>
          <w:tcPr>
            <w:tcW w:w="1435" w:type="dxa"/>
            <w:noWrap/>
            <w:hideMark/>
          </w:tcPr>
          <w:p w14:paraId="323E760A"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176.4</w:t>
            </w:r>
          </w:p>
        </w:tc>
        <w:tc>
          <w:tcPr>
            <w:tcW w:w="2525" w:type="dxa"/>
            <w:noWrap/>
            <w:hideMark/>
          </w:tcPr>
          <w:p w14:paraId="21432305"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0.22</w:t>
            </w:r>
          </w:p>
        </w:tc>
      </w:tr>
      <w:tr w:rsidR="00B607FC" w:rsidRPr="00F26A3E" w14:paraId="3D83D291" w14:textId="77777777" w:rsidTr="00995787">
        <w:trPr>
          <w:trHeight w:val="70"/>
          <w:tblHeader/>
          <w:jc w:val="center"/>
        </w:trPr>
        <w:tc>
          <w:tcPr>
            <w:tcW w:w="2610" w:type="dxa"/>
            <w:noWrap/>
            <w:hideMark/>
          </w:tcPr>
          <w:p w14:paraId="3ABF83BA" w14:textId="7C63A4C6"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2017</w:t>
            </w:r>
            <w:r w:rsidR="005774D6">
              <w:rPr>
                <w:rFonts w:ascii="Arial" w:hAnsi="Arial" w:cs="Arial"/>
                <w:color w:val="000000"/>
                <w:lang w:val="en-GB"/>
              </w:rPr>
              <w:t>–</w:t>
            </w:r>
            <w:r w:rsidRPr="00F26A3E">
              <w:rPr>
                <w:rFonts w:ascii="Arial" w:hAnsi="Arial" w:cs="Arial"/>
                <w:color w:val="000000"/>
                <w:lang w:val="en-GB"/>
              </w:rPr>
              <w:t>18</w:t>
            </w:r>
          </w:p>
        </w:tc>
        <w:tc>
          <w:tcPr>
            <w:tcW w:w="1435" w:type="dxa"/>
            <w:noWrap/>
            <w:hideMark/>
          </w:tcPr>
          <w:p w14:paraId="602D519B"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118.4</w:t>
            </w:r>
          </w:p>
        </w:tc>
        <w:tc>
          <w:tcPr>
            <w:tcW w:w="2525" w:type="dxa"/>
            <w:noWrap/>
            <w:hideMark/>
          </w:tcPr>
          <w:p w14:paraId="45A09BBF"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0.13</w:t>
            </w:r>
          </w:p>
        </w:tc>
      </w:tr>
      <w:tr w:rsidR="00B607FC" w:rsidRPr="00F26A3E" w14:paraId="056E34FA" w14:textId="77777777" w:rsidTr="00995787">
        <w:trPr>
          <w:trHeight w:val="70"/>
          <w:tblHeader/>
          <w:jc w:val="center"/>
        </w:trPr>
        <w:tc>
          <w:tcPr>
            <w:tcW w:w="2610" w:type="dxa"/>
            <w:noWrap/>
            <w:hideMark/>
          </w:tcPr>
          <w:p w14:paraId="0531D8E6" w14:textId="62706C71"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FY</w:t>
            </w:r>
            <w:r w:rsidR="006B6676">
              <w:rPr>
                <w:rFonts w:ascii="Arial" w:hAnsi="Arial" w:cs="Arial"/>
                <w:color w:val="000000"/>
                <w:lang w:val="en-GB"/>
              </w:rPr>
              <w:t xml:space="preserve"> </w:t>
            </w:r>
            <w:r w:rsidRPr="00F26A3E">
              <w:rPr>
                <w:rFonts w:ascii="Arial" w:hAnsi="Arial" w:cs="Arial"/>
                <w:color w:val="000000"/>
                <w:lang w:val="en-GB"/>
              </w:rPr>
              <w:t>2018</w:t>
            </w:r>
            <w:r w:rsidR="005774D6">
              <w:rPr>
                <w:rFonts w:ascii="Arial" w:hAnsi="Arial" w:cs="Arial"/>
                <w:color w:val="000000"/>
                <w:lang w:val="en-GB"/>
              </w:rPr>
              <w:t>–</w:t>
            </w:r>
            <w:r w:rsidRPr="00F26A3E">
              <w:rPr>
                <w:rFonts w:ascii="Arial" w:hAnsi="Arial" w:cs="Arial"/>
                <w:color w:val="000000"/>
                <w:lang w:val="en-GB"/>
              </w:rPr>
              <w:t>19</w:t>
            </w:r>
          </w:p>
        </w:tc>
        <w:tc>
          <w:tcPr>
            <w:tcW w:w="1435" w:type="dxa"/>
            <w:noWrap/>
            <w:hideMark/>
          </w:tcPr>
          <w:p w14:paraId="645AA953"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261.1</w:t>
            </w:r>
          </w:p>
        </w:tc>
        <w:tc>
          <w:tcPr>
            <w:tcW w:w="2525" w:type="dxa"/>
            <w:noWrap/>
            <w:hideMark/>
          </w:tcPr>
          <w:p w14:paraId="051EB0B8" w14:textId="77777777" w:rsidR="00B607FC" w:rsidRPr="00F26A3E" w:rsidRDefault="00B607FC" w:rsidP="00B607FC">
            <w:pPr>
              <w:jc w:val="center"/>
              <w:rPr>
                <w:rFonts w:ascii="Arial" w:hAnsi="Arial" w:cs="Arial"/>
                <w:color w:val="000000"/>
                <w:lang w:val="en-GB"/>
              </w:rPr>
            </w:pPr>
            <w:r w:rsidRPr="00F26A3E">
              <w:rPr>
                <w:rFonts w:ascii="Arial" w:hAnsi="Arial" w:cs="Arial"/>
                <w:color w:val="000000"/>
                <w:lang w:val="en-GB"/>
              </w:rPr>
              <w:t>0.27</w:t>
            </w:r>
          </w:p>
        </w:tc>
      </w:tr>
    </w:tbl>
    <w:p w14:paraId="6FF2FBC9" w14:textId="77777777" w:rsidR="00B607FC" w:rsidRPr="00F26A3E" w:rsidRDefault="00B607FC" w:rsidP="00B607FC">
      <w:pPr>
        <w:jc w:val="both"/>
        <w:rPr>
          <w:rFonts w:cs="Arial"/>
          <w:b/>
          <w:caps/>
          <w:sz w:val="18"/>
          <w:szCs w:val="18"/>
          <w:lang w:val="en-GB"/>
        </w:rPr>
      </w:pPr>
    </w:p>
    <w:p w14:paraId="57B24B39" w14:textId="70C43DDD" w:rsidR="00545DD9" w:rsidRDefault="00545DD9" w:rsidP="00545DD9">
      <w:pPr>
        <w:jc w:val="both"/>
        <w:rPr>
          <w:rFonts w:ascii="Arial" w:hAnsi="Arial" w:cs="Arial"/>
          <w:sz w:val="17"/>
          <w:szCs w:val="17"/>
          <w:lang w:val="en-GB"/>
        </w:rPr>
      </w:pPr>
      <w:r>
        <w:rPr>
          <w:rFonts w:ascii="Arial" w:hAnsi="Arial" w:cs="Arial"/>
          <w:sz w:val="17"/>
          <w:szCs w:val="17"/>
          <w:lang w:val="en-GB"/>
        </w:rPr>
        <w:t>Note:</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INR</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Indian</w:t>
      </w:r>
      <w:r w:rsidR="006B6676">
        <w:rPr>
          <w:rFonts w:ascii="Arial" w:hAnsi="Arial" w:cs="Arial"/>
          <w:sz w:val="17"/>
          <w:szCs w:val="17"/>
          <w:lang w:val="en-GB"/>
        </w:rPr>
        <w:t xml:space="preserve"> </w:t>
      </w:r>
      <w:r>
        <w:rPr>
          <w:rFonts w:ascii="Arial" w:hAnsi="Arial" w:cs="Arial"/>
          <w:sz w:val="17"/>
          <w:szCs w:val="17"/>
          <w:lang w:val="en-GB"/>
        </w:rPr>
        <w:t>rupee;</w:t>
      </w:r>
      <w:r w:rsidR="006B6676">
        <w:rPr>
          <w:rFonts w:ascii="Arial" w:hAnsi="Arial" w:cs="Arial"/>
          <w:sz w:val="17"/>
          <w:szCs w:val="17"/>
          <w:lang w:val="en-GB"/>
        </w:rPr>
        <w:t xml:space="preserve"> </w:t>
      </w:r>
      <w:r w:rsidRPr="00F26A3E">
        <w:rPr>
          <w:rFonts w:ascii="Arial" w:hAnsi="Arial" w:cs="Arial"/>
          <w:sz w:val="17"/>
          <w:szCs w:val="17"/>
          <w:lang w:val="en-GB"/>
        </w:rPr>
        <w:t>CY</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c</w:t>
      </w:r>
      <w:r w:rsidRPr="00F26A3E">
        <w:rPr>
          <w:rFonts w:ascii="Arial" w:hAnsi="Arial" w:cs="Arial"/>
          <w:sz w:val="17"/>
          <w:szCs w:val="17"/>
          <w:lang w:val="en-GB"/>
        </w:rPr>
        <w:t>alendar</w:t>
      </w:r>
      <w:r w:rsidR="006B6676">
        <w:rPr>
          <w:rFonts w:ascii="Arial" w:hAnsi="Arial" w:cs="Arial"/>
          <w:sz w:val="17"/>
          <w:szCs w:val="17"/>
          <w:lang w:val="en-GB"/>
        </w:rPr>
        <w:t xml:space="preserve"> </w:t>
      </w:r>
      <w:r>
        <w:rPr>
          <w:rFonts w:ascii="Arial" w:hAnsi="Arial" w:cs="Arial"/>
          <w:sz w:val="17"/>
          <w:szCs w:val="17"/>
          <w:lang w:val="en-GB"/>
        </w:rPr>
        <w:t>y</w:t>
      </w:r>
      <w:r w:rsidRPr="00F26A3E">
        <w:rPr>
          <w:rFonts w:ascii="Arial" w:hAnsi="Arial" w:cs="Arial"/>
          <w:sz w:val="17"/>
          <w:szCs w:val="17"/>
          <w:lang w:val="en-GB"/>
        </w:rPr>
        <w:t>ear</w:t>
      </w:r>
      <w:r>
        <w:rPr>
          <w:rFonts w:ascii="Arial" w:hAnsi="Arial" w:cs="Arial"/>
          <w:sz w:val="17"/>
          <w:szCs w:val="17"/>
          <w:lang w:val="en-GB"/>
        </w:rPr>
        <w:t>;</w:t>
      </w:r>
      <w:r w:rsidR="006B6676">
        <w:rPr>
          <w:rFonts w:ascii="Arial" w:hAnsi="Arial" w:cs="Arial"/>
          <w:sz w:val="17"/>
          <w:szCs w:val="17"/>
          <w:lang w:val="en-GB"/>
        </w:rPr>
        <w:t xml:space="preserve"> </w:t>
      </w:r>
      <w:r w:rsidRPr="00F26A3E">
        <w:rPr>
          <w:rFonts w:ascii="Arial" w:hAnsi="Arial" w:cs="Arial"/>
          <w:sz w:val="17"/>
          <w:szCs w:val="17"/>
          <w:lang w:val="en-GB"/>
        </w:rPr>
        <w:t>FY</w:t>
      </w:r>
      <w:r w:rsidR="006B6676">
        <w:rPr>
          <w:rFonts w:ascii="Arial" w:hAnsi="Arial" w:cs="Arial"/>
          <w:sz w:val="17"/>
          <w:szCs w:val="17"/>
          <w:lang w:val="en-GB"/>
        </w:rPr>
        <w:t xml:space="preserve"> </w:t>
      </w:r>
      <w:r>
        <w:rPr>
          <w:rFonts w:ascii="Arial" w:hAnsi="Arial" w:cs="Arial"/>
          <w:sz w:val="17"/>
          <w:szCs w:val="17"/>
          <w:lang w:val="en-GB"/>
        </w:rPr>
        <w:t>=f</w:t>
      </w:r>
      <w:r w:rsidRPr="00F26A3E">
        <w:rPr>
          <w:rFonts w:ascii="Arial" w:hAnsi="Arial" w:cs="Arial"/>
          <w:sz w:val="17"/>
          <w:szCs w:val="17"/>
          <w:lang w:val="en-GB"/>
        </w:rPr>
        <w:t>inancial</w:t>
      </w:r>
      <w:r w:rsidR="006B6676">
        <w:rPr>
          <w:rFonts w:ascii="Arial" w:hAnsi="Arial" w:cs="Arial"/>
          <w:sz w:val="17"/>
          <w:szCs w:val="17"/>
          <w:lang w:val="en-GB"/>
        </w:rPr>
        <w:t xml:space="preserve"> </w:t>
      </w:r>
      <w:r>
        <w:rPr>
          <w:rFonts w:ascii="Arial" w:hAnsi="Arial" w:cs="Arial"/>
          <w:sz w:val="17"/>
          <w:szCs w:val="17"/>
          <w:lang w:val="en-GB"/>
        </w:rPr>
        <w:t>y</w:t>
      </w:r>
      <w:r w:rsidRPr="00F26A3E">
        <w:rPr>
          <w:rFonts w:ascii="Arial" w:hAnsi="Arial" w:cs="Arial"/>
          <w:sz w:val="17"/>
          <w:szCs w:val="17"/>
          <w:lang w:val="en-GB"/>
        </w:rPr>
        <w:t>ear</w:t>
      </w:r>
      <w:r w:rsidR="00C52073">
        <w:rPr>
          <w:rFonts w:ascii="Arial" w:hAnsi="Arial" w:cs="Arial"/>
          <w:sz w:val="17"/>
          <w:szCs w:val="17"/>
          <w:lang w:val="en-GB"/>
        </w:rPr>
        <w:t>.</w:t>
      </w:r>
    </w:p>
    <w:p w14:paraId="6DFCB7A0" w14:textId="31B1E920" w:rsidR="00B607FC" w:rsidRPr="00F26A3E" w:rsidRDefault="00B607FC" w:rsidP="00B607FC">
      <w:pPr>
        <w:jc w:val="both"/>
        <w:rPr>
          <w:rFonts w:ascii="Arial" w:hAnsi="Arial" w:cs="Arial"/>
          <w:sz w:val="17"/>
          <w:szCs w:val="17"/>
          <w:lang w:val="en-GB"/>
        </w:rPr>
      </w:pPr>
      <w:r w:rsidRPr="00F26A3E">
        <w:rPr>
          <w:rFonts w:ascii="Arial" w:hAnsi="Arial" w:cs="Arial"/>
          <w:sz w:val="17"/>
          <w:szCs w:val="17"/>
          <w:lang w:val="en-GB"/>
        </w:rPr>
        <w:t>Source:</w:t>
      </w:r>
      <w:r w:rsidR="006B6676">
        <w:rPr>
          <w:rFonts w:ascii="Arial" w:hAnsi="Arial" w:cs="Arial"/>
          <w:sz w:val="17"/>
          <w:szCs w:val="17"/>
          <w:lang w:val="en-GB"/>
        </w:rPr>
        <w:t xml:space="preserve"> </w:t>
      </w:r>
      <w:r w:rsidRPr="00F26A3E">
        <w:rPr>
          <w:rFonts w:ascii="Arial" w:hAnsi="Arial" w:cs="Arial"/>
          <w:sz w:val="17"/>
          <w:szCs w:val="17"/>
          <w:lang w:val="en-GB"/>
        </w:rPr>
        <w:t>Compiled</w:t>
      </w:r>
      <w:r w:rsidR="006B6676">
        <w:rPr>
          <w:rFonts w:ascii="Arial" w:hAnsi="Arial" w:cs="Arial"/>
          <w:sz w:val="17"/>
          <w:szCs w:val="17"/>
          <w:lang w:val="en-GB"/>
        </w:rPr>
        <w:t xml:space="preserve"> </w:t>
      </w:r>
      <w:r w:rsidRPr="00F26A3E">
        <w:rPr>
          <w:rFonts w:ascii="Arial" w:hAnsi="Arial" w:cs="Arial"/>
          <w:sz w:val="17"/>
          <w:szCs w:val="17"/>
          <w:lang w:val="en-GB"/>
        </w:rPr>
        <w:t>by</w:t>
      </w:r>
      <w:r w:rsidR="006B6676">
        <w:rPr>
          <w:rFonts w:ascii="Arial" w:hAnsi="Arial" w:cs="Arial"/>
          <w:sz w:val="17"/>
          <w:szCs w:val="17"/>
          <w:lang w:val="en-GB"/>
        </w:rPr>
        <w:t xml:space="preserve"> </w:t>
      </w:r>
      <w:r w:rsidR="00545DD9">
        <w:rPr>
          <w:rFonts w:ascii="Arial" w:hAnsi="Arial" w:cs="Arial"/>
          <w:sz w:val="17"/>
          <w:szCs w:val="17"/>
          <w:lang w:val="en-GB"/>
        </w:rPr>
        <w:t>the</w:t>
      </w:r>
      <w:r w:rsidR="006B6676">
        <w:rPr>
          <w:rFonts w:ascii="Arial" w:hAnsi="Arial" w:cs="Arial"/>
          <w:sz w:val="17"/>
          <w:szCs w:val="17"/>
          <w:lang w:val="en-GB"/>
        </w:rPr>
        <w:t xml:space="preserve"> </w:t>
      </w:r>
      <w:r w:rsidR="00545DD9" w:rsidRPr="00F26A3E">
        <w:rPr>
          <w:rFonts w:ascii="Arial" w:hAnsi="Arial" w:cs="Arial"/>
          <w:sz w:val="17"/>
          <w:szCs w:val="17"/>
          <w:lang w:val="en-GB"/>
        </w:rPr>
        <w:t>author</w:t>
      </w:r>
      <w:r w:rsidR="006B6676">
        <w:rPr>
          <w:rFonts w:ascii="Arial" w:hAnsi="Arial" w:cs="Arial"/>
          <w:sz w:val="17"/>
          <w:szCs w:val="17"/>
          <w:lang w:val="en-GB"/>
        </w:rPr>
        <w:t xml:space="preserve"> </w:t>
      </w:r>
      <w:r w:rsidR="00545DD9">
        <w:rPr>
          <w:rFonts w:ascii="Arial" w:hAnsi="Arial" w:cs="Arial"/>
          <w:sz w:val="17"/>
          <w:szCs w:val="17"/>
          <w:lang w:val="en-GB"/>
        </w:rPr>
        <w:t>with</w:t>
      </w:r>
      <w:r w:rsidR="006B6676">
        <w:rPr>
          <w:rFonts w:ascii="Arial" w:hAnsi="Arial" w:cs="Arial"/>
          <w:sz w:val="17"/>
          <w:szCs w:val="17"/>
          <w:lang w:val="en-GB"/>
        </w:rPr>
        <w:t xml:space="preserve"> </w:t>
      </w:r>
      <w:r w:rsidR="00545DD9">
        <w:rPr>
          <w:rFonts w:ascii="Arial" w:hAnsi="Arial" w:cs="Arial"/>
          <w:sz w:val="17"/>
          <w:szCs w:val="17"/>
          <w:lang w:val="en-GB"/>
        </w:rPr>
        <w:t>information</w:t>
      </w:r>
      <w:r w:rsidR="006B6676">
        <w:rPr>
          <w:rFonts w:ascii="Arial" w:hAnsi="Arial" w:cs="Arial"/>
          <w:sz w:val="17"/>
          <w:szCs w:val="17"/>
          <w:lang w:val="en-GB"/>
        </w:rPr>
        <w:t xml:space="preserve"> </w:t>
      </w:r>
      <w:r w:rsidR="00545DD9" w:rsidRPr="00F26A3E">
        <w:rPr>
          <w:rFonts w:ascii="Arial" w:hAnsi="Arial" w:cs="Arial"/>
          <w:sz w:val="17"/>
          <w:szCs w:val="17"/>
          <w:lang w:val="en-GB"/>
        </w:rPr>
        <w:t>from</w:t>
      </w:r>
      <w:r w:rsidR="006B6676">
        <w:rPr>
          <w:rFonts w:ascii="Arial" w:hAnsi="Arial" w:cs="Arial"/>
          <w:sz w:val="17"/>
          <w:szCs w:val="17"/>
          <w:lang w:val="en-GB"/>
        </w:rPr>
        <w:t xml:space="preserve"> </w:t>
      </w:r>
      <w:r w:rsidR="00545DD9">
        <w:rPr>
          <w:rFonts w:ascii="Arial" w:hAnsi="Arial" w:cs="Arial"/>
          <w:sz w:val="17"/>
          <w:szCs w:val="17"/>
          <w:lang w:val="en-GB"/>
        </w:rPr>
        <w:t>“</w:t>
      </w:r>
      <w:r w:rsidR="00545DD9" w:rsidRPr="00F26A3E">
        <w:rPr>
          <w:rFonts w:ascii="Arial" w:hAnsi="Arial" w:cs="Arial"/>
          <w:sz w:val="17"/>
          <w:szCs w:val="17"/>
          <w:lang w:val="en-GB"/>
        </w:rPr>
        <w:t>Annual</w:t>
      </w:r>
      <w:r w:rsidR="006B6676">
        <w:rPr>
          <w:rFonts w:ascii="Arial" w:hAnsi="Arial" w:cs="Arial"/>
          <w:sz w:val="17"/>
          <w:szCs w:val="17"/>
          <w:lang w:val="en-GB"/>
        </w:rPr>
        <w:t xml:space="preserve"> </w:t>
      </w:r>
      <w:r w:rsidR="00545DD9" w:rsidRPr="00F26A3E">
        <w:rPr>
          <w:rFonts w:ascii="Arial" w:hAnsi="Arial" w:cs="Arial"/>
          <w:sz w:val="17"/>
          <w:szCs w:val="17"/>
          <w:lang w:val="en-GB"/>
        </w:rPr>
        <w:t>Reports</w:t>
      </w:r>
      <w:r w:rsidR="00545DD9">
        <w:rPr>
          <w:rFonts w:ascii="Arial" w:hAnsi="Arial" w:cs="Arial"/>
          <w:sz w:val="17"/>
          <w:szCs w:val="17"/>
          <w:lang w:val="en-GB"/>
        </w:rPr>
        <w:t>,”</w:t>
      </w:r>
      <w:r w:rsidR="006B6676">
        <w:rPr>
          <w:rFonts w:ascii="Arial" w:hAnsi="Arial" w:cs="Arial"/>
          <w:sz w:val="17"/>
          <w:szCs w:val="17"/>
          <w:lang w:val="en-GB"/>
        </w:rPr>
        <w:t xml:space="preserve"> </w:t>
      </w:r>
      <w:r w:rsidR="00545DD9" w:rsidRPr="00F26A3E">
        <w:rPr>
          <w:rFonts w:ascii="Arial" w:hAnsi="Arial" w:cs="Arial"/>
          <w:sz w:val="17"/>
          <w:szCs w:val="17"/>
          <w:lang w:val="en-GB"/>
        </w:rPr>
        <w:t>Eicher</w:t>
      </w:r>
      <w:r w:rsidR="006B6676">
        <w:rPr>
          <w:rFonts w:ascii="Arial" w:hAnsi="Arial" w:cs="Arial"/>
          <w:sz w:val="17"/>
          <w:szCs w:val="17"/>
          <w:lang w:val="en-GB"/>
        </w:rPr>
        <w:t xml:space="preserve"> </w:t>
      </w:r>
      <w:r w:rsidR="00545DD9" w:rsidRPr="00F26A3E">
        <w:rPr>
          <w:rFonts w:ascii="Arial" w:hAnsi="Arial" w:cs="Arial"/>
          <w:sz w:val="17"/>
          <w:szCs w:val="17"/>
          <w:lang w:val="en-GB"/>
        </w:rPr>
        <w:t>Motors</w:t>
      </w:r>
      <w:r w:rsidR="006B6676">
        <w:rPr>
          <w:rFonts w:ascii="Arial" w:hAnsi="Arial" w:cs="Arial"/>
          <w:sz w:val="17"/>
          <w:szCs w:val="17"/>
          <w:lang w:val="en-GB"/>
        </w:rPr>
        <w:t xml:space="preserve"> </w:t>
      </w:r>
      <w:r w:rsidR="00545DD9" w:rsidRPr="00F26A3E">
        <w:rPr>
          <w:rFonts w:ascii="Arial" w:hAnsi="Arial" w:cs="Arial"/>
          <w:sz w:val="17"/>
          <w:szCs w:val="17"/>
          <w:lang w:val="en-GB"/>
        </w:rPr>
        <w:t>Limited</w:t>
      </w:r>
      <w:r w:rsidR="00545DD9">
        <w:rPr>
          <w:rFonts w:ascii="Arial" w:hAnsi="Arial" w:cs="Arial"/>
          <w:sz w:val="17"/>
          <w:szCs w:val="17"/>
          <w:lang w:val="en-GB"/>
        </w:rPr>
        <w:t>,</w:t>
      </w:r>
      <w:r w:rsidR="006B6676">
        <w:rPr>
          <w:rFonts w:ascii="Arial" w:hAnsi="Arial" w:cs="Arial"/>
          <w:sz w:val="17"/>
          <w:szCs w:val="17"/>
          <w:lang w:val="en-GB"/>
        </w:rPr>
        <w:t xml:space="preserve"> </w:t>
      </w:r>
      <w:r w:rsidR="0023084D" w:rsidRPr="0023084D">
        <w:rPr>
          <w:rFonts w:ascii="Arial" w:hAnsi="Arial" w:cs="Arial"/>
          <w:sz w:val="17"/>
          <w:szCs w:val="17"/>
          <w:lang w:val="en-GB"/>
        </w:rPr>
        <w:t>accessed</w:t>
      </w:r>
      <w:r w:rsidR="006B6676">
        <w:rPr>
          <w:rFonts w:ascii="Arial" w:hAnsi="Arial" w:cs="Arial"/>
          <w:sz w:val="17"/>
          <w:szCs w:val="17"/>
          <w:lang w:val="en-GB"/>
        </w:rPr>
        <w:t xml:space="preserve"> </w:t>
      </w:r>
      <w:r w:rsidR="0023084D" w:rsidRPr="0023084D">
        <w:rPr>
          <w:rFonts w:ascii="Arial" w:hAnsi="Arial" w:cs="Arial"/>
          <w:sz w:val="17"/>
          <w:szCs w:val="17"/>
          <w:lang w:val="en-GB"/>
        </w:rPr>
        <w:t>September</w:t>
      </w:r>
      <w:r w:rsidR="006B6676">
        <w:rPr>
          <w:rFonts w:ascii="Arial" w:hAnsi="Arial" w:cs="Arial"/>
          <w:sz w:val="17"/>
          <w:szCs w:val="17"/>
          <w:lang w:val="en-GB"/>
        </w:rPr>
        <w:t xml:space="preserve"> </w:t>
      </w:r>
      <w:r w:rsidR="0023084D" w:rsidRPr="0023084D">
        <w:rPr>
          <w:rFonts w:ascii="Arial" w:hAnsi="Arial" w:cs="Arial"/>
          <w:sz w:val="17"/>
          <w:szCs w:val="17"/>
          <w:lang w:val="en-GB"/>
        </w:rPr>
        <w:t>24,</w:t>
      </w:r>
      <w:r w:rsidR="006B6676">
        <w:rPr>
          <w:rFonts w:ascii="Arial" w:hAnsi="Arial" w:cs="Arial"/>
          <w:sz w:val="17"/>
          <w:szCs w:val="17"/>
          <w:lang w:val="en-GB"/>
        </w:rPr>
        <w:t xml:space="preserve"> </w:t>
      </w:r>
      <w:r w:rsidR="0023084D" w:rsidRPr="0023084D">
        <w:rPr>
          <w:rFonts w:ascii="Arial" w:hAnsi="Arial" w:cs="Arial"/>
          <w:sz w:val="17"/>
          <w:szCs w:val="17"/>
          <w:lang w:val="en-GB"/>
        </w:rPr>
        <w:t>2020</w:t>
      </w:r>
      <w:r w:rsidR="00545DD9">
        <w:rPr>
          <w:rFonts w:ascii="Arial" w:hAnsi="Arial" w:cs="Arial"/>
          <w:sz w:val="17"/>
          <w:szCs w:val="17"/>
          <w:lang w:val="en-GB"/>
        </w:rPr>
        <w:t>,</w:t>
      </w:r>
      <w:r w:rsidR="006B6676">
        <w:rPr>
          <w:rFonts w:ascii="Arial" w:hAnsi="Arial" w:cs="Arial"/>
          <w:sz w:val="17"/>
          <w:szCs w:val="17"/>
          <w:lang w:val="en-GB"/>
        </w:rPr>
        <w:t xml:space="preserve"> </w:t>
      </w:r>
      <w:r w:rsidR="00545DD9" w:rsidRPr="005774D6">
        <w:rPr>
          <w:rFonts w:ascii="Arial" w:hAnsi="Arial" w:cs="Arial"/>
          <w:sz w:val="17"/>
          <w:szCs w:val="17"/>
          <w:lang w:val="en-GB"/>
        </w:rPr>
        <w:t>www.eicher.in/annual-reports</w:t>
      </w:r>
      <w:r w:rsidR="00545DD9">
        <w:rPr>
          <w:rFonts w:ascii="Arial" w:hAnsi="Arial" w:cs="Arial"/>
          <w:sz w:val="17"/>
          <w:szCs w:val="17"/>
          <w:lang w:val="en-GB"/>
        </w:rPr>
        <w:t>.</w:t>
      </w:r>
    </w:p>
    <w:p w14:paraId="691A2CA4" w14:textId="77777777" w:rsidR="00F268A5" w:rsidRPr="00F26A3E" w:rsidRDefault="00F268A5">
      <w:pPr>
        <w:spacing w:after="200" w:line="276" w:lineRule="auto"/>
        <w:rPr>
          <w:lang w:val="en-GB"/>
        </w:rPr>
        <w:sectPr w:rsidR="00F268A5" w:rsidRPr="00F26A3E" w:rsidSect="00732ADC">
          <w:headerReference w:type="default" r:id="rId11"/>
          <w:endnotePr>
            <w:numFmt w:val="decimal"/>
          </w:endnotePr>
          <w:pgSz w:w="12240" w:h="15840" w:code="1"/>
          <w:pgMar w:top="1440" w:right="1440" w:bottom="1440" w:left="1440" w:header="1080" w:footer="720" w:gutter="0"/>
          <w:cols w:space="720"/>
          <w:titlePg/>
          <w:docGrid w:linePitch="360"/>
        </w:sectPr>
      </w:pPr>
    </w:p>
    <w:p w14:paraId="2322D977" w14:textId="77777777" w:rsidR="00D82A78" w:rsidRPr="00F26A3E" w:rsidRDefault="00D82A78" w:rsidP="00D82A78">
      <w:pPr>
        <w:jc w:val="center"/>
        <w:rPr>
          <w:rFonts w:ascii="Arial" w:hAnsi="Arial" w:cs="Arial"/>
          <w:b/>
          <w:caps/>
          <w:lang w:val="en-GB"/>
        </w:rPr>
      </w:pPr>
      <w:r w:rsidRPr="00F26A3E">
        <w:rPr>
          <w:rFonts w:ascii="Arial" w:hAnsi="Arial" w:cs="Arial"/>
          <w:b/>
          <w:caps/>
          <w:lang w:val="en-GB"/>
        </w:rPr>
        <w:lastRenderedPageBreak/>
        <w:t>Exhibit</w:t>
      </w:r>
      <w:r>
        <w:rPr>
          <w:rFonts w:ascii="Arial" w:hAnsi="Arial" w:cs="Arial"/>
          <w:b/>
          <w:caps/>
          <w:lang w:val="en-GB"/>
        </w:rPr>
        <w:t xml:space="preserve"> </w:t>
      </w:r>
      <w:r w:rsidRPr="00F26A3E">
        <w:rPr>
          <w:rFonts w:ascii="Arial" w:hAnsi="Arial" w:cs="Arial"/>
          <w:b/>
          <w:caps/>
          <w:lang w:val="en-GB"/>
        </w:rPr>
        <w:t>6A:</w:t>
      </w:r>
      <w:r>
        <w:rPr>
          <w:rFonts w:ascii="Arial" w:hAnsi="Arial" w:cs="Arial"/>
          <w:b/>
          <w:caps/>
          <w:lang w:val="en-GB"/>
        </w:rPr>
        <w:t xml:space="preserve"> </w:t>
      </w:r>
      <w:r w:rsidRPr="00F26A3E">
        <w:rPr>
          <w:rFonts w:ascii="Arial" w:hAnsi="Arial" w:cs="Arial"/>
          <w:b/>
          <w:caps/>
          <w:lang w:val="en-GB"/>
        </w:rPr>
        <w:t>Select</w:t>
      </w:r>
      <w:r>
        <w:rPr>
          <w:rFonts w:ascii="Arial" w:hAnsi="Arial" w:cs="Arial"/>
          <w:b/>
          <w:caps/>
          <w:lang w:val="en-GB"/>
        </w:rPr>
        <w:t xml:space="preserve"> </w:t>
      </w:r>
      <w:r w:rsidRPr="00F26A3E">
        <w:rPr>
          <w:rFonts w:ascii="Arial" w:hAnsi="Arial" w:cs="Arial"/>
          <w:b/>
          <w:caps/>
          <w:lang w:val="en-GB"/>
        </w:rPr>
        <w:t>Financial</w:t>
      </w:r>
      <w:r>
        <w:rPr>
          <w:rFonts w:ascii="Arial" w:hAnsi="Arial" w:cs="Arial"/>
          <w:b/>
          <w:caps/>
          <w:lang w:val="en-GB"/>
        </w:rPr>
        <w:t xml:space="preserve"> </w:t>
      </w:r>
      <w:r w:rsidRPr="00F26A3E">
        <w:rPr>
          <w:rFonts w:ascii="Arial" w:hAnsi="Arial" w:cs="Arial"/>
          <w:b/>
          <w:caps/>
          <w:lang w:val="en-GB"/>
        </w:rPr>
        <w:t>Parameters</w:t>
      </w:r>
      <w:r>
        <w:rPr>
          <w:rFonts w:ascii="Arial" w:hAnsi="Arial" w:cs="Arial"/>
          <w:b/>
          <w:caps/>
          <w:lang w:val="en-GB"/>
        </w:rPr>
        <w:t xml:space="preserve"> </w:t>
      </w:r>
      <w:r w:rsidRPr="00F26A3E">
        <w:rPr>
          <w:rFonts w:ascii="Arial" w:hAnsi="Arial" w:cs="Arial"/>
          <w:b/>
          <w:caps/>
          <w:lang w:val="en-GB"/>
        </w:rPr>
        <w:t>of</w:t>
      </w:r>
      <w:r>
        <w:rPr>
          <w:rFonts w:ascii="Arial" w:hAnsi="Arial" w:cs="Arial"/>
          <w:b/>
          <w:caps/>
          <w:lang w:val="en-GB"/>
        </w:rPr>
        <w:t xml:space="preserve"> </w:t>
      </w:r>
      <w:r w:rsidRPr="00F26A3E">
        <w:rPr>
          <w:rFonts w:ascii="Arial" w:hAnsi="Arial" w:cs="Arial"/>
          <w:b/>
          <w:caps/>
          <w:lang w:val="en-GB"/>
        </w:rPr>
        <w:t>Royal</w:t>
      </w:r>
      <w:r>
        <w:rPr>
          <w:rFonts w:ascii="Arial" w:hAnsi="Arial" w:cs="Arial"/>
          <w:b/>
          <w:caps/>
          <w:lang w:val="en-GB"/>
        </w:rPr>
        <w:t xml:space="preserve"> </w:t>
      </w:r>
      <w:r w:rsidRPr="00F26A3E">
        <w:rPr>
          <w:rFonts w:ascii="Arial" w:hAnsi="Arial" w:cs="Arial"/>
          <w:b/>
          <w:caps/>
          <w:lang w:val="en-GB"/>
        </w:rPr>
        <w:t>Enfield</w:t>
      </w:r>
      <w:r>
        <w:rPr>
          <w:rFonts w:ascii="Arial" w:hAnsi="Arial" w:cs="Arial"/>
          <w:b/>
          <w:caps/>
          <w:lang w:val="en-GB"/>
        </w:rPr>
        <w:t xml:space="preserve"> </w:t>
      </w:r>
      <w:r w:rsidRPr="00F26A3E">
        <w:rPr>
          <w:rFonts w:ascii="Arial" w:hAnsi="Arial" w:cs="Arial"/>
          <w:b/>
          <w:caps/>
          <w:lang w:val="en-GB"/>
        </w:rPr>
        <w:t>from</w:t>
      </w:r>
      <w:r>
        <w:rPr>
          <w:rFonts w:ascii="Arial" w:hAnsi="Arial" w:cs="Arial"/>
          <w:b/>
          <w:caps/>
          <w:lang w:val="en-GB"/>
        </w:rPr>
        <w:t xml:space="preserve"> </w:t>
      </w:r>
      <w:r w:rsidRPr="00F26A3E">
        <w:rPr>
          <w:rFonts w:ascii="Arial" w:hAnsi="Arial" w:cs="Arial"/>
          <w:b/>
          <w:caps/>
          <w:lang w:val="en-GB"/>
        </w:rPr>
        <w:t>1999</w:t>
      </w:r>
      <w:r>
        <w:rPr>
          <w:rFonts w:ascii="Arial" w:hAnsi="Arial" w:cs="Arial"/>
          <w:b/>
          <w:caps/>
          <w:lang w:val="en-GB"/>
        </w:rPr>
        <w:t>–</w:t>
      </w:r>
      <w:r w:rsidRPr="00F26A3E">
        <w:rPr>
          <w:rFonts w:ascii="Arial" w:hAnsi="Arial" w:cs="Arial"/>
          <w:b/>
          <w:caps/>
          <w:lang w:val="en-GB"/>
        </w:rPr>
        <w:t>2000</w:t>
      </w:r>
      <w:r>
        <w:rPr>
          <w:rFonts w:ascii="Arial" w:hAnsi="Arial" w:cs="Arial"/>
          <w:b/>
          <w:caps/>
          <w:lang w:val="en-GB"/>
        </w:rPr>
        <w:t xml:space="preserve"> </w:t>
      </w:r>
      <w:r w:rsidRPr="00F26A3E">
        <w:rPr>
          <w:rFonts w:ascii="Arial" w:hAnsi="Arial" w:cs="Arial"/>
          <w:b/>
          <w:caps/>
          <w:lang w:val="en-GB"/>
        </w:rPr>
        <w:t>to</w:t>
      </w:r>
      <w:r>
        <w:rPr>
          <w:rFonts w:ascii="Arial" w:hAnsi="Arial" w:cs="Arial"/>
          <w:b/>
          <w:caps/>
          <w:lang w:val="en-GB"/>
        </w:rPr>
        <w:t xml:space="preserve"> </w:t>
      </w:r>
      <w:r w:rsidRPr="00F26A3E">
        <w:rPr>
          <w:rFonts w:ascii="Arial" w:hAnsi="Arial" w:cs="Arial"/>
          <w:b/>
          <w:caps/>
          <w:lang w:val="en-GB"/>
        </w:rPr>
        <w:t>2008</w:t>
      </w:r>
      <w:r>
        <w:rPr>
          <w:rFonts w:ascii="Arial" w:hAnsi="Arial" w:cs="Arial"/>
          <w:b/>
          <w:caps/>
          <w:lang w:val="en-GB"/>
        </w:rPr>
        <w:t xml:space="preserve">–09 </w:t>
      </w:r>
      <w:r w:rsidRPr="00F26A3E">
        <w:rPr>
          <w:rFonts w:ascii="Arial" w:hAnsi="Arial" w:cs="Arial"/>
          <w:b/>
          <w:caps/>
          <w:lang w:val="en-GB"/>
        </w:rPr>
        <w:t>(IN</w:t>
      </w:r>
      <w:r>
        <w:rPr>
          <w:rFonts w:ascii="Arial" w:hAnsi="Arial" w:cs="Arial"/>
          <w:b/>
          <w:caps/>
          <w:lang w:val="en-GB"/>
        </w:rPr>
        <w:t xml:space="preserve"> ₹ </w:t>
      </w:r>
      <w:r w:rsidRPr="00F26A3E">
        <w:rPr>
          <w:rFonts w:ascii="Arial" w:hAnsi="Arial" w:cs="Arial"/>
          <w:b/>
          <w:caps/>
          <w:lang w:val="en-GB"/>
        </w:rPr>
        <w:t>Million)</w:t>
      </w:r>
    </w:p>
    <w:p w14:paraId="0AFD6308" w14:textId="77777777" w:rsidR="00D82A78" w:rsidRPr="00F26A3E" w:rsidRDefault="00D82A78" w:rsidP="00D82A78">
      <w:pPr>
        <w:jc w:val="center"/>
        <w:rPr>
          <w:rFonts w:ascii="Arial" w:hAnsi="Arial" w:cs="Arial"/>
          <w:b/>
          <w:caps/>
          <w:lang w:val="en-GB"/>
        </w:rPr>
      </w:pPr>
    </w:p>
    <w:tbl>
      <w:tblPr>
        <w:tblStyle w:val="TableGrid3"/>
        <w:tblW w:w="13011" w:type="dxa"/>
        <w:tblCellMar>
          <w:top w:w="58" w:type="dxa"/>
          <w:left w:w="29" w:type="dxa"/>
          <w:bottom w:w="58" w:type="dxa"/>
          <w:right w:w="29" w:type="dxa"/>
        </w:tblCellMar>
        <w:tblLook w:val="04A0" w:firstRow="1" w:lastRow="0" w:firstColumn="1" w:lastColumn="0" w:noHBand="0" w:noVBand="1"/>
        <w:tblCaption w:val="EXHIBIT 6A"/>
        <w:tblDescription w:val="SELECT FINANCIAL PARAMETERS OF ROYAL ENFIELD FROM 1999–2000 TO 2008–09 (IN ₹ MILLION)"/>
      </w:tblPr>
      <w:tblGrid>
        <w:gridCol w:w="1975"/>
        <w:gridCol w:w="990"/>
        <w:gridCol w:w="1097"/>
        <w:gridCol w:w="1205"/>
        <w:gridCol w:w="1131"/>
        <w:gridCol w:w="1131"/>
        <w:gridCol w:w="1131"/>
        <w:gridCol w:w="1064"/>
        <w:gridCol w:w="1064"/>
        <w:gridCol w:w="1064"/>
        <w:gridCol w:w="1159"/>
      </w:tblGrid>
      <w:tr w:rsidR="00D82A78" w:rsidRPr="00F26A3E" w14:paraId="629D031E" w14:textId="77777777" w:rsidTr="003B5E91">
        <w:trPr>
          <w:trHeight w:val="45"/>
          <w:tblHeader/>
        </w:trPr>
        <w:tc>
          <w:tcPr>
            <w:tcW w:w="1975" w:type="dxa"/>
            <w:noWrap/>
            <w:hideMark/>
          </w:tcPr>
          <w:p w14:paraId="35CCD13F" w14:textId="77777777" w:rsidR="00D82A78" w:rsidRPr="00F26A3E" w:rsidRDefault="00D82A78" w:rsidP="003B5E91">
            <w:pPr>
              <w:jc w:val="center"/>
              <w:rPr>
                <w:rFonts w:ascii="Arial" w:hAnsi="Arial" w:cs="Arial"/>
                <w:color w:val="000000"/>
                <w:sz w:val="18"/>
                <w:szCs w:val="18"/>
                <w:lang w:val="en-GB"/>
              </w:rPr>
            </w:pPr>
          </w:p>
        </w:tc>
        <w:tc>
          <w:tcPr>
            <w:tcW w:w="990" w:type="dxa"/>
            <w:noWrap/>
            <w:hideMark/>
          </w:tcPr>
          <w:p w14:paraId="0D841F3A"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1999</w:t>
            </w:r>
            <w:r>
              <w:rPr>
                <w:rFonts w:ascii="Arial" w:hAnsi="Arial" w:cs="Arial"/>
                <w:b/>
                <w:bCs/>
                <w:color w:val="000000"/>
                <w:sz w:val="18"/>
                <w:szCs w:val="18"/>
                <w:lang w:val="en-GB"/>
              </w:rPr>
              <w:t>–</w:t>
            </w:r>
            <w:r w:rsidRPr="00F26A3E">
              <w:rPr>
                <w:rFonts w:ascii="Arial" w:hAnsi="Arial" w:cs="Arial"/>
                <w:b/>
                <w:bCs/>
                <w:color w:val="000000"/>
                <w:sz w:val="18"/>
                <w:szCs w:val="18"/>
                <w:lang w:val="en-GB"/>
              </w:rPr>
              <w:t>2000</w:t>
            </w:r>
          </w:p>
        </w:tc>
        <w:tc>
          <w:tcPr>
            <w:tcW w:w="1097" w:type="dxa"/>
            <w:noWrap/>
            <w:hideMark/>
          </w:tcPr>
          <w:p w14:paraId="20AEB689"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2000</w:t>
            </w:r>
            <w:r>
              <w:rPr>
                <w:rFonts w:ascii="Arial" w:hAnsi="Arial" w:cs="Arial"/>
                <w:b/>
                <w:bCs/>
                <w:color w:val="000000"/>
                <w:sz w:val="18"/>
                <w:szCs w:val="18"/>
                <w:lang w:val="en-GB"/>
              </w:rPr>
              <w:t>–</w:t>
            </w:r>
            <w:r w:rsidRPr="00F26A3E">
              <w:rPr>
                <w:rFonts w:ascii="Arial" w:hAnsi="Arial" w:cs="Arial"/>
                <w:b/>
                <w:bCs/>
                <w:color w:val="000000"/>
                <w:sz w:val="18"/>
                <w:szCs w:val="18"/>
                <w:lang w:val="en-GB"/>
              </w:rPr>
              <w:t>01</w:t>
            </w:r>
          </w:p>
        </w:tc>
        <w:tc>
          <w:tcPr>
            <w:tcW w:w="1205" w:type="dxa"/>
            <w:noWrap/>
            <w:hideMark/>
          </w:tcPr>
          <w:p w14:paraId="699D5DAA"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2001</w:t>
            </w:r>
            <w:r>
              <w:rPr>
                <w:rFonts w:ascii="Arial" w:hAnsi="Arial" w:cs="Arial"/>
                <w:b/>
                <w:bCs/>
                <w:color w:val="000000"/>
                <w:sz w:val="18"/>
                <w:szCs w:val="18"/>
                <w:lang w:val="en-GB"/>
              </w:rPr>
              <w:t>–</w:t>
            </w:r>
            <w:r w:rsidRPr="00F26A3E">
              <w:rPr>
                <w:rFonts w:ascii="Arial" w:hAnsi="Arial" w:cs="Arial"/>
                <w:b/>
                <w:bCs/>
                <w:color w:val="000000"/>
                <w:sz w:val="18"/>
                <w:szCs w:val="18"/>
                <w:lang w:val="en-GB"/>
              </w:rPr>
              <w:t>02</w:t>
            </w:r>
          </w:p>
        </w:tc>
        <w:tc>
          <w:tcPr>
            <w:tcW w:w="1131" w:type="dxa"/>
            <w:noWrap/>
            <w:hideMark/>
          </w:tcPr>
          <w:p w14:paraId="551F2FED"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2002</w:t>
            </w:r>
            <w:r>
              <w:rPr>
                <w:rFonts w:ascii="Arial" w:hAnsi="Arial" w:cs="Arial"/>
                <w:b/>
                <w:bCs/>
                <w:color w:val="000000"/>
                <w:sz w:val="18"/>
                <w:szCs w:val="18"/>
                <w:lang w:val="en-GB"/>
              </w:rPr>
              <w:t>–</w:t>
            </w:r>
            <w:r w:rsidRPr="00F26A3E">
              <w:rPr>
                <w:rFonts w:ascii="Arial" w:hAnsi="Arial" w:cs="Arial"/>
                <w:b/>
                <w:bCs/>
                <w:color w:val="000000"/>
                <w:sz w:val="18"/>
                <w:szCs w:val="18"/>
                <w:lang w:val="en-GB"/>
              </w:rPr>
              <w:t>03</w:t>
            </w:r>
          </w:p>
        </w:tc>
        <w:tc>
          <w:tcPr>
            <w:tcW w:w="1131" w:type="dxa"/>
            <w:noWrap/>
            <w:hideMark/>
          </w:tcPr>
          <w:p w14:paraId="287E89E4"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2003</w:t>
            </w:r>
            <w:r>
              <w:rPr>
                <w:rFonts w:ascii="Arial" w:hAnsi="Arial" w:cs="Arial"/>
                <w:b/>
                <w:bCs/>
                <w:color w:val="000000"/>
                <w:sz w:val="18"/>
                <w:szCs w:val="18"/>
                <w:lang w:val="en-GB"/>
              </w:rPr>
              <w:t>–</w:t>
            </w:r>
            <w:r w:rsidRPr="00F26A3E">
              <w:rPr>
                <w:rFonts w:ascii="Arial" w:hAnsi="Arial" w:cs="Arial"/>
                <w:b/>
                <w:bCs/>
                <w:color w:val="000000"/>
                <w:sz w:val="18"/>
                <w:szCs w:val="18"/>
                <w:lang w:val="en-GB"/>
              </w:rPr>
              <w:t>04</w:t>
            </w:r>
          </w:p>
        </w:tc>
        <w:tc>
          <w:tcPr>
            <w:tcW w:w="1131" w:type="dxa"/>
            <w:noWrap/>
            <w:hideMark/>
          </w:tcPr>
          <w:p w14:paraId="197CADCC"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2004</w:t>
            </w:r>
            <w:r>
              <w:rPr>
                <w:rFonts w:ascii="Arial" w:hAnsi="Arial" w:cs="Arial"/>
                <w:b/>
                <w:bCs/>
                <w:color w:val="000000"/>
                <w:sz w:val="18"/>
                <w:szCs w:val="18"/>
                <w:lang w:val="en-GB"/>
              </w:rPr>
              <w:t>–</w:t>
            </w:r>
            <w:r w:rsidRPr="00F26A3E">
              <w:rPr>
                <w:rFonts w:ascii="Arial" w:hAnsi="Arial" w:cs="Arial"/>
                <w:b/>
                <w:bCs/>
                <w:color w:val="000000"/>
                <w:sz w:val="18"/>
                <w:szCs w:val="18"/>
                <w:lang w:val="en-GB"/>
              </w:rPr>
              <w:t>05</w:t>
            </w:r>
          </w:p>
        </w:tc>
        <w:tc>
          <w:tcPr>
            <w:tcW w:w="1064" w:type="dxa"/>
            <w:noWrap/>
            <w:hideMark/>
          </w:tcPr>
          <w:p w14:paraId="5F2426E7"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2005</w:t>
            </w:r>
            <w:r>
              <w:rPr>
                <w:rFonts w:ascii="Arial" w:hAnsi="Arial" w:cs="Arial"/>
                <w:b/>
                <w:bCs/>
                <w:color w:val="000000"/>
                <w:sz w:val="18"/>
                <w:szCs w:val="18"/>
                <w:lang w:val="en-GB"/>
              </w:rPr>
              <w:t>–</w:t>
            </w:r>
            <w:r w:rsidRPr="00F26A3E">
              <w:rPr>
                <w:rFonts w:ascii="Arial" w:hAnsi="Arial" w:cs="Arial"/>
                <w:b/>
                <w:bCs/>
                <w:color w:val="000000"/>
                <w:sz w:val="18"/>
                <w:szCs w:val="18"/>
                <w:lang w:val="en-GB"/>
              </w:rPr>
              <w:t>06</w:t>
            </w:r>
          </w:p>
        </w:tc>
        <w:tc>
          <w:tcPr>
            <w:tcW w:w="1064" w:type="dxa"/>
            <w:noWrap/>
            <w:hideMark/>
          </w:tcPr>
          <w:p w14:paraId="08F543D0"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2006</w:t>
            </w:r>
            <w:r>
              <w:rPr>
                <w:rFonts w:ascii="Arial" w:hAnsi="Arial" w:cs="Arial"/>
                <w:b/>
                <w:bCs/>
                <w:color w:val="000000"/>
                <w:sz w:val="18"/>
                <w:szCs w:val="18"/>
                <w:lang w:val="en-GB"/>
              </w:rPr>
              <w:t>–</w:t>
            </w:r>
            <w:r w:rsidRPr="00F26A3E">
              <w:rPr>
                <w:rFonts w:ascii="Arial" w:hAnsi="Arial" w:cs="Arial"/>
                <w:b/>
                <w:bCs/>
                <w:color w:val="000000"/>
                <w:sz w:val="18"/>
                <w:szCs w:val="18"/>
                <w:lang w:val="en-GB"/>
              </w:rPr>
              <w:t>07</w:t>
            </w:r>
          </w:p>
        </w:tc>
        <w:tc>
          <w:tcPr>
            <w:tcW w:w="1064" w:type="dxa"/>
            <w:noWrap/>
            <w:hideMark/>
          </w:tcPr>
          <w:p w14:paraId="44373883"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2007</w:t>
            </w:r>
            <w:r>
              <w:rPr>
                <w:rFonts w:ascii="Arial" w:hAnsi="Arial" w:cs="Arial"/>
                <w:b/>
                <w:bCs/>
                <w:color w:val="000000"/>
                <w:sz w:val="18"/>
                <w:szCs w:val="18"/>
                <w:lang w:val="en-GB"/>
              </w:rPr>
              <w:t>–</w:t>
            </w:r>
            <w:r w:rsidRPr="00F26A3E">
              <w:rPr>
                <w:rFonts w:ascii="Arial" w:hAnsi="Arial" w:cs="Arial"/>
                <w:b/>
                <w:bCs/>
                <w:color w:val="000000"/>
                <w:sz w:val="18"/>
                <w:szCs w:val="18"/>
                <w:lang w:val="en-GB"/>
              </w:rPr>
              <w:t>08</w:t>
            </w:r>
          </w:p>
        </w:tc>
        <w:tc>
          <w:tcPr>
            <w:tcW w:w="1159" w:type="dxa"/>
            <w:noWrap/>
            <w:hideMark/>
          </w:tcPr>
          <w:p w14:paraId="157FCB0A"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2008</w:t>
            </w:r>
            <w:r>
              <w:rPr>
                <w:rFonts w:ascii="Arial" w:hAnsi="Arial" w:cs="Arial"/>
                <w:b/>
                <w:bCs/>
                <w:color w:val="000000"/>
                <w:sz w:val="18"/>
                <w:szCs w:val="18"/>
                <w:lang w:val="en-GB"/>
              </w:rPr>
              <w:t xml:space="preserve">–09 </w:t>
            </w:r>
            <w:r w:rsidRPr="00F26A3E">
              <w:rPr>
                <w:rFonts w:ascii="Arial" w:hAnsi="Arial" w:cs="Arial"/>
                <w:b/>
                <w:bCs/>
                <w:color w:val="000000"/>
                <w:sz w:val="18"/>
                <w:szCs w:val="18"/>
                <w:lang w:val="en-GB"/>
              </w:rPr>
              <w:t>(</w:t>
            </w:r>
            <w:r>
              <w:rPr>
                <w:rFonts w:ascii="Arial" w:hAnsi="Arial" w:cs="Arial"/>
                <w:b/>
                <w:bCs/>
                <w:color w:val="000000"/>
                <w:sz w:val="18"/>
                <w:szCs w:val="18"/>
                <w:lang w:val="en-GB"/>
              </w:rPr>
              <w:t>First Nine Months</w:t>
            </w:r>
            <w:r w:rsidRPr="00F26A3E">
              <w:rPr>
                <w:rFonts w:ascii="Arial" w:hAnsi="Arial" w:cs="Arial"/>
                <w:b/>
                <w:bCs/>
                <w:color w:val="000000"/>
                <w:sz w:val="18"/>
                <w:szCs w:val="18"/>
                <w:lang w:val="en-GB"/>
              </w:rPr>
              <w:t>)</w:t>
            </w:r>
          </w:p>
        </w:tc>
      </w:tr>
      <w:tr w:rsidR="00D82A78" w:rsidRPr="00F26A3E" w14:paraId="0EE57E40" w14:textId="77777777" w:rsidTr="003B5E91">
        <w:trPr>
          <w:trHeight w:val="45"/>
          <w:tblHeader/>
        </w:trPr>
        <w:tc>
          <w:tcPr>
            <w:tcW w:w="1975" w:type="dxa"/>
            <w:noWrap/>
            <w:hideMark/>
          </w:tcPr>
          <w:p w14:paraId="3C8D707D"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Sales</w:t>
            </w:r>
            <w:r>
              <w:rPr>
                <w:rFonts w:ascii="Arial" w:hAnsi="Arial" w:cs="Arial"/>
                <w:b/>
                <w:color w:val="000000"/>
                <w:sz w:val="18"/>
                <w:szCs w:val="18"/>
                <w:lang w:val="en-GB"/>
              </w:rPr>
              <w:t xml:space="preserve"> r</w:t>
            </w:r>
            <w:r w:rsidRPr="00F26A3E">
              <w:rPr>
                <w:rFonts w:ascii="Arial" w:hAnsi="Arial" w:cs="Arial"/>
                <w:b/>
                <w:color w:val="000000"/>
                <w:sz w:val="18"/>
                <w:szCs w:val="18"/>
                <w:lang w:val="en-GB"/>
              </w:rPr>
              <w:t>evenue</w:t>
            </w:r>
          </w:p>
        </w:tc>
        <w:tc>
          <w:tcPr>
            <w:tcW w:w="990" w:type="dxa"/>
            <w:noWrap/>
            <w:hideMark/>
          </w:tcPr>
          <w:p w14:paraId="1921360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519</w:t>
            </w:r>
          </w:p>
        </w:tc>
        <w:tc>
          <w:tcPr>
            <w:tcW w:w="1097" w:type="dxa"/>
            <w:noWrap/>
            <w:hideMark/>
          </w:tcPr>
          <w:p w14:paraId="2A22F42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w:t>
            </w:r>
            <w:r>
              <w:rPr>
                <w:rFonts w:ascii="Arial" w:hAnsi="Arial" w:cs="Arial"/>
                <w:color w:val="000000"/>
                <w:sz w:val="18"/>
                <w:szCs w:val="18"/>
                <w:lang w:val="en-GB"/>
              </w:rPr>
              <w:t>,</w:t>
            </w:r>
            <w:r w:rsidRPr="00F26A3E">
              <w:rPr>
                <w:rFonts w:ascii="Arial" w:hAnsi="Arial" w:cs="Arial"/>
                <w:color w:val="000000"/>
                <w:sz w:val="18"/>
                <w:szCs w:val="18"/>
                <w:lang w:val="en-GB"/>
              </w:rPr>
              <w:t>451</w:t>
            </w:r>
          </w:p>
        </w:tc>
        <w:tc>
          <w:tcPr>
            <w:tcW w:w="1205" w:type="dxa"/>
            <w:noWrap/>
            <w:hideMark/>
          </w:tcPr>
          <w:p w14:paraId="19FE345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w:t>
            </w:r>
            <w:r>
              <w:rPr>
                <w:rFonts w:ascii="Arial" w:hAnsi="Arial" w:cs="Arial"/>
                <w:color w:val="000000"/>
                <w:sz w:val="18"/>
                <w:szCs w:val="18"/>
                <w:lang w:val="en-GB"/>
              </w:rPr>
              <w:t>,</w:t>
            </w:r>
            <w:r w:rsidRPr="00F26A3E">
              <w:rPr>
                <w:rFonts w:ascii="Arial" w:hAnsi="Arial" w:cs="Arial"/>
                <w:color w:val="000000"/>
                <w:sz w:val="18"/>
                <w:szCs w:val="18"/>
                <w:lang w:val="en-GB"/>
              </w:rPr>
              <w:t>309</w:t>
            </w:r>
          </w:p>
        </w:tc>
        <w:tc>
          <w:tcPr>
            <w:tcW w:w="1131" w:type="dxa"/>
            <w:noWrap/>
            <w:hideMark/>
          </w:tcPr>
          <w:p w14:paraId="4829FCB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984</w:t>
            </w:r>
          </w:p>
        </w:tc>
        <w:tc>
          <w:tcPr>
            <w:tcW w:w="1131" w:type="dxa"/>
            <w:noWrap/>
            <w:hideMark/>
          </w:tcPr>
          <w:p w14:paraId="0DCFD00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15</w:t>
            </w:r>
            <w:r>
              <w:rPr>
                <w:rFonts w:ascii="Arial" w:hAnsi="Arial" w:cs="Arial"/>
                <w:color w:val="000000"/>
                <w:sz w:val="18"/>
                <w:szCs w:val="18"/>
                <w:lang w:val="en-GB"/>
              </w:rPr>
              <w:t>,</w:t>
            </w:r>
            <w:r w:rsidRPr="00F26A3E">
              <w:rPr>
                <w:rFonts w:ascii="Arial" w:hAnsi="Arial" w:cs="Arial"/>
                <w:color w:val="000000"/>
                <w:sz w:val="18"/>
                <w:szCs w:val="18"/>
                <w:lang w:val="en-GB"/>
              </w:rPr>
              <w:t>648</w:t>
            </w:r>
          </w:p>
        </w:tc>
        <w:tc>
          <w:tcPr>
            <w:tcW w:w="1131" w:type="dxa"/>
            <w:noWrap/>
            <w:hideMark/>
          </w:tcPr>
          <w:p w14:paraId="786D033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w:t>
            </w:r>
            <w:r>
              <w:rPr>
                <w:rFonts w:ascii="Arial" w:hAnsi="Arial" w:cs="Arial"/>
                <w:color w:val="000000"/>
                <w:sz w:val="18"/>
                <w:szCs w:val="18"/>
                <w:lang w:val="en-GB"/>
              </w:rPr>
              <w:t>,</w:t>
            </w:r>
            <w:r w:rsidRPr="00F26A3E">
              <w:rPr>
                <w:rFonts w:ascii="Arial" w:hAnsi="Arial" w:cs="Arial"/>
                <w:color w:val="000000"/>
                <w:sz w:val="18"/>
                <w:szCs w:val="18"/>
                <w:lang w:val="en-GB"/>
              </w:rPr>
              <w:t>116</w:t>
            </w:r>
          </w:p>
        </w:tc>
        <w:tc>
          <w:tcPr>
            <w:tcW w:w="1064" w:type="dxa"/>
            <w:noWrap/>
            <w:hideMark/>
          </w:tcPr>
          <w:p w14:paraId="09226C2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18</w:t>
            </w:r>
            <w:r>
              <w:rPr>
                <w:rFonts w:ascii="Arial" w:hAnsi="Arial" w:cs="Arial"/>
                <w:color w:val="000000"/>
                <w:sz w:val="18"/>
                <w:szCs w:val="18"/>
                <w:lang w:val="en-GB"/>
              </w:rPr>
              <w:t>,</w:t>
            </w:r>
            <w:r w:rsidRPr="00F26A3E">
              <w:rPr>
                <w:rFonts w:ascii="Arial" w:hAnsi="Arial" w:cs="Arial"/>
                <w:color w:val="000000"/>
                <w:sz w:val="18"/>
                <w:szCs w:val="18"/>
                <w:lang w:val="en-GB"/>
              </w:rPr>
              <w:t>808</w:t>
            </w:r>
          </w:p>
        </w:tc>
        <w:tc>
          <w:tcPr>
            <w:tcW w:w="1064" w:type="dxa"/>
            <w:noWrap/>
            <w:hideMark/>
          </w:tcPr>
          <w:p w14:paraId="089B7C6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w:t>
            </w:r>
            <w:r>
              <w:rPr>
                <w:rFonts w:ascii="Arial" w:hAnsi="Arial" w:cs="Arial"/>
                <w:color w:val="000000"/>
                <w:sz w:val="18"/>
                <w:szCs w:val="18"/>
                <w:lang w:val="en-GB"/>
              </w:rPr>
              <w:t>,</w:t>
            </w:r>
            <w:r w:rsidRPr="00F26A3E">
              <w:rPr>
                <w:rFonts w:ascii="Arial" w:hAnsi="Arial" w:cs="Arial"/>
                <w:color w:val="000000"/>
                <w:sz w:val="18"/>
                <w:szCs w:val="18"/>
                <w:lang w:val="en-GB"/>
              </w:rPr>
              <w:t>528</w:t>
            </w:r>
          </w:p>
        </w:tc>
        <w:tc>
          <w:tcPr>
            <w:tcW w:w="1064" w:type="dxa"/>
            <w:noWrap/>
            <w:hideMark/>
          </w:tcPr>
          <w:p w14:paraId="5000D87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25</w:t>
            </w:r>
            <w:r>
              <w:rPr>
                <w:rFonts w:ascii="Arial" w:hAnsi="Arial" w:cs="Arial"/>
                <w:color w:val="000000"/>
                <w:sz w:val="18"/>
                <w:szCs w:val="18"/>
                <w:lang w:val="en-GB"/>
              </w:rPr>
              <w:t>,</w:t>
            </w:r>
            <w:r w:rsidRPr="00F26A3E">
              <w:rPr>
                <w:rFonts w:ascii="Arial" w:hAnsi="Arial" w:cs="Arial"/>
                <w:color w:val="000000"/>
                <w:sz w:val="18"/>
                <w:szCs w:val="18"/>
                <w:lang w:val="en-GB"/>
              </w:rPr>
              <w:t>726</w:t>
            </w:r>
          </w:p>
        </w:tc>
        <w:tc>
          <w:tcPr>
            <w:tcW w:w="1159" w:type="dxa"/>
            <w:noWrap/>
            <w:hideMark/>
          </w:tcPr>
          <w:p w14:paraId="4B7CD43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w:t>
            </w:r>
            <w:r>
              <w:rPr>
                <w:rFonts w:ascii="Arial" w:hAnsi="Arial" w:cs="Arial"/>
                <w:color w:val="000000"/>
                <w:sz w:val="18"/>
                <w:szCs w:val="18"/>
                <w:lang w:val="en-GB"/>
              </w:rPr>
              <w:t>,</w:t>
            </w:r>
            <w:r w:rsidRPr="00F26A3E">
              <w:rPr>
                <w:rFonts w:ascii="Arial" w:hAnsi="Arial" w:cs="Arial"/>
                <w:color w:val="000000"/>
                <w:sz w:val="18"/>
                <w:szCs w:val="18"/>
                <w:lang w:val="en-GB"/>
              </w:rPr>
              <w:t>717.8</w:t>
            </w:r>
          </w:p>
        </w:tc>
      </w:tr>
      <w:tr w:rsidR="00D82A78" w:rsidRPr="00F26A3E" w14:paraId="46731FD3" w14:textId="77777777" w:rsidTr="003B5E91">
        <w:trPr>
          <w:trHeight w:val="45"/>
          <w:tblHeader/>
        </w:trPr>
        <w:tc>
          <w:tcPr>
            <w:tcW w:w="1975" w:type="dxa"/>
            <w:hideMark/>
          </w:tcPr>
          <w:p w14:paraId="152908F0"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Less</w:t>
            </w:r>
            <w:r>
              <w:rPr>
                <w:rFonts w:ascii="Arial" w:hAnsi="Arial" w:cs="Arial"/>
                <w:b/>
                <w:color w:val="000000"/>
                <w:sz w:val="18"/>
                <w:szCs w:val="18"/>
                <w:lang w:val="en-GB"/>
              </w:rPr>
              <w:t xml:space="preserve"> e</w:t>
            </w:r>
            <w:r w:rsidRPr="00F26A3E">
              <w:rPr>
                <w:rFonts w:ascii="Arial" w:hAnsi="Arial" w:cs="Arial"/>
                <w:b/>
                <w:color w:val="000000"/>
                <w:sz w:val="18"/>
                <w:szCs w:val="18"/>
                <w:lang w:val="en-GB"/>
              </w:rPr>
              <w:t>xcise</w:t>
            </w:r>
            <w:r>
              <w:rPr>
                <w:rFonts w:ascii="Arial" w:hAnsi="Arial" w:cs="Arial"/>
                <w:b/>
                <w:color w:val="000000"/>
                <w:sz w:val="18"/>
                <w:szCs w:val="18"/>
                <w:lang w:val="en-GB"/>
              </w:rPr>
              <w:t xml:space="preserve"> d</w:t>
            </w:r>
            <w:r w:rsidRPr="00F26A3E">
              <w:rPr>
                <w:rFonts w:ascii="Arial" w:hAnsi="Arial" w:cs="Arial"/>
                <w:b/>
                <w:color w:val="000000"/>
                <w:sz w:val="18"/>
                <w:szCs w:val="18"/>
                <w:lang w:val="en-GB"/>
              </w:rPr>
              <w:t>uty</w:t>
            </w:r>
          </w:p>
        </w:tc>
        <w:tc>
          <w:tcPr>
            <w:tcW w:w="990" w:type="dxa"/>
            <w:noWrap/>
            <w:hideMark/>
          </w:tcPr>
          <w:p w14:paraId="62488EB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410</w:t>
            </w:r>
          </w:p>
        </w:tc>
        <w:tc>
          <w:tcPr>
            <w:tcW w:w="1097" w:type="dxa"/>
            <w:noWrap/>
            <w:hideMark/>
          </w:tcPr>
          <w:p w14:paraId="1496FC4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530</w:t>
            </w:r>
          </w:p>
        </w:tc>
        <w:tc>
          <w:tcPr>
            <w:tcW w:w="1205" w:type="dxa"/>
            <w:noWrap/>
            <w:hideMark/>
          </w:tcPr>
          <w:p w14:paraId="7F594A2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515</w:t>
            </w:r>
          </w:p>
        </w:tc>
        <w:tc>
          <w:tcPr>
            <w:tcW w:w="1131" w:type="dxa"/>
            <w:noWrap/>
            <w:hideMark/>
          </w:tcPr>
          <w:p w14:paraId="1F7E4E2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718</w:t>
            </w:r>
          </w:p>
        </w:tc>
        <w:tc>
          <w:tcPr>
            <w:tcW w:w="1131" w:type="dxa"/>
            <w:noWrap/>
            <w:hideMark/>
          </w:tcPr>
          <w:p w14:paraId="4B89DB0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001</w:t>
            </w:r>
          </w:p>
        </w:tc>
        <w:tc>
          <w:tcPr>
            <w:tcW w:w="1131" w:type="dxa"/>
            <w:noWrap/>
            <w:hideMark/>
          </w:tcPr>
          <w:p w14:paraId="02A39A3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290</w:t>
            </w:r>
          </w:p>
        </w:tc>
        <w:tc>
          <w:tcPr>
            <w:tcW w:w="1064" w:type="dxa"/>
            <w:noWrap/>
            <w:hideMark/>
          </w:tcPr>
          <w:p w14:paraId="59601C8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136</w:t>
            </w:r>
          </w:p>
        </w:tc>
        <w:tc>
          <w:tcPr>
            <w:tcW w:w="1064" w:type="dxa"/>
            <w:noWrap/>
            <w:hideMark/>
          </w:tcPr>
          <w:p w14:paraId="57342EA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708</w:t>
            </w:r>
          </w:p>
        </w:tc>
        <w:tc>
          <w:tcPr>
            <w:tcW w:w="1064" w:type="dxa"/>
            <w:noWrap/>
            <w:hideMark/>
          </w:tcPr>
          <w:p w14:paraId="07EDCC6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100</w:t>
            </w:r>
          </w:p>
        </w:tc>
        <w:tc>
          <w:tcPr>
            <w:tcW w:w="1159" w:type="dxa"/>
            <w:noWrap/>
            <w:hideMark/>
          </w:tcPr>
          <w:p w14:paraId="48C847B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843.2</w:t>
            </w:r>
          </w:p>
        </w:tc>
      </w:tr>
      <w:tr w:rsidR="00D82A78" w:rsidRPr="00F26A3E" w14:paraId="4E695EC0" w14:textId="77777777" w:rsidTr="003B5E91">
        <w:trPr>
          <w:trHeight w:val="410"/>
          <w:tblHeader/>
        </w:trPr>
        <w:tc>
          <w:tcPr>
            <w:tcW w:w="1975" w:type="dxa"/>
            <w:hideMark/>
          </w:tcPr>
          <w:p w14:paraId="4998C947"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Sales</w:t>
            </w:r>
            <w:r>
              <w:rPr>
                <w:rFonts w:ascii="Arial" w:hAnsi="Arial" w:cs="Arial"/>
                <w:b/>
                <w:color w:val="000000"/>
                <w:sz w:val="18"/>
                <w:szCs w:val="18"/>
                <w:lang w:val="en-GB"/>
              </w:rPr>
              <w:t xml:space="preserve"> r</w:t>
            </w:r>
            <w:r w:rsidRPr="00F26A3E">
              <w:rPr>
                <w:rFonts w:ascii="Arial" w:hAnsi="Arial" w:cs="Arial"/>
                <w:b/>
                <w:color w:val="000000"/>
                <w:sz w:val="18"/>
                <w:szCs w:val="18"/>
                <w:lang w:val="en-GB"/>
              </w:rPr>
              <w:t>evenue</w:t>
            </w:r>
            <w:r>
              <w:rPr>
                <w:rFonts w:ascii="Arial" w:hAnsi="Arial" w:cs="Arial"/>
                <w:b/>
                <w:color w:val="000000"/>
                <w:sz w:val="18"/>
                <w:szCs w:val="18"/>
                <w:lang w:val="en-GB"/>
              </w:rPr>
              <w:t xml:space="preserve"> </w:t>
            </w:r>
            <w:r>
              <w:rPr>
                <w:rFonts w:ascii="Arial" w:hAnsi="Arial" w:cs="Arial"/>
                <w:b/>
                <w:color w:val="000000"/>
                <w:sz w:val="18"/>
                <w:szCs w:val="18"/>
                <w:lang w:val="en-GB"/>
              </w:rPr>
              <w:br/>
            </w:r>
            <w:r w:rsidRPr="00F26A3E">
              <w:rPr>
                <w:rFonts w:ascii="Arial" w:hAnsi="Arial" w:cs="Arial"/>
                <w:b/>
                <w:color w:val="000000"/>
                <w:sz w:val="18"/>
                <w:szCs w:val="18"/>
                <w:lang w:val="en-GB"/>
              </w:rPr>
              <w:t>(</w:t>
            </w:r>
            <w:r>
              <w:rPr>
                <w:rFonts w:ascii="Arial" w:hAnsi="Arial" w:cs="Arial"/>
                <w:b/>
                <w:color w:val="000000"/>
                <w:sz w:val="18"/>
                <w:szCs w:val="18"/>
                <w:lang w:val="en-GB"/>
              </w:rPr>
              <w:t>n</w:t>
            </w:r>
            <w:r w:rsidRPr="00F26A3E">
              <w:rPr>
                <w:rFonts w:ascii="Arial" w:hAnsi="Arial" w:cs="Arial"/>
                <w:b/>
                <w:color w:val="000000"/>
                <w:sz w:val="18"/>
                <w:szCs w:val="18"/>
                <w:lang w:val="en-GB"/>
              </w:rPr>
              <w:t>et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of</w:t>
            </w:r>
            <w:r>
              <w:rPr>
                <w:rFonts w:ascii="Arial" w:hAnsi="Arial" w:cs="Arial"/>
                <w:b/>
                <w:color w:val="000000"/>
                <w:sz w:val="18"/>
                <w:szCs w:val="18"/>
                <w:lang w:val="en-GB"/>
              </w:rPr>
              <w:t xml:space="preserve"> e</w:t>
            </w:r>
            <w:r w:rsidRPr="00F26A3E">
              <w:rPr>
                <w:rFonts w:ascii="Arial" w:hAnsi="Arial" w:cs="Arial"/>
                <w:b/>
                <w:color w:val="000000"/>
                <w:sz w:val="18"/>
                <w:szCs w:val="18"/>
                <w:lang w:val="en-GB"/>
              </w:rPr>
              <w:t>xcise</w:t>
            </w:r>
            <w:r>
              <w:rPr>
                <w:rFonts w:ascii="Arial" w:hAnsi="Arial" w:cs="Arial"/>
                <w:b/>
                <w:color w:val="000000"/>
                <w:sz w:val="18"/>
                <w:szCs w:val="18"/>
                <w:lang w:val="en-GB"/>
              </w:rPr>
              <w:t xml:space="preserve"> d</w:t>
            </w:r>
            <w:r w:rsidRPr="00F26A3E">
              <w:rPr>
                <w:rFonts w:ascii="Arial" w:hAnsi="Arial" w:cs="Arial"/>
                <w:b/>
                <w:color w:val="000000"/>
                <w:sz w:val="18"/>
                <w:szCs w:val="18"/>
                <w:lang w:val="en-GB"/>
              </w:rPr>
              <w:t>uty)</w:t>
            </w:r>
          </w:p>
        </w:tc>
        <w:tc>
          <w:tcPr>
            <w:tcW w:w="990" w:type="dxa"/>
            <w:noWrap/>
            <w:hideMark/>
          </w:tcPr>
          <w:p w14:paraId="056E8AA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109</w:t>
            </w:r>
          </w:p>
        </w:tc>
        <w:tc>
          <w:tcPr>
            <w:tcW w:w="1097" w:type="dxa"/>
            <w:noWrap/>
            <w:hideMark/>
          </w:tcPr>
          <w:p w14:paraId="7CC9E4A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921</w:t>
            </w:r>
          </w:p>
        </w:tc>
        <w:tc>
          <w:tcPr>
            <w:tcW w:w="1205" w:type="dxa"/>
            <w:noWrap/>
            <w:hideMark/>
          </w:tcPr>
          <w:p w14:paraId="6856FA5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w:t>
            </w:r>
            <w:r>
              <w:rPr>
                <w:rFonts w:ascii="Arial" w:hAnsi="Arial" w:cs="Arial"/>
                <w:color w:val="000000"/>
                <w:sz w:val="18"/>
                <w:szCs w:val="18"/>
                <w:lang w:val="en-GB"/>
              </w:rPr>
              <w:t>,</w:t>
            </w:r>
            <w:r w:rsidRPr="00F26A3E">
              <w:rPr>
                <w:rFonts w:ascii="Arial" w:hAnsi="Arial" w:cs="Arial"/>
                <w:color w:val="000000"/>
                <w:sz w:val="18"/>
                <w:szCs w:val="18"/>
                <w:lang w:val="en-GB"/>
              </w:rPr>
              <w:t>794</w:t>
            </w:r>
          </w:p>
        </w:tc>
        <w:tc>
          <w:tcPr>
            <w:tcW w:w="1131" w:type="dxa"/>
            <w:noWrap/>
            <w:hideMark/>
          </w:tcPr>
          <w:p w14:paraId="6BCFDE7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266</w:t>
            </w:r>
          </w:p>
        </w:tc>
        <w:tc>
          <w:tcPr>
            <w:tcW w:w="1131" w:type="dxa"/>
            <w:noWrap/>
            <w:hideMark/>
          </w:tcPr>
          <w:p w14:paraId="2096277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13</w:t>
            </w:r>
            <w:r>
              <w:rPr>
                <w:rFonts w:ascii="Arial" w:hAnsi="Arial" w:cs="Arial"/>
                <w:color w:val="000000"/>
                <w:sz w:val="18"/>
                <w:szCs w:val="18"/>
                <w:lang w:val="en-GB"/>
              </w:rPr>
              <w:t>,</w:t>
            </w:r>
            <w:r w:rsidRPr="00F26A3E">
              <w:rPr>
                <w:rFonts w:ascii="Arial" w:hAnsi="Arial" w:cs="Arial"/>
                <w:color w:val="000000"/>
                <w:sz w:val="18"/>
                <w:szCs w:val="18"/>
                <w:lang w:val="en-GB"/>
              </w:rPr>
              <w:t>647</w:t>
            </w:r>
          </w:p>
        </w:tc>
        <w:tc>
          <w:tcPr>
            <w:tcW w:w="1131" w:type="dxa"/>
            <w:noWrap/>
            <w:hideMark/>
          </w:tcPr>
          <w:p w14:paraId="3B73D41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826</w:t>
            </w:r>
          </w:p>
        </w:tc>
        <w:tc>
          <w:tcPr>
            <w:tcW w:w="1064" w:type="dxa"/>
            <w:noWrap/>
            <w:hideMark/>
          </w:tcPr>
          <w:p w14:paraId="659D7A5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16</w:t>
            </w:r>
            <w:r>
              <w:rPr>
                <w:rFonts w:ascii="Arial" w:hAnsi="Arial" w:cs="Arial"/>
                <w:color w:val="000000"/>
                <w:sz w:val="18"/>
                <w:szCs w:val="18"/>
                <w:lang w:val="en-GB"/>
              </w:rPr>
              <w:t>,</w:t>
            </w:r>
            <w:r w:rsidRPr="00F26A3E">
              <w:rPr>
                <w:rFonts w:ascii="Arial" w:hAnsi="Arial" w:cs="Arial"/>
                <w:color w:val="000000"/>
                <w:sz w:val="18"/>
                <w:szCs w:val="18"/>
                <w:lang w:val="en-GB"/>
              </w:rPr>
              <w:t>672</w:t>
            </w:r>
          </w:p>
        </w:tc>
        <w:tc>
          <w:tcPr>
            <w:tcW w:w="1064" w:type="dxa"/>
            <w:noWrap/>
            <w:hideMark/>
          </w:tcPr>
          <w:p w14:paraId="656AFD3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820</w:t>
            </w:r>
          </w:p>
        </w:tc>
        <w:tc>
          <w:tcPr>
            <w:tcW w:w="1064" w:type="dxa"/>
            <w:noWrap/>
            <w:hideMark/>
          </w:tcPr>
          <w:p w14:paraId="5482491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w:t>
            </w:r>
            <w:r>
              <w:rPr>
                <w:rFonts w:ascii="Arial" w:hAnsi="Arial" w:cs="Arial"/>
                <w:color w:val="000000"/>
                <w:sz w:val="18"/>
                <w:szCs w:val="18"/>
                <w:lang w:val="en-GB"/>
              </w:rPr>
              <w:t>,</w:t>
            </w:r>
            <w:r w:rsidRPr="00F26A3E">
              <w:rPr>
                <w:rFonts w:ascii="Arial" w:hAnsi="Arial" w:cs="Arial"/>
                <w:color w:val="000000"/>
                <w:sz w:val="18"/>
                <w:szCs w:val="18"/>
                <w:lang w:val="en-GB"/>
              </w:rPr>
              <w:t>626</w:t>
            </w:r>
          </w:p>
        </w:tc>
        <w:tc>
          <w:tcPr>
            <w:tcW w:w="1159" w:type="dxa"/>
            <w:noWrap/>
            <w:hideMark/>
          </w:tcPr>
          <w:p w14:paraId="253A736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874.6</w:t>
            </w:r>
          </w:p>
        </w:tc>
      </w:tr>
      <w:tr w:rsidR="00D82A78" w:rsidRPr="00F26A3E" w14:paraId="7B8A351C" w14:textId="77777777" w:rsidTr="003B5E91">
        <w:trPr>
          <w:trHeight w:val="449"/>
          <w:tblHeader/>
        </w:trPr>
        <w:tc>
          <w:tcPr>
            <w:tcW w:w="1975" w:type="dxa"/>
            <w:hideMark/>
          </w:tcPr>
          <w:p w14:paraId="3B64D806"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Profit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before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interest,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depreciation</w:t>
            </w:r>
            <w:r>
              <w:rPr>
                <w:rFonts w:ascii="Arial" w:hAnsi="Arial" w:cs="Arial"/>
                <w:b/>
                <w:color w:val="000000"/>
                <w:sz w:val="18"/>
                <w:szCs w:val="18"/>
                <w:lang w:val="en-GB"/>
              </w:rPr>
              <w:t xml:space="preserve">, </w:t>
            </w:r>
            <w:r w:rsidRPr="00F26A3E">
              <w:rPr>
                <w:rFonts w:ascii="Arial" w:hAnsi="Arial" w:cs="Arial"/>
                <w:b/>
                <w:color w:val="000000"/>
                <w:sz w:val="18"/>
                <w:szCs w:val="18"/>
                <w:lang w:val="en-GB"/>
              </w:rPr>
              <w:t>and</w:t>
            </w:r>
            <w:r>
              <w:rPr>
                <w:rFonts w:ascii="Arial" w:hAnsi="Arial" w:cs="Arial"/>
                <w:b/>
                <w:color w:val="000000"/>
                <w:sz w:val="18"/>
                <w:szCs w:val="18"/>
                <w:lang w:val="en-GB"/>
              </w:rPr>
              <w:t xml:space="preserve"> </w:t>
            </w:r>
            <w:r w:rsidRPr="00F26A3E">
              <w:rPr>
                <w:rFonts w:ascii="Arial" w:hAnsi="Arial" w:cs="Arial"/>
                <w:b/>
                <w:color w:val="000000"/>
                <w:sz w:val="18"/>
                <w:szCs w:val="18"/>
                <w:lang w:val="en-GB"/>
              </w:rPr>
              <w:t>tax</w:t>
            </w:r>
            <w:r>
              <w:rPr>
                <w:rFonts w:ascii="Arial" w:hAnsi="Arial" w:cs="Arial"/>
                <w:b/>
                <w:color w:val="000000"/>
                <w:sz w:val="18"/>
                <w:szCs w:val="18"/>
                <w:lang w:val="en-GB"/>
              </w:rPr>
              <w:t>es</w:t>
            </w:r>
          </w:p>
        </w:tc>
        <w:tc>
          <w:tcPr>
            <w:tcW w:w="990" w:type="dxa"/>
            <w:noWrap/>
            <w:hideMark/>
          </w:tcPr>
          <w:p w14:paraId="26C023B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267</w:t>
            </w:r>
          </w:p>
        </w:tc>
        <w:tc>
          <w:tcPr>
            <w:tcW w:w="1097" w:type="dxa"/>
            <w:noWrap/>
            <w:hideMark/>
          </w:tcPr>
          <w:p w14:paraId="3426EC8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353</w:t>
            </w:r>
          </w:p>
        </w:tc>
        <w:tc>
          <w:tcPr>
            <w:tcW w:w="1205" w:type="dxa"/>
            <w:noWrap/>
            <w:hideMark/>
          </w:tcPr>
          <w:p w14:paraId="544D216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429</w:t>
            </w:r>
          </w:p>
        </w:tc>
        <w:tc>
          <w:tcPr>
            <w:tcW w:w="1131" w:type="dxa"/>
            <w:noWrap/>
            <w:hideMark/>
          </w:tcPr>
          <w:p w14:paraId="2E0854C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790</w:t>
            </w:r>
          </w:p>
        </w:tc>
        <w:tc>
          <w:tcPr>
            <w:tcW w:w="1131" w:type="dxa"/>
            <w:noWrap/>
            <w:hideMark/>
          </w:tcPr>
          <w:p w14:paraId="10A810C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238</w:t>
            </w:r>
          </w:p>
        </w:tc>
        <w:tc>
          <w:tcPr>
            <w:tcW w:w="1131" w:type="dxa"/>
            <w:noWrap/>
            <w:hideMark/>
          </w:tcPr>
          <w:p w14:paraId="1A98A9F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442</w:t>
            </w:r>
          </w:p>
        </w:tc>
        <w:tc>
          <w:tcPr>
            <w:tcW w:w="1064" w:type="dxa"/>
            <w:noWrap/>
            <w:hideMark/>
          </w:tcPr>
          <w:p w14:paraId="6DBE26E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940</w:t>
            </w:r>
          </w:p>
        </w:tc>
        <w:tc>
          <w:tcPr>
            <w:tcW w:w="1064" w:type="dxa"/>
            <w:noWrap/>
            <w:hideMark/>
          </w:tcPr>
          <w:p w14:paraId="32E642A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368</w:t>
            </w:r>
          </w:p>
        </w:tc>
        <w:tc>
          <w:tcPr>
            <w:tcW w:w="1064" w:type="dxa"/>
            <w:noWrap/>
            <w:hideMark/>
          </w:tcPr>
          <w:p w14:paraId="4697F46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456</w:t>
            </w:r>
          </w:p>
        </w:tc>
        <w:tc>
          <w:tcPr>
            <w:tcW w:w="1159" w:type="dxa"/>
            <w:noWrap/>
            <w:hideMark/>
          </w:tcPr>
          <w:p w14:paraId="4E89122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333.3</w:t>
            </w:r>
          </w:p>
        </w:tc>
      </w:tr>
      <w:tr w:rsidR="00D82A78" w:rsidRPr="00F26A3E" w14:paraId="0FCB7D2A" w14:textId="77777777" w:rsidTr="003B5E91">
        <w:trPr>
          <w:trHeight w:val="45"/>
          <w:tblHeader/>
        </w:trPr>
        <w:tc>
          <w:tcPr>
            <w:tcW w:w="1975" w:type="dxa"/>
            <w:hideMark/>
          </w:tcPr>
          <w:p w14:paraId="0024764D"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Interest</w:t>
            </w:r>
          </w:p>
        </w:tc>
        <w:tc>
          <w:tcPr>
            <w:tcW w:w="990" w:type="dxa"/>
            <w:noWrap/>
            <w:hideMark/>
          </w:tcPr>
          <w:p w14:paraId="11DB16A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41</w:t>
            </w:r>
          </w:p>
        </w:tc>
        <w:tc>
          <w:tcPr>
            <w:tcW w:w="1097" w:type="dxa"/>
            <w:noWrap/>
            <w:hideMark/>
          </w:tcPr>
          <w:p w14:paraId="1D00E4B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34</w:t>
            </w:r>
          </w:p>
        </w:tc>
        <w:tc>
          <w:tcPr>
            <w:tcW w:w="1205" w:type="dxa"/>
            <w:noWrap/>
            <w:hideMark/>
          </w:tcPr>
          <w:p w14:paraId="4653968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35</w:t>
            </w:r>
          </w:p>
        </w:tc>
        <w:tc>
          <w:tcPr>
            <w:tcW w:w="1131" w:type="dxa"/>
            <w:noWrap/>
            <w:hideMark/>
          </w:tcPr>
          <w:p w14:paraId="0FC2BF1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43</w:t>
            </w:r>
          </w:p>
        </w:tc>
        <w:tc>
          <w:tcPr>
            <w:tcW w:w="1131" w:type="dxa"/>
            <w:noWrap/>
            <w:hideMark/>
          </w:tcPr>
          <w:p w14:paraId="3D29AD7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24</w:t>
            </w:r>
          </w:p>
        </w:tc>
        <w:tc>
          <w:tcPr>
            <w:tcW w:w="1131" w:type="dxa"/>
            <w:noWrap/>
            <w:hideMark/>
          </w:tcPr>
          <w:p w14:paraId="02F0C5D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223</w:t>
            </w:r>
          </w:p>
        </w:tc>
        <w:tc>
          <w:tcPr>
            <w:tcW w:w="1064" w:type="dxa"/>
            <w:noWrap/>
            <w:hideMark/>
          </w:tcPr>
          <w:p w14:paraId="69E181A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169</w:t>
            </w:r>
          </w:p>
        </w:tc>
        <w:tc>
          <w:tcPr>
            <w:tcW w:w="1064" w:type="dxa"/>
            <w:noWrap/>
            <w:hideMark/>
          </w:tcPr>
          <w:p w14:paraId="0B3782E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148</w:t>
            </w:r>
          </w:p>
        </w:tc>
        <w:tc>
          <w:tcPr>
            <w:tcW w:w="1064" w:type="dxa"/>
            <w:noWrap/>
            <w:hideMark/>
          </w:tcPr>
          <w:p w14:paraId="6BA6320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190</w:t>
            </w:r>
          </w:p>
        </w:tc>
        <w:tc>
          <w:tcPr>
            <w:tcW w:w="1159" w:type="dxa"/>
            <w:noWrap/>
            <w:hideMark/>
          </w:tcPr>
          <w:p w14:paraId="61DA53B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35.9</w:t>
            </w:r>
          </w:p>
        </w:tc>
      </w:tr>
      <w:tr w:rsidR="00D82A78" w:rsidRPr="00F26A3E" w14:paraId="4E1C8D98" w14:textId="77777777" w:rsidTr="003B5E91">
        <w:trPr>
          <w:trHeight w:val="45"/>
          <w:tblHeader/>
        </w:trPr>
        <w:tc>
          <w:tcPr>
            <w:tcW w:w="1975" w:type="dxa"/>
            <w:hideMark/>
          </w:tcPr>
          <w:p w14:paraId="0C8D5F45"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Depreciation</w:t>
            </w:r>
          </w:p>
        </w:tc>
        <w:tc>
          <w:tcPr>
            <w:tcW w:w="990" w:type="dxa"/>
            <w:noWrap/>
            <w:hideMark/>
          </w:tcPr>
          <w:p w14:paraId="268C979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48</w:t>
            </w:r>
          </w:p>
        </w:tc>
        <w:tc>
          <w:tcPr>
            <w:tcW w:w="1097" w:type="dxa"/>
            <w:noWrap/>
            <w:hideMark/>
          </w:tcPr>
          <w:p w14:paraId="7AA00DD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62</w:t>
            </w:r>
          </w:p>
        </w:tc>
        <w:tc>
          <w:tcPr>
            <w:tcW w:w="1205" w:type="dxa"/>
            <w:noWrap/>
            <w:hideMark/>
          </w:tcPr>
          <w:p w14:paraId="693FBB5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94</w:t>
            </w:r>
          </w:p>
        </w:tc>
        <w:tc>
          <w:tcPr>
            <w:tcW w:w="1131" w:type="dxa"/>
            <w:noWrap/>
            <w:hideMark/>
          </w:tcPr>
          <w:p w14:paraId="4D03928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161</w:t>
            </w:r>
          </w:p>
        </w:tc>
        <w:tc>
          <w:tcPr>
            <w:tcW w:w="1131" w:type="dxa"/>
            <w:noWrap/>
            <w:hideMark/>
          </w:tcPr>
          <w:p w14:paraId="1D1A657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423</w:t>
            </w:r>
          </w:p>
        </w:tc>
        <w:tc>
          <w:tcPr>
            <w:tcW w:w="1131" w:type="dxa"/>
            <w:noWrap/>
            <w:hideMark/>
          </w:tcPr>
          <w:p w14:paraId="18B4820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484</w:t>
            </w:r>
          </w:p>
        </w:tc>
        <w:tc>
          <w:tcPr>
            <w:tcW w:w="1064" w:type="dxa"/>
            <w:noWrap/>
            <w:hideMark/>
          </w:tcPr>
          <w:p w14:paraId="5FEDAFB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502</w:t>
            </w:r>
          </w:p>
        </w:tc>
        <w:tc>
          <w:tcPr>
            <w:tcW w:w="1064" w:type="dxa"/>
            <w:noWrap/>
            <w:hideMark/>
          </w:tcPr>
          <w:p w14:paraId="3C7B09E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451</w:t>
            </w:r>
          </w:p>
        </w:tc>
        <w:tc>
          <w:tcPr>
            <w:tcW w:w="1064" w:type="dxa"/>
            <w:noWrap/>
            <w:hideMark/>
          </w:tcPr>
          <w:p w14:paraId="57369CA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508</w:t>
            </w:r>
          </w:p>
        </w:tc>
        <w:tc>
          <w:tcPr>
            <w:tcW w:w="1159" w:type="dxa"/>
            <w:noWrap/>
            <w:hideMark/>
          </w:tcPr>
          <w:p w14:paraId="6524C16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152</w:t>
            </w:r>
          </w:p>
        </w:tc>
      </w:tr>
      <w:tr w:rsidR="00D82A78" w:rsidRPr="00F26A3E" w14:paraId="5ECFCB41" w14:textId="77777777" w:rsidTr="003B5E91">
        <w:trPr>
          <w:trHeight w:val="45"/>
          <w:tblHeader/>
        </w:trPr>
        <w:tc>
          <w:tcPr>
            <w:tcW w:w="1975" w:type="dxa"/>
            <w:hideMark/>
          </w:tcPr>
          <w:p w14:paraId="3870DFC1"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Profit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before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tax</w:t>
            </w:r>
            <w:r>
              <w:rPr>
                <w:rFonts w:ascii="Arial" w:hAnsi="Arial" w:cs="Arial"/>
                <w:b/>
                <w:color w:val="000000"/>
                <w:sz w:val="18"/>
                <w:szCs w:val="18"/>
                <w:lang w:val="en-GB"/>
              </w:rPr>
              <w:t>es</w:t>
            </w:r>
          </w:p>
        </w:tc>
        <w:tc>
          <w:tcPr>
            <w:tcW w:w="990" w:type="dxa"/>
            <w:noWrap/>
            <w:hideMark/>
          </w:tcPr>
          <w:p w14:paraId="5D44B94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178</w:t>
            </w:r>
          </w:p>
        </w:tc>
        <w:tc>
          <w:tcPr>
            <w:tcW w:w="1097" w:type="dxa"/>
            <w:noWrap/>
            <w:hideMark/>
          </w:tcPr>
          <w:p w14:paraId="3085455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257</w:t>
            </w:r>
          </w:p>
        </w:tc>
        <w:tc>
          <w:tcPr>
            <w:tcW w:w="1205" w:type="dxa"/>
            <w:noWrap/>
            <w:hideMark/>
          </w:tcPr>
          <w:p w14:paraId="03C2054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300</w:t>
            </w:r>
          </w:p>
        </w:tc>
        <w:tc>
          <w:tcPr>
            <w:tcW w:w="1131" w:type="dxa"/>
            <w:noWrap/>
            <w:hideMark/>
          </w:tcPr>
          <w:p w14:paraId="45524DF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586</w:t>
            </w:r>
          </w:p>
        </w:tc>
        <w:tc>
          <w:tcPr>
            <w:tcW w:w="1131" w:type="dxa"/>
            <w:noWrap/>
            <w:hideMark/>
          </w:tcPr>
          <w:p w14:paraId="0186B5C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791</w:t>
            </w:r>
          </w:p>
        </w:tc>
        <w:tc>
          <w:tcPr>
            <w:tcW w:w="1131" w:type="dxa"/>
            <w:noWrap/>
            <w:hideMark/>
          </w:tcPr>
          <w:p w14:paraId="27F88F7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735</w:t>
            </w:r>
          </w:p>
        </w:tc>
        <w:tc>
          <w:tcPr>
            <w:tcW w:w="1064" w:type="dxa"/>
            <w:noWrap/>
            <w:hideMark/>
          </w:tcPr>
          <w:p w14:paraId="05A407C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269</w:t>
            </w:r>
          </w:p>
        </w:tc>
        <w:tc>
          <w:tcPr>
            <w:tcW w:w="1064" w:type="dxa"/>
            <w:noWrap/>
            <w:hideMark/>
          </w:tcPr>
          <w:p w14:paraId="00CBD40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769</w:t>
            </w:r>
          </w:p>
        </w:tc>
        <w:tc>
          <w:tcPr>
            <w:tcW w:w="1064" w:type="dxa"/>
            <w:noWrap/>
            <w:hideMark/>
          </w:tcPr>
          <w:p w14:paraId="2690A64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758</w:t>
            </w:r>
          </w:p>
        </w:tc>
        <w:tc>
          <w:tcPr>
            <w:tcW w:w="1159" w:type="dxa"/>
            <w:noWrap/>
            <w:hideMark/>
          </w:tcPr>
          <w:p w14:paraId="1647E2A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349.6</w:t>
            </w:r>
          </w:p>
        </w:tc>
      </w:tr>
      <w:tr w:rsidR="00D82A78" w:rsidRPr="00F26A3E" w14:paraId="24F48381" w14:textId="77777777" w:rsidTr="003B5E91">
        <w:trPr>
          <w:trHeight w:val="45"/>
          <w:tblHeader/>
        </w:trPr>
        <w:tc>
          <w:tcPr>
            <w:tcW w:w="1975" w:type="dxa"/>
            <w:hideMark/>
          </w:tcPr>
          <w:p w14:paraId="64B57698"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Exceptional</w:t>
            </w:r>
            <w:r>
              <w:rPr>
                <w:rFonts w:ascii="Arial" w:hAnsi="Arial" w:cs="Arial"/>
                <w:b/>
                <w:color w:val="000000"/>
                <w:sz w:val="18"/>
                <w:szCs w:val="18"/>
                <w:lang w:val="en-GB"/>
              </w:rPr>
              <w:t xml:space="preserve"> </w:t>
            </w:r>
            <w:r w:rsidRPr="00F26A3E">
              <w:rPr>
                <w:rFonts w:ascii="Arial" w:hAnsi="Arial" w:cs="Arial"/>
                <w:b/>
                <w:color w:val="000000"/>
                <w:sz w:val="18"/>
                <w:szCs w:val="18"/>
                <w:lang w:val="en-GB"/>
              </w:rPr>
              <w:t>Item</w:t>
            </w:r>
          </w:p>
        </w:tc>
        <w:tc>
          <w:tcPr>
            <w:tcW w:w="990" w:type="dxa"/>
            <w:noWrap/>
            <w:hideMark/>
          </w:tcPr>
          <w:p w14:paraId="20939A55" w14:textId="77777777" w:rsidR="00D82A78" w:rsidRPr="00F26A3E" w:rsidRDefault="00D82A78" w:rsidP="003B5E91">
            <w:pPr>
              <w:jc w:val="center"/>
              <w:rPr>
                <w:rFonts w:ascii="Arial" w:hAnsi="Arial" w:cs="Arial"/>
                <w:color w:val="000000"/>
                <w:sz w:val="18"/>
                <w:szCs w:val="18"/>
                <w:lang w:val="en-GB"/>
              </w:rPr>
            </w:pPr>
          </w:p>
        </w:tc>
        <w:tc>
          <w:tcPr>
            <w:tcW w:w="1097" w:type="dxa"/>
            <w:noWrap/>
            <w:hideMark/>
          </w:tcPr>
          <w:p w14:paraId="5994850C" w14:textId="77777777" w:rsidR="00D82A78" w:rsidRPr="00F26A3E" w:rsidRDefault="00D82A78" w:rsidP="003B5E91">
            <w:pPr>
              <w:jc w:val="center"/>
              <w:rPr>
                <w:rFonts w:ascii="Arial" w:hAnsi="Arial" w:cs="Arial"/>
                <w:color w:val="000000"/>
                <w:sz w:val="18"/>
                <w:szCs w:val="18"/>
                <w:lang w:val="en-GB"/>
              </w:rPr>
            </w:pPr>
          </w:p>
        </w:tc>
        <w:tc>
          <w:tcPr>
            <w:tcW w:w="1205" w:type="dxa"/>
            <w:noWrap/>
            <w:hideMark/>
          </w:tcPr>
          <w:p w14:paraId="31C0F2DB" w14:textId="77777777" w:rsidR="00D82A78" w:rsidRPr="00F26A3E" w:rsidRDefault="00D82A78" w:rsidP="003B5E91">
            <w:pPr>
              <w:jc w:val="center"/>
              <w:rPr>
                <w:rFonts w:ascii="Arial" w:hAnsi="Arial" w:cs="Arial"/>
                <w:color w:val="000000"/>
                <w:sz w:val="18"/>
                <w:szCs w:val="18"/>
                <w:lang w:val="en-GB"/>
              </w:rPr>
            </w:pPr>
          </w:p>
        </w:tc>
        <w:tc>
          <w:tcPr>
            <w:tcW w:w="1131" w:type="dxa"/>
            <w:noWrap/>
            <w:hideMark/>
          </w:tcPr>
          <w:p w14:paraId="523178B3" w14:textId="77777777" w:rsidR="00D82A78" w:rsidRPr="00F26A3E" w:rsidRDefault="00D82A78" w:rsidP="003B5E91">
            <w:pPr>
              <w:jc w:val="center"/>
              <w:rPr>
                <w:rFonts w:ascii="Arial" w:hAnsi="Arial" w:cs="Arial"/>
                <w:color w:val="000000"/>
                <w:sz w:val="18"/>
                <w:szCs w:val="18"/>
                <w:lang w:val="en-GB"/>
              </w:rPr>
            </w:pPr>
          </w:p>
        </w:tc>
        <w:tc>
          <w:tcPr>
            <w:tcW w:w="1131" w:type="dxa"/>
            <w:noWrap/>
            <w:hideMark/>
          </w:tcPr>
          <w:p w14:paraId="4EF04D42" w14:textId="77777777" w:rsidR="00D82A78" w:rsidRPr="00F26A3E" w:rsidRDefault="00D82A78" w:rsidP="003B5E91">
            <w:pPr>
              <w:jc w:val="center"/>
              <w:rPr>
                <w:rFonts w:ascii="Arial" w:hAnsi="Arial" w:cs="Arial"/>
                <w:color w:val="000000"/>
                <w:sz w:val="18"/>
                <w:szCs w:val="18"/>
                <w:lang w:val="en-GB"/>
              </w:rPr>
            </w:pPr>
          </w:p>
        </w:tc>
        <w:tc>
          <w:tcPr>
            <w:tcW w:w="1131" w:type="dxa"/>
            <w:noWrap/>
            <w:hideMark/>
          </w:tcPr>
          <w:p w14:paraId="73D0BBD5" w14:textId="77777777" w:rsidR="00D82A78" w:rsidRPr="00F26A3E" w:rsidRDefault="00D82A78" w:rsidP="003B5E91">
            <w:pPr>
              <w:jc w:val="center"/>
              <w:rPr>
                <w:rFonts w:ascii="Arial" w:hAnsi="Arial" w:cs="Arial"/>
                <w:color w:val="000000"/>
                <w:sz w:val="18"/>
                <w:szCs w:val="18"/>
                <w:lang w:val="en-GB"/>
              </w:rPr>
            </w:pPr>
          </w:p>
        </w:tc>
        <w:tc>
          <w:tcPr>
            <w:tcW w:w="1064" w:type="dxa"/>
            <w:noWrap/>
            <w:hideMark/>
          </w:tcPr>
          <w:p w14:paraId="29C2D8E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667</w:t>
            </w:r>
          </w:p>
        </w:tc>
        <w:tc>
          <w:tcPr>
            <w:tcW w:w="1064" w:type="dxa"/>
            <w:noWrap/>
            <w:hideMark/>
          </w:tcPr>
          <w:p w14:paraId="33091AB9" w14:textId="77777777" w:rsidR="00D82A78" w:rsidRPr="00F26A3E" w:rsidRDefault="00D82A78" w:rsidP="003B5E91">
            <w:pPr>
              <w:jc w:val="center"/>
              <w:rPr>
                <w:rFonts w:ascii="Arial" w:hAnsi="Arial" w:cs="Arial"/>
                <w:color w:val="000000"/>
                <w:sz w:val="18"/>
                <w:szCs w:val="18"/>
                <w:lang w:val="en-GB"/>
              </w:rPr>
            </w:pPr>
          </w:p>
        </w:tc>
        <w:tc>
          <w:tcPr>
            <w:tcW w:w="1064" w:type="dxa"/>
            <w:noWrap/>
            <w:hideMark/>
          </w:tcPr>
          <w:p w14:paraId="7F52F322" w14:textId="77777777" w:rsidR="00D82A78" w:rsidRPr="00F26A3E" w:rsidRDefault="00D82A78" w:rsidP="003B5E91">
            <w:pPr>
              <w:jc w:val="center"/>
              <w:rPr>
                <w:rFonts w:ascii="Arial" w:hAnsi="Arial" w:cs="Arial"/>
                <w:color w:val="000000"/>
                <w:sz w:val="18"/>
                <w:szCs w:val="18"/>
                <w:lang w:val="en-GB"/>
              </w:rPr>
            </w:pPr>
          </w:p>
        </w:tc>
        <w:tc>
          <w:tcPr>
            <w:tcW w:w="1159" w:type="dxa"/>
            <w:noWrap/>
            <w:hideMark/>
          </w:tcPr>
          <w:p w14:paraId="2C466DF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204.2</w:t>
            </w:r>
          </w:p>
        </w:tc>
      </w:tr>
      <w:tr w:rsidR="00D82A78" w:rsidRPr="00F26A3E" w14:paraId="448D1339" w14:textId="77777777" w:rsidTr="003B5E91">
        <w:trPr>
          <w:trHeight w:val="205"/>
          <w:tblHeader/>
        </w:trPr>
        <w:tc>
          <w:tcPr>
            <w:tcW w:w="1975" w:type="dxa"/>
            <w:hideMark/>
          </w:tcPr>
          <w:p w14:paraId="5365B43E"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Profit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after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tax</w:t>
            </w:r>
            <w:r>
              <w:rPr>
                <w:rFonts w:ascii="Arial" w:hAnsi="Arial" w:cs="Arial"/>
                <w:b/>
                <w:color w:val="000000"/>
                <w:sz w:val="18"/>
                <w:szCs w:val="18"/>
                <w:lang w:val="en-GB"/>
              </w:rPr>
              <w:t>es</w:t>
            </w:r>
          </w:p>
        </w:tc>
        <w:tc>
          <w:tcPr>
            <w:tcW w:w="990" w:type="dxa"/>
            <w:noWrap/>
            <w:hideMark/>
          </w:tcPr>
          <w:p w14:paraId="7FC09A3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159</w:t>
            </w:r>
          </w:p>
        </w:tc>
        <w:tc>
          <w:tcPr>
            <w:tcW w:w="1097" w:type="dxa"/>
            <w:noWrap/>
            <w:hideMark/>
          </w:tcPr>
          <w:p w14:paraId="1AE84AA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235</w:t>
            </w:r>
          </w:p>
        </w:tc>
        <w:tc>
          <w:tcPr>
            <w:tcW w:w="1205" w:type="dxa"/>
            <w:noWrap/>
            <w:hideMark/>
          </w:tcPr>
          <w:p w14:paraId="5C85B8D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185</w:t>
            </w:r>
          </w:p>
        </w:tc>
        <w:tc>
          <w:tcPr>
            <w:tcW w:w="1131" w:type="dxa"/>
            <w:noWrap/>
            <w:hideMark/>
          </w:tcPr>
          <w:p w14:paraId="11121DA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375</w:t>
            </w:r>
          </w:p>
        </w:tc>
        <w:tc>
          <w:tcPr>
            <w:tcW w:w="1131" w:type="dxa"/>
            <w:noWrap/>
            <w:hideMark/>
          </w:tcPr>
          <w:p w14:paraId="7F09477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336</w:t>
            </w:r>
          </w:p>
        </w:tc>
        <w:tc>
          <w:tcPr>
            <w:tcW w:w="1131" w:type="dxa"/>
            <w:noWrap/>
            <w:hideMark/>
          </w:tcPr>
          <w:p w14:paraId="2206B2D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588</w:t>
            </w:r>
          </w:p>
        </w:tc>
        <w:tc>
          <w:tcPr>
            <w:tcW w:w="1064" w:type="dxa"/>
            <w:noWrap/>
            <w:hideMark/>
          </w:tcPr>
          <w:p w14:paraId="76078E1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119</w:t>
            </w:r>
          </w:p>
        </w:tc>
        <w:tc>
          <w:tcPr>
            <w:tcW w:w="1064" w:type="dxa"/>
            <w:noWrap/>
            <w:hideMark/>
          </w:tcPr>
          <w:p w14:paraId="1AE2D3B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527</w:t>
            </w:r>
          </w:p>
        </w:tc>
        <w:tc>
          <w:tcPr>
            <w:tcW w:w="1064" w:type="dxa"/>
            <w:noWrap/>
            <w:hideMark/>
          </w:tcPr>
          <w:p w14:paraId="0AE1A2F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548</w:t>
            </w:r>
          </w:p>
        </w:tc>
        <w:tc>
          <w:tcPr>
            <w:tcW w:w="1159" w:type="dxa"/>
            <w:noWrap/>
            <w:hideMark/>
          </w:tcPr>
          <w:p w14:paraId="0D34FAF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390</w:t>
            </w:r>
          </w:p>
        </w:tc>
      </w:tr>
      <w:tr w:rsidR="00D82A78" w:rsidRPr="00F26A3E" w14:paraId="1CD37807" w14:textId="77777777" w:rsidTr="003B5E91">
        <w:trPr>
          <w:trHeight w:val="45"/>
          <w:tblHeader/>
        </w:trPr>
        <w:tc>
          <w:tcPr>
            <w:tcW w:w="1975" w:type="dxa"/>
            <w:hideMark/>
          </w:tcPr>
          <w:p w14:paraId="732759B4"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Earnings</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990" w:type="dxa"/>
            <w:noWrap/>
            <w:hideMark/>
          </w:tcPr>
          <w:p w14:paraId="47A9531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7.93</w:t>
            </w:r>
          </w:p>
        </w:tc>
        <w:tc>
          <w:tcPr>
            <w:tcW w:w="1097" w:type="dxa"/>
            <w:noWrap/>
            <w:hideMark/>
          </w:tcPr>
          <w:p w14:paraId="45E5673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11.77</w:t>
            </w:r>
          </w:p>
        </w:tc>
        <w:tc>
          <w:tcPr>
            <w:tcW w:w="1205" w:type="dxa"/>
            <w:noWrap/>
            <w:hideMark/>
          </w:tcPr>
          <w:p w14:paraId="0CB52B8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9.24</w:t>
            </w:r>
          </w:p>
        </w:tc>
        <w:tc>
          <w:tcPr>
            <w:tcW w:w="1131" w:type="dxa"/>
            <w:noWrap/>
            <w:hideMark/>
          </w:tcPr>
          <w:p w14:paraId="1D53BAA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18.73</w:t>
            </w:r>
          </w:p>
        </w:tc>
        <w:tc>
          <w:tcPr>
            <w:tcW w:w="1131" w:type="dxa"/>
            <w:noWrap/>
            <w:hideMark/>
          </w:tcPr>
          <w:p w14:paraId="302B6B2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11.97</w:t>
            </w:r>
          </w:p>
        </w:tc>
        <w:tc>
          <w:tcPr>
            <w:tcW w:w="1131" w:type="dxa"/>
            <w:noWrap/>
            <w:hideMark/>
          </w:tcPr>
          <w:p w14:paraId="0CB9DD7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20.95</w:t>
            </w:r>
          </w:p>
        </w:tc>
        <w:tc>
          <w:tcPr>
            <w:tcW w:w="1064" w:type="dxa"/>
            <w:noWrap/>
            <w:hideMark/>
          </w:tcPr>
          <w:p w14:paraId="5172814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12.11</w:t>
            </w:r>
          </w:p>
        </w:tc>
        <w:tc>
          <w:tcPr>
            <w:tcW w:w="1064" w:type="dxa"/>
            <w:noWrap/>
            <w:hideMark/>
          </w:tcPr>
          <w:p w14:paraId="30D5CF6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18.77</w:t>
            </w:r>
          </w:p>
        </w:tc>
        <w:tc>
          <w:tcPr>
            <w:tcW w:w="1064" w:type="dxa"/>
            <w:noWrap/>
            <w:hideMark/>
          </w:tcPr>
          <w:p w14:paraId="1582FAD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19.59</w:t>
            </w:r>
          </w:p>
        </w:tc>
        <w:tc>
          <w:tcPr>
            <w:tcW w:w="1159" w:type="dxa"/>
            <w:noWrap/>
            <w:hideMark/>
          </w:tcPr>
          <w:p w14:paraId="5CDCC73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13.88</w:t>
            </w:r>
          </w:p>
        </w:tc>
      </w:tr>
      <w:tr w:rsidR="00D82A78" w:rsidRPr="00F26A3E" w14:paraId="39C104E8" w14:textId="77777777" w:rsidTr="003B5E91">
        <w:trPr>
          <w:trHeight w:val="205"/>
          <w:tblHeader/>
        </w:trPr>
        <w:tc>
          <w:tcPr>
            <w:tcW w:w="1975" w:type="dxa"/>
            <w:hideMark/>
          </w:tcPr>
          <w:p w14:paraId="77B05F5C"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Dividend</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990" w:type="dxa"/>
            <w:noWrap/>
            <w:hideMark/>
          </w:tcPr>
          <w:p w14:paraId="44473CD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2.00</w:t>
            </w:r>
          </w:p>
        </w:tc>
        <w:tc>
          <w:tcPr>
            <w:tcW w:w="1097" w:type="dxa"/>
            <w:noWrap/>
            <w:hideMark/>
          </w:tcPr>
          <w:p w14:paraId="7BF4E31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2.00</w:t>
            </w:r>
          </w:p>
        </w:tc>
        <w:tc>
          <w:tcPr>
            <w:tcW w:w="1205" w:type="dxa"/>
            <w:noWrap/>
            <w:hideMark/>
          </w:tcPr>
          <w:p w14:paraId="7CB88F9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2.50</w:t>
            </w:r>
          </w:p>
        </w:tc>
        <w:tc>
          <w:tcPr>
            <w:tcW w:w="1131" w:type="dxa"/>
            <w:noWrap/>
            <w:hideMark/>
          </w:tcPr>
          <w:p w14:paraId="4F68A01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3.50</w:t>
            </w:r>
          </w:p>
        </w:tc>
        <w:tc>
          <w:tcPr>
            <w:tcW w:w="1131" w:type="dxa"/>
            <w:noWrap/>
            <w:hideMark/>
          </w:tcPr>
          <w:p w14:paraId="7BD27A4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3.50</w:t>
            </w:r>
          </w:p>
        </w:tc>
        <w:tc>
          <w:tcPr>
            <w:tcW w:w="1131" w:type="dxa"/>
            <w:noWrap/>
            <w:hideMark/>
          </w:tcPr>
          <w:p w14:paraId="54A9F38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4.00</w:t>
            </w:r>
          </w:p>
        </w:tc>
        <w:tc>
          <w:tcPr>
            <w:tcW w:w="1064" w:type="dxa"/>
            <w:noWrap/>
            <w:hideMark/>
          </w:tcPr>
          <w:p w14:paraId="16F02DB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4.00</w:t>
            </w:r>
          </w:p>
        </w:tc>
        <w:tc>
          <w:tcPr>
            <w:tcW w:w="1064" w:type="dxa"/>
            <w:noWrap/>
            <w:hideMark/>
          </w:tcPr>
          <w:p w14:paraId="17170E7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29.00</w:t>
            </w:r>
          </w:p>
        </w:tc>
        <w:tc>
          <w:tcPr>
            <w:tcW w:w="1064" w:type="dxa"/>
            <w:noWrap/>
            <w:hideMark/>
          </w:tcPr>
          <w:p w14:paraId="6A91BEA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5.00</w:t>
            </w:r>
          </w:p>
        </w:tc>
        <w:tc>
          <w:tcPr>
            <w:tcW w:w="1159" w:type="dxa"/>
            <w:noWrap/>
            <w:hideMark/>
          </w:tcPr>
          <w:p w14:paraId="744C9A1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5.00</w:t>
            </w:r>
          </w:p>
        </w:tc>
      </w:tr>
      <w:tr w:rsidR="00D82A78" w:rsidRPr="00F26A3E" w14:paraId="1B8F54FB" w14:textId="77777777" w:rsidTr="003B5E91">
        <w:trPr>
          <w:trHeight w:val="45"/>
          <w:tblHeader/>
        </w:trPr>
        <w:tc>
          <w:tcPr>
            <w:tcW w:w="1975" w:type="dxa"/>
            <w:hideMark/>
          </w:tcPr>
          <w:p w14:paraId="3CE5FEF0"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Book</w:t>
            </w:r>
            <w:r>
              <w:rPr>
                <w:rFonts w:ascii="Arial" w:hAnsi="Arial" w:cs="Arial"/>
                <w:b/>
                <w:color w:val="000000"/>
                <w:sz w:val="18"/>
                <w:szCs w:val="18"/>
                <w:lang w:val="en-GB"/>
              </w:rPr>
              <w:t xml:space="preserve"> </w:t>
            </w:r>
            <w:r w:rsidRPr="00F26A3E">
              <w:rPr>
                <w:rFonts w:ascii="Arial" w:hAnsi="Arial" w:cs="Arial"/>
                <w:b/>
                <w:color w:val="000000"/>
                <w:sz w:val="18"/>
                <w:szCs w:val="18"/>
                <w:lang w:val="en-GB"/>
              </w:rPr>
              <w:t>value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990" w:type="dxa"/>
            <w:noWrap/>
            <w:hideMark/>
          </w:tcPr>
          <w:p w14:paraId="5E72220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27.80</w:t>
            </w:r>
          </w:p>
        </w:tc>
        <w:tc>
          <w:tcPr>
            <w:tcW w:w="1097" w:type="dxa"/>
            <w:noWrap/>
            <w:hideMark/>
          </w:tcPr>
          <w:p w14:paraId="5B90C63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37.60</w:t>
            </w:r>
          </w:p>
        </w:tc>
        <w:tc>
          <w:tcPr>
            <w:tcW w:w="1205" w:type="dxa"/>
            <w:noWrap/>
            <w:hideMark/>
          </w:tcPr>
          <w:p w14:paraId="5C109A4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22.50</w:t>
            </w:r>
          </w:p>
        </w:tc>
        <w:tc>
          <w:tcPr>
            <w:tcW w:w="1131" w:type="dxa"/>
            <w:noWrap/>
            <w:hideMark/>
          </w:tcPr>
          <w:p w14:paraId="03FC348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38.30</w:t>
            </w:r>
          </w:p>
        </w:tc>
        <w:tc>
          <w:tcPr>
            <w:tcW w:w="1131" w:type="dxa"/>
            <w:noWrap/>
            <w:hideMark/>
          </w:tcPr>
          <w:p w14:paraId="7D7897A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46.80</w:t>
            </w:r>
          </w:p>
        </w:tc>
        <w:tc>
          <w:tcPr>
            <w:tcW w:w="1131" w:type="dxa"/>
            <w:noWrap/>
            <w:hideMark/>
          </w:tcPr>
          <w:p w14:paraId="165ED5B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62.30</w:t>
            </w:r>
          </w:p>
        </w:tc>
        <w:tc>
          <w:tcPr>
            <w:tcW w:w="1064" w:type="dxa"/>
            <w:noWrap/>
            <w:hideMark/>
          </w:tcPr>
          <w:p w14:paraId="4F3A4EB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142.90</w:t>
            </w:r>
          </w:p>
        </w:tc>
        <w:tc>
          <w:tcPr>
            <w:tcW w:w="1064" w:type="dxa"/>
            <w:noWrap/>
            <w:hideMark/>
          </w:tcPr>
          <w:p w14:paraId="0AEA658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132.70</w:t>
            </w:r>
          </w:p>
        </w:tc>
        <w:tc>
          <w:tcPr>
            <w:tcW w:w="1064" w:type="dxa"/>
            <w:noWrap/>
            <w:hideMark/>
          </w:tcPr>
          <w:p w14:paraId="5D4685F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145.70</w:t>
            </w:r>
          </w:p>
        </w:tc>
        <w:tc>
          <w:tcPr>
            <w:tcW w:w="1159" w:type="dxa"/>
            <w:noWrap/>
            <w:hideMark/>
          </w:tcPr>
          <w:p w14:paraId="758F752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171.17</w:t>
            </w:r>
          </w:p>
        </w:tc>
      </w:tr>
      <w:tr w:rsidR="00D82A78" w:rsidRPr="00F26A3E" w14:paraId="14C91CB5" w14:textId="77777777" w:rsidTr="003B5E91">
        <w:trPr>
          <w:trHeight w:val="45"/>
          <w:tblHeader/>
        </w:trPr>
        <w:tc>
          <w:tcPr>
            <w:tcW w:w="1975" w:type="dxa"/>
            <w:hideMark/>
          </w:tcPr>
          <w:p w14:paraId="64BBF0FB"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Market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price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990" w:type="dxa"/>
            <w:noWrap/>
            <w:hideMark/>
          </w:tcPr>
          <w:p w14:paraId="1918B82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42.60</w:t>
            </w:r>
          </w:p>
        </w:tc>
        <w:tc>
          <w:tcPr>
            <w:tcW w:w="1097" w:type="dxa"/>
            <w:noWrap/>
            <w:hideMark/>
          </w:tcPr>
          <w:p w14:paraId="645EA53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23.30</w:t>
            </w:r>
          </w:p>
        </w:tc>
        <w:tc>
          <w:tcPr>
            <w:tcW w:w="1205" w:type="dxa"/>
            <w:noWrap/>
            <w:hideMark/>
          </w:tcPr>
          <w:p w14:paraId="1DF5D78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42.30</w:t>
            </w:r>
          </w:p>
        </w:tc>
        <w:tc>
          <w:tcPr>
            <w:tcW w:w="1131" w:type="dxa"/>
            <w:noWrap/>
            <w:hideMark/>
          </w:tcPr>
          <w:p w14:paraId="7B5AED2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67.10</w:t>
            </w:r>
          </w:p>
        </w:tc>
        <w:tc>
          <w:tcPr>
            <w:tcW w:w="1131" w:type="dxa"/>
            <w:noWrap/>
            <w:hideMark/>
          </w:tcPr>
          <w:p w14:paraId="6A48BC1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224.40</w:t>
            </w:r>
          </w:p>
        </w:tc>
        <w:tc>
          <w:tcPr>
            <w:tcW w:w="1131" w:type="dxa"/>
            <w:noWrap/>
            <w:hideMark/>
          </w:tcPr>
          <w:p w14:paraId="0364D72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310.20</w:t>
            </w:r>
          </w:p>
        </w:tc>
        <w:tc>
          <w:tcPr>
            <w:tcW w:w="1064" w:type="dxa"/>
            <w:noWrap/>
            <w:hideMark/>
          </w:tcPr>
          <w:p w14:paraId="4E9E1B3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302.40</w:t>
            </w:r>
          </w:p>
        </w:tc>
        <w:tc>
          <w:tcPr>
            <w:tcW w:w="1064" w:type="dxa"/>
            <w:noWrap/>
            <w:hideMark/>
          </w:tcPr>
          <w:p w14:paraId="22866A4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247.70</w:t>
            </w:r>
          </w:p>
        </w:tc>
        <w:tc>
          <w:tcPr>
            <w:tcW w:w="1064" w:type="dxa"/>
            <w:noWrap/>
            <w:hideMark/>
          </w:tcPr>
          <w:p w14:paraId="19A86EE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250.50</w:t>
            </w:r>
          </w:p>
        </w:tc>
        <w:tc>
          <w:tcPr>
            <w:tcW w:w="1159" w:type="dxa"/>
            <w:noWrap/>
            <w:hideMark/>
          </w:tcPr>
          <w:p w14:paraId="6DB35B7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235</w:t>
            </w:r>
            <w:r>
              <w:rPr>
                <w:rFonts w:ascii="Arial" w:hAnsi="Arial" w:cs="Arial"/>
                <w:color w:val="000000"/>
                <w:sz w:val="18"/>
                <w:szCs w:val="18"/>
                <w:lang w:val="en-GB"/>
              </w:rPr>
              <w:t>.00</w:t>
            </w:r>
          </w:p>
        </w:tc>
      </w:tr>
      <w:tr w:rsidR="00D82A78" w:rsidRPr="00F26A3E" w14:paraId="5EA404CE" w14:textId="77777777" w:rsidTr="003B5E91">
        <w:trPr>
          <w:trHeight w:val="410"/>
          <w:tblHeader/>
        </w:trPr>
        <w:tc>
          <w:tcPr>
            <w:tcW w:w="1975" w:type="dxa"/>
            <w:hideMark/>
          </w:tcPr>
          <w:p w14:paraId="025F0707"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N</w:t>
            </w:r>
            <w:r>
              <w:rPr>
                <w:rFonts w:ascii="Arial" w:hAnsi="Arial" w:cs="Arial"/>
                <w:b/>
                <w:color w:val="000000"/>
                <w:sz w:val="18"/>
                <w:szCs w:val="18"/>
                <w:lang w:val="en-GB"/>
              </w:rPr>
              <w:t xml:space="preserve">umber </w:t>
            </w:r>
            <w:r w:rsidRPr="00F26A3E">
              <w:rPr>
                <w:rFonts w:ascii="Arial" w:hAnsi="Arial" w:cs="Arial"/>
                <w:b/>
                <w:color w:val="000000"/>
                <w:sz w:val="18"/>
                <w:szCs w:val="18"/>
                <w:lang w:val="en-GB"/>
              </w:rPr>
              <w:t>of</w:t>
            </w:r>
            <w:r>
              <w:rPr>
                <w:rFonts w:ascii="Arial" w:hAnsi="Arial" w:cs="Arial"/>
                <w:b/>
                <w:color w:val="000000"/>
                <w:sz w:val="18"/>
                <w:szCs w:val="18"/>
                <w:lang w:val="en-GB"/>
              </w:rPr>
              <w:t xml:space="preserve"> </w:t>
            </w:r>
            <w:r w:rsidRPr="00F26A3E">
              <w:rPr>
                <w:rFonts w:ascii="Arial" w:hAnsi="Arial" w:cs="Arial"/>
                <w:b/>
                <w:color w:val="000000"/>
                <w:sz w:val="18"/>
                <w:szCs w:val="18"/>
                <w:lang w:val="en-GB"/>
              </w:rPr>
              <w:t>equity</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shares</w:t>
            </w:r>
            <w:r>
              <w:rPr>
                <w:rFonts w:ascii="Arial" w:hAnsi="Arial" w:cs="Arial"/>
                <w:b/>
                <w:color w:val="000000"/>
                <w:sz w:val="18"/>
                <w:szCs w:val="18"/>
                <w:lang w:val="en-GB"/>
              </w:rPr>
              <w:t xml:space="preserve"> </w:t>
            </w:r>
            <w:r w:rsidRPr="00F26A3E">
              <w:rPr>
                <w:rFonts w:ascii="Arial" w:hAnsi="Arial" w:cs="Arial"/>
                <w:b/>
                <w:color w:val="000000"/>
                <w:sz w:val="18"/>
                <w:szCs w:val="18"/>
                <w:lang w:val="en-GB"/>
              </w:rPr>
              <w:t>outstanding</w:t>
            </w:r>
          </w:p>
        </w:tc>
        <w:tc>
          <w:tcPr>
            <w:tcW w:w="990" w:type="dxa"/>
            <w:noWrap/>
            <w:hideMark/>
          </w:tcPr>
          <w:p w14:paraId="129D3EA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999</w:t>
            </w:r>
            <w:r>
              <w:rPr>
                <w:rFonts w:ascii="Arial" w:hAnsi="Arial" w:cs="Arial"/>
                <w:color w:val="000000"/>
                <w:sz w:val="18"/>
                <w:szCs w:val="18"/>
                <w:lang w:val="en-GB"/>
              </w:rPr>
              <w:t>,</w:t>
            </w:r>
            <w:r w:rsidRPr="00F26A3E">
              <w:rPr>
                <w:rFonts w:ascii="Arial" w:hAnsi="Arial" w:cs="Arial"/>
                <w:color w:val="000000"/>
                <w:sz w:val="18"/>
                <w:szCs w:val="18"/>
                <w:lang w:val="en-GB"/>
              </w:rPr>
              <w:t>200</w:t>
            </w:r>
          </w:p>
        </w:tc>
        <w:tc>
          <w:tcPr>
            <w:tcW w:w="1097" w:type="dxa"/>
            <w:noWrap/>
            <w:hideMark/>
          </w:tcPr>
          <w:p w14:paraId="357985D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999</w:t>
            </w:r>
            <w:r>
              <w:rPr>
                <w:rFonts w:ascii="Arial" w:hAnsi="Arial" w:cs="Arial"/>
                <w:color w:val="000000"/>
                <w:sz w:val="18"/>
                <w:szCs w:val="18"/>
                <w:lang w:val="en-GB"/>
              </w:rPr>
              <w:t>,</w:t>
            </w:r>
            <w:r w:rsidRPr="00F26A3E">
              <w:rPr>
                <w:rFonts w:ascii="Arial" w:hAnsi="Arial" w:cs="Arial"/>
                <w:color w:val="000000"/>
                <w:sz w:val="18"/>
                <w:szCs w:val="18"/>
                <w:lang w:val="en-GB"/>
              </w:rPr>
              <w:t>200</w:t>
            </w:r>
          </w:p>
        </w:tc>
        <w:tc>
          <w:tcPr>
            <w:tcW w:w="1205" w:type="dxa"/>
            <w:noWrap/>
            <w:hideMark/>
          </w:tcPr>
          <w:p w14:paraId="120FFBD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999</w:t>
            </w:r>
            <w:r>
              <w:rPr>
                <w:rFonts w:ascii="Arial" w:hAnsi="Arial" w:cs="Arial"/>
                <w:color w:val="000000"/>
                <w:sz w:val="18"/>
                <w:szCs w:val="18"/>
                <w:lang w:val="en-GB"/>
              </w:rPr>
              <w:t>,</w:t>
            </w:r>
            <w:r w:rsidRPr="00F26A3E">
              <w:rPr>
                <w:rFonts w:ascii="Arial" w:hAnsi="Arial" w:cs="Arial"/>
                <w:color w:val="000000"/>
                <w:sz w:val="18"/>
                <w:szCs w:val="18"/>
                <w:lang w:val="en-GB"/>
              </w:rPr>
              <w:t>200</w:t>
            </w:r>
          </w:p>
        </w:tc>
        <w:tc>
          <w:tcPr>
            <w:tcW w:w="1131" w:type="dxa"/>
            <w:noWrap/>
            <w:hideMark/>
          </w:tcPr>
          <w:p w14:paraId="0A3D618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999</w:t>
            </w:r>
            <w:r>
              <w:rPr>
                <w:rFonts w:ascii="Arial" w:hAnsi="Arial" w:cs="Arial"/>
                <w:color w:val="000000"/>
                <w:sz w:val="18"/>
                <w:szCs w:val="18"/>
                <w:lang w:val="en-GB"/>
              </w:rPr>
              <w:t>,</w:t>
            </w:r>
            <w:r w:rsidRPr="00F26A3E">
              <w:rPr>
                <w:rFonts w:ascii="Arial" w:hAnsi="Arial" w:cs="Arial"/>
                <w:color w:val="000000"/>
                <w:sz w:val="18"/>
                <w:szCs w:val="18"/>
                <w:lang w:val="en-GB"/>
              </w:rPr>
              <w:t>200</w:t>
            </w:r>
          </w:p>
        </w:tc>
        <w:tc>
          <w:tcPr>
            <w:tcW w:w="1131" w:type="dxa"/>
            <w:noWrap/>
            <w:hideMark/>
          </w:tcPr>
          <w:p w14:paraId="6FD3BD5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093</w:t>
            </w:r>
            <w:r>
              <w:rPr>
                <w:rFonts w:ascii="Arial" w:hAnsi="Arial" w:cs="Arial"/>
                <w:color w:val="000000"/>
                <w:sz w:val="18"/>
                <w:szCs w:val="18"/>
                <w:lang w:val="en-GB"/>
              </w:rPr>
              <w:t>,</w:t>
            </w:r>
            <w:r w:rsidRPr="00F26A3E">
              <w:rPr>
                <w:rFonts w:ascii="Arial" w:hAnsi="Arial" w:cs="Arial"/>
                <w:color w:val="000000"/>
                <w:sz w:val="18"/>
                <w:szCs w:val="18"/>
                <w:lang w:val="en-GB"/>
              </w:rPr>
              <w:t>950</w:t>
            </w:r>
          </w:p>
        </w:tc>
        <w:tc>
          <w:tcPr>
            <w:tcW w:w="1131" w:type="dxa"/>
            <w:noWrap/>
            <w:hideMark/>
          </w:tcPr>
          <w:p w14:paraId="2913235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093</w:t>
            </w:r>
            <w:r>
              <w:rPr>
                <w:rFonts w:ascii="Arial" w:hAnsi="Arial" w:cs="Arial"/>
                <w:color w:val="000000"/>
                <w:sz w:val="18"/>
                <w:szCs w:val="18"/>
                <w:lang w:val="en-GB"/>
              </w:rPr>
              <w:t>,</w:t>
            </w:r>
            <w:r w:rsidRPr="00F26A3E">
              <w:rPr>
                <w:rFonts w:ascii="Arial" w:hAnsi="Arial" w:cs="Arial"/>
                <w:color w:val="000000"/>
                <w:sz w:val="18"/>
                <w:szCs w:val="18"/>
                <w:lang w:val="en-GB"/>
              </w:rPr>
              <w:t>950</w:t>
            </w:r>
          </w:p>
        </w:tc>
        <w:tc>
          <w:tcPr>
            <w:tcW w:w="1064" w:type="dxa"/>
            <w:noWrap/>
            <w:hideMark/>
          </w:tcPr>
          <w:p w14:paraId="5E3ED88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093</w:t>
            </w:r>
            <w:r>
              <w:rPr>
                <w:rFonts w:ascii="Arial" w:hAnsi="Arial" w:cs="Arial"/>
                <w:color w:val="000000"/>
                <w:sz w:val="18"/>
                <w:szCs w:val="18"/>
                <w:lang w:val="en-GB"/>
              </w:rPr>
              <w:t>,</w:t>
            </w:r>
            <w:r w:rsidRPr="00F26A3E">
              <w:rPr>
                <w:rFonts w:ascii="Arial" w:hAnsi="Arial" w:cs="Arial"/>
                <w:color w:val="000000"/>
                <w:sz w:val="18"/>
                <w:szCs w:val="18"/>
                <w:lang w:val="en-GB"/>
              </w:rPr>
              <w:t>950</w:t>
            </w:r>
          </w:p>
        </w:tc>
        <w:tc>
          <w:tcPr>
            <w:tcW w:w="1064" w:type="dxa"/>
            <w:noWrap/>
            <w:hideMark/>
          </w:tcPr>
          <w:p w14:paraId="2C05A7C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093</w:t>
            </w:r>
            <w:r>
              <w:rPr>
                <w:rFonts w:ascii="Arial" w:hAnsi="Arial" w:cs="Arial"/>
                <w:color w:val="000000"/>
                <w:sz w:val="18"/>
                <w:szCs w:val="18"/>
                <w:lang w:val="en-GB"/>
              </w:rPr>
              <w:t>,</w:t>
            </w:r>
            <w:r w:rsidRPr="00F26A3E">
              <w:rPr>
                <w:rFonts w:ascii="Arial" w:hAnsi="Arial" w:cs="Arial"/>
                <w:color w:val="000000"/>
                <w:sz w:val="18"/>
                <w:szCs w:val="18"/>
                <w:lang w:val="en-GB"/>
              </w:rPr>
              <w:t>950</w:t>
            </w:r>
          </w:p>
        </w:tc>
        <w:tc>
          <w:tcPr>
            <w:tcW w:w="1064" w:type="dxa"/>
            <w:noWrap/>
            <w:hideMark/>
          </w:tcPr>
          <w:p w14:paraId="70027D5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093</w:t>
            </w:r>
            <w:r>
              <w:rPr>
                <w:rFonts w:ascii="Arial" w:hAnsi="Arial" w:cs="Arial"/>
                <w:color w:val="000000"/>
                <w:sz w:val="18"/>
                <w:szCs w:val="18"/>
                <w:lang w:val="en-GB"/>
              </w:rPr>
              <w:t>,</w:t>
            </w:r>
            <w:r w:rsidRPr="00F26A3E">
              <w:rPr>
                <w:rFonts w:ascii="Arial" w:hAnsi="Arial" w:cs="Arial"/>
                <w:color w:val="000000"/>
                <w:sz w:val="18"/>
                <w:szCs w:val="18"/>
                <w:lang w:val="en-GB"/>
              </w:rPr>
              <w:t>950</w:t>
            </w:r>
          </w:p>
        </w:tc>
        <w:tc>
          <w:tcPr>
            <w:tcW w:w="1159" w:type="dxa"/>
            <w:noWrap/>
            <w:hideMark/>
          </w:tcPr>
          <w:p w14:paraId="2A8F831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093</w:t>
            </w:r>
            <w:r>
              <w:rPr>
                <w:rFonts w:ascii="Arial" w:hAnsi="Arial" w:cs="Arial"/>
                <w:color w:val="000000"/>
                <w:sz w:val="18"/>
                <w:szCs w:val="18"/>
                <w:lang w:val="en-GB"/>
              </w:rPr>
              <w:t>,</w:t>
            </w:r>
            <w:r w:rsidRPr="00F26A3E">
              <w:rPr>
                <w:rFonts w:ascii="Arial" w:hAnsi="Arial" w:cs="Arial"/>
                <w:color w:val="000000"/>
                <w:sz w:val="18"/>
                <w:szCs w:val="18"/>
                <w:lang w:val="en-GB"/>
              </w:rPr>
              <w:t>950</w:t>
            </w:r>
          </w:p>
        </w:tc>
      </w:tr>
      <w:tr w:rsidR="00D82A78" w:rsidRPr="00F26A3E" w14:paraId="3F824872" w14:textId="77777777" w:rsidTr="003B5E91">
        <w:trPr>
          <w:trHeight w:val="205"/>
          <w:tblHeader/>
        </w:trPr>
        <w:tc>
          <w:tcPr>
            <w:tcW w:w="1975" w:type="dxa"/>
            <w:hideMark/>
          </w:tcPr>
          <w:p w14:paraId="555946AD"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Market</w:t>
            </w:r>
            <w:r>
              <w:rPr>
                <w:rFonts w:ascii="Arial" w:hAnsi="Arial" w:cs="Arial"/>
                <w:b/>
                <w:color w:val="000000"/>
                <w:sz w:val="18"/>
                <w:szCs w:val="18"/>
                <w:lang w:val="en-GB"/>
              </w:rPr>
              <w:t xml:space="preserve"> c</w:t>
            </w:r>
            <w:r w:rsidRPr="00F26A3E">
              <w:rPr>
                <w:rFonts w:ascii="Arial" w:hAnsi="Arial" w:cs="Arial"/>
                <w:b/>
                <w:color w:val="000000"/>
                <w:sz w:val="18"/>
                <w:szCs w:val="18"/>
                <w:lang w:val="en-GB"/>
              </w:rPr>
              <w:t>apitalization</w:t>
            </w:r>
          </w:p>
        </w:tc>
        <w:tc>
          <w:tcPr>
            <w:tcW w:w="990" w:type="dxa"/>
            <w:noWrap/>
            <w:hideMark/>
          </w:tcPr>
          <w:p w14:paraId="5CF92DA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852</w:t>
            </w:r>
          </w:p>
        </w:tc>
        <w:tc>
          <w:tcPr>
            <w:tcW w:w="1097" w:type="dxa"/>
            <w:noWrap/>
            <w:hideMark/>
          </w:tcPr>
          <w:p w14:paraId="5E58E1C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466</w:t>
            </w:r>
          </w:p>
        </w:tc>
        <w:tc>
          <w:tcPr>
            <w:tcW w:w="1205" w:type="dxa"/>
            <w:noWrap/>
            <w:hideMark/>
          </w:tcPr>
          <w:p w14:paraId="12D9F95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846</w:t>
            </w:r>
          </w:p>
        </w:tc>
        <w:tc>
          <w:tcPr>
            <w:tcW w:w="1131" w:type="dxa"/>
            <w:noWrap/>
            <w:hideMark/>
          </w:tcPr>
          <w:p w14:paraId="4F3F4FF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342</w:t>
            </w:r>
          </w:p>
        </w:tc>
        <w:tc>
          <w:tcPr>
            <w:tcW w:w="1131" w:type="dxa"/>
            <w:noWrap/>
            <w:hideMark/>
          </w:tcPr>
          <w:p w14:paraId="4AEC0DB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304</w:t>
            </w:r>
          </w:p>
        </w:tc>
        <w:tc>
          <w:tcPr>
            <w:tcW w:w="1131" w:type="dxa"/>
            <w:noWrap/>
            <w:hideMark/>
          </w:tcPr>
          <w:p w14:paraId="5CD66AB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w:t>
            </w:r>
            <w:r>
              <w:rPr>
                <w:rFonts w:ascii="Arial" w:hAnsi="Arial" w:cs="Arial"/>
                <w:color w:val="000000"/>
                <w:sz w:val="18"/>
                <w:szCs w:val="18"/>
                <w:lang w:val="en-GB"/>
              </w:rPr>
              <w:t>,</w:t>
            </w:r>
            <w:r w:rsidRPr="00F26A3E">
              <w:rPr>
                <w:rFonts w:ascii="Arial" w:hAnsi="Arial" w:cs="Arial"/>
                <w:color w:val="000000"/>
                <w:sz w:val="18"/>
                <w:szCs w:val="18"/>
                <w:lang w:val="en-GB"/>
              </w:rPr>
              <w:t>715</w:t>
            </w:r>
          </w:p>
        </w:tc>
        <w:tc>
          <w:tcPr>
            <w:tcW w:w="1064" w:type="dxa"/>
            <w:noWrap/>
            <w:hideMark/>
          </w:tcPr>
          <w:p w14:paraId="28C99EE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w:t>
            </w:r>
            <w:r>
              <w:rPr>
                <w:rFonts w:ascii="Arial" w:hAnsi="Arial" w:cs="Arial"/>
                <w:color w:val="000000"/>
                <w:sz w:val="18"/>
                <w:szCs w:val="18"/>
                <w:lang w:val="en-GB"/>
              </w:rPr>
              <w:t>,</w:t>
            </w:r>
            <w:r w:rsidRPr="00F26A3E">
              <w:rPr>
                <w:rFonts w:ascii="Arial" w:hAnsi="Arial" w:cs="Arial"/>
                <w:color w:val="000000"/>
                <w:sz w:val="18"/>
                <w:szCs w:val="18"/>
                <w:lang w:val="en-GB"/>
              </w:rPr>
              <w:t>496</w:t>
            </w:r>
          </w:p>
        </w:tc>
        <w:tc>
          <w:tcPr>
            <w:tcW w:w="1064" w:type="dxa"/>
            <w:noWrap/>
            <w:hideMark/>
          </w:tcPr>
          <w:p w14:paraId="59E2511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959</w:t>
            </w:r>
          </w:p>
        </w:tc>
        <w:tc>
          <w:tcPr>
            <w:tcW w:w="1064" w:type="dxa"/>
            <w:noWrap/>
            <w:hideMark/>
          </w:tcPr>
          <w:p w14:paraId="5A4D061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w:t>
            </w:r>
            <w:r>
              <w:rPr>
                <w:rFonts w:ascii="Arial" w:hAnsi="Arial" w:cs="Arial"/>
                <w:color w:val="000000"/>
                <w:sz w:val="18"/>
                <w:szCs w:val="18"/>
                <w:lang w:val="en-GB"/>
              </w:rPr>
              <w:t>,</w:t>
            </w:r>
            <w:r w:rsidRPr="00F26A3E">
              <w:rPr>
                <w:rFonts w:ascii="Arial" w:hAnsi="Arial" w:cs="Arial"/>
                <w:color w:val="000000"/>
                <w:sz w:val="18"/>
                <w:szCs w:val="18"/>
                <w:lang w:val="en-GB"/>
              </w:rPr>
              <w:t>038</w:t>
            </w:r>
          </w:p>
        </w:tc>
        <w:tc>
          <w:tcPr>
            <w:tcW w:w="1159" w:type="dxa"/>
            <w:noWrap/>
            <w:hideMark/>
          </w:tcPr>
          <w:p w14:paraId="57F079E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602</w:t>
            </w:r>
          </w:p>
        </w:tc>
      </w:tr>
      <w:tr w:rsidR="00D82A78" w:rsidRPr="00F26A3E" w14:paraId="7242D3CD" w14:textId="77777777" w:rsidTr="003B5E91">
        <w:trPr>
          <w:trHeight w:val="205"/>
          <w:tblHeader/>
        </w:trPr>
        <w:tc>
          <w:tcPr>
            <w:tcW w:w="1975" w:type="dxa"/>
            <w:hideMark/>
          </w:tcPr>
          <w:p w14:paraId="042224F8"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Debt-to-equity</w:t>
            </w:r>
            <w:r>
              <w:rPr>
                <w:rFonts w:ascii="Arial" w:hAnsi="Arial" w:cs="Arial"/>
                <w:b/>
                <w:color w:val="000000"/>
                <w:sz w:val="18"/>
                <w:szCs w:val="18"/>
                <w:lang w:val="en-GB"/>
              </w:rPr>
              <w:t xml:space="preserve"> </w:t>
            </w:r>
            <w:r w:rsidRPr="00F26A3E">
              <w:rPr>
                <w:rFonts w:ascii="Arial" w:hAnsi="Arial" w:cs="Arial"/>
                <w:b/>
                <w:color w:val="000000"/>
                <w:sz w:val="18"/>
                <w:szCs w:val="18"/>
                <w:lang w:val="en-GB"/>
              </w:rPr>
              <w:t>ratio</w:t>
            </w:r>
          </w:p>
        </w:tc>
        <w:tc>
          <w:tcPr>
            <w:tcW w:w="990" w:type="dxa"/>
            <w:noWrap/>
            <w:hideMark/>
          </w:tcPr>
          <w:p w14:paraId="2CF0F29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0.6:1</w:t>
            </w:r>
          </w:p>
        </w:tc>
        <w:tc>
          <w:tcPr>
            <w:tcW w:w="1097" w:type="dxa"/>
            <w:noWrap/>
            <w:hideMark/>
          </w:tcPr>
          <w:p w14:paraId="32987DE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0.4:1</w:t>
            </w:r>
          </w:p>
        </w:tc>
        <w:tc>
          <w:tcPr>
            <w:tcW w:w="1205" w:type="dxa"/>
            <w:noWrap/>
            <w:hideMark/>
          </w:tcPr>
          <w:p w14:paraId="1F22CCF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0.6:1</w:t>
            </w:r>
          </w:p>
        </w:tc>
        <w:tc>
          <w:tcPr>
            <w:tcW w:w="1131" w:type="dxa"/>
            <w:noWrap/>
            <w:hideMark/>
          </w:tcPr>
          <w:p w14:paraId="151E664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0.3:1</w:t>
            </w:r>
          </w:p>
        </w:tc>
        <w:tc>
          <w:tcPr>
            <w:tcW w:w="1131" w:type="dxa"/>
            <w:noWrap/>
            <w:hideMark/>
          </w:tcPr>
          <w:p w14:paraId="4A470C0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1:1</w:t>
            </w:r>
          </w:p>
        </w:tc>
        <w:tc>
          <w:tcPr>
            <w:tcW w:w="1131" w:type="dxa"/>
            <w:noWrap/>
            <w:hideMark/>
          </w:tcPr>
          <w:p w14:paraId="22A679D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0.6:1</w:t>
            </w:r>
          </w:p>
        </w:tc>
        <w:tc>
          <w:tcPr>
            <w:tcW w:w="1064" w:type="dxa"/>
            <w:noWrap/>
            <w:hideMark/>
          </w:tcPr>
          <w:p w14:paraId="679DC1A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0.4:1</w:t>
            </w:r>
          </w:p>
        </w:tc>
        <w:tc>
          <w:tcPr>
            <w:tcW w:w="1064" w:type="dxa"/>
            <w:noWrap/>
            <w:hideMark/>
          </w:tcPr>
          <w:p w14:paraId="2A1B814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0.4:1</w:t>
            </w:r>
          </w:p>
        </w:tc>
        <w:tc>
          <w:tcPr>
            <w:tcW w:w="1064" w:type="dxa"/>
            <w:noWrap/>
            <w:hideMark/>
          </w:tcPr>
          <w:p w14:paraId="7C3C726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0.4:1</w:t>
            </w:r>
          </w:p>
        </w:tc>
        <w:tc>
          <w:tcPr>
            <w:tcW w:w="1159" w:type="dxa"/>
            <w:noWrap/>
            <w:hideMark/>
          </w:tcPr>
          <w:p w14:paraId="35FE279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0.1:1</w:t>
            </w:r>
          </w:p>
        </w:tc>
      </w:tr>
    </w:tbl>
    <w:p w14:paraId="08C465E6" w14:textId="77777777" w:rsidR="00D82A78" w:rsidRDefault="00D82A78" w:rsidP="00D82A78">
      <w:pPr>
        <w:jc w:val="center"/>
        <w:rPr>
          <w:rFonts w:ascii="Arial" w:hAnsi="Arial" w:cs="Arial"/>
          <w:b/>
          <w:caps/>
          <w:lang w:val="en-GB"/>
        </w:rPr>
      </w:pPr>
    </w:p>
    <w:p w14:paraId="7185D6EF" w14:textId="77777777" w:rsidR="00D82A78" w:rsidRDefault="00D82A78" w:rsidP="00D82A78">
      <w:pPr>
        <w:spacing w:after="200" w:line="276" w:lineRule="auto"/>
        <w:rPr>
          <w:rFonts w:ascii="Arial" w:hAnsi="Arial" w:cs="Arial"/>
          <w:b/>
          <w:caps/>
          <w:lang w:val="en-GB"/>
        </w:rPr>
      </w:pPr>
      <w:r>
        <w:rPr>
          <w:rFonts w:ascii="Arial" w:hAnsi="Arial" w:cs="Arial"/>
          <w:b/>
          <w:caps/>
          <w:lang w:val="en-GB"/>
        </w:rPr>
        <w:br w:type="page"/>
      </w:r>
    </w:p>
    <w:p w14:paraId="36937960" w14:textId="77777777" w:rsidR="00D82A78" w:rsidRPr="00F26A3E" w:rsidRDefault="00D82A78" w:rsidP="00D82A78">
      <w:pPr>
        <w:jc w:val="center"/>
        <w:rPr>
          <w:rFonts w:ascii="Arial" w:hAnsi="Arial" w:cs="Arial"/>
          <w:b/>
          <w:caps/>
          <w:lang w:val="en-GB"/>
        </w:rPr>
      </w:pPr>
      <w:r w:rsidRPr="00F26A3E">
        <w:rPr>
          <w:rFonts w:ascii="Arial" w:hAnsi="Arial" w:cs="Arial"/>
          <w:b/>
          <w:caps/>
          <w:lang w:val="en-GB"/>
        </w:rPr>
        <w:lastRenderedPageBreak/>
        <w:t>Exhibit</w:t>
      </w:r>
      <w:r>
        <w:rPr>
          <w:rFonts w:ascii="Arial" w:hAnsi="Arial" w:cs="Arial"/>
          <w:b/>
          <w:caps/>
          <w:lang w:val="en-GB"/>
        </w:rPr>
        <w:t xml:space="preserve"> </w:t>
      </w:r>
      <w:r w:rsidRPr="00F26A3E">
        <w:rPr>
          <w:rFonts w:ascii="Arial" w:hAnsi="Arial" w:cs="Arial"/>
          <w:b/>
          <w:caps/>
          <w:lang w:val="en-GB"/>
        </w:rPr>
        <w:t>6b:</w:t>
      </w:r>
      <w:r>
        <w:rPr>
          <w:rFonts w:ascii="Arial" w:hAnsi="Arial" w:cs="Arial"/>
          <w:b/>
          <w:caps/>
          <w:lang w:val="en-GB"/>
        </w:rPr>
        <w:t xml:space="preserve"> </w:t>
      </w:r>
      <w:r w:rsidRPr="00F26A3E">
        <w:rPr>
          <w:rFonts w:ascii="Arial" w:hAnsi="Arial" w:cs="Arial"/>
          <w:b/>
          <w:caps/>
          <w:lang w:val="en-GB"/>
        </w:rPr>
        <w:t>Select</w:t>
      </w:r>
      <w:r>
        <w:rPr>
          <w:rFonts w:ascii="Arial" w:hAnsi="Arial" w:cs="Arial"/>
          <w:b/>
          <w:caps/>
          <w:lang w:val="en-GB"/>
        </w:rPr>
        <w:t xml:space="preserve"> </w:t>
      </w:r>
      <w:r w:rsidRPr="00F26A3E">
        <w:rPr>
          <w:rFonts w:ascii="Arial" w:hAnsi="Arial" w:cs="Arial"/>
          <w:b/>
          <w:caps/>
          <w:lang w:val="en-GB"/>
        </w:rPr>
        <w:t>Financial</w:t>
      </w:r>
      <w:r>
        <w:rPr>
          <w:rFonts w:ascii="Arial" w:hAnsi="Arial" w:cs="Arial"/>
          <w:b/>
          <w:caps/>
          <w:lang w:val="en-GB"/>
        </w:rPr>
        <w:t xml:space="preserve"> </w:t>
      </w:r>
      <w:r w:rsidRPr="00F26A3E">
        <w:rPr>
          <w:rFonts w:ascii="Arial" w:hAnsi="Arial" w:cs="Arial"/>
          <w:b/>
          <w:caps/>
          <w:lang w:val="en-GB"/>
        </w:rPr>
        <w:t>Parameters</w:t>
      </w:r>
      <w:r>
        <w:rPr>
          <w:rFonts w:ascii="Arial" w:hAnsi="Arial" w:cs="Arial"/>
          <w:b/>
          <w:caps/>
          <w:lang w:val="en-GB"/>
        </w:rPr>
        <w:t xml:space="preserve"> </w:t>
      </w:r>
      <w:r w:rsidRPr="00F26A3E">
        <w:rPr>
          <w:rFonts w:ascii="Arial" w:hAnsi="Arial" w:cs="Arial"/>
          <w:b/>
          <w:caps/>
          <w:lang w:val="en-GB"/>
        </w:rPr>
        <w:t>of</w:t>
      </w:r>
      <w:r>
        <w:rPr>
          <w:rFonts w:ascii="Arial" w:hAnsi="Arial" w:cs="Arial"/>
          <w:b/>
          <w:caps/>
          <w:lang w:val="en-GB"/>
        </w:rPr>
        <w:t xml:space="preserve"> </w:t>
      </w:r>
      <w:r w:rsidRPr="00F26A3E">
        <w:rPr>
          <w:rFonts w:ascii="Arial" w:hAnsi="Arial" w:cs="Arial"/>
          <w:b/>
          <w:caps/>
          <w:lang w:val="en-GB"/>
        </w:rPr>
        <w:t>Royal</w:t>
      </w:r>
      <w:r>
        <w:rPr>
          <w:rFonts w:ascii="Arial" w:hAnsi="Arial" w:cs="Arial"/>
          <w:b/>
          <w:caps/>
          <w:lang w:val="en-GB"/>
        </w:rPr>
        <w:t xml:space="preserve"> </w:t>
      </w:r>
      <w:r w:rsidRPr="00F26A3E">
        <w:rPr>
          <w:rFonts w:ascii="Arial" w:hAnsi="Arial" w:cs="Arial"/>
          <w:b/>
          <w:caps/>
          <w:lang w:val="en-GB"/>
        </w:rPr>
        <w:t>Enfield</w:t>
      </w:r>
      <w:r>
        <w:rPr>
          <w:rFonts w:ascii="Arial" w:hAnsi="Arial" w:cs="Arial"/>
          <w:b/>
          <w:caps/>
          <w:lang w:val="en-GB"/>
        </w:rPr>
        <w:t xml:space="preserve"> </w:t>
      </w:r>
      <w:r w:rsidRPr="00F26A3E">
        <w:rPr>
          <w:rFonts w:ascii="Arial" w:hAnsi="Arial" w:cs="Arial"/>
          <w:b/>
          <w:caps/>
          <w:lang w:val="en-GB"/>
        </w:rPr>
        <w:t>from</w:t>
      </w:r>
      <w:r>
        <w:rPr>
          <w:rFonts w:ascii="Arial" w:hAnsi="Arial" w:cs="Arial"/>
          <w:b/>
          <w:caps/>
          <w:lang w:val="en-GB"/>
        </w:rPr>
        <w:t xml:space="preserve"> </w:t>
      </w:r>
      <w:r w:rsidRPr="00F26A3E">
        <w:rPr>
          <w:rFonts w:ascii="Arial" w:hAnsi="Arial" w:cs="Arial"/>
          <w:b/>
          <w:caps/>
          <w:lang w:val="en-GB"/>
        </w:rPr>
        <w:t>2009</w:t>
      </w:r>
      <w:r>
        <w:rPr>
          <w:rFonts w:ascii="Arial" w:hAnsi="Arial" w:cs="Arial"/>
          <w:b/>
          <w:caps/>
          <w:lang w:val="en-GB"/>
        </w:rPr>
        <w:t xml:space="preserve"> </w:t>
      </w:r>
      <w:r w:rsidRPr="00F26A3E">
        <w:rPr>
          <w:rFonts w:ascii="Arial" w:hAnsi="Arial" w:cs="Arial"/>
          <w:b/>
          <w:caps/>
          <w:lang w:val="en-GB"/>
        </w:rPr>
        <w:t>to</w:t>
      </w:r>
      <w:r>
        <w:rPr>
          <w:rFonts w:ascii="Arial" w:hAnsi="Arial" w:cs="Arial"/>
          <w:b/>
          <w:caps/>
          <w:lang w:val="en-GB"/>
        </w:rPr>
        <w:t xml:space="preserve"> </w:t>
      </w:r>
      <w:r w:rsidRPr="00F26A3E">
        <w:rPr>
          <w:rFonts w:ascii="Arial" w:hAnsi="Arial" w:cs="Arial"/>
          <w:b/>
          <w:caps/>
          <w:lang w:val="en-GB"/>
        </w:rPr>
        <w:t>2018</w:t>
      </w:r>
      <w:r>
        <w:rPr>
          <w:rFonts w:ascii="Arial" w:hAnsi="Arial" w:cs="Arial"/>
          <w:b/>
          <w:caps/>
          <w:lang w:val="en-GB"/>
        </w:rPr>
        <w:t>–</w:t>
      </w:r>
      <w:r w:rsidRPr="00F26A3E">
        <w:rPr>
          <w:rFonts w:ascii="Arial" w:hAnsi="Arial" w:cs="Arial"/>
          <w:b/>
          <w:caps/>
          <w:lang w:val="en-GB"/>
        </w:rPr>
        <w:t>19</w:t>
      </w:r>
      <w:r>
        <w:rPr>
          <w:rFonts w:ascii="Arial" w:hAnsi="Arial" w:cs="Arial"/>
          <w:b/>
          <w:caps/>
          <w:lang w:val="en-GB"/>
        </w:rPr>
        <w:t xml:space="preserve"> </w:t>
      </w:r>
      <w:r w:rsidRPr="00F26A3E">
        <w:rPr>
          <w:rFonts w:ascii="Arial" w:hAnsi="Arial" w:cs="Arial"/>
          <w:b/>
          <w:caps/>
          <w:lang w:val="en-GB"/>
        </w:rPr>
        <w:t>(IN</w:t>
      </w:r>
      <w:r>
        <w:rPr>
          <w:rFonts w:ascii="Arial" w:hAnsi="Arial" w:cs="Arial"/>
          <w:b/>
          <w:caps/>
          <w:lang w:val="en-GB"/>
        </w:rPr>
        <w:t xml:space="preserve"> ₹ </w:t>
      </w:r>
      <w:r w:rsidRPr="00F26A3E">
        <w:rPr>
          <w:rFonts w:ascii="Arial" w:hAnsi="Arial" w:cs="Arial"/>
          <w:b/>
          <w:caps/>
          <w:lang w:val="en-GB"/>
        </w:rPr>
        <w:t>Million)</w:t>
      </w:r>
    </w:p>
    <w:p w14:paraId="52A416BD" w14:textId="77777777" w:rsidR="00D82A78" w:rsidRPr="00F26A3E" w:rsidRDefault="00D82A78" w:rsidP="00D82A78">
      <w:pPr>
        <w:jc w:val="both"/>
        <w:rPr>
          <w:rFonts w:ascii="Arial" w:hAnsi="Arial" w:cs="Arial"/>
          <w:b/>
          <w:caps/>
          <w:lang w:val="en-GB"/>
        </w:rPr>
      </w:pPr>
    </w:p>
    <w:tbl>
      <w:tblPr>
        <w:tblStyle w:val="TableGrid4"/>
        <w:tblW w:w="12325" w:type="dxa"/>
        <w:jc w:val="center"/>
        <w:tblCellMar>
          <w:top w:w="58" w:type="dxa"/>
          <w:left w:w="29" w:type="dxa"/>
          <w:bottom w:w="58" w:type="dxa"/>
          <w:right w:w="29" w:type="dxa"/>
        </w:tblCellMar>
        <w:tblLook w:val="04A0" w:firstRow="1" w:lastRow="0" w:firstColumn="1" w:lastColumn="0" w:noHBand="0" w:noVBand="1"/>
        <w:tblCaption w:val="EXHIBIT 6B"/>
        <w:tblDescription w:val="SELECT FINANCIAL PARAMETERS OF ROYAL ENFIELD FROM 2009 TO 2018–19 (IN ₹ MILLION)"/>
      </w:tblPr>
      <w:tblGrid>
        <w:gridCol w:w="1931"/>
        <w:gridCol w:w="1034"/>
        <w:gridCol w:w="990"/>
        <w:gridCol w:w="990"/>
        <w:gridCol w:w="990"/>
        <w:gridCol w:w="990"/>
        <w:gridCol w:w="1080"/>
        <w:gridCol w:w="1170"/>
        <w:gridCol w:w="1053"/>
        <w:gridCol w:w="1017"/>
        <w:gridCol w:w="1080"/>
      </w:tblGrid>
      <w:tr w:rsidR="00D82A78" w:rsidRPr="00F26A3E" w14:paraId="5CDB7FBB" w14:textId="77777777" w:rsidTr="003B5E91">
        <w:trPr>
          <w:trHeight w:val="70"/>
          <w:tblHeader/>
          <w:jc w:val="center"/>
        </w:trPr>
        <w:tc>
          <w:tcPr>
            <w:tcW w:w="1931" w:type="dxa"/>
            <w:hideMark/>
          </w:tcPr>
          <w:p w14:paraId="7C0939B5" w14:textId="77777777" w:rsidR="00D82A78" w:rsidRPr="00F26A3E" w:rsidRDefault="00D82A78" w:rsidP="003B5E91">
            <w:pPr>
              <w:jc w:val="center"/>
              <w:rPr>
                <w:rFonts w:ascii="Arial" w:hAnsi="Arial" w:cs="Arial"/>
                <w:color w:val="000000"/>
                <w:sz w:val="18"/>
                <w:szCs w:val="18"/>
                <w:lang w:val="en-GB"/>
              </w:rPr>
            </w:pPr>
          </w:p>
        </w:tc>
        <w:tc>
          <w:tcPr>
            <w:tcW w:w="1034" w:type="dxa"/>
            <w:noWrap/>
            <w:hideMark/>
          </w:tcPr>
          <w:p w14:paraId="08F7C7EC"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2009</w:t>
            </w:r>
          </w:p>
        </w:tc>
        <w:tc>
          <w:tcPr>
            <w:tcW w:w="990" w:type="dxa"/>
            <w:noWrap/>
            <w:hideMark/>
          </w:tcPr>
          <w:p w14:paraId="24BD6341"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2010</w:t>
            </w:r>
          </w:p>
        </w:tc>
        <w:tc>
          <w:tcPr>
            <w:tcW w:w="990" w:type="dxa"/>
            <w:noWrap/>
            <w:hideMark/>
          </w:tcPr>
          <w:p w14:paraId="10958923"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2011</w:t>
            </w:r>
          </w:p>
        </w:tc>
        <w:tc>
          <w:tcPr>
            <w:tcW w:w="990" w:type="dxa"/>
            <w:noWrap/>
            <w:hideMark/>
          </w:tcPr>
          <w:p w14:paraId="53BAB2FE"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2012</w:t>
            </w:r>
          </w:p>
        </w:tc>
        <w:tc>
          <w:tcPr>
            <w:tcW w:w="990" w:type="dxa"/>
            <w:noWrap/>
            <w:hideMark/>
          </w:tcPr>
          <w:p w14:paraId="3C71ABB7"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2013</w:t>
            </w:r>
          </w:p>
        </w:tc>
        <w:tc>
          <w:tcPr>
            <w:tcW w:w="1080" w:type="dxa"/>
            <w:noWrap/>
            <w:hideMark/>
          </w:tcPr>
          <w:p w14:paraId="6FD56577"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2014</w:t>
            </w:r>
          </w:p>
        </w:tc>
        <w:tc>
          <w:tcPr>
            <w:tcW w:w="1170" w:type="dxa"/>
            <w:noWrap/>
            <w:hideMark/>
          </w:tcPr>
          <w:p w14:paraId="68A28C33"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2015</w:t>
            </w:r>
            <w:r>
              <w:rPr>
                <w:rFonts w:ascii="Arial" w:hAnsi="Arial" w:cs="Arial"/>
                <w:b/>
                <w:bCs/>
                <w:color w:val="000000"/>
                <w:sz w:val="18"/>
                <w:szCs w:val="18"/>
                <w:lang w:val="en-GB"/>
              </w:rPr>
              <w:t>–</w:t>
            </w:r>
            <w:r w:rsidRPr="00F26A3E">
              <w:rPr>
                <w:rFonts w:ascii="Arial" w:hAnsi="Arial" w:cs="Arial"/>
                <w:b/>
                <w:bCs/>
                <w:color w:val="000000"/>
                <w:sz w:val="18"/>
                <w:szCs w:val="18"/>
                <w:lang w:val="en-GB"/>
              </w:rPr>
              <w:t>16</w:t>
            </w:r>
            <w:r>
              <w:rPr>
                <w:rFonts w:ascii="Arial" w:hAnsi="Arial" w:cs="Arial"/>
                <w:b/>
                <w:bCs/>
                <w:color w:val="000000"/>
                <w:sz w:val="18"/>
                <w:szCs w:val="18"/>
                <w:lang w:val="en-GB"/>
              </w:rPr>
              <w:t xml:space="preserve"> </w:t>
            </w:r>
            <w:r>
              <w:rPr>
                <w:rFonts w:ascii="Arial" w:hAnsi="Arial" w:cs="Arial"/>
                <w:b/>
                <w:bCs/>
                <w:color w:val="000000"/>
                <w:sz w:val="18"/>
                <w:szCs w:val="18"/>
                <w:lang w:val="en-GB"/>
              </w:rPr>
              <w:br/>
            </w:r>
            <w:r w:rsidRPr="00F26A3E">
              <w:rPr>
                <w:rFonts w:ascii="Arial" w:hAnsi="Arial" w:cs="Arial"/>
                <w:b/>
                <w:bCs/>
                <w:color w:val="000000"/>
                <w:sz w:val="18"/>
                <w:szCs w:val="18"/>
                <w:lang w:val="en-GB"/>
              </w:rPr>
              <w:t>(15</w:t>
            </w:r>
            <w:r>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M</w:t>
            </w:r>
            <w:r>
              <w:rPr>
                <w:rFonts w:ascii="Arial" w:hAnsi="Arial" w:cs="Arial"/>
                <w:b/>
                <w:bCs/>
                <w:color w:val="000000"/>
                <w:sz w:val="18"/>
                <w:szCs w:val="18"/>
                <w:lang w:val="en-GB"/>
              </w:rPr>
              <w:t>onths</w:t>
            </w:r>
            <w:r w:rsidRPr="00F26A3E">
              <w:rPr>
                <w:rFonts w:ascii="Arial" w:hAnsi="Arial" w:cs="Arial"/>
                <w:b/>
                <w:bCs/>
                <w:color w:val="000000"/>
                <w:sz w:val="18"/>
                <w:szCs w:val="18"/>
                <w:lang w:val="en-GB"/>
              </w:rPr>
              <w:t>)</w:t>
            </w:r>
          </w:p>
        </w:tc>
        <w:tc>
          <w:tcPr>
            <w:tcW w:w="1053" w:type="dxa"/>
            <w:noWrap/>
            <w:hideMark/>
          </w:tcPr>
          <w:p w14:paraId="3EE9780A"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2016</w:t>
            </w:r>
            <w:r>
              <w:rPr>
                <w:rFonts w:ascii="Arial" w:hAnsi="Arial" w:cs="Arial"/>
                <w:b/>
                <w:bCs/>
                <w:color w:val="000000"/>
                <w:sz w:val="18"/>
                <w:szCs w:val="18"/>
                <w:lang w:val="en-GB"/>
              </w:rPr>
              <w:t>–</w:t>
            </w:r>
            <w:r w:rsidRPr="00F26A3E">
              <w:rPr>
                <w:rFonts w:ascii="Arial" w:hAnsi="Arial" w:cs="Arial"/>
                <w:b/>
                <w:bCs/>
                <w:color w:val="000000"/>
                <w:sz w:val="18"/>
                <w:szCs w:val="18"/>
                <w:lang w:val="en-GB"/>
              </w:rPr>
              <w:t>17</w:t>
            </w:r>
          </w:p>
        </w:tc>
        <w:tc>
          <w:tcPr>
            <w:tcW w:w="1017" w:type="dxa"/>
            <w:noWrap/>
            <w:hideMark/>
          </w:tcPr>
          <w:p w14:paraId="1DAEE69C"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2017</w:t>
            </w:r>
            <w:r>
              <w:rPr>
                <w:rFonts w:ascii="Arial" w:hAnsi="Arial" w:cs="Arial"/>
                <w:b/>
                <w:bCs/>
                <w:color w:val="000000"/>
                <w:sz w:val="18"/>
                <w:szCs w:val="18"/>
                <w:lang w:val="en-GB"/>
              </w:rPr>
              <w:t>–</w:t>
            </w:r>
            <w:r w:rsidRPr="00F26A3E">
              <w:rPr>
                <w:rFonts w:ascii="Arial" w:hAnsi="Arial" w:cs="Arial"/>
                <w:b/>
                <w:bCs/>
                <w:color w:val="000000"/>
                <w:sz w:val="18"/>
                <w:szCs w:val="18"/>
                <w:lang w:val="en-GB"/>
              </w:rPr>
              <w:t>18</w:t>
            </w:r>
          </w:p>
        </w:tc>
        <w:tc>
          <w:tcPr>
            <w:tcW w:w="1080" w:type="dxa"/>
            <w:noWrap/>
            <w:hideMark/>
          </w:tcPr>
          <w:p w14:paraId="59D1B361" w14:textId="77777777" w:rsidR="00D82A78" w:rsidRPr="00F26A3E" w:rsidRDefault="00D82A78" w:rsidP="003B5E91">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2018</w:t>
            </w:r>
            <w:r>
              <w:rPr>
                <w:rFonts w:ascii="Arial" w:hAnsi="Arial" w:cs="Arial"/>
                <w:b/>
                <w:bCs/>
                <w:color w:val="000000"/>
                <w:sz w:val="18"/>
                <w:szCs w:val="18"/>
                <w:lang w:val="en-GB"/>
              </w:rPr>
              <w:t>–</w:t>
            </w:r>
            <w:r w:rsidRPr="00F26A3E">
              <w:rPr>
                <w:rFonts w:ascii="Arial" w:hAnsi="Arial" w:cs="Arial"/>
                <w:b/>
                <w:bCs/>
                <w:color w:val="000000"/>
                <w:sz w:val="18"/>
                <w:szCs w:val="18"/>
                <w:lang w:val="en-GB"/>
              </w:rPr>
              <w:t>19</w:t>
            </w:r>
          </w:p>
        </w:tc>
      </w:tr>
      <w:tr w:rsidR="00D82A78" w:rsidRPr="00F26A3E" w14:paraId="2848E29B" w14:textId="77777777" w:rsidTr="003B5E91">
        <w:trPr>
          <w:trHeight w:val="70"/>
          <w:tblHeader/>
          <w:jc w:val="center"/>
        </w:trPr>
        <w:tc>
          <w:tcPr>
            <w:tcW w:w="1931" w:type="dxa"/>
            <w:hideMark/>
          </w:tcPr>
          <w:p w14:paraId="6BC00D8F"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Sales</w:t>
            </w:r>
            <w:r>
              <w:rPr>
                <w:rFonts w:ascii="Arial" w:hAnsi="Arial" w:cs="Arial"/>
                <w:b/>
                <w:color w:val="000000"/>
                <w:sz w:val="18"/>
                <w:szCs w:val="18"/>
                <w:lang w:val="en-GB"/>
              </w:rPr>
              <w:t xml:space="preserve"> r</w:t>
            </w:r>
            <w:r w:rsidRPr="00F26A3E">
              <w:rPr>
                <w:rFonts w:ascii="Arial" w:hAnsi="Arial" w:cs="Arial"/>
                <w:b/>
                <w:color w:val="000000"/>
                <w:sz w:val="18"/>
                <w:szCs w:val="18"/>
                <w:lang w:val="en-GB"/>
              </w:rPr>
              <w:t>evenue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w:t>
            </w:r>
            <w:r>
              <w:rPr>
                <w:rFonts w:ascii="Arial" w:hAnsi="Arial" w:cs="Arial"/>
                <w:b/>
                <w:color w:val="000000"/>
                <w:sz w:val="18"/>
                <w:szCs w:val="18"/>
                <w:lang w:val="en-GB"/>
              </w:rPr>
              <w:t>n</w:t>
            </w:r>
            <w:r w:rsidRPr="00F26A3E">
              <w:rPr>
                <w:rFonts w:ascii="Arial" w:hAnsi="Arial" w:cs="Arial"/>
                <w:b/>
                <w:color w:val="000000"/>
                <w:sz w:val="18"/>
                <w:szCs w:val="18"/>
                <w:lang w:val="en-GB"/>
              </w:rPr>
              <w:t>et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of</w:t>
            </w:r>
            <w:r>
              <w:rPr>
                <w:rFonts w:ascii="Arial" w:hAnsi="Arial" w:cs="Arial"/>
                <w:b/>
                <w:color w:val="000000"/>
                <w:sz w:val="18"/>
                <w:szCs w:val="18"/>
                <w:lang w:val="en-GB"/>
              </w:rPr>
              <w:t xml:space="preserve"> e</w:t>
            </w:r>
            <w:r w:rsidRPr="00F26A3E">
              <w:rPr>
                <w:rFonts w:ascii="Arial" w:hAnsi="Arial" w:cs="Arial"/>
                <w:b/>
                <w:color w:val="000000"/>
                <w:sz w:val="18"/>
                <w:szCs w:val="18"/>
                <w:lang w:val="en-GB"/>
              </w:rPr>
              <w:t>xcise</w:t>
            </w:r>
            <w:r>
              <w:rPr>
                <w:rFonts w:ascii="Arial" w:hAnsi="Arial" w:cs="Arial"/>
                <w:b/>
                <w:color w:val="000000"/>
                <w:sz w:val="18"/>
                <w:szCs w:val="18"/>
                <w:lang w:val="en-GB"/>
              </w:rPr>
              <w:t xml:space="preserve"> d</w:t>
            </w:r>
            <w:r w:rsidRPr="00F26A3E">
              <w:rPr>
                <w:rFonts w:ascii="Arial" w:hAnsi="Arial" w:cs="Arial"/>
                <w:b/>
                <w:color w:val="000000"/>
                <w:sz w:val="18"/>
                <w:szCs w:val="18"/>
                <w:lang w:val="en-GB"/>
              </w:rPr>
              <w:t>uty)</w:t>
            </w:r>
          </w:p>
        </w:tc>
        <w:tc>
          <w:tcPr>
            <w:tcW w:w="1034" w:type="dxa"/>
            <w:noWrap/>
            <w:hideMark/>
          </w:tcPr>
          <w:p w14:paraId="41D524F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750.9</w:t>
            </w:r>
          </w:p>
        </w:tc>
        <w:tc>
          <w:tcPr>
            <w:tcW w:w="990" w:type="dxa"/>
            <w:noWrap/>
            <w:hideMark/>
          </w:tcPr>
          <w:p w14:paraId="28F878B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w:t>
            </w:r>
            <w:r>
              <w:rPr>
                <w:rFonts w:ascii="Arial" w:hAnsi="Arial" w:cs="Arial"/>
                <w:color w:val="000000"/>
                <w:sz w:val="18"/>
                <w:szCs w:val="18"/>
                <w:lang w:val="en-GB"/>
              </w:rPr>
              <w:t>,</w:t>
            </w:r>
            <w:r w:rsidRPr="00F26A3E">
              <w:rPr>
                <w:rFonts w:ascii="Arial" w:hAnsi="Arial" w:cs="Arial"/>
                <w:color w:val="000000"/>
                <w:sz w:val="18"/>
                <w:szCs w:val="18"/>
                <w:lang w:val="en-GB"/>
              </w:rPr>
              <w:t>384.7</w:t>
            </w:r>
          </w:p>
        </w:tc>
        <w:tc>
          <w:tcPr>
            <w:tcW w:w="990" w:type="dxa"/>
            <w:noWrap/>
            <w:hideMark/>
          </w:tcPr>
          <w:p w14:paraId="5F3CD66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714.5</w:t>
            </w:r>
          </w:p>
        </w:tc>
        <w:tc>
          <w:tcPr>
            <w:tcW w:w="990" w:type="dxa"/>
            <w:noWrap/>
            <w:hideMark/>
          </w:tcPr>
          <w:p w14:paraId="3BFA354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10</w:t>
            </w:r>
            <w:r>
              <w:rPr>
                <w:rFonts w:ascii="Arial" w:hAnsi="Arial" w:cs="Arial"/>
                <w:color w:val="000000"/>
                <w:sz w:val="18"/>
                <w:szCs w:val="18"/>
                <w:lang w:val="en-GB"/>
              </w:rPr>
              <w:t>,</w:t>
            </w:r>
            <w:r w:rsidRPr="00F26A3E">
              <w:rPr>
                <w:rFonts w:ascii="Arial" w:hAnsi="Arial" w:cs="Arial"/>
                <w:color w:val="000000"/>
                <w:sz w:val="18"/>
                <w:szCs w:val="18"/>
                <w:lang w:val="en-GB"/>
              </w:rPr>
              <w:t>492.6</w:t>
            </w:r>
          </w:p>
        </w:tc>
        <w:tc>
          <w:tcPr>
            <w:tcW w:w="990" w:type="dxa"/>
            <w:noWrap/>
            <w:hideMark/>
          </w:tcPr>
          <w:p w14:paraId="08DA313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w:t>
            </w:r>
            <w:r>
              <w:rPr>
                <w:rFonts w:ascii="Arial" w:hAnsi="Arial" w:cs="Arial"/>
                <w:color w:val="000000"/>
                <w:sz w:val="18"/>
                <w:szCs w:val="18"/>
                <w:lang w:val="en-GB"/>
              </w:rPr>
              <w:t>,</w:t>
            </w:r>
            <w:r w:rsidRPr="00F26A3E">
              <w:rPr>
                <w:rFonts w:ascii="Arial" w:hAnsi="Arial" w:cs="Arial"/>
                <w:color w:val="000000"/>
                <w:sz w:val="18"/>
                <w:szCs w:val="18"/>
                <w:lang w:val="en-GB"/>
              </w:rPr>
              <w:t>024.7</w:t>
            </w:r>
          </w:p>
        </w:tc>
        <w:tc>
          <w:tcPr>
            <w:tcW w:w="1080" w:type="dxa"/>
            <w:noWrap/>
            <w:hideMark/>
          </w:tcPr>
          <w:p w14:paraId="359FF29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w:t>
            </w:r>
            <w:r>
              <w:rPr>
                <w:rFonts w:ascii="Arial" w:hAnsi="Arial" w:cs="Arial"/>
                <w:color w:val="000000"/>
                <w:sz w:val="18"/>
                <w:szCs w:val="18"/>
                <w:lang w:val="en-GB"/>
              </w:rPr>
              <w:t>,</w:t>
            </w:r>
            <w:r w:rsidRPr="00F26A3E">
              <w:rPr>
                <w:rFonts w:ascii="Arial" w:hAnsi="Arial" w:cs="Arial"/>
                <w:color w:val="000000"/>
                <w:sz w:val="18"/>
                <w:szCs w:val="18"/>
                <w:lang w:val="en-GB"/>
              </w:rPr>
              <w:t>312.2</w:t>
            </w:r>
          </w:p>
        </w:tc>
        <w:tc>
          <w:tcPr>
            <w:tcW w:w="1170" w:type="dxa"/>
            <w:noWrap/>
            <w:hideMark/>
          </w:tcPr>
          <w:p w14:paraId="54294C6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61</w:t>
            </w:r>
            <w:r>
              <w:rPr>
                <w:rFonts w:ascii="Arial" w:hAnsi="Arial" w:cs="Arial"/>
                <w:color w:val="000000"/>
                <w:sz w:val="18"/>
                <w:szCs w:val="18"/>
                <w:lang w:val="en-GB"/>
              </w:rPr>
              <w:t>,</w:t>
            </w:r>
            <w:r w:rsidRPr="00F26A3E">
              <w:rPr>
                <w:rFonts w:ascii="Arial" w:hAnsi="Arial" w:cs="Arial"/>
                <w:color w:val="000000"/>
                <w:sz w:val="18"/>
                <w:szCs w:val="18"/>
                <w:lang w:val="en-GB"/>
              </w:rPr>
              <w:t>880.3</w:t>
            </w:r>
          </w:p>
        </w:tc>
        <w:tc>
          <w:tcPr>
            <w:tcW w:w="1053" w:type="dxa"/>
            <w:noWrap/>
            <w:hideMark/>
          </w:tcPr>
          <w:p w14:paraId="4F64562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70</w:t>
            </w:r>
            <w:r>
              <w:rPr>
                <w:rFonts w:ascii="Arial" w:hAnsi="Arial" w:cs="Arial"/>
                <w:color w:val="000000"/>
                <w:sz w:val="18"/>
                <w:szCs w:val="18"/>
                <w:lang w:val="en-GB"/>
              </w:rPr>
              <w:t>,</w:t>
            </w:r>
            <w:r w:rsidRPr="00F26A3E">
              <w:rPr>
                <w:rFonts w:ascii="Arial" w:hAnsi="Arial" w:cs="Arial"/>
                <w:color w:val="000000"/>
                <w:sz w:val="18"/>
                <w:szCs w:val="18"/>
                <w:lang w:val="en-GB"/>
              </w:rPr>
              <w:t>379.7</w:t>
            </w:r>
          </w:p>
        </w:tc>
        <w:tc>
          <w:tcPr>
            <w:tcW w:w="1017" w:type="dxa"/>
            <w:noWrap/>
            <w:hideMark/>
          </w:tcPr>
          <w:p w14:paraId="57499DA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89</w:t>
            </w:r>
            <w:r>
              <w:rPr>
                <w:rFonts w:ascii="Arial" w:hAnsi="Arial" w:cs="Arial"/>
                <w:color w:val="000000"/>
                <w:sz w:val="18"/>
                <w:szCs w:val="18"/>
                <w:lang w:val="en-GB"/>
              </w:rPr>
              <w:t>,</w:t>
            </w:r>
            <w:r w:rsidRPr="00F26A3E">
              <w:rPr>
                <w:rFonts w:ascii="Arial" w:hAnsi="Arial" w:cs="Arial"/>
                <w:color w:val="000000"/>
                <w:sz w:val="18"/>
                <w:szCs w:val="18"/>
                <w:lang w:val="en-GB"/>
              </w:rPr>
              <w:t>575.1</w:t>
            </w:r>
          </w:p>
        </w:tc>
        <w:tc>
          <w:tcPr>
            <w:tcW w:w="1080" w:type="dxa"/>
            <w:noWrap/>
            <w:hideMark/>
          </w:tcPr>
          <w:p w14:paraId="3E323C8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97</w:t>
            </w:r>
            <w:r>
              <w:rPr>
                <w:rFonts w:ascii="Arial" w:hAnsi="Arial" w:cs="Arial"/>
                <w:color w:val="000000"/>
                <w:sz w:val="18"/>
                <w:szCs w:val="18"/>
                <w:lang w:val="en-GB"/>
              </w:rPr>
              <w:t>,</w:t>
            </w:r>
            <w:r w:rsidRPr="00F26A3E">
              <w:rPr>
                <w:rFonts w:ascii="Arial" w:hAnsi="Arial" w:cs="Arial"/>
                <w:color w:val="000000"/>
                <w:sz w:val="18"/>
                <w:szCs w:val="18"/>
                <w:lang w:val="en-GB"/>
              </w:rPr>
              <w:t>944.8</w:t>
            </w:r>
          </w:p>
        </w:tc>
      </w:tr>
      <w:tr w:rsidR="00D82A78" w:rsidRPr="00F26A3E" w14:paraId="503F02E5" w14:textId="77777777" w:rsidTr="003B5E91">
        <w:trPr>
          <w:trHeight w:val="647"/>
          <w:tblHeader/>
          <w:jc w:val="center"/>
        </w:trPr>
        <w:tc>
          <w:tcPr>
            <w:tcW w:w="1931" w:type="dxa"/>
            <w:hideMark/>
          </w:tcPr>
          <w:p w14:paraId="0F2A2CCD"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Earnings</w:t>
            </w:r>
            <w:r>
              <w:rPr>
                <w:rFonts w:ascii="Arial" w:hAnsi="Arial" w:cs="Arial"/>
                <w:b/>
                <w:color w:val="000000"/>
                <w:sz w:val="18"/>
                <w:szCs w:val="18"/>
                <w:lang w:val="en-GB"/>
              </w:rPr>
              <w:t xml:space="preserve"> </w:t>
            </w:r>
            <w:r w:rsidRPr="00F26A3E">
              <w:rPr>
                <w:rFonts w:ascii="Arial" w:hAnsi="Arial" w:cs="Arial"/>
                <w:b/>
                <w:color w:val="000000"/>
                <w:sz w:val="18"/>
                <w:szCs w:val="18"/>
                <w:lang w:val="en-GB"/>
              </w:rPr>
              <w:t>before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interest,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depreciation</w:t>
            </w:r>
            <w:r>
              <w:rPr>
                <w:rFonts w:ascii="Arial" w:hAnsi="Arial" w:cs="Arial"/>
                <w:b/>
                <w:color w:val="000000"/>
                <w:sz w:val="18"/>
                <w:szCs w:val="18"/>
                <w:lang w:val="en-GB"/>
              </w:rPr>
              <w:t xml:space="preserve">, </w:t>
            </w:r>
            <w:r w:rsidRPr="00F26A3E">
              <w:rPr>
                <w:rFonts w:ascii="Arial" w:hAnsi="Arial" w:cs="Arial"/>
                <w:b/>
                <w:color w:val="000000"/>
                <w:sz w:val="18"/>
                <w:szCs w:val="18"/>
                <w:lang w:val="en-GB"/>
              </w:rPr>
              <w:t>and</w:t>
            </w:r>
            <w:r>
              <w:rPr>
                <w:rFonts w:ascii="Arial" w:hAnsi="Arial" w:cs="Arial"/>
                <w:b/>
                <w:color w:val="000000"/>
                <w:sz w:val="18"/>
                <w:szCs w:val="18"/>
                <w:lang w:val="en-GB"/>
              </w:rPr>
              <w:t xml:space="preserve"> </w:t>
            </w:r>
            <w:r w:rsidRPr="00F26A3E">
              <w:rPr>
                <w:rFonts w:ascii="Arial" w:hAnsi="Arial" w:cs="Arial"/>
                <w:b/>
                <w:color w:val="000000"/>
                <w:sz w:val="18"/>
                <w:szCs w:val="18"/>
                <w:lang w:val="en-GB"/>
              </w:rPr>
              <w:t>tax</w:t>
            </w:r>
            <w:r>
              <w:rPr>
                <w:rFonts w:ascii="Arial" w:hAnsi="Arial" w:cs="Arial"/>
                <w:b/>
                <w:color w:val="000000"/>
                <w:sz w:val="18"/>
                <w:szCs w:val="18"/>
                <w:lang w:val="en-GB"/>
              </w:rPr>
              <w:t>es</w:t>
            </w:r>
          </w:p>
        </w:tc>
        <w:tc>
          <w:tcPr>
            <w:tcW w:w="1034" w:type="dxa"/>
            <w:noWrap/>
            <w:hideMark/>
          </w:tcPr>
          <w:p w14:paraId="60057BC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571.5</w:t>
            </w:r>
          </w:p>
        </w:tc>
        <w:tc>
          <w:tcPr>
            <w:tcW w:w="990" w:type="dxa"/>
            <w:noWrap/>
            <w:hideMark/>
          </w:tcPr>
          <w:p w14:paraId="4D6B64A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999.7</w:t>
            </w:r>
          </w:p>
        </w:tc>
        <w:tc>
          <w:tcPr>
            <w:tcW w:w="990" w:type="dxa"/>
            <w:noWrap/>
            <w:hideMark/>
          </w:tcPr>
          <w:p w14:paraId="2C022EB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800.9</w:t>
            </w:r>
          </w:p>
        </w:tc>
        <w:tc>
          <w:tcPr>
            <w:tcW w:w="990" w:type="dxa"/>
            <w:noWrap/>
            <w:hideMark/>
          </w:tcPr>
          <w:p w14:paraId="6AC6211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454.3</w:t>
            </w:r>
          </w:p>
        </w:tc>
        <w:tc>
          <w:tcPr>
            <w:tcW w:w="990" w:type="dxa"/>
            <w:noWrap/>
            <w:hideMark/>
          </w:tcPr>
          <w:p w14:paraId="4DEFE1D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137.3</w:t>
            </w:r>
          </w:p>
        </w:tc>
        <w:tc>
          <w:tcPr>
            <w:tcW w:w="1080" w:type="dxa"/>
            <w:noWrap/>
            <w:hideMark/>
          </w:tcPr>
          <w:p w14:paraId="06B8E72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w:t>
            </w:r>
            <w:r>
              <w:rPr>
                <w:rFonts w:ascii="Arial" w:hAnsi="Arial" w:cs="Arial"/>
                <w:color w:val="000000"/>
                <w:sz w:val="18"/>
                <w:szCs w:val="18"/>
                <w:lang w:val="en-GB"/>
              </w:rPr>
              <w:t>,</w:t>
            </w:r>
            <w:r w:rsidRPr="00F26A3E">
              <w:rPr>
                <w:rFonts w:ascii="Arial" w:hAnsi="Arial" w:cs="Arial"/>
                <w:color w:val="000000"/>
                <w:sz w:val="18"/>
                <w:szCs w:val="18"/>
                <w:lang w:val="en-GB"/>
              </w:rPr>
              <w:t>335.6</w:t>
            </w:r>
          </w:p>
        </w:tc>
        <w:tc>
          <w:tcPr>
            <w:tcW w:w="1170" w:type="dxa"/>
            <w:noWrap/>
            <w:hideMark/>
          </w:tcPr>
          <w:p w14:paraId="7E8987E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w:t>
            </w:r>
            <w:r>
              <w:rPr>
                <w:rFonts w:ascii="Arial" w:hAnsi="Arial" w:cs="Arial"/>
                <w:color w:val="000000"/>
                <w:sz w:val="18"/>
                <w:szCs w:val="18"/>
                <w:lang w:val="en-GB"/>
              </w:rPr>
              <w:t>,</w:t>
            </w:r>
            <w:r w:rsidRPr="00F26A3E">
              <w:rPr>
                <w:rFonts w:ascii="Arial" w:hAnsi="Arial" w:cs="Arial"/>
                <w:color w:val="000000"/>
                <w:sz w:val="18"/>
                <w:szCs w:val="18"/>
                <w:lang w:val="en-GB"/>
              </w:rPr>
              <w:t>304.8</w:t>
            </w:r>
          </w:p>
        </w:tc>
        <w:tc>
          <w:tcPr>
            <w:tcW w:w="1053" w:type="dxa"/>
            <w:noWrap/>
            <w:hideMark/>
          </w:tcPr>
          <w:p w14:paraId="7D2FB1F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w:t>
            </w:r>
            <w:r>
              <w:rPr>
                <w:rFonts w:ascii="Arial" w:hAnsi="Arial" w:cs="Arial"/>
                <w:color w:val="000000"/>
                <w:sz w:val="18"/>
                <w:szCs w:val="18"/>
                <w:lang w:val="en-GB"/>
              </w:rPr>
              <w:t>,</w:t>
            </w:r>
            <w:r w:rsidRPr="00F26A3E">
              <w:rPr>
                <w:rFonts w:ascii="Arial" w:hAnsi="Arial" w:cs="Arial"/>
                <w:color w:val="000000"/>
                <w:sz w:val="18"/>
                <w:szCs w:val="18"/>
                <w:lang w:val="en-GB"/>
              </w:rPr>
              <w:t>058.1</w:t>
            </w:r>
          </w:p>
        </w:tc>
        <w:tc>
          <w:tcPr>
            <w:tcW w:w="1017" w:type="dxa"/>
            <w:noWrap/>
            <w:hideMark/>
          </w:tcPr>
          <w:p w14:paraId="29CB0CC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532</w:t>
            </w:r>
          </w:p>
        </w:tc>
        <w:tc>
          <w:tcPr>
            <w:tcW w:w="1080" w:type="dxa"/>
            <w:noWrap/>
            <w:hideMark/>
          </w:tcPr>
          <w:p w14:paraId="6DB4E84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29</w:t>
            </w:r>
            <w:r>
              <w:rPr>
                <w:rFonts w:ascii="Arial" w:hAnsi="Arial" w:cs="Arial"/>
                <w:color w:val="000000"/>
                <w:sz w:val="18"/>
                <w:szCs w:val="18"/>
                <w:lang w:val="en-GB"/>
              </w:rPr>
              <w:t>,</w:t>
            </w:r>
            <w:r w:rsidRPr="00F26A3E">
              <w:rPr>
                <w:rFonts w:ascii="Arial" w:hAnsi="Arial" w:cs="Arial"/>
                <w:color w:val="000000"/>
                <w:sz w:val="18"/>
                <w:szCs w:val="18"/>
                <w:lang w:val="en-GB"/>
              </w:rPr>
              <w:t>443.8</w:t>
            </w:r>
          </w:p>
        </w:tc>
      </w:tr>
      <w:tr w:rsidR="00D82A78" w:rsidRPr="00F26A3E" w14:paraId="6946BD5A" w14:textId="77777777" w:rsidTr="003B5E91">
        <w:trPr>
          <w:trHeight w:val="70"/>
          <w:tblHeader/>
          <w:jc w:val="center"/>
        </w:trPr>
        <w:tc>
          <w:tcPr>
            <w:tcW w:w="1931" w:type="dxa"/>
            <w:hideMark/>
          </w:tcPr>
          <w:p w14:paraId="1C5ED9A5"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Interest</w:t>
            </w:r>
          </w:p>
        </w:tc>
        <w:tc>
          <w:tcPr>
            <w:tcW w:w="1034" w:type="dxa"/>
            <w:noWrap/>
            <w:hideMark/>
          </w:tcPr>
          <w:p w14:paraId="7DD0493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4.2</w:t>
            </w:r>
          </w:p>
        </w:tc>
        <w:tc>
          <w:tcPr>
            <w:tcW w:w="990" w:type="dxa"/>
            <w:noWrap/>
            <w:hideMark/>
          </w:tcPr>
          <w:p w14:paraId="3A9668C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25.7</w:t>
            </w:r>
          </w:p>
        </w:tc>
        <w:tc>
          <w:tcPr>
            <w:tcW w:w="990" w:type="dxa"/>
            <w:noWrap/>
            <w:hideMark/>
          </w:tcPr>
          <w:p w14:paraId="373E560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20.2</w:t>
            </w:r>
          </w:p>
        </w:tc>
        <w:tc>
          <w:tcPr>
            <w:tcW w:w="990" w:type="dxa"/>
            <w:noWrap/>
            <w:hideMark/>
          </w:tcPr>
          <w:p w14:paraId="6D76820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2.6</w:t>
            </w:r>
          </w:p>
        </w:tc>
        <w:tc>
          <w:tcPr>
            <w:tcW w:w="990" w:type="dxa"/>
            <w:noWrap/>
            <w:hideMark/>
          </w:tcPr>
          <w:p w14:paraId="76668D8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p>
        </w:tc>
        <w:tc>
          <w:tcPr>
            <w:tcW w:w="1080" w:type="dxa"/>
            <w:noWrap/>
            <w:hideMark/>
          </w:tcPr>
          <w:p w14:paraId="57501ED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16.7</w:t>
            </w:r>
          </w:p>
        </w:tc>
        <w:tc>
          <w:tcPr>
            <w:tcW w:w="1170" w:type="dxa"/>
            <w:noWrap/>
            <w:hideMark/>
          </w:tcPr>
          <w:p w14:paraId="37BB7A1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14.1</w:t>
            </w:r>
          </w:p>
        </w:tc>
        <w:tc>
          <w:tcPr>
            <w:tcW w:w="1053" w:type="dxa"/>
            <w:noWrap/>
            <w:hideMark/>
          </w:tcPr>
          <w:p w14:paraId="2E46A9D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27.9</w:t>
            </w:r>
          </w:p>
        </w:tc>
        <w:tc>
          <w:tcPr>
            <w:tcW w:w="1017" w:type="dxa"/>
            <w:noWrap/>
            <w:hideMark/>
          </w:tcPr>
          <w:p w14:paraId="67EEFB9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30.4</w:t>
            </w:r>
          </w:p>
        </w:tc>
        <w:tc>
          <w:tcPr>
            <w:tcW w:w="1080" w:type="dxa"/>
            <w:noWrap/>
            <w:hideMark/>
          </w:tcPr>
          <w:p w14:paraId="5635CEA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29.9</w:t>
            </w:r>
          </w:p>
        </w:tc>
      </w:tr>
      <w:tr w:rsidR="00D82A78" w:rsidRPr="00F26A3E" w14:paraId="2447B785" w14:textId="77777777" w:rsidTr="003B5E91">
        <w:trPr>
          <w:trHeight w:val="70"/>
          <w:tblHeader/>
          <w:jc w:val="center"/>
        </w:trPr>
        <w:tc>
          <w:tcPr>
            <w:tcW w:w="1931" w:type="dxa"/>
            <w:hideMark/>
          </w:tcPr>
          <w:p w14:paraId="59DB2539"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Depreciation</w:t>
            </w:r>
          </w:p>
        </w:tc>
        <w:tc>
          <w:tcPr>
            <w:tcW w:w="1034" w:type="dxa"/>
            <w:noWrap/>
            <w:hideMark/>
          </w:tcPr>
          <w:p w14:paraId="472FDB6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101</w:t>
            </w:r>
          </w:p>
        </w:tc>
        <w:tc>
          <w:tcPr>
            <w:tcW w:w="990" w:type="dxa"/>
            <w:noWrap/>
            <w:hideMark/>
          </w:tcPr>
          <w:p w14:paraId="1200637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107.9</w:t>
            </w:r>
          </w:p>
        </w:tc>
        <w:tc>
          <w:tcPr>
            <w:tcW w:w="990" w:type="dxa"/>
            <w:noWrap/>
            <w:hideMark/>
          </w:tcPr>
          <w:p w14:paraId="33F3D74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130.2</w:t>
            </w:r>
          </w:p>
        </w:tc>
        <w:tc>
          <w:tcPr>
            <w:tcW w:w="990" w:type="dxa"/>
            <w:noWrap/>
            <w:hideMark/>
          </w:tcPr>
          <w:p w14:paraId="2C96372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171.5</w:t>
            </w:r>
          </w:p>
        </w:tc>
        <w:tc>
          <w:tcPr>
            <w:tcW w:w="990" w:type="dxa"/>
            <w:noWrap/>
            <w:hideMark/>
          </w:tcPr>
          <w:p w14:paraId="19CE98C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304.1</w:t>
            </w:r>
          </w:p>
        </w:tc>
        <w:tc>
          <w:tcPr>
            <w:tcW w:w="1080" w:type="dxa"/>
            <w:noWrap/>
            <w:hideMark/>
          </w:tcPr>
          <w:p w14:paraId="25C7DA5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501.6</w:t>
            </w:r>
          </w:p>
        </w:tc>
        <w:tc>
          <w:tcPr>
            <w:tcW w:w="1170" w:type="dxa"/>
            <w:noWrap/>
            <w:hideMark/>
          </w:tcPr>
          <w:p w14:paraId="7F0F2EF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377.3</w:t>
            </w:r>
          </w:p>
        </w:tc>
        <w:tc>
          <w:tcPr>
            <w:tcW w:w="1053" w:type="dxa"/>
            <w:noWrap/>
            <w:hideMark/>
          </w:tcPr>
          <w:p w14:paraId="048995E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533.4</w:t>
            </w:r>
          </w:p>
        </w:tc>
        <w:tc>
          <w:tcPr>
            <w:tcW w:w="1017" w:type="dxa"/>
            <w:noWrap/>
            <w:hideMark/>
          </w:tcPr>
          <w:p w14:paraId="2D4835D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223.4</w:t>
            </w:r>
          </w:p>
        </w:tc>
        <w:tc>
          <w:tcPr>
            <w:tcW w:w="1080" w:type="dxa"/>
            <w:noWrap/>
            <w:hideMark/>
          </w:tcPr>
          <w:p w14:paraId="4646C6D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989.3</w:t>
            </w:r>
          </w:p>
        </w:tc>
      </w:tr>
      <w:tr w:rsidR="00D82A78" w:rsidRPr="00F26A3E" w14:paraId="57029A32" w14:textId="77777777" w:rsidTr="003B5E91">
        <w:trPr>
          <w:trHeight w:val="70"/>
          <w:tblHeader/>
          <w:jc w:val="center"/>
        </w:trPr>
        <w:tc>
          <w:tcPr>
            <w:tcW w:w="1931" w:type="dxa"/>
            <w:hideMark/>
          </w:tcPr>
          <w:p w14:paraId="6E583BBC"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Profit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before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tax</w:t>
            </w:r>
            <w:r>
              <w:rPr>
                <w:rFonts w:ascii="Arial" w:hAnsi="Arial" w:cs="Arial"/>
                <w:b/>
                <w:color w:val="000000"/>
                <w:sz w:val="18"/>
                <w:szCs w:val="18"/>
                <w:lang w:val="en-GB"/>
              </w:rPr>
              <w:t>es</w:t>
            </w:r>
          </w:p>
        </w:tc>
        <w:tc>
          <w:tcPr>
            <w:tcW w:w="1034" w:type="dxa"/>
            <w:noWrap/>
            <w:hideMark/>
          </w:tcPr>
          <w:p w14:paraId="49F8940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466.3</w:t>
            </w:r>
          </w:p>
        </w:tc>
        <w:tc>
          <w:tcPr>
            <w:tcW w:w="990" w:type="dxa"/>
            <w:noWrap/>
            <w:hideMark/>
          </w:tcPr>
          <w:p w14:paraId="6052DC2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866.1</w:t>
            </w:r>
          </w:p>
        </w:tc>
        <w:tc>
          <w:tcPr>
            <w:tcW w:w="990" w:type="dxa"/>
            <w:noWrap/>
            <w:hideMark/>
          </w:tcPr>
          <w:p w14:paraId="65D5A72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418.3</w:t>
            </w:r>
          </w:p>
        </w:tc>
        <w:tc>
          <w:tcPr>
            <w:tcW w:w="990" w:type="dxa"/>
            <w:noWrap/>
            <w:hideMark/>
          </w:tcPr>
          <w:p w14:paraId="507B5AB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738</w:t>
            </w:r>
          </w:p>
        </w:tc>
        <w:tc>
          <w:tcPr>
            <w:tcW w:w="990" w:type="dxa"/>
            <w:noWrap/>
            <w:hideMark/>
          </w:tcPr>
          <w:p w14:paraId="2753F18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631.5</w:t>
            </w:r>
          </w:p>
        </w:tc>
        <w:tc>
          <w:tcPr>
            <w:tcW w:w="1080" w:type="dxa"/>
            <w:noWrap/>
            <w:hideMark/>
          </w:tcPr>
          <w:p w14:paraId="5A649F3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w:t>
            </w:r>
            <w:r>
              <w:rPr>
                <w:rFonts w:ascii="Arial" w:hAnsi="Arial" w:cs="Arial"/>
                <w:color w:val="000000"/>
                <w:sz w:val="18"/>
                <w:szCs w:val="18"/>
                <w:lang w:val="en-GB"/>
              </w:rPr>
              <w:t>,</w:t>
            </w:r>
            <w:r w:rsidRPr="00F26A3E">
              <w:rPr>
                <w:rFonts w:ascii="Arial" w:hAnsi="Arial" w:cs="Arial"/>
                <w:color w:val="000000"/>
                <w:sz w:val="18"/>
                <w:szCs w:val="18"/>
                <w:lang w:val="en-GB"/>
              </w:rPr>
              <w:t>980.3</w:t>
            </w:r>
          </w:p>
        </w:tc>
        <w:tc>
          <w:tcPr>
            <w:tcW w:w="1170" w:type="dxa"/>
            <w:noWrap/>
            <w:hideMark/>
          </w:tcPr>
          <w:p w14:paraId="613D6B3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w:t>
            </w:r>
            <w:r>
              <w:rPr>
                <w:rFonts w:ascii="Arial" w:hAnsi="Arial" w:cs="Arial"/>
                <w:color w:val="000000"/>
                <w:sz w:val="18"/>
                <w:szCs w:val="18"/>
                <w:lang w:val="en-GB"/>
              </w:rPr>
              <w:t>,</w:t>
            </w:r>
            <w:r w:rsidRPr="00F26A3E">
              <w:rPr>
                <w:rFonts w:ascii="Arial" w:hAnsi="Arial" w:cs="Arial"/>
                <w:color w:val="000000"/>
                <w:sz w:val="18"/>
                <w:szCs w:val="18"/>
                <w:lang w:val="en-GB"/>
              </w:rPr>
              <w:t>695.8</w:t>
            </w:r>
          </w:p>
        </w:tc>
        <w:tc>
          <w:tcPr>
            <w:tcW w:w="1053" w:type="dxa"/>
            <w:noWrap/>
            <w:hideMark/>
          </w:tcPr>
          <w:p w14:paraId="0C46A2C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22</w:t>
            </w:r>
            <w:r>
              <w:rPr>
                <w:rFonts w:ascii="Arial" w:hAnsi="Arial" w:cs="Arial"/>
                <w:color w:val="000000"/>
                <w:sz w:val="18"/>
                <w:szCs w:val="18"/>
                <w:lang w:val="en-GB"/>
              </w:rPr>
              <w:t>,</w:t>
            </w:r>
            <w:r w:rsidRPr="00F26A3E">
              <w:rPr>
                <w:rFonts w:ascii="Arial" w:hAnsi="Arial" w:cs="Arial"/>
                <w:color w:val="000000"/>
                <w:sz w:val="18"/>
                <w:szCs w:val="18"/>
                <w:lang w:val="en-GB"/>
              </w:rPr>
              <w:t>769.9</w:t>
            </w:r>
          </w:p>
        </w:tc>
        <w:tc>
          <w:tcPr>
            <w:tcW w:w="1017" w:type="dxa"/>
            <w:noWrap/>
            <w:hideMark/>
          </w:tcPr>
          <w:p w14:paraId="0CDE791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29</w:t>
            </w:r>
            <w:r>
              <w:rPr>
                <w:rFonts w:ascii="Arial" w:hAnsi="Arial" w:cs="Arial"/>
                <w:color w:val="000000"/>
                <w:sz w:val="18"/>
                <w:szCs w:val="18"/>
                <w:lang w:val="en-GB"/>
              </w:rPr>
              <w:t>,</w:t>
            </w:r>
            <w:r w:rsidRPr="00F26A3E">
              <w:rPr>
                <w:rFonts w:ascii="Arial" w:hAnsi="Arial" w:cs="Arial"/>
                <w:color w:val="000000"/>
                <w:sz w:val="18"/>
                <w:szCs w:val="18"/>
                <w:lang w:val="en-GB"/>
              </w:rPr>
              <w:t>602.7</w:t>
            </w:r>
          </w:p>
        </w:tc>
        <w:tc>
          <w:tcPr>
            <w:tcW w:w="1080" w:type="dxa"/>
            <w:noWrap/>
            <w:hideMark/>
          </w:tcPr>
          <w:p w14:paraId="4DD7486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31</w:t>
            </w:r>
            <w:r>
              <w:rPr>
                <w:rFonts w:ascii="Arial" w:hAnsi="Arial" w:cs="Arial"/>
                <w:color w:val="000000"/>
                <w:sz w:val="18"/>
                <w:szCs w:val="18"/>
                <w:lang w:val="en-GB"/>
              </w:rPr>
              <w:t>,</w:t>
            </w:r>
            <w:r w:rsidRPr="00F26A3E">
              <w:rPr>
                <w:rFonts w:ascii="Arial" w:hAnsi="Arial" w:cs="Arial"/>
                <w:color w:val="000000"/>
                <w:sz w:val="18"/>
                <w:szCs w:val="18"/>
                <w:lang w:val="en-GB"/>
              </w:rPr>
              <w:t>329.8</w:t>
            </w:r>
          </w:p>
        </w:tc>
      </w:tr>
      <w:tr w:rsidR="00D82A78" w:rsidRPr="00F26A3E" w14:paraId="0D7050A9" w14:textId="77777777" w:rsidTr="003B5E91">
        <w:trPr>
          <w:trHeight w:val="70"/>
          <w:tblHeader/>
          <w:jc w:val="center"/>
        </w:trPr>
        <w:tc>
          <w:tcPr>
            <w:tcW w:w="1931" w:type="dxa"/>
            <w:hideMark/>
          </w:tcPr>
          <w:p w14:paraId="19E26222"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Exceptional</w:t>
            </w:r>
            <w:r>
              <w:rPr>
                <w:rFonts w:ascii="Arial" w:hAnsi="Arial" w:cs="Arial"/>
                <w:b/>
                <w:color w:val="000000"/>
                <w:sz w:val="18"/>
                <w:szCs w:val="18"/>
                <w:lang w:val="en-GB"/>
              </w:rPr>
              <w:t xml:space="preserve"> </w:t>
            </w:r>
            <w:r w:rsidRPr="00F26A3E">
              <w:rPr>
                <w:rFonts w:ascii="Arial" w:hAnsi="Arial" w:cs="Arial"/>
                <w:b/>
                <w:color w:val="000000"/>
                <w:sz w:val="18"/>
                <w:szCs w:val="18"/>
                <w:lang w:val="en-GB"/>
              </w:rPr>
              <w:t>Item</w:t>
            </w:r>
          </w:p>
        </w:tc>
        <w:tc>
          <w:tcPr>
            <w:tcW w:w="1034" w:type="dxa"/>
            <w:noWrap/>
            <w:hideMark/>
          </w:tcPr>
          <w:p w14:paraId="1CDB7065" w14:textId="77777777" w:rsidR="00D82A78" w:rsidRPr="00F26A3E" w:rsidRDefault="00D82A78" w:rsidP="003B5E91">
            <w:pPr>
              <w:jc w:val="center"/>
              <w:rPr>
                <w:rFonts w:ascii="Arial" w:hAnsi="Arial" w:cs="Arial"/>
                <w:color w:val="000000"/>
                <w:sz w:val="18"/>
                <w:szCs w:val="18"/>
                <w:lang w:val="en-GB"/>
              </w:rPr>
            </w:pPr>
          </w:p>
        </w:tc>
        <w:tc>
          <w:tcPr>
            <w:tcW w:w="990" w:type="dxa"/>
            <w:noWrap/>
            <w:hideMark/>
          </w:tcPr>
          <w:p w14:paraId="29739574" w14:textId="77777777" w:rsidR="00D82A78" w:rsidRPr="00F26A3E" w:rsidRDefault="00D82A78" w:rsidP="003B5E91">
            <w:pPr>
              <w:jc w:val="center"/>
              <w:rPr>
                <w:rFonts w:ascii="Arial" w:hAnsi="Arial" w:cs="Arial"/>
                <w:color w:val="000000"/>
                <w:sz w:val="18"/>
                <w:szCs w:val="18"/>
                <w:lang w:val="en-GB"/>
              </w:rPr>
            </w:pPr>
          </w:p>
        </w:tc>
        <w:tc>
          <w:tcPr>
            <w:tcW w:w="990" w:type="dxa"/>
            <w:noWrap/>
            <w:hideMark/>
          </w:tcPr>
          <w:p w14:paraId="523956E9" w14:textId="77777777" w:rsidR="00D82A78" w:rsidRPr="00F26A3E" w:rsidRDefault="00D82A78" w:rsidP="003B5E91">
            <w:pPr>
              <w:jc w:val="center"/>
              <w:rPr>
                <w:rFonts w:ascii="Arial" w:hAnsi="Arial" w:cs="Arial"/>
                <w:color w:val="000000"/>
                <w:sz w:val="18"/>
                <w:szCs w:val="18"/>
                <w:lang w:val="en-GB"/>
              </w:rPr>
            </w:pPr>
          </w:p>
        </w:tc>
        <w:tc>
          <w:tcPr>
            <w:tcW w:w="990" w:type="dxa"/>
            <w:noWrap/>
            <w:hideMark/>
          </w:tcPr>
          <w:p w14:paraId="7CC80554" w14:textId="77777777" w:rsidR="00D82A78" w:rsidRPr="00F26A3E" w:rsidRDefault="00D82A78" w:rsidP="003B5E91">
            <w:pPr>
              <w:jc w:val="center"/>
              <w:rPr>
                <w:rFonts w:ascii="Arial" w:hAnsi="Arial" w:cs="Arial"/>
                <w:color w:val="000000"/>
                <w:sz w:val="18"/>
                <w:szCs w:val="18"/>
                <w:lang w:val="en-GB"/>
              </w:rPr>
            </w:pPr>
          </w:p>
        </w:tc>
        <w:tc>
          <w:tcPr>
            <w:tcW w:w="990" w:type="dxa"/>
            <w:noWrap/>
            <w:hideMark/>
          </w:tcPr>
          <w:p w14:paraId="20815BCE" w14:textId="77777777" w:rsidR="00D82A78" w:rsidRPr="00F26A3E" w:rsidRDefault="00D82A78" w:rsidP="003B5E91">
            <w:pPr>
              <w:jc w:val="center"/>
              <w:rPr>
                <w:rFonts w:ascii="Arial" w:hAnsi="Arial" w:cs="Arial"/>
                <w:color w:val="000000"/>
                <w:sz w:val="18"/>
                <w:szCs w:val="18"/>
                <w:lang w:val="en-GB"/>
              </w:rPr>
            </w:pPr>
          </w:p>
        </w:tc>
        <w:tc>
          <w:tcPr>
            <w:tcW w:w="1080" w:type="dxa"/>
            <w:noWrap/>
            <w:hideMark/>
          </w:tcPr>
          <w:p w14:paraId="1DABC415" w14:textId="77777777" w:rsidR="00D82A78" w:rsidRPr="00F26A3E" w:rsidRDefault="00D82A78" w:rsidP="003B5E91">
            <w:pPr>
              <w:jc w:val="center"/>
              <w:rPr>
                <w:rFonts w:ascii="Arial" w:hAnsi="Arial" w:cs="Arial"/>
                <w:color w:val="000000"/>
                <w:sz w:val="18"/>
                <w:szCs w:val="18"/>
                <w:lang w:val="en-GB"/>
              </w:rPr>
            </w:pPr>
          </w:p>
        </w:tc>
        <w:tc>
          <w:tcPr>
            <w:tcW w:w="1170" w:type="dxa"/>
            <w:noWrap/>
            <w:hideMark/>
          </w:tcPr>
          <w:p w14:paraId="618E0FBA" w14:textId="77777777" w:rsidR="00D82A78" w:rsidRPr="00F26A3E" w:rsidRDefault="00D82A78" w:rsidP="003B5E91">
            <w:pPr>
              <w:jc w:val="center"/>
              <w:rPr>
                <w:rFonts w:ascii="Arial" w:hAnsi="Arial" w:cs="Arial"/>
                <w:color w:val="000000"/>
                <w:sz w:val="18"/>
                <w:szCs w:val="18"/>
                <w:lang w:val="en-GB"/>
              </w:rPr>
            </w:pPr>
          </w:p>
        </w:tc>
        <w:tc>
          <w:tcPr>
            <w:tcW w:w="1053" w:type="dxa"/>
            <w:noWrap/>
            <w:hideMark/>
          </w:tcPr>
          <w:p w14:paraId="21FE31F5" w14:textId="77777777" w:rsidR="00D82A78" w:rsidRPr="00F26A3E" w:rsidRDefault="00D82A78" w:rsidP="003B5E91">
            <w:pPr>
              <w:jc w:val="center"/>
              <w:rPr>
                <w:rFonts w:ascii="Arial" w:hAnsi="Arial" w:cs="Arial"/>
                <w:color w:val="000000"/>
                <w:sz w:val="18"/>
                <w:szCs w:val="18"/>
                <w:lang w:val="en-GB"/>
              </w:rPr>
            </w:pPr>
          </w:p>
        </w:tc>
        <w:tc>
          <w:tcPr>
            <w:tcW w:w="1017" w:type="dxa"/>
            <w:noWrap/>
            <w:hideMark/>
          </w:tcPr>
          <w:p w14:paraId="2FCF403F" w14:textId="77777777" w:rsidR="00D82A78" w:rsidRPr="00F26A3E" w:rsidRDefault="00D82A78" w:rsidP="003B5E91">
            <w:pPr>
              <w:jc w:val="center"/>
              <w:rPr>
                <w:rFonts w:ascii="Arial" w:hAnsi="Arial" w:cs="Arial"/>
                <w:color w:val="000000"/>
                <w:sz w:val="18"/>
                <w:szCs w:val="18"/>
                <w:lang w:val="en-GB"/>
              </w:rPr>
            </w:pPr>
            <w:r>
              <w:rPr>
                <w:rFonts w:ascii="Arial" w:hAnsi="Arial" w:cs="Arial"/>
                <w:color w:val="000000"/>
                <w:sz w:val="18"/>
                <w:szCs w:val="18"/>
                <w:lang w:val="en-GB"/>
              </w:rPr>
              <w:t>–</w:t>
            </w: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119.8</w:t>
            </w:r>
          </w:p>
        </w:tc>
        <w:tc>
          <w:tcPr>
            <w:tcW w:w="1080" w:type="dxa"/>
            <w:noWrap/>
            <w:hideMark/>
          </w:tcPr>
          <w:p w14:paraId="3CE08C3A" w14:textId="77777777" w:rsidR="00D82A78" w:rsidRPr="00F26A3E" w:rsidRDefault="00D82A78" w:rsidP="003B5E91">
            <w:pPr>
              <w:jc w:val="center"/>
              <w:rPr>
                <w:rFonts w:ascii="Arial" w:hAnsi="Arial" w:cs="Arial"/>
                <w:color w:val="000000"/>
                <w:sz w:val="18"/>
                <w:szCs w:val="18"/>
                <w:lang w:val="en-GB"/>
              </w:rPr>
            </w:pPr>
            <w:r>
              <w:rPr>
                <w:rFonts w:ascii="Arial" w:hAnsi="Arial" w:cs="Arial"/>
                <w:color w:val="000000"/>
                <w:sz w:val="18"/>
                <w:szCs w:val="18"/>
                <w:lang w:val="en-GB"/>
              </w:rPr>
              <w:t>–</w:t>
            </w:r>
            <w:r w:rsidRPr="00F26A3E">
              <w:rPr>
                <w:rFonts w:ascii="Arial" w:hAnsi="Arial" w:cs="Arial"/>
                <w:color w:val="000000"/>
                <w:sz w:val="18"/>
                <w:szCs w:val="18"/>
                <w:lang w:val="en-GB"/>
              </w:rPr>
              <w:t>175.2</w:t>
            </w:r>
          </w:p>
        </w:tc>
      </w:tr>
      <w:tr w:rsidR="00D82A78" w:rsidRPr="00F26A3E" w14:paraId="4F9D9C75" w14:textId="77777777" w:rsidTr="003B5E91">
        <w:trPr>
          <w:trHeight w:val="70"/>
          <w:tblHeader/>
          <w:jc w:val="center"/>
        </w:trPr>
        <w:tc>
          <w:tcPr>
            <w:tcW w:w="1931" w:type="dxa"/>
            <w:hideMark/>
          </w:tcPr>
          <w:p w14:paraId="28D310BA"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Profit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after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tax</w:t>
            </w:r>
            <w:r>
              <w:rPr>
                <w:rFonts w:ascii="Arial" w:hAnsi="Arial" w:cs="Arial"/>
                <w:b/>
                <w:color w:val="000000"/>
                <w:sz w:val="18"/>
                <w:szCs w:val="18"/>
                <w:lang w:val="en-GB"/>
              </w:rPr>
              <w:t>es</w:t>
            </w:r>
          </w:p>
        </w:tc>
        <w:tc>
          <w:tcPr>
            <w:tcW w:w="1034" w:type="dxa"/>
            <w:noWrap/>
            <w:hideMark/>
          </w:tcPr>
          <w:p w14:paraId="4435854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375.3</w:t>
            </w:r>
          </w:p>
        </w:tc>
        <w:tc>
          <w:tcPr>
            <w:tcW w:w="990" w:type="dxa"/>
            <w:noWrap/>
            <w:hideMark/>
          </w:tcPr>
          <w:p w14:paraId="544739E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754.4</w:t>
            </w:r>
          </w:p>
        </w:tc>
        <w:tc>
          <w:tcPr>
            <w:tcW w:w="990" w:type="dxa"/>
            <w:noWrap/>
            <w:hideMark/>
          </w:tcPr>
          <w:p w14:paraId="4B86355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245.5</w:t>
            </w:r>
          </w:p>
        </w:tc>
        <w:tc>
          <w:tcPr>
            <w:tcW w:w="990" w:type="dxa"/>
            <w:noWrap/>
            <w:hideMark/>
          </w:tcPr>
          <w:p w14:paraId="76B8B77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447.6</w:t>
            </w:r>
          </w:p>
        </w:tc>
        <w:tc>
          <w:tcPr>
            <w:tcW w:w="990" w:type="dxa"/>
            <w:noWrap/>
            <w:hideMark/>
          </w:tcPr>
          <w:p w14:paraId="2764772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786.2</w:t>
            </w:r>
          </w:p>
        </w:tc>
        <w:tc>
          <w:tcPr>
            <w:tcW w:w="1080" w:type="dxa"/>
            <w:noWrap/>
            <w:hideMark/>
          </w:tcPr>
          <w:p w14:paraId="543AE75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w:t>
            </w:r>
            <w:r>
              <w:rPr>
                <w:rFonts w:ascii="Arial" w:hAnsi="Arial" w:cs="Arial"/>
                <w:color w:val="000000"/>
                <w:sz w:val="18"/>
                <w:szCs w:val="18"/>
                <w:lang w:val="en-GB"/>
              </w:rPr>
              <w:t>,</w:t>
            </w:r>
            <w:r w:rsidRPr="00F26A3E">
              <w:rPr>
                <w:rFonts w:ascii="Arial" w:hAnsi="Arial" w:cs="Arial"/>
                <w:color w:val="000000"/>
                <w:sz w:val="18"/>
                <w:szCs w:val="18"/>
                <w:lang w:val="en-GB"/>
              </w:rPr>
              <w:t>589.2</w:t>
            </w:r>
          </w:p>
        </w:tc>
        <w:tc>
          <w:tcPr>
            <w:tcW w:w="1170" w:type="dxa"/>
            <w:noWrap/>
            <w:hideMark/>
          </w:tcPr>
          <w:p w14:paraId="72CA7B0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12</w:t>
            </w:r>
            <w:r>
              <w:rPr>
                <w:rFonts w:ascii="Arial" w:hAnsi="Arial" w:cs="Arial"/>
                <w:color w:val="000000"/>
                <w:sz w:val="18"/>
                <w:szCs w:val="18"/>
                <w:lang w:val="en-GB"/>
              </w:rPr>
              <w:t>,</w:t>
            </w:r>
            <w:r w:rsidRPr="00F26A3E">
              <w:rPr>
                <w:rFonts w:ascii="Arial" w:hAnsi="Arial" w:cs="Arial"/>
                <w:color w:val="000000"/>
                <w:sz w:val="18"/>
                <w:szCs w:val="18"/>
                <w:lang w:val="en-GB"/>
              </w:rPr>
              <w:t>298.5</w:t>
            </w:r>
          </w:p>
        </w:tc>
        <w:tc>
          <w:tcPr>
            <w:tcW w:w="1053" w:type="dxa"/>
            <w:noWrap/>
            <w:hideMark/>
          </w:tcPr>
          <w:p w14:paraId="5CDDB33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15</w:t>
            </w:r>
            <w:r>
              <w:rPr>
                <w:rFonts w:ascii="Arial" w:hAnsi="Arial" w:cs="Arial"/>
                <w:color w:val="000000"/>
                <w:sz w:val="18"/>
                <w:szCs w:val="18"/>
                <w:lang w:val="en-GB"/>
              </w:rPr>
              <w:t>,</w:t>
            </w:r>
            <w:r w:rsidRPr="00F26A3E">
              <w:rPr>
                <w:rFonts w:ascii="Arial" w:hAnsi="Arial" w:cs="Arial"/>
                <w:color w:val="000000"/>
                <w:sz w:val="18"/>
                <w:szCs w:val="18"/>
                <w:lang w:val="en-GB"/>
              </w:rPr>
              <w:t>600.2</w:t>
            </w:r>
          </w:p>
        </w:tc>
        <w:tc>
          <w:tcPr>
            <w:tcW w:w="1017" w:type="dxa"/>
            <w:noWrap/>
            <w:hideMark/>
          </w:tcPr>
          <w:p w14:paraId="403268A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w:t>
            </w:r>
            <w:r>
              <w:rPr>
                <w:rFonts w:ascii="Arial" w:hAnsi="Arial" w:cs="Arial"/>
                <w:color w:val="000000"/>
                <w:sz w:val="18"/>
                <w:szCs w:val="18"/>
                <w:lang w:val="en-GB"/>
              </w:rPr>
              <w:t>,</w:t>
            </w:r>
            <w:r w:rsidRPr="00F26A3E">
              <w:rPr>
                <w:rFonts w:ascii="Arial" w:hAnsi="Arial" w:cs="Arial"/>
                <w:color w:val="000000"/>
                <w:sz w:val="18"/>
                <w:szCs w:val="18"/>
                <w:lang w:val="en-GB"/>
              </w:rPr>
              <w:t>129.1</w:t>
            </w:r>
          </w:p>
        </w:tc>
        <w:tc>
          <w:tcPr>
            <w:tcW w:w="1080" w:type="dxa"/>
            <w:noWrap/>
            <w:hideMark/>
          </w:tcPr>
          <w:p w14:paraId="68E5B6AB"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w:t>
            </w:r>
            <w:r>
              <w:rPr>
                <w:rFonts w:ascii="Arial" w:hAnsi="Arial" w:cs="Arial"/>
                <w:color w:val="000000"/>
                <w:sz w:val="18"/>
                <w:szCs w:val="18"/>
                <w:lang w:val="en-GB"/>
              </w:rPr>
              <w:t>,</w:t>
            </w:r>
            <w:r w:rsidRPr="00F26A3E">
              <w:rPr>
                <w:rFonts w:ascii="Arial" w:hAnsi="Arial" w:cs="Arial"/>
                <w:color w:val="000000"/>
                <w:sz w:val="18"/>
                <w:szCs w:val="18"/>
                <w:lang w:val="en-GB"/>
              </w:rPr>
              <w:t>544.4</w:t>
            </w:r>
          </w:p>
        </w:tc>
      </w:tr>
      <w:tr w:rsidR="00D82A78" w:rsidRPr="00F26A3E" w14:paraId="5C40D8B6" w14:textId="77777777" w:rsidTr="003B5E91">
        <w:trPr>
          <w:trHeight w:val="416"/>
          <w:tblHeader/>
          <w:jc w:val="center"/>
        </w:trPr>
        <w:tc>
          <w:tcPr>
            <w:tcW w:w="1931" w:type="dxa"/>
            <w:hideMark/>
          </w:tcPr>
          <w:p w14:paraId="6C880247"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Earnings</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1034" w:type="dxa"/>
            <w:noWrap/>
            <w:hideMark/>
          </w:tcPr>
          <w:p w14:paraId="38CC4C7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13.85</w:t>
            </w:r>
          </w:p>
        </w:tc>
        <w:tc>
          <w:tcPr>
            <w:tcW w:w="990" w:type="dxa"/>
            <w:noWrap/>
            <w:hideMark/>
          </w:tcPr>
          <w:p w14:paraId="109E2FA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28.17</w:t>
            </w:r>
          </w:p>
        </w:tc>
        <w:tc>
          <w:tcPr>
            <w:tcW w:w="990" w:type="dxa"/>
            <w:noWrap/>
            <w:hideMark/>
          </w:tcPr>
          <w:p w14:paraId="1F96B28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46.18</w:t>
            </w:r>
          </w:p>
        </w:tc>
        <w:tc>
          <w:tcPr>
            <w:tcW w:w="990" w:type="dxa"/>
            <w:noWrap/>
            <w:hideMark/>
          </w:tcPr>
          <w:p w14:paraId="734C640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53.62</w:t>
            </w:r>
          </w:p>
        </w:tc>
        <w:tc>
          <w:tcPr>
            <w:tcW w:w="990" w:type="dxa"/>
            <w:noWrap/>
            <w:hideMark/>
          </w:tcPr>
          <w:p w14:paraId="54A618B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103.15</w:t>
            </w:r>
          </w:p>
        </w:tc>
        <w:tc>
          <w:tcPr>
            <w:tcW w:w="1080" w:type="dxa"/>
            <w:noWrap/>
            <w:hideMark/>
          </w:tcPr>
          <w:p w14:paraId="030FED7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206.38</w:t>
            </w:r>
          </w:p>
        </w:tc>
        <w:tc>
          <w:tcPr>
            <w:tcW w:w="1170" w:type="dxa"/>
            <w:noWrap/>
            <w:hideMark/>
          </w:tcPr>
          <w:p w14:paraId="1516C4A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453.3</w:t>
            </w:r>
          </w:p>
        </w:tc>
        <w:tc>
          <w:tcPr>
            <w:tcW w:w="1053" w:type="dxa"/>
            <w:noWrap/>
            <w:hideMark/>
          </w:tcPr>
          <w:p w14:paraId="2583184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573.75</w:t>
            </w:r>
          </w:p>
        </w:tc>
        <w:tc>
          <w:tcPr>
            <w:tcW w:w="1017" w:type="dxa"/>
            <w:noWrap/>
            <w:hideMark/>
          </w:tcPr>
          <w:p w14:paraId="3146617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629.07</w:t>
            </w:r>
          </w:p>
        </w:tc>
        <w:tc>
          <w:tcPr>
            <w:tcW w:w="1080" w:type="dxa"/>
            <w:noWrap/>
            <w:hideMark/>
          </w:tcPr>
          <w:p w14:paraId="7414C7C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753.37</w:t>
            </w:r>
          </w:p>
        </w:tc>
      </w:tr>
      <w:tr w:rsidR="00D82A78" w:rsidRPr="00F26A3E" w14:paraId="15A18FA2" w14:textId="77777777" w:rsidTr="003B5E91">
        <w:trPr>
          <w:trHeight w:val="70"/>
          <w:tblHeader/>
          <w:jc w:val="center"/>
        </w:trPr>
        <w:tc>
          <w:tcPr>
            <w:tcW w:w="1931" w:type="dxa"/>
            <w:hideMark/>
          </w:tcPr>
          <w:p w14:paraId="3EC6999B"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Dividend</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1034" w:type="dxa"/>
            <w:noWrap/>
            <w:hideMark/>
          </w:tcPr>
          <w:p w14:paraId="63FFA0D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w:t>
            </w:r>
          </w:p>
        </w:tc>
        <w:tc>
          <w:tcPr>
            <w:tcW w:w="990" w:type="dxa"/>
            <w:noWrap/>
            <w:hideMark/>
          </w:tcPr>
          <w:p w14:paraId="60C9D6D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11</w:t>
            </w:r>
          </w:p>
        </w:tc>
        <w:tc>
          <w:tcPr>
            <w:tcW w:w="990" w:type="dxa"/>
            <w:noWrap/>
            <w:hideMark/>
          </w:tcPr>
          <w:p w14:paraId="3A437FD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16</w:t>
            </w:r>
          </w:p>
        </w:tc>
        <w:tc>
          <w:tcPr>
            <w:tcW w:w="990" w:type="dxa"/>
            <w:noWrap/>
            <w:hideMark/>
          </w:tcPr>
          <w:p w14:paraId="4A8C72D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w:t>
            </w:r>
          </w:p>
        </w:tc>
        <w:tc>
          <w:tcPr>
            <w:tcW w:w="990" w:type="dxa"/>
            <w:noWrap/>
            <w:hideMark/>
          </w:tcPr>
          <w:p w14:paraId="091E4EC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w:t>
            </w:r>
          </w:p>
        </w:tc>
        <w:tc>
          <w:tcPr>
            <w:tcW w:w="1080" w:type="dxa"/>
            <w:noWrap/>
            <w:hideMark/>
          </w:tcPr>
          <w:p w14:paraId="6AC0729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50</w:t>
            </w:r>
          </w:p>
        </w:tc>
        <w:tc>
          <w:tcPr>
            <w:tcW w:w="1170" w:type="dxa"/>
            <w:noWrap/>
            <w:hideMark/>
          </w:tcPr>
          <w:p w14:paraId="73F81BC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100</w:t>
            </w:r>
          </w:p>
        </w:tc>
        <w:tc>
          <w:tcPr>
            <w:tcW w:w="1053" w:type="dxa"/>
            <w:noWrap/>
            <w:hideMark/>
          </w:tcPr>
          <w:p w14:paraId="104FCD1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100</w:t>
            </w:r>
          </w:p>
        </w:tc>
        <w:tc>
          <w:tcPr>
            <w:tcW w:w="1017" w:type="dxa"/>
            <w:noWrap/>
            <w:hideMark/>
          </w:tcPr>
          <w:p w14:paraId="607A91D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110</w:t>
            </w:r>
          </w:p>
        </w:tc>
        <w:tc>
          <w:tcPr>
            <w:tcW w:w="1080" w:type="dxa"/>
            <w:noWrap/>
            <w:hideMark/>
          </w:tcPr>
          <w:p w14:paraId="5939B35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125</w:t>
            </w:r>
          </w:p>
        </w:tc>
      </w:tr>
      <w:tr w:rsidR="00D82A78" w:rsidRPr="00F26A3E" w14:paraId="03356D84" w14:textId="77777777" w:rsidTr="003B5E91">
        <w:trPr>
          <w:trHeight w:val="70"/>
          <w:tblHeader/>
          <w:jc w:val="center"/>
        </w:trPr>
        <w:tc>
          <w:tcPr>
            <w:tcW w:w="1931" w:type="dxa"/>
            <w:hideMark/>
          </w:tcPr>
          <w:p w14:paraId="721005D3"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Net</w:t>
            </w:r>
            <w:r>
              <w:rPr>
                <w:rFonts w:ascii="Arial" w:hAnsi="Arial" w:cs="Arial"/>
                <w:b/>
                <w:color w:val="000000"/>
                <w:sz w:val="18"/>
                <w:szCs w:val="18"/>
                <w:lang w:val="en-GB"/>
              </w:rPr>
              <w:t xml:space="preserve"> w</w:t>
            </w:r>
            <w:r w:rsidRPr="00F26A3E">
              <w:rPr>
                <w:rFonts w:ascii="Arial" w:hAnsi="Arial" w:cs="Arial"/>
                <w:b/>
                <w:color w:val="000000"/>
                <w:sz w:val="18"/>
                <w:szCs w:val="18"/>
                <w:lang w:val="en-GB"/>
              </w:rPr>
              <w:t>orth</w:t>
            </w:r>
          </w:p>
        </w:tc>
        <w:tc>
          <w:tcPr>
            <w:tcW w:w="1034" w:type="dxa"/>
            <w:noWrap/>
            <w:hideMark/>
          </w:tcPr>
          <w:p w14:paraId="6BBC76E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w:t>
            </w:r>
            <w:r>
              <w:rPr>
                <w:rFonts w:ascii="Arial" w:hAnsi="Arial" w:cs="Arial"/>
                <w:color w:val="000000"/>
                <w:sz w:val="18"/>
                <w:szCs w:val="18"/>
                <w:lang w:val="en-GB"/>
              </w:rPr>
              <w:t>,</w:t>
            </w:r>
            <w:r w:rsidRPr="00F26A3E">
              <w:rPr>
                <w:rFonts w:ascii="Arial" w:hAnsi="Arial" w:cs="Arial"/>
                <w:color w:val="000000"/>
                <w:sz w:val="18"/>
                <w:szCs w:val="18"/>
                <w:lang w:val="en-GB"/>
              </w:rPr>
              <w:t>025</w:t>
            </w:r>
          </w:p>
        </w:tc>
        <w:tc>
          <w:tcPr>
            <w:tcW w:w="990" w:type="dxa"/>
            <w:noWrap/>
            <w:hideMark/>
          </w:tcPr>
          <w:p w14:paraId="382A2A2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w:t>
            </w:r>
            <w:r>
              <w:rPr>
                <w:rFonts w:ascii="Arial" w:hAnsi="Arial" w:cs="Arial"/>
                <w:color w:val="000000"/>
                <w:sz w:val="18"/>
                <w:szCs w:val="18"/>
                <w:lang w:val="en-GB"/>
              </w:rPr>
              <w:t>,</w:t>
            </w:r>
            <w:r w:rsidRPr="00F26A3E">
              <w:rPr>
                <w:rFonts w:ascii="Arial" w:hAnsi="Arial" w:cs="Arial"/>
                <w:color w:val="000000"/>
                <w:sz w:val="18"/>
                <w:szCs w:val="18"/>
                <w:lang w:val="en-GB"/>
              </w:rPr>
              <w:t>566.7</w:t>
            </w:r>
          </w:p>
        </w:tc>
        <w:tc>
          <w:tcPr>
            <w:tcW w:w="990" w:type="dxa"/>
            <w:noWrap/>
            <w:hideMark/>
          </w:tcPr>
          <w:p w14:paraId="449FD07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w:t>
            </w:r>
            <w:r>
              <w:rPr>
                <w:rFonts w:ascii="Arial" w:hAnsi="Arial" w:cs="Arial"/>
                <w:color w:val="000000"/>
                <w:sz w:val="18"/>
                <w:szCs w:val="18"/>
                <w:lang w:val="en-GB"/>
              </w:rPr>
              <w:t>,</w:t>
            </w:r>
            <w:r w:rsidRPr="00F26A3E">
              <w:rPr>
                <w:rFonts w:ascii="Arial" w:hAnsi="Arial" w:cs="Arial"/>
                <w:color w:val="000000"/>
                <w:sz w:val="18"/>
                <w:szCs w:val="18"/>
                <w:lang w:val="en-GB"/>
              </w:rPr>
              <w:t>400.4</w:t>
            </w:r>
          </w:p>
        </w:tc>
        <w:tc>
          <w:tcPr>
            <w:tcW w:w="990" w:type="dxa"/>
            <w:noWrap/>
            <w:hideMark/>
          </w:tcPr>
          <w:p w14:paraId="420E3FB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w:t>
            </w:r>
            <w:r>
              <w:rPr>
                <w:rFonts w:ascii="Arial" w:hAnsi="Arial" w:cs="Arial"/>
                <w:color w:val="000000"/>
                <w:sz w:val="18"/>
                <w:szCs w:val="18"/>
                <w:lang w:val="en-GB"/>
              </w:rPr>
              <w:t>,</w:t>
            </w:r>
            <w:r w:rsidRPr="00F26A3E">
              <w:rPr>
                <w:rFonts w:ascii="Arial" w:hAnsi="Arial" w:cs="Arial"/>
                <w:color w:val="000000"/>
                <w:sz w:val="18"/>
                <w:szCs w:val="18"/>
                <w:lang w:val="en-GB"/>
              </w:rPr>
              <w:t>290.5</w:t>
            </w:r>
          </w:p>
        </w:tc>
        <w:tc>
          <w:tcPr>
            <w:tcW w:w="990" w:type="dxa"/>
            <w:noWrap/>
            <w:hideMark/>
          </w:tcPr>
          <w:p w14:paraId="37AE8C4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8</w:t>
            </w:r>
            <w:r>
              <w:rPr>
                <w:rFonts w:ascii="Arial" w:hAnsi="Arial" w:cs="Arial"/>
                <w:color w:val="000000"/>
                <w:sz w:val="18"/>
                <w:szCs w:val="18"/>
                <w:lang w:val="en-GB"/>
              </w:rPr>
              <w:t>,</w:t>
            </w:r>
            <w:r w:rsidRPr="00F26A3E">
              <w:rPr>
                <w:rFonts w:ascii="Arial" w:hAnsi="Arial" w:cs="Arial"/>
                <w:color w:val="000000"/>
                <w:sz w:val="18"/>
                <w:szCs w:val="18"/>
                <w:lang w:val="en-GB"/>
              </w:rPr>
              <w:t>213.4</w:t>
            </w:r>
          </w:p>
        </w:tc>
        <w:tc>
          <w:tcPr>
            <w:tcW w:w="1080" w:type="dxa"/>
            <w:noWrap/>
            <w:hideMark/>
          </w:tcPr>
          <w:p w14:paraId="3E480F8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12</w:t>
            </w:r>
            <w:r>
              <w:rPr>
                <w:rFonts w:ascii="Arial" w:hAnsi="Arial" w:cs="Arial"/>
                <w:color w:val="000000"/>
                <w:sz w:val="18"/>
                <w:szCs w:val="18"/>
                <w:lang w:val="en-GB"/>
              </w:rPr>
              <w:t>,</w:t>
            </w:r>
            <w:r w:rsidRPr="00F26A3E">
              <w:rPr>
                <w:rFonts w:ascii="Arial" w:hAnsi="Arial" w:cs="Arial"/>
                <w:color w:val="000000"/>
                <w:sz w:val="18"/>
                <w:szCs w:val="18"/>
                <w:lang w:val="en-GB"/>
              </w:rPr>
              <w:t>336.6</w:t>
            </w:r>
          </w:p>
        </w:tc>
        <w:tc>
          <w:tcPr>
            <w:tcW w:w="1170" w:type="dxa"/>
            <w:noWrap/>
            <w:hideMark/>
          </w:tcPr>
          <w:p w14:paraId="6D888D6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21</w:t>
            </w:r>
            <w:r>
              <w:rPr>
                <w:rFonts w:ascii="Arial" w:hAnsi="Arial" w:cs="Arial"/>
                <w:color w:val="000000"/>
                <w:sz w:val="18"/>
                <w:szCs w:val="18"/>
                <w:lang w:val="en-GB"/>
              </w:rPr>
              <w:t>,</w:t>
            </w:r>
            <w:r w:rsidRPr="00F26A3E">
              <w:rPr>
                <w:rFonts w:ascii="Arial" w:hAnsi="Arial" w:cs="Arial"/>
                <w:color w:val="000000"/>
                <w:sz w:val="18"/>
                <w:szCs w:val="18"/>
                <w:lang w:val="en-GB"/>
              </w:rPr>
              <w:t>507.8</w:t>
            </w:r>
          </w:p>
        </w:tc>
        <w:tc>
          <w:tcPr>
            <w:tcW w:w="1053" w:type="dxa"/>
            <w:noWrap/>
            <w:hideMark/>
          </w:tcPr>
          <w:p w14:paraId="2AA6713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39</w:t>
            </w:r>
            <w:r>
              <w:rPr>
                <w:rFonts w:ascii="Arial" w:hAnsi="Arial" w:cs="Arial"/>
                <w:color w:val="000000"/>
                <w:sz w:val="18"/>
                <w:szCs w:val="18"/>
                <w:lang w:val="en-GB"/>
              </w:rPr>
              <w:t>,</w:t>
            </w:r>
            <w:r w:rsidRPr="00F26A3E">
              <w:rPr>
                <w:rFonts w:ascii="Arial" w:hAnsi="Arial" w:cs="Arial"/>
                <w:color w:val="000000"/>
                <w:sz w:val="18"/>
                <w:szCs w:val="18"/>
                <w:lang w:val="en-GB"/>
              </w:rPr>
              <w:t>225.9</w:t>
            </w:r>
          </w:p>
        </w:tc>
        <w:tc>
          <w:tcPr>
            <w:tcW w:w="1017" w:type="dxa"/>
            <w:noWrap/>
            <w:hideMark/>
          </w:tcPr>
          <w:p w14:paraId="4E51B33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53</w:t>
            </w:r>
            <w:r>
              <w:rPr>
                <w:rFonts w:ascii="Arial" w:hAnsi="Arial" w:cs="Arial"/>
                <w:color w:val="000000"/>
                <w:sz w:val="18"/>
                <w:szCs w:val="18"/>
                <w:lang w:val="en-GB"/>
              </w:rPr>
              <w:t>,</w:t>
            </w:r>
            <w:r w:rsidRPr="00F26A3E">
              <w:rPr>
                <w:rFonts w:ascii="Arial" w:hAnsi="Arial" w:cs="Arial"/>
                <w:color w:val="000000"/>
                <w:sz w:val="18"/>
                <w:szCs w:val="18"/>
                <w:lang w:val="en-GB"/>
              </w:rPr>
              <w:t>722.3</w:t>
            </w:r>
          </w:p>
        </w:tc>
        <w:tc>
          <w:tcPr>
            <w:tcW w:w="1080" w:type="dxa"/>
            <w:noWrap/>
            <w:hideMark/>
          </w:tcPr>
          <w:p w14:paraId="2F55A20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71</w:t>
            </w:r>
            <w:r>
              <w:rPr>
                <w:rFonts w:ascii="Arial" w:hAnsi="Arial" w:cs="Arial"/>
                <w:color w:val="000000"/>
                <w:sz w:val="18"/>
                <w:szCs w:val="18"/>
                <w:lang w:val="en-GB"/>
              </w:rPr>
              <w:t>,</w:t>
            </w:r>
            <w:r w:rsidRPr="00F26A3E">
              <w:rPr>
                <w:rFonts w:ascii="Arial" w:hAnsi="Arial" w:cs="Arial"/>
                <w:color w:val="000000"/>
                <w:sz w:val="18"/>
                <w:szCs w:val="18"/>
                <w:lang w:val="en-GB"/>
              </w:rPr>
              <w:t>264.5</w:t>
            </w:r>
          </w:p>
        </w:tc>
      </w:tr>
      <w:tr w:rsidR="00D82A78" w:rsidRPr="00F26A3E" w14:paraId="33A60EC0" w14:textId="77777777" w:rsidTr="003B5E91">
        <w:trPr>
          <w:trHeight w:val="70"/>
          <w:tblHeader/>
          <w:jc w:val="center"/>
        </w:trPr>
        <w:tc>
          <w:tcPr>
            <w:tcW w:w="1931" w:type="dxa"/>
            <w:hideMark/>
          </w:tcPr>
          <w:p w14:paraId="33B7104F"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Book</w:t>
            </w:r>
            <w:r>
              <w:rPr>
                <w:rFonts w:ascii="Arial" w:hAnsi="Arial" w:cs="Arial"/>
                <w:b/>
                <w:color w:val="000000"/>
                <w:sz w:val="18"/>
                <w:szCs w:val="18"/>
                <w:lang w:val="en-GB"/>
              </w:rPr>
              <w:t xml:space="preserve"> </w:t>
            </w:r>
            <w:r w:rsidRPr="00F26A3E">
              <w:rPr>
                <w:rFonts w:ascii="Arial" w:hAnsi="Arial" w:cs="Arial"/>
                <w:b/>
                <w:color w:val="000000"/>
                <w:sz w:val="18"/>
                <w:szCs w:val="18"/>
                <w:lang w:val="en-GB"/>
              </w:rPr>
              <w:t>value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1034" w:type="dxa"/>
            <w:noWrap/>
            <w:hideMark/>
          </w:tcPr>
          <w:p w14:paraId="10F978C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150.79</w:t>
            </w:r>
          </w:p>
        </w:tc>
        <w:tc>
          <w:tcPr>
            <w:tcW w:w="990" w:type="dxa"/>
            <w:noWrap/>
            <w:hideMark/>
          </w:tcPr>
          <w:p w14:paraId="4D9A244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169.53</w:t>
            </w:r>
          </w:p>
        </w:tc>
        <w:tc>
          <w:tcPr>
            <w:tcW w:w="990" w:type="dxa"/>
            <w:noWrap/>
            <w:hideMark/>
          </w:tcPr>
          <w:p w14:paraId="2D6DCEE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200.02</w:t>
            </w:r>
          </w:p>
        </w:tc>
        <w:tc>
          <w:tcPr>
            <w:tcW w:w="990" w:type="dxa"/>
            <w:noWrap/>
            <w:hideMark/>
          </w:tcPr>
          <w:p w14:paraId="68A6F5A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232.97</w:t>
            </w:r>
          </w:p>
        </w:tc>
        <w:tc>
          <w:tcPr>
            <w:tcW w:w="990" w:type="dxa"/>
            <w:noWrap/>
            <w:hideMark/>
          </w:tcPr>
          <w:p w14:paraId="682A753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303.76</w:t>
            </w:r>
          </w:p>
        </w:tc>
        <w:tc>
          <w:tcPr>
            <w:tcW w:w="1080" w:type="dxa"/>
            <w:noWrap/>
            <w:hideMark/>
          </w:tcPr>
          <w:p w14:paraId="3FE064C6"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455.14</w:t>
            </w:r>
          </w:p>
        </w:tc>
        <w:tc>
          <w:tcPr>
            <w:tcW w:w="1170" w:type="dxa"/>
            <w:noWrap/>
            <w:hideMark/>
          </w:tcPr>
          <w:p w14:paraId="1E86E1F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791.86</w:t>
            </w:r>
          </w:p>
        </w:tc>
        <w:tc>
          <w:tcPr>
            <w:tcW w:w="1053" w:type="dxa"/>
            <w:noWrap/>
            <w:hideMark/>
          </w:tcPr>
          <w:p w14:paraId="37967E2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439.19</w:t>
            </w:r>
          </w:p>
        </w:tc>
        <w:tc>
          <w:tcPr>
            <w:tcW w:w="1017" w:type="dxa"/>
            <w:noWrap/>
            <w:hideMark/>
          </w:tcPr>
          <w:p w14:paraId="23720FA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971.06</w:t>
            </w:r>
          </w:p>
        </w:tc>
        <w:tc>
          <w:tcPr>
            <w:tcW w:w="1080" w:type="dxa"/>
            <w:noWrap/>
            <w:hideMark/>
          </w:tcPr>
          <w:p w14:paraId="69CE8A8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612.09</w:t>
            </w:r>
          </w:p>
        </w:tc>
      </w:tr>
      <w:tr w:rsidR="00D82A78" w:rsidRPr="00F26A3E" w14:paraId="36BAA684" w14:textId="77777777" w:rsidTr="003B5E91">
        <w:trPr>
          <w:trHeight w:val="70"/>
          <w:tblHeader/>
          <w:jc w:val="center"/>
        </w:trPr>
        <w:tc>
          <w:tcPr>
            <w:tcW w:w="1931" w:type="dxa"/>
            <w:hideMark/>
          </w:tcPr>
          <w:p w14:paraId="0490B931"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Market</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price</w:t>
            </w:r>
            <w:r>
              <w:rPr>
                <w:rFonts w:ascii="Arial" w:hAnsi="Arial" w:cs="Arial"/>
                <w:b/>
                <w:color w:val="000000"/>
                <w:sz w:val="18"/>
                <w:szCs w:val="18"/>
                <w:lang w:val="en-GB"/>
              </w:rPr>
              <w:t xml:space="preserve"> </w:t>
            </w:r>
            <w:r w:rsidRPr="00F26A3E">
              <w:rPr>
                <w:rFonts w:ascii="Arial" w:hAnsi="Arial" w:cs="Arial"/>
                <w:b/>
                <w:color w:val="000000"/>
                <w:sz w:val="18"/>
                <w:szCs w:val="18"/>
                <w:lang w:val="en-GB"/>
              </w:rPr>
              <w:t>per</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w:t>
            </w:r>
          </w:p>
        </w:tc>
        <w:tc>
          <w:tcPr>
            <w:tcW w:w="1034" w:type="dxa"/>
            <w:noWrap/>
            <w:hideMark/>
          </w:tcPr>
          <w:p w14:paraId="3F1D2D5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655</w:t>
            </w:r>
          </w:p>
        </w:tc>
        <w:tc>
          <w:tcPr>
            <w:tcW w:w="990" w:type="dxa"/>
            <w:noWrap/>
            <w:hideMark/>
          </w:tcPr>
          <w:p w14:paraId="5D60762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235.3</w:t>
            </w:r>
          </w:p>
        </w:tc>
        <w:tc>
          <w:tcPr>
            <w:tcW w:w="990" w:type="dxa"/>
            <w:noWrap/>
            <w:hideMark/>
          </w:tcPr>
          <w:p w14:paraId="58A2C948"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488</w:t>
            </w:r>
          </w:p>
        </w:tc>
        <w:tc>
          <w:tcPr>
            <w:tcW w:w="990" w:type="dxa"/>
            <w:noWrap/>
            <w:hideMark/>
          </w:tcPr>
          <w:p w14:paraId="7810B1A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906.6</w:t>
            </w:r>
          </w:p>
        </w:tc>
        <w:tc>
          <w:tcPr>
            <w:tcW w:w="990" w:type="dxa"/>
            <w:noWrap/>
            <w:hideMark/>
          </w:tcPr>
          <w:p w14:paraId="337D814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w:t>
            </w:r>
            <w:r>
              <w:rPr>
                <w:rFonts w:ascii="Arial" w:hAnsi="Arial" w:cs="Arial"/>
                <w:color w:val="000000"/>
                <w:sz w:val="18"/>
                <w:szCs w:val="18"/>
                <w:lang w:val="en-GB"/>
              </w:rPr>
              <w:t>,</w:t>
            </w:r>
            <w:r w:rsidRPr="00F26A3E">
              <w:rPr>
                <w:rFonts w:ascii="Arial" w:hAnsi="Arial" w:cs="Arial"/>
                <w:color w:val="000000"/>
                <w:sz w:val="18"/>
                <w:szCs w:val="18"/>
                <w:lang w:val="en-GB"/>
              </w:rPr>
              <w:t>975.85</w:t>
            </w:r>
          </w:p>
        </w:tc>
        <w:tc>
          <w:tcPr>
            <w:tcW w:w="1080" w:type="dxa"/>
            <w:noWrap/>
            <w:hideMark/>
          </w:tcPr>
          <w:p w14:paraId="70D67B8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15</w:t>
            </w:r>
            <w:r>
              <w:rPr>
                <w:rFonts w:ascii="Arial" w:hAnsi="Arial" w:cs="Arial"/>
                <w:color w:val="000000"/>
                <w:sz w:val="18"/>
                <w:szCs w:val="18"/>
                <w:lang w:val="en-GB"/>
              </w:rPr>
              <w:t>,</w:t>
            </w:r>
            <w:r w:rsidRPr="00F26A3E">
              <w:rPr>
                <w:rFonts w:ascii="Arial" w:hAnsi="Arial" w:cs="Arial"/>
                <w:color w:val="000000"/>
                <w:sz w:val="18"/>
                <w:szCs w:val="18"/>
                <w:lang w:val="en-GB"/>
              </w:rPr>
              <w:t>075</w:t>
            </w:r>
          </w:p>
        </w:tc>
        <w:tc>
          <w:tcPr>
            <w:tcW w:w="1170" w:type="dxa"/>
            <w:noWrap/>
            <w:hideMark/>
          </w:tcPr>
          <w:p w14:paraId="6F4ED7D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19</w:t>
            </w:r>
            <w:r>
              <w:rPr>
                <w:rFonts w:ascii="Arial" w:hAnsi="Arial" w:cs="Arial"/>
                <w:color w:val="000000"/>
                <w:sz w:val="18"/>
                <w:szCs w:val="18"/>
                <w:lang w:val="en-GB"/>
              </w:rPr>
              <w:t>,</w:t>
            </w:r>
            <w:r w:rsidRPr="00F26A3E">
              <w:rPr>
                <w:rFonts w:ascii="Arial" w:hAnsi="Arial" w:cs="Arial"/>
                <w:color w:val="000000"/>
                <w:sz w:val="18"/>
                <w:szCs w:val="18"/>
                <w:lang w:val="en-GB"/>
              </w:rPr>
              <w:t>180.6</w:t>
            </w:r>
          </w:p>
        </w:tc>
        <w:tc>
          <w:tcPr>
            <w:tcW w:w="1053" w:type="dxa"/>
            <w:noWrap/>
            <w:hideMark/>
          </w:tcPr>
          <w:p w14:paraId="3EBB4A9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25</w:t>
            </w:r>
            <w:r>
              <w:rPr>
                <w:rFonts w:ascii="Arial" w:hAnsi="Arial" w:cs="Arial"/>
                <w:color w:val="000000"/>
                <w:sz w:val="18"/>
                <w:szCs w:val="18"/>
                <w:lang w:val="en-GB"/>
              </w:rPr>
              <w:t>,</w:t>
            </w:r>
            <w:r w:rsidRPr="00F26A3E">
              <w:rPr>
                <w:rFonts w:ascii="Arial" w:hAnsi="Arial" w:cs="Arial"/>
                <w:color w:val="000000"/>
                <w:sz w:val="18"/>
                <w:szCs w:val="18"/>
                <w:lang w:val="en-GB"/>
              </w:rPr>
              <w:t>587.5</w:t>
            </w:r>
          </w:p>
        </w:tc>
        <w:tc>
          <w:tcPr>
            <w:tcW w:w="1017" w:type="dxa"/>
            <w:noWrap/>
            <w:hideMark/>
          </w:tcPr>
          <w:p w14:paraId="322A5E7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28</w:t>
            </w:r>
            <w:r>
              <w:rPr>
                <w:rFonts w:ascii="Arial" w:hAnsi="Arial" w:cs="Arial"/>
                <w:color w:val="000000"/>
                <w:sz w:val="18"/>
                <w:szCs w:val="18"/>
                <w:lang w:val="en-GB"/>
              </w:rPr>
              <w:t>,</w:t>
            </w:r>
            <w:r w:rsidRPr="00F26A3E">
              <w:rPr>
                <w:rFonts w:ascii="Arial" w:hAnsi="Arial" w:cs="Arial"/>
                <w:color w:val="000000"/>
                <w:sz w:val="18"/>
                <w:szCs w:val="18"/>
                <w:lang w:val="en-GB"/>
              </w:rPr>
              <w:t>372.05</w:t>
            </w:r>
          </w:p>
        </w:tc>
        <w:tc>
          <w:tcPr>
            <w:tcW w:w="1080" w:type="dxa"/>
            <w:noWrap/>
            <w:hideMark/>
          </w:tcPr>
          <w:p w14:paraId="1E762D7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w:t>
            </w:r>
            <w:r>
              <w:rPr>
                <w:rFonts w:ascii="Arial" w:hAnsi="Arial" w:cs="Arial"/>
                <w:color w:val="000000"/>
                <w:sz w:val="18"/>
                <w:szCs w:val="18"/>
                <w:lang w:val="en-GB"/>
              </w:rPr>
              <w:t>,</w:t>
            </w:r>
            <w:r w:rsidRPr="00F26A3E">
              <w:rPr>
                <w:rFonts w:ascii="Arial" w:hAnsi="Arial" w:cs="Arial"/>
                <w:color w:val="000000"/>
                <w:sz w:val="18"/>
                <w:szCs w:val="18"/>
                <w:lang w:val="en-GB"/>
              </w:rPr>
              <w:t>547.7</w:t>
            </w:r>
          </w:p>
        </w:tc>
      </w:tr>
      <w:tr w:rsidR="00D82A78" w:rsidRPr="00F26A3E" w14:paraId="5182AE64" w14:textId="77777777" w:rsidTr="003B5E91">
        <w:trPr>
          <w:trHeight w:val="70"/>
          <w:tblHeader/>
          <w:jc w:val="center"/>
        </w:trPr>
        <w:tc>
          <w:tcPr>
            <w:tcW w:w="1931" w:type="dxa"/>
            <w:hideMark/>
          </w:tcPr>
          <w:p w14:paraId="3192D498"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N</w:t>
            </w:r>
            <w:r>
              <w:rPr>
                <w:rFonts w:ascii="Arial" w:hAnsi="Arial" w:cs="Arial"/>
                <w:b/>
                <w:color w:val="000000"/>
                <w:sz w:val="18"/>
                <w:szCs w:val="18"/>
                <w:lang w:val="en-GB"/>
              </w:rPr>
              <w:t xml:space="preserve">umber </w:t>
            </w:r>
            <w:r w:rsidRPr="00F26A3E">
              <w:rPr>
                <w:rFonts w:ascii="Arial" w:hAnsi="Arial" w:cs="Arial"/>
                <w:b/>
                <w:color w:val="000000"/>
                <w:sz w:val="18"/>
                <w:szCs w:val="18"/>
                <w:lang w:val="en-GB"/>
              </w:rPr>
              <w:t>of</w:t>
            </w:r>
            <w:r>
              <w:rPr>
                <w:rFonts w:ascii="Arial" w:hAnsi="Arial" w:cs="Arial"/>
                <w:b/>
                <w:color w:val="000000"/>
                <w:sz w:val="18"/>
                <w:szCs w:val="18"/>
                <w:lang w:val="en-GB"/>
              </w:rPr>
              <w:t xml:space="preserve"> </w:t>
            </w:r>
            <w:r w:rsidRPr="00F26A3E">
              <w:rPr>
                <w:rFonts w:ascii="Arial" w:hAnsi="Arial" w:cs="Arial"/>
                <w:b/>
                <w:color w:val="000000"/>
                <w:sz w:val="18"/>
                <w:szCs w:val="18"/>
                <w:lang w:val="en-GB"/>
              </w:rPr>
              <w:t>equity</w:t>
            </w:r>
            <w:r>
              <w:rPr>
                <w:rFonts w:ascii="Arial" w:hAnsi="Arial" w:cs="Arial"/>
                <w:b/>
                <w:color w:val="000000"/>
                <w:sz w:val="18"/>
                <w:szCs w:val="18"/>
                <w:lang w:val="en-GB"/>
              </w:rPr>
              <w:t xml:space="preserve"> </w:t>
            </w:r>
            <w:r w:rsidRPr="00F26A3E">
              <w:rPr>
                <w:rFonts w:ascii="Arial" w:hAnsi="Arial" w:cs="Arial"/>
                <w:b/>
                <w:color w:val="000000"/>
                <w:sz w:val="18"/>
                <w:szCs w:val="18"/>
                <w:lang w:val="en-GB"/>
              </w:rPr>
              <w:t>shares</w:t>
            </w:r>
            <w:r>
              <w:rPr>
                <w:rFonts w:ascii="Arial" w:hAnsi="Arial" w:cs="Arial"/>
                <w:b/>
                <w:color w:val="000000"/>
                <w:sz w:val="18"/>
                <w:szCs w:val="18"/>
                <w:lang w:val="en-GB"/>
              </w:rPr>
              <w:t xml:space="preserve"> </w:t>
            </w:r>
            <w:r w:rsidRPr="00F26A3E">
              <w:rPr>
                <w:rFonts w:ascii="Arial" w:hAnsi="Arial" w:cs="Arial"/>
                <w:b/>
                <w:color w:val="000000"/>
                <w:sz w:val="18"/>
                <w:szCs w:val="18"/>
                <w:lang w:val="en-GB"/>
              </w:rPr>
              <w:t>outstanding</w:t>
            </w:r>
          </w:p>
        </w:tc>
        <w:tc>
          <w:tcPr>
            <w:tcW w:w="1034" w:type="dxa"/>
            <w:noWrap/>
            <w:hideMark/>
          </w:tcPr>
          <w:p w14:paraId="68F29F5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26</w:t>
            </w:r>
            <w:r>
              <w:rPr>
                <w:rFonts w:ascii="Arial" w:hAnsi="Arial" w:cs="Arial"/>
                <w:color w:val="000000"/>
                <w:sz w:val="18"/>
                <w:szCs w:val="18"/>
                <w:lang w:val="en-GB"/>
              </w:rPr>
              <w:t>,</w:t>
            </w:r>
            <w:r w:rsidRPr="00F26A3E">
              <w:rPr>
                <w:rFonts w:ascii="Arial" w:hAnsi="Arial" w:cs="Arial"/>
                <w:color w:val="000000"/>
                <w:sz w:val="18"/>
                <w:szCs w:val="18"/>
                <w:lang w:val="en-GB"/>
              </w:rPr>
              <w:t>692</w:t>
            </w:r>
            <w:r>
              <w:rPr>
                <w:rFonts w:ascii="Arial" w:hAnsi="Arial" w:cs="Arial"/>
                <w:color w:val="000000"/>
                <w:sz w:val="18"/>
                <w:szCs w:val="18"/>
                <w:lang w:val="en-GB"/>
              </w:rPr>
              <w:t>,</w:t>
            </w:r>
            <w:r w:rsidRPr="00F26A3E">
              <w:rPr>
                <w:rFonts w:ascii="Arial" w:hAnsi="Arial" w:cs="Arial"/>
                <w:color w:val="000000"/>
                <w:sz w:val="18"/>
                <w:szCs w:val="18"/>
                <w:lang w:val="en-GB"/>
              </w:rPr>
              <w:t>881</w:t>
            </w:r>
          </w:p>
        </w:tc>
        <w:tc>
          <w:tcPr>
            <w:tcW w:w="990" w:type="dxa"/>
            <w:noWrap/>
            <w:hideMark/>
          </w:tcPr>
          <w:p w14:paraId="3ED88BF3"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26</w:t>
            </w:r>
            <w:r>
              <w:rPr>
                <w:rFonts w:ascii="Arial" w:hAnsi="Arial" w:cs="Arial"/>
                <w:color w:val="000000"/>
                <w:sz w:val="18"/>
                <w:szCs w:val="18"/>
                <w:lang w:val="en-GB"/>
              </w:rPr>
              <w:t>,</w:t>
            </w:r>
            <w:r w:rsidRPr="00F26A3E">
              <w:rPr>
                <w:rFonts w:ascii="Arial" w:hAnsi="Arial" w:cs="Arial"/>
                <w:color w:val="000000"/>
                <w:sz w:val="18"/>
                <w:szCs w:val="18"/>
                <w:lang w:val="en-GB"/>
              </w:rPr>
              <w:t>937</w:t>
            </w:r>
            <w:r>
              <w:rPr>
                <w:rFonts w:ascii="Arial" w:hAnsi="Arial" w:cs="Arial"/>
                <w:color w:val="000000"/>
                <w:sz w:val="18"/>
                <w:szCs w:val="18"/>
                <w:lang w:val="en-GB"/>
              </w:rPr>
              <w:t>,</w:t>
            </w:r>
            <w:r w:rsidRPr="00F26A3E">
              <w:rPr>
                <w:rFonts w:ascii="Arial" w:hAnsi="Arial" w:cs="Arial"/>
                <w:color w:val="000000"/>
                <w:sz w:val="18"/>
                <w:szCs w:val="18"/>
                <w:lang w:val="en-GB"/>
              </w:rPr>
              <w:t>783</w:t>
            </w:r>
          </w:p>
        </w:tc>
        <w:tc>
          <w:tcPr>
            <w:tcW w:w="990" w:type="dxa"/>
            <w:noWrap/>
            <w:hideMark/>
          </w:tcPr>
          <w:p w14:paraId="147DC8F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26</w:t>
            </w:r>
            <w:r>
              <w:rPr>
                <w:rFonts w:ascii="Arial" w:hAnsi="Arial" w:cs="Arial"/>
                <w:color w:val="000000"/>
                <w:sz w:val="18"/>
                <w:szCs w:val="18"/>
                <w:lang w:val="en-GB"/>
              </w:rPr>
              <w:t>,</w:t>
            </w:r>
            <w:r w:rsidRPr="00F26A3E">
              <w:rPr>
                <w:rFonts w:ascii="Arial" w:hAnsi="Arial" w:cs="Arial"/>
                <w:color w:val="000000"/>
                <w:sz w:val="18"/>
                <w:szCs w:val="18"/>
                <w:lang w:val="en-GB"/>
              </w:rPr>
              <w:t>999</w:t>
            </w:r>
            <w:r>
              <w:rPr>
                <w:rFonts w:ascii="Arial" w:hAnsi="Arial" w:cs="Arial"/>
                <w:color w:val="000000"/>
                <w:sz w:val="18"/>
                <w:szCs w:val="18"/>
                <w:lang w:val="en-GB"/>
              </w:rPr>
              <w:t>,</w:t>
            </w:r>
            <w:r w:rsidRPr="00F26A3E">
              <w:rPr>
                <w:rFonts w:ascii="Arial" w:hAnsi="Arial" w:cs="Arial"/>
                <w:color w:val="000000"/>
                <w:sz w:val="18"/>
                <w:szCs w:val="18"/>
                <w:lang w:val="en-GB"/>
              </w:rPr>
              <w:t>583</w:t>
            </w:r>
          </w:p>
        </w:tc>
        <w:tc>
          <w:tcPr>
            <w:tcW w:w="990" w:type="dxa"/>
            <w:noWrap/>
            <w:hideMark/>
          </w:tcPr>
          <w:p w14:paraId="38935D7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000</w:t>
            </w:r>
            <w:r>
              <w:rPr>
                <w:rFonts w:ascii="Arial" w:hAnsi="Arial" w:cs="Arial"/>
                <w:color w:val="000000"/>
                <w:sz w:val="18"/>
                <w:szCs w:val="18"/>
                <w:lang w:val="en-GB"/>
              </w:rPr>
              <w:t>,</w:t>
            </w:r>
            <w:r w:rsidRPr="00F26A3E">
              <w:rPr>
                <w:rFonts w:ascii="Arial" w:hAnsi="Arial" w:cs="Arial"/>
                <w:color w:val="000000"/>
                <w:sz w:val="18"/>
                <w:szCs w:val="18"/>
                <w:lang w:val="en-GB"/>
              </w:rPr>
              <w:t>983</w:t>
            </w:r>
          </w:p>
        </w:tc>
        <w:tc>
          <w:tcPr>
            <w:tcW w:w="990" w:type="dxa"/>
            <w:noWrap/>
            <w:hideMark/>
          </w:tcPr>
          <w:p w14:paraId="087628E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038</w:t>
            </w:r>
            <w:r>
              <w:rPr>
                <w:rFonts w:ascii="Arial" w:hAnsi="Arial" w:cs="Arial"/>
                <w:color w:val="000000"/>
                <w:sz w:val="18"/>
                <w:szCs w:val="18"/>
                <w:lang w:val="en-GB"/>
              </w:rPr>
              <w:t>,</w:t>
            </w:r>
            <w:r w:rsidRPr="00F26A3E">
              <w:rPr>
                <w:rFonts w:ascii="Arial" w:hAnsi="Arial" w:cs="Arial"/>
                <w:color w:val="000000"/>
                <w:sz w:val="18"/>
                <w:szCs w:val="18"/>
                <w:lang w:val="en-GB"/>
              </w:rPr>
              <w:t>883</w:t>
            </w:r>
          </w:p>
        </w:tc>
        <w:tc>
          <w:tcPr>
            <w:tcW w:w="1080" w:type="dxa"/>
            <w:noWrap/>
            <w:hideMark/>
          </w:tcPr>
          <w:p w14:paraId="380BEB0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104</w:t>
            </w:r>
            <w:r>
              <w:rPr>
                <w:rFonts w:ascii="Arial" w:hAnsi="Arial" w:cs="Arial"/>
                <w:color w:val="000000"/>
                <w:sz w:val="18"/>
                <w:szCs w:val="18"/>
                <w:lang w:val="en-GB"/>
              </w:rPr>
              <w:t>,</w:t>
            </w:r>
            <w:r w:rsidRPr="00F26A3E">
              <w:rPr>
                <w:rFonts w:ascii="Arial" w:hAnsi="Arial" w:cs="Arial"/>
                <w:color w:val="000000"/>
                <w:sz w:val="18"/>
                <w:szCs w:val="18"/>
                <w:lang w:val="en-GB"/>
              </w:rPr>
              <w:t>783</w:t>
            </w:r>
          </w:p>
        </w:tc>
        <w:tc>
          <w:tcPr>
            <w:tcW w:w="1170" w:type="dxa"/>
            <w:noWrap/>
            <w:hideMark/>
          </w:tcPr>
          <w:p w14:paraId="3C434AF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161</w:t>
            </w:r>
            <w:r>
              <w:rPr>
                <w:rFonts w:ascii="Arial" w:hAnsi="Arial" w:cs="Arial"/>
                <w:color w:val="000000"/>
                <w:sz w:val="18"/>
                <w:szCs w:val="18"/>
                <w:lang w:val="en-GB"/>
              </w:rPr>
              <w:t>,</w:t>
            </w:r>
            <w:r w:rsidRPr="00F26A3E">
              <w:rPr>
                <w:rFonts w:ascii="Arial" w:hAnsi="Arial" w:cs="Arial"/>
                <w:color w:val="000000"/>
                <w:sz w:val="18"/>
                <w:szCs w:val="18"/>
                <w:lang w:val="en-GB"/>
              </w:rPr>
              <w:t>183</w:t>
            </w:r>
          </w:p>
        </w:tc>
        <w:tc>
          <w:tcPr>
            <w:tcW w:w="1053" w:type="dxa"/>
            <w:noWrap/>
            <w:hideMark/>
          </w:tcPr>
          <w:p w14:paraId="7CA0027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255</w:t>
            </w:r>
            <w:r>
              <w:rPr>
                <w:rFonts w:ascii="Arial" w:hAnsi="Arial" w:cs="Arial"/>
                <w:color w:val="000000"/>
                <w:sz w:val="18"/>
                <w:szCs w:val="18"/>
                <w:lang w:val="en-GB"/>
              </w:rPr>
              <w:t>,</w:t>
            </w:r>
            <w:r w:rsidRPr="00F26A3E">
              <w:rPr>
                <w:rFonts w:ascii="Arial" w:hAnsi="Arial" w:cs="Arial"/>
                <w:color w:val="000000"/>
                <w:sz w:val="18"/>
                <w:szCs w:val="18"/>
                <w:lang w:val="en-GB"/>
              </w:rPr>
              <w:t>549</w:t>
            </w:r>
          </w:p>
        </w:tc>
        <w:tc>
          <w:tcPr>
            <w:tcW w:w="1017" w:type="dxa"/>
            <w:noWrap/>
            <w:hideMark/>
          </w:tcPr>
          <w:p w14:paraId="218C023A"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255</w:t>
            </w:r>
            <w:r>
              <w:rPr>
                <w:rFonts w:ascii="Arial" w:hAnsi="Arial" w:cs="Arial"/>
                <w:color w:val="000000"/>
                <w:sz w:val="18"/>
                <w:szCs w:val="18"/>
                <w:lang w:val="en-GB"/>
              </w:rPr>
              <w:t>,</w:t>
            </w:r>
            <w:r w:rsidRPr="00F26A3E">
              <w:rPr>
                <w:rFonts w:ascii="Arial" w:hAnsi="Arial" w:cs="Arial"/>
                <w:color w:val="000000"/>
                <w:sz w:val="18"/>
                <w:szCs w:val="18"/>
                <w:lang w:val="en-GB"/>
              </w:rPr>
              <w:t>549</w:t>
            </w:r>
          </w:p>
        </w:tc>
        <w:tc>
          <w:tcPr>
            <w:tcW w:w="1080" w:type="dxa"/>
            <w:noWrap/>
            <w:hideMark/>
          </w:tcPr>
          <w:p w14:paraId="133E20F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27</w:t>
            </w:r>
            <w:r>
              <w:rPr>
                <w:rFonts w:ascii="Arial" w:hAnsi="Arial" w:cs="Arial"/>
                <w:color w:val="000000"/>
                <w:sz w:val="18"/>
                <w:szCs w:val="18"/>
                <w:lang w:val="en-GB"/>
              </w:rPr>
              <w:t>,</w:t>
            </w:r>
            <w:r w:rsidRPr="00F26A3E">
              <w:rPr>
                <w:rFonts w:ascii="Arial" w:hAnsi="Arial" w:cs="Arial"/>
                <w:color w:val="000000"/>
                <w:sz w:val="18"/>
                <w:szCs w:val="18"/>
                <w:lang w:val="en-GB"/>
              </w:rPr>
              <w:t>282</w:t>
            </w:r>
            <w:r>
              <w:rPr>
                <w:rFonts w:ascii="Arial" w:hAnsi="Arial" w:cs="Arial"/>
                <w:color w:val="000000"/>
                <w:sz w:val="18"/>
                <w:szCs w:val="18"/>
                <w:lang w:val="en-GB"/>
              </w:rPr>
              <w:t>,</w:t>
            </w:r>
            <w:r w:rsidRPr="00F26A3E">
              <w:rPr>
                <w:rFonts w:ascii="Arial" w:hAnsi="Arial" w:cs="Arial"/>
                <w:color w:val="000000"/>
                <w:sz w:val="18"/>
                <w:szCs w:val="18"/>
                <w:lang w:val="en-GB"/>
              </w:rPr>
              <w:t>570</w:t>
            </w:r>
          </w:p>
        </w:tc>
      </w:tr>
      <w:tr w:rsidR="00D82A78" w:rsidRPr="00F26A3E" w14:paraId="5EC62A09" w14:textId="77777777" w:rsidTr="003B5E91">
        <w:trPr>
          <w:trHeight w:val="70"/>
          <w:tblHeader/>
          <w:jc w:val="center"/>
        </w:trPr>
        <w:tc>
          <w:tcPr>
            <w:tcW w:w="1931" w:type="dxa"/>
            <w:hideMark/>
          </w:tcPr>
          <w:p w14:paraId="1D69214D"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Market</w:t>
            </w:r>
            <w:r>
              <w:rPr>
                <w:rFonts w:ascii="Arial" w:hAnsi="Arial" w:cs="Arial"/>
                <w:b/>
                <w:color w:val="000000"/>
                <w:sz w:val="18"/>
                <w:szCs w:val="18"/>
                <w:lang w:val="en-GB"/>
              </w:rPr>
              <w:t xml:space="preserve"> c</w:t>
            </w:r>
            <w:r w:rsidRPr="00F26A3E">
              <w:rPr>
                <w:rFonts w:ascii="Arial" w:hAnsi="Arial" w:cs="Arial"/>
                <w:b/>
                <w:color w:val="000000"/>
                <w:sz w:val="18"/>
                <w:szCs w:val="18"/>
                <w:lang w:val="en-GB"/>
              </w:rPr>
              <w:t>apitalization</w:t>
            </w:r>
          </w:p>
        </w:tc>
        <w:tc>
          <w:tcPr>
            <w:tcW w:w="1034" w:type="dxa"/>
            <w:noWrap/>
            <w:hideMark/>
          </w:tcPr>
          <w:p w14:paraId="652F3AD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w:t>
            </w:r>
            <w:r>
              <w:rPr>
                <w:rFonts w:ascii="Arial" w:hAnsi="Arial" w:cs="Arial"/>
                <w:color w:val="000000"/>
                <w:sz w:val="18"/>
                <w:szCs w:val="18"/>
                <w:lang w:val="en-GB"/>
              </w:rPr>
              <w:t>,</w:t>
            </w:r>
            <w:r w:rsidRPr="00F26A3E">
              <w:rPr>
                <w:rFonts w:ascii="Arial" w:hAnsi="Arial" w:cs="Arial"/>
                <w:color w:val="000000"/>
                <w:sz w:val="18"/>
                <w:szCs w:val="18"/>
                <w:lang w:val="en-GB"/>
              </w:rPr>
              <w:t>484</w:t>
            </w:r>
          </w:p>
        </w:tc>
        <w:tc>
          <w:tcPr>
            <w:tcW w:w="990" w:type="dxa"/>
            <w:noWrap/>
            <w:hideMark/>
          </w:tcPr>
          <w:p w14:paraId="5FF07EC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33</w:t>
            </w:r>
            <w:r>
              <w:rPr>
                <w:rFonts w:ascii="Arial" w:hAnsi="Arial" w:cs="Arial"/>
                <w:color w:val="000000"/>
                <w:sz w:val="18"/>
                <w:szCs w:val="18"/>
                <w:lang w:val="en-GB"/>
              </w:rPr>
              <w:t>,</w:t>
            </w:r>
            <w:r w:rsidRPr="00F26A3E">
              <w:rPr>
                <w:rFonts w:ascii="Arial" w:hAnsi="Arial" w:cs="Arial"/>
                <w:color w:val="000000"/>
                <w:sz w:val="18"/>
                <w:szCs w:val="18"/>
                <w:lang w:val="en-GB"/>
              </w:rPr>
              <w:t>276</w:t>
            </w:r>
          </w:p>
        </w:tc>
        <w:tc>
          <w:tcPr>
            <w:tcW w:w="990" w:type="dxa"/>
            <w:noWrap/>
            <w:hideMark/>
          </w:tcPr>
          <w:p w14:paraId="283D699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40</w:t>
            </w:r>
            <w:r>
              <w:rPr>
                <w:rFonts w:ascii="Arial" w:hAnsi="Arial" w:cs="Arial"/>
                <w:color w:val="000000"/>
                <w:sz w:val="18"/>
                <w:szCs w:val="18"/>
                <w:lang w:val="en-GB"/>
              </w:rPr>
              <w:t>,</w:t>
            </w:r>
            <w:r w:rsidRPr="00F26A3E">
              <w:rPr>
                <w:rFonts w:ascii="Arial" w:hAnsi="Arial" w:cs="Arial"/>
                <w:color w:val="000000"/>
                <w:sz w:val="18"/>
                <w:szCs w:val="18"/>
                <w:lang w:val="en-GB"/>
              </w:rPr>
              <w:t>175</w:t>
            </w:r>
          </w:p>
        </w:tc>
        <w:tc>
          <w:tcPr>
            <w:tcW w:w="990" w:type="dxa"/>
            <w:noWrap/>
            <w:hideMark/>
          </w:tcPr>
          <w:p w14:paraId="5709C8DC"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78</w:t>
            </w:r>
            <w:r>
              <w:rPr>
                <w:rFonts w:ascii="Arial" w:hAnsi="Arial" w:cs="Arial"/>
                <w:color w:val="000000"/>
                <w:sz w:val="18"/>
                <w:szCs w:val="18"/>
                <w:lang w:val="en-GB"/>
              </w:rPr>
              <w:t>,</w:t>
            </w:r>
            <w:r w:rsidRPr="00F26A3E">
              <w:rPr>
                <w:rFonts w:ascii="Arial" w:hAnsi="Arial" w:cs="Arial"/>
                <w:color w:val="000000"/>
                <w:sz w:val="18"/>
                <w:szCs w:val="18"/>
                <w:lang w:val="en-GB"/>
              </w:rPr>
              <w:t>481</w:t>
            </w:r>
          </w:p>
        </w:tc>
        <w:tc>
          <w:tcPr>
            <w:tcW w:w="990" w:type="dxa"/>
            <w:noWrap/>
            <w:hideMark/>
          </w:tcPr>
          <w:p w14:paraId="2D6B806E"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134</w:t>
            </w:r>
            <w:r>
              <w:rPr>
                <w:rFonts w:ascii="Arial" w:hAnsi="Arial" w:cs="Arial"/>
                <w:color w:val="000000"/>
                <w:sz w:val="18"/>
                <w:szCs w:val="18"/>
                <w:lang w:val="en-GB"/>
              </w:rPr>
              <w:t>,</w:t>
            </w:r>
            <w:r w:rsidRPr="00F26A3E">
              <w:rPr>
                <w:rFonts w:ascii="Arial" w:hAnsi="Arial" w:cs="Arial"/>
                <w:color w:val="000000"/>
                <w:sz w:val="18"/>
                <w:szCs w:val="18"/>
                <w:lang w:val="en-GB"/>
              </w:rPr>
              <w:t>541</w:t>
            </w:r>
          </w:p>
        </w:tc>
        <w:tc>
          <w:tcPr>
            <w:tcW w:w="1080" w:type="dxa"/>
            <w:noWrap/>
            <w:hideMark/>
          </w:tcPr>
          <w:p w14:paraId="102AD40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408</w:t>
            </w:r>
            <w:r>
              <w:rPr>
                <w:rFonts w:ascii="Arial" w:hAnsi="Arial" w:cs="Arial"/>
                <w:color w:val="000000"/>
                <w:sz w:val="18"/>
                <w:szCs w:val="18"/>
                <w:lang w:val="en-GB"/>
              </w:rPr>
              <w:t>,</w:t>
            </w:r>
            <w:r w:rsidRPr="00F26A3E">
              <w:rPr>
                <w:rFonts w:ascii="Arial" w:hAnsi="Arial" w:cs="Arial"/>
                <w:color w:val="000000"/>
                <w:sz w:val="18"/>
                <w:szCs w:val="18"/>
                <w:lang w:val="en-GB"/>
              </w:rPr>
              <w:t>605</w:t>
            </w:r>
          </w:p>
        </w:tc>
        <w:tc>
          <w:tcPr>
            <w:tcW w:w="1170" w:type="dxa"/>
            <w:noWrap/>
            <w:hideMark/>
          </w:tcPr>
          <w:p w14:paraId="5613EE3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520</w:t>
            </w:r>
            <w:r>
              <w:rPr>
                <w:rFonts w:ascii="Arial" w:hAnsi="Arial" w:cs="Arial"/>
                <w:color w:val="000000"/>
                <w:sz w:val="18"/>
                <w:szCs w:val="18"/>
                <w:lang w:val="en-GB"/>
              </w:rPr>
              <w:t>,</w:t>
            </w:r>
            <w:r w:rsidRPr="00F26A3E">
              <w:rPr>
                <w:rFonts w:ascii="Arial" w:hAnsi="Arial" w:cs="Arial"/>
                <w:color w:val="000000"/>
                <w:sz w:val="18"/>
                <w:szCs w:val="18"/>
                <w:lang w:val="en-GB"/>
              </w:rPr>
              <w:t>968</w:t>
            </w:r>
          </w:p>
        </w:tc>
        <w:tc>
          <w:tcPr>
            <w:tcW w:w="1053" w:type="dxa"/>
            <w:noWrap/>
            <w:hideMark/>
          </w:tcPr>
          <w:p w14:paraId="55A7D67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697</w:t>
            </w:r>
            <w:r>
              <w:rPr>
                <w:rFonts w:ascii="Arial" w:hAnsi="Arial" w:cs="Arial"/>
                <w:color w:val="000000"/>
                <w:sz w:val="18"/>
                <w:szCs w:val="18"/>
                <w:lang w:val="en-GB"/>
              </w:rPr>
              <w:t>,</w:t>
            </w:r>
            <w:r w:rsidRPr="00F26A3E">
              <w:rPr>
                <w:rFonts w:ascii="Arial" w:hAnsi="Arial" w:cs="Arial"/>
                <w:color w:val="000000"/>
                <w:sz w:val="18"/>
                <w:szCs w:val="18"/>
                <w:lang w:val="en-GB"/>
              </w:rPr>
              <w:t>401</w:t>
            </w:r>
          </w:p>
        </w:tc>
        <w:tc>
          <w:tcPr>
            <w:tcW w:w="1017" w:type="dxa"/>
            <w:noWrap/>
            <w:hideMark/>
          </w:tcPr>
          <w:p w14:paraId="22DB0BB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773</w:t>
            </w:r>
            <w:r>
              <w:rPr>
                <w:rFonts w:ascii="Arial" w:hAnsi="Arial" w:cs="Arial"/>
                <w:color w:val="000000"/>
                <w:sz w:val="18"/>
                <w:szCs w:val="18"/>
                <w:lang w:val="en-GB"/>
              </w:rPr>
              <w:t>,</w:t>
            </w:r>
            <w:r w:rsidRPr="00F26A3E">
              <w:rPr>
                <w:rFonts w:ascii="Arial" w:hAnsi="Arial" w:cs="Arial"/>
                <w:color w:val="000000"/>
                <w:sz w:val="18"/>
                <w:szCs w:val="18"/>
                <w:lang w:val="en-GB"/>
              </w:rPr>
              <w:t>296</w:t>
            </w:r>
          </w:p>
        </w:tc>
        <w:tc>
          <w:tcPr>
            <w:tcW w:w="1080" w:type="dxa"/>
            <w:noWrap/>
            <w:hideMark/>
          </w:tcPr>
          <w:p w14:paraId="485E253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560</w:t>
            </w:r>
            <w:r>
              <w:rPr>
                <w:rFonts w:ascii="Arial" w:hAnsi="Arial" w:cs="Arial"/>
                <w:color w:val="000000"/>
                <w:sz w:val="18"/>
                <w:szCs w:val="18"/>
                <w:lang w:val="en-GB"/>
              </w:rPr>
              <w:t>,</w:t>
            </w:r>
            <w:r w:rsidRPr="00F26A3E">
              <w:rPr>
                <w:rFonts w:ascii="Arial" w:hAnsi="Arial" w:cs="Arial"/>
                <w:color w:val="000000"/>
                <w:sz w:val="18"/>
                <w:szCs w:val="18"/>
                <w:lang w:val="en-GB"/>
              </w:rPr>
              <w:t>594</w:t>
            </w:r>
          </w:p>
        </w:tc>
      </w:tr>
      <w:tr w:rsidR="00D82A78" w:rsidRPr="00F26A3E" w14:paraId="487853AC" w14:textId="77777777" w:rsidTr="003B5E91">
        <w:trPr>
          <w:trHeight w:val="70"/>
          <w:tblHeader/>
          <w:jc w:val="center"/>
        </w:trPr>
        <w:tc>
          <w:tcPr>
            <w:tcW w:w="1931" w:type="dxa"/>
            <w:hideMark/>
          </w:tcPr>
          <w:p w14:paraId="7347758E" w14:textId="77777777" w:rsidR="00D82A78" w:rsidRPr="00F26A3E" w:rsidRDefault="00D82A78" w:rsidP="003B5E91">
            <w:pPr>
              <w:rPr>
                <w:rFonts w:ascii="Arial" w:hAnsi="Arial" w:cs="Arial"/>
                <w:b/>
                <w:color w:val="000000"/>
                <w:sz w:val="18"/>
                <w:szCs w:val="18"/>
                <w:lang w:val="en-GB"/>
              </w:rPr>
            </w:pPr>
            <w:r w:rsidRPr="00F26A3E">
              <w:rPr>
                <w:rFonts w:ascii="Arial" w:hAnsi="Arial" w:cs="Arial"/>
                <w:b/>
                <w:color w:val="000000"/>
                <w:sz w:val="18"/>
                <w:szCs w:val="18"/>
                <w:lang w:val="en-GB"/>
              </w:rPr>
              <w:t>Debt</w:t>
            </w:r>
          </w:p>
        </w:tc>
        <w:tc>
          <w:tcPr>
            <w:tcW w:w="1034" w:type="dxa"/>
            <w:noWrap/>
            <w:hideMark/>
          </w:tcPr>
          <w:p w14:paraId="1775C412"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124</w:t>
            </w:r>
          </w:p>
        </w:tc>
        <w:tc>
          <w:tcPr>
            <w:tcW w:w="990" w:type="dxa"/>
            <w:noWrap/>
            <w:hideMark/>
          </w:tcPr>
          <w:p w14:paraId="1BEFA734"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174.7</w:t>
            </w:r>
          </w:p>
        </w:tc>
        <w:tc>
          <w:tcPr>
            <w:tcW w:w="990" w:type="dxa"/>
            <w:noWrap/>
            <w:hideMark/>
          </w:tcPr>
          <w:p w14:paraId="53EE465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1</w:t>
            </w:r>
            <w:r>
              <w:rPr>
                <w:rFonts w:ascii="Arial" w:hAnsi="Arial" w:cs="Arial"/>
                <w:color w:val="000000"/>
                <w:sz w:val="18"/>
                <w:szCs w:val="18"/>
                <w:lang w:val="en-GB"/>
              </w:rPr>
              <w:t>,</w:t>
            </w:r>
            <w:r w:rsidRPr="00F26A3E">
              <w:rPr>
                <w:rFonts w:ascii="Arial" w:hAnsi="Arial" w:cs="Arial"/>
                <w:color w:val="000000"/>
                <w:sz w:val="18"/>
                <w:szCs w:val="18"/>
                <w:lang w:val="en-GB"/>
              </w:rPr>
              <w:t>706</w:t>
            </w:r>
          </w:p>
        </w:tc>
        <w:tc>
          <w:tcPr>
            <w:tcW w:w="990" w:type="dxa"/>
            <w:noWrap/>
            <w:hideMark/>
          </w:tcPr>
          <w:p w14:paraId="770E3AC5"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205.9</w:t>
            </w:r>
          </w:p>
        </w:tc>
        <w:tc>
          <w:tcPr>
            <w:tcW w:w="990" w:type="dxa"/>
            <w:noWrap/>
            <w:hideMark/>
          </w:tcPr>
          <w:p w14:paraId="77F1815D"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302.8</w:t>
            </w:r>
          </w:p>
        </w:tc>
        <w:tc>
          <w:tcPr>
            <w:tcW w:w="1080" w:type="dxa"/>
            <w:noWrap/>
            <w:hideMark/>
          </w:tcPr>
          <w:p w14:paraId="06FCB8E9"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0</w:t>
            </w:r>
          </w:p>
        </w:tc>
        <w:tc>
          <w:tcPr>
            <w:tcW w:w="1170" w:type="dxa"/>
            <w:noWrap/>
            <w:hideMark/>
          </w:tcPr>
          <w:p w14:paraId="284E7A51"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257</w:t>
            </w:r>
          </w:p>
        </w:tc>
        <w:tc>
          <w:tcPr>
            <w:tcW w:w="1053" w:type="dxa"/>
            <w:noWrap/>
            <w:hideMark/>
          </w:tcPr>
          <w:p w14:paraId="65B74DB0"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3</w:t>
            </w:r>
            <w:r>
              <w:rPr>
                <w:rFonts w:ascii="Arial" w:hAnsi="Arial" w:cs="Arial"/>
                <w:color w:val="000000"/>
                <w:sz w:val="18"/>
                <w:szCs w:val="18"/>
                <w:lang w:val="en-GB"/>
              </w:rPr>
              <w:t>,</w:t>
            </w:r>
            <w:r w:rsidRPr="00F26A3E">
              <w:rPr>
                <w:rFonts w:ascii="Arial" w:hAnsi="Arial" w:cs="Arial"/>
                <w:color w:val="000000"/>
                <w:sz w:val="18"/>
                <w:szCs w:val="18"/>
                <w:lang w:val="en-GB"/>
              </w:rPr>
              <w:t>297.3</w:t>
            </w:r>
          </w:p>
        </w:tc>
        <w:tc>
          <w:tcPr>
            <w:tcW w:w="1017" w:type="dxa"/>
            <w:noWrap/>
            <w:hideMark/>
          </w:tcPr>
          <w:p w14:paraId="442C5817"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615.6</w:t>
            </w:r>
          </w:p>
        </w:tc>
        <w:tc>
          <w:tcPr>
            <w:tcW w:w="1080" w:type="dxa"/>
            <w:noWrap/>
            <w:hideMark/>
          </w:tcPr>
          <w:p w14:paraId="743C4D8F" w14:textId="77777777" w:rsidR="00D82A78" w:rsidRPr="00F26A3E" w:rsidRDefault="00D82A78" w:rsidP="003B5E91">
            <w:pPr>
              <w:jc w:val="center"/>
              <w:rPr>
                <w:rFonts w:ascii="Arial" w:hAnsi="Arial" w:cs="Arial"/>
                <w:color w:val="000000"/>
                <w:sz w:val="18"/>
                <w:szCs w:val="18"/>
                <w:lang w:val="en-GB"/>
              </w:rPr>
            </w:pPr>
            <w:r w:rsidRPr="00F26A3E">
              <w:rPr>
                <w:rFonts w:ascii="Arial" w:hAnsi="Arial" w:cs="Arial"/>
                <w:color w:val="000000"/>
                <w:sz w:val="18"/>
                <w:szCs w:val="18"/>
                <w:lang w:val="en-GB"/>
              </w:rPr>
              <w:t>2</w:t>
            </w:r>
            <w:r>
              <w:rPr>
                <w:rFonts w:ascii="Arial" w:hAnsi="Arial" w:cs="Arial"/>
                <w:color w:val="000000"/>
                <w:sz w:val="18"/>
                <w:szCs w:val="18"/>
                <w:lang w:val="en-GB"/>
              </w:rPr>
              <w:t>,</w:t>
            </w:r>
            <w:r w:rsidRPr="00F26A3E">
              <w:rPr>
                <w:rFonts w:ascii="Arial" w:hAnsi="Arial" w:cs="Arial"/>
                <w:color w:val="000000"/>
                <w:sz w:val="18"/>
                <w:szCs w:val="18"/>
                <w:lang w:val="en-GB"/>
              </w:rPr>
              <w:t>443.4</w:t>
            </w:r>
          </w:p>
        </w:tc>
      </w:tr>
    </w:tbl>
    <w:p w14:paraId="4B2EB68A" w14:textId="77777777" w:rsidR="00D82A78" w:rsidRPr="00F26A3E" w:rsidRDefault="00D82A78" w:rsidP="00D82A78">
      <w:pPr>
        <w:jc w:val="both"/>
        <w:rPr>
          <w:rFonts w:ascii="Arial" w:hAnsi="Arial" w:cs="Arial"/>
          <w:b/>
          <w:caps/>
          <w:lang w:val="en-GB"/>
        </w:rPr>
      </w:pPr>
    </w:p>
    <w:p w14:paraId="5A1DA9CB" w14:textId="77777777" w:rsidR="00D82A78" w:rsidRPr="00F26A3E" w:rsidRDefault="00D82A78" w:rsidP="00D82A78">
      <w:pPr>
        <w:jc w:val="both"/>
        <w:rPr>
          <w:rFonts w:ascii="Arial" w:hAnsi="Arial" w:cs="Arial"/>
          <w:sz w:val="17"/>
          <w:szCs w:val="17"/>
          <w:lang w:val="en-GB"/>
        </w:rPr>
      </w:pPr>
      <w:r w:rsidRPr="00F26A3E">
        <w:rPr>
          <w:rFonts w:ascii="Arial" w:hAnsi="Arial" w:cs="Arial"/>
          <w:sz w:val="17"/>
          <w:szCs w:val="17"/>
          <w:lang w:val="en-GB"/>
        </w:rPr>
        <w:t>Source:</w:t>
      </w:r>
      <w:r>
        <w:rPr>
          <w:rFonts w:ascii="Arial" w:hAnsi="Arial" w:cs="Arial"/>
          <w:sz w:val="17"/>
          <w:szCs w:val="17"/>
          <w:lang w:val="en-GB"/>
        </w:rPr>
        <w:t xml:space="preserve"> </w:t>
      </w:r>
      <w:r w:rsidRPr="00F26A3E">
        <w:rPr>
          <w:rFonts w:ascii="Arial" w:hAnsi="Arial" w:cs="Arial"/>
          <w:sz w:val="17"/>
          <w:szCs w:val="17"/>
          <w:lang w:val="en-GB"/>
        </w:rPr>
        <w:t>Compiled</w:t>
      </w:r>
      <w:r>
        <w:rPr>
          <w:rFonts w:ascii="Arial" w:hAnsi="Arial" w:cs="Arial"/>
          <w:sz w:val="17"/>
          <w:szCs w:val="17"/>
          <w:lang w:val="en-GB"/>
        </w:rPr>
        <w:t xml:space="preserve"> </w:t>
      </w:r>
      <w:r w:rsidRPr="00F26A3E">
        <w:rPr>
          <w:rFonts w:ascii="Arial" w:hAnsi="Arial" w:cs="Arial"/>
          <w:sz w:val="17"/>
          <w:szCs w:val="17"/>
          <w:lang w:val="en-GB"/>
        </w:rPr>
        <w:t>by</w:t>
      </w:r>
      <w:r>
        <w:rPr>
          <w:rFonts w:ascii="Arial" w:hAnsi="Arial" w:cs="Arial"/>
          <w:sz w:val="17"/>
          <w:szCs w:val="17"/>
          <w:lang w:val="en-GB"/>
        </w:rPr>
        <w:t xml:space="preserve"> the </w:t>
      </w:r>
      <w:r w:rsidRPr="00F26A3E">
        <w:rPr>
          <w:rFonts w:ascii="Arial" w:hAnsi="Arial" w:cs="Arial"/>
          <w:sz w:val="17"/>
          <w:szCs w:val="17"/>
          <w:lang w:val="en-GB"/>
        </w:rPr>
        <w:t>author</w:t>
      </w:r>
      <w:r>
        <w:rPr>
          <w:rFonts w:ascii="Arial" w:hAnsi="Arial" w:cs="Arial"/>
          <w:sz w:val="17"/>
          <w:szCs w:val="17"/>
          <w:lang w:val="en-GB"/>
        </w:rPr>
        <w:t xml:space="preserve"> with information </w:t>
      </w:r>
      <w:r w:rsidRPr="00F26A3E">
        <w:rPr>
          <w:rFonts w:ascii="Arial" w:hAnsi="Arial" w:cs="Arial"/>
          <w:sz w:val="17"/>
          <w:szCs w:val="17"/>
          <w:lang w:val="en-GB"/>
        </w:rPr>
        <w:t>from</w:t>
      </w:r>
      <w:r>
        <w:rPr>
          <w:rFonts w:ascii="Arial" w:hAnsi="Arial" w:cs="Arial"/>
          <w:sz w:val="17"/>
          <w:szCs w:val="17"/>
          <w:lang w:val="en-GB"/>
        </w:rPr>
        <w:t xml:space="preserve"> “</w:t>
      </w:r>
      <w:r w:rsidRPr="00F26A3E">
        <w:rPr>
          <w:rFonts w:ascii="Arial" w:hAnsi="Arial" w:cs="Arial"/>
          <w:sz w:val="17"/>
          <w:szCs w:val="17"/>
          <w:lang w:val="en-GB"/>
        </w:rPr>
        <w:t>Annual</w:t>
      </w:r>
      <w:r>
        <w:rPr>
          <w:rFonts w:ascii="Arial" w:hAnsi="Arial" w:cs="Arial"/>
          <w:sz w:val="17"/>
          <w:szCs w:val="17"/>
          <w:lang w:val="en-GB"/>
        </w:rPr>
        <w:t xml:space="preserve"> </w:t>
      </w:r>
      <w:r w:rsidRPr="00F26A3E">
        <w:rPr>
          <w:rFonts w:ascii="Arial" w:hAnsi="Arial" w:cs="Arial"/>
          <w:sz w:val="17"/>
          <w:szCs w:val="17"/>
          <w:lang w:val="en-GB"/>
        </w:rPr>
        <w:t>Reports</w:t>
      </w:r>
      <w:r>
        <w:rPr>
          <w:rFonts w:ascii="Arial" w:hAnsi="Arial" w:cs="Arial"/>
          <w:sz w:val="17"/>
          <w:szCs w:val="17"/>
          <w:lang w:val="en-GB"/>
        </w:rPr>
        <w:t xml:space="preserve">,” </w:t>
      </w:r>
      <w:r w:rsidRPr="00F26A3E">
        <w:rPr>
          <w:rFonts w:ascii="Arial" w:hAnsi="Arial" w:cs="Arial"/>
          <w:sz w:val="17"/>
          <w:szCs w:val="17"/>
          <w:lang w:val="en-GB"/>
        </w:rPr>
        <w:t>Eicher</w:t>
      </w:r>
      <w:r>
        <w:rPr>
          <w:rFonts w:ascii="Arial" w:hAnsi="Arial" w:cs="Arial"/>
          <w:sz w:val="17"/>
          <w:szCs w:val="17"/>
          <w:lang w:val="en-GB"/>
        </w:rPr>
        <w:t xml:space="preserve"> </w:t>
      </w:r>
      <w:r w:rsidRPr="00F26A3E">
        <w:rPr>
          <w:rFonts w:ascii="Arial" w:hAnsi="Arial" w:cs="Arial"/>
          <w:sz w:val="17"/>
          <w:szCs w:val="17"/>
          <w:lang w:val="en-GB"/>
        </w:rPr>
        <w:t>Motors</w:t>
      </w:r>
      <w:r>
        <w:rPr>
          <w:rFonts w:ascii="Arial" w:hAnsi="Arial" w:cs="Arial"/>
          <w:sz w:val="17"/>
          <w:szCs w:val="17"/>
          <w:lang w:val="en-GB"/>
        </w:rPr>
        <w:t xml:space="preserve"> </w:t>
      </w:r>
      <w:r w:rsidRPr="00F26A3E">
        <w:rPr>
          <w:rFonts w:ascii="Arial" w:hAnsi="Arial" w:cs="Arial"/>
          <w:sz w:val="17"/>
          <w:szCs w:val="17"/>
          <w:lang w:val="en-GB"/>
        </w:rPr>
        <w:t>Limited</w:t>
      </w:r>
      <w:r>
        <w:rPr>
          <w:rFonts w:ascii="Arial" w:hAnsi="Arial" w:cs="Arial"/>
          <w:sz w:val="17"/>
          <w:szCs w:val="17"/>
          <w:lang w:val="en-GB"/>
        </w:rPr>
        <w:t xml:space="preserve">, </w:t>
      </w:r>
      <w:r w:rsidRPr="0023084D">
        <w:rPr>
          <w:rFonts w:ascii="Arial" w:hAnsi="Arial" w:cs="Arial"/>
          <w:sz w:val="17"/>
          <w:szCs w:val="17"/>
          <w:lang w:val="en-GB"/>
        </w:rPr>
        <w:t>accessed</w:t>
      </w:r>
      <w:r>
        <w:rPr>
          <w:rFonts w:ascii="Arial" w:hAnsi="Arial" w:cs="Arial"/>
          <w:sz w:val="17"/>
          <w:szCs w:val="17"/>
          <w:lang w:val="en-GB"/>
        </w:rPr>
        <w:t xml:space="preserve"> </w:t>
      </w:r>
      <w:r w:rsidRPr="0023084D">
        <w:rPr>
          <w:rFonts w:ascii="Arial" w:hAnsi="Arial" w:cs="Arial"/>
          <w:sz w:val="17"/>
          <w:szCs w:val="17"/>
          <w:lang w:val="en-GB"/>
        </w:rPr>
        <w:t>September</w:t>
      </w:r>
      <w:r>
        <w:rPr>
          <w:rFonts w:ascii="Arial" w:hAnsi="Arial" w:cs="Arial"/>
          <w:sz w:val="17"/>
          <w:szCs w:val="17"/>
          <w:lang w:val="en-GB"/>
        </w:rPr>
        <w:t xml:space="preserve"> </w:t>
      </w:r>
      <w:r w:rsidRPr="0023084D">
        <w:rPr>
          <w:rFonts w:ascii="Arial" w:hAnsi="Arial" w:cs="Arial"/>
          <w:sz w:val="17"/>
          <w:szCs w:val="17"/>
          <w:lang w:val="en-GB"/>
        </w:rPr>
        <w:t>24,</w:t>
      </w:r>
      <w:r>
        <w:rPr>
          <w:rFonts w:ascii="Arial" w:hAnsi="Arial" w:cs="Arial"/>
          <w:sz w:val="17"/>
          <w:szCs w:val="17"/>
          <w:lang w:val="en-GB"/>
        </w:rPr>
        <w:t xml:space="preserve"> </w:t>
      </w:r>
      <w:r w:rsidRPr="0023084D">
        <w:rPr>
          <w:rFonts w:ascii="Arial" w:hAnsi="Arial" w:cs="Arial"/>
          <w:sz w:val="17"/>
          <w:szCs w:val="17"/>
          <w:lang w:val="en-GB"/>
        </w:rPr>
        <w:t>2020</w:t>
      </w:r>
      <w:r>
        <w:rPr>
          <w:rFonts w:ascii="Arial" w:hAnsi="Arial" w:cs="Arial"/>
          <w:sz w:val="17"/>
          <w:szCs w:val="17"/>
          <w:lang w:val="en-GB"/>
        </w:rPr>
        <w:t xml:space="preserve">, </w:t>
      </w:r>
      <w:r w:rsidRPr="005774D6">
        <w:rPr>
          <w:rFonts w:ascii="Arial" w:hAnsi="Arial" w:cs="Arial"/>
          <w:sz w:val="17"/>
          <w:szCs w:val="17"/>
          <w:lang w:val="en-GB"/>
        </w:rPr>
        <w:t>www.eicher.in/annual-reports</w:t>
      </w:r>
      <w:r>
        <w:rPr>
          <w:rFonts w:ascii="Arial" w:hAnsi="Arial" w:cs="Arial"/>
          <w:sz w:val="17"/>
          <w:szCs w:val="17"/>
          <w:lang w:val="en-GB"/>
        </w:rPr>
        <w:t>.</w:t>
      </w:r>
    </w:p>
    <w:p w14:paraId="4F9CB4AF" w14:textId="49CC808E" w:rsidR="00D82A78" w:rsidRDefault="00D82A78" w:rsidP="00D82A78">
      <w:pPr>
        <w:jc w:val="both"/>
        <w:rPr>
          <w:rFonts w:ascii="Arial" w:hAnsi="Arial" w:cs="Arial"/>
          <w:b/>
          <w:caps/>
          <w:lang w:val="en-GB"/>
        </w:rPr>
      </w:pPr>
      <w:r>
        <w:rPr>
          <w:rFonts w:ascii="Arial" w:hAnsi="Arial" w:cs="Arial"/>
          <w:b/>
          <w:caps/>
          <w:lang w:val="en-GB"/>
        </w:rPr>
        <w:br w:type="page"/>
      </w:r>
    </w:p>
    <w:p w14:paraId="05FAE5CE" w14:textId="77777777" w:rsidR="00D82A78" w:rsidRDefault="00D82A78" w:rsidP="00F268A5">
      <w:pPr>
        <w:jc w:val="center"/>
        <w:rPr>
          <w:rFonts w:ascii="Arial" w:hAnsi="Arial" w:cs="Arial"/>
          <w:b/>
          <w:caps/>
          <w:lang w:val="en-GB"/>
        </w:rPr>
        <w:sectPr w:rsidR="00D82A78" w:rsidSect="00D82A78">
          <w:headerReference w:type="default" r:id="rId12"/>
          <w:endnotePr>
            <w:numFmt w:val="decimal"/>
          </w:endnotePr>
          <w:pgSz w:w="15840" w:h="12240" w:orient="landscape" w:code="1"/>
          <w:pgMar w:top="1440" w:right="1440" w:bottom="1440" w:left="1440" w:header="1080" w:footer="720" w:gutter="0"/>
          <w:cols w:space="720"/>
          <w:docGrid w:linePitch="360"/>
        </w:sectPr>
      </w:pPr>
    </w:p>
    <w:p w14:paraId="668E72B0" w14:textId="62DAFBCD" w:rsidR="00F268A5" w:rsidRPr="00F26A3E" w:rsidRDefault="00F268A5" w:rsidP="00D82A78">
      <w:pPr>
        <w:jc w:val="center"/>
        <w:rPr>
          <w:rFonts w:ascii="Arial" w:hAnsi="Arial" w:cs="Arial"/>
          <w:b/>
          <w:caps/>
          <w:lang w:val="en-GB"/>
        </w:rPr>
      </w:pPr>
      <w:bookmarkStart w:id="1" w:name="_GoBack"/>
      <w:r w:rsidRPr="00F26A3E">
        <w:rPr>
          <w:rFonts w:ascii="Arial" w:hAnsi="Arial" w:cs="Arial"/>
          <w:b/>
          <w:caps/>
          <w:lang w:val="en-GB"/>
        </w:rPr>
        <w:lastRenderedPageBreak/>
        <w:t>Exhibit</w:t>
      </w:r>
      <w:r w:rsidR="006B6676">
        <w:rPr>
          <w:rFonts w:ascii="Arial" w:hAnsi="Arial" w:cs="Arial"/>
          <w:b/>
          <w:caps/>
          <w:lang w:val="en-GB"/>
        </w:rPr>
        <w:t xml:space="preserve"> </w:t>
      </w:r>
      <w:r w:rsidRPr="00F26A3E">
        <w:rPr>
          <w:rFonts w:ascii="Arial" w:hAnsi="Arial" w:cs="Arial"/>
          <w:b/>
          <w:caps/>
          <w:lang w:val="en-GB"/>
        </w:rPr>
        <w:t>7a:</w:t>
      </w:r>
      <w:r w:rsidR="006B6676">
        <w:rPr>
          <w:rFonts w:ascii="Arial" w:hAnsi="Arial" w:cs="Arial"/>
          <w:b/>
          <w:caps/>
          <w:lang w:val="en-GB"/>
        </w:rPr>
        <w:t xml:space="preserve"> </w:t>
      </w:r>
      <w:r w:rsidRPr="00F26A3E">
        <w:rPr>
          <w:rFonts w:ascii="Arial" w:hAnsi="Arial" w:cs="Arial"/>
          <w:b/>
          <w:caps/>
          <w:lang w:val="en-GB"/>
        </w:rPr>
        <w:t>Product</w:t>
      </w:r>
      <w:r w:rsidR="006B6676">
        <w:rPr>
          <w:rFonts w:ascii="Arial" w:hAnsi="Arial" w:cs="Arial"/>
          <w:b/>
          <w:caps/>
          <w:lang w:val="en-GB"/>
        </w:rPr>
        <w:t xml:space="preserve"> </w:t>
      </w:r>
      <w:r w:rsidRPr="00F26A3E">
        <w:rPr>
          <w:rFonts w:ascii="Arial" w:hAnsi="Arial" w:cs="Arial"/>
          <w:b/>
          <w:caps/>
          <w:lang w:val="en-GB"/>
        </w:rPr>
        <w:t>Specifications</w:t>
      </w:r>
      <w:r w:rsidR="006B6676">
        <w:rPr>
          <w:rFonts w:ascii="Arial" w:hAnsi="Arial" w:cs="Arial"/>
          <w:b/>
          <w:caps/>
          <w:lang w:val="en-GB"/>
        </w:rPr>
        <w:t xml:space="preserve"> </w:t>
      </w:r>
      <w:r w:rsidRPr="00F26A3E">
        <w:rPr>
          <w:rFonts w:ascii="Arial" w:hAnsi="Arial" w:cs="Arial"/>
          <w:b/>
          <w:caps/>
          <w:lang w:val="en-GB"/>
        </w:rPr>
        <w:t>of</w:t>
      </w:r>
      <w:r w:rsidR="006B6676">
        <w:rPr>
          <w:rFonts w:ascii="Arial" w:hAnsi="Arial" w:cs="Arial"/>
          <w:b/>
          <w:caps/>
          <w:lang w:val="en-GB"/>
        </w:rPr>
        <w:t xml:space="preserve"> </w:t>
      </w:r>
      <w:r w:rsidRPr="00F26A3E">
        <w:rPr>
          <w:rFonts w:ascii="Arial" w:hAnsi="Arial" w:cs="Arial"/>
          <w:b/>
          <w:caps/>
          <w:lang w:val="en-GB"/>
        </w:rPr>
        <w:t>Select</w:t>
      </w:r>
      <w:r w:rsidR="006B6676">
        <w:rPr>
          <w:rFonts w:ascii="Arial" w:hAnsi="Arial" w:cs="Arial"/>
          <w:b/>
          <w:caps/>
          <w:lang w:val="en-GB"/>
        </w:rPr>
        <w:t xml:space="preserve"> </w:t>
      </w:r>
      <w:r w:rsidRPr="00F26A3E">
        <w:rPr>
          <w:rFonts w:ascii="Arial" w:hAnsi="Arial" w:cs="Arial"/>
          <w:b/>
          <w:caps/>
          <w:lang w:val="en-GB"/>
        </w:rPr>
        <w:t>Royal</w:t>
      </w:r>
      <w:r w:rsidR="006B6676">
        <w:rPr>
          <w:rFonts w:ascii="Arial" w:hAnsi="Arial" w:cs="Arial"/>
          <w:b/>
          <w:caps/>
          <w:lang w:val="en-GB"/>
        </w:rPr>
        <w:t xml:space="preserve"> </w:t>
      </w:r>
      <w:r w:rsidRPr="00F26A3E">
        <w:rPr>
          <w:rFonts w:ascii="Arial" w:hAnsi="Arial" w:cs="Arial"/>
          <w:b/>
          <w:caps/>
          <w:lang w:val="en-GB"/>
        </w:rPr>
        <w:t>Enfield</w:t>
      </w:r>
      <w:r w:rsidR="006B6676">
        <w:rPr>
          <w:rFonts w:ascii="Arial" w:hAnsi="Arial" w:cs="Arial"/>
          <w:b/>
          <w:caps/>
          <w:lang w:val="en-GB"/>
        </w:rPr>
        <w:t xml:space="preserve"> </w:t>
      </w:r>
      <w:r w:rsidRPr="00F26A3E">
        <w:rPr>
          <w:rFonts w:ascii="Arial" w:hAnsi="Arial" w:cs="Arial"/>
          <w:b/>
          <w:caps/>
          <w:lang w:val="en-GB"/>
        </w:rPr>
        <w:t>Models</w:t>
      </w:r>
    </w:p>
    <w:bookmarkEnd w:id="1"/>
    <w:p w14:paraId="01D2AEDF" w14:textId="77777777" w:rsidR="00F268A5" w:rsidRPr="00F26A3E" w:rsidRDefault="00F268A5" w:rsidP="00F268A5">
      <w:pPr>
        <w:jc w:val="center"/>
        <w:rPr>
          <w:rFonts w:ascii="Arial" w:hAnsi="Arial" w:cs="Arial"/>
          <w:b/>
          <w:caps/>
          <w:lang w:val="en-GB"/>
        </w:rPr>
      </w:pPr>
    </w:p>
    <w:tbl>
      <w:tblPr>
        <w:tblStyle w:val="TableGrid1"/>
        <w:tblW w:w="9346" w:type="dxa"/>
        <w:jc w:val="center"/>
        <w:tblLook w:val="04A0" w:firstRow="1" w:lastRow="0" w:firstColumn="1" w:lastColumn="0" w:noHBand="0" w:noVBand="1"/>
        <w:tblCaption w:val="EXHIBIT 7A"/>
        <w:tblDescription w:val="PRODUCT SPECIFICATIONS OF SELECT ROYAL ENFIELD MODELS"/>
      </w:tblPr>
      <w:tblGrid>
        <w:gridCol w:w="1615"/>
        <w:gridCol w:w="1800"/>
        <w:gridCol w:w="1800"/>
        <w:gridCol w:w="1800"/>
        <w:gridCol w:w="2331"/>
      </w:tblGrid>
      <w:tr w:rsidR="00F268A5" w:rsidRPr="00F26A3E" w14:paraId="02BC3EF7" w14:textId="77777777" w:rsidTr="00995787">
        <w:trPr>
          <w:trHeight w:val="70"/>
          <w:tblHeader/>
          <w:jc w:val="center"/>
        </w:trPr>
        <w:tc>
          <w:tcPr>
            <w:tcW w:w="1615" w:type="dxa"/>
            <w:noWrap/>
            <w:hideMark/>
          </w:tcPr>
          <w:p w14:paraId="0A8B47D4" w14:textId="77777777" w:rsidR="00F268A5" w:rsidRPr="00F26A3E" w:rsidRDefault="00F268A5" w:rsidP="00F268A5">
            <w:pPr>
              <w:jc w:val="center"/>
              <w:rPr>
                <w:rFonts w:ascii="Arial" w:hAnsi="Arial" w:cs="Arial"/>
                <w:b/>
                <w:bCs/>
                <w:sz w:val="18"/>
                <w:szCs w:val="18"/>
                <w:lang w:val="en-GB"/>
              </w:rPr>
            </w:pPr>
            <w:bookmarkStart w:id="2" w:name="_Hlk52365381"/>
          </w:p>
        </w:tc>
        <w:tc>
          <w:tcPr>
            <w:tcW w:w="1800" w:type="dxa"/>
            <w:hideMark/>
          </w:tcPr>
          <w:p w14:paraId="1C4F46F1" w14:textId="0684715F" w:rsidR="00F268A5" w:rsidRPr="00F26A3E" w:rsidRDefault="00F268A5" w:rsidP="00F268A5">
            <w:pPr>
              <w:jc w:val="center"/>
              <w:rPr>
                <w:rFonts w:ascii="Arial" w:hAnsi="Arial" w:cs="Arial"/>
                <w:b/>
                <w:bCs/>
                <w:sz w:val="18"/>
                <w:szCs w:val="18"/>
                <w:lang w:val="en-GB"/>
              </w:rPr>
            </w:pPr>
            <w:r w:rsidRPr="00F26A3E">
              <w:rPr>
                <w:rFonts w:ascii="Arial" w:hAnsi="Arial" w:cs="Arial"/>
                <w:b/>
                <w:bCs/>
                <w:sz w:val="18"/>
                <w:szCs w:val="18"/>
                <w:lang w:val="en-GB"/>
              </w:rPr>
              <w:t>Bullet</w:t>
            </w:r>
            <w:r w:rsidR="006B6676">
              <w:rPr>
                <w:rFonts w:ascii="Arial" w:hAnsi="Arial" w:cs="Arial"/>
                <w:b/>
                <w:bCs/>
                <w:sz w:val="18"/>
                <w:szCs w:val="18"/>
                <w:lang w:val="en-GB"/>
              </w:rPr>
              <w:t xml:space="preserve"> </w:t>
            </w:r>
            <w:r w:rsidRPr="00F26A3E">
              <w:rPr>
                <w:rFonts w:ascii="Arial" w:hAnsi="Arial" w:cs="Arial"/>
                <w:b/>
                <w:bCs/>
                <w:sz w:val="18"/>
                <w:szCs w:val="18"/>
                <w:lang w:val="en-GB"/>
              </w:rPr>
              <w:t>350</w:t>
            </w:r>
          </w:p>
        </w:tc>
        <w:tc>
          <w:tcPr>
            <w:tcW w:w="1800" w:type="dxa"/>
            <w:hideMark/>
          </w:tcPr>
          <w:p w14:paraId="28615B7E" w14:textId="260ABCAA" w:rsidR="00F268A5" w:rsidRPr="00F26A3E" w:rsidRDefault="00F268A5" w:rsidP="00F268A5">
            <w:pPr>
              <w:jc w:val="center"/>
              <w:rPr>
                <w:rFonts w:ascii="Arial" w:hAnsi="Arial" w:cs="Arial"/>
                <w:b/>
                <w:bCs/>
                <w:sz w:val="18"/>
                <w:szCs w:val="18"/>
                <w:lang w:val="en-GB"/>
              </w:rPr>
            </w:pPr>
            <w:r w:rsidRPr="00F26A3E">
              <w:rPr>
                <w:rFonts w:ascii="Arial" w:hAnsi="Arial" w:cs="Arial"/>
                <w:b/>
                <w:bCs/>
                <w:sz w:val="18"/>
                <w:szCs w:val="18"/>
                <w:lang w:val="en-GB"/>
              </w:rPr>
              <w:t>Classic</w:t>
            </w:r>
            <w:r w:rsidR="006B6676">
              <w:rPr>
                <w:rFonts w:ascii="Arial" w:hAnsi="Arial" w:cs="Arial"/>
                <w:b/>
                <w:bCs/>
                <w:sz w:val="18"/>
                <w:szCs w:val="18"/>
                <w:lang w:val="en-GB"/>
              </w:rPr>
              <w:t xml:space="preserve"> </w:t>
            </w:r>
            <w:r w:rsidRPr="00F26A3E">
              <w:rPr>
                <w:rFonts w:ascii="Arial" w:hAnsi="Arial" w:cs="Arial"/>
                <w:b/>
                <w:bCs/>
                <w:sz w:val="18"/>
                <w:szCs w:val="18"/>
                <w:lang w:val="en-GB"/>
              </w:rPr>
              <w:t>350</w:t>
            </w:r>
          </w:p>
        </w:tc>
        <w:tc>
          <w:tcPr>
            <w:tcW w:w="1800" w:type="dxa"/>
            <w:hideMark/>
          </w:tcPr>
          <w:p w14:paraId="39FFB419" w14:textId="34B8C37E" w:rsidR="00F268A5" w:rsidRPr="00F26A3E" w:rsidRDefault="00F268A5" w:rsidP="00F268A5">
            <w:pPr>
              <w:jc w:val="center"/>
              <w:rPr>
                <w:rFonts w:ascii="Arial" w:hAnsi="Arial" w:cs="Arial"/>
                <w:b/>
                <w:bCs/>
                <w:sz w:val="18"/>
                <w:szCs w:val="18"/>
                <w:lang w:val="en-GB"/>
              </w:rPr>
            </w:pPr>
            <w:r w:rsidRPr="00F26A3E">
              <w:rPr>
                <w:rFonts w:ascii="Arial" w:hAnsi="Arial" w:cs="Arial"/>
                <w:b/>
                <w:bCs/>
                <w:sz w:val="18"/>
                <w:szCs w:val="18"/>
                <w:lang w:val="en-GB"/>
              </w:rPr>
              <w:t>Thunderbird</w:t>
            </w:r>
            <w:r w:rsidR="006B6676">
              <w:rPr>
                <w:rFonts w:ascii="Arial" w:hAnsi="Arial" w:cs="Arial"/>
                <w:b/>
                <w:bCs/>
                <w:sz w:val="18"/>
                <w:szCs w:val="18"/>
                <w:lang w:val="en-GB"/>
              </w:rPr>
              <w:t xml:space="preserve"> </w:t>
            </w:r>
            <w:r w:rsidRPr="00F26A3E">
              <w:rPr>
                <w:rFonts w:ascii="Arial" w:hAnsi="Arial" w:cs="Arial"/>
                <w:b/>
                <w:bCs/>
                <w:sz w:val="18"/>
                <w:szCs w:val="18"/>
                <w:lang w:val="en-GB"/>
              </w:rPr>
              <w:t>350</w:t>
            </w:r>
          </w:p>
        </w:tc>
        <w:tc>
          <w:tcPr>
            <w:tcW w:w="2331" w:type="dxa"/>
            <w:hideMark/>
          </w:tcPr>
          <w:p w14:paraId="21ACF192" w14:textId="77777777" w:rsidR="00F268A5" w:rsidRPr="00F26A3E" w:rsidRDefault="00F268A5" w:rsidP="00F268A5">
            <w:pPr>
              <w:jc w:val="center"/>
              <w:rPr>
                <w:rFonts w:ascii="Arial" w:hAnsi="Arial" w:cs="Arial"/>
                <w:b/>
                <w:bCs/>
                <w:sz w:val="18"/>
                <w:szCs w:val="18"/>
                <w:lang w:val="en-GB"/>
              </w:rPr>
            </w:pPr>
            <w:r w:rsidRPr="00F26A3E">
              <w:rPr>
                <w:rFonts w:ascii="Arial" w:hAnsi="Arial" w:cs="Arial"/>
                <w:b/>
                <w:bCs/>
                <w:sz w:val="18"/>
                <w:szCs w:val="18"/>
                <w:lang w:val="en-GB"/>
              </w:rPr>
              <w:t>Himalayan</w:t>
            </w:r>
          </w:p>
        </w:tc>
      </w:tr>
      <w:tr w:rsidR="00F268A5" w:rsidRPr="00F26A3E" w14:paraId="529CC75A" w14:textId="77777777" w:rsidTr="00995787">
        <w:trPr>
          <w:trHeight w:val="70"/>
          <w:tblHeader/>
          <w:jc w:val="center"/>
        </w:trPr>
        <w:tc>
          <w:tcPr>
            <w:tcW w:w="1615" w:type="dxa"/>
            <w:hideMark/>
          </w:tcPr>
          <w:p w14:paraId="0AC843CE" w14:textId="77777777"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Price</w:t>
            </w:r>
          </w:p>
        </w:tc>
        <w:tc>
          <w:tcPr>
            <w:tcW w:w="1800" w:type="dxa"/>
            <w:hideMark/>
          </w:tcPr>
          <w:p w14:paraId="3FDDE08C" w14:textId="77777777" w:rsidR="00F268A5" w:rsidRPr="00F26A3E" w:rsidRDefault="002E4A05" w:rsidP="00F268A5">
            <w:pPr>
              <w:jc w:val="center"/>
              <w:rPr>
                <w:rFonts w:ascii="Arial" w:hAnsi="Arial" w:cs="Arial"/>
                <w:sz w:val="18"/>
                <w:szCs w:val="18"/>
                <w:lang w:val="en-GB"/>
              </w:rPr>
            </w:pPr>
            <w:r>
              <w:rPr>
                <w:rFonts w:ascii="Arial" w:hAnsi="Arial" w:cs="Arial"/>
                <w:sz w:val="18"/>
                <w:szCs w:val="18"/>
                <w:lang w:val="en-GB"/>
              </w:rPr>
              <w:t>₹</w:t>
            </w:r>
            <w:r w:rsidR="00F268A5" w:rsidRPr="00F26A3E">
              <w:rPr>
                <w:rFonts w:ascii="Arial" w:hAnsi="Arial" w:cs="Arial"/>
                <w:sz w:val="18"/>
                <w:szCs w:val="18"/>
                <w:lang w:val="en-GB"/>
              </w:rPr>
              <w:t>121</w:t>
            </w:r>
            <w:r w:rsidR="00E76988">
              <w:rPr>
                <w:rFonts w:ascii="Arial" w:hAnsi="Arial" w:cs="Arial"/>
                <w:sz w:val="18"/>
                <w:szCs w:val="18"/>
                <w:lang w:val="en-GB"/>
              </w:rPr>
              <w:t>,</w:t>
            </w:r>
            <w:r w:rsidR="00F268A5" w:rsidRPr="00F26A3E">
              <w:rPr>
                <w:rFonts w:ascii="Arial" w:hAnsi="Arial" w:cs="Arial"/>
                <w:sz w:val="18"/>
                <w:szCs w:val="18"/>
                <w:lang w:val="en-GB"/>
              </w:rPr>
              <w:t>000</w:t>
            </w:r>
          </w:p>
        </w:tc>
        <w:tc>
          <w:tcPr>
            <w:tcW w:w="1800" w:type="dxa"/>
            <w:hideMark/>
          </w:tcPr>
          <w:p w14:paraId="3DFC39DC" w14:textId="77777777" w:rsidR="00F268A5" w:rsidRPr="00F26A3E" w:rsidRDefault="002E4A05" w:rsidP="00F268A5">
            <w:pPr>
              <w:jc w:val="center"/>
              <w:rPr>
                <w:rFonts w:ascii="Arial" w:hAnsi="Arial" w:cs="Arial"/>
                <w:sz w:val="18"/>
                <w:szCs w:val="18"/>
                <w:lang w:val="en-GB"/>
              </w:rPr>
            </w:pPr>
            <w:r>
              <w:rPr>
                <w:rFonts w:ascii="Arial" w:hAnsi="Arial" w:cs="Arial"/>
                <w:sz w:val="18"/>
                <w:szCs w:val="18"/>
                <w:lang w:val="en-GB"/>
              </w:rPr>
              <w:t>₹</w:t>
            </w:r>
            <w:r w:rsidR="00F268A5" w:rsidRPr="00F26A3E">
              <w:rPr>
                <w:rFonts w:ascii="Arial" w:hAnsi="Arial" w:cs="Arial"/>
                <w:sz w:val="18"/>
                <w:szCs w:val="18"/>
                <w:lang w:val="en-GB"/>
              </w:rPr>
              <w:t>146</w:t>
            </w:r>
            <w:r w:rsidR="00E76988">
              <w:rPr>
                <w:rFonts w:ascii="Arial" w:hAnsi="Arial" w:cs="Arial"/>
                <w:sz w:val="18"/>
                <w:szCs w:val="18"/>
                <w:lang w:val="en-GB"/>
              </w:rPr>
              <w:t>,</w:t>
            </w:r>
            <w:r w:rsidR="00F268A5" w:rsidRPr="00F26A3E">
              <w:rPr>
                <w:rFonts w:ascii="Arial" w:hAnsi="Arial" w:cs="Arial"/>
                <w:sz w:val="18"/>
                <w:szCs w:val="18"/>
                <w:lang w:val="en-GB"/>
              </w:rPr>
              <w:t>000</w:t>
            </w:r>
          </w:p>
        </w:tc>
        <w:tc>
          <w:tcPr>
            <w:tcW w:w="1800" w:type="dxa"/>
            <w:hideMark/>
          </w:tcPr>
          <w:p w14:paraId="104483C4" w14:textId="77777777" w:rsidR="00F268A5" w:rsidRPr="00F26A3E" w:rsidRDefault="002E4A05" w:rsidP="00F268A5">
            <w:pPr>
              <w:jc w:val="center"/>
              <w:rPr>
                <w:rFonts w:ascii="Arial" w:hAnsi="Arial" w:cs="Arial"/>
                <w:sz w:val="18"/>
                <w:szCs w:val="18"/>
                <w:lang w:val="en-GB"/>
              </w:rPr>
            </w:pPr>
            <w:r>
              <w:rPr>
                <w:rFonts w:ascii="Arial" w:hAnsi="Arial" w:cs="Arial"/>
                <w:sz w:val="18"/>
                <w:szCs w:val="18"/>
                <w:lang w:val="en-GB"/>
              </w:rPr>
              <w:t>₹</w:t>
            </w:r>
            <w:r w:rsidR="00F268A5" w:rsidRPr="00F26A3E">
              <w:rPr>
                <w:rFonts w:ascii="Arial" w:hAnsi="Arial" w:cs="Arial"/>
                <w:sz w:val="18"/>
                <w:szCs w:val="18"/>
                <w:lang w:val="en-GB"/>
              </w:rPr>
              <w:t>157</w:t>
            </w:r>
            <w:r w:rsidR="00E76988">
              <w:rPr>
                <w:rFonts w:ascii="Arial" w:hAnsi="Arial" w:cs="Arial"/>
                <w:sz w:val="18"/>
                <w:szCs w:val="18"/>
                <w:lang w:val="en-GB"/>
              </w:rPr>
              <w:t>,</w:t>
            </w:r>
            <w:r w:rsidR="00F268A5" w:rsidRPr="00F26A3E">
              <w:rPr>
                <w:rFonts w:ascii="Arial" w:hAnsi="Arial" w:cs="Arial"/>
                <w:sz w:val="18"/>
                <w:szCs w:val="18"/>
                <w:lang w:val="en-GB"/>
              </w:rPr>
              <w:t>000</w:t>
            </w:r>
          </w:p>
        </w:tc>
        <w:tc>
          <w:tcPr>
            <w:tcW w:w="2331" w:type="dxa"/>
            <w:hideMark/>
          </w:tcPr>
          <w:p w14:paraId="2F7FBDB0" w14:textId="77777777" w:rsidR="00F268A5" w:rsidRPr="00F26A3E" w:rsidRDefault="002E4A05" w:rsidP="00F268A5">
            <w:pPr>
              <w:jc w:val="center"/>
              <w:rPr>
                <w:rFonts w:ascii="Arial" w:hAnsi="Arial" w:cs="Arial"/>
                <w:sz w:val="18"/>
                <w:szCs w:val="18"/>
                <w:lang w:val="en-GB"/>
              </w:rPr>
            </w:pPr>
            <w:r>
              <w:rPr>
                <w:rFonts w:ascii="Arial" w:hAnsi="Arial" w:cs="Arial"/>
                <w:sz w:val="18"/>
                <w:szCs w:val="18"/>
                <w:lang w:val="en-GB"/>
              </w:rPr>
              <w:t>₹</w:t>
            </w:r>
            <w:r w:rsidR="00F268A5" w:rsidRPr="00F26A3E">
              <w:rPr>
                <w:rFonts w:ascii="Arial" w:hAnsi="Arial" w:cs="Arial"/>
                <w:sz w:val="18"/>
                <w:szCs w:val="18"/>
                <w:lang w:val="en-GB"/>
              </w:rPr>
              <w:t>181</w:t>
            </w:r>
            <w:r w:rsidR="00E76988">
              <w:rPr>
                <w:rFonts w:ascii="Arial" w:hAnsi="Arial" w:cs="Arial"/>
                <w:sz w:val="18"/>
                <w:szCs w:val="18"/>
                <w:lang w:val="en-GB"/>
              </w:rPr>
              <w:t>,</w:t>
            </w:r>
            <w:r w:rsidR="00F268A5" w:rsidRPr="00F26A3E">
              <w:rPr>
                <w:rFonts w:ascii="Arial" w:hAnsi="Arial" w:cs="Arial"/>
                <w:sz w:val="18"/>
                <w:szCs w:val="18"/>
                <w:lang w:val="en-GB"/>
              </w:rPr>
              <w:t>000</w:t>
            </w:r>
          </w:p>
        </w:tc>
      </w:tr>
      <w:tr w:rsidR="00F268A5" w:rsidRPr="00F26A3E" w14:paraId="7FABF8ED" w14:textId="77777777" w:rsidTr="00995787">
        <w:trPr>
          <w:trHeight w:val="70"/>
          <w:tblHeader/>
          <w:jc w:val="center"/>
        </w:trPr>
        <w:tc>
          <w:tcPr>
            <w:tcW w:w="1615" w:type="dxa"/>
            <w:noWrap/>
            <w:hideMark/>
          </w:tcPr>
          <w:p w14:paraId="6398AD4C" w14:textId="77777777"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Engine</w:t>
            </w:r>
          </w:p>
        </w:tc>
        <w:tc>
          <w:tcPr>
            <w:tcW w:w="1800" w:type="dxa"/>
            <w:hideMark/>
          </w:tcPr>
          <w:p w14:paraId="733D2222" w14:textId="3ED14D3C" w:rsidR="00F268A5" w:rsidRPr="00F26A3E" w:rsidRDefault="00F268A5" w:rsidP="002C3B5A">
            <w:pPr>
              <w:jc w:val="center"/>
              <w:rPr>
                <w:rFonts w:ascii="Arial" w:hAnsi="Arial" w:cs="Arial"/>
                <w:sz w:val="18"/>
                <w:szCs w:val="18"/>
                <w:lang w:val="en-GB"/>
              </w:rPr>
            </w:pPr>
            <w:r w:rsidRPr="00F26A3E">
              <w:rPr>
                <w:rFonts w:ascii="Arial" w:hAnsi="Arial" w:cs="Arial"/>
                <w:sz w:val="18"/>
                <w:szCs w:val="18"/>
                <w:lang w:val="en-GB"/>
              </w:rPr>
              <w:t>Single</w:t>
            </w:r>
            <w:r w:rsidR="00E76988">
              <w:rPr>
                <w:rFonts w:ascii="Arial" w:hAnsi="Arial" w:cs="Arial"/>
                <w:sz w:val="18"/>
                <w:szCs w:val="18"/>
                <w:lang w:val="en-GB"/>
              </w:rPr>
              <w:t>-C</w:t>
            </w:r>
            <w:r w:rsidRPr="00F26A3E">
              <w:rPr>
                <w:rFonts w:ascii="Arial" w:hAnsi="Arial" w:cs="Arial"/>
                <w:sz w:val="18"/>
                <w:szCs w:val="18"/>
                <w:lang w:val="en-GB"/>
              </w:rPr>
              <w:t>ylinder,</w:t>
            </w:r>
            <w:r w:rsidR="006B6676">
              <w:rPr>
                <w:rFonts w:ascii="Arial" w:hAnsi="Arial" w:cs="Arial"/>
                <w:sz w:val="18"/>
                <w:szCs w:val="18"/>
                <w:lang w:val="en-GB"/>
              </w:rPr>
              <w:t xml:space="preserve"> </w:t>
            </w:r>
            <w:r w:rsidR="00817E3A">
              <w:rPr>
                <w:rFonts w:ascii="Arial" w:hAnsi="Arial" w:cs="Arial"/>
                <w:sz w:val="18"/>
                <w:szCs w:val="18"/>
                <w:lang w:val="en-GB"/>
              </w:rPr>
              <w:t>Four</w:t>
            </w:r>
            <w:r w:rsidR="00E76988">
              <w:rPr>
                <w:rFonts w:ascii="Arial" w:hAnsi="Arial" w:cs="Arial"/>
                <w:sz w:val="18"/>
                <w:szCs w:val="18"/>
                <w:lang w:val="en-GB"/>
              </w:rPr>
              <w:t>-</w:t>
            </w:r>
            <w:r w:rsidRPr="00F26A3E">
              <w:rPr>
                <w:rFonts w:ascii="Arial" w:hAnsi="Arial" w:cs="Arial"/>
                <w:sz w:val="18"/>
                <w:szCs w:val="18"/>
                <w:lang w:val="en-GB"/>
              </w:rPr>
              <w:t>Stroke,</w:t>
            </w:r>
            <w:r w:rsidR="006B6676">
              <w:rPr>
                <w:rFonts w:ascii="Arial" w:hAnsi="Arial" w:cs="Arial"/>
                <w:sz w:val="18"/>
                <w:szCs w:val="18"/>
                <w:lang w:val="en-GB"/>
              </w:rPr>
              <w:t xml:space="preserve"> </w:t>
            </w:r>
            <w:r w:rsidR="00A93740" w:rsidRPr="00F26A3E">
              <w:rPr>
                <w:rFonts w:ascii="Arial" w:hAnsi="Arial" w:cs="Arial"/>
                <w:sz w:val="18"/>
                <w:szCs w:val="18"/>
                <w:lang w:val="en-GB"/>
              </w:rPr>
              <w:t>Twin</w:t>
            </w:r>
            <w:r w:rsidR="006B6676">
              <w:rPr>
                <w:rFonts w:ascii="Arial" w:hAnsi="Arial" w:cs="Arial"/>
                <w:sz w:val="18"/>
                <w:szCs w:val="18"/>
                <w:lang w:val="en-GB"/>
              </w:rPr>
              <w:t xml:space="preserve"> </w:t>
            </w:r>
            <w:r w:rsidR="009A6937">
              <w:rPr>
                <w:rFonts w:ascii="Arial" w:hAnsi="Arial" w:cs="Arial"/>
                <w:sz w:val="18"/>
                <w:szCs w:val="18"/>
                <w:lang w:val="en-GB"/>
              </w:rPr>
              <w:t>S</w:t>
            </w:r>
            <w:r w:rsidR="00A93740" w:rsidRPr="00F26A3E">
              <w:rPr>
                <w:rFonts w:ascii="Arial" w:hAnsi="Arial" w:cs="Arial"/>
                <w:sz w:val="18"/>
                <w:szCs w:val="18"/>
                <w:lang w:val="en-GB"/>
              </w:rPr>
              <w:t>park</w:t>
            </w:r>
            <w:r w:rsidRPr="00F26A3E">
              <w:rPr>
                <w:rFonts w:ascii="Arial" w:hAnsi="Arial" w:cs="Arial"/>
                <w:sz w:val="18"/>
                <w:szCs w:val="18"/>
                <w:lang w:val="en-GB"/>
              </w:rPr>
              <w:t>,</w:t>
            </w:r>
            <w:r w:rsidR="006B6676">
              <w:rPr>
                <w:rFonts w:ascii="Arial" w:hAnsi="Arial" w:cs="Arial"/>
                <w:sz w:val="18"/>
                <w:szCs w:val="18"/>
                <w:lang w:val="en-GB"/>
              </w:rPr>
              <w:t xml:space="preserve"> </w:t>
            </w:r>
            <w:r w:rsidR="00817E3A">
              <w:rPr>
                <w:rFonts w:ascii="Arial" w:hAnsi="Arial" w:cs="Arial"/>
                <w:sz w:val="18"/>
                <w:szCs w:val="18"/>
                <w:lang w:val="en-GB"/>
              </w:rPr>
              <w:br/>
            </w:r>
            <w:r w:rsidRPr="00F26A3E">
              <w:rPr>
                <w:rFonts w:ascii="Arial" w:hAnsi="Arial" w:cs="Arial"/>
                <w:sz w:val="18"/>
                <w:szCs w:val="18"/>
                <w:lang w:val="en-GB"/>
              </w:rPr>
              <w:t>Air</w:t>
            </w:r>
            <w:r w:rsidR="006B6676">
              <w:rPr>
                <w:rFonts w:ascii="Arial" w:hAnsi="Arial" w:cs="Arial"/>
                <w:sz w:val="18"/>
                <w:szCs w:val="18"/>
                <w:lang w:val="en-GB"/>
              </w:rPr>
              <w:t xml:space="preserve"> </w:t>
            </w:r>
            <w:r w:rsidR="00E76988">
              <w:rPr>
                <w:rFonts w:ascii="Arial" w:hAnsi="Arial" w:cs="Arial"/>
                <w:sz w:val="18"/>
                <w:szCs w:val="18"/>
                <w:lang w:val="en-GB"/>
              </w:rPr>
              <w:t>C</w:t>
            </w:r>
            <w:r w:rsidRPr="00F26A3E">
              <w:rPr>
                <w:rFonts w:ascii="Arial" w:hAnsi="Arial" w:cs="Arial"/>
                <w:sz w:val="18"/>
                <w:szCs w:val="18"/>
                <w:lang w:val="en-GB"/>
              </w:rPr>
              <w:t>ooled</w:t>
            </w:r>
          </w:p>
        </w:tc>
        <w:tc>
          <w:tcPr>
            <w:tcW w:w="1800" w:type="dxa"/>
            <w:hideMark/>
          </w:tcPr>
          <w:p w14:paraId="0B537747" w14:textId="1A30A5B4" w:rsidR="00F268A5" w:rsidRPr="00F26A3E" w:rsidRDefault="00F268A5" w:rsidP="008A25D6">
            <w:pPr>
              <w:jc w:val="center"/>
              <w:rPr>
                <w:rFonts w:ascii="Arial" w:hAnsi="Arial" w:cs="Arial"/>
                <w:sz w:val="18"/>
                <w:szCs w:val="18"/>
                <w:lang w:val="en-GB"/>
              </w:rPr>
            </w:pPr>
            <w:r w:rsidRPr="00F26A3E">
              <w:rPr>
                <w:rFonts w:ascii="Arial" w:hAnsi="Arial" w:cs="Arial"/>
                <w:sz w:val="18"/>
                <w:szCs w:val="18"/>
                <w:lang w:val="en-GB"/>
              </w:rPr>
              <w:t>Single</w:t>
            </w:r>
            <w:r w:rsidR="00817E3A">
              <w:rPr>
                <w:rFonts w:ascii="Arial" w:hAnsi="Arial" w:cs="Arial"/>
                <w:sz w:val="18"/>
                <w:szCs w:val="18"/>
                <w:lang w:val="en-GB"/>
              </w:rPr>
              <w:t>-C</w:t>
            </w:r>
            <w:r w:rsidRPr="00F26A3E">
              <w:rPr>
                <w:rFonts w:ascii="Arial" w:hAnsi="Arial" w:cs="Arial"/>
                <w:sz w:val="18"/>
                <w:szCs w:val="18"/>
                <w:lang w:val="en-GB"/>
              </w:rPr>
              <w:t>ylinder,</w:t>
            </w:r>
            <w:r w:rsidR="006B6676">
              <w:rPr>
                <w:rFonts w:ascii="Arial" w:hAnsi="Arial" w:cs="Arial"/>
                <w:sz w:val="18"/>
                <w:szCs w:val="18"/>
                <w:lang w:val="en-GB"/>
              </w:rPr>
              <w:t xml:space="preserve"> </w:t>
            </w:r>
            <w:r w:rsidR="00817E3A">
              <w:rPr>
                <w:rFonts w:ascii="Arial" w:hAnsi="Arial" w:cs="Arial"/>
                <w:sz w:val="18"/>
                <w:szCs w:val="18"/>
                <w:lang w:val="en-GB"/>
              </w:rPr>
              <w:t>Four-</w:t>
            </w:r>
            <w:r w:rsidRPr="00F26A3E">
              <w:rPr>
                <w:rFonts w:ascii="Arial" w:hAnsi="Arial" w:cs="Arial"/>
                <w:sz w:val="18"/>
                <w:szCs w:val="18"/>
                <w:lang w:val="en-GB"/>
              </w:rPr>
              <w:t>Stroke,</w:t>
            </w:r>
            <w:r w:rsidR="006B6676">
              <w:rPr>
                <w:rFonts w:ascii="Arial" w:hAnsi="Arial" w:cs="Arial"/>
                <w:sz w:val="18"/>
                <w:szCs w:val="18"/>
                <w:lang w:val="en-GB"/>
              </w:rPr>
              <w:t xml:space="preserve"> </w:t>
            </w:r>
            <w:r w:rsidR="00A93740" w:rsidRPr="00F26A3E">
              <w:rPr>
                <w:rFonts w:ascii="Arial" w:hAnsi="Arial" w:cs="Arial"/>
                <w:sz w:val="18"/>
                <w:szCs w:val="18"/>
                <w:lang w:val="en-GB"/>
              </w:rPr>
              <w:t>Twin</w:t>
            </w:r>
            <w:r w:rsidR="006B6676">
              <w:rPr>
                <w:rFonts w:ascii="Arial" w:hAnsi="Arial" w:cs="Arial"/>
                <w:sz w:val="18"/>
                <w:szCs w:val="18"/>
                <w:lang w:val="en-GB"/>
              </w:rPr>
              <w:t xml:space="preserve"> </w:t>
            </w:r>
            <w:r w:rsidR="009A6937">
              <w:rPr>
                <w:rFonts w:ascii="Arial" w:hAnsi="Arial" w:cs="Arial"/>
                <w:sz w:val="18"/>
                <w:szCs w:val="18"/>
                <w:lang w:val="en-GB"/>
              </w:rPr>
              <w:t>S</w:t>
            </w:r>
            <w:r w:rsidR="00A93740" w:rsidRPr="00F26A3E">
              <w:rPr>
                <w:rFonts w:ascii="Arial" w:hAnsi="Arial" w:cs="Arial"/>
                <w:sz w:val="18"/>
                <w:szCs w:val="18"/>
                <w:lang w:val="en-GB"/>
              </w:rPr>
              <w:t>park</w:t>
            </w:r>
            <w:r w:rsidRPr="00F26A3E">
              <w:rPr>
                <w:rFonts w:ascii="Arial" w:hAnsi="Arial" w:cs="Arial"/>
                <w:sz w:val="18"/>
                <w:szCs w:val="18"/>
                <w:lang w:val="en-GB"/>
              </w:rPr>
              <w:t>,</w:t>
            </w:r>
            <w:r w:rsidR="006B6676">
              <w:rPr>
                <w:rFonts w:ascii="Arial" w:hAnsi="Arial" w:cs="Arial"/>
                <w:sz w:val="18"/>
                <w:szCs w:val="18"/>
                <w:lang w:val="en-GB"/>
              </w:rPr>
              <w:t xml:space="preserve"> </w:t>
            </w:r>
            <w:r w:rsidR="00817E3A">
              <w:rPr>
                <w:rFonts w:ascii="Arial" w:hAnsi="Arial" w:cs="Arial"/>
                <w:sz w:val="18"/>
                <w:szCs w:val="18"/>
                <w:lang w:val="en-GB"/>
              </w:rPr>
              <w:br/>
            </w:r>
            <w:r w:rsidRPr="00F26A3E">
              <w:rPr>
                <w:rFonts w:ascii="Arial" w:hAnsi="Arial" w:cs="Arial"/>
                <w:sz w:val="18"/>
                <w:szCs w:val="18"/>
                <w:lang w:val="en-GB"/>
              </w:rPr>
              <w:t>Air</w:t>
            </w:r>
            <w:r w:rsidR="006B6676">
              <w:rPr>
                <w:rFonts w:ascii="Arial" w:hAnsi="Arial" w:cs="Arial"/>
                <w:sz w:val="18"/>
                <w:szCs w:val="18"/>
                <w:lang w:val="en-GB"/>
              </w:rPr>
              <w:t xml:space="preserve"> </w:t>
            </w:r>
            <w:r w:rsidR="00E76988">
              <w:rPr>
                <w:rFonts w:ascii="Arial" w:hAnsi="Arial" w:cs="Arial"/>
                <w:sz w:val="18"/>
                <w:szCs w:val="18"/>
                <w:lang w:val="en-GB"/>
              </w:rPr>
              <w:t>C</w:t>
            </w:r>
            <w:r w:rsidRPr="00F26A3E">
              <w:rPr>
                <w:rFonts w:ascii="Arial" w:hAnsi="Arial" w:cs="Arial"/>
                <w:sz w:val="18"/>
                <w:szCs w:val="18"/>
                <w:lang w:val="en-GB"/>
              </w:rPr>
              <w:t>ooled</w:t>
            </w:r>
          </w:p>
        </w:tc>
        <w:tc>
          <w:tcPr>
            <w:tcW w:w="1800" w:type="dxa"/>
            <w:hideMark/>
          </w:tcPr>
          <w:p w14:paraId="1C139B43" w14:textId="3520DE02" w:rsidR="00F268A5" w:rsidRPr="00F26A3E" w:rsidRDefault="00F268A5" w:rsidP="008A25D6">
            <w:pPr>
              <w:jc w:val="center"/>
              <w:rPr>
                <w:rFonts w:ascii="Arial" w:hAnsi="Arial" w:cs="Arial"/>
                <w:sz w:val="18"/>
                <w:szCs w:val="18"/>
                <w:lang w:val="en-GB"/>
              </w:rPr>
            </w:pPr>
            <w:r w:rsidRPr="00F26A3E">
              <w:rPr>
                <w:rFonts w:ascii="Arial" w:hAnsi="Arial" w:cs="Arial"/>
                <w:sz w:val="18"/>
                <w:szCs w:val="18"/>
                <w:lang w:val="en-GB"/>
              </w:rPr>
              <w:t>Single</w:t>
            </w:r>
            <w:r w:rsidR="00817E3A">
              <w:rPr>
                <w:rFonts w:ascii="Arial" w:hAnsi="Arial" w:cs="Arial"/>
                <w:sz w:val="18"/>
                <w:szCs w:val="18"/>
                <w:lang w:val="en-GB"/>
              </w:rPr>
              <w:t>-C</w:t>
            </w:r>
            <w:r w:rsidRPr="00F26A3E">
              <w:rPr>
                <w:rFonts w:ascii="Arial" w:hAnsi="Arial" w:cs="Arial"/>
                <w:sz w:val="18"/>
                <w:szCs w:val="18"/>
                <w:lang w:val="en-GB"/>
              </w:rPr>
              <w:t>ylinder,</w:t>
            </w:r>
            <w:r w:rsidR="006B6676">
              <w:rPr>
                <w:rFonts w:ascii="Arial" w:hAnsi="Arial" w:cs="Arial"/>
                <w:sz w:val="18"/>
                <w:szCs w:val="18"/>
                <w:lang w:val="en-GB"/>
              </w:rPr>
              <w:t xml:space="preserve"> </w:t>
            </w:r>
            <w:r w:rsidR="00817E3A">
              <w:rPr>
                <w:rFonts w:ascii="Arial" w:hAnsi="Arial" w:cs="Arial"/>
                <w:sz w:val="18"/>
                <w:szCs w:val="18"/>
                <w:lang w:val="en-GB"/>
              </w:rPr>
              <w:t>Four-</w:t>
            </w:r>
            <w:r w:rsidRPr="00F26A3E">
              <w:rPr>
                <w:rFonts w:ascii="Arial" w:hAnsi="Arial" w:cs="Arial"/>
                <w:sz w:val="18"/>
                <w:szCs w:val="18"/>
                <w:lang w:val="en-GB"/>
              </w:rPr>
              <w:t>Stroke,</w:t>
            </w:r>
            <w:r w:rsidR="006B6676">
              <w:rPr>
                <w:rFonts w:ascii="Arial" w:hAnsi="Arial" w:cs="Arial"/>
                <w:sz w:val="18"/>
                <w:szCs w:val="18"/>
                <w:lang w:val="en-GB"/>
              </w:rPr>
              <w:t xml:space="preserve"> </w:t>
            </w:r>
            <w:r w:rsidR="00A93740" w:rsidRPr="00F26A3E">
              <w:rPr>
                <w:rFonts w:ascii="Arial" w:hAnsi="Arial" w:cs="Arial"/>
                <w:sz w:val="18"/>
                <w:szCs w:val="18"/>
                <w:lang w:val="en-GB"/>
              </w:rPr>
              <w:t>Twin</w:t>
            </w:r>
            <w:r w:rsidR="006B6676">
              <w:rPr>
                <w:rFonts w:ascii="Arial" w:hAnsi="Arial" w:cs="Arial"/>
                <w:sz w:val="18"/>
                <w:szCs w:val="18"/>
                <w:lang w:val="en-GB"/>
              </w:rPr>
              <w:t xml:space="preserve"> </w:t>
            </w:r>
            <w:r w:rsidR="009A6937">
              <w:rPr>
                <w:rFonts w:ascii="Arial" w:hAnsi="Arial" w:cs="Arial"/>
                <w:sz w:val="18"/>
                <w:szCs w:val="18"/>
                <w:lang w:val="en-GB"/>
              </w:rPr>
              <w:t>S</w:t>
            </w:r>
            <w:r w:rsidR="00A93740" w:rsidRPr="00F26A3E">
              <w:rPr>
                <w:rFonts w:ascii="Arial" w:hAnsi="Arial" w:cs="Arial"/>
                <w:sz w:val="18"/>
                <w:szCs w:val="18"/>
                <w:lang w:val="en-GB"/>
              </w:rPr>
              <w:t>park</w:t>
            </w:r>
            <w:r w:rsidRPr="00F26A3E">
              <w:rPr>
                <w:rFonts w:ascii="Arial" w:hAnsi="Arial" w:cs="Arial"/>
                <w:sz w:val="18"/>
                <w:szCs w:val="18"/>
                <w:lang w:val="en-GB"/>
              </w:rPr>
              <w:t>,</w:t>
            </w:r>
            <w:r w:rsidR="006B6676">
              <w:rPr>
                <w:rFonts w:ascii="Arial" w:hAnsi="Arial" w:cs="Arial"/>
                <w:sz w:val="18"/>
                <w:szCs w:val="18"/>
                <w:lang w:val="en-GB"/>
              </w:rPr>
              <w:t xml:space="preserve"> </w:t>
            </w:r>
            <w:r w:rsidR="00817E3A">
              <w:rPr>
                <w:rFonts w:ascii="Arial" w:hAnsi="Arial" w:cs="Arial"/>
                <w:sz w:val="18"/>
                <w:szCs w:val="18"/>
                <w:lang w:val="en-GB"/>
              </w:rPr>
              <w:br/>
            </w:r>
            <w:r w:rsidRPr="00F26A3E">
              <w:rPr>
                <w:rFonts w:ascii="Arial" w:hAnsi="Arial" w:cs="Arial"/>
                <w:sz w:val="18"/>
                <w:szCs w:val="18"/>
                <w:lang w:val="en-GB"/>
              </w:rPr>
              <w:t>Air</w:t>
            </w:r>
            <w:r w:rsidR="006B6676">
              <w:rPr>
                <w:rFonts w:ascii="Arial" w:hAnsi="Arial" w:cs="Arial"/>
                <w:sz w:val="18"/>
                <w:szCs w:val="18"/>
                <w:lang w:val="en-GB"/>
              </w:rPr>
              <w:t xml:space="preserve"> </w:t>
            </w:r>
            <w:r w:rsidR="00E76988">
              <w:rPr>
                <w:rFonts w:ascii="Arial" w:hAnsi="Arial" w:cs="Arial"/>
                <w:sz w:val="18"/>
                <w:szCs w:val="18"/>
                <w:lang w:val="en-GB"/>
              </w:rPr>
              <w:t>C</w:t>
            </w:r>
            <w:r w:rsidRPr="00F26A3E">
              <w:rPr>
                <w:rFonts w:ascii="Arial" w:hAnsi="Arial" w:cs="Arial"/>
                <w:sz w:val="18"/>
                <w:szCs w:val="18"/>
                <w:lang w:val="en-GB"/>
              </w:rPr>
              <w:t>ooled</w:t>
            </w:r>
          </w:p>
        </w:tc>
        <w:tc>
          <w:tcPr>
            <w:tcW w:w="2331" w:type="dxa"/>
            <w:hideMark/>
          </w:tcPr>
          <w:p w14:paraId="37382338" w14:textId="70811114"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Single</w:t>
            </w:r>
            <w:r w:rsidR="00817E3A">
              <w:rPr>
                <w:rFonts w:ascii="Arial" w:hAnsi="Arial" w:cs="Arial"/>
                <w:sz w:val="18"/>
                <w:szCs w:val="18"/>
                <w:lang w:val="en-GB"/>
              </w:rPr>
              <w:t>-C</w:t>
            </w:r>
            <w:r w:rsidRPr="00F26A3E">
              <w:rPr>
                <w:rFonts w:ascii="Arial" w:hAnsi="Arial" w:cs="Arial"/>
                <w:sz w:val="18"/>
                <w:szCs w:val="18"/>
                <w:lang w:val="en-GB"/>
              </w:rPr>
              <w:t>ylinder,</w:t>
            </w:r>
            <w:r w:rsidR="006B6676">
              <w:rPr>
                <w:rFonts w:ascii="Arial" w:hAnsi="Arial" w:cs="Arial"/>
                <w:sz w:val="18"/>
                <w:szCs w:val="18"/>
                <w:lang w:val="en-GB"/>
              </w:rPr>
              <w:t xml:space="preserve"> </w:t>
            </w:r>
            <w:r w:rsidR="00817E3A">
              <w:rPr>
                <w:rFonts w:ascii="Arial" w:hAnsi="Arial" w:cs="Arial"/>
                <w:sz w:val="18"/>
                <w:szCs w:val="18"/>
                <w:lang w:val="en-GB"/>
              </w:rPr>
              <w:br/>
              <w:t>Four-</w:t>
            </w:r>
            <w:r w:rsidRPr="00F26A3E">
              <w:rPr>
                <w:rFonts w:ascii="Arial" w:hAnsi="Arial" w:cs="Arial"/>
                <w:sz w:val="18"/>
                <w:szCs w:val="18"/>
                <w:lang w:val="en-GB"/>
              </w:rPr>
              <w:t>Stroke,</w:t>
            </w:r>
            <w:r w:rsidR="006B6676">
              <w:rPr>
                <w:rFonts w:ascii="Arial" w:hAnsi="Arial" w:cs="Arial"/>
                <w:sz w:val="18"/>
                <w:szCs w:val="18"/>
                <w:lang w:val="en-GB"/>
              </w:rPr>
              <w:t xml:space="preserve"> </w:t>
            </w:r>
            <w:r w:rsidRPr="00F26A3E">
              <w:rPr>
                <w:rFonts w:ascii="Arial" w:hAnsi="Arial" w:cs="Arial"/>
                <w:sz w:val="18"/>
                <w:szCs w:val="18"/>
                <w:lang w:val="en-GB"/>
              </w:rPr>
              <w:t>Air</w:t>
            </w:r>
            <w:r w:rsidR="006B6676">
              <w:rPr>
                <w:rFonts w:ascii="Arial" w:hAnsi="Arial" w:cs="Arial"/>
                <w:sz w:val="18"/>
                <w:szCs w:val="18"/>
                <w:lang w:val="en-GB"/>
              </w:rPr>
              <w:t xml:space="preserve"> </w:t>
            </w:r>
            <w:r w:rsidR="00E76988">
              <w:rPr>
                <w:rFonts w:ascii="Arial" w:hAnsi="Arial" w:cs="Arial"/>
                <w:sz w:val="18"/>
                <w:szCs w:val="18"/>
                <w:lang w:val="en-GB"/>
              </w:rPr>
              <w:t>C</w:t>
            </w:r>
            <w:r w:rsidRPr="00F26A3E">
              <w:rPr>
                <w:rFonts w:ascii="Arial" w:hAnsi="Arial" w:cs="Arial"/>
                <w:sz w:val="18"/>
                <w:szCs w:val="18"/>
                <w:lang w:val="en-GB"/>
              </w:rPr>
              <w:t>ooled,</w:t>
            </w:r>
            <w:r w:rsidR="006B6676">
              <w:rPr>
                <w:rFonts w:ascii="Arial" w:hAnsi="Arial" w:cs="Arial"/>
                <w:sz w:val="18"/>
                <w:szCs w:val="18"/>
                <w:lang w:val="en-GB"/>
              </w:rPr>
              <w:t xml:space="preserve"> </w:t>
            </w:r>
            <w:r w:rsidRPr="00F26A3E">
              <w:rPr>
                <w:rFonts w:ascii="Arial" w:hAnsi="Arial" w:cs="Arial"/>
                <w:sz w:val="18"/>
                <w:szCs w:val="18"/>
                <w:lang w:val="en-GB"/>
              </w:rPr>
              <w:t>S</w:t>
            </w:r>
            <w:r w:rsidR="00E76988">
              <w:rPr>
                <w:rFonts w:ascii="Arial" w:hAnsi="Arial" w:cs="Arial"/>
                <w:sz w:val="18"/>
                <w:szCs w:val="18"/>
                <w:lang w:val="en-GB"/>
              </w:rPr>
              <w:t>ingle</w:t>
            </w:r>
            <w:r w:rsidR="006B6676">
              <w:rPr>
                <w:rFonts w:ascii="Arial" w:hAnsi="Arial" w:cs="Arial"/>
                <w:sz w:val="18"/>
                <w:szCs w:val="18"/>
                <w:lang w:val="en-GB"/>
              </w:rPr>
              <w:t xml:space="preserve"> </w:t>
            </w:r>
            <w:r w:rsidRPr="00F26A3E">
              <w:rPr>
                <w:rFonts w:ascii="Arial" w:hAnsi="Arial" w:cs="Arial"/>
                <w:sz w:val="18"/>
                <w:szCs w:val="18"/>
                <w:lang w:val="en-GB"/>
              </w:rPr>
              <w:t>O</w:t>
            </w:r>
            <w:r w:rsidR="00E76988">
              <w:rPr>
                <w:rFonts w:ascii="Arial" w:hAnsi="Arial" w:cs="Arial"/>
                <w:sz w:val="18"/>
                <w:szCs w:val="18"/>
                <w:lang w:val="en-GB"/>
              </w:rPr>
              <w:t>verhead</w:t>
            </w:r>
            <w:r w:rsidR="006B6676">
              <w:rPr>
                <w:rFonts w:ascii="Arial" w:hAnsi="Arial" w:cs="Arial"/>
                <w:sz w:val="18"/>
                <w:szCs w:val="18"/>
                <w:lang w:val="en-GB"/>
              </w:rPr>
              <w:t xml:space="preserve"> </w:t>
            </w:r>
            <w:r w:rsidRPr="00F26A3E">
              <w:rPr>
                <w:rFonts w:ascii="Arial" w:hAnsi="Arial" w:cs="Arial"/>
                <w:sz w:val="18"/>
                <w:szCs w:val="18"/>
                <w:lang w:val="en-GB"/>
              </w:rPr>
              <w:t>C</w:t>
            </w:r>
            <w:r w:rsidR="00E76988">
              <w:rPr>
                <w:rFonts w:ascii="Arial" w:hAnsi="Arial" w:cs="Arial"/>
                <w:sz w:val="18"/>
                <w:szCs w:val="18"/>
                <w:lang w:val="en-GB"/>
              </w:rPr>
              <w:t>amshaft</w:t>
            </w:r>
            <w:r w:rsidRPr="00F26A3E">
              <w:rPr>
                <w:rFonts w:ascii="Arial" w:hAnsi="Arial" w:cs="Arial"/>
                <w:sz w:val="18"/>
                <w:szCs w:val="18"/>
                <w:lang w:val="en-GB"/>
              </w:rPr>
              <w:t>,</w:t>
            </w:r>
            <w:r w:rsidR="006B6676">
              <w:rPr>
                <w:rFonts w:ascii="Arial" w:hAnsi="Arial" w:cs="Arial"/>
                <w:sz w:val="18"/>
                <w:szCs w:val="18"/>
                <w:lang w:val="en-GB"/>
              </w:rPr>
              <w:t xml:space="preserve"> </w:t>
            </w:r>
            <w:r w:rsidRPr="00F26A3E">
              <w:rPr>
                <w:rFonts w:ascii="Arial" w:hAnsi="Arial" w:cs="Arial"/>
                <w:sz w:val="18"/>
                <w:szCs w:val="18"/>
                <w:lang w:val="en-GB"/>
              </w:rPr>
              <w:t>Fuel</w:t>
            </w:r>
            <w:r w:rsidR="006B6676">
              <w:rPr>
                <w:rFonts w:ascii="Arial" w:hAnsi="Arial" w:cs="Arial"/>
                <w:sz w:val="18"/>
                <w:szCs w:val="18"/>
                <w:lang w:val="en-GB"/>
              </w:rPr>
              <w:t xml:space="preserve"> </w:t>
            </w:r>
            <w:r w:rsidRPr="00F26A3E">
              <w:rPr>
                <w:rFonts w:ascii="Arial" w:hAnsi="Arial" w:cs="Arial"/>
                <w:sz w:val="18"/>
                <w:szCs w:val="18"/>
                <w:lang w:val="en-GB"/>
              </w:rPr>
              <w:t>Injection</w:t>
            </w:r>
          </w:p>
        </w:tc>
      </w:tr>
      <w:tr w:rsidR="00F268A5" w:rsidRPr="00F26A3E" w14:paraId="3A4CB18F" w14:textId="77777777" w:rsidTr="00995787">
        <w:trPr>
          <w:trHeight w:val="70"/>
          <w:tblHeader/>
          <w:jc w:val="center"/>
        </w:trPr>
        <w:tc>
          <w:tcPr>
            <w:tcW w:w="1615" w:type="dxa"/>
            <w:noWrap/>
            <w:hideMark/>
          </w:tcPr>
          <w:p w14:paraId="03799749" w14:textId="77777777"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Displacement</w:t>
            </w:r>
          </w:p>
        </w:tc>
        <w:tc>
          <w:tcPr>
            <w:tcW w:w="1800" w:type="dxa"/>
            <w:hideMark/>
          </w:tcPr>
          <w:p w14:paraId="6AAD704F"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346cc</w:t>
            </w:r>
          </w:p>
        </w:tc>
        <w:tc>
          <w:tcPr>
            <w:tcW w:w="1800" w:type="dxa"/>
            <w:hideMark/>
          </w:tcPr>
          <w:p w14:paraId="1ABA67A9"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346cc</w:t>
            </w:r>
          </w:p>
        </w:tc>
        <w:tc>
          <w:tcPr>
            <w:tcW w:w="1800" w:type="dxa"/>
            <w:hideMark/>
          </w:tcPr>
          <w:p w14:paraId="7C277384"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346cc</w:t>
            </w:r>
          </w:p>
        </w:tc>
        <w:tc>
          <w:tcPr>
            <w:tcW w:w="2331" w:type="dxa"/>
            <w:hideMark/>
          </w:tcPr>
          <w:p w14:paraId="108786D7"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411cc</w:t>
            </w:r>
          </w:p>
        </w:tc>
      </w:tr>
      <w:tr w:rsidR="00F268A5" w:rsidRPr="00F26A3E" w14:paraId="7C296E67" w14:textId="77777777" w:rsidTr="00995787">
        <w:trPr>
          <w:trHeight w:val="70"/>
          <w:tblHeader/>
          <w:jc w:val="center"/>
        </w:trPr>
        <w:tc>
          <w:tcPr>
            <w:tcW w:w="1615" w:type="dxa"/>
            <w:noWrap/>
            <w:hideMark/>
          </w:tcPr>
          <w:p w14:paraId="2B44916B" w14:textId="515DE5A2"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Bore</w:t>
            </w:r>
            <w:r w:rsidR="006B6676">
              <w:rPr>
                <w:rFonts w:ascii="Arial" w:hAnsi="Arial" w:cs="Arial"/>
                <w:b/>
                <w:bCs/>
                <w:sz w:val="18"/>
                <w:szCs w:val="18"/>
                <w:lang w:val="en-GB"/>
              </w:rPr>
              <w:t xml:space="preserve"> </w:t>
            </w:r>
            <w:r w:rsidRPr="00F26A3E">
              <w:rPr>
                <w:rFonts w:ascii="Arial" w:hAnsi="Arial" w:cs="Arial"/>
                <w:b/>
                <w:bCs/>
                <w:sz w:val="18"/>
                <w:szCs w:val="18"/>
                <w:lang w:val="en-GB"/>
              </w:rPr>
              <w:t>X</w:t>
            </w:r>
            <w:r w:rsidR="006B6676">
              <w:rPr>
                <w:rFonts w:ascii="Arial" w:hAnsi="Arial" w:cs="Arial"/>
                <w:b/>
                <w:bCs/>
                <w:sz w:val="18"/>
                <w:szCs w:val="18"/>
                <w:lang w:val="en-GB"/>
              </w:rPr>
              <w:t xml:space="preserve"> </w:t>
            </w:r>
            <w:r w:rsidRPr="00F26A3E">
              <w:rPr>
                <w:rFonts w:ascii="Arial" w:hAnsi="Arial" w:cs="Arial"/>
                <w:b/>
                <w:bCs/>
                <w:sz w:val="18"/>
                <w:szCs w:val="18"/>
                <w:lang w:val="en-GB"/>
              </w:rPr>
              <w:t>Stroke</w:t>
            </w:r>
          </w:p>
        </w:tc>
        <w:tc>
          <w:tcPr>
            <w:tcW w:w="1800" w:type="dxa"/>
            <w:hideMark/>
          </w:tcPr>
          <w:p w14:paraId="008B80E1" w14:textId="161B7E15"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70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x</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mm</w:t>
            </w:r>
          </w:p>
        </w:tc>
        <w:tc>
          <w:tcPr>
            <w:tcW w:w="1800" w:type="dxa"/>
            <w:hideMark/>
          </w:tcPr>
          <w:p w14:paraId="02DBE466" w14:textId="6F7FC83A"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70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x</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mm</w:t>
            </w:r>
          </w:p>
        </w:tc>
        <w:tc>
          <w:tcPr>
            <w:tcW w:w="1800" w:type="dxa"/>
            <w:hideMark/>
          </w:tcPr>
          <w:p w14:paraId="48D5DA6C" w14:textId="58AA8EF5"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70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x</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mm</w:t>
            </w:r>
          </w:p>
        </w:tc>
        <w:tc>
          <w:tcPr>
            <w:tcW w:w="2331" w:type="dxa"/>
            <w:hideMark/>
          </w:tcPr>
          <w:p w14:paraId="4F293D81" w14:textId="18B350B0"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78</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x</w:t>
            </w:r>
            <w:r w:rsidR="006B6676">
              <w:rPr>
                <w:rFonts w:ascii="Arial" w:hAnsi="Arial" w:cs="Arial"/>
                <w:sz w:val="18"/>
                <w:szCs w:val="18"/>
                <w:lang w:val="en-GB"/>
              </w:rPr>
              <w:t xml:space="preserve"> </w:t>
            </w:r>
            <w:r w:rsidRPr="00F26A3E">
              <w:rPr>
                <w:rFonts w:ascii="Arial" w:hAnsi="Arial" w:cs="Arial"/>
                <w:sz w:val="18"/>
                <w:szCs w:val="18"/>
                <w:lang w:val="en-GB"/>
              </w:rPr>
              <w:t>86</w:t>
            </w:r>
            <w:r w:rsidR="006B6676">
              <w:rPr>
                <w:rFonts w:ascii="Arial" w:hAnsi="Arial" w:cs="Arial"/>
                <w:sz w:val="18"/>
                <w:szCs w:val="18"/>
                <w:lang w:val="en-GB"/>
              </w:rPr>
              <w:t xml:space="preserve"> </w:t>
            </w:r>
            <w:r w:rsidRPr="00F26A3E">
              <w:rPr>
                <w:rFonts w:ascii="Arial" w:hAnsi="Arial" w:cs="Arial"/>
                <w:sz w:val="18"/>
                <w:szCs w:val="18"/>
                <w:lang w:val="en-GB"/>
              </w:rPr>
              <w:t>mm</w:t>
            </w:r>
          </w:p>
        </w:tc>
      </w:tr>
      <w:tr w:rsidR="00F268A5" w:rsidRPr="00F26A3E" w14:paraId="17D31EFF" w14:textId="77777777" w:rsidTr="00995787">
        <w:trPr>
          <w:trHeight w:val="70"/>
          <w:tblHeader/>
          <w:jc w:val="center"/>
        </w:trPr>
        <w:tc>
          <w:tcPr>
            <w:tcW w:w="1615" w:type="dxa"/>
            <w:noWrap/>
            <w:hideMark/>
          </w:tcPr>
          <w:p w14:paraId="5C7D5EE0" w14:textId="3B0BECEB"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Compression</w:t>
            </w:r>
            <w:r w:rsidR="006B6676">
              <w:rPr>
                <w:rFonts w:ascii="Arial" w:hAnsi="Arial" w:cs="Arial"/>
                <w:b/>
                <w:bCs/>
                <w:sz w:val="18"/>
                <w:szCs w:val="18"/>
                <w:lang w:val="en-GB"/>
              </w:rPr>
              <w:t xml:space="preserve"> </w:t>
            </w:r>
            <w:r w:rsidRPr="00F26A3E">
              <w:rPr>
                <w:rFonts w:ascii="Arial" w:hAnsi="Arial" w:cs="Arial"/>
                <w:b/>
                <w:bCs/>
                <w:sz w:val="18"/>
                <w:szCs w:val="18"/>
                <w:lang w:val="en-GB"/>
              </w:rPr>
              <w:t>Ratio</w:t>
            </w:r>
          </w:p>
        </w:tc>
        <w:tc>
          <w:tcPr>
            <w:tcW w:w="1800" w:type="dxa"/>
            <w:hideMark/>
          </w:tcPr>
          <w:p w14:paraId="50ADA226"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8.5:1</w:t>
            </w:r>
          </w:p>
        </w:tc>
        <w:tc>
          <w:tcPr>
            <w:tcW w:w="1800" w:type="dxa"/>
            <w:hideMark/>
          </w:tcPr>
          <w:p w14:paraId="30325F6D"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8.5:1</w:t>
            </w:r>
          </w:p>
        </w:tc>
        <w:tc>
          <w:tcPr>
            <w:tcW w:w="1800" w:type="dxa"/>
            <w:hideMark/>
          </w:tcPr>
          <w:p w14:paraId="1783A75A"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8.5:1</w:t>
            </w:r>
          </w:p>
        </w:tc>
        <w:tc>
          <w:tcPr>
            <w:tcW w:w="2331" w:type="dxa"/>
            <w:hideMark/>
          </w:tcPr>
          <w:p w14:paraId="30B7D780"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9.5:1</w:t>
            </w:r>
          </w:p>
        </w:tc>
      </w:tr>
      <w:tr w:rsidR="00F268A5" w:rsidRPr="00F26A3E" w14:paraId="77320845" w14:textId="77777777" w:rsidTr="00995787">
        <w:trPr>
          <w:trHeight w:val="70"/>
          <w:tblHeader/>
          <w:jc w:val="center"/>
        </w:trPr>
        <w:tc>
          <w:tcPr>
            <w:tcW w:w="1615" w:type="dxa"/>
            <w:noWrap/>
            <w:hideMark/>
          </w:tcPr>
          <w:p w14:paraId="1958D9C8" w14:textId="59C0B846"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Max</w:t>
            </w:r>
            <w:r w:rsidR="005C2E5D">
              <w:rPr>
                <w:rFonts w:ascii="Arial" w:hAnsi="Arial" w:cs="Arial"/>
                <w:b/>
                <w:bCs/>
                <w:sz w:val="18"/>
                <w:szCs w:val="18"/>
                <w:lang w:val="en-GB"/>
              </w:rPr>
              <w:t>imum</w:t>
            </w:r>
            <w:r w:rsidR="006B6676">
              <w:rPr>
                <w:rFonts w:ascii="Arial" w:hAnsi="Arial" w:cs="Arial"/>
                <w:b/>
                <w:bCs/>
                <w:sz w:val="18"/>
                <w:szCs w:val="18"/>
                <w:lang w:val="en-GB"/>
              </w:rPr>
              <w:t xml:space="preserve"> </w:t>
            </w:r>
            <w:r w:rsidRPr="00F26A3E">
              <w:rPr>
                <w:rFonts w:ascii="Arial" w:hAnsi="Arial" w:cs="Arial"/>
                <w:b/>
                <w:bCs/>
                <w:sz w:val="18"/>
                <w:szCs w:val="18"/>
                <w:lang w:val="en-GB"/>
              </w:rPr>
              <w:t>Power</w:t>
            </w:r>
          </w:p>
        </w:tc>
        <w:tc>
          <w:tcPr>
            <w:tcW w:w="1800" w:type="dxa"/>
            <w:hideMark/>
          </w:tcPr>
          <w:p w14:paraId="00A78987" w14:textId="129A17AF" w:rsidR="00F268A5" w:rsidRPr="00F26A3E" w:rsidRDefault="00F268A5" w:rsidP="002C3B5A">
            <w:pPr>
              <w:jc w:val="center"/>
              <w:rPr>
                <w:rFonts w:ascii="Arial" w:hAnsi="Arial" w:cs="Arial"/>
                <w:sz w:val="18"/>
                <w:szCs w:val="18"/>
                <w:lang w:val="en-GB"/>
              </w:rPr>
            </w:pPr>
            <w:r w:rsidRPr="00F26A3E">
              <w:rPr>
                <w:rFonts w:ascii="Arial" w:hAnsi="Arial" w:cs="Arial"/>
                <w:sz w:val="18"/>
                <w:szCs w:val="18"/>
                <w:lang w:val="en-GB"/>
              </w:rPr>
              <w:t>19.8</w:t>
            </w:r>
            <w:r w:rsidR="006B6676">
              <w:rPr>
                <w:rFonts w:ascii="Arial" w:hAnsi="Arial" w:cs="Arial"/>
                <w:sz w:val="18"/>
                <w:szCs w:val="18"/>
                <w:lang w:val="en-GB"/>
              </w:rPr>
              <w:t xml:space="preserve"> </w:t>
            </w:r>
            <w:r w:rsidR="005C2E5D">
              <w:rPr>
                <w:rFonts w:ascii="Arial" w:hAnsi="Arial" w:cs="Arial"/>
                <w:sz w:val="18"/>
                <w:szCs w:val="18"/>
                <w:lang w:val="en-GB"/>
              </w:rPr>
              <w:t>bh</w:t>
            </w:r>
            <w:r w:rsidR="006A2362">
              <w:rPr>
                <w:rFonts w:ascii="Arial" w:hAnsi="Arial" w:cs="Arial"/>
                <w:sz w:val="18"/>
                <w:szCs w:val="18"/>
                <w:lang w:val="en-GB"/>
              </w:rPr>
              <w:t>p</w:t>
            </w:r>
            <w:r w:rsidR="006B6676">
              <w:rPr>
                <w:rFonts w:ascii="Arial" w:hAnsi="Arial" w:cs="Arial"/>
                <w:sz w:val="18"/>
                <w:szCs w:val="18"/>
                <w:lang w:val="en-GB"/>
              </w:rPr>
              <w:t xml:space="preserve"> </w:t>
            </w:r>
            <w:r w:rsidR="00444373">
              <w:rPr>
                <w:rFonts w:ascii="Arial" w:hAnsi="Arial" w:cs="Arial"/>
                <w:sz w:val="18"/>
                <w:szCs w:val="18"/>
                <w:lang w:val="en-GB"/>
              </w:rPr>
              <w:t>at</w:t>
            </w:r>
            <w:r w:rsidR="005C2E5D">
              <w:rPr>
                <w:rFonts w:ascii="Arial" w:hAnsi="Arial" w:cs="Arial"/>
                <w:sz w:val="18"/>
                <w:szCs w:val="18"/>
                <w:lang w:val="en-GB"/>
              </w:rPr>
              <w:br/>
            </w:r>
            <w:r w:rsidRPr="00F26A3E">
              <w:rPr>
                <w:rFonts w:ascii="Arial" w:hAnsi="Arial" w:cs="Arial"/>
                <w:sz w:val="18"/>
                <w:szCs w:val="18"/>
                <w:lang w:val="en-GB"/>
              </w:rPr>
              <w:t>5</w:t>
            </w:r>
            <w:r w:rsidR="00444373">
              <w:rPr>
                <w:rFonts w:ascii="Arial" w:hAnsi="Arial" w:cs="Arial"/>
                <w:sz w:val="18"/>
                <w:szCs w:val="18"/>
                <w:lang w:val="en-GB"/>
              </w:rPr>
              <w:t>,</w:t>
            </w:r>
            <w:r w:rsidRPr="00F26A3E">
              <w:rPr>
                <w:rFonts w:ascii="Arial" w:hAnsi="Arial" w:cs="Arial"/>
                <w:sz w:val="18"/>
                <w:szCs w:val="18"/>
                <w:lang w:val="en-GB"/>
              </w:rPr>
              <w:t>250</w:t>
            </w:r>
            <w:r w:rsidR="006B6676">
              <w:rPr>
                <w:rFonts w:ascii="Arial" w:hAnsi="Arial" w:cs="Arial"/>
                <w:sz w:val="18"/>
                <w:szCs w:val="18"/>
                <w:lang w:val="en-GB"/>
              </w:rPr>
              <w:t xml:space="preserve"> </w:t>
            </w:r>
            <w:r w:rsidR="005C2E5D">
              <w:rPr>
                <w:rFonts w:ascii="Arial" w:hAnsi="Arial" w:cs="Arial"/>
                <w:sz w:val="18"/>
                <w:szCs w:val="18"/>
                <w:lang w:val="en-GB"/>
              </w:rPr>
              <w:t>rpm</w:t>
            </w:r>
          </w:p>
        </w:tc>
        <w:tc>
          <w:tcPr>
            <w:tcW w:w="1800" w:type="dxa"/>
            <w:hideMark/>
          </w:tcPr>
          <w:p w14:paraId="3653B88A" w14:textId="4646AD2C" w:rsidR="00F268A5" w:rsidRPr="00F26A3E" w:rsidRDefault="00F268A5" w:rsidP="008A25D6">
            <w:pPr>
              <w:jc w:val="center"/>
              <w:rPr>
                <w:rFonts w:ascii="Arial" w:hAnsi="Arial" w:cs="Arial"/>
                <w:sz w:val="18"/>
                <w:szCs w:val="18"/>
                <w:lang w:val="en-GB"/>
              </w:rPr>
            </w:pPr>
            <w:r w:rsidRPr="00F26A3E">
              <w:rPr>
                <w:rFonts w:ascii="Arial" w:hAnsi="Arial" w:cs="Arial"/>
                <w:sz w:val="18"/>
                <w:szCs w:val="18"/>
                <w:lang w:val="en-GB"/>
              </w:rPr>
              <w:t>19.8</w:t>
            </w:r>
            <w:r w:rsidR="006B6676">
              <w:rPr>
                <w:rFonts w:ascii="Arial" w:hAnsi="Arial" w:cs="Arial"/>
                <w:sz w:val="18"/>
                <w:szCs w:val="18"/>
                <w:lang w:val="en-GB"/>
              </w:rPr>
              <w:t xml:space="preserve"> </w:t>
            </w:r>
            <w:r w:rsidR="005C2E5D">
              <w:rPr>
                <w:rFonts w:ascii="Arial" w:hAnsi="Arial" w:cs="Arial"/>
                <w:sz w:val="18"/>
                <w:szCs w:val="18"/>
                <w:lang w:val="en-GB"/>
              </w:rPr>
              <w:t>b</w:t>
            </w:r>
            <w:r w:rsidR="006A2362">
              <w:rPr>
                <w:rFonts w:ascii="Arial" w:hAnsi="Arial" w:cs="Arial"/>
                <w:sz w:val="18"/>
                <w:szCs w:val="18"/>
                <w:lang w:val="en-GB"/>
              </w:rPr>
              <w:t>hp</w:t>
            </w:r>
            <w:r w:rsidR="006B6676">
              <w:rPr>
                <w:rFonts w:ascii="Arial" w:hAnsi="Arial" w:cs="Arial"/>
                <w:sz w:val="18"/>
                <w:szCs w:val="18"/>
                <w:lang w:val="en-GB"/>
              </w:rPr>
              <w:t xml:space="preserve"> </w:t>
            </w:r>
            <w:r w:rsidR="00444373">
              <w:rPr>
                <w:rFonts w:ascii="Arial" w:hAnsi="Arial" w:cs="Arial"/>
                <w:sz w:val="18"/>
                <w:szCs w:val="18"/>
                <w:lang w:val="en-GB"/>
              </w:rPr>
              <w:t>at</w:t>
            </w:r>
            <w:r w:rsidR="005C2E5D">
              <w:rPr>
                <w:rFonts w:ascii="Arial" w:hAnsi="Arial" w:cs="Arial"/>
                <w:sz w:val="18"/>
                <w:szCs w:val="18"/>
                <w:lang w:val="en-GB"/>
              </w:rPr>
              <w:br/>
            </w:r>
            <w:r w:rsidRPr="00F26A3E">
              <w:rPr>
                <w:rFonts w:ascii="Arial" w:hAnsi="Arial" w:cs="Arial"/>
                <w:sz w:val="18"/>
                <w:szCs w:val="18"/>
                <w:lang w:val="en-GB"/>
              </w:rPr>
              <w:t>5</w:t>
            </w:r>
            <w:r w:rsidR="00444373">
              <w:rPr>
                <w:rFonts w:ascii="Arial" w:hAnsi="Arial" w:cs="Arial"/>
                <w:sz w:val="18"/>
                <w:szCs w:val="18"/>
                <w:lang w:val="en-GB"/>
              </w:rPr>
              <w:t>,</w:t>
            </w:r>
            <w:r w:rsidRPr="00F26A3E">
              <w:rPr>
                <w:rFonts w:ascii="Arial" w:hAnsi="Arial" w:cs="Arial"/>
                <w:sz w:val="18"/>
                <w:szCs w:val="18"/>
                <w:lang w:val="en-GB"/>
              </w:rPr>
              <w:t>250</w:t>
            </w:r>
            <w:r w:rsidR="006B6676">
              <w:rPr>
                <w:rFonts w:ascii="Arial" w:hAnsi="Arial" w:cs="Arial"/>
                <w:sz w:val="18"/>
                <w:szCs w:val="18"/>
                <w:lang w:val="en-GB"/>
              </w:rPr>
              <w:t xml:space="preserve"> </w:t>
            </w:r>
            <w:r w:rsidR="005C2E5D">
              <w:rPr>
                <w:rFonts w:ascii="Arial" w:hAnsi="Arial" w:cs="Arial"/>
                <w:sz w:val="18"/>
                <w:szCs w:val="18"/>
                <w:lang w:val="en-GB"/>
              </w:rPr>
              <w:t>rpm</w:t>
            </w:r>
          </w:p>
        </w:tc>
        <w:tc>
          <w:tcPr>
            <w:tcW w:w="1800" w:type="dxa"/>
            <w:hideMark/>
          </w:tcPr>
          <w:p w14:paraId="44DB5E53" w14:textId="206E3CBD" w:rsidR="00F268A5" w:rsidRPr="00F26A3E" w:rsidRDefault="00F268A5" w:rsidP="008A25D6">
            <w:pPr>
              <w:jc w:val="center"/>
              <w:rPr>
                <w:rFonts w:ascii="Arial" w:hAnsi="Arial" w:cs="Arial"/>
                <w:sz w:val="18"/>
                <w:szCs w:val="18"/>
                <w:lang w:val="en-GB"/>
              </w:rPr>
            </w:pPr>
            <w:r w:rsidRPr="00F26A3E">
              <w:rPr>
                <w:rFonts w:ascii="Arial" w:hAnsi="Arial" w:cs="Arial"/>
                <w:sz w:val="18"/>
                <w:szCs w:val="18"/>
                <w:lang w:val="en-GB"/>
              </w:rPr>
              <w:t>19.8</w:t>
            </w:r>
            <w:r w:rsidR="006B6676">
              <w:rPr>
                <w:rFonts w:ascii="Arial" w:hAnsi="Arial" w:cs="Arial"/>
                <w:sz w:val="18"/>
                <w:szCs w:val="18"/>
                <w:lang w:val="en-GB"/>
              </w:rPr>
              <w:t xml:space="preserve"> </w:t>
            </w:r>
            <w:r w:rsidR="005C2E5D">
              <w:rPr>
                <w:rFonts w:ascii="Arial" w:hAnsi="Arial" w:cs="Arial"/>
                <w:sz w:val="18"/>
                <w:szCs w:val="18"/>
                <w:lang w:val="en-GB"/>
              </w:rPr>
              <w:t>bh</w:t>
            </w:r>
            <w:r w:rsidR="006A2362">
              <w:rPr>
                <w:rFonts w:ascii="Arial" w:hAnsi="Arial" w:cs="Arial"/>
                <w:sz w:val="18"/>
                <w:szCs w:val="18"/>
                <w:lang w:val="en-GB"/>
              </w:rPr>
              <w:t>p</w:t>
            </w:r>
            <w:r w:rsidR="006B6676">
              <w:rPr>
                <w:rFonts w:ascii="Arial" w:hAnsi="Arial" w:cs="Arial"/>
                <w:sz w:val="18"/>
                <w:szCs w:val="18"/>
                <w:lang w:val="en-GB"/>
              </w:rPr>
              <w:t xml:space="preserve"> </w:t>
            </w:r>
            <w:r w:rsidR="00444373">
              <w:rPr>
                <w:rFonts w:ascii="Arial" w:hAnsi="Arial" w:cs="Arial"/>
                <w:sz w:val="18"/>
                <w:szCs w:val="18"/>
                <w:lang w:val="en-GB"/>
              </w:rPr>
              <w:t>at</w:t>
            </w:r>
            <w:r w:rsidR="005C2E5D">
              <w:rPr>
                <w:rFonts w:ascii="Arial" w:hAnsi="Arial" w:cs="Arial"/>
                <w:sz w:val="18"/>
                <w:szCs w:val="18"/>
                <w:lang w:val="en-GB"/>
              </w:rPr>
              <w:br/>
            </w:r>
            <w:r w:rsidRPr="00F26A3E">
              <w:rPr>
                <w:rFonts w:ascii="Arial" w:hAnsi="Arial" w:cs="Arial"/>
                <w:sz w:val="18"/>
                <w:szCs w:val="18"/>
                <w:lang w:val="en-GB"/>
              </w:rPr>
              <w:t>5</w:t>
            </w:r>
            <w:r w:rsidR="00444373">
              <w:rPr>
                <w:rFonts w:ascii="Arial" w:hAnsi="Arial" w:cs="Arial"/>
                <w:sz w:val="18"/>
                <w:szCs w:val="18"/>
                <w:lang w:val="en-GB"/>
              </w:rPr>
              <w:t>,</w:t>
            </w:r>
            <w:r w:rsidRPr="00F26A3E">
              <w:rPr>
                <w:rFonts w:ascii="Arial" w:hAnsi="Arial" w:cs="Arial"/>
                <w:sz w:val="18"/>
                <w:szCs w:val="18"/>
                <w:lang w:val="en-GB"/>
              </w:rPr>
              <w:t>250</w:t>
            </w:r>
            <w:r w:rsidR="006B6676">
              <w:rPr>
                <w:rFonts w:ascii="Arial" w:hAnsi="Arial" w:cs="Arial"/>
                <w:sz w:val="18"/>
                <w:szCs w:val="18"/>
                <w:lang w:val="en-GB"/>
              </w:rPr>
              <w:t xml:space="preserve"> </w:t>
            </w:r>
            <w:r w:rsidR="005C2E5D">
              <w:rPr>
                <w:rFonts w:ascii="Arial" w:hAnsi="Arial" w:cs="Arial"/>
                <w:sz w:val="18"/>
                <w:szCs w:val="18"/>
                <w:lang w:val="en-GB"/>
              </w:rPr>
              <w:t>rpm</w:t>
            </w:r>
          </w:p>
        </w:tc>
        <w:tc>
          <w:tcPr>
            <w:tcW w:w="2331" w:type="dxa"/>
            <w:hideMark/>
          </w:tcPr>
          <w:p w14:paraId="2EBE7370" w14:textId="401CEAA3" w:rsidR="005C2E5D" w:rsidRDefault="00F268A5" w:rsidP="00F268A5">
            <w:pPr>
              <w:jc w:val="center"/>
              <w:rPr>
                <w:rFonts w:ascii="Arial" w:hAnsi="Arial" w:cs="Arial"/>
                <w:sz w:val="18"/>
                <w:szCs w:val="18"/>
                <w:lang w:val="en-GB"/>
              </w:rPr>
            </w:pPr>
            <w:r w:rsidRPr="00F26A3E">
              <w:rPr>
                <w:rFonts w:ascii="Arial" w:hAnsi="Arial" w:cs="Arial"/>
                <w:sz w:val="18"/>
                <w:szCs w:val="18"/>
                <w:lang w:val="en-GB"/>
              </w:rPr>
              <w:t>24.5</w:t>
            </w:r>
            <w:r w:rsidR="006B6676">
              <w:rPr>
                <w:rFonts w:ascii="Arial" w:hAnsi="Arial" w:cs="Arial"/>
                <w:sz w:val="18"/>
                <w:szCs w:val="18"/>
                <w:lang w:val="en-GB"/>
              </w:rPr>
              <w:t xml:space="preserve"> </w:t>
            </w:r>
            <w:r w:rsidR="005C2E5D">
              <w:rPr>
                <w:rFonts w:ascii="Arial" w:hAnsi="Arial" w:cs="Arial"/>
                <w:sz w:val="18"/>
                <w:szCs w:val="18"/>
                <w:lang w:val="en-GB"/>
              </w:rPr>
              <w:t>bh</w:t>
            </w:r>
            <w:r w:rsidR="006A2362">
              <w:rPr>
                <w:rFonts w:ascii="Arial" w:hAnsi="Arial" w:cs="Arial"/>
                <w:sz w:val="18"/>
                <w:szCs w:val="18"/>
                <w:lang w:val="en-GB"/>
              </w:rPr>
              <w:t>p</w:t>
            </w:r>
            <w:r w:rsidR="006B6676">
              <w:rPr>
                <w:rFonts w:ascii="Arial" w:hAnsi="Arial" w:cs="Arial"/>
                <w:sz w:val="18"/>
                <w:szCs w:val="18"/>
                <w:lang w:val="en-GB"/>
              </w:rPr>
              <w:t xml:space="preserve"> </w:t>
            </w:r>
            <w:r w:rsidR="00444373">
              <w:rPr>
                <w:rFonts w:ascii="Arial" w:hAnsi="Arial" w:cs="Arial"/>
                <w:sz w:val="18"/>
                <w:szCs w:val="18"/>
                <w:lang w:val="en-GB"/>
              </w:rPr>
              <w:t>at</w:t>
            </w:r>
          </w:p>
          <w:p w14:paraId="5B5F6EFF" w14:textId="18385806"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6</w:t>
            </w:r>
            <w:r w:rsidR="00444373">
              <w:rPr>
                <w:rFonts w:ascii="Arial" w:hAnsi="Arial" w:cs="Arial"/>
                <w:sz w:val="18"/>
                <w:szCs w:val="18"/>
                <w:lang w:val="en-GB"/>
              </w:rPr>
              <w:t>,</w:t>
            </w:r>
            <w:r w:rsidRPr="00F26A3E">
              <w:rPr>
                <w:rFonts w:ascii="Arial" w:hAnsi="Arial" w:cs="Arial"/>
                <w:sz w:val="18"/>
                <w:szCs w:val="18"/>
                <w:lang w:val="en-GB"/>
              </w:rPr>
              <w:t>500</w:t>
            </w:r>
            <w:r w:rsidR="006B6676">
              <w:rPr>
                <w:rFonts w:ascii="Arial" w:hAnsi="Arial" w:cs="Arial"/>
                <w:sz w:val="18"/>
                <w:szCs w:val="18"/>
                <w:lang w:val="en-GB"/>
              </w:rPr>
              <w:t xml:space="preserve"> </w:t>
            </w:r>
            <w:r w:rsidR="005C2E5D">
              <w:rPr>
                <w:rFonts w:ascii="Arial" w:hAnsi="Arial" w:cs="Arial"/>
                <w:sz w:val="18"/>
                <w:szCs w:val="18"/>
                <w:lang w:val="en-GB"/>
              </w:rPr>
              <w:t>rpm</w:t>
            </w:r>
          </w:p>
        </w:tc>
      </w:tr>
      <w:tr w:rsidR="00F268A5" w:rsidRPr="00F26A3E" w14:paraId="218E7C9B" w14:textId="77777777" w:rsidTr="00995787">
        <w:trPr>
          <w:trHeight w:val="70"/>
          <w:tblHeader/>
          <w:jc w:val="center"/>
        </w:trPr>
        <w:tc>
          <w:tcPr>
            <w:tcW w:w="1615" w:type="dxa"/>
            <w:noWrap/>
            <w:hideMark/>
          </w:tcPr>
          <w:p w14:paraId="557444E3" w14:textId="3B9C8DB3"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Max</w:t>
            </w:r>
            <w:r w:rsidR="00817E3A">
              <w:rPr>
                <w:rFonts w:ascii="Arial" w:hAnsi="Arial" w:cs="Arial"/>
                <w:b/>
                <w:bCs/>
                <w:sz w:val="18"/>
                <w:szCs w:val="18"/>
                <w:lang w:val="en-GB"/>
              </w:rPr>
              <w:t>imum</w:t>
            </w:r>
            <w:r w:rsidR="006B6676">
              <w:rPr>
                <w:rFonts w:ascii="Arial" w:hAnsi="Arial" w:cs="Arial"/>
                <w:b/>
                <w:bCs/>
                <w:sz w:val="18"/>
                <w:szCs w:val="18"/>
                <w:lang w:val="en-GB"/>
              </w:rPr>
              <w:t xml:space="preserve"> </w:t>
            </w:r>
            <w:r w:rsidRPr="00F26A3E">
              <w:rPr>
                <w:rFonts w:ascii="Arial" w:hAnsi="Arial" w:cs="Arial"/>
                <w:b/>
                <w:bCs/>
                <w:sz w:val="18"/>
                <w:szCs w:val="18"/>
                <w:lang w:val="en-GB"/>
              </w:rPr>
              <w:t>Torque</w:t>
            </w:r>
          </w:p>
        </w:tc>
        <w:tc>
          <w:tcPr>
            <w:tcW w:w="1800" w:type="dxa"/>
            <w:hideMark/>
          </w:tcPr>
          <w:p w14:paraId="6883A230" w14:textId="443C0D06"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28</w:t>
            </w:r>
            <w:r w:rsidR="006B6676">
              <w:rPr>
                <w:rFonts w:ascii="Arial" w:hAnsi="Arial" w:cs="Arial"/>
                <w:sz w:val="18"/>
                <w:szCs w:val="18"/>
                <w:lang w:val="en-GB"/>
              </w:rPr>
              <w:t xml:space="preserve"> </w:t>
            </w:r>
            <w:r w:rsidRPr="00F26A3E">
              <w:rPr>
                <w:rFonts w:ascii="Arial" w:hAnsi="Arial" w:cs="Arial"/>
                <w:sz w:val="18"/>
                <w:szCs w:val="18"/>
                <w:lang w:val="en-GB"/>
              </w:rPr>
              <w:t>N</w:t>
            </w:r>
            <w:r w:rsidR="005C2E5D">
              <w:rPr>
                <w:rFonts w:ascii="Arial" w:hAnsi="Arial" w:cs="Arial"/>
                <w:sz w:val="18"/>
                <w:szCs w:val="18"/>
                <w:lang w:val="en-GB"/>
              </w:rPr>
              <w:t>m</w:t>
            </w:r>
            <w:r w:rsidR="006B6676">
              <w:rPr>
                <w:rFonts w:ascii="Arial" w:hAnsi="Arial" w:cs="Arial"/>
                <w:sz w:val="18"/>
                <w:szCs w:val="18"/>
                <w:lang w:val="en-GB"/>
              </w:rPr>
              <w:t xml:space="preserve"> </w:t>
            </w:r>
            <w:r w:rsidR="00444373">
              <w:rPr>
                <w:rFonts w:ascii="Arial" w:hAnsi="Arial" w:cs="Arial"/>
                <w:sz w:val="18"/>
                <w:szCs w:val="18"/>
                <w:lang w:val="en-GB"/>
              </w:rPr>
              <w:t>at</w:t>
            </w:r>
            <w:r w:rsidR="006B6676">
              <w:rPr>
                <w:rFonts w:ascii="Arial" w:hAnsi="Arial" w:cs="Arial"/>
                <w:sz w:val="18"/>
                <w:szCs w:val="18"/>
                <w:lang w:val="en-GB"/>
              </w:rPr>
              <w:t xml:space="preserve"> </w:t>
            </w:r>
            <w:r w:rsidR="005C2E5D">
              <w:rPr>
                <w:rFonts w:ascii="Arial" w:hAnsi="Arial" w:cs="Arial"/>
                <w:sz w:val="18"/>
                <w:szCs w:val="18"/>
                <w:lang w:val="en-GB"/>
              </w:rPr>
              <w:br/>
            </w:r>
            <w:r w:rsidRPr="00F26A3E">
              <w:rPr>
                <w:rFonts w:ascii="Arial" w:hAnsi="Arial" w:cs="Arial"/>
                <w:sz w:val="18"/>
                <w:szCs w:val="18"/>
                <w:lang w:val="en-GB"/>
              </w:rPr>
              <w:t>4</w:t>
            </w:r>
            <w:r w:rsidR="00444373">
              <w:rPr>
                <w:rFonts w:ascii="Arial" w:hAnsi="Arial" w:cs="Arial"/>
                <w:sz w:val="18"/>
                <w:szCs w:val="18"/>
                <w:lang w:val="en-GB"/>
              </w:rPr>
              <w:t>,</w:t>
            </w:r>
            <w:r w:rsidRPr="00F26A3E">
              <w:rPr>
                <w:rFonts w:ascii="Arial" w:hAnsi="Arial" w:cs="Arial"/>
                <w:sz w:val="18"/>
                <w:szCs w:val="18"/>
                <w:lang w:val="en-GB"/>
              </w:rPr>
              <w:t>000</w:t>
            </w:r>
            <w:r w:rsidR="006B6676">
              <w:rPr>
                <w:rFonts w:ascii="Arial" w:hAnsi="Arial" w:cs="Arial"/>
                <w:sz w:val="18"/>
                <w:szCs w:val="18"/>
                <w:lang w:val="en-GB"/>
              </w:rPr>
              <w:t xml:space="preserve"> </w:t>
            </w:r>
            <w:r w:rsidR="005C2E5D">
              <w:rPr>
                <w:rFonts w:ascii="Arial" w:hAnsi="Arial" w:cs="Arial"/>
                <w:sz w:val="18"/>
                <w:szCs w:val="18"/>
                <w:lang w:val="en-GB"/>
              </w:rPr>
              <w:t>rpm</w:t>
            </w:r>
          </w:p>
        </w:tc>
        <w:tc>
          <w:tcPr>
            <w:tcW w:w="1800" w:type="dxa"/>
            <w:hideMark/>
          </w:tcPr>
          <w:p w14:paraId="1CF1F098" w14:textId="4723EAB1"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28</w:t>
            </w:r>
            <w:r w:rsidR="006B6676">
              <w:rPr>
                <w:rFonts w:ascii="Arial" w:hAnsi="Arial" w:cs="Arial"/>
                <w:sz w:val="18"/>
                <w:szCs w:val="18"/>
                <w:lang w:val="en-GB"/>
              </w:rPr>
              <w:t xml:space="preserve"> </w:t>
            </w:r>
            <w:r w:rsidRPr="00F26A3E">
              <w:rPr>
                <w:rFonts w:ascii="Arial" w:hAnsi="Arial" w:cs="Arial"/>
                <w:sz w:val="18"/>
                <w:szCs w:val="18"/>
                <w:lang w:val="en-GB"/>
              </w:rPr>
              <w:t>N</w:t>
            </w:r>
            <w:r w:rsidR="005C2E5D">
              <w:rPr>
                <w:rFonts w:ascii="Arial" w:hAnsi="Arial" w:cs="Arial"/>
                <w:sz w:val="18"/>
                <w:szCs w:val="18"/>
                <w:lang w:val="en-GB"/>
              </w:rPr>
              <w:t>m</w:t>
            </w:r>
            <w:r w:rsidR="006B6676">
              <w:rPr>
                <w:rFonts w:ascii="Arial" w:hAnsi="Arial" w:cs="Arial"/>
                <w:sz w:val="18"/>
                <w:szCs w:val="18"/>
                <w:lang w:val="en-GB"/>
              </w:rPr>
              <w:t xml:space="preserve"> </w:t>
            </w:r>
            <w:r w:rsidR="00444373">
              <w:rPr>
                <w:rFonts w:ascii="Arial" w:hAnsi="Arial" w:cs="Arial"/>
                <w:sz w:val="18"/>
                <w:szCs w:val="18"/>
                <w:lang w:val="en-GB"/>
              </w:rPr>
              <w:t>at</w:t>
            </w:r>
            <w:r w:rsidR="005C2E5D">
              <w:rPr>
                <w:rFonts w:ascii="Arial" w:hAnsi="Arial" w:cs="Arial"/>
                <w:sz w:val="18"/>
                <w:szCs w:val="18"/>
                <w:lang w:val="en-GB"/>
              </w:rPr>
              <w:br/>
            </w:r>
            <w:r w:rsidRPr="00F26A3E">
              <w:rPr>
                <w:rFonts w:ascii="Arial" w:hAnsi="Arial" w:cs="Arial"/>
                <w:sz w:val="18"/>
                <w:szCs w:val="18"/>
                <w:lang w:val="en-GB"/>
              </w:rPr>
              <w:t>4</w:t>
            </w:r>
            <w:r w:rsidR="00444373">
              <w:rPr>
                <w:rFonts w:ascii="Arial" w:hAnsi="Arial" w:cs="Arial"/>
                <w:sz w:val="18"/>
                <w:szCs w:val="18"/>
                <w:lang w:val="en-GB"/>
              </w:rPr>
              <w:t>,</w:t>
            </w:r>
            <w:r w:rsidRPr="00F26A3E">
              <w:rPr>
                <w:rFonts w:ascii="Arial" w:hAnsi="Arial" w:cs="Arial"/>
                <w:sz w:val="18"/>
                <w:szCs w:val="18"/>
                <w:lang w:val="en-GB"/>
              </w:rPr>
              <w:t>000</w:t>
            </w:r>
            <w:r w:rsidR="006B6676">
              <w:rPr>
                <w:rFonts w:ascii="Arial" w:hAnsi="Arial" w:cs="Arial"/>
                <w:sz w:val="18"/>
                <w:szCs w:val="18"/>
                <w:lang w:val="en-GB"/>
              </w:rPr>
              <w:t xml:space="preserve"> </w:t>
            </w:r>
            <w:r w:rsidR="005C2E5D">
              <w:rPr>
                <w:rFonts w:ascii="Arial" w:hAnsi="Arial" w:cs="Arial"/>
                <w:sz w:val="18"/>
                <w:szCs w:val="18"/>
                <w:lang w:val="en-GB"/>
              </w:rPr>
              <w:t>rpm</w:t>
            </w:r>
          </w:p>
        </w:tc>
        <w:tc>
          <w:tcPr>
            <w:tcW w:w="1800" w:type="dxa"/>
            <w:hideMark/>
          </w:tcPr>
          <w:p w14:paraId="08A7B2F1" w14:textId="70E2E31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28</w:t>
            </w:r>
            <w:r w:rsidR="006B6676">
              <w:rPr>
                <w:rFonts w:ascii="Arial" w:hAnsi="Arial" w:cs="Arial"/>
                <w:sz w:val="18"/>
                <w:szCs w:val="18"/>
                <w:lang w:val="en-GB"/>
              </w:rPr>
              <w:t xml:space="preserve"> </w:t>
            </w:r>
            <w:r w:rsidR="00444373">
              <w:rPr>
                <w:rFonts w:ascii="Arial" w:hAnsi="Arial" w:cs="Arial"/>
                <w:sz w:val="18"/>
                <w:szCs w:val="18"/>
                <w:lang w:val="en-GB"/>
              </w:rPr>
              <w:t>N</w:t>
            </w:r>
            <w:r w:rsidR="005C2E5D">
              <w:rPr>
                <w:rFonts w:ascii="Arial" w:hAnsi="Arial" w:cs="Arial"/>
                <w:sz w:val="18"/>
                <w:szCs w:val="18"/>
                <w:lang w:val="en-GB"/>
              </w:rPr>
              <w:t>m</w:t>
            </w:r>
            <w:r w:rsidR="006B6676">
              <w:rPr>
                <w:rFonts w:ascii="Arial" w:hAnsi="Arial" w:cs="Arial"/>
                <w:sz w:val="18"/>
                <w:szCs w:val="18"/>
                <w:lang w:val="en-GB"/>
              </w:rPr>
              <w:t xml:space="preserve"> </w:t>
            </w:r>
            <w:r w:rsidR="00444373">
              <w:rPr>
                <w:rFonts w:ascii="Arial" w:hAnsi="Arial" w:cs="Arial"/>
                <w:sz w:val="18"/>
                <w:szCs w:val="18"/>
                <w:lang w:val="en-GB"/>
              </w:rPr>
              <w:t>at</w:t>
            </w:r>
            <w:r w:rsidR="005C2E5D">
              <w:rPr>
                <w:rFonts w:ascii="Arial" w:hAnsi="Arial" w:cs="Arial"/>
                <w:sz w:val="18"/>
                <w:szCs w:val="18"/>
                <w:lang w:val="en-GB"/>
              </w:rPr>
              <w:br/>
            </w:r>
            <w:r w:rsidRPr="00F26A3E">
              <w:rPr>
                <w:rFonts w:ascii="Arial" w:hAnsi="Arial" w:cs="Arial"/>
                <w:sz w:val="18"/>
                <w:szCs w:val="18"/>
                <w:lang w:val="en-GB"/>
              </w:rPr>
              <w:t>4</w:t>
            </w:r>
            <w:r w:rsidR="00444373">
              <w:rPr>
                <w:rFonts w:ascii="Arial" w:hAnsi="Arial" w:cs="Arial"/>
                <w:sz w:val="18"/>
                <w:szCs w:val="18"/>
                <w:lang w:val="en-GB"/>
              </w:rPr>
              <w:t>,</w:t>
            </w:r>
            <w:r w:rsidRPr="00F26A3E">
              <w:rPr>
                <w:rFonts w:ascii="Arial" w:hAnsi="Arial" w:cs="Arial"/>
                <w:sz w:val="18"/>
                <w:szCs w:val="18"/>
                <w:lang w:val="en-GB"/>
              </w:rPr>
              <w:t>000</w:t>
            </w:r>
            <w:r w:rsidR="006B6676">
              <w:rPr>
                <w:rFonts w:ascii="Arial" w:hAnsi="Arial" w:cs="Arial"/>
                <w:sz w:val="18"/>
                <w:szCs w:val="18"/>
                <w:lang w:val="en-GB"/>
              </w:rPr>
              <w:t xml:space="preserve"> </w:t>
            </w:r>
            <w:r w:rsidR="005C2E5D">
              <w:rPr>
                <w:rFonts w:ascii="Arial" w:hAnsi="Arial" w:cs="Arial"/>
                <w:sz w:val="18"/>
                <w:szCs w:val="18"/>
                <w:lang w:val="en-GB"/>
              </w:rPr>
              <w:t>rpm</w:t>
            </w:r>
          </w:p>
        </w:tc>
        <w:tc>
          <w:tcPr>
            <w:tcW w:w="2331" w:type="dxa"/>
            <w:hideMark/>
          </w:tcPr>
          <w:p w14:paraId="2488721D" w14:textId="5B2B28B9"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32</w:t>
            </w:r>
            <w:r w:rsidR="006B6676">
              <w:rPr>
                <w:rFonts w:ascii="Arial" w:hAnsi="Arial" w:cs="Arial"/>
                <w:sz w:val="18"/>
                <w:szCs w:val="18"/>
                <w:lang w:val="en-GB"/>
              </w:rPr>
              <w:t xml:space="preserve"> </w:t>
            </w:r>
            <w:r w:rsidRPr="00F26A3E">
              <w:rPr>
                <w:rFonts w:ascii="Arial" w:hAnsi="Arial" w:cs="Arial"/>
                <w:sz w:val="18"/>
                <w:szCs w:val="18"/>
                <w:lang w:val="en-GB"/>
              </w:rPr>
              <w:t>N</w:t>
            </w:r>
            <w:r w:rsidR="005C2E5D">
              <w:rPr>
                <w:rFonts w:ascii="Arial" w:hAnsi="Arial" w:cs="Arial"/>
                <w:sz w:val="18"/>
                <w:szCs w:val="18"/>
                <w:lang w:val="en-GB"/>
              </w:rPr>
              <w:t>m</w:t>
            </w:r>
            <w:r w:rsidR="006B6676">
              <w:rPr>
                <w:rFonts w:ascii="Arial" w:hAnsi="Arial" w:cs="Arial"/>
                <w:sz w:val="18"/>
                <w:szCs w:val="18"/>
                <w:lang w:val="en-GB"/>
              </w:rPr>
              <w:t xml:space="preserve"> </w:t>
            </w:r>
            <w:r w:rsidR="00444373">
              <w:rPr>
                <w:rFonts w:ascii="Arial" w:hAnsi="Arial" w:cs="Arial"/>
                <w:sz w:val="18"/>
                <w:szCs w:val="18"/>
                <w:lang w:val="en-GB"/>
              </w:rPr>
              <w:t>at</w:t>
            </w:r>
            <w:r w:rsidR="006B6676">
              <w:rPr>
                <w:rFonts w:ascii="Arial" w:hAnsi="Arial" w:cs="Arial"/>
                <w:sz w:val="18"/>
                <w:szCs w:val="18"/>
                <w:lang w:val="en-GB"/>
              </w:rPr>
              <w:t xml:space="preserve"> </w:t>
            </w:r>
            <w:r w:rsidR="005C2E5D">
              <w:rPr>
                <w:rFonts w:ascii="Arial" w:hAnsi="Arial" w:cs="Arial"/>
                <w:sz w:val="18"/>
                <w:szCs w:val="18"/>
                <w:lang w:val="en-GB"/>
              </w:rPr>
              <w:br/>
            </w:r>
            <w:r w:rsidRPr="00F26A3E">
              <w:rPr>
                <w:rFonts w:ascii="Arial" w:hAnsi="Arial" w:cs="Arial"/>
                <w:sz w:val="18"/>
                <w:szCs w:val="18"/>
                <w:lang w:val="en-GB"/>
              </w:rPr>
              <w:t>4</w:t>
            </w:r>
            <w:r w:rsidR="00444373">
              <w:rPr>
                <w:rFonts w:ascii="Arial" w:hAnsi="Arial" w:cs="Arial"/>
                <w:sz w:val="18"/>
                <w:szCs w:val="18"/>
                <w:lang w:val="en-GB"/>
              </w:rPr>
              <w:t>,</w:t>
            </w:r>
            <w:r w:rsidRPr="00F26A3E">
              <w:rPr>
                <w:rFonts w:ascii="Arial" w:hAnsi="Arial" w:cs="Arial"/>
                <w:sz w:val="18"/>
                <w:szCs w:val="18"/>
                <w:lang w:val="en-GB"/>
              </w:rPr>
              <w:t>250</w:t>
            </w:r>
            <w:r w:rsidR="00444373">
              <w:rPr>
                <w:rFonts w:ascii="Arial" w:hAnsi="Arial" w:cs="Arial"/>
                <w:sz w:val="18"/>
                <w:szCs w:val="18"/>
                <w:lang w:val="en-GB"/>
              </w:rPr>
              <w:t>–</w:t>
            </w:r>
            <w:r w:rsidRPr="00F26A3E">
              <w:rPr>
                <w:rFonts w:ascii="Arial" w:hAnsi="Arial" w:cs="Arial"/>
                <w:sz w:val="18"/>
                <w:szCs w:val="18"/>
                <w:lang w:val="en-GB"/>
              </w:rPr>
              <w:t>4</w:t>
            </w:r>
            <w:r w:rsidR="00444373">
              <w:rPr>
                <w:rFonts w:ascii="Arial" w:hAnsi="Arial" w:cs="Arial"/>
                <w:sz w:val="18"/>
                <w:szCs w:val="18"/>
                <w:lang w:val="en-GB"/>
              </w:rPr>
              <w:t>,</w:t>
            </w:r>
            <w:r w:rsidRPr="00F26A3E">
              <w:rPr>
                <w:rFonts w:ascii="Arial" w:hAnsi="Arial" w:cs="Arial"/>
                <w:sz w:val="18"/>
                <w:szCs w:val="18"/>
                <w:lang w:val="en-GB"/>
              </w:rPr>
              <w:t>500</w:t>
            </w:r>
            <w:r w:rsidR="006B6676">
              <w:rPr>
                <w:rFonts w:ascii="Arial" w:hAnsi="Arial" w:cs="Arial"/>
                <w:sz w:val="18"/>
                <w:szCs w:val="18"/>
                <w:lang w:val="en-GB"/>
              </w:rPr>
              <w:t xml:space="preserve"> </w:t>
            </w:r>
            <w:r w:rsidR="005C2E5D">
              <w:rPr>
                <w:rFonts w:ascii="Arial" w:hAnsi="Arial" w:cs="Arial"/>
                <w:sz w:val="18"/>
                <w:szCs w:val="18"/>
                <w:lang w:val="en-GB"/>
              </w:rPr>
              <w:t>rpm</w:t>
            </w:r>
          </w:p>
        </w:tc>
      </w:tr>
      <w:tr w:rsidR="00F268A5" w:rsidRPr="00F26A3E" w14:paraId="389C5C56" w14:textId="77777777" w:rsidTr="00995787">
        <w:trPr>
          <w:trHeight w:val="70"/>
          <w:tblHeader/>
          <w:jc w:val="center"/>
        </w:trPr>
        <w:tc>
          <w:tcPr>
            <w:tcW w:w="1615" w:type="dxa"/>
            <w:noWrap/>
            <w:hideMark/>
          </w:tcPr>
          <w:p w14:paraId="724F1761" w14:textId="77777777"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Gearbox</w:t>
            </w:r>
          </w:p>
        </w:tc>
        <w:tc>
          <w:tcPr>
            <w:tcW w:w="1800" w:type="dxa"/>
            <w:hideMark/>
          </w:tcPr>
          <w:p w14:paraId="5F40D29B" w14:textId="7F56709E" w:rsidR="00F268A5" w:rsidRPr="00F26A3E" w:rsidRDefault="007B59CD" w:rsidP="00F268A5">
            <w:pPr>
              <w:jc w:val="center"/>
              <w:rPr>
                <w:rFonts w:ascii="Arial" w:hAnsi="Arial" w:cs="Arial"/>
                <w:sz w:val="18"/>
                <w:szCs w:val="18"/>
                <w:lang w:val="en-GB"/>
              </w:rPr>
            </w:pPr>
            <w:r>
              <w:rPr>
                <w:rFonts w:ascii="Arial" w:hAnsi="Arial" w:cs="Arial"/>
                <w:sz w:val="18"/>
                <w:szCs w:val="18"/>
                <w:lang w:val="en-GB"/>
              </w:rPr>
              <w:t>Five</w:t>
            </w:r>
            <w:r w:rsidR="00444373">
              <w:rPr>
                <w:rFonts w:ascii="Arial" w:hAnsi="Arial" w:cs="Arial"/>
                <w:sz w:val="18"/>
                <w:szCs w:val="18"/>
                <w:lang w:val="en-GB"/>
              </w:rPr>
              <w:t>-</w:t>
            </w:r>
            <w:r w:rsidR="00F268A5" w:rsidRPr="00F26A3E">
              <w:rPr>
                <w:rFonts w:ascii="Arial" w:hAnsi="Arial" w:cs="Arial"/>
                <w:sz w:val="18"/>
                <w:szCs w:val="18"/>
                <w:lang w:val="en-GB"/>
              </w:rPr>
              <w:t>Speed</w:t>
            </w:r>
            <w:r w:rsidR="006B6676">
              <w:rPr>
                <w:rFonts w:ascii="Arial" w:hAnsi="Arial" w:cs="Arial"/>
                <w:sz w:val="18"/>
                <w:szCs w:val="18"/>
                <w:lang w:val="en-GB"/>
              </w:rPr>
              <w:t xml:space="preserve"> </w:t>
            </w:r>
            <w:r w:rsidR="005C2E5D">
              <w:rPr>
                <w:rFonts w:ascii="Arial" w:hAnsi="Arial" w:cs="Arial"/>
                <w:sz w:val="18"/>
                <w:szCs w:val="18"/>
                <w:lang w:val="en-GB"/>
              </w:rPr>
              <w:br/>
            </w:r>
            <w:r w:rsidR="00F268A5" w:rsidRPr="00F26A3E">
              <w:rPr>
                <w:rFonts w:ascii="Arial" w:hAnsi="Arial" w:cs="Arial"/>
                <w:sz w:val="18"/>
                <w:szCs w:val="18"/>
                <w:lang w:val="en-GB"/>
              </w:rPr>
              <w:t>Constant</w:t>
            </w:r>
            <w:r w:rsidR="006B6676">
              <w:rPr>
                <w:rFonts w:ascii="Arial" w:hAnsi="Arial" w:cs="Arial"/>
                <w:sz w:val="18"/>
                <w:szCs w:val="18"/>
                <w:lang w:val="en-GB"/>
              </w:rPr>
              <w:t xml:space="preserve"> </w:t>
            </w:r>
            <w:r w:rsidR="00F268A5" w:rsidRPr="00F26A3E">
              <w:rPr>
                <w:rFonts w:ascii="Arial" w:hAnsi="Arial" w:cs="Arial"/>
                <w:sz w:val="18"/>
                <w:szCs w:val="18"/>
                <w:lang w:val="en-GB"/>
              </w:rPr>
              <w:t>Mesh</w:t>
            </w:r>
          </w:p>
        </w:tc>
        <w:tc>
          <w:tcPr>
            <w:tcW w:w="1800" w:type="dxa"/>
            <w:hideMark/>
          </w:tcPr>
          <w:p w14:paraId="54DC7393" w14:textId="11F9720E" w:rsidR="00F268A5" w:rsidRPr="00F26A3E" w:rsidRDefault="007B59CD" w:rsidP="00F268A5">
            <w:pPr>
              <w:jc w:val="center"/>
              <w:rPr>
                <w:rFonts w:ascii="Arial" w:hAnsi="Arial" w:cs="Arial"/>
                <w:sz w:val="18"/>
                <w:szCs w:val="18"/>
                <w:lang w:val="en-GB"/>
              </w:rPr>
            </w:pPr>
            <w:r>
              <w:rPr>
                <w:rFonts w:ascii="Arial" w:hAnsi="Arial" w:cs="Arial"/>
                <w:sz w:val="18"/>
                <w:szCs w:val="18"/>
                <w:lang w:val="en-GB"/>
              </w:rPr>
              <w:t>Five</w:t>
            </w:r>
            <w:r w:rsidR="00444373">
              <w:rPr>
                <w:rFonts w:ascii="Arial" w:hAnsi="Arial" w:cs="Arial"/>
                <w:sz w:val="18"/>
                <w:szCs w:val="18"/>
                <w:lang w:val="en-GB"/>
              </w:rPr>
              <w:t>-</w:t>
            </w:r>
            <w:r w:rsidR="00F268A5" w:rsidRPr="00F26A3E">
              <w:rPr>
                <w:rFonts w:ascii="Arial" w:hAnsi="Arial" w:cs="Arial"/>
                <w:sz w:val="18"/>
                <w:szCs w:val="18"/>
                <w:lang w:val="en-GB"/>
              </w:rPr>
              <w:t>Speed</w:t>
            </w:r>
            <w:r w:rsidR="006B6676">
              <w:rPr>
                <w:rFonts w:ascii="Arial" w:hAnsi="Arial" w:cs="Arial"/>
                <w:sz w:val="18"/>
                <w:szCs w:val="18"/>
                <w:lang w:val="en-GB"/>
              </w:rPr>
              <w:t xml:space="preserve"> </w:t>
            </w:r>
            <w:r w:rsidR="005C2E5D">
              <w:rPr>
                <w:rFonts w:ascii="Arial" w:hAnsi="Arial" w:cs="Arial"/>
                <w:sz w:val="18"/>
                <w:szCs w:val="18"/>
                <w:lang w:val="en-GB"/>
              </w:rPr>
              <w:br/>
            </w:r>
            <w:r w:rsidR="00F268A5" w:rsidRPr="00F26A3E">
              <w:rPr>
                <w:rFonts w:ascii="Arial" w:hAnsi="Arial" w:cs="Arial"/>
                <w:sz w:val="18"/>
                <w:szCs w:val="18"/>
                <w:lang w:val="en-GB"/>
              </w:rPr>
              <w:t>Constant</w:t>
            </w:r>
            <w:r w:rsidR="006B6676">
              <w:rPr>
                <w:rFonts w:ascii="Arial" w:hAnsi="Arial" w:cs="Arial"/>
                <w:sz w:val="18"/>
                <w:szCs w:val="18"/>
                <w:lang w:val="en-GB"/>
              </w:rPr>
              <w:t xml:space="preserve"> </w:t>
            </w:r>
            <w:r w:rsidR="00F268A5" w:rsidRPr="00F26A3E">
              <w:rPr>
                <w:rFonts w:ascii="Arial" w:hAnsi="Arial" w:cs="Arial"/>
                <w:sz w:val="18"/>
                <w:szCs w:val="18"/>
                <w:lang w:val="en-GB"/>
              </w:rPr>
              <w:t>Mesh</w:t>
            </w:r>
          </w:p>
        </w:tc>
        <w:tc>
          <w:tcPr>
            <w:tcW w:w="1800" w:type="dxa"/>
            <w:hideMark/>
          </w:tcPr>
          <w:p w14:paraId="284AC47E" w14:textId="6FB539F6" w:rsidR="00F268A5" w:rsidRPr="00F26A3E" w:rsidRDefault="007B59CD" w:rsidP="00F268A5">
            <w:pPr>
              <w:jc w:val="center"/>
              <w:rPr>
                <w:rFonts w:ascii="Arial" w:hAnsi="Arial" w:cs="Arial"/>
                <w:sz w:val="18"/>
                <w:szCs w:val="18"/>
                <w:lang w:val="en-GB"/>
              </w:rPr>
            </w:pPr>
            <w:r>
              <w:rPr>
                <w:rFonts w:ascii="Arial" w:hAnsi="Arial" w:cs="Arial"/>
                <w:sz w:val="18"/>
                <w:szCs w:val="18"/>
                <w:lang w:val="en-GB"/>
              </w:rPr>
              <w:t>Five</w:t>
            </w:r>
            <w:r w:rsidR="00444373">
              <w:rPr>
                <w:rFonts w:ascii="Arial" w:hAnsi="Arial" w:cs="Arial"/>
                <w:sz w:val="18"/>
                <w:szCs w:val="18"/>
                <w:lang w:val="en-GB"/>
              </w:rPr>
              <w:t>-</w:t>
            </w:r>
            <w:r w:rsidR="00F268A5" w:rsidRPr="00F26A3E">
              <w:rPr>
                <w:rFonts w:ascii="Arial" w:hAnsi="Arial" w:cs="Arial"/>
                <w:sz w:val="18"/>
                <w:szCs w:val="18"/>
                <w:lang w:val="en-GB"/>
              </w:rPr>
              <w:t>Speed</w:t>
            </w:r>
            <w:r w:rsidR="006B6676">
              <w:rPr>
                <w:rFonts w:ascii="Arial" w:hAnsi="Arial" w:cs="Arial"/>
                <w:sz w:val="18"/>
                <w:szCs w:val="18"/>
                <w:lang w:val="en-GB"/>
              </w:rPr>
              <w:t xml:space="preserve"> </w:t>
            </w:r>
            <w:r w:rsidR="005C2E5D">
              <w:rPr>
                <w:rFonts w:ascii="Arial" w:hAnsi="Arial" w:cs="Arial"/>
                <w:sz w:val="18"/>
                <w:szCs w:val="18"/>
                <w:lang w:val="en-GB"/>
              </w:rPr>
              <w:br/>
            </w:r>
            <w:r w:rsidR="00F268A5" w:rsidRPr="00F26A3E">
              <w:rPr>
                <w:rFonts w:ascii="Arial" w:hAnsi="Arial" w:cs="Arial"/>
                <w:sz w:val="18"/>
                <w:szCs w:val="18"/>
                <w:lang w:val="en-GB"/>
              </w:rPr>
              <w:t>Constant</w:t>
            </w:r>
            <w:r w:rsidR="006B6676">
              <w:rPr>
                <w:rFonts w:ascii="Arial" w:hAnsi="Arial" w:cs="Arial"/>
                <w:sz w:val="18"/>
                <w:szCs w:val="18"/>
                <w:lang w:val="en-GB"/>
              </w:rPr>
              <w:t xml:space="preserve"> </w:t>
            </w:r>
            <w:r w:rsidR="00F268A5" w:rsidRPr="00F26A3E">
              <w:rPr>
                <w:rFonts w:ascii="Arial" w:hAnsi="Arial" w:cs="Arial"/>
                <w:sz w:val="18"/>
                <w:szCs w:val="18"/>
                <w:lang w:val="en-GB"/>
              </w:rPr>
              <w:t>Mesh</w:t>
            </w:r>
          </w:p>
        </w:tc>
        <w:tc>
          <w:tcPr>
            <w:tcW w:w="2331" w:type="dxa"/>
            <w:hideMark/>
          </w:tcPr>
          <w:p w14:paraId="5760D370" w14:textId="51078B96" w:rsidR="00F268A5" w:rsidRPr="00F26A3E" w:rsidRDefault="007B59CD" w:rsidP="00F268A5">
            <w:pPr>
              <w:jc w:val="center"/>
              <w:rPr>
                <w:rFonts w:ascii="Arial" w:hAnsi="Arial" w:cs="Arial"/>
                <w:sz w:val="18"/>
                <w:szCs w:val="18"/>
                <w:lang w:val="en-GB"/>
              </w:rPr>
            </w:pPr>
            <w:r>
              <w:rPr>
                <w:rFonts w:ascii="Arial" w:hAnsi="Arial" w:cs="Arial"/>
                <w:sz w:val="18"/>
                <w:szCs w:val="18"/>
                <w:lang w:val="en-GB"/>
              </w:rPr>
              <w:t>Five</w:t>
            </w:r>
            <w:r w:rsidR="00444373">
              <w:rPr>
                <w:rFonts w:ascii="Arial" w:hAnsi="Arial" w:cs="Arial"/>
                <w:sz w:val="18"/>
                <w:szCs w:val="18"/>
                <w:lang w:val="en-GB"/>
              </w:rPr>
              <w:t>-</w:t>
            </w:r>
            <w:r w:rsidR="00F268A5" w:rsidRPr="00F26A3E">
              <w:rPr>
                <w:rFonts w:ascii="Arial" w:hAnsi="Arial" w:cs="Arial"/>
                <w:sz w:val="18"/>
                <w:szCs w:val="18"/>
                <w:lang w:val="en-GB"/>
              </w:rPr>
              <w:t>Speed</w:t>
            </w:r>
            <w:r w:rsidR="006B6676">
              <w:rPr>
                <w:rFonts w:ascii="Arial" w:hAnsi="Arial" w:cs="Arial"/>
                <w:sz w:val="18"/>
                <w:szCs w:val="18"/>
                <w:lang w:val="en-GB"/>
              </w:rPr>
              <w:t xml:space="preserve"> </w:t>
            </w:r>
            <w:r w:rsidR="005C2E5D">
              <w:rPr>
                <w:rFonts w:ascii="Arial" w:hAnsi="Arial" w:cs="Arial"/>
                <w:sz w:val="18"/>
                <w:szCs w:val="18"/>
                <w:lang w:val="en-GB"/>
              </w:rPr>
              <w:br/>
            </w:r>
            <w:r w:rsidR="00F268A5" w:rsidRPr="00F26A3E">
              <w:rPr>
                <w:rFonts w:ascii="Arial" w:hAnsi="Arial" w:cs="Arial"/>
                <w:sz w:val="18"/>
                <w:szCs w:val="18"/>
                <w:lang w:val="en-GB"/>
              </w:rPr>
              <w:t>Constant</w:t>
            </w:r>
            <w:r w:rsidR="006B6676">
              <w:rPr>
                <w:rFonts w:ascii="Arial" w:hAnsi="Arial" w:cs="Arial"/>
                <w:sz w:val="18"/>
                <w:szCs w:val="18"/>
                <w:lang w:val="en-GB"/>
              </w:rPr>
              <w:t xml:space="preserve"> </w:t>
            </w:r>
            <w:r w:rsidR="00F268A5" w:rsidRPr="00F26A3E">
              <w:rPr>
                <w:rFonts w:ascii="Arial" w:hAnsi="Arial" w:cs="Arial"/>
                <w:sz w:val="18"/>
                <w:szCs w:val="18"/>
                <w:lang w:val="en-GB"/>
              </w:rPr>
              <w:t>Mesh</w:t>
            </w:r>
          </w:p>
        </w:tc>
      </w:tr>
      <w:tr w:rsidR="00F268A5" w:rsidRPr="00F26A3E" w14:paraId="234F4D33" w14:textId="77777777" w:rsidTr="00995787">
        <w:trPr>
          <w:trHeight w:val="70"/>
          <w:tblHeader/>
          <w:jc w:val="center"/>
        </w:trPr>
        <w:tc>
          <w:tcPr>
            <w:tcW w:w="1615" w:type="dxa"/>
            <w:noWrap/>
            <w:hideMark/>
          </w:tcPr>
          <w:p w14:paraId="618F1141" w14:textId="1D6D78F9"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Front</w:t>
            </w:r>
            <w:r w:rsidR="006B6676">
              <w:rPr>
                <w:rFonts w:ascii="Arial" w:hAnsi="Arial" w:cs="Arial"/>
                <w:b/>
                <w:bCs/>
                <w:sz w:val="18"/>
                <w:szCs w:val="18"/>
                <w:lang w:val="en-GB"/>
              </w:rPr>
              <w:t xml:space="preserve"> </w:t>
            </w:r>
            <w:r w:rsidRPr="00F26A3E">
              <w:rPr>
                <w:rFonts w:ascii="Arial" w:hAnsi="Arial" w:cs="Arial"/>
                <w:b/>
                <w:bCs/>
                <w:sz w:val="18"/>
                <w:szCs w:val="18"/>
                <w:lang w:val="en-GB"/>
              </w:rPr>
              <w:t>T</w:t>
            </w:r>
            <w:r w:rsidR="00444373">
              <w:rPr>
                <w:rFonts w:ascii="Arial" w:hAnsi="Arial" w:cs="Arial"/>
                <w:b/>
                <w:bCs/>
                <w:sz w:val="18"/>
                <w:szCs w:val="18"/>
                <w:lang w:val="en-GB"/>
              </w:rPr>
              <w:t>i</w:t>
            </w:r>
            <w:r w:rsidRPr="00F26A3E">
              <w:rPr>
                <w:rFonts w:ascii="Arial" w:hAnsi="Arial" w:cs="Arial"/>
                <w:b/>
                <w:bCs/>
                <w:sz w:val="18"/>
                <w:szCs w:val="18"/>
                <w:lang w:val="en-GB"/>
              </w:rPr>
              <w:t>res</w:t>
            </w:r>
          </w:p>
        </w:tc>
        <w:tc>
          <w:tcPr>
            <w:tcW w:w="1800" w:type="dxa"/>
            <w:hideMark/>
          </w:tcPr>
          <w:p w14:paraId="4895C56D" w14:textId="19ECD273"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3.25</w:t>
            </w:r>
            <w:r w:rsidR="006B6676">
              <w:rPr>
                <w:rFonts w:ascii="Arial" w:hAnsi="Arial" w:cs="Arial"/>
                <w:sz w:val="18"/>
                <w:szCs w:val="18"/>
                <w:lang w:val="en-GB"/>
              </w:rPr>
              <w:t xml:space="preserve"> </w:t>
            </w:r>
            <w:r w:rsidRPr="00F26A3E">
              <w:rPr>
                <w:rFonts w:ascii="Arial" w:hAnsi="Arial" w:cs="Arial"/>
                <w:sz w:val="18"/>
                <w:szCs w:val="18"/>
                <w:lang w:val="en-GB"/>
              </w:rPr>
              <w:t>x</w:t>
            </w:r>
            <w:r w:rsidR="006B6676">
              <w:rPr>
                <w:rFonts w:ascii="Arial" w:hAnsi="Arial" w:cs="Arial"/>
                <w:sz w:val="18"/>
                <w:szCs w:val="18"/>
                <w:lang w:val="en-GB"/>
              </w:rPr>
              <w:t xml:space="preserve"> </w:t>
            </w:r>
            <w:r w:rsidRPr="00F26A3E">
              <w:rPr>
                <w:rFonts w:ascii="Arial" w:hAnsi="Arial" w:cs="Arial"/>
                <w:sz w:val="18"/>
                <w:szCs w:val="18"/>
                <w:lang w:val="en-GB"/>
              </w:rPr>
              <w:t>19</w:t>
            </w:r>
            <w:r w:rsidR="006B6676">
              <w:rPr>
                <w:rFonts w:ascii="Arial" w:hAnsi="Arial" w:cs="Arial"/>
                <w:sz w:val="18"/>
                <w:szCs w:val="18"/>
                <w:lang w:val="en-GB"/>
              </w:rPr>
              <w:t xml:space="preserve"> </w:t>
            </w:r>
            <w:r w:rsidRPr="00F26A3E">
              <w:rPr>
                <w:rFonts w:ascii="Arial" w:hAnsi="Arial" w:cs="Arial"/>
                <w:sz w:val="18"/>
                <w:szCs w:val="18"/>
                <w:lang w:val="en-GB"/>
              </w:rPr>
              <w:t>4P</w:t>
            </w:r>
            <w:r w:rsidR="009B4AB1">
              <w:rPr>
                <w:rFonts w:ascii="Arial" w:hAnsi="Arial" w:cs="Arial"/>
                <w:sz w:val="18"/>
                <w:szCs w:val="18"/>
                <w:lang w:val="en-GB"/>
              </w:rPr>
              <w:t>ly</w:t>
            </w:r>
            <w:r w:rsidR="006B6676">
              <w:rPr>
                <w:rFonts w:ascii="Arial" w:hAnsi="Arial" w:cs="Arial"/>
                <w:sz w:val="18"/>
                <w:szCs w:val="18"/>
                <w:lang w:val="en-GB"/>
              </w:rPr>
              <w:t xml:space="preserve"> </w:t>
            </w:r>
            <w:r w:rsidRPr="00F26A3E">
              <w:rPr>
                <w:rFonts w:ascii="Arial" w:hAnsi="Arial" w:cs="Arial"/>
                <w:sz w:val="18"/>
                <w:szCs w:val="18"/>
                <w:lang w:val="en-GB"/>
              </w:rPr>
              <w:t>R</w:t>
            </w:r>
            <w:r w:rsidR="009B4AB1">
              <w:rPr>
                <w:rFonts w:ascii="Arial" w:hAnsi="Arial" w:cs="Arial"/>
                <w:sz w:val="18"/>
                <w:szCs w:val="18"/>
                <w:lang w:val="en-GB"/>
              </w:rPr>
              <w:t>ating</w:t>
            </w:r>
          </w:p>
        </w:tc>
        <w:tc>
          <w:tcPr>
            <w:tcW w:w="1800" w:type="dxa"/>
            <w:hideMark/>
          </w:tcPr>
          <w:p w14:paraId="34C3C622"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90/90-19</w:t>
            </w:r>
          </w:p>
        </w:tc>
        <w:tc>
          <w:tcPr>
            <w:tcW w:w="1800" w:type="dxa"/>
            <w:hideMark/>
          </w:tcPr>
          <w:p w14:paraId="5594D088"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90/90-19</w:t>
            </w:r>
          </w:p>
        </w:tc>
        <w:tc>
          <w:tcPr>
            <w:tcW w:w="2331" w:type="dxa"/>
            <w:hideMark/>
          </w:tcPr>
          <w:p w14:paraId="4910C480"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90/90-21</w:t>
            </w:r>
          </w:p>
        </w:tc>
      </w:tr>
      <w:tr w:rsidR="00F268A5" w:rsidRPr="00F26A3E" w14:paraId="5A067F7E" w14:textId="77777777" w:rsidTr="00995787">
        <w:trPr>
          <w:trHeight w:val="70"/>
          <w:tblHeader/>
          <w:jc w:val="center"/>
        </w:trPr>
        <w:tc>
          <w:tcPr>
            <w:tcW w:w="1615" w:type="dxa"/>
            <w:noWrap/>
            <w:hideMark/>
          </w:tcPr>
          <w:p w14:paraId="34516A2E" w14:textId="4AA413A9"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Rear</w:t>
            </w:r>
            <w:r w:rsidR="006B6676">
              <w:rPr>
                <w:rFonts w:ascii="Arial" w:hAnsi="Arial" w:cs="Arial"/>
                <w:b/>
                <w:bCs/>
                <w:sz w:val="18"/>
                <w:szCs w:val="18"/>
                <w:lang w:val="en-GB"/>
              </w:rPr>
              <w:t xml:space="preserve"> </w:t>
            </w:r>
            <w:r w:rsidRPr="00F26A3E">
              <w:rPr>
                <w:rFonts w:ascii="Arial" w:hAnsi="Arial" w:cs="Arial"/>
                <w:b/>
                <w:bCs/>
                <w:sz w:val="18"/>
                <w:szCs w:val="18"/>
                <w:lang w:val="en-GB"/>
              </w:rPr>
              <w:t>T</w:t>
            </w:r>
            <w:r w:rsidR="00444373">
              <w:rPr>
                <w:rFonts w:ascii="Arial" w:hAnsi="Arial" w:cs="Arial"/>
                <w:b/>
                <w:bCs/>
                <w:sz w:val="18"/>
                <w:szCs w:val="18"/>
                <w:lang w:val="en-GB"/>
              </w:rPr>
              <w:t>i</w:t>
            </w:r>
            <w:r w:rsidRPr="00F26A3E">
              <w:rPr>
                <w:rFonts w:ascii="Arial" w:hAnsi="Arial" w:cs="Arial"/>
                <w:b/>
                <w:bCs/>
                <w:sz w:val="18"/>
                <w:szCs w:val="18"/>
                <w:lang w:val="en-GB"/>
              </w:rPr>
              <w:t>res</w:t>
            </w:r>
          </w:p>
        </w:tc>
        <w:tc>
          <w:tcPr>
            <w:tcW w:w="1800" w:type="dxa"/>
            <w:hideMark/>
          </w:tcPr>
          <w:p w14:paraId="32633995" w14:textId="19E89E10"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3.25</w:t>
            </w:r>
            <w:r w:rsidR="006B6676">
              <w:rPr>
                <w:rFonts w:ascii="Arial" w:hAnsi="Arial" w:cs="Arial"/>
                <w:sz w:val="18"/>
                <w:szCs w:val="18"/>
                <w:lang w:val="en-GB"/>
              </w:rPr>
              <w:t xml:space="preserve"> </w:t>
            </w:r>
            <w:r w:rsidRPr="00F26A3E">
              <w:rPr>
                <w:rFonts w:ascii="Arial" w:hAnsi="Arial" w:cs="Arial"/>
                <w:sz w:val="18"/>
                <w:szCs w:val="18"/>
                <w:lang w:val="en-GB"/>
              </w:rPr>
              <w:t>x</w:t>
            </w:r>
            <w:r w:rsidR="006B6676">
              <w:rPr>
                <w:rFonts w:ascii="Arial" w:hAnsi="Arial" w:cs="Arial"/>
                <w:sz w:val="18"/>
                <w:szCs w:val="18"/>
                <w:lang w:val="en-GB"/>
              </w:rPr>
              <w:t xml:space="preserve"> </w:t>
            </w:r>
            <w:r w:rsidRPr="00F26A3E">
              <w:rPr>
                <w:rFonts w:ascii="Arial" w:hAnsi="Arial" w:cs="Arial"/>
                <w:sz w:val="18"/>
                <w:szCs w:val="18"/>
                <w:lang w:val="en-GB"/>
              </w:rPr>
              <w:t>19</w:t>
            </w:r>
            <w:r w:rsidR="006B6676">
              <w:rPr>
                <w:rFonts w:ascii="Arial" w:hAnsi="Arial" w:cs="Arial"/>
                <w:sz w:val="18"/>
                <w:szCs w:val="18"/>
                <w:lang w:val="en-GB"/>
              </w:rPr>
              <w:t xml:space="preserve"> </w:t>
            </w:r>
            <w:r w:rsidRPr="00F26A3E">
              <w:rPr>
                <w:rFonts w:ascii="Arial" w:hAnsi="Arial" w:cs="Arial"/>
                <w:sz w:val="18"/>
                <w:szCs w:val="18"/>
                <w:lang w:val="en-GB"/>
              </w:rPr>
              <w:t>4/6P</w:t>
            </w:r>
            <w:r w:rsidR="009B4AB1">
              <w:rPr>
                <w:rFonts w:ascii="Arial" w:hAnsi="Arial" w:cs="Arial"/>
                <w:sz w:val="18"/>
                <w:szCs w:val="18"/>
                <w:lang w:val="en-GB"/>
              </w:rPr>
              <w:t>ly</w:t>
            </w:r>
            <w:r w:rsidR="006B6676">
              <w:rPr>
                <w:rFonts w:ascii="Arial" w:hAnsi="Arial" w:cs="Arial"/>
                <w:sz w:val="18"/>
                <w:szCs w:val="18"/>
                <w:lang w:val="en-GB"/>
              </w:rPr>
              <w:t xml:space="preserve"> </w:t>
            </w:r>
            <w:r w:rsidRPr="00F26A3E">
              <w:rPr>
                <w:rFonts w:ascii="Arial" w:hAnsi="Arial" w:cs="Arial"/>
                <w:sz w:val="18"/>
                <w:szCs w:val="18"/>
                <w:lang w:val="en-GB"/>
              </w:rPr>
              <w:t>R</w:t>
            </w:r>
            <w:r w:rsidR="009B4AB1">
              <w:rPr>
                <w:rFonts w:ascii="Arial" w:hAnsi="Arial" w:cs="Arial"/>
                <w:sz w:val="18"/>
                <w:szCs w:val="18"/>
                <w:lang w:val="en-GB"/>
              </w:rPr>
              <w:t>ating</w:t>
            </w:r>
          </w:p>
        </w:tc>
        <w:tc>
          <w:tcPr>
            <w:tcW w:w="1800" w:type="dxa"/>
            <w:hideMark/>
          </w:tcPr>
          <w:p w14:paraId="23A4DEED"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110/90-18</w:t>
            </w:r>
          </w:p>
        </w:tc>
        <w:tc>
          <w:tcPr>
            <w:tcW w:w="1800" w:type="dxa"/>
            <w:hideMark/>
          </w:tcPr>
          <w:p w14:paraId="0708DCC1"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120/80-18</w:t>
            </w:r>
          </w:p>
        </w:tc>
        <w:tc>
          <w:tcPr>
            <w:tcW w:w="2331" w:type="dxa"/>
            <w:hideMark/>
          </w:tcPr>
          <w:p w14:paraId="7A09837E"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120/90-17</w:t>
            </w:r>
          </w:p>
        </w:tc>
      </w:tr>
      <w:tr w:rsidR="00F268A5" w:rsidRPr="00F26A3E" w14:paraId="2F7BCBE9" w14:textId="77777777" w:rsidTr="00995787">
        <w:trPr>
          <w:trHeight w:val="70"/>
          <w:tblHeader/>
          <w:jc w:val="center"/>
        </w:trPr>
        <w:tc>
          <w:tcPr>
            <w:tcW w:w="1615" w:type="dxa"/>
            <w:noWrap/>
            <w:hideMark/>
          </w:tcPr>
          <w:p w14:paraId="4655F564" w14:textId="24492369"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Front</w:t>
            </w:r>
            <w:r w:rsidR="006B6676">
              <w:rPr>
                <w:rFonts w:ascii="Arial" w:hAnsi="Arial" w:cs="Arial"/>
                <w:b/>
                <w:bCs/>
                <w:sz w:val="18"/>
                <w:szCs w:val="18"/>
                <w:lang w:val="en-GB"/>
              </w:rPr>
              <w:t xml:space="preserve"> </w:t>
            </w:r>
            <w:r w:rsidRPr="00F26A3E">
              <w:rPr>
                <w:rFonts w:ascii="Arial" w:hAnsi="Arial" w:cs="Arial"/>
                <w:b/>
                <w:bCs/>
                <w:sz w:val="18"/>
                <w:szCs w:val="18"/>
                <w:lang w:val="en-GB"/>
              </w:rPr>
              <w:t>Suspension</w:t>
            </w:r>
          </w:p>
        </w:tc>
        <w:tc>
          <w:tcPr>
            <w:tcW w:w="1800" w:type="dxa"/>
            <w:hideMark/>
          </w:tcPr>
          <w:p w14:paraId="6AB3D764" w14:textId="1842244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Telescopic,</w:t>
            </w:r>
            <w:r w:rsidR="006B6676">
              <w:rPr>
                <w:rFonts w:ascii="Arial" w:hAnsi="Arial" w:cs="Arial"/>
                <w:sz w:val="18"/>
                <w:szCs w:val="18"/>
                <w:lang w:val="en-GB"/>
              </w:rPr>
              <w:t xml:space="preserve"> </w:t>
            </w:r>
            <w:r w:rsidRPr="00F26A3E">
              <w:rPr>
                <w:rFonts w:ascii="Arial" w:hAnsi="Arial" w:cs="Arial"/>
                <w:sz w:val="18"/>
                <w:szCs w:val="18"/>
                <w:lang w:val="en-GB"/>
              </w:rPr>
              <w:t>35</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F</w:t>
            </w:r>
            <w:r w:rsidRPr="00F26A3E">
              <w:rPr>
                <w:rFonts w:ascii="Arial" w:hAnsi="Arial" w:cs="Arial"/>
                <w:sz w:val="18"/>
                <w:szCs w:val="18"/>
                <w:lang w:val="en-GB"/>
              </w:rPr>
              <w:t>orks,</w:t>
            </w:r>
            <w:r w:rsidR="006B6676">
              <w:rPr>
                <w:rFonts w:ascii="Arial" w:hAnsi="Arial" w:cs="Arial"/>
                <w:sz w:val="18"/>
                <w:szCs w:val="18"/>
                <w:lang w:val="en-GB"/>
              </w:rPr>
              <w:t xml:space="preserve"> </w:t>
            </w:r>
            <w:r w:rsidRPr="00F26A3E">
              <w:rPr>
                <w:rFonts w:ascii="Arial" w:hAnsi="Arial" w:cs="Arial"/>
                <w:sz w:val="18"/>
                <w:szCs w:val="18"/>
                <w:lang w:val="en-GB"/>
              </w:rPr>
              <w:t>130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T</w:t>
            </w:r>
            <w:r w:rsidRPr="00F26A3E">
              <w:rPr>
                <w:rFonts w:ascii="Arial" w:hAnsi="Arial" w:cs="Arial"/>
                <w:sz w:val="18"/>
                <w:szCs w:val="18"/>
                <w:lang w:val="en-GB"/>
              </w:rPr>
              <w:t>ravel</w:t>
            </w:r>
          </w:p>
        </w:tc>
        <w:tc>
          <w:tcPr>
            <w:tcW w:w="1800" w:type="dxa"/>
            <w:hideMark/>
          </w:tcPr>
          <w:p w14:paraId="105AFDE8" w14:textId="5244C328"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Telescopic,</w:t>
            </w:r>
            <w:r w:rsidR="006B6676">
              <w:rPr>
                <w:rFonts w:ascii="Arial" w:hAnsi="Arial" w:cs="Arial"/>
                <w:sz w:val="18"/>
                <w:szCs w:val="18"/>
                <w:lang w:val="en-GB"/>
              </w:rPr>
              <w:t xml:space="preserve"> </w:t>
            </w:r>
            <w:r w:rsidRPr="00F26A3E">
              <w:rPr>
                <w:rFonts w:ascii="Arial" w:hAnsi="Arial" w:cs="Arial"/>
                <w:sz w:val="18"/>
                <w:szCs w:val="18"/>
                <w:lang w:val="en-GB"/>
              </w:rPr>
              <w:t>35</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F</w:t>
            </w:r>
            <w:r w:rsidRPr="00F26A3E">
              <w:rPr>
                <w:rFonts w:ascii="Arial" w:hAnsi="Arial" w:cs="Arial"/>
                <w:sz w:val="18"/>
                <w:szCs w:val="18"/>
                <w:lang w:val="en-GB"/>
              </w:rPr>
              <w:t>orks,</w:t>
            </w:r>
            <w:r w:rsidR="006B6676">
              <w:rPr>
                <w:rFonts w:ascii="Arial" w:hAnsi="Arial" w:cs="Arial"/>
                <w:sz w:val="18"/>
                <w:szCs w:val="18"/>
                <w:lang w:val="en-GB"/>
              </w:rPr>
              <w:t xml:space="preserve"> </w:t>
            </w:r>
            <w:r w:rsidRPr="00F26A3E">
              <w:rPr>
                <w:rFonts w:ascii="Arial" w:hAnsi="Arial" w:cs="Arial"/>
                <w:sz w:val="18"/>
                <w:szCs w:val="18"/>
                <w:lang w:val="en-GB"/>
              </w:rPr>
              <w:t>130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T</w:t>
            </w:r>
            <w:r w:rsidRPr="00F26A3E">
              <w:rPr>
                <w:rFonts w:ascii="Arial" w:hAnsi="Arial" w:cs="Arial"/>
                <w:sz w:val="18"/>
                <w:szCs w:val="18"/>
                <w:lang w:val="en-GB"/>
              </w:rPr>
              <w:t>ravel</w:t>
            </w:r>
          </w:p>
        </w:tc>
        <w:tc>
          <w:tcPr>
            <w:tcW w:w="1800" w:type="dxa"/>
            <w:hideMark/>
          </w:tcPr>
          <w:p w14:paraId="0DCB7A50" w14:textId="73557630"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Telescopic,</w:t>
            </w:r>
            <w:r w:rsidR="006B6676">
              <w:rPr>
                <w:rFonts w:ascii="Arial" w:hAnsi="Arial" w:cs="Arial"/>
                <w:sz w:val="18"/>
                <w:szCs w:val="18"/>
                <w:lang w:val="en-GB"/>
              </w:rPr>
              <w:t xml:space="preserve"> </w:t>
            </w:r>
            <w:r w:rsidRPr="00F26A3E">
              <w:rPr>
                <w:rFonts w:ascii="Arial" w:hAnsi="Arial" w:cs="Arial"/>
                <w:sz w:val="18"/>
                <w:szCs w:val="18"/>
                <w:lang w:val="en-GB"/>
              </w:rPr>
              <w:t>41</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F</w:t>
            </w:r>
            <w:r w:rsidRPr="00F26A3E">
              <w:rPr>
                <w:rFonts w:ascii="Arial" w:hAnsi="Arial" w:cs="Arial"/>
                <w:sz w:val="18"/>
                <w:szCs w:val="18"/>
                <w:lang w:val="en-GB"/>
              </w:rPr>
              <w:t>orks,</w:t>
            </w:r>
            <w:r w:rsidR="006B6676">
              <w:rPr>
                <w:rFonts w:ascii="Arial" w:hAnsi="Arial" w:cs="Arial"/>
                <w:sz w:val="18"/>
                <w:szCs w:val="18"/>
                <w:lang w:val="en-GB"/>
              </w:rPr>
              <w:t xml:space="preserve"> </w:t>
            </w:r>
            <w:r w:rsidRPr="00F26A3E">
              <w:rPr>
                <w:rFonts w:ascii="Arial" w:hAnsi="Arial" w:cs="Arial"/>
                <w:sz w:val="18"/>
                <w:szCs w:val="18"/>
                <w:lang w:val="en-GB"/>
              </w:rPr>
              <w:t>130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T</w:t>
            </w:r>
            <w:r w:rsidRPr="00F26A3E">
              <w:rPr>
                <w:rFonts w:ascii="Arial" w:hAnsi="Arial" w:cs="Arial"/>
                <w:sz w:val="18"/>
                <w:szCs w:val="18"/>
                <w:lang w:val="en-GB"/>
              </w:rPr>
              <w:t>ravel</w:t>
            </w:r>
          </w:p>
        </w:tc>
        <w:tc>
          <w:tcPr>
            <w:tcW w:w="2331" w:type="dxa"/>
            <w:hideMark/>
          </w:tcPr>
          <w:p w14:paraId="521FF80C" w14:textId="750A09FC"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Telescopic,</w:t>
            </w:r>
            <w:r w:rsidR="006B6676">
              <w:rPr>
                <w:rFonts w:ascii="Arial" w:hAnsi="Arial" w:cs="Arial"/>
                <w:sz w:val="18"/>
                <w:szCs w:val="18"/>
                <w:lang w:val="en-GB"/>
              </w:rPr>
              <w:t xml:space="preserve"> </w:t>
            </w:r>
            <w:r w:rsidRPr="00F26A3E">
              <w:rPr>
                <w:rFonts w:ascii="Arial" w:hAnsi="Arial" w:cs="Arial"/>
                <w:sz w:val="18"/>
                <w:szCs w:val="18"/>
                <w:lang w:val="en-GB"/>
              </w:rPr>
              <w:t>41</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F</w:t>
            </w:r>
            <w:r w:rsidRPr="00F26A3E">
              <w:rPr>
                <w:rFonts w:ascii="Arial" w:hAnsi="Arial" w:cs="Arial"/>
                <w:sz w:val="18"/>
                <w:szCs w:val="18"/>
                <w:lang w:val="en-GB"/>
              </w:rPr>
              <w:t>orks,</w:t>
            </w:r>
            <w:r w:rsidR="006B6676">
              <w:rPr>
                <w:rFonts w:ascii="Arial" w:hAnsi="Arial" w:cs="Arial"/>
                <w:sz w:val="18"/>
                <w:szCs w:val="18"/>
                <w:lang w:val="en-GB"/>
              </w:rPr>
              <w:t xml:space="preserve"> </w:t>
            </w:r>
            <w:r w:rsidRPr="00F26A3E">
              <w:rPr>
                <w:rFonts w:ascii="Arial" w:hAnsi="Arial" w:cs="Arial"/>
                <w:sz w:val="18"/>
                <w:szCs w:val="18"/>
                <w:lang w:val="en-GB"/>
              </w:rPr>
              <w:t>200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0073656D">
              <w:rPr>
                <w:rFonts w:ascii="Arial" w:hAnsi="Arial" w:cs="Arial"/>
                <w:sz w:val="18"/>
                <w:szCs w:val="18"/>
                <w:lang w:val="en-GB"/>
              </w:rPr>
              <w:t>T</w:t>
            </w:r>
            <w:r w:rsidRPr="00F26A3E">
              <w:rPr>
                <w:rFonts w:ascii="Arial" w:hAnsi="Arial" w:cs="Arial"/>
                <w:sz w:val="18"/>
                <w:szCs w:val="18"/>
                <w:lang w:val="en-GB"/>
              </w:rPr>
              <w:t>ravel</w:t>
            </w:r>
          </w:p>
        </w:tc>
      </w:tr>
      <w:tr w:rsidR="00F268A5" w:rsidRPr="00F26A3E" w14:paraId="49CC273C" w14:textId="77777777" w:rsidTr="00995787">
        <w:trPr>
          <w:trHeight w:val="70"/>
          <w:tblHeader/>
          <w:jc w:val="center"/>
        </w:trPr>
        <w:tc>
          <w:tcPr>
            <w:tcW w:w="1615" w:type="dxa"/>
            <w:noWrap/>
            <w:hideMark/>
          </w:tcPr>
          <w:p w14:paraId="3B4A8488" w14:textId="0B461D20"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Rear</w:t>
            </w:r>
            <w:r w:rsidR="006B6676">
              <w:rPr>
                <w:rFonts w:ascii="Arial" w:hAnsi="Arial" w:cs="Arial"/>
                <w:b/>
                <w:bCs/>
                <w:sz w:val="18"/>
                <w:szCs w:val="18"/>
                <w:lang w:val="en-GB"/>
              </w:rPr>
              <w:t xml:space="preserve"> </w:t>
            </w:r>
            <w:r w:rsidRPr="00F26A3E">
              <w:rPr>
                <w:rFonts w:ascii="Arial" w:hAnsi="Arial" w:cs="Arial"/>
                <w:b/>
                <w:bCs/>
                <w:sz w:val="18"/>
                <w:szCs w:val="18"/>
                <w:lang w:val="en-GB"/>
              </w:rPr>
              <w:t>Suspension</w:t>
            </w:r>
          </w:p>
        </w:tc>
        <w:tc>
          <w:tcPr>
            <w:tcW w:w="1800" w:type="dxa"/>
            <w:hideMark/>
          </w:tcPr>
          <w:p w14:paraId="34CB3BE9" w14:textId="52F59DBB"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Twin</w:t>
            </w:r>
            <w:r w:rsidR="006B6676">
              <w:rPr>
                <w:rFonts w:ascii="Arial" w:hAnsi="Arial" w:cs="Arial"/>
                <w:sz w:val="18"/>
                <w:szCs w:val="18"/>
                <w:lang w:val="en-GB"/>
              </w:rPr>
              <w:t xml:space="preserve"> </w:t>
            </w:r>
            <w:r w:rsidRPr="00F26A3E">
              <w:rPr>
                <w:rFonts w:ascii="Arial" w:hAnsi="Arial" w:cs="Arial"/>
                <w:sz w:val="18"/>
                <w:szCs w:val="18"/>
                <w:lang w:val="en-GB"/>
              </w:rPr>
              <w:t>Shock</w:t>
            </w:r>
            <w:r w:rsidR="006B6676">
              <w:rPr>
                <w:rFonts w:ascii="Arial" w:hAnsi="Arial" w:cs="Arial"/>
                <w:sz w:val="18"/>
                <w:szCs w:val="18"/>
                <w:lang w:val="en-GB"/>
              </w:rPr>
              <w:t xml:space="preserve"> </w:t>
            </w:r>
            <w:r w:rsidRPr="00F26A3E">
              <w:rPr>
                <w:rFonts w:ascii="Arial" w:hAnsi="Arial" w:cs="Arial"/>
                <w:sz w:val="18"/>
                <w:szCs w:val="18"/>
                <w:lang w:val="en-GB"/>
              </w:rPr>
              <w:t>Absorbers</w:t>
            </w:r>
            <w:r w:rsidR="006B6676">
              <w:rPr>
                <w:rFonts w:ascii="Arial" w:hAnsi="Arial" w:cs="Arial"/>
                <w:sz w:val="18"/>
                <w:szCs w:val="18"/>
                <w:lang w:val="en-GB"/>
              </w:rPr>
              <w:t xml:space="preserve"> </w:t>
            </w:r>
            <w:r w:rsidRPr="00F26A3E">
              <w:rPr>
                <w:rFonts w:ascii="Arial" w:hAnsi="Arial" w:cs="Arial"/>
                <w:sz w:val="18"/>
                <w:szCs w:val="18"/>
                <w:lang w:val="en-GB"/>
              </w:rPr>
              <w:t>with</w:t>
            </w:r>
            <w:r w:rsidR="006B6676">
              <w:rPr>
                <w:rFonts w:ascii="Arial" w:hAnsi="Arial" w:cs="Arial"/>
                <w:sz w:val="18"/>
                <w:szCs w:val="18"/>
                <w:lang w:val="en-GB"/>
              </w:rPr>
              <w:t xml:space="preserve"> </w:t>
            </w:r>
            <w:r w:rsidR="007710FD">
              <w:rPr>
                <w:rFonts w:ascii="Arial" w:hAnsi="Arial" w:cs="Arial"/>
                <w:sz w:val="18"/>
                <w:szCs w:val="18"/>
                <w:lang w:val="en-GB"/>
              </w:rPr>
              <w:br/>
            </w:r>
            <w:r w:rsidRPr="00F26A3E">
              <w:rPr>
                <w:rFonts w:ascii="Arial" w:hAnsi="Arial" w:cs="Arial"/>
                <w:sz w:val="18"/>
                <w:szCs w:val="18"/>
                <w:lang w:val="en-GB"/>
              </w:rPr>
              <w:t>5-</w:t>
            </w:r>
            <w:r w:rsidR="007710FD">
              <w:rPr>
                <w:rFonts w:ascii="Arial" w:hAnsi="Arial" w:cs="Arial"/>
                <w:sz w:val="18"/>
                <w:szCs w:val="18"/>
                <w:lang w:val="en-GB"/>
              </w:rPr>
              <w:t>S</w:t>
            </w:r>
            <w:r w:rsidRPr="00F26A3E">
              <w:rPr>
                <w:rFonts w:ascii="Arial" w:hAnsi="Arial" w:cs="Arial"/>
                <w:sz w:val="18"/>
                <w:szCs w:val="18"/>
                <w:lang w:val="en-GB"/>
              </w:rPr>
              <w:t>tep</w:t>
            </w:r>
            <w:r w:rsidR="006B6676">
              <w:rPr>
                <w:rFonts w:ascii="Arial" w:hAnsi="Arial" w:cs="Arial"/>
                <w:sz w:val="18"/>
                <w:szCs w:val="18"/>
                <w:lang w:val="en-GB"/>
              </w:rPr>
              <w:t xml:space="preserve"> </w:t>
            </w:r>
            <w:r w:rsidRPr="00F26A3E">
              <w:rPr>
                <w:rFonts w:ascii="Arial" w:hAnsi="Arial" w:cs="Arial"/>
                <w:sz w:val="18"/>
                <w:szCs w:val="18"/>
                <w:lang w:val="en-GB"/>
              </w:rPr>
              <w:t>Adjustable</w:t>
            </w:r>
            <w:r w:rsidR="006B6676">
              <w:rPr>
                <w:rFonts w:ascii="Arial" w:hAnsi="Arial" w:cs="Arial"/>
                <w:sz w:val="18"/>
                <w:szCs w:val="18"/>
                <w:lang w:val="en-GB"/>
              </w:rPr>
              <w:t xml:space="preserve"> </w:t>
            </w:r>
            <w:r w:rsidRPr="00F26A3E">
              <w:rPr>
                <w:rFonts w:ascii="Arial" w:hAnsi="Arial" w:cs="Arial"/>
                <w:sz w:val="18"/>
                <w:szCs w:val="18"/>
                <w:lang w:val="en-GB"/>
              </w:rPr>
              <w:t>Preload,</w:t>
            </w:r>
            <w:r w:rsidR="006B6676">
              <w:rPr>
                <w:rFonts w:ascii="Arial" w:hAnsi="Arial" w:cs="Arial"/>
                <w:sz w:val="18"/>
                <w:szCs w:val="18"/>
                <w:lang w:val="en-GB"/>
              </w:rPr>
              <w:t xml:space="preserve"> </w:t>
            </w:r>
            <w:r w:rsidRPr="00F26A3E">
              <w:rPr>
                <w:rFonts w:ascii="Arial" w:hAnsi="Arial" w:cs="Arial"/>
                <w:sz w:val="18"/>
                <w:szCs w:val="18"/>
                <w:lang w:val="en-GB"/>
              </w:rPr>
              <w:t>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Travel</w:t>
            </w:r>
          </w:p>
        </w:tc>
        <w:tc>
          <w:tcPr>
            <w:tcW w:w="1800" w:type="dxa"/>
            <w:hideMark/>
          </w:tcPr>
          <w:p w14:paraId="73C61FB3" w14:textId="7468EC4A"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Twin</w:t>
            </w:r>
            <w:r w:rsidR="006B6676">
              <w:rPr>
                <w:rFonts w:ascii="Arial" w:hAnsi="Arial" w:cs="Arial"/>
                <w:sz w:val="18"/>
                <w:szCs w:val="18"/>
                <w:lang w:val="en-GB"/>
              </w:rPr>
              <w:t xml:space="preserve"> </w:t>
            </w:r>
            <w:r w:rsidRPr="00F26A3E">
              <w:rPr>
                <w:rFonts w:ascii="Arial" w:hAnsi="Arial" w:cs="Arial"/>
                <w:sz w:val="18"/>
                <w:szCs w:val="18"/>
                <w:lang w:val="en-GB"/>
              </w:rPr>
              <w:t>Gas</w:t>
            </w:r>
            <w:r w:rsidR="006B6676">
              <w:rPr>
                <w:rFonts w:ascii="Arial" w:hAnsi="Arial" w:cs="Arial"/>
                <w:sz w:val="18"/>
                <w:szCs w:val="18"/>
                <w:lang w:val="en-GB"/>
              </w:rPr>
              <w:t xml:space="preserve"> </w:t>
            </w:r>
            <w:r w:rsidRPr="00F26A3E">
              <w:rPr>
                <w:rFonts w:ascii="Arial" w:hAnsi="Arial" w:cs="Arial"/>
                <w:sz w:val="18"/>
                <w:szCs w:val="18"/>
                <w:lang w:val="en-GB"/>
              </w:rPr>
              <w:t>Charged</w:t>
            </w:r>
            <w:r w:rsidR="006B6676">
              <w:rPr>
                <w:rFonts w:ascii="Arial" w:hAnsi="Arial" w:cs="Arial"/>
                <w:sz w:val="18"/>
                <w:szCs w:val="18"/>
                <w:lang w:val="en-GB"/>
              </w:rPr>
              <w:t xml:space="preserve"> </w:t>
            </w:r>
            <w:r w:rsidRPr="00F26A3E">
              <w:rPr>
                <w:rFonts w:ascii="Arial" w:hAnsi="Arial" w:cs="Arial"/>
                <w:sz w:val="18"/>
                <w:szCs w:val="18"/>
                <w:lang w:val="en-GB"/>
              </w:rPr>
              <w:t>Shock</w:t>
            </w:r>
            <w:r w:rsidR="006B6676">
              <w:rPr>
                <w:rFonts w:ascii="Arial" w:hAnsi="Arial" w:cs="Arial"/>
                <w:sz w:val="18"/>
                <w:szCs w:val="18"/>
                <w:lang w:val="en-GB"/>
              </w:rPr>
              <w:t xml:space="preserve"> </w:t>
            </w:r>
            <w:r w:rsidRPr="00F26A3E">
              <w:rPr>
                <w:rFonts w:ascii="Arial" w:hAnsi="Arial" w:cs="Arial"/>
                <w:sz w:val="18"/>
                <w:szCs w:val="18"/>
                <w:lang w:val="en-GB"/>
              </w:rPr>
              <w:t>Absorbers</w:t>
            </w:r>
            <w:r w:rsidR="006B6676">
              <w:rPr>
                <w:rFonts w:ascii="Arial" w:hAnsi="Arial" w:cs="Arial"/>
                <w:sz w:val="18"/>
                <w:szCs w:val="18"/>
                <w:lang w:val="en-GB"/>
              </w:rPr>
              <w:t xml:space="preserve"> </w:t>
            </w:r>
            <w:r w:rsidRPr="00F26A3E">
              <w:rPr>
                <w:rFonts w:ascii="Arial" w:hAnsi="Arial" w:cs="Arial"/>
                <w:sz w:val="18"/>
                <w:szCs w:val="18"/>
                <w:lang w:val="en-GB"/>
              </w:rPr>
              <w:t>with</w:t>
            </w:r>
            <w:r w:rsidR="006B6676">
              <w:rPr>
                <w:rFonts w:ascii="Arial" w:hAnsi="Arial" w:cs="Arial"/>
                <w:sz w:val="18"/>
                <w:szCs w:val="18"/>
                <w:lang w:val="en-GB"/>
              </w:rPr>
              <w:t xml:space="preserve"> </w:t>
            </w:r>
            <w:r w:rsidRPr="00F26A3E">
              <w:rPr>
                <w:rFonts w:ascii="Arial" w:hAnsi="Arial" w:cs="Arial"/>
                <w:sz w:val="18"/>
                <w:szCs w:val="18"/>
                <w:lang w:val="en-GB"/>
              </w:rPr>
              <w:t>5-</w:t>
            </w:r>
            <w:r w:rsidR="007710FD">
              <w:rPr>
                <w:rFonts w:ascii="Arial" w:hAnsi="Arial" w:cs="Arial"/>
                <w:sz w:val="18"/>
                <w:szCs w:val="18"/>
                <w:lang w:val="en-GB"/>
              </w:rPr>
              <w:t>S</w:t>
            </w:r>
            <w:r w:rsidRPr="00F26A3E">
              <w:rPr>
                <w:rFonts w:ascii="Arial" w:hAnsi="Arial" w:cs="Arial"/>
                <w:sz w:val="18"/>
                <w:szCs w:val="18"/>
                <w:lang w:val="en-GB"/>
              </w:rPr>
              <w:t>tep</w:t>
            </w:r>
            <w:r w:rsidR="006B6676">
              <w:rPr>
                <w:rFonts w:ascii="Arial" w:hAnsi="Arial" w:cs="Arial"/>
                <w:sz w:val="18"/>
                <w:szCs w:val="18"/>
                <w:lang w:val="en-GB"/>
              </w:rPr>
              <w:t xml:space="preserve"> </w:t>
            </w:r>
            <w:r w:rsidRPr="00F26A3E">
              <w:rPr>
                <w:rFonts w:ascii="Arial" w:hAnsi="Arial" w:cs="Arial"/>
                <w:sz w:val="18"/>
                <w:szCs w:val="18"/>
                <w:lang w:val="en-GB"/>
              </w:rPr>
              <w:t>Adjustable</w:t>
            </w:r>
            <w:r w:rsidR="006B6676">
              <w:rPr>
                <w:rFonts w:ascii="Arial" w:hAnsi="Arial" w:cs="Arial"/>
                <w:sz w:val="18"/>
                <w:szCs w:val="18"/>
                <w:lang w:val="en-GB"/>
              </w:rPr>
              <w:t xml:space="preserve"> </w:t>
            </w:r>
            <w:r w:rsidRPr="00F26A3E">
              <w:rPr>
                <w:rFonts w:ascii="Arial" w:hAnsi="Arial" w:cs="Arial"/>
                <w:sz w:val="18"/>
                <w:szCs w:val="18"/>
                <w:lang w:val="en-GB"/>
              </w:rPr>
              <w:t>Preload,</w:t>
            </w:r>
            <w:r w:rsidR="006B6676">
              <w:rPr>
                <w:rFonts w:ascii="Arial" w:hAnsi="Arial" w:cs="Arial"/>
                <w:sz w:val="18"/>
                <w:szCs w:val="18"/>
                <w:lang w:val="en-GB"/>
              </w:rPr>
              <w:t xml:space="preserve"> </w:t>
            </w:r>
            <w:r w:rsidRPr="00F26A3E">
              <w:rPr>
                <w:rFonts w:ascii="Arial" w:hAnsi="Arial" w:cs="Arial"/>
                <w:sz w:val="18"/>
                <w:szCs w:val="18"/>
                <w:lang w:val="en-GB"/>
              </w:rPr>
              <w:t>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Travel</w:t>
            </w:r>
          </w:p>
        </w:tc>
        <w:tc>
          <w:tcPr>
            <w:tcW w:w="1800" w:type="dxa"/>
            <w:hideMark/>
          </w:tcPr>
          <w:p w14:paraId="12BB0FDD" w14:textId="17A9C735"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Twin</w:t>
            </w:r>
            <w:r w:rsidR="006B6676">
              <w:rPr>
                <w:rFonts w:ascii="Arial" w:hAnsi="Arial" w:cs="Arial"/>
                <w:sz w:val="18"/>
                <w:szCs w:val="18"/>
                <w:lang w:val="en-GB"/>
              </w:rPr>
              <w:t xml:space="preserve"> </w:t>
            </w:r>
            <w:r w:rsidRPr="00F26A3E">
              <w:rPr>
                <w:rFonts w:ascii="Arial" w:hAnsi="Arial" w:cs="Arial"/>
                <w:sz w:val="18"/>
                <w:szCs w:val="18"/>
                <w:lang w:val="en-GB"/>
              </w:rPr>
              <w:t>Gas</w:t>
            </w:r>
            <w:r w:rsidR="006B6676">
              <w:rPr>
                <w:rFonts w:ascii="Arial" w:hAnsi="Arial" w:cs="Arial"/>
                <w:sz w:val="18"/>
                <w:szCs w:val="18"/>
                <w:lang w:val="en-GB"/>
              </w:rPr>
              <w:t xml:space="preserve"> </w:t>
            </w:r>
            <w:r w:rsidRPr="00F26A3E">
              <w:rPr>
                <w:rFonts w:ascii="Arial" w:hAnsi="Arial" w:cs="Arial"/>
                <w:sz w:val="18"/>
                <w:szCs w:val="18"/>
                <w:lang w:val="en-GB"/>
              </w:rPr>
              <w:t>Charged</w:t>
            </w:r>
            <w:r w:rsidR="006B6676">
              <w:rPr>
                <w:rFonts w:ascii="Arial" w:hAnsi="Arial" w:cs="Arial"/>
                <w:sz w:val="18"/>
                <w:szCs w:val="18"/>
                <w:lang w:val="en-GB"/>
              </w:rPr>
              <w:t xml:space="preserve"> </w:t>
            </w:r>
            <w:r w:rsidRPr="00F26A3E">
              <w:rPr>
                <w:rFonts w:ascii="Arial" w:hAnsi="Arial" w:cs="Arial"/>
                <w:sz w:val="18"/>
                <w:szCs w:val="18"/>
                <w:lang w:val="en-GB"/>
              </w:rPr>
              <w:t>Shock</w:t>
            </w:r>
            <w:r w:rsidR="006B6676">
              <w:rPr>
                <w:rFonts w:ascii="Arial" w:hAnsi="Arial" w:cs="Arial"/>
                <w:sz w:val="18"/>
                <w:szCs w:val="18"/>
                <w:lang w:val="en-GB"/>
              </w:rPr>
              <w:t xml:space="preserve"> </w:t>
            </w:r>
            <w:r w:rsidRPr="00F26A3E">
              <w:rPr>
                <w:rFonts w:ascii="Arial" w:hAnsi="Arial" w:cs="Arial"/>
                <w:sz w:val="18"/>
                <w:szCs w:val="18"/>
                <w:lang w:val="en-GB"/>
              </w:rPr>
              <w:t>Absorbers</w:t>
            </w:r>
            <w:r w:rsidR="006B6676">
              <w:rPr>
                <w:rFonts w:ascii="Arial" w:hAnsi="Arial" w:cs="Arial"/>
                <w:sz w:val="18"/>
                <w:szCs w:val="18"/>
                <w:lang w:val="en-GB"/>
              </w:rPr>
              <w:t xml:space="preserve"> </w:t>
            </w:r>
            <w:r w:rsidRPr="00F26A3E">
              <w:rPr>
                <w:rFonts w:ascii="Arial" w:hAnsi="Arial" w:cs="Arial"/>
                <w:sz w:val="18"/>
                <w:szCs w:val="18"/>
                <w:lang w:val="en-GB"/>
              </w:rPr>
              <w:t>with</w:t>
            </w:r>
            <w:r w:rsidR="006B6676">
              <w:rPr>
                <w:rFonts w:ascii="Arial" w:hAnsi="Arial" w:cs="Arial"/>
                <w:sz w:val="18"/>
                <w:szCs w:val="18"/>
                <w:lang w:val="en-GB"/>
              </w:rPr>
              <w:t xml:space="preserve"> </w:t>
            </w:r>
            <w:r w:rsidRPr="00F26A3E">
              <w:rPr>
                <w:rFonts w:ascii="Arial" w:hAnsi="Arial" w:cs="Arial"/>
                <w:sz w:val="18"/>
                <w:szCs w:val="18"/>
                <w:lang w:val="en-GB"/>
              </w:rPr>
              <w:t>5-</w:t>
            </w:r>
            <w:r w:rsidR="007710FD">
              <w:rPr>
                <w:rFonts w:ascii="Arial" w:hAnsi="Arial" w:cs="Arial"/>
                <w:sz w:val="18"/>
                <w:szCs w:val="18"/>
                <w:lang w:val="en-GB"/>
              </w:rPr>
              <w:t>S</w:t>
            </w:r>
            <w:r w:rsidRPr="00F26A3E">
              <w:rPr>
                <w:rFonts w:ascii="Arial" w:hAnsi="Arial" w:cs="Arial"/>
                <w:sz w:val="18"/>
                <w:szCs w:val="18"/>
                <w:lang w:val="en-GB"/>
              </w:rPr>
              <w:t>tep</w:t>
            </w:r>
            <w:r w:rsidR="006B6676">
              <w:rPr>
                <w:rFonts w:ascii="Arial" w:hAnsi="Arial" w:cs="Arial"/>
                <w:sz w:val="18"/>
                <w:szCs w:val="18"/>
                <w:lang w:val="en-GB"/>
              </w:rPr>
              <w:t xml:space="preserve"> </w:t>
            </w:r>
            <w:r w:rsidRPr="00F26A3E">
              <w:rPr>
                <w:rFonts w:ascii="Arial" w:hAnsi="Arial" w:cs="Arial"/>
                <w:sz w:val="18"/>
                <w:szCs w:val="18"/>
                <w:lang w:val="en-GB"/>
              </w:rPr>
              <w:t>Adjustable</w:t>
            </w:r>
            <w:r w:rsidR="006B6676">
              <w:rPr>
                <w:rFonts w:ascii="Arial" w:hAnsi="Arial" w:cs="Arial"/>
                <w:sz w:val="18"/>
                <w:szCs w:val="18"/>
                <w:lang w:val="en-GB"/>
              </w:rPr>
              <w:t xml:space="preserve"> </w:t>
            </w:r>
            <w:r w:rsidRPr="00F26A3E">
              <w:rPr>
                <w:rFonts w:ascii="Arial" w:hAnsi="Arial" w:cs="Arial"/>
                <w:sz w:val="18"/>
                <w:szCs w:val="18"/>
                <w:lang w:val="en-GB"/>
              </w:rPr>
              <w:t>Preload,</w:t>
            </w:r>
            <w:r w:rsidR="006B6676">
              <w:rPr>
                <w:rFonts w:ascii="Arial" w:hAnsi="Arial" w:cs="Arial"/>
                <w:sz w:val="18"/>
                <w:szCs w:val="18"/>
                <w:lang w:val="en-GB"/>
              </w:rPr>
              <w:t xml:space="preserve"> </w:t>
            </w:r>
            <w:r w:rsidRPr="00F26A3E">
              <w:rPr>
                <w:rFonts w:ascii="Arial" w:hAnsi="Arial" w:cs="Arial"/>
                <w:sz w:val="18"/>
                <w:szCs w:val="18"/>
                <w:lang w:val="en-GB"/>
              </w:rPr>
              <w:t>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Travel</w:t>
            </w:r>
          </w:p>
        </w:tc>
        <w:tc>
          <w:tcPr>
            <w:tcW w:w="2331" w:type="dxa"/>
            <w:hideMark/>
          </w:tcPr>
          <w:p w14:paraId="2D5C5240" w14:textId="52CE13CD"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Monoshock</w:t>
            </w:r>
            <w:r w:rsidR="006B6676">
              <w:rPr>
                <w:rFonts w:ascii="Arial" w:hAnsi="Arial" w:cs="Arial"/>
                <w:sz w:val="18"/>
                <w:szCs w:val="18"/>
                <w:lang w:val="en-GB"/>
              </w:rPr>
              <w:t xml:space="preserve"> </w:t>
            </w:r>
            <w:r w:rsidRPr="00F26A3E">
              <w:rPr>
                <w:rFonts w:ascii="Arial" w:hAnsi="Arial" w:cs="Arial"/>
                <w:sz w:val="18"/>
                <w:szCs w:val="18"/>
                <w:lang w:val="en-GB"/>
              </w:rPr>
              <w:t>with</w:t>
            </w:r>
            <w:r w:rsidR="006B6676">
              <w:rPr>
                <w:rFonts w:ascii="Arial" w:hAnsi="Arial" w:cs="Arial"/>
                <w:sz w:val="18"/>
                <w:szCs w:val="18"/>
                <w:lang w:val="en-GB"/>
              </w:rPr>
              <w:t xml:space="preserve"> </w:t>
            </w:r>
            <w:r w:rsidRPr="00F26A3E">
              <w:rPr>
                <w:rFonts w:ascii="Arial" w:hAnsi="Arial" w:cs="Arial"/>
                <w:sz w:val="18"/>
                <w:szCs w:val="18"/>
                <w:lang w:val="en-GB"/>
              </w:rPr>
              <w:t>Linkage,</w:t>
            </w:r>
            <w:r w:rsidR="006B6676">
              <w:rPr>
                <w:rFonts w:ascii="Arial" w:hAnsi="Arial" w:cs="Arial"/>
                <w:sz w:val="18"/>
                <w:szCs w:val="18"/>
                <w:lang w:val="en-GB"/>
              </w:rPr>
              <w:t xml:space="preserve"> </w:t>
            </w:r>
            <w:r w:rsidRPr="00F26A3E">
              <w:rPr>
                <w:rFonts w:ascii="Arial" w:hAnsi="Arial" w:cs="Arial"/>
                <w:sz w:val="18"/>
                <w:szCs w:val="18"/>
                <w:lang w:val="en-GB"/>
              </w:rPr>
              <w:t>180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Wheel</w:t>
            </w:r>
            <w:r w:rsidR="006B6676">
              <w:rPr>
                <w:rFonts w:ascii="Arial" w:hAnsi="Arial" w:cs="Arial"/>
                <w:sz w:val="18"/>
                <w:szCs w:val="18"/>
                <w:lang w:val="en-GB"/>
              </w:rPr>
              <w:t xml:space="preserve"> </w:t>
            </w:r>
            <w:r w:rsidRPr="00F26A3E">
              <w:rPr>
                <w:rFonts w:ascii="Arial" w:hAnsi="Arial" w:cs="Arial"/>
                <w:sz w:val="18"/>
                <w:szCs w:val="18"/>
                <w:lang w:val="en-GB"/>
              </w:rPr>
              <w:t>Travel</w:t>
            </w:r>
          </w:p>
        </w:tc>
      </w:tr>
      <w:tr w:rsidR="00F268A5" w:rsidRPr="00F26A3E" w14:paraId="5D85FE73" w14:textId="77777777" w:rsidTr="00995787">
        <w:trPr>
          <w:trHeight w:val="530"/>
          <w:tblHeader/>
          <w:jc w:val="center"/>
        </w:trPr>
        <w:tc>
          <w:tcPr>
            <w:tcW w:w="1615" w:type="dxa"/>
            <w:noWrap/>
            <w:hideMark/>
          </w:tcPr>
          <w:p w14:paraId="3809F54D" w14:textId="4A01BA7B"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Front</w:t>
            </w:r>
            <w:r w:rsidR="006B6676">
              <w:rPr>
                <w:rFonts w:ascii="Arial" w:hAnsi="Arial" w:cs="Arial"/>
                <w:b/>
                <w:bCs/>
                <w:sz w:val="18"/>
                <w:szCs w:val="18"/>
                <w:lang w:val="en-GB"/>
              </w:rPr>
              <w:t xml:space="preserve"> </w:t>
            </w:r>
            <w:r w:rsidRPr="00F26A3E">
              <w:rPr>
                <w:rFonts w:ascii="Arial" w:hAnsi="Arial" w:cs="Arial"/>
                <w:b/>
                <w:bCs/>
                <w:sz w:val="18"/>
                <w:szCs w:val="18"/>
                <w:lang w:val="en-GB"/>
              </w:rPr>
              <w:t>Brakes</w:t>
            </w:r>
          </w:p>
        </w:tc>
        <w:tc>
          <w:tcPr>
            <w:tcW w:w="1800" w:type="dxa"/>
            <w:hideMark/>
          </w:tcPr>
          <w:p w14:paraId="71144FE7" w14:textId="6FC83BD9"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00817E3A">
              <w:rPr>
                <w:rFonts w:ascii="Arial" w:hAnsi="Arial" w:cs="Arial"/>
                <w:sz w:val="18"/>
                <w:szCs w:val="18"/>
                <w:lang w:val="en-GB"/>
              </w:rPr>
              <w:t>Tw</w:t>
            </w:r>
            <w:r w:rsidR="002E4A05">
              <w:rPr>
                <w:rFonts w:ascii="Arial" w:hAnsi="Arial" w:cs="Arial"/>
                <w:sz w:val="18"/>
                <w:szCs w:val="18"/>
                <w:lang w:val="en-GB"/>
              </w:rPr>
              <w:t>in</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Caliper</w:t>
            </w:r>
            <w:r w:rsidR="006B6676">
              <w:rPr>
                <w:rFonts w:ascii="Arial" w:hAnsi="Arial" w:cs="Arial"/>
                <w:sz w:val="18"/>
                <w:szCs w:val="18"/>
                <w:lang w:val="en-GB"/>
              </w:rPr>
              <w:t xml:space="preserve"> </w:t>
            </w:r>
            <w:r w:rsidRPr="00F26A3E">
              <w:rPr>
                <w:rFonts w:ascii="Arial" w:hAnsi="Arial" w:cs="Arial"/>
                <w:sz w:val="18"/>
                <w:szCs w:val="18"/>
                <w:lang w:val="en-GB"/>
              </w:rPr>
              <w:t>with</w:t>
            </w:r>
            <w:r w:rsidR="006B6676">
              <w:rPr>
                <w:rFonts w:ascii="Arial" w:hAnsi="Arial" w:cs="Arial"/>
                <w:sz w:val="18"/>
                <w:szCs w:val="18"/>
                <w:lang w:val="en-GB"/>
              </w:rPr>
              <w:t xml:space="preserve"> </w:t>
            </w:r>
            <w:r w:rsidRPr="00F26A3E">
              <w:rPr>
                <w:rFonts w:ascii="Arial" w:hAnsi="Arial" w:cs="Arial"/>
                <w:sz w:val="18"/>
                <w:szCs w:val="18"/>
                <w:lang w:val="en-GB"/>
              </w:rPr>
              <w:t>ABS</w:t>
            </w:r>
          </w:p>
        </w:tc>
        <w:tc>
          <w:tcPr>
            <w:tcW w:w="1800" w:type="dxa"/>
            <w:hideMark/>
          </w:tcPr>
          <w:p w14:paraId="334A5551" w14:textId="71607969"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Pr="00F26A3E">
              <w:rPr>
                <w:rFonts w:ascii="Arial" w:hAnsi="Arial" w:cs="Arial"/>
                <w:sz w:val="18"/>
                <w:szCs w:val="18"/>
                <w:lang w:val="en-GB"/>
              </w:rPr>
              <w:t>with</w:t>
            </w:r>
            <w:r w:rsidR="006B6676">
              <w:rPr>
                <w:rFonts w:ascii="Arial" w:hAnsi="Arial" w:cs="Arial"/>
                <w:sz w:val="18"/>
                <w:szCs w:val="18"/>
                <w:lang w:val="en-GB"/>
              </w:rPr>
              <w:t xml:space="preserve"> </w:t>
            </w:r>
            <w:r w:rsidRPr="00F26A3E">
              <w:rPr>
                <w:rFonts w:ascii="Arial" w:hAnsi="Arial" w:cs="Arial"/>
                <w:sz w:val="18"/>
                <w:szCs w:val="18"/>
                <w:lang w:val="en-GB"/>
              </w:rPr>
              <w:t>Twin</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Caliper</w:t>
            </w:r>
          </w:p>
        </w:tc>
        <w:tc>
          <w:tcPr>
            <w:tcW w:w="1800" w:type="dxa"/>
            <w:hideMark/>
          </w:tcPr>
          <w:p w14:paraId="45B7DCC4" w14:textId="0EE4510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280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002E4A05">
              <w:rPr>
                <w:rFonts w:ascii="Arial" w:hAnsi="Arial" w:cs="Arial"/>
                <w:sz w:val="18"/>
                <w:szCs w:val="18"/>
                <w:lang w:val="en-GB"/>
              </w:rPr>
              <w:t>Twin</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Caliper</w:t>
            </w:r>
          </w:p>
        </w:tc>
        <w:tc>
          <w:tcPr>
            <w:tcW w:w="2331" w:type="dxa"/>
            <w:hideMark/>
          </w:tcPr>
          <w:p w14:paraId="399D2AF6" w14:textId="0DF20A78"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300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002E4A05">
              <w:rPr>
                <w:rFonts w:ascii="Arial" w:hAnsi="Arial" w:cs="Arial"/>
                <w:sz w:val="18"/>
                <w:szCs w:val="18"/>
                <w:lang w:val="en-GB"/>
              </w:rPr>
              <w:t>Twin</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Floating</w:t>
            </w:r>
            <w:r w:rsidR="006B6676">
              <w:rPr>
                <w:rFonts w:ascii="Arial" w:hAnsi="Arial" w:cs="Arial"/>
                <w:sz w:val="18"/>
                <w:szCs w:val="18"/>
                <w:lang w:val="en-GB"/>
              </w:rPr>
              <w:t xml:space="preserve"> </w:t>
            </w:r>
            <w:r w:rsidRPr="00F26A3E">
              <w:rPr>
                <w:rFonts w:ascii="Arial" w:hAnsi="Arial" w:cs="Arial"/>
                <w:sz w:val="18"/>
                <w:szCs w:val="18"/>
                <w:lang w:val="en-GB"/>
              </w:rPr>
              <w:t>Caliper</w:t>
            </w:r>
          </w:p>
        </w:tc>
      </w:tr>
      <w:tr w:rsidR="00F268A5" w:rsidRPr="00F26A3E" w14:paraId="07E54984" w14:textId="77777777" w:rsidTr="00995787">
        <w:trPr>
          <w:trHeight w:val="70"/>
          <w:tblHeader/>
          <w:jc w:val="center"/>
        </w:trPr>
        <w:tc>
          <w:tcPr>
            <w:tcW w:w="1615" w:type="dxa"/>
            <w:noWrap/>
            <w:hideMark/>
          </w:tcPr>
          <w:p w14:paraId="787F6EDF" w14:textId="20A02E6D"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Rear</w:t>
            </w:r>
            <w:r w:rsidR="006B6676">
              <w:rPr>
                <w:rFonts w:ascii="Arial" w:hAnsi="Arial" w:cs="Arial"/>
                <w:b/>
                <w:bCs/>
                <w:sz w:val="18"/>
                <w:szCs w:val="18"/>
                <w:lang w:val="en-GB"/>
              </w:rPr>
              <w:t xml:space="preserve"> </w:t>
            </w:r>
            <w:r w:rsidRPr="00F26A3E">
              <w:rPr>
                <w:rFonts w:ascii="Arial" w:hAnsi="Arial" w:cs="Arial"/>
                <w:b/>
                <w:bCs/>
                <w:sz w:val="18"/>
                <w:szCs w:val="18"/>
                <w:lang w:val="en-GB"/>
              </w:rPr>
              <w:t>Brakes</w:t>
            </w:r>
          </w:p>
        </w:tc>
        <w:tc>
          <w:tcPr>
            <w:tcW w:w="1800" w:type="dxa"/>
            <w:hideMark/>
          </w:tcPr>
          <w:p w14:paraId="4BCD4CD5" w14:textId="12CE67F5"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153</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Drum,</w:t>
            </w:r>
            <w:r w:rsidR="006B6676">
              <w:rPr>
                <w:rFonts w:ascii="Arial" w:hAnsi="Arial" w:cs="Arial"/>
                <w:sz w:val="18"/>
                <w:szCs w:val="18"/>
                <w:lang w:val="en-GB"/>
              </w:rPr>
              <w:t xml:space="preserve"> </w:t>
            </w:r>
            <w:r w:rsidR="00B44EE7">
              <w:rPr>
                <w:rFonts w:ascii="Arial" w:hAnsi="Arial" w:cs="Arial"/>
                <w:sz w:val="18"/>
                <w:szCs w:val="18"/>
                <w:lang w:val="en-GB"/>
              </w:rPr>
              <w:br/>
            </w: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Lead</w:t>
            </w:r>
            <w:r w:rsidR="006B6676">
              <w:rPr>
                <w:rFonts w:ascii="Arial" w:hAnsi="Arial" w:cs="Arial"/>
                <w:sz w:val="18"/>
                <w:szCs w:val="18"/>
                <w:lang w:val="en-GB"/>
              </w:rPr>
              <w:t xml:space="preserve"> </w:t>
            </w:r>
            <w:r w:rsidRPr="00F26A3E">
              <w:rPr>
                <w:rFonts w:ascii="Arial" w:hAnsi="Arial" w:cs="Arial"/>
                <w:sz w:val="18"/>
                <w:szCs w:val="18"/>
                <w:lang w:val="en-GB"/>
              </w:rPr>
              <w:t>Internal</w:t>
            </w:r>
            <w:r w:rsidR="006B6676">
              <w:rPr>
                <w:rFonts w:ascii="Arial" w:hAnsi="Arial" w:cs="Arial"/>
                <w:sz w:val="18"/>
                <w:szCs w:val="18"/>
                <w:lang w:val="en-GB"/>
              </w:rPr>
              <w:t xml:space="preserve"> </w:t>
            </w:r>
            <w:r w:rsidRPr="00F26A3E">
              <w:rPr>
                <w:rFonts w:ascii="Arial" w:hAnsi="Arial" w:cs="Arial"/>
                <w:sz w:val="18"/>
                <w:szCs w:val="18"/>
                <w:lang w:val="en-GB"/>
              </w:rPr>
              <w:t>Expanding</w:t>
            </w:r>
          </w:p>
        </w:tc>
        <w:tc>
          <w:tcPr>
            <w:tcW w:w="1800" w:type="dxa"/>
            <w:hideMark/>
          </w:tcPr>
          <w:p w14:paraId="1E096FE8" w14:textId="27C9F995"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240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00B44EE7">
              <w:rPr>
                <w:rFonts w:ascii="Arial" w:hAnsi="Arial" w:cs="Arial"/>
                <w:sz w:val="18"/>
                <w:szCs w:val="18"/>
                <w:lang w:val="en-GB"/>
              </w:rPr>
              <w:br/>
            </w: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Caliper/153</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Drum</w:t>
            </w:r>
            <w:r w:rsidR="006B6676">
              <w:rPr>
                <w:rFonts w:ascii="Arial" w:hAnsi="Arial" w:cs="Arial"/>
                <w:sz w:val="18"/>
                <w:szCs w:val="18"/>
                <w:lang w:val="en-GB"/>
              </w:rPr>
              <w:t xml:space="preserve"> </w:t>
            </w: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Lead</w:t>
            </w:r>
            <w:r w:rsidR="006B6676">
              <w:rPr>
                <w:rFonts w:ascii="Arial" w:hAnsi="Arial" w:cs="Arial"/>
                <w:sz w:val="18"/>
                <w:szCs w:val="18"/>
                <w:lang w:val="en-GB"/>
              </w:rPr>
              <w:t xml:space="preserve"> </w:t>
            </w:r>
            <w:r w:rsidRPr="00F26A3E">
              <w:rPr>
                <w:rFonts w:ascii="Arial" w:hAnsi="Arial" w:cs="Arial"/>
                <w:sz w:val="18"/>
                <w:szCs w:val="18"/>
                <w:lang w:val="en-GB"/>
              </w:rPr>
              <w:t>External</w:t>
            </w:r>
            <w:r w:rsidR="006B6676">
              <w:rPr>
                <w:rFonts w:ascii="Arial" w:hAnsi="Arial" w:cs="Arial"/>
                <w:sz w:val="18"/>
                <w:szCs w:val="18"/>
                <w:lang w:val="en-GB"/>
              </w:rPr>
              <w:t xml:space="preserve"> </w:t>
            </w:r>
            <w:r w:rsidRPr="00F26A3E">
              <w:rPr>
                <w:rFonts w:ascii="Arial" w:hAnsi="Arial" w:cs="Arial"/>
                <w:sz w:val="18"/>
                <w:szCs w:val="18"/>
                <w:lang w:val="en-GB"/>
              </w:rPr>
              <w:t>Expanding</w:t>
            </w:r>
          </w:p>
        </w:tc>
        <w:tc>
          <w:tcPr>
            <w:tcW w:w="1800" w:type="dxa"/>
            <w:hideMark/>
          </w:tcPr>
          <w:p w14:paraId="6B16D9AA" w14:textId="02DAFE25"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240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00297B01">
              <w:rPr>
                <w:rFonts w:ascii="Arial" w:hAnsi="Arial" w:cs="Arial"/>
                <w:sz w:val="18"/>
                <w:szCs w:val="18"/>
                <w:lang w:val="en-GB"/>
              </w:rPr>
              <w:br/>
            </w: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Caliper</w:t>
            </w:r>
          </w:p>
        </w:tc>
        <w:tc>
          <w:tcPr>
            <w:tcW w:w="2331" w:type="dxa"/>
            <w:hideMark/>
          </w:tcPr>
          <w:p w14:paraId="66A94C69" w14:textId="3B69FD2F"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240</w:t>
            </w:r>
            <w:r w:rsidR="006B6676">
              <w:rPr>
                <w:rFonts w:ascii="Arial" w:hAnsi="Arial" w:cs="Arial"/>
                <w:sz w:val="18"/>
                <w:szCs w:val="18"/>
                <w:lang w:val="en-GB"/>
              </w:rPr>
              <w:t xml:space="preserve"> </w:t>
            </w:r>
            <w:r w:rsidRPr="00F26A3E">
              <w:rPr>
                <w:rFonts w:ascii="Arial" w:hAnsi="Arial" w:cs="Arial"/>
                <w:sz w:val="18"/>
                <w:szCs w:val="18"/>
                <w:lang w:val="en-GB"/>
              </w:rPr>
              <w:t>mm</w:t>
            </w:r>
            <w:r w:rsidR="006B6676">
              <w:rPr>
                <w:rFonts w:ascii="Arial" w:hAnsi="Arial" w:cs="Arial"/>
                <w:sz w:val="18"/>
                <w:szCs w:val="18"/>
                <w:lang w:val="en-GB"/>
              </w:rPr>
              <w:t xml:space="preserve"> </w:t>
            </w:r>
            <w:r w:rsidRPr="00F26A3E">
              <w:rPr>
                <w:rFonts w:ascii="Arial" w:hAnsi="Arial" w:cs="Arial"/>
                <w:sz w:val="18"/>
                <w:szCs w:val="18"/>
                <w:lang w:val="en-GB"/>
              </w:rPr>
              <w:t>Disc,</w:t>
            </w:r>
            <w:r w:rsidR="006B6676">
              <w:rPr>
                <w:rFonts w:ascii="Arial" w:hAnsi="Arial" w:cs="Arial"/>
                <w:sz w:val="18"/>
                <w:szCs w:val="18"/>
                <w:lang w:val="en-GB"/>
              </w:rPr>
              <w:t xml:space="preserve"> </w:t>
            </w:r>
            <w:r w:rsidR="00297B01">
              <w:rPr>
                <w:rFonts w:ascii="Arial" w:hAnsi="Arial" w:cs="Arial"/>
                <w:sz w:val="18"/>
                <w:szCs w:val="18"/>
                <w:lang w:val="en-GB"/>
              </w:rPr>
              <w:br/>
            </w: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Piston</w:t>
            </w:r>
            <w:r w:rsidR="006B6676">
              <w:rPr>
                <w:rFonts w:ascii="Arial" w:hAnsi="Arial" w:cs="Arial"/>
                <w:sz w:val="18"/>
                <w:szCs w:val="18"/>
                <w:lang w:val="en-GB"/>
              </w:rPr>
              <w:t xml:space="preserve"> </w:t>
            </w:r>
            <w:r w:rsidRPr="00F26A3E">
              <w:rPr>
                <w:rFonts w:ascii="Arial" w:hAnsi="Arial" w:cs="Arial"/>
                <w:sz w:val="18"/>
                <w:szCs w:val="18"/>
                <w:lang w:val="en-GB"/>
              </w:rPr>
              <w:t>Floating</w:t>
            </w:r>
            <w:r w:rsidR="006B6676">
              <w:rPr>
                <w:rFonts w:ascii="Arial" w:hAnsi="Arial" w:cs="Arial"/>
                <w:sz w:val="18"/>
                <w:szCs w:val="18"/>
                <w:lang w:val="en-GB"/>
              </w:rPr>
              <w:t xml:space="preserve"> </w:t>
            </w:r>
            <w:r w:rsidRPr="00F26A3E">
              <w:rPr>
                <w:rFonts w:ascii="Arial" w:hAnsi="Arial" w:cs="Arial"/>
                <w:sz w:val="18"/>
                <w:szCs w:val="18"/>
                <w:lang w:val="en-GB"/>
              </w:rPr>
              <w:t>Caliper</w:t>
            </w:r>
          </w:p>
        </w:tc>
      </w:tr>
      <w:tr w:rsidR="00F268A5" w:rsidRPr="00F26A3E" w14:paraId="27A256CA" w14:textId="77777777" w:rsidTr="00995787">
        <w:trPr>
          <w:trHeight w:val="70"/>
          <w:tblHeader/>
          <w:jc w:val="center"/>
        </w:trPr>
        <w:tc>
          <w:tcPr>
            <w:tcW w:w="1615" w:type="dxa"/>
            <w:noWrap/>
            <w:hideMark/>
          </w:tcPr>
          <w:p w14:paraId="0241F99D" w14:textId="0C0095AD"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Ignition</w:t>
            </w:r>
            <w:r w:rsidR="006B6676">
              <w:rPr>
                <w:rFonts w:ascii="Arial" w:hAnsi="Arial" w:cs="Arial"/>
                <w:b/>
                <w:bCs/>
                <w:sz w:val="18"/>
                <w:szCs w:val="18"/>
                <w:lang w:val="en-GB"/>
              </w:rPr>
              <w:t xml:space="preserve"> </w:t>
            </w:r>
            <w:r w:rsidRPr="00F26A3E">
              <w:rPr>
                <w:rFonts w:ascii="Arial" w:hAnsi="Arial" w:cs="Arial"/>
                <w:b/>
                <w:bCs/>
                <w:sz w:val="18"/>
                <w:szCs w:val="18"/>
                <w:lang w:val="en-GB"/>
              </w:rPr>
              <w:t>System</w:t>
            </w:r>
          </w:p>
        </w:tc>
        <w:tc>
          <w:tcPr>
            <w:tcW w:w="1800" w:type="dxa"/>
            <w:hideMark/>
          </w:tcPr>
          <w:p w14:paraId="3811B967" w14:textId="2B8507E1"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Digital</w:t>
            </w:r>
            <w:r w:rsidR="006B6676">
              <w:rPr>
                <w:rFonts w:ascii="Arial" w:hAnsi="Arial" w:cs="Arial"/>
                <w:sz w:val="18"/>
                <w:szCs w:val="18"/>
                <w:lang w:val="en-GB"/>
              </w:rPr>
              <w:t xml:space="preserve"> </w:t>
            </w:r>
            <w:r w:rsidRPr="00F26A3E">
              <w:rPr>
                <w:rFonts w:ascii="Arial" w:hAnsi="Arial" w:cs="Arial"/>
                <w:sz w:val="18"/>
                <w:szCs w:val="18"/>
                <w:lang w:val="en-GB"/>
              </w:rPr>
              <w:t>Dual</w:t>
            </w:r>
            <w:r w:rsidR="006B6676">
              <w:rPr>
                <w:rFonts w:ascii="Arial" w:hAnsi="Arial" w:cs="Arial"/>
                <w:sz w:val="18"/>
                <w:szCs w:val="18"/>
                <w:lang w:val="en-GB"/>
              </w:rPr>
              <w:t xml:space="preserve"> </w:t>
            </w:r>
            <w:r w:rsidRPr="00F26A3E">
              <w:rPr>
                <w:rFonts w:ascii="Arial" w:hAnsi="Arial" w:cs="Arial"/>
                <w:sz w:val="18"/>
                <w:szCs w:val="18"/>
                <w:lang w:val="en-GB"/>
              </w:rPr>
              <w:t>Spark,</w:t>
            </w:r>
            <w:r w:rsidR="006B6676">
              <w:rPr>
                <w:rFonts w:ascii="Arial" w:hAnsi="Arial" w:cs="Arial"/>
                <w:sz w:val="18"/>
                <w:szCs w:val="18"/>
                <w:lang w:val="en-GB"/>
              </w:rPr>
              <w:t xml:space="preserve"> </w:t>
            </w:r>
            <w:r w:rsidRPr="00F26A3E">
              <w:rPr>
                <w:rFonts w:ascii="Arial" w:hAnsi="Arial" w:cs="Arial"/>
                <w:sz w:val="18"/>
                <w:szCs w:val="18"/>
                <w:lang w:val="en-GB"/>
              </w:rPr>
              <w:t>T</w:t>
            </w:r>
            <w:r w:rsidR="00297B01" w:rsidRPr="00F26A3E">
              <w:rPr>
                <w:rFonts w:ascii="Arial" w:hAnsi="Arial" w:cs="Arial"/>
                <w:sz w:val="18"/>
                <w:szCs w:val="18"/>
                <w:lang w:val="en-GB"/>
              </w:rPr>
              <w:t>ransistori</w:t>
            </w:r>
            <w:r w:rsidR="00297B01">
              <w:rPr>
                <w:rFonts w:ascii="Arial" w:hAnsi="Arial" w:cs="Arial"/>
                <w:sz w:val="18"/>
                <w:szCs w:val="18"/>
                <w:lang w:val="en-GB"/>
              </w:rPr>
              <w:t>z</w:t>
            </w:r>
            <w:r w:rsidR="00297B01" w:rsidRPr="00F26A3E">
              <w:rPr>
                <w:rFonts w:ascii="Arial" w:hAnsi="Arial" w:cs="Arial"/>
                <w:sz w:val="18"/>
                <w:szCs w:val="18"/>
                <w:lang w:val="en-GB"/>
              </w:rPr>
              <w:t>ed</w:t>
            </w:r>
            <w:r w:rsidR="006B6676">
              <w:rPr>
                <w:rFonts w:ascii="Arial" w:hAnsi="Arial" w:cs="Arial"/>
                <w:sz w:val="18"/>
                <w:szCs w:val="18"/>
                <w:lang w:val="en-GB"/>
              </w:rPr>
              <w:t xml:space="preserve"> </w:t>
            </w:r>
            <w:r w:rsidR="00297B01" w:rsidRPr="00F26A3E">
              <w:rPr>
                <w:rFonts w:ascii="Arial" w:hAnsi="Arial" w:cs="Arial"/>
                <w:sz w:val="18"/>
                <w:szCs w:val="18"/>
                <w:lang w:val="en-GB"/>
              </w:rPr>
              <w:t>Coil</w:t>
            </w:r>
            <w:r w:rsidR="006B6676">
              <w:rPr>
                <w:rFonts w:ascii="Arial" w:hAnsi="Arial" w:cs="Arial"/>
                <w:sz w:val="18"/>
                <w:szCs w:val="18"/>
                <w:lang w:val="en-GB"/>
              </w:rPr>
              <w:t xml:space="preserve"> </w:t>
            </w:r>
            <w:r w:rsidR="00297B01" w:rsidRPr="00F26A3E">
              <w:rPr>
                <w:rFonts w:ascii="Arial" w:hAnsi="Arial" w:cs="Arial"/>
                <w:sz w:val="18"/>
                <w:szCs w:val="18"/>
                <w:lang w:val="en-GB"/>
              </w:rPr>
              <w:t>Ignition</w:t>
            </w:r>
          </w:p>
        </w:tc>
        <w:tc>
          <w:tcPr>
            <w:tcW w:w="1800" w:type="dxa"/>
            <w:hideMark/>
          </w:tcPr>
          <w:p w14:paraId="1B027532" w14:textId="477BCEEA"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Transistori</w:t>
            </w:r>
            <w:r w:rsidR="007B59CD">
              <w:rPr>
                <w:rFonts w:ascii="Arial" w:hAnsi="Arial" w:cs="Arial"/>
                <w:sz w:val="18"/>
                <w:szCs w:val="18"/>
                <w:lang w:val="en-GB"/>
              </w:rPr>
              <w:t>z</w:t>
            </w:r>
            <w:r w:rsidRPr="00F26A3E">
              <w:rPr>
                <w:rFonts w:ascii="Arial" w:hAnsi="Arial" w:cs="Arial"/>
                <w:sz w:val="18"/>
                <w:szCs w:val="18"/>
                <w:lang w:val="en-GB"/>
              </w:rPr>
              <w:t>ed</w:t>
            </w:r>
            <w:r w:rsidR="006B6676">
              <w:rPr>
                <w:rFonts w:ascii="Arial" w:hAnsi="Arial" w:cs="Arial"/>
                <w:sz w:val="18"/>
                <w:szCs w:val="18"/>
                <w:lang w:val="en-GB"/>
              </w:rPr>
              <w:t xml:space="preserve"> </w:t>
            </w:r>
            <w:r w:rsidRPr="00F26A3E">
              <w:rPr>
                <w:rFonts w:ascii="Arial" w:hAnsi="Arial" w:cs="Arial"/>
                <w:sz w:val="18"/>
                <w:szCs w:val="18"/>
                <w:lang w:val="en-GB"/>
              </w:rPr>
              <w:t>Coil</w:t>
            </w:r>
            <w:r w:rsidR="006B6676">
              <w:rPr>
                <w:rFonts w:ascii="Arial" w:hAnsi="Arial" w:cs="Arial"/>
                <w:sz w:val="18"/>
                <w:szCs w:val="18"/>
                <w:lang w:val="en-GB"/>
              </w:rPr>
              <w:t xml:space="preserve"> </w:t>
            </w:r>
            <w:r w:rsidRPr="00F26A3E">
              <w:rPr>
                <w:rFonts w:ascii="Arial" w:hAnsi="Arial" w:cs="Arial"/>
                <w:sz w:val="18"/>
                <w:szCs w:val="18"/>
                <w:lang w:val="en-GB"/>
              </w:rPr>
              <w:t>Ignition</w:t>
            </w:r>
          </w:p>
        </w:tc>
        <w:tc>
          <w:tcPr>
            <w:tcW w:w="1800" w:type="dxa"/>
            <w:hideMark/>
          </w:tcPr>
          <w:p w14:paraId="4856C24D" w14:textId="7C36978A"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Transistori</w:t>
            </w:r>
            <w:r w:rsidR="007B59CD">
              <w:rPr>
                <w:rFonts w:ascii="Arial" w:hAnsi="Arial" w:cs="Arial"/>
                <w:sz w:val="18"/>
                <w:szCs w:val="18"/>
                <w:lang w:val="en-GB"/>
              </w:rPr>
              <w:t>z</w:t>
            </w:r>
            <w:r w:rsidRPr="00F26A3E">
              <w:rPr>
                <w:rFonts w:ascii="Arial" w:hAnsi="Arial" w:cs="Arial"/>
                <w:sz w:val="18"/>
                <w:szCs w:val="18"/>
                <w:lang w:val="en-GB"/>
              </w:rPr>
              <w:t>ed</w:t>
            </w:r>
            <w:r w:rsidR="006B6676">
              <w:rPr>
                <w:rFonts w:ascii="Arial" w:hAnsi="Arial" w:cs="Arial"/>
                <w:sz w:val="18"/>
                <w:szCs w:val="18"/>
                <w:lang w:val="en-GB"/>
              </w:rPr>
              <w:t xml:space="preserve"> </w:t>
            </w:r>
            <w:r w:rsidRPr="00F26A3E">
              <w:rPr>
                <w:rFonts w:ascii="Arial" w:hAnsi="Arial" w:cs="Arial"/>
                <w:sz w:val="18"/>
                <w:szCs w:val="18"/>
                <w:lang w:val="en-GB"/>
              </w:rPr>
              <w:t>Coil</w:t>
            </w:r>
            <w:r w:rsidR="006B6676">
              <w:rPr>
                <w:rFonts w:ascii="Arial" w:hAnsi="Arial" w:cs="Arial"/>
                <w:sz w:val="18"/>
                <w:szCs w:val="18"/>
                <w:lang w:val="en-GB"/>
              </w:rPr>
              <w:t xml:space="preserve"> </w:t>
            </w:r>
            <w:r w:rsidRPr="00F26A3E">
              <w:rPr>
                <w:rFonts w:ascii="Arial" w:hAnsi="Arial" w:cs="Arial"/>
                <w:sz w:val="18"/>
                <w:szCs w:val="18"/>
                <w:lang w:val="en-GB"/>
              </w:rPr>
              <w:t>Ignition</w:t>
            </w:r>
          </w:p>
        </w:tc>
        <w:tc>
          <w:tcPr>
            <w:tcW w:w="2331" w:type="dxa"/>
            <w:hideMark/>
          </w:tcPr>
          <w:p w14:paraId="4368D439" w14:textId="53CDAFEE"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Digital</w:t>
            </w:r>
            <w:r w:rsidR="006B6676">
              <w:rPr>
                <w:rFonts w:ascii="Arial" w:hAnsi="Arial" w:cs="Arial"/>
                <w:sz w:val="18"/>
                <w:szCs w:val="18"/>
                <w:lang w:val="en-GB"/>
              </w:rPr>
              <w:t xml:space="preserve"> </w:t>
            </w:r>
            <w:r w:rsidRPr="00F26A3E">
              <w:rPr>
                <w:rFonts w:ascii="Arial" w:hAnsi="Arial" w:cs="Arial"/>
                <w:sz w:val="18"/>
                <w:szCs w:val="18"/>
                <w:lang w:val="en-GB"/>
              </w:rPr>
              <w:t>Electronic</w:t>
            </w:r>
            <w:r w:rsidR="006B6676">
              <w:rPr>
                <w:rFonts w:ascii="Arial" w:hAnsi="Arial" w:cs="Arial"/>
                <w:sz w:val="18"/>
                <w:szCs w:val="18"/>
                <w:lang w:val="en-GB"/>
              </w:rPr>
              <w:t xml:space="preserve"> </w:t>
            </w:r>
            <w:r w:rsidRPr="00F26A3E">
              <w:rPr>
                <w:rFonts w:ascii="Arial" w:hAnsi="Arial" w:cs="Arial"/>
                <w:sz w:val="18"/>
                <w:szCs w:val="18"/>
                <w:lang w:val="en-GB"/>
              </w:rPr>
              <w:t>Ignition</w:t>
            </w:r>
          </w:p>
        </w:tc>
      </w:tr>
      <w:tr w:rsidR="00F268A5" w:rsidRPr="00F26A3E" w14:paraId="6FE05575" w14:textId="77777777" w:rsidTr="00995787">
        <w:trPr>
          <w:trHeight w:val="70"/>
          <w:tblHeader/>
          <w:jc w:val="center"/>
        </w:trPr>
        <w:tc>
          <w:tcPr>
            <w:tcW w:w="1615" w:type="dxa"/>
            <w:noWrap/>
            <w:hideMark/>
          </w:tcPr>
          <w:p w14:paraId="19E8532F" w14:textId="68D64190"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Chassis</w:t>
            </w:r>
            <w:r w:rsidR="006B6676">
              <w:rPr>
                <w:rFonts w:ascii="Arial" w:hAnsi="Arial" w:cs="Arial"/>
                <w:b/>
                <w:bCs/>
                <w:sz w:val="18"/>
                <w:szCs w:val="18"/>
                <w:lang w:val="en-GB"/>
              </w:rPr>
              <w:t xml:space="preserve"> </w:t>
            </w:r>
            <w:r w:rsidRPr="00F26A3E">
              <w:rPr>
                <w:rFonts w:ascii="Arial" w:hAnsi="Arial" w:cs="Arial"/>
                <w:b/>
                <w:bCs/>
                <w:sz w:val="18"/>
                <w:szCs w:val="18"/>
                <w:lang w:val="en-GB"/>
              </w:rPr>
              <w:t>Type</w:t>
            </w:r>
          </w:p>
        </w:tc>
        <w:tc>
          <w:tcPr>
            <w:tcW w:w="1800" w:type="dxa"/>
            <w:hideMark/>
          </w:tcPr>
          <w:p w14:paraId="00CBF6B6" w14:textId="3F959EC6"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Downtube,</w:t>
            </w:r>
            <w:r w:rsidR="006B6676">
              <w:rPr>
                <w:rFonts w:ascii="Arial" w:hAnsi="Arial" w:cs="Arial"/>
                <w:sz w:val="18"/>
                <w:szCs w:val="18"/>
                <w:lang w:val="en-GB"/>
              </w:rPr>
              <w:t xml:space="preserve"> </w:t>
            </w:r>
            <w:r w:rsidRPr="00F26A3E">
              <w:rPr>
                <w:rFonts w:ascii="Arial" w:hAnsi="Arial" w:cs="Arial"/>
                <w:sz w:val="18"/>
                <w:szCs w:val="18"/>
                <w:lang w:val="en-GB"/>
              </w:rPr>
              <w:t>Using</w:t>
            </w:r>
            <w:r w:rsidR="006B6676">
              <w:rPr>
                <w:rFonts w:ascii="Arial" w:hAnsi="Arial" w:cs="Arial"/>
                <w:sz w:val="18"/>
                <w:szCs w:val="18"/>
                <w:lang w:val="en-GB"/>
              </w:rPr>
              <w:t xml:space="preserve"> </w:t>
            </w:r>
            <w:r w:rsidRPr="00F26A3E">
              <w:rPr>
                <w:rFonts w:ascii="Arial" w:hAnsi="Arial" w:cs="Arial"/>
                <w:sz w:val="18"/>
                <w:szCs w:val="18"/>
                <w:lang w:val="en-GB"/>
              </w:rPr>
              <w:t>Engine</w:t>
            </w:r>
            <w:r w:rsidR="006B6676">
              <w:rPr>
                <w:rFonts w:ascii="Arial" w:hAnsi="Arial" w:cs="Arial"/>
                <w:sz w:val="18"/>
                <w:szCs w:val="18"/>
                <w:lang w:val="en-GB"/>
              </w:rPr>
              <w:t xml:space="preserve"> </w:t>
            </w:r>
            <w:r w:rsidRPr="00F26A3E">
              <w:rPr>
                <w:rFonts w:ascii="Arial" w:hAnsi="Arial" w:cs="Arial"/>
                <w:sz w:val="18"/>
                <w:szCs w:val="18"/>
                <w:lang w:val="en-GB"/>
              </w:rPr>
              <w:t>as</w:t>
            </w:r>
            <w:r w:rsidR="006B6676">
              <w:rPr>
                <w:rFonts w:ascii="Arial" w:hAnsi="Arial" w:cs="Arial"/>
                <w:sz w:val="18"/>
                <w:szCs w:val="18"/>
                <w:lang w:val="en-GB"/>
              </w:rPr>
              <w:t xml:space="preserve"> </w:t>
            </w:r>
            <w:r w:rsidRPr="00F26A3E">
              <w:rPr>
                <w:rFonts w:ascii="Arial" w:hAnsi="Arial" w:cs="Arial"/>
                <w:sz w:val="18"/>
                <w:szCs w:val="18"/>
                <w:lang w:val="en-GB"/>
              </w:rPr>
              <w:t>Stressed</w:t>
            </w:r>
            <w:r w:rsidR="006B6676">
              <w:rPr>
                <w:rFonts w:ascii="Arial" w:hAnsi="Arial" w:cs="Arial"/>
                <w:sz w:val="18"/>
                <w:szCs w:val="18"/>
                <w:lang w:val="en-GB"/>
              </w:rPr>
              <w:t xml:space="preserve"> </w:t>
            </w:r>
            <w:r w:rsidRPr="00F26A3E">
              <w:rPr>
                <w:rFonts w:ascii="Arial" w:hAnsi="Arial" w:cs="Arial"/>
                <w:sz w:val="18"/>
                <w:szCs w:val="18"/>
                <w:lang w:val="en-GB"/>
              </w:rPr>
              <w:t>Member</w:t>
            </w:r>
          </w:p>
        </w:tc>
        <w:tc>
          <w:tcPr>
            <w:tcW w:w="1800" w:type="dxa"/>
            <w:hideMark/>
          </w:tcPr>
          <w:p w14:paraId="2BC46648" w14:textId="7D7B8F6D"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Downtube,</w:t>
            </w:r>
            <w:r w:rsidR="006B6676">
              <w:rPr>
                <w:rFonts w:ascii="Arial" w:hAnsi="Arial" w:cs="Arial"/>
                <w:sz w:val="18"/>
                <w:szCs w:val="18"/>
                <w:lang w:val="en-GB"/>
              </w:rPr>
              <w:t xml:space="preserve"> </w:t>
            </w:r>
            <w:r w:rsidRPr="00F26A3E">
              <w:rPr>
                <w:rFonts w:ascii="Arial" w:hAnsi="Arial" w:cs="Arial"/>
                <w:sz w:val="18"/>
                <w:szCs w:val="18"/>
                <w:lang w:val="en-GB"/>
              </w:rPr>
              <w:t>Using</w:t>
            </w:r>
            <w:r w:rsidR="006B6676">
              <w:rPr>
                <w:rFonts w:ascii="Arial" w:hAnsi="Arial" w:cs="Arial"/>
                <w:sz w:val="18"/>
                <w:szCs w:val="18"/>
                <w:lang w:val="en-GB"/>
              </w:rPr>
              <w:t xml:space="preserve"> </w:t>
            </w:r>
            <w:r w:rsidRPr="00F26A3E">
              <w:rPr>
                <w:rFonts w:ascii="Arial" w:hAnsi="Arial" w:cs="Arial"/>
                <w:sz w:val="18"/>
                <w:szCs w:val="18"/>
                <w:lang w:val="en-GB"/>
              </w:rPr>
              <w:t>Engine</w:t>
            </w:r>
            <w:r w:rsidR="006B6676">
              <w:rPr>
                <w:rFonts w:ascii="Arial" w:hAnsi="Arial" w:cs="Arial"/>
                <w:sz w:val="18"/>
                <w:szCs w:val="18"/>
                <w:lang w:val="en-GB"/>
              </w:rPr>
              <w:t xml:space="preserve"> </w:t>
            </w:r>
            <w:r w:rsidRPr="00F26A3E">
              <w:rPr>
                <w:rFonts w:ascii="Arial" w:hAnsi="Arial" w:cs="Arial"/>
                <w:sz w:val="18"/>
                <w:szCs w:val="18"/>
                <w:lang w:val="en-GB"/>
              </w:rPr>
              <w:t>as</w:t>
            </w:r>
            <w:r w:rsidR="006B6676">
              <w:rPr>
                <w:rFonts w:ascii="Arial" w:hAnsi="Arial" w:cs="Arial"/>
                <w:sz w:val="18"/>
                <w:szCs w:val="18"/>
                <w:lang w:val="en-GB"/>
              </w:rPr>
              <w:t xml:space="preserve"> </w:t>
            </w:r>
            <w:r w:rsidRPr="00F26A3E">
              <w:rPr>
                <w:rFonts w:ascii="Arial" w:hAnsi="Arial" w:cs="Arial"/>
                <w:sz w:val="18"/>
                <w:szCs w:val="18"/>
                <w:lang w:val="en-GB"/>
              </w:rPr>
              <w:t>Stressed</w:t>
            </w:r>
            <w:r w:rsidR="006B6676">
              <w:rPr>
                <w:rFonts w:ascii="Arial" w:hAnsi="Arial" w:cs="Arial"/>
                <w:sz w:val="18"/>
                <w:szCs w:val="18"/>
                <w:lang w:val="en-GB"/>
              </w:rPr>
              <w:t xml:space="preserve"> </w:t>
            </w:r>
            <w:r w:rsidRPr="00F26A3E">
              <w:rPr>
                <w:rFonts w:ascii="Arial" w:hAnsi="Arial" w:cs="Arial"/>
                <w:sz w:val="18"/>
                <w:szCs w:val="18"/>
                <w:lang w:val="en-GB"/>
              </w:rPr>
              <w:t>Member</w:t>
            </w:r>
          </w:p>
        </w:tc>
        <w:tc>
          <w:tcPr>
            <w:tcW w:w="1800" w:type="dxa"/>
            <w:hideMark/>
          </w:tcPr>
          <w:p w14:paraId="28949A8C" w14:textId="61063300"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Single</w:t>
            </w:r>
            <w:r w:rsidR="006B6676">
              <w:rPr>
                <w:rFonts w:ascii="Arial" w:hAnsi="Arial" w:cs="Arial"/>
                <w:sz w:val="18"/>
                <w:szCs w:val="18"/>
                <w:lang w:val="en-GB"/>
              </w:rPr>
              <w:t xml:space="preserve"> </w:t>
            </w:r>
            <w:r w:rsidRPr="00F26A3E">
              <w:rPr>
                <w:rFonts w:ascii="Arial" w:hAnsi="Arial" w:cs="Arial"/>
                <w:sz w:val="18"/>
                <w:szCs w:val="18"/>
                <w:lang w:val="en-GB"/>
              </w:rPr>
              <w:t>Downtube,</w:t>
            </w:r>
            <w:r w:rsidR="006B6676">
              <w:rPr>
                <w:rFonts w:ascii="Arial" w:hAnsi="Arial" w:cs="Arial"/>
                <w:sz w:val="18"/>
                <w:szCs w:val="18"/>
                <w:lang w:val="en-GB"/>
              </w:rPr>
              <w:t xml:space="preserve"> </w:t>
            </w:r>
            <w:r w:rsidRPr="00F26A3E">
              <w:rPr>
                <w:rFonts w:ascii="Arial" w:hAnsi="Arial" w:cs="Arial"/>
                <w:sz w:val="18"/>
                <w:szCs w:val="18"/>
                <w:lang w:val="en-GB"/>
              </w:rPr>
              <w:t>Using</w:t>
            </w:r>
            <w:r w:rsidR="006B6676">
              <w:rPr>
                <w:rFonts w:ascii="Arial" w:hAnsi="Arial" w:cs="Arial"/>
                <w:sz w:val="18"/>
                <w:szCs w:val="18"/>
                <w:lang w:val="en-GB"/>
              </w:rPr>
              <w:t xml:space="preserve"> </w:t>
            </w:r>
            <w:r w:rsidRPr="00F26A3E">
              <w:rPr>
                <w:rFonts w:ascii="Arial" w:hAnsi="Arial" w:cs="Arial"/>
                <w:sz w:val="18"/>
                <w:szCs w:val="18"/>
                <w:lang w:val="en-GB"/>
              </w:rPr>
              <w:t>Engine</w:t>
            </w:r>
            <w:r w:rsidR="006B6676">
              <w:rPr>
                <w:rFonts w:ascii="Arial" w:hAnsi="Arial" w:cs="Arial"/>
                <w:sz w:val="18"/>
                <w:szCs w:val="18"/>
                <w:lang w:val="en-GB"/>
              </w:rPr>
              <w:t xml:space="preserve"> </w:t>
            </w:r>
            <w:r w:rsidRPr="00F26A3E">
              <w:rPr>
                <w:rFonts w:ascii="Arial" w:hAnsi="Arial" w:cs="Arial"/>
                <w:sz w:val="18"/>
                <w:szCs w:val="18"/>
                <w:lang w:val="en-GB"/>
              </w:rPr>
              <w:t>as</w:t>
            </w:r>
            <w:r w:rsidR="006B6676">
              <w:rPr>
                <w:rFonts w:ascii="Arial" w:hAnsi="Arial" w:cs="Arial"/>
                <w:sz w:val="18"/>
                <w:szCs w:val="18"/>
                <w:lang w:val="en-GB"/>
              </w:rPr>
              <w:t xml:space="preserve"> </w:t>
            </w:r>
            <w:r w:rsidRPr="00F26A3E">
              <w:rPr>
                <w:rFonts w:ascii="Arial" w:hAnsi="Arial" w:cs="Arial"/>
                <w:sz w:val="18"/>
                <w:szCs w:val="18"/>
                <w:lang w:val="en-GB"/>
              </w:rPr>
              <w:t>Stressed</w:t>
            </w:r>
            <w:r w:rsidR="006B6676">
              <w:rPr>
                <w:rFonts w:ascii="Arial" w:hAnsi="Arial" w:cs="Arial"/>
                <w:sz w:val="18"/>
                <w:szCs w:val="18"/>
                <w:lang w:val="en-GB"/>
              </w:rPr>
              <w:t xml:space="preserve"> </w:t>
            </w:r>
            <w:r w:rsidRPr="00F26A3E">
              <w:rPr>
                <w:rFonts w:ascii="Arial" w:hAnsi="Arial" w:cs="Arial"/>
                <w:sz w:val="18"/>
                <w:szCs w:val="18"/>
                <w:lang w:val="en-GB"/>
              </w:rPr>
              <w:t>Member</w:t>
            </w:r>
          </w:p>
        </w:tc>
        <w:tc>
          <w:tcPr>
            <w:tcW w:w="2331" w:type="dxa"/>
            <w:hideMark/>
          </w:tcPr>
          <w:p w14:paraId="67F9A949" w14:textId="24ED711C"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Half-Duplex</w:t>
            </w:r>
            <w:r w:rsidR="006B6676">
              <w:rPr>
                <w:rFonts w:ascii="Arial" w:hAnsi="Arial" w:cs="Arial"/>
                <w:sz w:val="18"/>
                <w:szCs w:val="18"/>
                <w:lang w:val="en-GB"/>
              </w:rPr>
              <w:t xml:space="preserve"> </w:t>
            </w:r>
            <w:r w:rsidRPr="00F26A3E">
              <w:rPr>
                <w:rFonts w:ascii="Arial" w:hAnsi="Arial" w:cs="Arial"/>
                <w:sz w:val="18"/>
                <w:szCs w:val="18"/>
                <w:lang w:val="en-GB"/>
              </w:rPr>
              <w:t>Split</w:t>
            </w:r>
            <w:r w:rsidR="006B6676">
              <w:rPr>
                <w:rFonts w:ascii="Arial" w:hAnsi="Arial" w:cs="Arial"/>
                <w:sz w:val="18"/>
                <w:szCs w:val="18"/>
                <w:lang w:val="en-GB"/>
              </w:rPr>
              <w:t xml:space="preserve"> </w:t>
            </w:r>
            <w:r w:rsidRPr="00F26A3E">
              <w:rPr>
                <w:rFonts w:ascii="Arial" w:hAnsi="Arial" w:cs="Arial"/>
                <w:sz w:val="18"/>
                <w:szCs w:val="18"/>
                <w:lang w:val="en-GB"/>
              </w:rPr>
              <w:t>Cradle</w:t>
            </w:r>
            <w:r w:rsidR="006B6676">
              <w:rPr>
                <w:rFonts w:ascii="Arial" w:hAnsi="Arial" w:cs="Arial"/>
                <w:sz w:val="18"/>
                <w:szCs w:val="18"/>
                <w:lang w:val="en-GB"/>
              </w:rPr>
              <w:t xml:space="preserve"> </w:t>
            </w:r>
            <w:r w:rsidRPr="00F26A3E">
              <w:rPr>
                <w:rFonts w:ascii="Arial" w:hAnsi="Arial" w:cs="Arial"/>
                <w:sz w:val="18"/>
                <w:szCs w:val="18"/>
                <w:lang w:val="en-GB"/>
              </w:rPr>
              <w:t>Frame</w:t>
            </w:r>
          </w:p>
        </w:tc>
      </w:tr>
      <w:tr w:rsidR="00F268A5" w:rsidRPr="00F26A3E" w14:paraId="0082F553" w14:textId="77777777" w:rsidTr="00995787">
        <w:trPr>
          <w:trHeight w:val="70"/>
          <w:tblHeader/>
          <w:jc w:val="center"/>
        </w:trPr>
        <w:tc>
          <w:tcPr>
            <w:tcW w:w="1615" w:type="dxa"/>
            <w:noWrap/>
            <w:hideMark/>
          </w:tcPr>
          <w:p w14:paraId="0C3B5C4C" w14:textId="77777777"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Wheelbase</w:t>
            </w:r>
          </w:p>
        </w:tc>
        <w:tc>
          <w:tcPr>
            <w:tcW w:w="1800" w:type="dxa"/>
            <w:hideMark/>
          </w:tcPr>
          <w:p w14:paraId="5C508D93" w14:textId="0EC51D9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w:t>
            </w:r>
            <w:r w:rsidR="0073656D">
              <w:rPr>
                <w:rFonts w:ascii="Arial" w:hAnsi="Arial" w:cs="Arial"/>
                <w:sz w:val="18"/>
                <w:szCs w:val="18"/>
                <w:lang w:val="en-GB"/>
              </w:rPr>
              <w:t>,</w:t>
            </w:r>
            <w:r w:rsidRPr="00F26A3E">
              <w:rPr>
                <w:rFonts w:ascii="Arial" w:hAnsi="Arial" w:cs="Arial"/>
                <w:sz w:val="18"/>
                <w:szCs w:val="18"/>
                <w:lang w:val="en-GB"/>
              </w:rPr>
              <w:t>395</w:t>
            </w:r>
            <w:r w:rsidR="006B6676">
              <w:rPr>
                <w:rFonts w:ascii="Arial" w:hAnsi="Arial" w:cs="Arial"/>
                <w:sz w:val="18"/>
                <w:szCs w:val="18"/>
                <w:lang w:val="en-GB"/>
              </w:rPr>
              <w:t xml:space="preserve"> </w:t>
            </w:r>
            <w:r w:rsidR="0073656D">
              <w:rPr>
                <w:rFonts w:ascii="Arial" w:hAnsi="Arial" w:cs="Arial"/>
                <w:sz w:val="18"/>
                <w:szCs w:val="18"/>
                <w:lang w:val="en-GB"/>
              </w:rPr>
              <w:t>mm</w:t>
            </w:r>
          </w:p>
        </w:tc>
        <w:tc>
          <w:tcPr>
            <w:tcW w:w="1800" w:type="dxa"/>
            <w:hideMark/>
          </w:tcPr>
          <w:p w14:paraId="19542290" w14:textId="761B487D"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w:t>
            </w:r>
            <w:r w:rsidR="0073656D">
              <w:rPr>
                <w:rFonts w:ascii="Arial" w:hAnsi="Arial" w:cs="Arial"/>
                <w:sz w:val="18"/>
                <w:szCs w:val="18"/>
                <w:lang w:val="en-GB"/>
              </w:rPr>
              <w:t>,</w:t>
            </w:r>
            <w:r w:rsidRPr="00F26A3E">
              <w:rPr>
                <w:rFonts w:ascii="Arial" w:hAnsi="Arial" w:cs="Arial"/>
                <w:sz w:val="18"/>
                <w:szCs w:val="18"/>
                <w:lang w:val="en-GB"/>
              </w:rPr>
              <w:t>390</w:t>
            </w:r>
            <w:r w:rsidR="006B6676">
              <w:rPr>
                <w:rFonts w:ascii="Arial" w:hAnsi="Arial" w:cs="Arial"/>
                <w:sz w:val="18"/>
                <w:szCs w:val="18"/>
                <w:lang w:val="en-GB"/>
              </w:rPr>
              <w:t xml:space="preserve"> </w:t>
            </w:r>
            <w:r w:rsidR="0073656D">
              <w:rPr>
                <w:rFonts w:ascii="Arial" w:hAnsi="Arial" w:cs="Arial"/>
                <w:sz w:val="18"/>
                <w:szCs w:val="18"/>
                <w:lang w:val="en-GB"/>
              </w:rPr>
              <w:t>mm</w:t>
            </w:r>
          </w:p>
        </w:tc>
        <w:tc>
          <w:tcPr>
            <w:tcW w:w="1800" w:type="dxa"/>
            <w:hideMark/>
          </w:tcPr>
          <w:p w14:paraId="4BBE9FD7" w14:textId="4359EBD9"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w:t>
            </w:r>
            <w:r w:rsidR="0073656D">
              <w:rPr>
                <w:rFonts w:ascii="Arial" w:hAnsi="Arial" w:cs="Arial"/>
                <w:sz w:val="18"/>
                <w:szCs w:val="18"/>
                <w:lang w:val="en-GB"/>
              </w:rPr>
              <w:t>,</w:t>
            </w:r>
            <w:r w:rsidRPr="00F26A3E">
              <w:rPr>
                <w:rFonts w:ascii="Arial" w:hAnsi="Arial" w:cs="Arial"/>
                <w:sz w:val="18"/>
                <w:szCs w:val="18"/>
                <w:lang w:val="en-GB"/>
              </w:rPr>
              <w:t>350</w:t>
            </w:r>
            <w:r w:rsidR="006B6676">
              <w:rPr>
                <w:rFonts w:ascii="Arial" w:hAnsi="Arial" w:cs="Arial"/>
                <w:sz w:val="18"/>
                <w:szCs w:val="18"/>
                <w:lang w:val="en-GB"/>
              </w:rPr>
              <w:t xml:space="preserve"> </w:t>
            </w:r>
            <w:r w:rsidR="0073656D">
              <w:rPr>
                <w:rFonts w:ascii="Arial" w:hAnsi="Arial" w:cs="Arial"/>
                <w:sz w:val="18"/>
                <w:szCs w:val="18"/>
                <w:lang w:val="en-GB"/>
              </w:rPr>
              <w:t>mm</w:t>
            </w:r>
          </w:p>
        </w:tc>
        <w:tc>
          <w:tcPr>
            <w:tcW w:w="2331" w:type="dxa"/>
            <w:hideMark/>
          </w:tcPr>
          <w:p w14:paraId="6B06D76A" w14:textId="4FCDDFBC"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w:t>
            </w:r>
            <w:r w:rsidR="0073656D">
              <w:rPr>
                <w:rFonts w:ascii="Arial" w:hAnsi="Arial" w:cs="Arial"/>
                <w:sz w:val="18"/>
                <w:szCs w:val="18"/>
                <w:lang w:val="en-GB"/>
              </w:rPr>
              <w:t>,</w:t>
            </w:r>
            <w:r w:rsidRPr="00F26A3E">
              <w:rPr>
                <w:rFonts w:ascii="Arial" w:hAnsi="Arial" w:cs="Arial"/>
                <w:sz w:val="18"/>
                <w:szCs w:val="18"/>
                <w:lang w:val="en-GB"/>
              </w:rPr>
              <w:t>465</w:t>
            </w:r>
            <w:r w:rsidR="006B6676">
              <w:rPr>
                <w:rFonts w:ascii="Arial" w:hAnsi="Arial" w:cs="Arial"/>
                <w:sz w:val="18"/>
                <w:szCs w:val="18"/>
                <w:lang w:val="en-GB"/>
              </w:rPr>
              <w:t xml:space="preserve"> </w:t>
            </w:r>
            <w:r w:rsidR="0073656D">
              <w:rPr>
                <w:rFonts w:ascii="Arial" w:hAnsi="Arial" w:cs="Arial"/>
                <w:sz w:val="18"/>
                <w:szCs w:val="18"/>
                <w:lang w:val="en-GB"/>
              </w:rPr>
              <w:t>mm</w:t>
            </w:r>
          </w:p>
        </w:tc>
      </w:tr>
      <w:tr w:rsidR="00F268A5" w:rsidRPr="00F26A3E" w14:paraId="663DCFA6" w14:textId="77777777" w:rsidTr="00995787">
        <w:trPr>
          <w:trHeight w:val="70"/>
          <w:tblHeader/>
          <w:jc w:val="center"/>
        </w:trPr>
        <w:tc>
          <w:tcPr>
            <w:tcW w:w="1615" w:type="dxa"/>
            <w:noWrap/>
            <w:hideMark/>
          </w:tcPr>
          <w:p w14:paraId="3B0A0F59" w14:textId="160AA210"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Kerb</w:t>
            </w:r>
            <w:r w:rsidR="006B6676">
              <w:rPr>
                <w:rFonts w:ascii="Arial" w:hAnsi="Arial" w:cs="Arial"/>
                <w:b/>
                <w:bCs/>
                <w:sz w:val="18"/>
                <w:szCs w:val="18"/>
                <w:lang w:val="en-GB"/>
              </w:rPr>
              <w:t xml:space="preserve"> </w:t>
            </w:r>
            <w:r w:rsidRPr="00F26A3E">
              <w:rPr>
                <w:rFonts w:ascii="Arial" w:hAnsi="Arial" w:cs="Arial"/>
                <w:b/>
                <w:bCs/>
                <w:sz w:val="18"/>
                <w:szCs w:val="18"/>
                <w:lang w:val="en-GB"/>
              </w:rPr>
              <w:t>Weight</w:t>
            </w:r>
          </w:p>
        </w:tc>
        <w:tc>
          <w:tcPr>
            <w:tcW w:w="1800" w:type="dxa"/>
            <w:hideMark/>
          </w:tcPr>
          <w:p w14:paraId="0BFBAAE5" w14:textId="651CB6CE"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185</w:t>
            </w:r>
            <w:r w:rsidR="006B6676">
              <w:rPr>
                <w:rFonts w:ascii="Arial" w:hAnsi="Arial" w:cs="Arial"/>
                <w:sz w:val="18"/>
                <w:szCs w:val="18"/>
                <w:lang w:val="en-GB"/>
              </w:rPr>
              <w:t xml:space="preserve"> </w:t>
            </w:r>
            <w:r w:rsidR="0073656D">
              <w:rPr>
                <w:rFonts w:ascii="Arial" w:hAnsi="Arial" w:cs="Arial"/>
                <w:sz w:val="18"/>
                <w:szCs w:val="18"/>
                <w:lang w:val="en-GB"/>
              </w:rPr>
              <w:t>kg</w:t>
            </w:r>
            <w:r w:rsidR="006B6676">
              <w:rPr>
                <w:rFonts w:ascii="Arial" w:hAnsi="Arial" w:cs="Arial"/>
                <w:sz w:val="18"/>
                <w:szCs w:val="18"/>
                <w:lang w:val="en-GB"/>
              </w:rPr>
              <w:t xml:space="preserve"> </w:t>
            </w:r>
            <w:r w:rsidRPr="00F26A3E">
              <w:rPr>
                <w:rFonts w:ascii="Arial" w:hAnsi="Arial" w:cs="Arial"/>
                <w:sz w:val="18"/>
                <w:szCs w:val="18"/>
                <w:lang w:val="en-GB"/>
              </w:rPr>
              <w:t>(</w:t>
            </w:r>
            <w:r w:rsidR="0073656D">
              <w:rPr>
                <w:rFonts w:ascii="Arial" w:hAnsi="Arial" w:cs="Arial"/>
                <w:sz w:val="18"/>
                <w:szCs w:val="18"/>
                <w:lang w:val="en-GB"/>
              </w:rPr>
              <w:t>w</w:t>
            </w:r>
            <w:r w:rsidRPr="00F26A3E">
              <w:rPr>
                <w:rFonts w:ascii="Arial" w:hAnsi="Arial" w:cs="Arial"/>
                <w:sz w:val="18"/>
                <w:szCs w:val="18"/>
                <w:lang w:val="en-GB"/>
              </w:rPr>
              <w:t>ith</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Fuel</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Oil)</w:t>
            </w:r>
          </w:p>
        </w:tc>
        <w:tc>
          <w:tcPr>
            <w:tcW w:w="1800" w:type="dxa"/>
            <w:hideMark/>
          </w:tcPr>
          <w:p w14:paraId="50D7BECD" w14:textId="4FF84D94"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194</w:t>
            </w:r>
            <w:r w:rsidR="006B6676">
              <w:rPr>
                <w:rFonts w:ascii="Arial" w:hAnsi="Arial" w:cs="Arial"/>
                <w:sz w:val="18"/>
                <w:szCs w:val="18"/>
                <w:lang w:val="en-GB"/>
              </w:rPr>
              <w:t xml:space="preserve"> </w:t>
            </w:r>
            <w:r w:rsidR="0073656D">
              <w:rPr>
                <w:rFonts w:ascii="Arial" w:hAnsi="Arial" w:cs="Arial"/>
                <w:sz w:val="18"/>
                <w:szCs w:val="18"/>
                <w:lang w:val="en-GB"/>
              </w:rPr>
              <w:t>kg</w:t>
            </w:r>
            <w:r w:rsidR="006B6676">
              <w:rPr>
                <w:rFonts w:ascii="Arial" w:hAnsi="Arial" w:cs="Arial"/>
                <w:sz w:val="18"/>
                <w:szCs w:val="18"/>
                <w:lang w:val="en-GB"/>
              </w:rPr>
              <w:t xml:space="preserve"> </w:t>
            </w:r>
            <w:r w:rsidRPr="00F26A3E">
              <w:rPr>
                <w:rFonts w:ascii="Arial" w:hAnsi="Arial" w:cs="Arial"/>
                <w:sz w:val="18"/>
                <w:szCs w:val="18"/>
                <w:lang w:val="en-GB"/>
              </w:rPr>
              <w:t>(</w:t>
            </w:r>
            <w:r w:rsidR="0073656D">
              <w:rPr>
                <w:rFonts w:ascii="Arial" w:hAnsi="Arial" w:cs="Arial"/>
                <w:sz w:val="18"/>
                <w:szCs w:val="18"/>
                <w:lang w:val="en-GB"/>
              </w:rPr>
              <w:t>w</w:t>
            </w:r>
            <w:r w:rsidRPr="00F26A3E">
              <w:rPr>
                <w:rFonts w:ascii="Arial" w:hAnsi="Arial" w:cs="Arial"/>
                <w:sz w:val="18"/>
                <w:szCs w:val="18"/>
                <w:lang w:val="en-GB"/>
              </w:rPr>
              <w:t>ith</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Fuel</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Oil)</w:t>
            </w:r>
          </w:p>
        </w:tc>
        <w:tc>
          <w:tcPr>
            <w:tcW w:w="1800" w:type="dxa"/>
            <w:hideMark/>
          </w:tcPr>
          <w:p w14:paraId="7FBF8D5E" w14:textId="097146C1"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197</w:t>
            </w:r>
            <w:r w:rsidR="006B6676">
              <w:rPr>
                <w:rFonts w:ascii="Arial" w:hAnsi="Arial" w:cs="Arial"/>
                <w:sz w:val="18"/>
                <w:szCs w:val="18"/>
                <w:lang w:val="en-GB"/>
              </w:rPr>
              <w:t xml:space="preserve"> </w:t>
            </w:r>
            <w:r w:rsidR="0073656D">
              <w:rPr>
                <w:rFonts w:ascii="Arial" w:hAnsi="Arial" w:cs="Arial"/>
                <w:sz w:val="18"/>
                <w:szCs w:val="18"/>
                <w:lang w:val="en-GB"/>
              </w:rPr>
              <w:t>kg</w:t>
            </w:r>
            <w:r w:rsidR="006B6676">
              <w:rPr>
                <w:rFonts w:ascii="Arial" w:hAnsi="Arial" w:cs="Arial"/>
                <w:sz w:val="18"/>
                <w:szCs w:val="18"/>
                <w:lang w:val="en-GB"/>
              </w:rPr>
              <w:t xml:space="preserve"> </w:t>
            </w:r>
            <w:r w:rsidRPr="00F26A3E">
              <w:rPr>
                <w:rFonts w:ascii="Arial" w:hAnsi="Arial" w:cs="Arial"/>
                <w:sz w:val="18"/>
                <w:szCs w:val="18"/>
                <w:lang w:val="en-GB"/>
              </w:rPr>
              <w:t>(</w:t>
            </w:r>
            <w:r w:rsidR="0073656D">
              <w:rPr>
                <w:rFonts w:ascii="Arial" w:hAnsi="Arial" w:cs="Arial"/>
                <w:sz w:val="18"/>
                <w:szCs w:val="18"/>
                <w:lang w:val="en-GB"/>
              </w:rPr>
              <w:t>w</w:t>
            </w:r>
            <w:r w:rsidRPr="00F26A3E">
              <w:rPr>
                <w:rFonts w:ascii="Arial" w:hAnsi="Arial" w:cs="Arial"/>
                <w:sz w:val="18"/>
                <w:szCs w:val="18"/>
                <w:lang w:val="en-GB"/>
              </w:rPr>
              <w:t>ith</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Fuel</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Oil)</w:t>
            </w:r>
          </w:p>
        </w:tc>
        <w:tc>
          <w:tcPr>
            <w:tcW w:w="2331" w:type="dxa"/>
            <w:hideMark/>
          </w:tcPr>
          <w:p w14:paraId="729F599D" w14:textId="2598A611"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194</w:t>
            </w:r>
            <w:r w:rsidR="006B6676">
              <w:rPr>
                <w:rFonts w:ascii="Arial" w:hAnsi="Arial" w:cs="Arial"/>
                <w:sz w:val="18"/>
                <w:szCs w:val="18"/>
                <w:lang w:val="en-GB"/>
              </w:rPr>
              <w:t xml:space="preserve"> </w:t>
            </w:r>
            <w:r w:rsidR="0073656D">
              <w:rPr>
                <w:rFonts w:ascii="Arial" w:hAnsi="Arial" w:cs="Arial"/>
                <w:sz w:val="18"/>
                <w:szCs w:val="18"/>
                <w:lang w:val="en-GB"/>
              </w:rPr>
              <w:t>kg</w:t>
            </w:r>
            <w:r w:rsidR="006B6676">
              <w:rPr>
                <w:rFonts w:ascii="Arial" w:hAnsi="Arial" w:cs="Arial"/>
                <w:sz w:val="18"/>
                <w:szCs w:val="18"/>
                <w:lang w:val="en-GB"/>
              </w:rPr>
              <w:t xml:space="preserve"> </w:t>
            </w:r>
            <w:r w:rsidRPr="00F26A3E">
              <w:rPr>
                <w:rFonts w:ascii="Arial" w:hAnsi="Arial" w:cs="Arial"/>
                <w:sz w:val="18"/>
                <w:szCs w:val="18"/>
                <w:lang w:val="en-GB"/>
              </w:rPr>
              <w:t>(</w:t>
            </w:r>
            <w:r w:rsidR="0073656D">
              <w:rPr>
                <w:rFonts w:ascii="Arial" w:hAnsi="Arial" w:cs="Arial"/>
                <w:sz w:val="18"/>
                <w:szCs w:val="18"/>
                <w:lang w:val="en-GB"/>
              </w:rPr>
              <w:t>w</w:t>
            </w:r>
            <w:r w:rsidRPr="00F26A3E">
              <w:rPr>
                <w:rFonts w:ascii="Arial" w:hAnsi="Arial" w:cs="Arial"/>
                <w:sz w:val="18"/>
                <w:szCs w:val="18"/>
                <w:lang w:val="en-GB"/>
              </w:rPr>
              <w:t>ith</w:t>
            </w:r>
            <w:r w:rsidR="006B6676">
              <w:rPr>
                <w:rFonts w:ascii="Arial" w:hAnsi="Arial" w:cs="Arial"/>
                <w:sz w:val="18"/>
                <w:szCs w:val="18"/>
                <w:lang w:val="en-GB"/>
              </w:rPr>
              <w:t xml:space="preserve"> </w:t>
            </w:r>
            <w:r w:rsidRPr="00F26A3E">
              <w:rPr>
                <w:rFonts w:ascii="Arial" w:hAnsi="Arial" w:cs="Arial"/>
                <w:sz w:val="18"/>
                <w:szCs w:val="18"/>
                <w:lang w:val="en-GB"/>
              </w:rPr>
              <w:t>90%</w:t>
            </w:r>
            <w:r w:rsidR="006B6676">
              <w:rPr>
                <w:rFonts w:ascii="Arial" w:hAnsi="Arial" w:cs="Arial"/>
                <w:sz w:val="18"/>
                <w:szCs w:val="18"/>
                <w:lang w:val="en-GB"/>
              </w:rPr>
              <w:t xml:space="preserve"> </w:t>
            </w:r>
            <w:r w:rsidRPr="00F26A3E">
              <w:rPr>
                <w:rFonts w:ascii="Arial" w:hAnsi="Arial" w:cs="Arial"/>
                <w:sz w:val="18"/>
                <w:szCs w:val="18"/>
                <w:lang w:val="en-GB"/>
              </w:rPr>
              <w:t>Fuel</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Oil)</w:t>
            </w:r>
          </w:p>
        </w:tc>
      </w:tr>
      <w:tr w:rsidR="00F268A5" w:rsidRPr="00F26A3E" w14:paraId="6A274D74" w14:textId="77777777" w:rsidTr="00995787">
        <w:trPr>
          <w:trHeight w:val="70"/>
          <w:tblHeader/>
          <w:jc w:val="center"/>
        </w:trPr>
        <w:tc>
          <w:tcPr>
            <w:tcW w:w="1615" w:type="dxa"/>
            <w:noWrap/>
            <w:hideMark/>
          </w:tcPr>
          <w:p w14:paraId="6C53F7A2" w14:textId="46CDB62E"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Tank</w:t>
            </w:r>
            <w:r w:rsidR="006B6676">
              <w:rPr>
                <w:rFonts w:ascii="Arial" w:hAnsi="Arial" w:cs="Arial"/>
                <w:b/>
                <w:bCs/>
                <w:sz w:val="18"/>
                <w:szCs w:val="18"/>
                <w:lang w:val="en-GB"/>
              </w:rPr>
              <w:t xml:space="preserve"> </w:t>
            </w:r>
            <w:r w:rsidRPr="00F26A3E">
              <w:rPr>
                <w:rFonts w:ascii="Arial" w:hAnsi="Arial" w:cs="Arial"/>
                <w:b/>
                <w:bCs/>
                <w:sz w:val="18"/>
                <w:szCs w:val="18"/>
                <w:lang w:val="en-GB"/>
              </w:rPr>
              <w:t>Capacity</w:t>
            </w:r>
          </w:p>
        </w:tc>
        <w:tc>
          <w:tcPr>
            <w:tcW w:w="1800" w:type="dxa"/>
            <w:hideMark/>
          </w:tcPr>
          <w:p w14:paraId="6C4FE401" w14:textId="22DC4272"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13.5</w:t>
            </w:r>
            <w:r w:rsidR="006B6676">
              <w:rPr>
                <w:rFonts w:ascii="Arial" w:hAnsi="Arial" w:cs="Arial"/>
                <w:sz w:val="18"/>
                <w:szCs w:val="18"/>
                <w:lang w:val="en-GB"/>
              </w:rPr>
              <w:t xml:space="preserve"> </w:t>
            </w:r>
            <w:r w:rsidRPr="00F26A3E">
              <w:rPr>
                <w:rFonts w:ascii="Arial" w:hAnsi="Arial" w:cs="Arial"/>
                <w:sz w:val="18"/>
                <w:szCs w:val="18"/>
                <w:lang w:val="en-GB"/>
              </w:rPr>
              <w:t>L</w:t>
            </w:r>
            <w:r w:rsidR="0073656D">
              <w:rPr>
                <w:rFonts w:ascii="Arial" w:hAnsi="Arial" w:cs="Arial"/>
                <w:sz w:val="18"/>
                <w:szCs w:val="18"/>
                <w:lang w:val="en-GB"/>
              </w:rPr>
              <w:t>itres</w:t>
            </w:r>
          </w:p>
        </w:tc>
        <w:tc>
          <w:tcPr>
            <w:tcW w:w="1800" w:type="dxa"/>
            <w:hideMark/>
          </w:tcPr>
          <w:p w14:paraId="4FEAF8C4" w14:textId="1C659EF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13.5</w:t>
            </w:r>
            <w:r w:rsidR="006B6676">
              <w:rPr>
                <w:rFonts w:ascii="Arial" w:hAnsi="Arial" w:cs="Arial"/>
                <w:sz w:val="18"/>
                <w:szCs w:val="18"/>
                <w:lang w:val="en-GB"/>
              </w:rPr>
              <w:t xml:space="preserve"> </w:t>
            </w:r>
            <w:r w:rsidRPr="00F26A3E">
              <w:rPr>
                <w:rFonts w:ascii="Arial" w:hAnsi="Arial" w:cs="Arial"/>
                <w:sz w:val="18"/>
                <w:szCs w:val="18"/>
                <w:lang w:val="en-GB"/>
              </w:rPr>
              <w:t>L</w:t>
            </w:r>
            <w:r w:rsidR="0073656D">
              <w:rPr>
                <w:rFonts w:ascii="Arial" w:hAnsi="Arial" w:cs="Arial"/>
                <w:sz w:val="18"/>
                <w:szCs w:val="18"/>
                <w:lang w:val="en-GB"/>
              </w:rPr>
              <w:t>itres</w:t>
            </w:r>
          </w:p>
        </w:tc>
        <w:tc>
          <w:tcPr>
            <w:tcW w:w="1800" w:type="dxa"/>
            <w:hideMark/>
          </w:tcPr>
          <w:p w14:paraId="04566188" w14:textId="13412EF6"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20</w:t>
            </w:r>
            <w:r w:rsidR="006B6676">
              <w:rPr>
                <w:rFonts w:ascii="Arial" w:hAnsi="Arial" w:cs="Arial"/>
                <w:sz w:val="18"/>
                <w:szCs w:val="18"/>
                <w:lang w:val="en-GB"/>
              </w:rPr>
              <w:t xml:space="preserve"> </w:t>
            </w:r>
            <w:r w:rsidRPr="00F26A3E">
              <w:rPr>
                <w:rFonts w:ascii="Arial" w:hAnsi="Arial" w:cs="Arial"/>
                <w:sz w:val="18"/>
                <w:szCs w:val="18"/>
                <w:lang w:val="en-GB"/>
              </w:rPr>
              <w:t>L</w:t>
            </w:r>
            <w:r w:rsidR="0073656D">
              <w:rPr>
                <w:rFonts w:ascii="Arial" w:hAnsi="Arial" w:cs="Arial"/>
                <w:sz w:val="18"/>
                <w:szCs w:val="18"/>
                <w:lang w:val="en-GB"/>
              </w:rPr>
              <w:t>itres</w:t>
            </w:r>
          </w:p>
        </w:tc>
        <w:tc>
          <w:tcPr>
            <w:tcW w:w="2331" w:type="dxa"/>
            <w:hideMark/>
          </w:tcPr>
          <w:p w14:paraId="00E84838" w14:textId="66446E8E"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15</w:t>
            </w:r>
            <w:r w:rsidR="006B6676">
              <w:rPr>
                <w:rFonts w:ascii="Arial" w:hAnsi="Arial" w:cs="Arial"/>
                <w:sz w:val="18"/>
                <w:szCs w:val="18"/>
                <w:lang w:val="en-GB"/>
              </w:rPr>
              <w:t xml:space="preserve"> </w:t>
            </w:r>
            <w:r w:rsidRPr="00F26A3E">
              <w:rPr>
                <w:rFonts w:ascii="Arial" w:hAnsi="Arial" w:cs="Arial"/>
                <w:sz w:val="18"/>
                <w:szCs w:val="18"/>
                <w:lang w:val="en-GB"/>
              </w:rPr>
              <w:t>L</w:t>
            </w:r>
            <w:r w:rsidR="0073656D">
              <w:rPr>
                <w:rFonts w:ascii="Arial" w:hAnsi="Arial" w:cs="Arial"/>
                <w:sz w:val="18"/>
                <w:szCs w:val="18"/>
                <w:lang w:val="en-GB"/>
              </w:rPr>
              <w:t>itres</w:t>
            </w:r>
          </w:p>
        </w:tc>
      </w:tr>
      <w:tr w:rsidR="00F268A5" w:rsidRPr="00F26A3E" w14:paraId="4C938098" w14:textId="77777777" w:rsidTr="00995787">
        <w:trPr>
          <w:trHeight w:val="70"/>
          <w:tblHeader/>
          <w:jc w:val="center"/>
        </w:trPr>
        <w:tc>
          <w:tcPr>
            <w:tcW w:w="1615" w:type="dxa"/>
            <w:noWrap/>
            <w:hideMark/>
          </w:tcPr>
          <w:p w14:paraId="00D3556E" w14:textId="6CF18465"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Colo</w:t>
            </w:r>
            <w:r w:rsidR="0073656D">
              <w:rPr>
                <w:rFonts w:ascii="Arial" w:hAnsi="Arial" w:cs="Arial"/>
                <w:b/>
                <w:bCs/>
                <w:sz w:val="18"/>
                <w:szCs w:val="18"/>
                <w:lang w:val="en-GB"/>
              </w:rPr>
              <w:t>u</w:t>
            </w:r>
            <w:r w:rsidRPr="00F26A3E">
              <w:rPr>
                <w:rFonts w:ascii="Arial" w:hAnsi="Arial" w:cs="Arial"/>
                <w:b/>
                <w:bCs/>
                <w:sz w:val="18"/>
                <w:szCs w:val="18"/>
                <w:lang w:val="en-GB"/>
              </w:rPr>
              <w:t>rs</w:t>
            </w:r>
            <w:r w:rsidR="006B6676">
              <w:rPr>
                <w:rFonts w:ascii="Arial" w:hAnsi="Arial" w:cs="Arial"/>
                <w:b/>
                <w:bCs/>
                <w:sz w:val="18"/>
                <w:szCs w:val="18"/>
                <w:lang w:val="en-GB"/>
              </w:rPr>
              <w:t xml:space="preserve"> </w:t>
            </w:r>
            <w:r w:rsidR="0073656D">
              <w:rPr>
                <w:rFonts w:ascii="Arial" w:hAnsi="Arial" w:cs="Arial"/>
                <w:b/>
                <w:bCs/>
                <w:sz w:val="18"/>
                <w:szCs w:val="18"/>
                <w:lang w:val="en-GB"/>
              </w:rPr>
              <w:t>(Number)</w:t>
            </w:r>
          </w:p>
        </w:tc>
        <w:tc>
          <w:tcPr>
            <w:tcW w:w="1800" w:type="dxa"/>
            <w:hideMark/>
          </w:tcPr>
          <w:p w14:paraId="46810652"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4</w:t>
            </w:r>
          </w:p>
        </w:tc>
        <w:tc>
          <w:tcPr>
            <w:tcW w:w="1800" w:type="dxa"/>
            <w:hideMark/>
          </w:tcPr>
          <w:p w14:paraId="5EDC5BD1"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6</w:t>
            </w:r>
          </w:p>
        </w:tc>
        <w:tc>
          <w:tcPr>
            <w:tcW w:w="1800" w:type="dxa"/>
            <w:hideMark/>
          </w:tcPr>
          <w:p w14:paraId="46BB5909"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w:t>
            </w:r>
          </w:p>
        </w:tc>
        <w:tc>
          <w:tcPr>
            <w:tcW w:w="2331" w:type="dxa"/>
            <w:hideMark/>
          </w:tcPr>
          <w:p w14:paraId="1C538EA1" w14:textId="77777777"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3</w:t>
            </w:r>
          </w:p>
        </w:tc>
      </w:tr>
      <w:tr w:rsidR="00F268A5" w:rsidRPr="00F26A3E" w14:paraId="001EC004" w14:textId="77777777" w:rsidTr="00995787">
        <w:trPr>
          <w:trHeight w:val="70"/>
          <w:tblHeader/>
          <w:jc w:val="center"/>
        </w:trPr>
        <w:tc>
          <w:tcPr>
            <w:tcW w:w="1615" w:type="dxa"/>
            <w:noWrap/>
            <w:hideMark/>
          </w:tcPr>
          <w:p w14:paraId="51B91358" w14:textId="70C83791" w:rsidR="00F268A5" w:rsidRPr="00F26A3E" w:rsidRDefault="00F268A5" w:rsidP="00F268A5">
            <w:pPr>
              <w:rPr>
                <w:rFonts w:ascii="Arial" w:hAnsi="Arial" w:cs="Arial"/>
                <w:b/>
                <w:bCs/>
                <w:sz w:val="18"/>
                <w:szCs w:val="18"/>
                <w:lang w:val="en-GB"/>
              </w:rPr>
            </w:pPr>
            <w:r w:rsidRPr="00F26A3E">
              <w:rPr>
                <w:rFonts w:ascii="Arial" w:hAnsi="Arial" w:cs="Arial"/>
                <w:b/>
                <w:bCs/>
                <w:sz w:val="18"/>
                <w:szCs w:val="18"/>
                <w:lang w:val="en-GB"/>
              </w:rPr>
              <w:t>Colo</w:t>
            </w:r>
            <w:r w:rsidR="0073656D">
              <w:rPr>
                <w:rFonts w:ascii="Arial" w:hAnsi="Arial" w:cs="Arial"/>
                <w:b/>
                <w:bCs/>
                <w:sz w:val="18"/>
                <w:szCs w:val="18"/>
                <w:lang w:val="en-GB"/>
              </w:rPr>
              <w:t>u</w:t>
            </w:r>
            <w:r w:rsidRPr="00F26A3E">
              <w:rPr>
                <w:rFonts w:ascii="Arial" w:hAnsi="Arial" w:cs="Arial"/>
                <w:b/>
                <w:bCs/>
                <w:sz w:val="18"/>
                <w:szCs w:val="18"/>
                <w:lang w:val="en-GB"/>
              </w:rPr>
              <w:t>rs</w:t>
            </w:r>
            <w:r w:rsidR="006B6676">
              <w:rPr>
                <w:rFonts w:ascii="Arial" w:hAnsi="Arial" w:cs="Arial"/>
                <w:b/>
                <w:bCs/>
                <w:sz w:val="18"/>
                <w:szCs w:val="18"/>
                <w:lang w:val="en-GB"/>
              </w:rPr>
              <w:t xml:space="preserve"> </w:t>
            </w:r>
            <w:r w:rsidR="0073656D">
              <w:rPr>
                <w:rFonts w:ascii="Arial" w:hAnsi="Arial" w:cs="Arial"/>
                <w:b/>
                <w:bCs/>
                <w:sz w:val="18"/>
                <w:szCs w:val="18"/>
                <w:lang w:val="en-GB"/>
              </w:rPr>
              <w:t>(Type)</w:t>
            </w:r>
          </w:p>
        </w:tc>
        <w:tc>
          <w:tcPr>
            <w:tcW w:w="1800" w:type="dxa"/>
            <w:hideMark/>
          </w:tcPr>
          <w:p w14:paraId="442805CA" w14:textId="0EF53058"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Black,</w:t>
            </w:r>
            <w:r w:rsidR="006B6676">
              <w:rPr>
                <w:rFonts w:ascii="Arial" w:hAnsi="Arial" w:cs="Arial"/>
                <w:sz w:val="18"/>
                <w:szCs w:val="18"/>
                <w:lang w:val="en-GB"/>
              </w:rPr>
              <w:t xml:space="preserve"> </w:t>
            </w:r>
            <w:r w:rsidRPr="00F26A3E">
              <w:rPr>
                <w:rFonts w:ascii="Arial" w:hAnsi="Arial" w:cs="Arial"/>
                <w:sz w:val="18"/>
                <w:szCs w:val="18"/>
                <w:lang w:val="en-GB"/>
              </w:rPr>
              <w:t>Bullet,</w:t>
            </w:r>
            <w:r w:rsidR="006B6676">
              <w:rPr>
                <w:rFonts w:ascii="Arial" w:hAnsi="Arial" w:cs="Arial"/>
                <w:sz w:val="18"/>
                <w:szCs w:val="18"/>
                <w:lang w:val="en-GB"/>
              </w:rPr>
              <w:t xml:space="preserve"> </w:t>
            </w:r>
            <w:r w:rsidRPr="00F26A3E">
              <w:rPr>
                <w:rFonts w:ascii="Arial" w:hAnsi="Arial" w:cs="Arial"/>
                <w:sz w:val="18"/>
                <w:szCs w:val="18"/>
                <w:lang w:val="en-GB"/>
              </w:rPr>
              <w:t>Silver,</w:t>
            </w:r>
            <w:r w:rsidR="006B6676">
              <w:rPr>
                <w:rFonts w:ascii="Arial" w:hAnsi="Arial" w:cs="Arial"/>
                <w:sz w:val="18"/>
                <w:szCs w:val="18"/>
                <w:lang w:val="en-GB"/>
              </w:rPr>
              <w:t xml:space="preserve"> </w:t>
            </w:r>
            <w:r w:rsidRPr="00F26A3E">
              <w:rPr>
                <w:rFonts w:ascii="Arial" w:hAnsi="Arial" w:cs="Arial"/>
                <w:sz w:val="18"/>
                <w:szCs w:val="18"/>
                <w:lang w:val="en-GB"/>
              </w:rPr>
              <w:t>Sapphire</w:t>
            </w:r>
            <w:r w:rsidR="006B6676">
              <w:rPr>
                <w:rFonts w:ascii="Arial" w:hAnsi="Arial" w:cs="Arial"/>
                <w:sz w:val="18"/>
                <w:szCs w:val="18"/>
                <w:lang w:val="en-GB"/>
              </w:rPr>
              <w:t xml:space="preserve"> </w:t>
            </w:r>
            <w:r w:rsidRPr="00F26A3E">
              <w:rPr>
                <w:rFonts w:ascii="Arial" w:hAnsi="Arial" w:cs="Arial"/>
                <w:sz w:val="18"/>
                <w:szCs w:val="18"/>
                <w:lang w:val="en-GB"/>
              </w:rPr>
              <w:t>Blue,</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Onyx</w:t>
            </w:r>
            <w:r w:rsidR="006B6676">
              <w:rPr>
                <w:rFonts w:ascii="Arial" w:hAnsi="Arial" w:cs="Arial"/>
                <w:sz w:val="18"/>
                <w:szCs w:val="18"/>
                <w:lang w:val="en-GB"/>
              </w:rPr>
              <w:t xml:space="preserve"> </w:t>
            </w:r>
            <w:r w:rsidRPr="00F26A3E">
              <w:rPr>
                <w:rFonts w:ascii="Arial" w:hAnsi="Arial" w:cs="Arial"/>
                <w:sz w:val="18"/>
                <w:szCs w:val="18"/>
                <w:lang w:val="en-GB"/>
              </w:rPr>
              <w:t>Black</w:t>
            </w:r>
          </w:p>
        </w:tc>
        <w:tc>
          <w:tcPr>
            <w:tcW w:w="1800" w:type="dxa"/>
            <w:hideMark/>
          </w:tcPr>
          <w:p w14:paraId="4E72E2A9" w14:textId="6FFFE5D0"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Chestnut,</w:t>
            </w:r>
            <w:r w:rsidR="006B6676">
              <w:rPr>
                <w:rFonts w:ascii="Arial" w:hAnsi="Arial" w:cs="Arial"/>
                <w:sz w:val="18"/>
                <w:szCs w:val="18"/>
                <w:lang w:val="en-GB"/>
              </w:rPr>
              <w:t xml:space="preserve"> </w:t>
            </w:r>
            <w:r w:rsidRPr="00F26A3E">
              <w:rPr>
                <w:rFonts w:ascii="Arial" w:hAnsi="Arial" w:cs="Arial"/>
                <w:sz w:val="18"/>
                <w:szCs w:val="18"/>
                <w:lang w:val="en-GB"/>
              </w:rPr>
              <w:t>Silver,</w:t>
            </w:r>
            <w:r w:rsidR="006B6676">
              <w:rPr>
                <w:rFonts w:ascii="Arial" w:hAnsi="Arial" w:cs="Arial"/>
                <w:sz w:val="18"/>
                <w:szCs w:val="18"/>
                <w:lang w:val="en-GB"/>
              </w:rPr>
              <w:t xml:space="preserve"> </w:t>
            </w:r>
            <w:r w:rsidRPr="00F26A3E">
              <w:rPr>
                <w:rFonts w:ascii="Arial" w:hAnsi="Arial" w:cs="Arial"/>
                <w:sz w:val="18"/>
                <w:szCs w:val="18"/>
                <w:lang w:val="en-GB"/>
              </w:rPr>
              <w:t>Black,</w:t>
            </w:r>
            <w:r w:rsidR="006B6676">
              <w:rPr>
                <w:rFonts w:ascii="Arial" w:hAnsi="Arial" w:cs="Arial"/>
                <w:sz w:val="18"/>
                <w:szCs w:val="18"/>
                <w:lang w:val="en-GB"/>
              </w:rPr>
              <w:t xml:space="preserve"> </w:t>
            </w:r>
            <w:r w:rsidRPr="00F26A3E">
              <w:rPr>
                <w:rFonts w:ascii="Arial" w:hAnsi="Arial" w:cs="Arial"/>
                <w:sz w:val="18"/>
                <w:szCs w:val="18"/>
                <w:lang w:val="en-GB"/>
              </w:rPr>
              <w:t>Ash,</w:t>
            </w:r>
            <w:r w:rsidR="006B6676">
              <w:rPr>
                <w:rFonts w:ascii="Arial" w:hAnsi="Arial" w:cs="Arial"/>
                <w:sz w:val="18"/>
                <w:szCs w:val="18"/>
                <w:lang w:val="en-GB"/>
              </w:rPr>
              <w:t xml:space="preserve"> </w:t>
            </w:r>
            <w:r w:rsidRPr="00F26A3E">
              <w:rPr>
                <w:rFonts w:ascii="Arial" w:hAnsi="Arial" w:cs="Arial"/>
                <w:sz w:val="18"/>
                <w:szCs w:val="18"/>
                <w:lang w:val="en-GB"/>
              </w:rPr>
              <w:t>Pure</w:t>
            </w:r>
            <w:r w:rsidR="006B6676">
              <w:rPr>
                <w:rFonts w:ascii="Arial" w:hAnsi="Arial" w:cs="Arial"/>
                <w:sz w:val="18"/>
                <w:szCs w:val="18"/>
                <w:lang w:val="en-GB"/>
              </w:rPr>
              <w:t xml:space="preserve"> </w:t>
            </w:r>
            <w:r w:rsidRPr="00F26A3E">
              <w:rPr>
                <w:rFonts w:ascii="Arial" w:hAnsi="Arial" w:cs="Arial"/>
                <w:sz w:val="18"/>
                <w:szCs w:val="18"/>
                <w:lang w:val="en-GB"/>
              </w:rPr>
              <w:t>Black</w:t>
            </w:r>
            <w:r w:rsidR="0073656D">
              <w:rPr>
                <w:rFonts w:ascii="Arial" w:hAnsi="Arial" w:cs="Arial"/>
                <w:sz w:val="18"/>
                <w:szCs w:val="18"/>
                <w:lang w:val="en-GB"/>
              </w:rPr>
              <w:t>,</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Mercury</w:t>
            </w:r>
            <w:r w:rsidR="006B6676">
              <w:rPr>
                <w:rFonts w:ascii="Arial" w:hAnsi="Arial" w:cs="Arial"/>
                <w:sz w:val="18"/>
                <w:szCs w:val="18"/>
                <w:lang w:val="en-GB"/>
              </w:rPr>
              <w:t xml:space="preserve"> </w:t>
            </w:r>
            <w:r w:rsidRPr="00F26A3E">
              <w:rPr>
                <w:rFonts w:ascii="Arial" w:hAnsi="Arial" w:cs="Arial"/>
                <w:sz w:val="18"/>
                <w:szCs w:val="18"/>
                <w:lang w:val="en-GB"/>
              </w:rPr>
              <w:t>Silver</w:t>
            </w:r>
          </w:p>
        </w:tc>
        <w:tc>
          <w:tcPr>
            <w:tcW w:w="1800" w:type="dxa"/>
            <w:hideMark/>
          </w:tcPr>
          <w:p w14:paraId="286E43CA" w14:textId="2C1DE4C0"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Flicker,</w:t>
            </w:r>
            <w:r w:rsidR="006B6676">
              <w:rPr>
                <w:rFonts w:ascii="Arial" w:hAnsi="Arial" w:cs="Arial"/>
                <w:sz w:val="18"/>
                <w:szCs w:val="18"/>
                <w:lang w:val="en-GB"/>
              </w:rPr>
              <w:t xml:space="preserve"> </w:t>
            </w:r>
            <w:r w:rsidRPr="00F26A3E">
              <w:rPr>
                <w:rFonts w:ascii="Arial" w:hAnsi="Arial" w:cs="Arial"/>
                <w:sz w:val="18"/>
                <w:szCs w:val="18"/>
                <w:lang w:val="en-GB"/>
              </w:rPr>
              <w:t>Marine,</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Stone</w:t>
            </w:r>
          </w:p>
        </w:tc>
        <w:tc>
          <w:tcPr>
            <w:tcW w:w="2331" w:type="dxa"/>
            <w:hideMark/>
          </w:tcPr>
          <w:p w14:paraId="292B606B" w14:textId="7FADBCB3" w:rsidR="00F268A5" w:rsidRPr="00F26A3E" w:rsidRDefault="00F268A5" w:rsidP="00F268A5">
            <w:pPr>
              <w:jc w:val="center"/>
              <w:rPr>
                <w:rFonts w:ascii="Arial" w:hAnsi="Arial" w:cs="Arial"/>
                <w:sz w:val="18"/>
                <w:szCs w:val="18"/>
                <w:lang w:val="en-GB"/>
              </w:rPr>
            </w:pPr>
            <w:r w:rsidRPr="00F26A3E">
              <w:rPr>
                <w:rFonts w:ascii="Arial" w:hAnsi="Arial" w:cs="Arial"/>
                <w:sz w:val="18"/>
                <w:szCs w:val="18"/>
                <w:lang w:val="en-GB"/>
              </w:rPr>
              <w:t>Granite,</w:t>
            </w:r>
            <w:r w:rsidR="006B6676">
              <w:rPr>
                <w:rFonts w:ascii="Arial" w:hAnsi="Arial" w:cs="Arial"/>
                <w:sz w:val="18"/>
                <w:szCs w:val="18"/>
                <w:lang w:val="en-GB"/>
              </w:rPr>
              <w:t xml:space="preserve"> </w:t>
            </w:r>
            <w:r w:rsidRPr="00F26A3E">
              <w:rPr>
                <w:rFonts w:ascii="Arial" w:hAnsi="Arial" w:cs="Arial"/>
                <w:sz w:val="18"/>
                <w:szCs w:val="18"/>
                <w:lang w:val="en-GB"/>
              </w:rPr>
              <w:t>Sleet,</w:t>
            </w:r>
            <w:r w:rsidR="006B6676">
              <w:rPr>
                <w:rFonts w:ascii="Arial" w:hAnsi="Arial" w:cs="Arial"/>
                <w:sz w:val="18"/>
                <w:szCs w:val="18"/>
                <w:lang w:val="en-GB"/>
              </w:rPr>
              <w:t xml:space="preserve"> </w:t>
            </w:r>
            <w:r w:rsidRPr="00F26A3E">
              <w:rPr>
                <w:rFonts w:ascii="Arial" w:hAnsi="Arial" w:cs="Arial"/>
                <w:sz w:val="18"/>
                <w:szCs w:val="18"/>
                <w:lang w:val="en-GB"/>
              </w:rPr>
              <w:t>and</w:t>
            </w:r>
            <w:r w:rsidR="006B6676">
              <w:rPr>
                <w:rFonts w:ascii="Arial" w:hAnsi="Arial" w:cs="Arial"/>
                <w:sz w:val="18"/>
                <w:szCs w:val="18"/>
                <w:lang w:val="en-GB"/>
              </w:rPr>
              <w:t xml:space="preserve"> </w:t>
            </w:r>
            <w:r w:rsidRPr="00F26A3E">
              <w:rPr>
                <w:rFonts w:ascii="Arial" w:hAnsi="Arial" w:cs="Arial"/>
                <w:sz w:val="18"/>
                <w:szCs w:val="18"/>
                <w:lang w:val="en-GB"/>
              </w:rPr>
              <w:t>Snow</w:t>
            </w:r>
          </w:p>
        </w:tc>
      </w:tr>
      <w:bookmarkEnd w:id="2"/>
    </w:tbl>
    <w:p w14:paraId="36B91672" w14:textId="77777777" w:rsidR="00F268A5" w:rsidRPr="00F26A3E" w:rsidRDefault="00F268A5" w:rsidP="00F268A5">
      <w:pPr>
        <w:jc w:val="center"/>
        <w:rPr>
          <w:rFonts w:ascii="Arial" w:hAnsi="Arial" w:cs="Arial"/>
          <w:b/>
          <w:caps/>
          <w:lang w:val="en-GB"/>
        </w:rPr>
      </w:pPr>
    </w:p>
    <w:p w14:paraId="0519C2F2" w14:textId="46A7A39A" w:rsidR="009A6937" w:rsidRDefault="009A6937" w:rsidP="00F268A5">
      <w:pPr>
        <w:jc w:val="both"/>
        <w:rPr>
          <w:rFonts w:ascii="Arial" w:hAnsi="Arial" w:cs="Arial"/>
          <w:sz w:val="17"/>
          <w:szCs w:val="17"/>
          <w:lang w:val="en-GB"/>
        </w:rPr>
      </w:pPr>
      <w:r>
        <w:rPr>
          <w:rFonts w:ascii="Arial" w:hAnsi="Arial" w:cs="Arial"/>
          <w:sz w:val="17"/>
          <w:szCs w:val="17"/>
          <w:lang w:val="en-GB"/>
        </w:rPr>
        <w:t>Note:</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INR</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Indian</w:t>
      </w:r>
      <w:r w:rsidR="006B6676">
        <w:rPr>
          <w:rFonts w:ascii="Arial" w:hAnsi="Arial" w:cs="Arial"/>
          <w:sz w:val="17"/>
          <w:szCs w:val="17"/>
          <w:lang w:val="en-GB"/>
        </w:rPr>
        <w:t xml:space="preserve"> </w:t>
      </w:r>
      <w:r>
        <w:rPr>
          <w:rFonts w:ascii="Arial" w:hAnsi="Arial" w:cs="Arial"/>
          <w:sz w:val="17"/>
          <w:szCs w:val="17"/>
          <w:lang w:val="en-GB"/>
        </w:rPr>
        <w:t>rupee;</w:t>
      </w:r>
      <w:r w:rsidR="006B6676">
        <w:rPr>
          <w:rFonts w:ascii="Arial" w:hAnsi="Arial" w:cs="Arial"/>
          <w:sz w:val="17"/>
          <w:szCs w:val="17"/>
          <w:lang w:val="en-GB"/>
        </w:rPr>
        <w:t xml:space="preserve"> </w:t>
      </w:r>
      <w:r>
        <w:rPr>
          <w:rFonts w:ascii="Arial" w:hAnsi="Arial" w:cs="Arial"/>
          <w:sz w:val="17"/>
          <w:szCs w:val="17"/>
          <w:lang w:val="en-GB"/>
        </w:rPr>
        <w:t>cc</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cubic</w:t>
      </w:r>
      <w:r w:rsidR="006B6676">
        <w:rPr>
          <w:rFonts w:ascii="Arial" w:hAnsi="Arial" w:cs="Arial"/>
          <w:sz w:val="17"/>
          <w:szCs w:val="17"/>
          <w:lang w:val="en-GB"/>
        </w:rPr>
        <w:t xml:space="preserve"> </w:t>
      </w:r>
      <w:r w:rsidR="00F53E32">
        <w:rPr>
          <w:rFonts w:ascii="Arial" w:hAnsi="Arial" w:cs="Arial"/>
          <w:sz w:val="17"/>
          <w:szCs w:val="17"/>
          <w:lang w:val="en-GB"/>
        </w:rPr>
        <w:t>centimetres</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mm</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sidR="00B10E39">
        <w:rPr>
          <w:rFonts w:ascii="Arial" w:hAnsi="Arial" w:cs="Arial"/>
          <w:sz w:val="17"/>
          <w:szCs w:val="17"/>
          <w:lang w:val="en-GB"/>
        </w:rPr>
        <w:t>millimetres</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bh</w:t>
      </w:r>
      <w:r w:rsidR="006A2362">
        <w:rPr>
          <w:rFonts w:ascii="Arial" w:hAnsi="Arial" w:cs="Arial"/>
          <w:sz w:val="17"/>
          <w:szCs w:val="17"/>
          <w:lang w:val="en-GB"/>
        </w:rPr>
        <w:t>p</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sidR="006A2362">
        <w:rPr>
          <w:rFonts w:ascii="Arial" w:hAnsi="Arial" w:cs="Arial"/>
          <w:sz w:val="17"/>
          <w:szCs w:val="17"/>
          <w:lang w:val="en-GB"/>
        </w:rPr>
        <w:t>brake</w:t>
      </w:r>
      <w:r w:rsidR="006B6676">
        <w:rPr>
          <w:rFonts w:ascii="Arial" w:hAnsi="Arial" w:cs="Arial"/>
          <w:sz w:val="17"/>
          <w:szCs w:val="17"/>
          <w:lang w:val="en-GB"/>
        </w:rPr>
        <w:t xml:space="preserve"> </w:t>
      </w:r>
      <w:r w:rsidR="006A2362">
        <w:rPr>
          <w:rFonts w:ascii="Arial" w:hAnsi="Arial" w:cs="Arial"/>
          <w:sz w:val="17"/>
          <w:szCs w:val="17"/>
          <w:lang w:val="en-GB"/>
        </w:rPr>
        <w:t>horsepower</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rpm</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revolutions</w:t>
      </w:r>
      <w:r w:rsidR="006B6676">
        <w:rPr>
          <w:rFonts w:ascii="Arial" w:hAnsi="Arial" w:cs="Arial"/>
          <w:sz w:val="17"/>
          <w:szCs w:val="17"/>
          <w:lang w:val="en-GB"/>
        </w:rPr>
        <w:t xml:space="preserve"> </w:t>
      </w:r>
      <w:r>
        <w:rPr>
          <w:rFonts w:ascii="Arial" w:hAnsi="Arial" w:cs="Arial"/>
          <w:sz w:val="17"/>
          <w:szCs w:val="17"/>
          <w:lang w:val="en-GB"/>
        </w:rPr>
        <w:t>per</w:t>
      </w:r>
      <w:r w:rsidR="006B6676">
        <w:rPr>
          <w:rFonts w:ascii="Arial" w:hAnsi="Arial" w:cs="Arial"/>
          <w:sz w:val="17"/>
          <w:szCs w:val="17"/>
          <w:lang w:val="en-GB"/>
        </w:rPr>
        <w:t xml:space="preserve"> </w:t>
      </w:r>
      <w:r>
        <w:rPr>
          <w:rFonts w:ascii="Arial" w:hAnsi="Arial" w:cs="Arial"/>
          <w:sz w:val="17"/>
          <w:szCs w:val="17"/>
          <w:lang w:val="en-GB"/>
        </w:rPr>
        <w:t>minute;</w:t>
      </w:r>
      <w:r w:rsidR="006B6676">
        <w:rPr>
          <w:rFonts w:ascii="Arial" w:hAnsi="Arial" w:cs="Arial"/>
          <w:sz w:val="17"/>
          <w:szCs w:val="17"/>
          <w:lang w:val="en-GB"/>
        </w:rPr>
        <w:t xml:space="preserve"> </w:t>
      </w:r>
      <w:r>
        <w:rPr>
          <w:rFonts w:ascii="Arial" w:hAnsi="Arial" w:cs="Arial"/>
          <w:sz w:val="17"/>
          <w:szCs w:val="17"/>
          <w:lang w:val="en-GB"/>
        </w:rPr>
        <w:t>kg</w:t>
      </w:r>
      <w:r w:rsidR="006B6676">
        <w:rPr>
          <w:rFonts w:ascii="Arial" w:hAnsi="Arial" w:cs="Arial"/>
          <w:sz w:val="17"/>
          <w:szCs w:val="17"/>
          <w:lang w:val="en-GB"/>
        </w:rPr>
        <w:t xml:space="preserve"> </w:t>
      </w:r>
      <w:r>
        <w:rPr>
          <w:rFonts w:ascii="Arial" w:hAnsi="Arial" w:cs="Arial"/>
          <w:sz w:val="17"/>
          <w:szCs w:val="17"/>
          <w:lang w:val="en-GB"/>
        </w:rPr>
        <w:t>=</w:t>
      </w:r>
      <w:r w:rsidR="006B6676">
        <w:rPr>
          <w:rFonts w:ascii="Arial" w:hAnsi="Arial" w:cs="Arial"/>
          <w:sz w:val="17"/>
          <w:szCs w:val="17"/>
          <w:lang w:val="en-GB"/>
        </w:rPr>
        <w:t xml:space="preserve"> </w:t>
      </w:r>
      <w:r>
        <w:rPr>
          <w:rFonts w:ascii="Arial" w:hAnsi="Arial" w:cs="Arial"/>
          <w:sz w:val="17"/>
          <w:szCs w:val="17"/>
          <w:lang w:val="en-GB"/>
        </w:rPr>
        <w:t>kilograms</w:t>
      </w:r>
      <w:r w:rsidR="002829BD">
        <w:rPr>
          <w:rFonts w:ascii="Arial" w:hAnsi="Arial" w:cs="Arial"/>
          <w:sz w:val="17"/>
          <w:szCs w:val="17"/>
          <w:lang w:val="en-GB"/>
        </w:rPr>
        <w:t>.</w:t>
      </w:r>
    </w:p>
    <w:p w14:paraId="5E0853CC" w14:textId="77777777" w:rsidR="00485BE6" w:rsidRDefault="00485BE6">
      <w:pPr>
        <w:spacing w:after="200" w:line="276" w:lineRule="auto"/>
        <w:rPr>
          <w:rFonts w:ascii="Arial" w:hAnsi="Arial" w:cs="Arial"/>
          <w:sz w:val="17"/>
          <w:szCs w:val="17"/>
          <w:lang w:val="en-GB"/>
        </w:rPr>
      </w:pPr>
      <w:r>
        <w:rPr>
          <w:rFonts w:ascii="Arial" w:hAnsi="Arial" w:cs="Arial"/>
          <w:sz w:val="17"/>
          <w:szCs w:val="17"/>
          <w:lang w:val="en-GB"/>
        </w:rPr>
        <w:br w:type="page"/>
      </w:r>
    </w:p>
    <w:p w14:paraId="55DF60F6" w14:textId="176371CF" w:rsidR="00485BE6" w:rsidRDefault="00485BE6" w:rsidP="00485BE6">
      <w:pPr>
        <w:pStyle w:val="ExhibitHeading"/>
        <w:rPr>
          <w:lang w:val="en-GB"/>
        </w:rPr>
      </w:pPr>
      <w:r>
        <w:rPr>
          <w:lang w:val="en-GB"/>
        </w:rPr>
        <w:lastRenderedPageBreak/>
        <w:t>Exhibit</w:t>
      </w:r>
      <w:r w:rsidR="006B6676">
        <w:rPr>
          <w:lang w:val="en-GB"/>
        </w:rPr>
        <w:t xml:space="preserve"> </w:t>
      </w:r>
      <w:r>
        <w:rPr>
          <w:lang w:val="en-GB"/>
        </w:rPr>
        <w:t>7</w:t>
      </w:r>
      <w:r w:rsidR="006B6676">
        <w:rPr>
          <w:lang w:val="en-GB"/>
        </w:rPr>
        <w:t xml:space="preserve"> </w:t>
      </w:r>
      <w:r>
        <w:rPr>
          <w:lang w:val="en-GB"/>
        </w:rPr>
        <w:t>A</w:t>
      </w:r>
      <w:r w:rsidR="006B6676">
        <w:rPr>
          <w:lang w:val="en-GB"/>
        </w:rPr>
        <w:t xml:space="preserve"> </w:t>
      </w:r>
      <w:r>
        <w:rPr>
          <w:lang w:val="en-GB"/>
        </w:rPr>
        <w:t>(Continued)</w:t>
      </w:r>
    </w:p>
    <w:p w14:paraId="551797CD" w14:textId="77777777" w:rsidR="00485BE6" w:rsidRDefault="00485BE6" w:rsidP="00485BE6">
      <w:pPr>
        <w:jc w:val="both"/>
        <w:rPr>
          <w:rFonts w:ascii="Arial" w:hAnsi="Arial" w:cs="Arial"/>
          <w:sz w:val="17"/>
          <w:szCs w:val="17"/>
          <w:lang w:val="en-GB"/>
        </w:rPr>
      </w:pPr>
    </w:p>
    <w:p w14:paraId="570E3F32" w14:textId="64132FBB" w:rsidR="008A25D6" w:rsidRDefault="00F268A5" w:rsidP="00485BE6">
      <w:pPr>
        <w:jc w:val="both"/>
        <w:rPr>
          <w:rFonts w:ascii="Arial" w:hAnsi="Arial" w:cs="Arial"/>
          <w:sz w:val="17"/>
          <w:szCs w:val="17"/>
          <w:lang w:val="en-GB"/>
        </w:rPr>
      </w:pPr>
      <w:r w:rsidRPr="00F26A3E">
        <w:rPr>
          <w:rFonts w:ascii="Arial" w:hAnsi="Arial" w:cs="Arial"/>
          <w:sz w:val="17"/>
          <w:szCs w:val="17"/>
          <w:lang w:val="en-GB"/>
        </w:rPr>
        <w:t>Source:</w:t>
      </w:r>
      <w:r w:rsidR="006B6676">
        <w:rPr>
          <w:rFonts w:ascii="Arial" w:hAnsi="Arial" w:cs="Arial"/>
          <w:sz w:val="17"/>
          <w:szCs w:val="17"/>
          <w:lang w:val="en-GB"/>
        </w:rPr>
        <w:t xml:space="preserve"> </w:t>
      </w:r>
      <w:r w:rsidR="007D45C1">
        <w:rPr>
          <w:rFonts w:ascii="Arial" w:hAnsi="Arial" w:cs="Arial"/>
          <w:sz w:val="17"/>
          <w:szCs w:val="17"/>
          <w:lang w:val="en-GB"/>
        </w:rPr>
        <w:t>Compiled</w:t>
      </w:r>
      <w:r w:rsidR="006B6676">
        <w:rPr>
          <w:rFonts w:ascii="Arial" w:hAnsi="Arial" w:cs="Arial"/>
          <w:sz w:val="17"/>
          <w:szCs w:val="17"/>
          <w:lang w:val="en-GB"/>
        </w:rPr>
        <w:t xml:space="preserve"> </w:t>
      </w:r>
      <w:r w:rsidR="007D45C1">
        <w:rPr>
          <w:rFonts w:ascii="Arial" w:hAnsi="Arial" w:cs="Arial"/>
          <w:sz w:val="17"/>
          <w:szCs w:val="17"/>
          <w:lang w:val="en-GB"/>
        </w:rPr>
        <w:t>by</w:t>
      </w:r>
      <w:r w:rsidR="006B6676">
        <w:rPr>
          <w:rFonts w:ascii="Arial" w:hAnsi="Arial" w:cs="Arial"/>
          <w:sz w:val="17"/>
          <w:szCs w:val="17"/>
          <w:lang w:val="en-GB"/>
        </w:rPr>
        <w:t xml:space="preserve"> </w:t>
      </w:r>
      <w:r w:rsidR="007D45C1">
        <w:rPr>
          <w:rFonts w:ascii="Arial" w:hAnsi="Arial" w:cs="Arial"/>
          <w:sz w:val="17"/>
          <w:szCs w:val="17"/>
          <w:lang w:val="en-GB"/>
        </w:rPr>
        <w:t>the</w:t>
      </w:r>
      <w:r w:rsidR="006B6676">
        <w:rPr>
          <w:rFonts w:ascii="Arial" w:hAnsi="Arial" w:cs="Arial"/>
          <w:sz w:val="17"/>
          <w:szCs w:val="17"/>
          <w:lang w:val="en-GB"/>
        </w:rPr>
        <w:t xml:space="preserve"> </w:t>
      </w:r>
      <w:r w:rsidR="007D45C1">
        <w:rPr>
          <w:rFonts w:ascii="Arial" w:hAnsi="Arial" w:cs="Arial"/>
          <w:sz w:val="17"/>
          <w:szCs w:val="17"/>
          <w:lang w:val="en-GB"/>
        </w:rPr>
        <w:t>author</w:t>
      </w:r>
      <w:r w:rsidR="006B6676">
        <w:rPr>
          <w:rFonts w:ascii="Arial" w:hAnsi="Arial" w:cs="Arial"/>
          <w:sz w:val="17"/>
          <w:szCs w:val="17"/>
          <w:lang w:val="en-GB"/>
        </w:rPr>
        <w:t xml:space="preserve"> </w:t>
      </w:r>
      <w:r w:rsidR="007D45C1">
        <w:rPr>
          <w:rFonts w:ascii="Arial" w:hAnsi="Arial" w:cs="Arial"/>
          <w:sz w:val="17"/>
          <w:szCs w:val="17"/>
          <w:lang w:val="en-GB"/>
        </w:rPr>
        <w:t>with</w:t>
      </w:r>
      <w:r w:rsidR="006B6676">
        <w:rPr>
          <w:rFonts w:ascii="Arial" w:hAnsi="Arial" w:cs="Arial"/>
          <w:sz w:val="17"/>
          <w:szCs w:val="17"/>
          <w:lang w:val="en-GB"/>
        </w:rPr>
        <w:t xml:space="preserve"> </w:t>
      </w:r>
      <w:r w:rsidR="007D45C1">
        <w:rPr>
          <w:rFonts w:ascii="Arial" w:hAnsi="Arial" w:cs="Arial"/>
          <w:sz w:val="17"/>
          <w:szCs w:val="17"/>
          <w:lang w:val="en-GB"/>
        </w:rPr>
        <w:t>information</w:t>
      </w:r>
      <w:r w:rsidR="006B6676">
        <w:rPr>
          <w:rFonts w:ascii="Arial" w:hAnsi="Arial" w:cs="Arial"/>
          <w:sz w:val="17"/>
          <w:szCs w:val="17"/>
          <w:lang w:val="en-GB"/>
        </w:rPr>
        <w:t xml:space="preserve"> </w:t>
      </w:r>
      <w:r w:rsidR="007D45C1">
        <w:rPr>
          <w:rFonts w:ascii="Arial" w:hAnsi="Arial" w:cs="Arial"/>
          <w:sz w:val="17"/>
          <w:szCs w:val="17"/>
          <w:lang w:val="en-GB"/>
        </w:rPr>
        <w:t>from</w:t>
      </w:r>
      <w:r w:rsidR="006B6676">
        <w:rPr>
          <w:rFonts w:ascii="Arial" w:hAnsi="Arial" w:cs="Arial"/>
          <w:sz w:val="17"/>
          <w:szCs w:val="17"/>
          <w:lang w:val="en-GB"/>
        </w:rPr>
        <w:t xml:space="preserve"> </w:t>
      </w:r>
      <w:r w:rsidR="007D45C1">
        <w:rPr>
          <w:rFonts w:ascii="Arial" w:hAnsi="Arial" w:cs="Arial"/>
          <w:sz w:val="17"/>
          <w:szCs w:val="17"/>
          <w:lang w:val="en-GB"/>
        </w:rPr>
        <w:t>“</w:t>
      </w:r>
      <w:r w:rsidR="007D45C1" w:rsidRPr="00764559">
        <w:rPr>
          <w:rFonts w:ascii="Arial" w:hAnsi="Arial" w:cs="Arial"/>
          <w:sz w:val="17"/>
          <w:szCs w:val="17"/>
          <w:lang w:val="en-GB"/>
        </w:rPr>
        <w:t>Compare</w:t>
      </w:r>
      <w:r w:rsidR="006B6676">
        <w:rPr>
          <w:rFonts w:ascii="Arial" w:hAnsi="Arial" w:cs="Arial"/>
          <w:sz w:val="17"/>
          <w:szCs w:val="17"/>
          <w:lang w:val="en-GB"/>
        </w:rPr>
        <w:t xml:space="preserve"> </w:t>
      </w:r>
      <w:r w:rsidR="007D45C1" w:rsidRPr="00764559">
        <w:rPr>
          <w:rFonts w:ascii="Arial" w:hAnsi="Arial" w:cs="Arial"/>
          <w:sz w:val="17"/>
          <w:szCs w:val="17"/>
          <w:lang w:val="en-GB"/>
        </w:rPr>
        <w:t>Bikes,</w:t>
      </w:r>
      <w:r w:rsidR="007D45C1">
        <w:rPr>
          <w:rFonts w:ascii="Arial" w:hAnsi="Arial" w:cs="Arial"/>
          <w:sz w:val="17"/>
          <w:szCs w:val="17"/>
          <w:lang w:val="en-GB"/>
        </w:rPr>
        <w:t>”</w:t>
      </w:r>
      <w:r w:rsidR="006B6676">
        <w:rPr>
          <w:rFonts w:ascii="Arial" w:hAnsi="Arial" w:cs="Arial"/>
          <w:sz w:val="17"/>
          <w:szCs w:val="17"/>
          <w:lang w:val="en-GB"/>
        </w:rPr>
        <w:t xml:space="preserve"> </w:t>
      </w:r>
      <w:r w:rsidR="007D45C1" w:rsidRPr="00764559">
        <w:rPr>
          <w:rFonts w:ascii="Arial" w:hAnsi="Arial" w:cs="Arial"/>
          <w:sz w:val="17"/>
          <w:szCs w:val="17"/>
          <w:lang w:val="en-GB"/>
        </w:rPr>
        <w:t>Zig</w:t>
      </w:r>
      <w:r w:rsidR="007D45C1">
        <w:rPr>
          <w:rFonts w:ascii="Arial" w:hAnsi="Arial" w:cs="Arial"/>
          <w:sz w:val="17"/>
          <w:szCs w:val="17"/>
          <w:lang w:val="en-GB"/>
        </w:rPr>
        <w:t>W</w:t>
      </w:r>
      <w:r w:rsidR="007D45C1" w:rsidRPr="00764559">
        <w:rPr>
          <w:rFonts w:ascii="Arial" w:hAnsi="Arial" w:cs="Arial"/>
          <w:sz w:val="17"/>
          <w:szCs w:val="17"/>
          <w:lang w:val="en-GB"/>
        </w:rPr>
        <w:t>heels,</w:t>
      </w:r>
      <w:r w:rsidR="006B6676">
        <w:rPr>
          <w:rFonts w:ascii="Arial" w:hAnsi="Arial" w:cs="Arial"/>
          <w:sz w:val="17"/>
          <w:szCs w:val="17"/>
          <w:lang w:val="en-GB"/>
        </w:rPr>
        <w:t xml:space="preserve"> </w:t>
      </w:r>
      <w:r w:rsidR="007D45C1" w:rsidRPr="00764559">
        <w:rPr>
          <w:rFonts w:ascii="Arial" w:hAnsi="Arial" w:cs="Arial"/>
          <w:sz w:val="17"/>
          <w:szCs w:val="17"/>
          <w:lang w:val="en-GB"/>
        </w:rPr>
        <w:t>accessed</w:t>
      </w:r>
      <w:r w:rsidR="006B6676">
        <w:rPr>
          <w:rFonts w:ascii="Arial" w:hAnsi="Arial" w:cs="Arial"/>
          <w:sz w:val="17"/>
          <w:szCs w:val="17"/>
          <w:lang w:val="en-GB"/>
        </w:rPr>
        <w:t xml:space="preserve"> </w:t>
      </w:r>
      <w:r w:rsidR="007D45C1" w:rsidRPr="0023084D">
        <w:rPr>
          <w:rFonts w:ascii="Arial" w:hAnsi="Arial" w:cs="Arial"/>
          <w:sz w:val="17"/>
          <w:szCs w:val="17"/>
          <w:lang w:val="en-GB"/>
        </w:rPr>
        <w:t>September</w:t>
      </w:r>
      <w:r w:rsidR="006B6676">
        <w:rPr>
          <w:rFonts w:ascii="Arial" w:hAnsi="Arial" w:cs="Arial"/>
          <w:sz w:val="17"/>
          <w:szCs w:val="17"/>
          <w:lang w:val="en-GB"/>
        </w:rPr>
        <w:t xml:space="preserve"> </w:t>
      </w:r>
      <w:r w:rsidR="007D45C1" w:rsidRPr="0023084D">
        <w:rPr>
          <w:rFonts w:ascii="Arial" w:hAnsi="Arial" w:cs="Arial"/>
          <w:sz w:val="17"/>
          <w:szCs w:val="17"/>
          <w:lang w:val="en-GB"/>
        </w:rPr>
        <w:t>24,</w:t>
      </w:r>
      <w:r w:rsidR="006B6676">
        <w:rPr>
          <w:rFonts w:ascii="Arial" w:hAnsi="Arial" w:cs="Arial"/>
          <w:sz w:val="17"/>
          <w:szCs w:val="17"/>
          <w:lang w:val="en-GB"/>
        </w:rPr>
        <w:t xml:space="preserve"> </w:t>
      </w:r>
      <w:r w:rsidR="007D45C1" w:rsidRPr="0023084D">
        <w:rPr>
          <w:rFonts w:ascii="Arial" w:hAnsi="Arial" w:cs="Arial"/>
          <w:sz w:val="17"/>
          <w:szCs w:val="17"/>
          <w:lang w:val="en-GB"/>
        </w:rPr>
        <w:t>2020</w:t>
      </w:r>
      <w:r w:rsidR="007D45C1" w:rsidRPr="00764559">
        <w:rPr>
          <w:rFonts w:ascii="Arial" w:hAnsi="Arial" w:cs="Arial"/>
          <w:sz w:val="17"/>
          <w:szCs w:val="17"/>
          <w:lang w:val="en-GB"/>
        </w:rPr>
        <w:t>,</w:t>
      </w:r>
      <w:r w:rsidR="006B6676">
        <w:rPr>
          <w:rFonts w:ascii="Arial" w:hAnsi="Arial" w:cs="Arial"/>
          <w:sz w:val="17"/>
          <w:szCs w:val="17"/>
          <w:lang w:val="en-GB"/>
        </w:rPr>
        <w:t xml:space="preserve"> </w:t>
      </w:r>
      <w:hyperlink r:id="rId13" w:history="1">
        <w:r w:rsidR="008A25D6" w:rsidRPr="00485BE6">
          <w:rPr>
            <w:rStyle w:val="FootnoteChar"/>
          </w:rPr>
          <w:t>www.zigwheels.com/bikes/comparison</w:t>
        </w:r>
      </w:hyperlink>
      <w:r w:rsidR="008A25D6">
        <w:rPr>
          <w:rFonts w:ascii="Arial" w:hAnsi="Arial" w:cs="Arial"/>
          <w:sz w:val="17"/>
          <w:szCs w:val="17"/>
          <w:lang w:val="en-GB"/>
        </w:rPr>
        <w:t>;</w:t>
      </w:r>
      <w:r w:rsidR="006B6676">
        <w:rPr>
          <w:rFonts w:ascii="Arial" w:hAnsi="Arial" w:cs="Arial"/>
          <w:sz w:val="17"/>
          <w:szCs w:val="17"/>
          <w:lang w:val="en-GB"/>
        </w:rPr>
        <w:t xml:space="preserve"> </w:t>
      </w:r>
      <w:r w:rsidR="008A25D6">
        <w:rPr>
          <w:rFonts w:ascii="Arial" w:hAnsi="Arial" w:cs="Arial"/>
          <w:sz w:val="17"/>
          <w:szCs w:val="17"/>
          <w:lang w:val="en-GB"/>
        </w:rPr>
        <w:t>“Motorcycles,”</w:t>
      </w:r>
      <w:r w:rsidR="006B6676">
        <w:rPr>
          <w:rFonts w:ascii="Arial" w:hAnsi="Arial" w:cs="Arial"/>
          <w:sz w:val="17"/>
          <w:szCs w:val="17"/>
          <w:lang w:val="en-GB"/>
        </w:rPr>
        <w:t xml:space="preserve"> </w:t>
      </w:r>
      <w:r w:rsidR="008A25D6">
        <w:rPr>
          <w:rFonts w:ascii="Arial" w:hAnsi="Arial" w:cs="Arial"/>
          <w:sz w:val="17"/>
          <w:szCs w:val="17"/>
          <w:lang w:val="en-GB"/>
        </w:rPr>
        <w:t>Royal</w:t>
      </w:r>
      <w:r w:rsidR="006B6676">
        <w:rPr>
          <w:rFonts w:ascii="Arial" w:hAnsi="Arial" w:cs="Arial"/>
          <w:sz w:val="17"/>
          <w:szCs w:val="17"/>
          <w:lang w:val="en-GB"/>
        </w:rPr>
        <w:t xml:space="preserve"> </w:t>
      </w:r>
      <w:r w:rsidR="008A25D6">
        <w:rPr>
          <w:rFonts w:ascii="Arial" w:hAnsi="Arial" w:cs="Arial"/>
          <w:sz w:val="17"/>
          <w:szCs w:val="17"/>
          <w:lang w:val="en-GB"/>
        </w:rPr>
        <w:t>Enfield,</w:t>
      </w:r>
      <w:r w:rsidR="006B6676">
        <w:rPr>
          <w:rFonts w:ascii="Arial" w:hAnsi="Arial" w:cs="Arial"/>
          <w:sz w:val="17"/>
          <w:szCs w:val="17"/>
          <w:lang w:val="en-GB"/>
        </w:rPr>
        <w:t xml:space="preserve"> </w:t>
      </w:r>
      <w:r w:rsidR="008A25D6">
        <w:rPr>
          <w:rFonts w:ascii="Arial" w:hAnsi="Arial" w:cs="Arial"/>
          <w:sz w:val="17"/>
          <w:szCs w:val="17"/>
          <w:lang w:val="en-GB"/>
        </w:rPr>
        <w:t>accessed</w:t>
      </w:r>
      <w:r w:rsidR="006B6676">
        <w:rPr>
          <w:rFonts w:ascii="Arial" w:hAnsi="Arial" w:cs="Arial"/>
          <w:sz w:val="17"/>
          <w:szCs w:val="17"/>
          <w:lang w:val="en-GB"/>
        </w:rPr>
        <w:t xml:space="preserve"> </w:t>
      </w:r>
      <w:r w:rsidR="008A25D6">
        <w:rPr>
          <w:rFonts w:ascii="Arial" w:hAnsi="Arial" w:cs="Arial"/>
          <w:sz w:val="17"/>
          <w:szCs w:val="17"/>
          <w:lang w:val="en-GB"/>
        </w:rPr>
        <w:t>September</w:t>
      </w:r>
      <w:r w:rsidR="006B6676">
        <w:rPr>
          <w:rFonts w:ascii="Arial" w:hAnsi="Arial" w:cs="Arial"/>
          <w:sz w:val="17"/>
          <w:szCs w:val="17"/>
          <w:lang w:val="en-GB"/>
        </w:rPr>
        <w:t xml:space="preserve"> </w:t>
      </w:r>
      <w:r w:rsidR="008A25D6">
        <w:rPr>
          <w:rFonts w:ascii="Arial" w:hAnsi="Arial" w:cs="Arial"/>
          <w:sz w:val="17"/>
          <w:szCs w:val="17"/>
          <w:lang w:val="en-GB"/>
        </w:rPr>
        <w:t>24,</w:t>
      </w:r>
      <w:r w:rsidR="006B6676">
        <w:rPr>
          <w:rFonts w:ascii="Arial" w:hAnsi="Arial" w:cs="Arial"/>
          <w:sz w:val="17"/>
          <w:szCs w:val="17"/>
          <w:lang w:val="en-GB"/>
        </w:rPr>
        <w:t xml:space="preserve"> </w:t>
      </w:r>
      <w:r w:rsidR="008A25D6">
        <w:rPr>
          <w:rFonts w:ascii="Arial" w:hAnsi="Arial" w:cs="Arial"/>
          <w:sz w:val="17"/>
          <w:szCs w:val="17"/>
          <w:lang w:val="en-GB"/>
        </w:rPr>
        <w:t>2020,</w:t>
      </w:r>
      <w:r w:rsidR="006B6676">
        <w:rPr>
          <w:rFonts w:ascii="Arial" w:hAnsi="Arial" w:cs="Arial"/>
          <w:sz w:val="17"/>
          <w:szCs w:val="17"/>
          <w:lang w:val="en-GB"/>
        </w:rPr>
        <w:t xml:space="preserve"> </w:t>
      </w:r>
      <w:hyperlink r:id="rId14" w:history="1">
        <w:r w:rsidR="008A25D6" w:rsidRPr="00485BE6">
          <w:rPr>
            <w:rStyle w:val="FootnoteChar"/>
          </w:rPr>
          <w:t>https://www.royalenfield.com/in/en/motorcycles/</w:t>
        </w:r>
      </w:hyperlink>
      <w:r w:rsidR="008A25D6" w:rsidRPr="00485BE6">
        <w:rPr>
          <w:rStyle w:val="FootnoteChar"/>
        </w:rPr>
        <w:t>;</w:t>
      </w:r>
      <w:r w:rsidR="006B6676">
        <w:rPr>
          <w:rStyle w:val="FootnoteChar"/>
        </w:rPr>
        <w:t xml:space="preserve"> </w:t>
      </w:r>
      <w:r w:rsidR="008A25D6" w:rsidRPr="00485BE6">
        <w:rPr>
          <w:rStyle w:val="FootnoteChar"/>
        </w:rPr>
        <w:t>“Royal</w:t>
      </w:r>
      <w:r w:rsidR="006B6676">
        <w:rPr>
          <w:rStyle w:val="FootnoteChar"/>
        </w:rPr>
        <w:t xml:space="preserve"> </w:t>
      </w:r>
      <w:r w:rsidR="008A25D6" w:rsidRPr="00485BE6">
        <w:rPr>
          <w:rStyle w:val="FootnoteChar"/>
        </w:rPr>
        <w:t>Enfield</w:t>
      </w:r>
      <w:r w:rsidR="006B6676">
        <w:rPr>
          <w:rStyle w:val="FootnoteChar"/>
        </w:rPr>
        <w:t xml:space="preserve"> </w:t>
      </w:r>
      <w:r w:rsidR="008A25D6" w:rsidRPr="00485BE6">
        <w:rPr>
          <w:rStyle w:val="FootnoteChar"/>
        </w:rPr>
        <w:t>Bullet</w:t>
      </w:r>
      <w:r w:rsidR="006B6676">
        <w:rPr>
          <w:rStyle w:val="FootnoteChar"/>
        </w:rPr>
        <w:t xml:space="preserve"> </w:t>
      </w:r>
      <w:r w:rsidR="008A25D6" w:rsidRPr="00485BE6">
        <w:rPr>
          <w:rStyle w:val="FootnoteChar"/>
        </w:rPr>
        <w:t>350</w:t>
      </w:r>
      <w:r w:rsidR="006B6676">
        <w:rPr>
          <w:rStyle w:val="FootnoteChar"/>
        </w:rPr>
        <w:t xml:space="preserve"> </w:t>
      </w:r>
      <w:r w:rsidR="008A25D6" w:rsidRPr="00485BE6">
        <w:rPr>
          <w:rStyle w:val="FootnoteChar"/>
        </w:rPr>
        <w:t>On</w:t>
      </w:r>
      <w:r w:rsidR="006B6676">
        <w:rPr>
          <w:rStyle w:val="FootnoteChar"/>
        </w:rPr>
        <w:t xml:space="preserve"> </w:t>
      </w:r>
      <w:r w:rsidR="008A25D6" w:rsidRPr="00485BE6">
        <w:rPr>
          <w:rStyle w:val="FootnoteChar"/>
        </w:rPr>
        <w:t>Road</w:t>
      </w:r>
      <w:r w:rsidR="006B6676">
        <w:rPr>
          <w:rStyle w:val="FootnoteChar"/>
        </w:rPr>
        <w:t xml:space="preserve"> </w:t>
      </w:r>
      <w:r w:rsidR="008A25D6" w:rsidRPr="00485BE6">
        <w:rPr>
          <w:rStyle w:val="FootnoteChar"/>
        </w:rPr>
        <w:t>Price</w:t>
      </w:r>
      <w:r w:rsidR="006B6676">
        <w:rPr>
          <w:rStyle w:val="FootnoteChar"/>
        </w:rPr>
        <w:t xml:space="preserve"> </w:t>
      </w:r>
      <w:r w:rsidR="008A25D6" w:rsidRPr="00485BE6">
        <w:rPr>
          <w:rStyle w:val="FootnoteChar"/>
        </w:rPr>
        <w:t>in</w:t>
      </w:r>
      <w:r w:rsidR="006B6676">
        <w:rPr>
          <w:rStyle w:val="FootnoteChar"/>
        </w:rPr>
        <w:t xml:space="preserve"> </w:t>
      </w:r>
      <w:r w:rsidR="008A25D6" w:rsidRPr="00485BE6">
        <w:rPr>
          <w:rStyle w:val="FootnoteChar"/>
        </w:rPr>
        <w:t>Delhi,”</w:t>
      </w:r>
      <w:r w:rsidR="006B6676">
        <w:rPr>
          <w:rStyle w:val="FootnoteChar"/>
        </w:rPr>
        <w:t xml:space="preserve"> </w:t>
      </w:r>
      <w:r w:rsidR="008A25D6" w:rsidRPr="00485BE6">
        <w:rPr>
          <w:rStyle w:val="FootnoteChar"/>
        </w:rPr>
        <w:t>ZigWheels,</w:t>
      </w:r>
      <w:r w:rsidR="006B6676">
        <w:rPr>
          <w:rStyle w:val="FootnoteChar"/>
        </w:rPr>
        <w:t xml:space="preserve"> </w:t>
      </w:r>
      <w:r w:rsidR="008A25D6" w:rsidRPr="00485BE6">
        <w:rPr>
          <w:rStyle w:val="FootnoteChar"/>
        </w:rPr>
        <w:t>accessed</w:t>
      </w:r>
      <w:r w:rsidR="006B6676">
        <w:rPr>
          <w:rStyle w:val="FootnoteChar"/>
        </w:rPr>
        <w:t xml:space="preserve"> </w:t>
      </w:r>
      <w:r w:rsidR="008A25D6">
        <w:rPr>
          <w:rStyle w:val="FootnoteChar"/>
        </w:rPr>
        <w:t>December</w:t>
      </w:r>
      <w:r w:rsidR="006B6676">
        <w:rPr>
          <w:rStyle w:val="FootnoteChar"/>
        </w:rPr>
        <w:t xml:space="preserve"> </w:t>
      </w:r>
      <w:r w:rsidR="008A25D6">
        <w:rPr>
          <w:rStyle w:val="FootnoteChar"/>
        </w:rPr>
        <w:t>28,</w:t>
      </w:r>
      <w:r w:rsidR="006B6676">
        <w:rPr>
          <w:rStyle w:val="FootnoteChar"/>
        </w:rPr>
        <w:t xml:space="preserve"> </w:t>
      </w:r>
      <w:r w:rsidR="008A25D6">
        <w:rPr>
          <w:rStyle w:val="FootnoteChar"/>
        </w:rPr>
        <w:t>2019</w:t>
      </w:r>
      <w:r w:rsidR="008A25D6" w:rsidRPr="00485BE6">
        <w:rPr>
          <w:rStyle w:val="FootnoteChar"/>
        </w:rPr>
        <w:t>,</w:t>
      </w:r>
      <w:r w:rsidR="006B6676">
        <w:rPr>
          <w:rStyle w:val="FootnoteChar"/>
        </w:rPr>
        <w:t xml:space="preserve"> </w:t>
      </w:r>
      <w:hyperlink r:id="rId15" w:history="1">
        <w:r w:rsidR="008A25D6" w:rsidRPr="00485BE6">
          <w:rPr>
            <w:rStyle w:val="FootnoteChar"/>
          </w:rPr>
          <w:t>https://www.zigwheels.com/newbikes/Royal-Enfield/Bullet-350-Twinspark/on-road-price-delhi</w:t>
        </w:r>
      </w:hyperlink>
      <w:r w:rsidR="008A25D6" w:rsidRPr="00485BE6">
        <w:rPr>
          <w:rStyle w:val="FootnoteChar"/>
        </w:rPr>
        <w:t>;</w:t>
      </w:r>
      <w:r w:rsidR="006B6676">
        <w:rPr>
          <w:rStyle w:val="FootnoteChar"/>
        </w:rPr>
        <w:t xml:space="preserve"> </w:t>
      </w:r>
      <w:r w:rsidR="008A25D6">
        <w:rPr>
          <w:rStyle w:val="FootnoteChar"/>
        </w:rPr>
        <w:t>“Royal</w:t>
      </w:r>
      <w:r w:rsidR="006B6676">
        <w:rPr>
          <w:rStyle w:val="FootnoteChar"/>
        </w:rPr>
        <w:t xml:space="preserve"> </w:t>
      </w:r>
      <w:r w:rsidR="008A25D6">
        <w:rPr>
          <w:rStyle w:val="FootnoteChar"/>
        </w:rPr>
        <w:t>Enfield</w:t>
      </w:r>
      <w:r w:rsidR="006B6676">
        <w:rPr>
          <w:rStyle w:val="FootnoteChar"/>
        </w:rPr>
        <w:t xml:space="preserve"> </w:t>
      </w:r>
      <w:r w:rsidR="008A25D6">
        <w:rPr>
          <w:rStyle w:val="FootnoteChar"/>
        </w:rPr>
        <w:t>Classic</w:t>
      </w:r>
      <w:r w:rsidR="006B6676">
        <w:rPr>
          <w:rStyle w:val="FootnoteChar"/>
        </w:rPr>
        <w:t xml:space="preserve"> </w:t>
      </w:r>
      <w:r w:rsidR="008A25D6">
        <w:rPr>
          <w:rStyle w:val="FootnoteChar"/>
        </w:rPr>
        <w:t>350</w:t>
      </w:r>
      <w:r w:rsidR="006B6676">
        <w:rPr>
          <w:rStyle w:val="FootnoteChar"/>
        </w:rPr>
        <w:t xml:space="preserve"> </w:t>
      </w:r>
      <w:r w:rsidR="008A25D6">
        <w:rPr>
          <w:rStyle w:val="FootnoteChar"/>
        </w:rPr>
        <w:t>On</w:t>
      </w:r>
      <w:r w:rsidR="006B6676">
        <w:rPr>
          <w:rStyle w:val="FootnoteChar"/>
        </w:rPr>
        <w:t xml:space="preserve"> </w:t>
      </w:r>
      <w:r w:rsidR="008A25D6">
        <w:rPr>
          <w:rStyle w:val="FootnoteChar"/>
        </w:rPr>
        <w:t>Road</w:t>
      </w:r>
      <w:r w:rsidR="006B6676">
        <w:rPr>
          <w:rStyle w:val="FootnoteChar"/>
        </w:rPr>
        <w:t xml:space="preserve"> </w:t>
      </w:r>
      <w:r w:rsidR="008A25D6">
        <w:rPr>
          <w:rStyle w:val="FootnoteChar"/>
        </w:rPr>
        <w:t>Price</w:t>
      </w:r>
      <w:r w:rsidR="006B6676">
        <w:rPr>
          <w:rStyle w:val="FootnoteChar"/>
        </w:rPr>
        <w:t xml:space="preserve"> </w:t>
      </w:r>
      <w:r w:rsidR="008A25D6">
        <w:rPr>
          <w:rStyle w:val="FootnoteChar"/>
        </w:rPr>
        <w:t>in</w:t>
      </w:r>
      <w:r w:rsidR="006B6676">
        <w:rPr>
          <w:rStyle w:val="FootnoteChar"/>
        </w:rPr>
        <w:t xml:space="preserve"> </w:t>
      </w:r>
      <w:r w:rsidR="008A25D6">
        <w:rPr>
          <w:rStyle w:val="FootnoteChar"/>
        </w:rPr>
        <w:t>Delhi,”</w:t>
      </w:r>
      <w:r w:rsidR="006B6676">
        <w:rPr>
          <w:rStyle w:val="FootnoteChar"/>
        </w:rPr>
        <w:t xml:space="preserve"> </w:t>
      </w:r>
      <w:r w:rsidR="008A25D6">
        <w:rPr>
          <w:rStyle w:val="FootnoteChar"/>
        </w:rPr>
        <w:t>ZigWheels,</w:t>
      </w:r>
      <w:r w:rsidR="006B6676">
        <w:rPr>
          <w:rStyle w:val="FootnoteChar"/>
        </w:rPr>
        <w:t xml:space="preserve"> </w:t>
      </w:r>
      <w:r w:rsidR="008A25D6">
        <w:rPr>
          <w:rStyle w:val="FootnoteChar"/>
        </w:rPr>
        <w:t>accessed</w:t>
      </w:r>
      <w:r w:rsidR="006B6676">
        <w:rPr>
          <w:rStyle w:val="FootnoteChar"/>
        </w:rPr>
        <w:t xml:space="preserve"> </w:t>
      </w:r>
      <w:r w:rsidR="008A25D6">
        <w:rPr>
          <w:rStyle w:val="FootnoteChar"/>
        </w:rPr>
        <w:t>December</w:t>
      </w:r>
      <w:r w:rsidR="006B6676">
        <w:rPr>
          <w:rStyle w:val="FootnoteChar"/>
        </w:rPr>
        <w:t xml:space="preserve"> </w:t>
      </w:r>
      <w:r w:rsidR="008A25D6">
        <w:rPr>
          <w:rStyle w:val="FootnoteChar"/>
        </w:rPr>
        <w:t>28,</w:t>
      </w:r>
      <w:r w:rsidR="006B6676">
        <w:rPr>
          <w:rStyle w:val="FootnoteChar"/>
        </w:rPr>
        <w:t xml:space="preserve"> </w:t>
      </w:r>
      <w:r w:rsidR="008A25D6">
        <w:rPr>
          <w:rStyle w:val="FootnoteChar"/>
        </w:rPr>
        <w:t>2019,</w:t>
      </w:r>
      <w:r w:rsidR="006B6676">
        <w:rPr>
          <w:rStyle w:val="FootnoteChar"/>
        </w:rPr>
        <w:t xml:space="preserve"> </w:t>
      </w:r>
      <w:hyperlink r:id="rId16" w:history="1">
        <w:r w:rsidR="008A25D6" w:rsidRPr="00485BE6">
          <w:rPr>
            <w:rStyle w:val="FootnoteChar"/>
          </w:rPr>
          <w:t>https://www.zigwheels.com/newbikes/Royal-Enfield/Classic-350/on-road-price-delhi</w:t>
        </w:r>
      </w:hyperlink>
      <w:r w:rsidR="008A25D6">
        <w:rPr>
          <w:rStyle w:val="FootnoteChar"/>
        </w:rPr>
        <w:t>;</w:t>
      </w:r>
      <w:r w:rsidR="006B6676">
        <w:rPr>
          <w:rStyle w:val="FootnoteChar"/>
        </w:rPr>
        <w:t xml:space="preserve"> </w:t>
      </w:r>
      <w:r w:rsidR="008A25D6">
        <w:rPr>
          <w:rStyle w:val="FootnoteChar"/>
        </w:rPr>
        <w:t>“Royal</w:t>
      </w:r>
      <w:r w:rsidR="006B6676">
        <w:rPr>
          <w:rStyle w:val="FootnoteChar"/>
        </w:rPr>
        <w:t xml:space="preserve"> </w:t>
      </w:r>
      <w:r w:rsidR="008A25D6">
        <w:rPr>
          <w:rStyle w:val="FootnoteChar"/>
        </w:rPr>
        <w:t>Enfield</w:t>
      </w:r>
      <w:r w:rsidR="006B6676">
        <w:rPr>
          <w:rStyle w:val="FootnoteChar"/>
        </w:rPr>
        <w:t xml:space="preserve"> </w:t>
      </w:r>
      <w:r w:rsidR="008A25D6">
        <w:rPr>
          <w:rStyle w:val="FootnoteChar"/>
        </w:rPr>
        <w:t>Thunderbird</w:t>
      </w:r>
      <w:r w:rsidR="006B6676">
        <w:rPr>
          <w:rStyle w:val="FootnoteChar"/>
        </w:rPr>
        <w:t xml:space="preserve"> </w:t>
      </w:r>
      <w:r w:rsidR="008A25D6">
        <w:rPr>
          <w:rStyle w:val="FootnoteChar"/>
        </w:rPr>
        <w:t>500</w:t>
      </w:r>
      <w:r w:rsidR="006B6676">
        <w:rPr>
          <w:rStyle w:val="FootnoteChar"/>
        </w:rPr>
        <w:t xml:space="preserve"> </w:t>
      </w:r>
      <w:r w:rsidR="008A25D6">
        <w:rPr>
          <w:rStyle w:val="FootnoteChar"/>
        </w:rPr>
        <w:t>On</w:t>
      </w:r>
      <w:r w:rsidR="006B6676">
        <w:rPr>
          <w:rStyle w:val="FootnoteChar"/>
        </w:rPr>
        <w:t xml:space="preserve"> </w:t>
      </w:r>
      <w:r w:rsidR="008A25D6">
        <w:rPr>
          <w:rStyle w:val="FootnoteChar"/>
        </w:rPr>
        <w:t>Road</w:t>
      </w:r>
      <w:r w:rsidR="006B6676">
        <w:rPr>
          <w:rStyle w:val="FootnoteChar"/>
        </w:rPr>
        <w:t xml:space="preserve"> </w:t>
      </w:r>
      <w:r w:rsidR="008A25D6">
        <w:rPr>
          <w:rStyle w:val="FootnoteChar"/>
        </w:rPr>
        <w:t>Price</w:t>
      </w:r>
      <w:r w:rsidR="006B6676">
        <w:rPr>
          <w:rStyle w:val="FootnoteChar"/>
        </w:rPr>
        <w:t xml:space="preserve"> </w:t>
      </w:r>
      <w:r w:rsidR="008A25D6">
        <w:rPr>
          <w:rStyle w:val="FootnoteChar"/>
        </w:rPr>
        <w:t>in</w:t>
      </w:r>
      <w:r w:rsidR="006B6676">
        <w:rPr>
          <w:rStyle w:val="FootnoteChar"/>
        </w:rPr>
        <w:t xml:space="preserve"> </w:t>
      </w:r>
      <w:r w:rsidR="008A25D6">
        <w:rPr>
          <w:rStyle w:val="FootnoteChar"/>
        </w:rPr>
        <w:t>Delhi,”</w:t>
      </w:r>
      <w:r w:rsidR="006B6676">
        <w:rPr>
          <w:rStyle w:val="FootnoteChar"/>
        </w:rPr>
        <w:t xml:space="preserve"> </w:t>
      </w:r>
      <w:r w:rsidR="008A25D6">
        <w:rPr>
          <w:rStyle w:val="FootnoteChar"/>
        </w:rPr>
        <w:t>ZigWheels,</w:t>
      </w:r>
      <w:r w:rsidR="006B6676">
        <w:rPr>
          <w:rStyle w:val="FootnoteChar"/>
        </w:rPr>
        <w:t xml:space="preserve"> </w:t>
      </w:r>
      <w:r w:rsidR="008A25D6">
        <w:rPr>
          <w:rStyle w:val="FootnoteChar"/>
        </w:rPr>
        <w:t>accessed</w:t>
      </w:r>
      <w:r w:rsidR="006B6676">
        <w:rPr>
          <w:rStyle w:val="FootnoteChar"/>
        </w:rPr>
        <w:t xml:space="preserve"> </w:t>
      </w:r>
      <w:r w:rsidR="008A25D6">
        <w:rPr>
          <w:rStyle w:val="FootnoteChar"/>
        </w:rPr>
        <w:t>December</w:t>
      </w:r>
      <w:r w:rsidR="006B6676">
        <w:rPr>
          <w:rStyle w:val="FootnoteChar"/>
        </w:rPr>
        <w:t xml:space="preserve"> </w:t>
      </w:r>
      <w:r w:rsidR="008A25D6">
        <w:rPr>
          <w:rStyle w:val="FootnoteChar"/>
        </w:rPr>
        <w:t>28,</w:t>
      </w:r>
      <w:r w:rsidR="006B6676">
        <w:rPr>
          <w:rStyle w:val="FootnoteChar"/>
        </w:rPr>
        <w:t xml:space="preserve"> </w:t>
      </w:r>
      <w:r w:rsidR="008A25D6">
        <w:rPr>
          <w:rStyle w:val="FootnoteChar"/>
        </w:rPr>
        <w:t>2019,</w:t>
      </w:r>
      <w:r w:rsidR="006B6676">
        <w:rPr>
          <w:rStyle w:val="FootnoteChar"/>
        </w:rPr>
        <w:t xml:space="preserve"> </w:t>
      </w:r>
      <w:hyperlink r:id="rId17" w:history="1">
        <w:r w:rsidR="008A25D6" w:rsidRPr="00485BE6">
          <w:rPr>
            <w:rStyle w:val="FootnoteChar"/>
          </w:rPr>
          <w:t>https://www.zigwheels.com/newbikes/Royal-Enfield/Thunderbird-500/on-road-price-delhi</w:t>
        </w:r>
      </w:hyperlink>
      <w:r w:rsidR="008A25D6">
        <w:rPr>
          <w:rStyle w:val="FootnoteChar"/>
        </w:rPr>
        <w:t>;</w:t>
      </w:r>
      <w:r w:rsidR="006B6676">
        <w:rPr>
          <w:rStyle w:val="FootnoteChar"/>
        </w:rPr>
        <w:t xml:space="preserve"> </w:t>
      </w:r>
      <w:r w:rsidR="008A25D6">
        <w:rPr>
          <w:rStyle w:val="FootnoteChar"/>
        </w:rPr>
        <w:t>“Royal</w:t>
      </w:r>
      <w:r w:rsidR="006B6676">
        <w:rPr>
          <w:rStyle w:val="FootnoteChar"/>
        </w:rPr>
        <w:t xml:space="preserve"> </w:t>
      </w:r>
      <w:r w:rsidR="008A25D6">
        <w:rPr>
          <w:rStyle w:val="FootnoteChar"/>
        </w:rPr>
        <w:t>Enfield</w:t>
      </w:r>
      <w:r w:rsidR="006B6676">
        <w:rPr>
          <w:rStyle w:val="FootnoteChar"/>
        </w:rPr>
        <w:t xml:space="preserve"> </w:t>
      </w:r>
      <w:r w:rsidR="008A25D6">
        <w:rPr>
          <w:rStyle w:val="FootnoteChar"/>
        </w:rPr>
        <w:t>Himalayan,”</w:t>
      </w:r>
      <w:r w:rsidR="006B6676">
        <w:rPr>
          <w:rStyle w:val="FootnoteChar"/>
        </w:rPr>
        <w:t xml:space="preserve"> </w:t>
      </w:r>
      <w:r w:rsidR="008A25D6">
        <w:rPr>
          <w:rStyle w:val="FootnoteChar"/>
        </w:rPr>
        <w:t>ZigWheels,</w:t>
      </w:r>
      <w:r w:rsidR="006B6676">
        <w:rPr>
          <w:rStyle w:val="FootnoteChar"/>
        </w:rPr>
        <w:t xml:space="preserve"> </w:t>
      </w:r>
      <w:r w:rsidR="008A25D6">
        <w:rPr>
          <w:rStyle w:val="FootnoteChar"/>
        </w:rPr>
        <w:t>December</w:t>
      </w:r>
      <w:r w:rsidR="006B6676">
        <w:rPr>
          <w:rStyle w:val="FootnoteChar"/>
        </w:rPr>
        <w:t xml:space="preserve"> </w:t>
      </w:r>
      <w:r w:rsidR="008A25D6">
        <w:rPr>
          <w:rStyle w:val="FootnoteChar"/>
        </w:rPr>
        <w:t>28,</w:t>
      </w:r>
      <w:r w:rsidR="006B6676">
        <w:rPr>
          <w:rStyle w:val="FootnoteChar"/>
        </w:rPr>
        <w:t xml:space="preserve"> </w:t>
      </w:r>
      <w:r w:rsidR="008A25D6">
        <w:rPr>
          <w:rStyle w:val="FootnoteChar"/>
        </w:rPr>
        <w:t>2019,</w:t>
      </w:r>
      <w:r w:rsidR="006B6676">
        <w:rPr>
          <w:rStyle w:val="FootnoteChar"/>
        </w:rPr>
        <w:t xml:space="preserve"> </w:t>
      </w:r>
      <w:hyperlink r:id="rId18" w:history="1">
        <w:r w:rsidR="008A25D6" w:rsidRPr="00485BE6">
          <w:rPr>
            <w:rStyle w:val="FootnoteChar"/>
          </w:rPr>
          <w:t>https://www.zigwheels.com/newbikes/Royal-Enfield/Himalayan</w:t>
        </w:r>
      </w:hyperlink>
      <w:r w:rsidR="009A6937">
        <w:rPr>
          <w:rFonts w:ascii="Arial" w:hAnsi="Arial" w:cs="Arial"/>
          <w:sz w:val="17"/>
          <w:szCs w:val="17"/>
          <w:lang w:val="en-GB"/>
        </w:rPr>
        <w:t>.</w:t>
      </w:r>
      <w:r w:rsidR="006B6676">
        <w:rPr>
          <w:rFonts w:ascii="Arial" w:hAnsi="Arial" w:cs="Arial"/>
          <w:sz w:val="17"/>
          <w:szCs w:val="17"/>
          <w:lang w:val="en-GB"/>
        </w:rPr>
        <w:t xml:space="preserve"> </w:t>
      </w:r>
    </w:p>
    <w:p w14:paraId="66E44E1C" w14:textId="77777777" w:rsidR="00A253C3" w:rsidRDefault="00A253C3" w:rsidP="00485BE6">
      <w:pPr>
        <w:jc w:val="both"/>
        <w:rPr>
          <w:rFonts w:ascii="Arial" w:hAnsi="Arial" w:cs="Arial"/>
          <w:sz w:val="17"/>
          <w:szCs w:val="17"/>
          <w:lang w:val="en-GB"/>
        </w:rPr>
      </w:pPr>
    </w:p>
    <w:p w14:paraId="6C2C003D" w14:textId="5E419A6A" w:rsidR="007D45C1" w:rsidRDefault="007D45C1" w:rsidP="00485BE6">
      <w:pPr>
        <w:jc w:val="both"/>
        <w:rPr>
          <w:rFonts w:ascii="Arial" w:hAnsi="Arial" w:cs="Arial"/>
          <w:b/>
          <w:caps/>
          <w:lang w:val="en-GB"/>
        </w:rPr>
      </w:pPr>
    </w:p>
    <w:p w14:paraId="6F121D2B" w14:textId="59128452" w:rsidR="00F268A5" w:rsidRPr="00F26A3E" w:rsidRDefault="00F268A5" w:rsidP="00F268A5">
      <w:pPr>
        <w:jc w:val="center"/>
        <w:rPr>
          <w:rFonts w:ascii="Arial" w:hAnsi="Arial" w:cs="Arial"/>
          <w:b/>
          <w:caps/>
          <w:lang w:val="en-GB"/>
        </w:rPr>
      </w:pPr>
      <w:r w:rsidRPr="00F26A3E">
        <w:rPr>
          <w:rFonts w:ascii="Arial" w:hAnsi="Arial" w:cs="Arial"/>
          <w:b/>
          <w:caps/>
          <w:lang w:val="en-GB"/>
        </w:rPr>
        <w:t>Exhibit</w:t>
      </w:r>
      <w:r w:rsidR="006B6676">
        <w:rPr>
          <w:rFonts w:ascii="Arial" w:hAnsi="Arial" w:cs="Arial"/>
          <w:b/>
          <w:caps/>
          <w:lang w:val="en-GB"/>
        </w:rPr>
        <w:t xml:space="preserve"> </w:t>
      </w:r>
      <w:r w:rsidRPr="00F26A3E">
        <w:rPr>
          <w:rFonts w:ascii="Arial" w:hAnsi="Arial" w:cs="Arial"/>
          <w:b/>
          <w:caps/>
          <w:lang w:val="en-GB"/>
        </w:rPr>
        <w:t>7b:</w:t>
      </w:r>
      <w:r w:rsidR="006B6676">
        <w:rPr>
          <w:rFonts w:ascii="Arial" w:hAnsi="Arial" w:cs="Arial"/>
          <w:b/>
          <w:caps/>
          <w:lang w:val="en-GB"/>
        </w:rPr>
        <w:t xml:space="preserve"> </w:t>
      </w:r>
      <w:r w:rsidRPr="00F26A3E">
        <w:rPr>
          <w:rFonts w:ascii="Arial" w:hAnsi="Arial" w:cs="Arial"/>
          <w:b/>
          <w:caps/>
          <w:lang w:val="en-GB"/>
        </w:rPr>
        <w:t>Product</w:t>
      </w:r>
      <w:r w:rsidR="006B6676">
        <w:rPr>
          <w:rFonts w:ascii="Arial" w:hAnsi="Arial" w:cs="Arial"/>
          <w:b/>
          <w:caps/>
          <w:lang w:val="en-GB"/>
        </w:rPr>
        <w:t xml:space="preserve"> </w:t>
      </w:r>
      <w:r w:rsidRPr="00F26A3E">
        <w:rPr>
          <w:rFonts w:ascii="Arial" w:hAnsi="Arial" w:cs="Arial"/>
          <w:b/>
          <w:caps/>
          <w:lang w:val="en-GB"/>
        </w:rPr>
        <w:t>Specifications</w:t>
      </w:r>
      <w:r w:rsidR="006B6676">
        <w:rPr>
          <w:rFonts w:ascii="Arial" w:hAnsi="Arial" w:cs="Arial"/>
          <w:b/>
          <w:caps/>
          <w:lang w:val="en-GB"/>
        </w:rPr>
        <w:t xml:space="preserve"> </w:t>
      </w:r>
      <w:r w:rsidRPr="00F26A3E">
        <w:rPr>
          <w:rFonts w:ascii="Arial" w:hAnsi="Arial" w:cs="Arial"/>
          <w:b/>
          <w:caps/>
          <w:lang w:val="en-GB"/>
        </w:rPr>
        <w:t>of</w:t>
      </w:r>
      <w:r w:rsidR="006B6676">
        <w:rPr>
          <w:rFonts w:ascii="Arial" w:hAnsi="Arial" w:cs="Arial"/>
          <w:b/>
          <w:caps/>
          <w:lang w:val="en-GB"/>
        </w:rPr>
        <w:t xml:space="preserve"> </w:t>
      </w:r>
      <w:r w:rsidRPr="00F26A3E">
        <w:rPr>
          <w:rFonts w:ascii="Arial" w:hAnsi="Arial" w:cs="Arial"/>
          <w:b/>
          <w:caps/>
          <w:lang w:val="en-GB"/>
        </w:rPr>
        <w:t>Select</w:t>
      </w:r>
      <w:r w:rsidR="006B6676">
        <w:rPr>
          <w:rFonts w:ascii="Arial" w:hAnsi="Arial" w:cs="Arial"/>
          <w:b/>
          <w:caps/>
          <w:lang w:val="en-GB"/>
        </w:rPr>
        <w:t xml:space="preserve"> </w:t>
      </w:r>
      <w:r w:rsidRPr="00F26A3E">
        <w:rPr>
          <w:rFonts w:ascii="Arial" w:hAnsi="Arial" w:cs="Arial"/>
          <w:b/>
          <w:caps/>
          <w:lang w:val="en-GB"/>
        </w:rPr>
        <w:t>Jawa</w:t>
      </w:r>
      <w:r w:rsidR="006B6676">
        <w:rPr>
          <w:rFonts w:ascii="Arial" w:hAnsi="Arial" w:cs="Arial"/>
          <w:b/>
          <w:caps/>
          <w:lang w:val="en-GB"/>
        </w:rPr>
        <w:t xml:space="preserve"> </w:t>
      </w:r>
      <w:r w:rsidRPr="00F26A3E">
        <w:rPr>
          <w:rFonts w:ascii="Arial" w:hAnsi="Arial" w:cs="Arial"/>
          <w:b/>
          <w:caps/>
          <w:lang w:val="en-GB"/>
        </w:rPr>
        <w:t>Models</w:t>
      </w:r>
    </w:p>
    <w:p w14:paraId="24F5E1F3" w14:textId="77777777" w:rsidR="00F268A5" w:rsidRPr="00F26A3E" w:rsidRDefault="00F268A5" w:rsidP="00F268A5">
      <w:pPr>
        <w:jc w:val="both"/>
        <w:rPr>
          <w:sz w:val="22"/>
          <w:szCs w:val="22"/>
          <w:lang w:val="en-GB"/>
        </w:rPr>
      </w:pPr>
    </w:p>
    <w:tbl>
      <w:tblPr>
        <w:tblW w:w="9445" w:type="dxa"/>
        <w:jc w:val="center"/>
        <w:tblCellMar>
          <w:left w:w="29" w:type="dxa"/>
          <w:right w:w="29" w:type="dxa"/>
        </w:tblCellMar>
        <w:tblLook w:val="04A0" w:firstRow="1" w:lastRow="0" w:firstColumn="1" w:lastColumn="0" w:noHBand="0" w:noVBand="1"/>
        <w:tblCaption w:val="EXHIBIT 7B"/>
        <w:tblDescription w:val="PRODUCT SPECIFICATIONS OF SELECT JAWA MODELS"/>
      </w:tblPr>
      <w:tblGrid>
        <w:gridCol w:w="1705"/>
        <w:gridCol w:w="2520"/>
        <w:gridCol w:w="2610"/>
        <w:gridCol w:w="2610"/>
      </w:tblGrid>
      <w:tr w:rsidR="00F268A5" w:rsidRPr="00F26A3E" w14:paraId="69B430C6" w14:textId="77777777" w:rsidTr="00995787">
        <w:trPr>
          <w:trHeight w:val="70"/>
          <w:tblHeader/>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hideMark/>
          </w:tcPr>
          <w:p w14:paraId="07E9ED57" w14:textId="77777777" w:rsidR="00F268A5" w:rsidRPr="00F26A3E" w:rsidRDefault="00F268A5" w:rsidP="00F268A5">
            <w:pPr>
              <w:rPr>
                <w:rFonts w:ascii="Arial" w:hAnsi="Arial" w:cs="Arial"/>
                <w:b/>
                <w:bCs/>
                <w:color w:val="000000"/>
                <w:sz w:val="18"/>
                <w:szCs w:val="18"/>
                <w:lang w:val="en-GB"/>
              </w:rPr>
            </w:pPr>
          </w:p>
        </w:tc>
        <w:tc>
          <w:tcPr>
            <w:tcW w:w="2520" w:type="dxa"/>
            <w:tcBorders>
              <w:top w:val="single" w:sz="4" w:space="0" w:color="auto"/>
              <w:left w:val="nil"/>
              <w:bottom w:val="single" w:sz="4" w:space="0" w:color="auto"/>
              <w:right w:val="single" w:sz="4" w:space="0" w:color="auto"/>
            </w:tcBorders>
            <w:shd w:val="clear" w:color="auto" w:fill="auto"/>
            <w:noWrap/>
            <w:hideMark/>
          </w:tcPr>
          <w:p w14:paraId="3442CFB7" w14:textId="77777777" w:rsidR="00F268A5" w:rsidRPr="00F26A3E" w:rsidRDefault="00F268A5" w:rsidP="00F268A5">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Perak</w:t>
            </w:r>
          </w:p>
        </w:tc>
        <w:tc>
          <w:tcPr>
            <w:tcW w:w="2610" w:type="dxa"/>
            <w:tcBorders>
              <w:top w:val="single" w:sz="4" w:space="0" w:color="auto"/>
              <w:left w:val="nil"/>
              <w:bottom w:val="single" w:sz="4" w:space="0" w:color="auto"/>
              <w:right w:val="single" w:sz="4" w:space="0" w:color="auto"/>
            </w:tcBorders>
            <w:shd w:val="clear" w:color="auto" w:fill="auto"/>
            <w:hideMark/>
          </w:tcPr>
          <w:p w14:paraId="0227604C" w14:textId="77777777" w:rsidR="00F268A5" w:rsidRPr="00F26A3E" w:rsidRDefault="00F268A5" w:rsidP="00F268A5">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Jawa</w:t>
            </w:r>
          </w:p>
        </w:tc>
        <w:tc>
          <w:tcPr>
            <w:tcW w:w="2610" w:type="dxa"/>
            <w:tcBorders>
              <w:top w:val="single" w:sz="4" w:space="0" w:color="auto"/>
              <w:left w:val="nil"/>
              <w:bottom w:val="single" w:sz="4" w:space="0" w:color="auto"/>
              <w:right w:val="single" w:sz="4" w:space="0" w:color="auto"/>
            </w:tcBorders>
            <w:shd w:val="clear" w:color="auto" w:fill="auto"/>
            <w:noWrap/>
            <w:hideMark/>
          </w:tcPr>
          <w:p w14:paraId="3BA5FBA8" w14:textId="4919A342" w:rsidR="00F268A5" w:rsidRPr="00F26A3E" w:rsidRDefault="00F268A5" w:rsidP="00F268A5">
            <w:pPr>
              <w:jc w:val="center"/>
              <w:rPr>
                <w:rFonts w:ascii="Arial" w:hAnsi="Arial" w:cs="Arial"/>
                <w:b/>
                <w:bCs/>
                <w:color w:val="000000"/>
                <w:sz w:val="18"/>
                <w:szCs w:val="18"/>
                <w:lang w:val="en-GB"/>
              </w:rPr>
            </w:pPr>
            <w:r w:rsidRPr="00F26A3E">
              <w:rPr>
                <w:rFonts w:ascii="Arial" w:hAnsi="Arial" w:cs="Arial"/>
                <w:b/>
                <w:bCs/>
                <w:color w:val="000000"/>
                <w:sz w:val="18"/>
                <w:szCs w:val="18"/>
                <w:lang w:val="en-GB"/>
              </w:rPr>
              <w:t>Jawa</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42</w:t>
            </w:r>
          </w:p>
        </w:tc>
      </w:tr>
      <w:tr w:rsidR="00F268A5" w:rsidRPr="00F26A3E" w14:paraId="050C191A"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hideMark/>
          </w:tcPr>
          <w:p w14:paraId="40C01D7B"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Price</w:t>
            </w:r>
            <w:r w:rsidR="002E4A05">
              <w:rPr>
                <w:rFonts w:ascii="Arial" w:hAnsi="Arial" w:cs="Arial"/>
                <w:b/>
                <w:bCs/>
                <w:color w:val="000000"/>
                <w:sz w:val="18"/>
                <w:szCs w:val="18"/>
                <w:lang w:val="en-GB"/>
              </w:rPr>
              <w:t>*</w:t>
            </w:r>
          </w:p>
        </w:tc>
        <w:tc>
          <w:tcPr>
            <w:tcW w:w="2520" w:type="dxa"/>
            <w:tcBorders>
              <w:top w:val="nil"/>
              <w:left w:val="nil"/>
              <w:bottom w:val="single" w:sz="4" w:space="0" w:color="auto"/>
              <w:right w:val="single" w:sz="4" w:space="0" w:color="auto"/>
            </w:tcBorders>
            <w:shd w:val="clear" w:color="auto" w:fill="auto"/>
            <w:hideMark/>
          </w:tcPr>
          <w:p w14:paraId="2537D3B3" w14:textId="77777777" w:rsidR="00F268A5" w:rsidRPr="00F26A3E" w:rsidRDefault="002E4A05" w:rsidP="00F268A5">
            <w:pPr>
              <w:jc w:val="center"/>
              <w:rPr>
                <w:rFonts w:ascii="Arial" w:hAnsi="Arial" w:cs="Arial"/>
                <w:color w:val="000000"/>
                <w:sz w:val="18"/>
                <w:szCs w:val="18"/>
                <w:lang w:val="en-GB"/>
              </w:rPr>
            </w:pPr>
            <w:r>
              <w:rPr>
                <w:rFonts w:ascii="Arial" w:hAnsi="Arial" w:cs="Arial"/>
                <w:color w:val="000000"/>
                <w:sz w:val="18"/>
                <w:szCs w:val="18"/>
                <w:lang w:val="en-GB"/>
              </w:rPr>
              <w:t>₹</w:t>
            </w:r>
            <w:r w:rsidR="00F268A5" w:rsidRPr="00F26A3E">
              <w:rPr>
                <w:rFonts w:ascii="Arial" w:hAnsi="Arial" w:cs="Arial"/>
                <w:color w:val="000000"/>
                <w:sz w:val="18"/>
                <w:szCs w:val="18"/>
                <w:lang w:val="en-GB"/>
              </w:rPr>
              <w:t>194,500</w:t>
            </w:r>
          </w:p>
        </w:tc>
        <w:tc>
          <w:tcPr>
            <w:tcW w:w="2610" w:type="dxa"/>
            <w:tcBorders>
              <w:top w:val="nil"/>
              <w:left w:val="nil"/>
              <w:bottom w:val="single" w:sz="4" w:space="0" w:color="auto"/>
              <w:right w:val="single" w:sz="4" w:space="0" w:color="auto"/>
            </w:tcBorders>
            <w:shd w:val="clear" w:color="auto" w:fill="auto"/>
            <w:hideMark/>
          </w:tcPr>
          <w:p w14:paraId="69C12F99" w14:textId="287C9DCE" w:rsidR="00F268A5" w:rsidRPr="00F26A3E" w:rsidRDefault="002E4A05" w:rsidP="00F268A5">
            <w:pPr>
              <w:jc w:val="center"/>
              <w:rPr>
                <w:rFonts w:ascii="Arial" w:hAnsi="Arial" w:cs="Arial"/>
                <w:color w:val="000000"/>
                <w:sz w:val="18"/>
                <w:szCs w:val="18"/>
                <w:lang w:val="en-GB"/>
              </w:rPr>
            </w:pPr>
            <w:r>
              <w:rPr>
                <w:rFonts w:ascii="Arial" w:hAnsi="Arial" w:cs="Arial"/>
                <w:color w:val="000000"/>
                <w:sz w:val="18"/>
                <w:szCs w:val="18"/>
                <w:lang w:val="en-GB"/>
              </w:rPr>
              <w:t>₹</w:t>
            </w:r>
            <w:r w:rsidR="00F268A5" w:rsidRPr="00F26A3E">
              <w:rPr>
                <w:rFonts w:ascii="Arial" w:hAnsi="Arial" w:cs="Arial"/>
                <w:color w:val="000000"/>
                <w:sz w:val="18"/>
                <w:szCs w:val="18"/>
                <w:lang w:val="en-GB"/>
              </w:rPr>
              <w:t>164,300</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(Single</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Channel</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ABS)</w:t>
            </w:r>
            <w:r w:rsidR="006B6676">
              <w:rPr>
                <w:rFonts w:ascii="Arial" w:hAnsi="Arial" w:cs="Arial"/>
                <w:color w:val="000000"/>
                <w:sz w:val="18"/>
                <w:szCs w:val="18"/>
                <w:lang w:val="en-GB"/>
              </w:rPr>
              <w:t xml:space="preserve"> </w:t>
            </w:r>
            <w:r>
              <w:rPr>
                <w:rFonts w:ascii="Arial" w:hAnsi="Arial" w:cs="Arial"/>
                <w:color w:val="000000"/>
                <w:sz w:val="18"/>
                <w:szCs w:val="18"/>
                <w:lang w:val="en-GB"/>
              </w:rPr>
              <w:t>or</w:t>
            </w:r>
            <w:r w:rsidR="006B6676">
              <w:rPr>
                <w:rFonts w:ascii="Arial" w:hAnsi="Arial" w:cs="Arial"/>
                <w:color w:val="000000"/>
                <w:sz w:val="18"/>
                <w:szCs w:val="18"/>
                <w:lang w:val="en-GB"/>
              </w:rPr>
              <w:t xml:space="preserve"> </w:t>
            </w:r>
            <w:r>
              <w:rPr>
                <w:rFonts w:ascii="Arial" w:hAnsi="Arial" w:cs="Arial"/>
                <w:color w:val="000000"/>
                <w:sz w:val="18"/>
                <w:szCs w:val="18"/>
                <w:lang w:val="en-GB"/>
              </w:rPr>
              <w:t>₹</w:t>
            </w:r>
            <w:r w:rsidR="00F268A5" w:rsidRPr="00F26A3E">
              <w:rPr>
                <w:rFonts w:ascii="Arial" w:hAnsi="Arial" w:cs="Arial"/>
                <w:color w:val="000000"/>
                <w:sz w:val="18"/>
                <w:szCs w:val="18"/>
                <w:lang w:val="en-GB"/>
              </w:rPr>
              <w:t>173,242</w:t>
            </w:r>
            <w:r w:rsidR="006B6676">
              <w:rPr>
                <w:rFonts w:ascii="Arial" w:hAnsi="Arial" w:cs="Arial"/>
                <w:color w:val="000000"/>
                <w:sz w:val="18"/>
                <w:szCs w:val="18"/>
                <w:lang w:val="en-GB"/>
              </w:rPr>
              <w:t xml:space="preserve"> </w:t>
            </w:r>
            <w:r w:rsidR="00817E3A">
              <w:rPr>
                <w:rFonts w:ascii="Arial" w:hAnsi="Arial" w:cs="Arial"/>
                <w:color w:val="000000"/>
                <w:sz w:val="18"/>
                <w:szCs w:val="18"/>
                <w:lang w:val="en-GB"/>
              </w:rPr>
              <w:br/>
            </w:r>
            <w:r w:rsidR="00F268A5" w:rsidRPr="00F26A3E">
              <w:rPr>
                <w:rFonts w:ascii="Arial" w:hAnsi="Arial" w:cs="Arial"/>
                <w:color w:val="000000"/>
                <w:sz w:val="18"/>
                <w:szCs w:val="18"/>
                <w:lang w:val="en-GB"/>
              </w:rPr>
              <w:t>(Dual</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Channel</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ABS)</w:t>
            </w:r>
          </w:p>
        </w:tc>
        <w:tc>
          <w:tcPr>
            <w:tcW w:w="2610" w:type="dxa"/>
            <w:tcBorders>
              <w:top w:val="nil"/>
              <w:left w:val="nil"/>
              <w:bottom w:val="single" w:sz="4" w:space="0" w:color="auto"/>
              <w:right w:val="single" w:sz="4" w:space="0" w:color="auto"/>
            </w:tcBorders>
            <w:shd w:val="clear" w:color="auto" w:fill="auto"/>
            <w:hideMark/>
          </w:tcPr>
          <w:p w14:paraId="334BFBEA" w14:textId="007F76C5" w:rsidR="00F268A5" w:rsidRPr="00F26A3E" w:rsidRDefault="002E4A05" w:rsidP="00F268A5">
            <w:pPr>
              <w:jc w:val="center"/>
              <w:rPr>
                <w:rFonts w:ascii="Arial" w:hAnsi="Arial" w:cs="Arial"/>
                <w:color w:val="000000"/>
                <w:sz w:val="18"/>
                <w:szCs w:val="18"/>
                <w:lang w:val="en-GB"/>
              </w:rPr>
            </w:pPr>
            <w:r>
              <w:rPr>
                <w:rFonts w:ascii="Arial" w:hAnsi="Arial" w:cs="Arial"/>
                <w:color w:val="000000"/>
                <w:sz w:val="18"/>
                <w:szCs w:val="18"/>
                <w:lang w:val="en-GB"/>
              </w:rPr>
              <w:t>₹</w:t>
            </w:r>
            <w:r w:rsidR="00F268A5" w:rsidRPr="00F26A3E">
              <w:rPr>
                <w:rFonts w:ascii="Arial" w:hAnsi="Arial" w:cs="Arial"/>
                <w:color w:val="000000"/>
                <w:sz w:val="18"/>
                <w:szCs w:val="18"/>
                <w:lang w:val="en-GB"/>
              </w:rPr>
              <w:t>155,300</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(Single</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Channel</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ABS)</w:t>
            </w:r>
            <w:r w:rsidR="006B6676">
              <w:rPr>
                <w:rFonts w:ascii="Arial" w:hAnsi="Arial" w:cs="Arial"/>
                <w:color w:val="000000"/>
                <w:sz w:val="18"/>
                <w:szCs w:val="18"/>
                <w:lang w:val="en-GB"/>
              </w:rPr>
              <w:t xml:space="preserve"> </w:t>
            </w:r>
            <w:r>
              <w:rPr>
                <w:rFonts w:ascii="Arial" w:hAnsi="Arial" w:cs="Arial"/>
                <w:color w:val="000000"/>
                <w:sz w:val="18"/>
                <w:szCs w:val="18"/>
                <w:lang w:val="en-GB"/>
              </w:rPr>
              <w:t>or</w:t>
            </w:r>
            <w:r w:rsidR="006B6676">
              <w:rPr>
                <w:rFonts w:ascii="Arial" w:hAnsi="Arial" w:cs="Arial"/>
                <w:color w:val="000000"/>
                <w:sz w:val="18"/>
                <w:szCs w:val="18"/>
                <w:lang w:val="en-GB"/>
              </w:rPr>
              <w:t xml:space="preserve"> </w:t>
            </w:r>
            <w:r>
              <w:rPr>
                <w:rFonts w:ascii="Arial" w:hAnsi="Arial" w:cs="Arial"/>
                <w:color w:val="000000"/>
                <w:sz w:val="18"/>
                <w:szCs w:val="18"/>
                <w:lang w:val="en-GB"/>
              </w:rPr>
              <w:t>₹</w:t>
            </w:r>
            <w:r w:rsidR="00F268A5" w:rsidRPr="00F26A3E">
              <w:rPr>
                <w:rFonts w:ascii="Arial" w:hAnsi="Arial" w:cs="Arial"/>
                <w:color w:val="000000"/>
                <w:sz w:val="18"/>
                <w:szCs w:val="18"/>
                <w:lang w:val="en-GB"/>
              </w:rPr>
              <w:t>164,242</w:t>
            </w:r>
            <w:r w:rsidR="006B6676">
              <w:rPr>
                <w:rFonts w:ascii="Arial" w:hAnsi="Arial" w:cs="Arial"/>
                <w:color w:val="000000"/>
                <w:sz w:val="18"/>
                <w:szCs w:val="18"/>
                <w:lang w:val="en-GB"/>
              </w:rPr>
              <w:t xml:space="preserve"> </w:t>
            </w:r>
            <w:r w:rsidR="00817E3A">
              <w:rPr>
                <w:rFonts w:ascii="Arial" w:hAnsi="Arial" w:cs="Arial"/>
                <w:color w:val="000000"/>
                <w:sz w:val="18"/>
                <w:szCs w:val="18"/>
                <w:lang w:val="en-GB"/>
              </w:rPr>
              <w:br/>
            </w:r>
            <w:r w:rsidR="00F268A5" w:rsidRPr="00F26A3E">
              <w:rPr>
                <w:rFonts w:ascii="Arial" w:hAnsi="Arial" w:cs="Arial"/>
                <w:color w:val="000000"/>
                <w:sz w:val="18"/>
                <w:szCs w:val="18"/>
                <w:lang w:val="en-GB"/>
              </w:rPr>
              <w:t>(Dual</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Channel</w:t>
            </w:r>
            <w:r w:rsidR="006B6676">
              <w:rPr>
                <w:rFonts w:ascii="Arial" w:hAnsi="Arial" w:cs="Arial"/>
                <w:color w:val="000000"/>
                <w:sz w:val="18"/>
                <w:szCs w:val="18"/>
                <w:lang w:val="en-GB"/>
              </w:rPr>
              <w:t xml:space="preserve"> </w:t>
            </w:r>
            <w:r w:rsidR="00F268A5" w:rsidRPr="00F26A3E">
              <w:rPr>
                <w:rFonts w:ascii="Arial" w:hAnsi="Arial" w:cs="Arial"/>
                <w:color w:val="000000"/>
                <w:sz w:val="18"/>
                <w:szCs w:val="18"/>
                <w:lang w:val="en-GB"/>
              </w:rPr>
              <w:t>ABS)</w:t>
            </w:r>
          </w:p>
        </w:tc>
      </w:tr>
      <w:tr w:rsidR="00F268A5" w:rsidRPr="00F26A3E" w14:paraId="43106194"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3C2BACCC"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Engine</w:t>
            </w:r>
          </w:p>
        </w:tc>
        <w:tc>
          <w:tcPr>
            <w:tcW w:w="2520" w:type="dxa"/>
            <w:tcBorders>
              <w:top w:val="nil"/>
              <w:left w:val="nil"/>
              <w:bottom w:val="single" w:sz="4" w:space="0" w:color="auto"/>
              <w:right w:val="single" w:sz="4" w:space="0" w:color="auto"/>
            </w:tcBorders>
            <w:shd w:val="clear" w:color="auto" w:fill="auto"/>
            <w:hideMark/>
          </w:tcPr>
          <w:p w14:paraId="7290EA58" w14:textId="69EEA27E"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Single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Cylinder,</w:t>
            </w:r>
            <w:r w:rsidR="006C1CAC">
              <w:rPr>
                <w:rFonts w:ascii="Arial" w:hAnsi="Arial" w:cs="Arial"/>
                <w:color w:val="000000"/>
                <w:sz w:val="18"/>
                <w:szCs w:val="18"/>
                <w:lang w:val="en-GB"/>
              </w:rPr>
              <w:t>4-</w:t>
            </w:r>
            <w:r w:rsidRPr="00F26A3E">
              <w:rPr>
                <w:rFonts w:ascii="Arial" w:hAnsi="Arial" w:cs="Arial"/>
                <w:color w:val="000000"/>
                <w:sz w:val="18"/>
                <w:szCs w:val="18"/>
                <w:lang w:val="en-GB"/>
              </w:rPr>
              <w:t>Stroke,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Liquid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Cooled,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SI</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Engine</w:t>
            </w:r>
          </w:p>
        </w:tc>
        <w:tc>
          <w:tcPr>
            <w:tcW w:w="2610" w:type="dxa"/>
            <w:tcBorders>
              <w:top w:val="nil"/>
              <w:left w:val="nil"/>
              <w:bottom w:val="single" w:sz="4" w:space="0" w:color="auto"/>
              <w:right w:val="single" w:sz="4" w:space="0" w:color="auto"/>
            </w:tcBorders>
            <w:shd w:val="clear" w:color="auto" w:fill="auto"/>
            <w:hideMark/>
          </w:tcPr>
          <w:p w14:paraId="3C7B22D0" w14:textId="44EA8845"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Single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Cylinder,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4</w:t>
            </w:r>
            <w:r w:rsidR="006C1CAC">
              <w:rPr>
                <w:rFonts w:ascii="Arial" w:hAnsi="Arial" w:cs="Arial"/>
                <w:color w:val="000000"/>
                <w:sz w:val="18"/>
                <w:szCs w:val="18"/>
                <w:lang w:val="en-GB"/>
              </w:rPr>
              <w:t>-</w:t>
            </w:r>
            <w:r w:rsidRPr="00F26A3E">
              <w:rPr>
                <w:rFonts w:ascii="Arial" w:hAnsi="Arial" w:cs="Arial"/>
                <w:color w:val="000000"/>
                <w:sz w:val="18"/>
                <w:szCs w:val="18"/>
                <w:lang w:val="en-GB"/>
              </w:rPr>
              <w:t>Stroke,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Liquid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Cooled</w:t>
            </w:r>
          </w:p>
        </w:tc>
        <w:tc>
          <w:tcPr>
            <w:tcW w:w="2610" w:type="dxa"/>
            <w:tcBorders>
              <w:top w:val="nil"/>
              <w:left w:val="nil"/>
              <w:bottom w:val="single" w:sz="4" w:space="0" w:color="auto"/>
              <w:right w:val="single" w:sz="4" w:space="0" w:color="auto"/>
            </w:tcBorders>
            <w:shd w:val="clear" w:color="auto" w:fill="auto"/>
            <w:hideMark/>
          </w:tcPr>
          <w:p w14:paraId="5AF34E51" w14:textId="19948621"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Single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Cylinder,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4</w:t>
            </w:r>
            <w:r w:rsidR="006C1CAC">
              <w:rPr>
                <w:rFonts w:ascii="Arial" w:hAnsi="Arial" w:cs="Arial"/>
                <w:color w:val="000000"/>
                <w:sz w:val="18"/>
                <w:szCs w:val="18"/>
                <w:lang w:val="en-GB"/>
              </w:rPr>
              <w:t>-</w:t>
            </w:r>
            <w:r w:rsidRPr="00F26A3E">
              <w:rPr>
                <w:rFonts w:ascii="Arial" w:hAnsi="Arial" w:cs="Arial"/>
                <w:color w:val="000000"/>
                <w:sz w:val="18"/>
                <w:szCs w:val="18"/>
                <w:lang w:val="en-GB"/>
              </w:rPr>
              <w:t>Stroke,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Liquid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Cooled</w:t>
            </w:r>
          </w:p>
        </w:tc>
      </w:tr>
      <w:tr w:rsidR="00F268A5" w:rsidRPr="00F26A3E" w14:paraId="5122E616"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667C30AC"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Capacity</w:t>
            </w:r>
          </w:p>
        </w:tc>
        <w:tc>
          <w:tcPr>
            <w:tcW w:w="2520" w:type="dxa"/>
            <w:tcBorders>
              <w:top w:val="nil"/>
              <w:left w:val="nil"/>
              <w:bottom w:val="single" w:sz="4" w:space="0" w:color="auto"/>
              <w:right w:val="single" w:sz="4" w:space="0" w:color="auto"/>
            </w:tcBorders>
            <w:shd w:val="clear" w:color="auto" w:fill="auto"/>
            <w:hideMark/>
          </w:tcPr>
          <w:p w14:paraId="45642262"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334cc</w:t>
            </w:r>
          </w:p>
        </w:tc>
        <w:tc>
          <w:tcPr>
            <w:tcW w:w="2610" w:type="dxa"/>
            <w:tcBorders>
              <w:top w:val="nil"/>
              <w:left w:val="nil"/>
              <w:bottom w:val="single" w:sz="4" w:space="0" w:color="auto"/>
              <w:right w:val="single" w:sz="4" w:space="0" w:color="auto"/>
            </w:tcBorders>
            <w:shd w:val="clear" w:color="auto" w:fill="auto"/>
            <w:hideMark/>
          </w:tcPr>
          <w:p w14:paraId="2D87D2A8"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293cc</w:t>
            </w:r>
          </w:p>
        </w:tc>
        <w:tc>
          <w:tcPr>
            <w:tcW w:w="2610" w:type="dxa"/>
            <w:tcBorders>
              <w:top w:val="nil"/>
              <w:left w:val="nil"/>
              <w:bottom w:val="single" w:sz="4" w:space="0" w:color="auto"/>
              <w:right w:val="single" w:sz="4" w:space="0" w:color="auto"/>
            </w:tcBorders>
            <w:shd w:val="clear" w:color="auto" w:fill="auto"/>
            <w:noWrap/>
            <w:hideMark/>
          </w:tcPr>
          <w:p w14:paraId="4EA954B1"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293cc</w:t>
            </w:r>
          </w:p>
        </w:tc>
      </w:tr>
      <w:tr w:rsidR="00F268A5" w:rsidRPr="00F26A3E" w14:paraId="290E65E7"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42E1C763" w14:textId="466B4413"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Bore</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Stroke</w:t>
            </w:r>
          </w:p>
        </w:tc>
        <w:tc>
          <w:tcPr>
            <w:tcW w:w="2520" w:type="dxa"/>
            <w:tcBorders>
              <w:top w:val="nil"/>
              <w:left w:val="nil"/>
              <w:bottom w:val="single" w:sz="4" w:space="0" w:color="auto"/>
              <w:right w:val="single" w:sz="4" w:space="0" w:color="auto"/>
            </w:tcBorders>
            <w:shd w:val="clear" w:color="auto" w:fill="auto"/>
            <w:hideMark/>
          </w:tcPr>
          <w:p w14:paraId="6AAB024B" w14:textId="5F6D1B8A"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81</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x</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65</w:t>
            </w:r>
            <w:r w:rsidR="0073656D">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hideMark/>
          </w:tcPr>
          <w:p w14:paraId="3D83F593" w14:textId="5F7882FF"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76</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x</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65</w:t>
            </w:r>
            <w:r w:rsidR="0073656D">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hideMark/>
          </w:tcPr>
          <w:p w14:paraId="0A70EBB0" w14:textId="0D86BC15"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76</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x</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65</w:t>
            </w:r>
            <w:r w:rsidR="0073656D">
              <w:rPr>
                <w:rFonts w:ascii="Arial" w:hAnsi="Arial" w:cs="Arial"/>
                <w:color w:val="000000"/>
                <w:sz w:val="18"/>
                <w:szCs w:val="18"/>
                <w:lang w:val="en-GB"/>
              </w:rPr>
              <w:t>mm</w:t>
            </w:r>
          </w:p>
        </w:tc>
      </w:tr>
      <w:tr w:rsidR="00F268A5" w:rsidRPr="00F26A3E" w14:paraId="6F1813C2"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286813C7"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Compression</w:t>
            </w:r>
          </w:p>
        </w:tc>
        <w:tc>
          <w:tcPr>
            <w:tcW w:w="2520" w:type="dxa"/>
            <w:tcBorders>
              <w:top w:val="nil"/>
              <w:left w:val="nil"/>
              <w:bottom w:val="single" w:sz="4" w:space="0" w:color="auto"/>
              <w:right w:val="single" w:sz="4" w:space="0" w:color="auto"/>
            </w:tcBorders>
            <w:shd w:val="clear" w:color="auto" w:fill="auto"/>
            <w:hideMark/>
          </w:tcPr>
          <w:p w14:paraId="3BCB905C"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11:01</w:t>
            </w:r>
          </w:p>
        </w:tc>
        <w:tc>
          <w:tcPr>
            <w:tcW w:w="2610" w:type="dxa"/>
            <w:tcBorders>
              <w:top w:val="nil"/>
              <w:left w:val="nil"/>
              <w:bottom w:val="single" w:sz="4" w:space="0" w:color="auto"/>
              <w:right w:val="single" w:sz="4" w:space="0" w:color="auto"/>
            </w:tcBorders>
            <w:shd w:val="clear" w:color="auto" w:fill="auto"/>
            <w:hideMark/>
          </w:tcPr>
          <w:p w14:paraId="0B6DF5D0"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11:1</w:t>
            </w:r>
          </w:p>
        </w:tc>
        <w:tc>
          <w:tcPr>
            <w:tcW w:w="2610" w:type="dxa"/>
            <w:tcBorders>
              <w:top w:val="nil"/>
              <w:left w:val="nil"/>
              <w:bottom w:val="single" w:sz="4" w:space="0" w:color="auto"/>
              <w:right w:val="single" w:sz="4" w:space="0" w:color="auto"/>
            </w:tcBorders>
            <w:shd w:val="clear" w:color="auto" w:fill="auto"/>
            <w:hideMark/>
          </w:tcPr>
          <w:p w14:paraId="147BDE9E"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11:1</w:t>
            </w:r>
          </w:p>
        </w:tc>
      </w:tr>
      <w:tr w:rsidR="00F268A5" w:rsidRPr="00F26A3E" w14:paraId="133466B2"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09BAFACE" w14:textId="23904626"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Max</w:t>
            </w:r>
            <w:r w:rsidR="005C2E5D">
              <w:rPr>
                <w:rFonts w:ascii="Arial" w:hAnsi="Arial" w:cs="Arial"/>
                <w:b/>
                <w:bCs/>
                <w:color w:val="000000"/>
                <w:sz w:val="18"/>
                <w:szCs w:val="18"/>
                <w:lang w:val="en-GB"/>
              </w:rPr>
              <w:t>imum</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Power</w:t>
            </w:r>
          </w:p>
        </w:tc>
        <w:tc>
          <w:tcPr>
            <w:tcW w:w="2520" w:type="dxa"/>
            <w:tcBorders>
              <w:top w:val="nil"/>
              <w:left w:val="nil"/>
              <w:bottom w:val="single" w:sz="4" w:space="0" w:color="auto"/>
              <w:right w:val="single" w:sz="4" w:space="0" w:color="auto"/>
            </w:tcBorders>
            <w:shd w:val="clear" w:color="auto" w:fill="auto"/>
            <w:hideMark/>
          </w:tcPr>
          <w:p w14:paraId="65347817" w14:textId="5970B805"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30</w:t>
            </w:r>
            <w:r w:rsidR="006B6676">
              <w:rPr>
                <w:rFonts w:ascii="Arial" w:hAnsi="Arial" w:cs="Arial"/>
                <w:color w:val="000000"/>
                <w:sz w:val="18"/>
                <w:szCs w:val="18"/>
                <w:lang w:val="en-GB"/>
              </w:rPr>
              <w:t xml:space="preserve"> </w:t>
            </w:r>
            <w:r w:rsidR="005C2E5D">
              <w:rPr>
                <w:rFonts w:ascii="Arial" w:hAnsi="Arial" w:cs="Arial"/>
                <w:color w:val="000000"/>
                <w:sz w:val="18"/>
                <w:szCs w:val="18"/>
                <w:lang w:val="en-GB"/>
              </w:rPr>
              <w:t>bhp</w:t>
            </w:r>
          </w:p>
        </w:tc>
        <w:tc>
          <w:tcPr>
            <w:tcW w:w="2610" w:type="dxa"/>
            <w:tcBorders>
              <w:top w:val="nil"/>
              <w:left w:val="nil"/>
              <w:bottom w:val="single" w:sz="4" w:space="0" w:color="auto"/>
              <w:right w:val="single" w:sz="4" w:space="0" w:color="auto"/>
            </w:tcBorders>
            <w:shd w:val="clear" w:color="auto" w:fill="auto"/>
            <w:hideMark/>
          </w:tcPr>
          <w:p w14:paraId="28F00098" w14:textId="2FA32EFE"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27</w:t>
            </w:r>
            <w:r w:rsidR="006B6676">
              <w:rPr>
                <w:rFonts w:ascii="Arial" w:hAnsi="Arial" w:cs="Arial"/>
                <w:color w:val="000000"/>
                <w:sz w:val="18"/>
                <w:szCs w:val="18"/>
                <w:lang w:val="en-GB"/>
              </w:rPr>
              <w:t xml:space="preserve"> </w:t>
            </w:r>
            <w:r w:rsidR="005C2E5D">
              <w:rPr>
                <w:rFonts w:ascii="Arial" w:hAnsi="Arial" w:cs="Arial"/>
                <w:color w:val="000000"/>
                <w:sz w:val="18"/>
                <w:szCs w:val="18"/>
                <w:lang w:val="en-GB"/>
              </w:rPr>
              <w:t>bhp</w:t>
            </w:r>
          </w:p>
        </w:tc>
        <w:tc>
          <w:tcPr>
            <w:tcW w:w="2610" w:type="dxa"/>
            <w:tcBorders>
              <w:top w:val="nil"/>
              <w:left w:val="nil"/>
              <w:bottom w:val="single" w:sz="4" w:space="0" w:color="auto"/>
              <w:right w:val="single" w:sz="4" w:space="0" w:color="auto"/>
            </w:tcBorders>
            <w:shd w:val="clear" w:color="auto" w:fill="auto"/>
            <w:hideMark/>
          </w:tcPr>
          <w:p w14:paraId="1A5392D3"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27</w:t>
            </w:r>
            <w:r w:rsidR="005C2E5D">
              <w:rPr>
                <w:rFonts w:ascii="Arial" w:hAnsi="Arial" w:cs="Arial"/>
                <w:color w:val="000000"/>
                <w:sz w:val="18"/>
                <w:szCs w:val="18"/>
                <w:lang w:val="en-GB"/>
              </w:rPr>
              <w:t>bhp</w:t>
            </w:r>
          </w:p>
        </w:tc>
      </w:tr>
      <w:tr w:rsidR="00F268A5" w:rsidRPr="00F26A3E" w14:paraId="783E555C"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5C547D6C" w14:textId="3E3040E5"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Max</w:t>
            </w:r>
            <w:r w:rsidR="005C2E5D">
              <w:rPr>
                <w:rFonts w:ascii="Arial" w:hAnsi="Arial" w:cs="Arial"/>
                <w:b/>
                <w:bCs/>
                <w:color w:val="000000"/>
                <w:sz w:val="18"/>
                <w:szCs w:val="18"/>
                <w:lang w:val="en-GB"/>
              </w:rPr>
              <w:t>imum</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Torque</w:t>
            </w:r>
          </w:p>
        </w:tc>
        <w:tc>
          <w:tcPr>
            <w:tcW w:w="2520" w:type="dxa"/>
            <w:tcBorders>
              <w:top w:val="nil"/>
              <w:left w:val="nil"/>
              <w:bottom w:val="single" w:sz="4" w:space="0" w:color="auto"/>
              <w:right w:val="single" w:sz="4" w:space="0" w:color="auto"/>
            </w:tcBorders>
            <w:shd w:val="clear" w:color="auto" w:fill="auto"/>
            <w:hideMark/>
          </w:tcPr>
          <w:p w14:paraId="305C925E"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31N</w:t>
            </w:r>
            <w:r w:rsidR="005C2E5D">
              <w:rPr>
                <w:rFonts w:ascii="Arial" w:hAnsi="Arial" w:cs="Arial"/>
                <w:color w:val="000000"/>
                <w:sz w:val="18"/>
                <w:szCs w:val="18"/>
                <w:lang w:val="en-GB"/>
              </w:rPr>
              <w:t>m</w:t>
            </w:r>
          </w:p>
        </w:tc>
        <w:tc>
          <w:tcPr>
            <w:tcW w:w="2610" w:type="dxa"/>
            <w:tcBorders>
              <w:top w:val="nil"/>
              <w:left w:val="nil"/>
              <w:bottom w:val="single" w:sz="4" w:space="0" w:color="auto"/>
              <w:right w:val="single" w:sz="4" w:space="0" w:color="auto"/>
            </w:tcBorders>
            <w:shd w:val="clear" w:color="auto" w:fill="auto"/>
            <w:hideMark/>
          </w:tcPr>
          <w:p w14:paraId="6A67FCD5"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28N</w:t>
            </w:r>
            <w:r w:rsidR="005C2E5D">
              <w:rPr>
                <w:rFonts w:ascii="Arial" w:hAnsi="Arial" w:cs="Arial"/>
                <w:color w:val="000000"/>
                <w:sz w:val="18"/>
                <w:szCs w:val="18"/>
                <w:lang w:val="en-GB"/>
              </w:rPr>
              <w:t>m</w:t>
            </w:r>
          </w:p>
        </w:tc>
        <w:tc>
          <w:tcPr>
            <w:tcW w:w="2610" w:type="dxa"/>
            <w:tcBorders>
              <w:top w:val="nil"/>
              <w:left w:val="nil"/>
              <w:bottom w:val="single" w:sz="4" w:space="0" w:color="auto"/>
              <w:right w:val="single" w:sz="4" w:space="0" w:color="auto"/>
            </w:tcBorders>
            <w:shd w:val="clear" w:color="auto" w:fill="auto"/>
            <w:hideMark/>
          </w:tcPr>
          <w:p w14:paraId="325B6BAB"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28N</w:t>
            </w:r>
            <w:r w:rsidR="005C2E5D">
              <w:rPr>
                <w:rFonts w:ascii="Arial" w:hAnsi="Arial" w:cs="Arial"/>
                <w:color w:val="000000"/>
                <w:sz w:val="18"/>
                <w:szCs w:val="18"/>
                <w:lang w:val="en-GB"/>
              </w:rPr>
              <w:t>m</w:t>
            </w:r>
          </w:p>
        </w:tc>
      </w:tr>
      <w:tr w:rsidR="00F268A5" w:rsidRPr="00F26A3E" w14:paraId="59090DA4"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0A5DAD40"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Exhaust</w:t>
            </w:r>
          </w:p>
        </w:tc>
        <w:tc>
          <w:tcPr>
            <w:tcW w:w="2520" w:type="dxa"/>
            <w:tcBorders>
              <w:top w:val="nil"/>
              <w:left w:val="nil"/>
              <w:bottom w:val="single" w:sz="4" w:space="0" w:color="auto"/>
              <w:right w:val="single" w:sz="4" w:space="0" w:color="auto"/>
            </w:tcBorders>
            <w:shd w:val="clear" w:color="auto" w:fill="auto"/>
            <w:hideMark/>
          </w:tcPr>
          <w:p w14:paraId="46CC296C" w14:textId="302A92C4"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Twin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Exhaust</w:t>
            </w:r>
          </w:p>
        </w:tc>
        <w:tc>
          <w:tcPr>
            <w:tcW w:w="2610" w:type="dxa"/>
            <w:tcBorders>
              <w:top w:val="nil"/>
              <w:left w:val="nil"/>
              <w:bottom w:val="single" w:sz="4" w:space="0" w:color="auto"/>
              <w:right w:val="single" w:sz="4" w:space="0" w:color="auto"/>
            </w:tcBorders>
            <w:shd w:val="clear" w:color="auto" w:fill="auto"/>
            <w:hideMark/>
          </w:tcPr>
          <w:p w14:paraId="215DDE6A" w14:textId="6B344D1D"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Twin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Exhaust</w:t>
            </w:r>
          </w:p>
        </w:tc>
        <w:tc>
          <w:tcPr>
            <w:tcW w:w="2610" w:type="dxa"/>
            <w:tcBorders>
              <w:top w:val="nil"/>
              <w:left w:val="nil"/>
              <w:bottom w:val="single" w:sz="4" w:space="0" w:color="auto"/>
              <w:right w:val="single" w:sz="4" w:space="0" w:color="auto"/>
            </w:tcBorders>
            <w:shd w:val="clear" w:color="auto" w:fill="auto"/>
            <w:hideMark/>
          </w:tcPr>
          <w:p w14:paraId="292A5B9B" w14:textId="3DBAA511"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Twin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Exhaust</w:t>
            </w:r>
          </w:p>
        </w:tc>
      </w:tr>
      <w:tr w:rsidR="00F268A5" w:rsidRPr="00F26A3E" w14:paraId="5FD06509"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4B5D3F98"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Gearbox</w:t>
            </w:r>
          </w:p>
        </w:tc>
        <w:tc>
          <w:tcPr>
            <w:tcW w:w="2520" w:type="dxa"/>
            <w:tcBorders>
              <w:top w:val="nil"/>
              <w:left w:val="nil"/>
              <w:bottom w:val="single" w:sz="4" w:space="0" w:color="auto"/>
              <w:right w:val="single" w:sz="4" w:space="0" w:color="auto"/>
            </w:tcBorders>
            <w:shd w:val="clear" w:color="auto" w:fill="auto"/>
            <w:hideMark/>
          </w:tcPr>
          <w:p w14:paraId="535D7D17" w14:textId="4BE428B3"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Constant</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Mesh</w:t>
            </w:r>
            <w:r w:rsidR="006B6676">
              <w:rPr>
                <w:rFonts w:ascii="Arial" w:hAnsi="Arial" w:cs="Arial"/>
                <w:color w:val="000000"/>
                <w:sz w:val="18"/>
                <w:szCs w:val="18"/>
                <w:lang w:val="en-GB"/>
              </w:rPr>
              <w:t xml:space="preserve"> </w:t>
            </w:r>
            <w:r w:rsidR="002E4A05">
              <w:rPr>
                <w:rFonts w:ascii="Arial" w:hAnsi="Arial" w:cs="Arial"/>
                <w:color w:val="000000"/>
                <w:sz w:val="18"/>
                <w:szCs w:val="18"/>
                <w:lang w:val="en-GB"/>
              </w:rPr>
              <w:t>Six</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Speed</w:t>
            </w:r>
            <w:r w:rsidR="00E76988">
              <w:rPr>
                <w:rFonts w:ascii="Arial" w:hAnsi="Arial" w:cs="Arial"/>
                <w:color w:val="000000"/>
                <w:sz w:val="18"/>
                <w:szCs w:val="18"/>
                <w:lang w:val="en-GB"/>
              </w:rPr>
              <w:t>s</w:t>
            </w:r>
          </w:p>
        </w:tc>
        <w:tc>
          <w:tcPr>
            <w:tcW w:w="2610" w:type="dxa"/>
            <w:tcBorders>
              <w:top w:val="nil"/>
              <w:left w:val="nil"/>
              <w:bottom w:val="single" w:sz="4" w:space="0" w:color="auto"/>
              <w:right w:val="single" w:sz="4" w:space="0" w:color="auto"/>
            </w:tcBorders>
            <w:shd w:val="clear" w:color="auto" w:fill="auto"/>
            <w:hideMark/>
          </w:tcPr>
          <w:p w14:paraId="4494B126" w14:textId="6F30FD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Constant</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Mesh</w:t>
            </w:r>
            <w:r w:rsidR="006B6676">
              <w:rPr>
                <w:rFonts w:ascii="Arial" w:hAnsi="Arial" w:cs="Arial"/>
                <w:color w:val="000000"/>
                <w:sz w:val="18"/>
                <w:szCs w:val="18"/>
                <w:lang w:val="en-GB"/>
              </w:rPr>
              <w:t xml:space="preserve"> </w:t>
            </w:r>
            <w:r w:rsidR="002E4A05">
              <w:rPr>
                <w:rFonts w:ascii="Arial" w:hAnsi="Arial" w:cs="Arial"/>
                <w:color w:val="000000"/>
                <w:sz w:val="18"/>
                <w:szCs w:val="18"/>
                <w:lang w:val="en-GB"/>
              </w:rPr>
              <w:t>Six</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Speed</w:t>
            </w:r>
            <w:r w:rsidR="00E76988">
              <w:rPr>
                <w:rFonts w:ascii="Arial" w:hAnsi="Arial" w:cs="Arial"/>
                <w:color w:val="000000"/>
                <w:sz w:val="18"/>
                <w:szCs w:val="18"/>
                <w:lang w:val="en-GB"/>
              </w:rPr>
              <w:t>s</w:t>
            </w:r>
          </w:p>
        </w:tc>
        <w:tc>
          <w:tcPr>
            <w:tcW w:w="2610" w:type="dxa"/>
            <w:tcBorders>
              <w:top w:val="nil"/>
              <w:left w:val="nil"/>
              <w:bottom w:val="single" w:sz="4" w:space="0" w:color="auto"/>
              <w:right w:val="single" w:sz="4" w:space="0" w:color="auto"/>
            </w:tcBorders>
            <w:shd w:val="clear" w:color="auto" w:fill="auto"/>
            <w:hideMark/>
          </w:tcPr>
          <w:p w14:paraId="175CD7D3" w14:textId="2DA97D2A"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Constant</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Mesh</w:t>
            </w:r>
            <w:r w:rsidR="006B6676">
              <w:rPr>
                <w:rFonts w:ascii="Arial" w:hAnsi="Arial" w:cs="Arial"/>
                <w:color w:val="000000"/>
                <w:sz w:val="18"/>
                <w:szCs w:val="18"/>
                <w:lang w:val="en-GB"/>
              </w:rPr>
              <w:t xml:space="preserve"> </w:t>
            </w:r>
            <w:r w:rsidR="002E4A05">
              <w:rPr>
                <w:rFonts w:ascii="Arial" w:hAnsi="Arial" w:cs="Arial"/>
                <w:color w:val="000000"/>
                <w:sz w:val="18"/>
                <w:szCs w:val="18"/>
                <w:lang w:val="en-GB"/>
              </w:rPr>
              <w:t>Six</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Speed</w:t>
            </w:r>
            <w:r w:rsidR="00E76988">
              <w:rPr>
                <w:rFonts w:ascii="Arial" w:hAnsi="Arial" w:cs="Arial"/>
                <w:color w:val="000000"/>
                <w:sz w:val="18"/>
                <w:szCs w:val="18"/>
                <w:lang w:val="en-GB"/>
              </w:rPr>
              <w:t>s</w:t>
            </w:r>
          </w:p>
        </w:tc>
      </w:tr>
      <w:tr w:rsidR="00F268A5" w:rsidRPr="00F26A3E" w14:paraId="23BEFEA9"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58C0EAA0"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Frame</w:t>
            </w:r>
          </w:p>
        </w:tc>
        <w:tc>
          <w:tcPr>
            <w:tcW w:w="2520" w:type="dxa"/>
            <w:tcBorders>
              <w:top w:val="nil"/>
              <w:left w:val="nil"/>
              <w:bottom w:val="single" w:sz="4" w:space="0" w:color="auto"/>
              <w:right w:val="single" w:sz="4" w:space="0" w:color="auto"/>
            </w:tcBorders>
            <w:shd w:val="clear" w:color="auto" w:fill="auto"/>
            <w:hideMark/>
          </w:tcPr>
          <w:p w14:paraId="7BF5EC97" w14:textId="25BB0BF0"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Double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Cradle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T</w:t>
            </w:r>
            <w:r w:rsidR="006318DA">
              <w:rPr>
                <w:rFonts w:ascii="Arial" w:hAnsi="Arial" w:cs="Arial"/>
                <w:color w:val="000000"/>
                <w:sz w:val="18"/>
                <w:szCs w:val="18"/>
                <w:lang w:val="en-GB"/>
              </w:rPr>
              <w:t>u</w:t>
            </w:r>
            <w:r w:rsidRPr="00F26A3E">
              <w:rPr>
                <w:rFonts w:ascii="Arial" w:hAnsi="Arial" w:cs="Arial"/>
                <w:color w:val="000000"/>
                <w:sz w:val="18"/>
                <w:szCs w:val="18"/>
                <w:lang w:val="en-GB"/>
              </w:rPr>
              <w:t>bular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Frame</w:t>
            </w:r>
          </w:p>
        </w:tc>
        <w:tc>
          <w:tcPr>
            <w:tcW w:w="2610" w:type="dxa"/>
            <w:tcBorders>
              <w:top w:val="nil"/>
              <w:left w:val="nil"/>
              <w:bottom w:val="single" w:sz="4" w:space="0" w:color="auto"/>
              <w:right w:val="single" w:sz="4" w:space="0" w:color="auto"/>
            </w:tcBorders>
            <w:shd w:val="clear" w:color="auto" w:fill="auto"/>
            <w:hideMark/>
          </w:tcPr>
          <w:p w14:paraId="24824F59" w14:textId="5C93DF9F"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Double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Cradle</w:t>
            </w:r>
          </w:p>
        </w:tc>
        <w:tc>
          <w:tcPr>
            <w:tcW w:w="2610" w:type="dxa"/>
            <w:tcBorders>
              <w:top w:val="nil"/>
              <w:left w:val="nil"/>
              <w:bottom w:val="single" w:sz="4" w:space="0" w:color="auto"/>
              <w:right w:val="single" w:sz="4" w:space="0" w:color="auto"/>
            </w:tcBorders>
            <w:shd w:val="clear" w:color="auto" w:fill="auto"/>
            <w:hideMark/>
          </w:tcPr>
          <w:p w14:paraId="362AD1CA" w14:textId="25CDB686"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Double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Cradle</w:t>
            </w:r>
          </w:p>
        </w:tc>
      </w:tr>
      <w:tr w:rsidR="00F268A5" w:rsidRPr="00F26A3E" w14:paraId="59A4D3B5"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713C6FC9" w14:textId="2FCECD31"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Front</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T</w:t>
            </w:r>
            <w:r w:rsidR="00817E3A">
              <w:rPr>
                <w:rFonts w:ascii="Arial" w:hAnsi="Arial" w:cs="Arial"/>
                <w:b/>
                <w:bCs/>
                <w:color w:val="000000"/>
                <w:sz w:val="18"/>
                <w:szCs w:val="18"/>
                <w:lang w:val="en-GB"/>
              </w:rPr>
              <w:t>i</w:t>
            </w:r>
            <w:r w:rsidRPr="00F26A3E">
              <w:rPr>
                <w:rFonts w:ascii="Arial" w:hAnsi="Arial" w:cs="Arial"/>
                <w:b/>
                <w:bCs/>
                <w:color w:val="000000"/>
                <w:sz w:val="18"/>
                <w:szCs w:val="18"/>
                <w:lang w:val="en-GB"/>
              </w:rPr>
              <w:t>res</w:t>
            </w:r>
          </w:p>
        </w:tc>
        <w:tc>
          <w:tcPr>
            <w:tcW w:w="2520" w:type="dxa"/>
            <w:tcBorders>
              <w:top w:val="nil"/>
              <w:left w:val="nil"/>
              <w:bottom w:val="single" w:sz="4" w:space="0" w:color="auto"/>
              <w:right w:val="single" w:sz="4" w:space="0" w:color="auto"/>
            </w:tcBorders>
            <w:shd w:val="clear" w:color="auto" w:fill="auto"/>
            <w:hideMark/>
          </w:tcPr>
          <w:p w14:paraId="36995C6B"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100/90-18</w:t>
            </w:r>
          </w:p>
        </w:tc>
        <w:tc>
          <w:tcPr>
            <w:tcW w:w="2610" w:type="dxa"/>
            <w:tcBorders>
              <w:top w:val="nil"/>
              <w:left w:val="nil"/>
              <w:bottom w:val="single" w:sz="4" w:space="0" w:color="auto"/>
              <w:right w:val="single" w:sz="4" w:space="0" w:color="auto"/>
            </w:tcBorders>
            <w:shd w:val="clear" w:color="auto" w:fill="auto"/>
            <w:hideMark/>
          </w:tcPr>
          <w:p w14:paraId="347B4C04"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90/90-18</w:t>
            </w:r>
          </w:p>
        </w:tc>
        <w:tc>
          <w:tcPr>
            <w:tcW w:w="2610" w:type="dxa"/>
            <w:tcBorders>
              <w:top w:val="nil"/>
              <w:left w:val="nil"/>
              <w:bottom w:val="single" w:sz="4" w:space="0" w:color="auto"/>
              <w:right w:val="single" w:sz="4" w:space="0" w:color="auto"/>
            </w:tcBorders>
            <w:shd w:val="clear" w:color="auto" w:fill="auto"/>
            <w:hideMark/>
          </w:tcPr>
          <w:p w14:paraId="791FF271"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90/90-19</w:t>
            </w:r>
          </w:p>
        </w:tc>
      </w:tr>
      <w:tr w:rsidR="00F268A5" w:rsidRPr="00F26A3E" w14:paraId="2EC452A0"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235AADEF" w14:textId="164EB73C"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Rear</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T</w:t>
            </w:r>
            <w:r w:rsidR="00817E3A">
              <w:rPr>
                <w:rFonts w:ascii="Arial" w:hAnsi="Arial" w:cs="Arial"/>
                <w:b/>
                <w:bCs/>
                <w:color w:val="000000"/>
                <w:sz w:val="18"/>
                <w:szCs w:val="18"/>
                <w:lang w:val="en-GB"/>
              </w:rPr>
              <w:t>i</w:t>
            </w:r>
            <w:r w:rsidRPr="00F26A3E">
              <w:rPr>
                <w:rFonts w:ascii="Arial" w:hAnsi="Arial" w:cs="Arial"/>
                <w:b/>
                <w:bCs/>
                <w:color w:val="000000"/>
                <w:sz w:val="18"/>
                <w:szCs w:val="18"/>
                <w:lang w:val="en-GB"/>
              </w:rPr>
              <w:t>res</w:t>
            </w:r>
          </w:p>
        </w:tc>
        <w:tc>
          <w:tcPr>
            <w:tcW w:w="2520" w:type="dxa"/>
            <w:tcBorders>
              <w:top w:val="nil"/>
              <w:left w:val="nil"/>
              <w:bottom w:val="single" w:sz="4" w:space="0" w:color="auto"/>
              <w:right w:val="single" w:sz="4" w:space="0" w:color="auto"/>
            </w:tcBorders>
            <w:shd w:val="clear" w:color="auto" w:fill="auto"/>
            <w:hideMark/>
          </w:tcPr>
          <w:p w14:paraId="68CF61DE"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140/70-17</w:t>
            </w:r>
          </w:p>
        </w:tc>
        <w:tc>
          <w:tcPr>
            <w:tcW w:w="2610" w:type="dxa"/>
            <w:tcBorders>
              <w:top w:val="nil"/>
              <w:left w:val="nil"/>
              <w:bottom w:val="single" w:sz="4" w:space="0" w:color="auto"/>
              <w:right w:val="single" w:sz="4" w:space="0" w:color="auto"/>
            </w:tcBorders>
            <w:shd w:val="clear" w:color="auto" w:fill="auto"/>
            <w:hideMark/>
          </w:tcPr>
          <w:p w14:paraId="76EA7CC1"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120/80-17</w:t>
            </w:r>
          </w:p>
        </w:tc>
        <w:tc>
          <w:tcPr>
            <w:tcW w:w="2610" w:type="dxa"/>
            <w:tcBorders>
              <w:top w:val="nil"/>
              <w:left w:val="nil"/>
              <w:bottom w:val="single" w:sz="4" w:space="0" w:color="auto"/>
              <w:right w:val="single" w:sz="4" w:space="0" w:color="auto"/>
            </w:tcBorders>
            <w:shd w:val="clear" w:color="auto" w:fill="auto"/>
            <w:hideMark/>
          </w:tcPr>
          <w:p w14:paraId="1CC0E2AA"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120/80-18</w:t>
            </w:r>
          </w:p>
        </w:tc>
      </w:tr>
      <w:tr w:rsidR="00F268A5" w:rsidRPr="00F26A3E" w14:paraId="70E1B154"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3CA286D0" w14:textId="533E7593"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Front</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Suspension</w:t>
            </w:r>
          </w:p>
        </w:tc>
        <w:tc>
          <w:tcPr>
            <w:tcW w:w="2520" w:type="dxa"/>
            <w:tcBorders>
              <w:top w:val="nil"/>
              <w:left w:val="nil"/>
              <w:bottom w:val="single" w:sz="4" w:space="0" w:color="auto"/>
              <w:right w:val="single" w:sz="4" w:space="0" w:color="auto"/>
            </w:tcBorders>
            <w:shd w:val="clear" w:color="auto" w:fill="auto"/>
            <w:hideMark/>
          </w:tcPr>
          <w:p w14:paraId="421AA65D" w14:textId="6F392E89"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Telescopic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Hydraulic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Fork</w:t>
            </w:r>
          </w:p>
        </w:tc>
        <w:tc>
          <w:tcPr>
            <w:tcW w:w="2610" w:type="dxa"/>
            <w:tcBorders>
              <w:top w:val="nil"/>
              <w:left w:val="nil"/>
              <w:bottom w:val="single" w:sz="4" w:space="0" w:color="auto"/>
              <w:right w:val="single" w:sz="4" w:space="0" w:color="auto"/>
            </w:tcBorders>
            <w:shd w:val="clear" w:color="auto" w:fill="auto"/>
            <w:hideMark/>
          </w:tcPr>
          <w:p w14:paraId="136D1E98" w14:textId="08BD32BE"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Telescopic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Hydraulic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Fork</w:t>
            </w:r>
          </w:p>
        </w:tc>
        <w:tc>
          <w:tcPr>
            <w:tcW w:w="2610" w:type="dxa"/>
            <w:tcBorders>
              <w:top w:val="nil"/>
              <w:left w:val="nil"/>
              <w:bottom w:val="single" w:sz="4" w:space="0" w:color="auto"/>
              <w:right w:val="single" w:sz="4" w:space="0" w:color="auto"/>
            </w:tcBorders>
            <w:shd w:val="clear" w:color="auto" w:fill="auto"/>
            <w:hideMark/>
          </w:tcPr>
          <w:p w14:paraId="5C3B7AC5" w14:textId="77485099"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Telescopic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Hydraulic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Fork</w:t>
            </w:r>
          </w:p>
        </w:tc>
      </w:tr>
      <w:tr w:rsidR="00F268A5" w:rsidRPr="00F26A3E" w14:paraId="542B9FA8"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1D5CD496" w14:textId="0334E820"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Rear</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Suspension</w:t>
            </w:r>
          </w:p>
        </w:tc>
        <w:tc>
          <w:tcPr>
            <w:tcW w:w="2520" w:type="dxa"/>
            <w:tcBorders>
              <w:top w:val="nil"/>
              <w:left w:val="nil"/>
              <w:bottom w:val="single" w:sz="4" w:space="0" w:color="auto"/>
              <w:right w:val="single" w:sz="4" w:space="0" w:color="auto"/>
            </w:tcBorders>
            <w:shd w:val="clear" w:color="auto" w:fill="auto"/>
            <w:hideMark/>
          </w:tcPr>
          <w:p w14:paraId="0D5435B8" w14:textId="1B845F30"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Mono</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Shock</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Absorber,</w:t>
            </w:r>
            <w:r w:rsidR="006B6676">
              <w:rPr>
                <w:rFonts w:ascii="Arial" w:hAnsi="Arial" w:cs="Arial"/>
                <w:color w:val="000000"/>
                <w:sz w:val="18"/>
                <w:szCs w:val="18"/>
                <w:lang w:val="en-GB"/>
              </w:rPr>
              <w:t xml:space="preserve"> </w:t>
            </w:r>
            <w:r w:rsidR="00E76988">
              <w:rPr>
                <w:rFonts w:ascii="Arial" w:hAnsi="Arial" w:cs="Arial"/>
                <w:color w:val="000000"/>
                <w:sz w:val="18"/>
                <w:szCs w:val="18"/>
                <w:lang w:val="en-GB"/>
              </w:rPr>
              <w:br/>
            </w:r>
            <w:r w:rsidR="007B59CD">
              <w:rPr>
                <w:rFonts w:ascii="Arial" w:hAnsi="Arial" w:cs="Arial"/>
                <w:color w:val="000000"/>
                <w:sz w:val="18"/>
                <w:szCs w:val="18"/>
                <w:lang w:val="en-GB"/>
              </w:rPr>
              <w:t>Seven</w:t>
            </w:r>
            <w:r w:rsidR="00E76988">
              <w:rPr>
                <w:rFonts w:ascii="Arial" w:hAnsi="Arial" w:cs="Arial"/>
                <w:color w:val="000000"/>
                <w:sz w:val="18"/>
                <w:szCs w:val="18"/>
                <w:lang w:val="en-GB"/>
              </w:rPr>
              <w:t>-</w:t>
            </w:r>
            <w:r w:rsidRPr="00F26A3E">
              <w:rPr>
                <w:rFonts w:ascii="Arial" w:hAnsi="Arial" w:cs="Arial"/>
                <w:color w:val="000000"/>
                <w:sz w:val="18"/>
                <w:szCs w:val="18"/>
                <w:lang w:val="en-GB"/>
              </w:rPr>
              <w:t>Step</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Adjustable</w:t>
            </w:r>
          </w:p>
        </w:tc>
        <w:tc>
          <w:tcPr>
            <w:tcW w:w="2610" w:type="dxa"/>
            <w:tcBorders>
              <w:top w:val="nil"/>
              <w:left w:val="nil"/>
              <w:bottom w:val="single" w:sz="4" w:space="0" w:color="auto"/>
              <w:right w:val="single" w:sz="4" w:space="0" w:color="auto"/>
            </w:tcBorders>
            <w:shd w:val="clear" w:color="auto" w:fill="auto"/>
            <w:hideMark/>
          </w:tcPr>
          <w:p w14:paraId="729D824C" w14:textId="223B7F9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Gas</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Canister-Twin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Shock</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Hydraulic</w:t>
            </w:r>
          </w:p>
        </w:tc>
        <w:tc>
          <w:tcPr>
            <w:tcW w:w="2610" w:type="dxa"/>
            <w:tcBorders>
              <w:top w:val="nil"/>
              <w:left w:val="nil"/>
              <w:bottom w:val="single" w:sz="4" w:space="0" w:color="auto"/>
              <w:right w:val="single" w:sz="4" w:space="0" w:color="auto"/>
            </w:tcBorders>
            <w:shd w:val="clear" w:color="auto" w:fill="auto"/>
            <w:hideMark/>
          </w:tcPr>
          <w:p w14:paraId="1F9C8F21" w14:textId="3A065FCF"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Gas</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Canister-Twin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Shock</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Hydraulic</w:t>
            </w:r>
          </w:p>
        </w:tc>
      </w:tr>
      <w:tr w:rsidR="00841470" w:rsidRPr="00F26A3E" w14:paraId="4BEA9631"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tcPr>
          <w:p w14:paraId="2898D27D" w14:textId="2238DFED" w:rsidR="00841470" w:rsidRPr="00F26A3E" w:rsidRDefault="00841470" w:rsidP="00841470">
            <w:pPr>
              <w:rPr>
                <w:rFonts w:ascii="Arial" w:hAnsi="Arial" w:cs="Arial"/>
                <w:b/>
                <w:bCs/>
                <w:color w:val="000000"/>
                <w:sz w:val="18"/>
                <w:szCs w:val="18"/>
                <w:lang w:val="en-GB"/>
              </w:rPr>
            </w:pPr>
            <w:r>
              <w:rPr>
                <w:rFonts w:ascii="Arial" w:hAnsi="Arial" w:cs="Arial"/>
                <w:b/>
                <w:bCs/>
                <w:color w:val="000000"/>
                <w:sz w:val="18"/>
                <w:szCs w:val="18"/>
                <w:lang w:val="en-GB"/>
              </w:rPr>
              <w:t>Front</w:t>
            </w:r>
            <w:r w:rsidR="006B6676">
              <w:rPr>
                <w:rFonts w:ascii="Arial" w:hAnsi="Arial" w:cs="Arial"/>
                <w:b/>
                <w:bCs/>
                <w:color w:val="000000"/>
                <w:sz w:val="18"/>
                <w:szCs w:val="18"/>
                <w:lang w:val="en-GB"/>
              </w:rPr>
              <w:t xml:space="preserve"> </w:t>
            </w:r>
            <w:r>
              <w:rPr>
                <w:rFonts w:ascii="Arial" w:hAnsi="Arial" w:cs="Arial"/>
                <w:b/>
                <w:bCs/>
                <w:color w:val="000000"/>
                <w:sz w:val="18"/>
                <w:szCs w:val="18"/>
                <w:lang w:val="en-GB"/>
              </w:rPr>
              <w:t>Brakes</w:t>
            </w:r>
          </w:p>
        </w:tc>
        <w:tc>
          <w:tcPr>
            <w:tcW w:w="2520" w:type="dxa"/>
            <w:tcBorders>
              <w:top w:val="nil"/>
              <w:left w:val="nil"/>
              <w:bottom w:val="single" w:sz="4" w:space="0" w:color="auto"/>
              <w:right w:val="single" w:sz="4" w:space="0" w:color="auto"/>
            </w:tcBorders>
            <w:shd w:val="clear" w:color="auto" w:fill="auto"/>
          </w:tcPr>
          <w:p w14:paraId="09CFD2D1" w14:textId="1C90F547" w:rsidR="00841470" w:rsidRPr="00F26A3E" w:rsidRDefault="00841470" w:rsidP="00841470">
            <w:pPr>
              <w:jc w:val="center"/>
              <w:rPr>
                <w:rFonts w:ascii="Arial" w:hAnsi="Arial" w:cs="Arial"/>
                <w:color w:val="000000"/>
                <w:sz w:val="18"/>
                <w:szCs w:val="18"/>
                <w:lang w:val="en-GB"/>
              </w:rPr>
            </w:pPr>
            <w:r w:rsidRPr="00F26A3E">
              <w:rPr>
                <w:rFonts w:ascii="Arial" w:hAnsi="Arial" w:cs="Arial"/>
                <w:color w:val="000000"/>
                <w:sz w:val="18"/>
                <w:szCs w:val="18"/>
                <w:lang w:val="en-GB"/>
              </w:rPr>
              <w:t>Dia</w:t>
            </w:r>
            <w:r>
              <w:rPr>
                <w:rFonts w:ascii="Arial" w:hAnsi="Arial" w:cs="Arial"/>
                <w:color w:val="000000"/>
                <w:sz w:val="18"/>
                <w:szCs w:val="18"/>
                <w:lang w:val="en-GB"/>
              </w:rPr>
              <w:t>meter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280mm</w:t>
            </w:r>
            <w:r w:rsidR="006B6676">
              <w:rPr>
                <w:rFonts w:ascii="Arial" w:hAnsi="Arial" w:cs="Arial"/>
                <w:color w:val="000000"/>
                <w:sz w:val="18"/>
                <w:szCs w:val="18"/>
                <w:lang w:val="en-GB"/>
              </w:rPr>
              <w:t xml:space="preserve"> </w:t>
            </w:r>
            <w:r>
              <w:rPr>
                <w:rFonts w:ascii="Arial" w:hAnsi="Arial" w:cs="Arial"/>
                <w:color w:val="000000"/>
                <w:sz w:val="18"/>
                <w:szCs w:val="18"/>
                <w:lang w:val="en-GB"/>
              </w:rPr>
              <w:t>D</w:t>
            </w:r>
            <w:r w:rsidRPr="00F26A3E">
              <w:rPr>
                <w:rFonts w:ascii="Arial" w:hAnsi="Arial" w:cs="Arial"/>
                <w:color w:val="000000"/>
                <w:sz w:val="18"/>
                <w:szCs w:val="18"/>
                <w:lang w:val="en-GB"/>
              </w:rPr>
              <w:t>isc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with</w:t>
            </w:r>
            <w:r w:rsidR="006B6676">
              <w:rPr>
                <w:rFonts w:ascii="Arial" w:hAnsi="Arial" w:cs="Arial"/>
                <w:color w:val="000000"/>
                <w:sz w:val="18"/>
                <w:szCs w:val="18"/>
                <w:lang w:val="en-GB"/>
              </w:rPr>
              <w:t xml:space="preserve"> </w:t>
            </w:r>
            <w:r>
              <w:rPr>
                <w:rFonts w:ascii="Arial" w:hAnsi="Arial" w:cs="Arial"/>
                <w:color w:val="000000"/>
                <w:sz w:val="18"/>
                <w:szCs w:val="18"/>
                <w:lang w:val="en-GB"/>
              </w:rPr>
              <w:t>F</w:t>
            </w:r>
            <w:r w:rsidRPr="00F26A3E">
              <w:rPr>
                <w:rFonts w:ascii="Arial" w:hAnsi="Arial" w:cs="Arial"/>
                <w:color w:val="000000"/>
                <w:sz w:val="18"/>
                <w:szCs w:val="18"/>
                <w:lang w:val="en-GB"/>
              </w:rPr>
              <w:t>loating</w:t>
            </w:r>
            <w:r w:rsidR="006B6676">
              <w:rPr>
                <w:rFonts w:ascii="Arial" w:hAnsi="Arial" w:cs="Arial"/>
                <w:color w:val="000000"/>
                <w:sz w:val="18"/>
                <w:szCs w:val="18"/>
                <w:lang w:val="en-GB"/>
              </w:rPr>
              <w:t xml:space="preserve"> </w:t>
            </w:r>
            <w:r>
              <w:rPr>
                <w:rFonts w:ascii="Arial" w:hAnsi="Arial" w:cs="Arial"/>
                <w:color w:val="000000"/>
                <w:sz w:val="18"/>
                <w:szCs w:val="18"/>
                <w:lang w:val="en-GB"/>
              </w:rPr>
              <w:t>C</w:t>
            </w:r>
            <w:r w:rsidRPr="00F26A3E">
              <w:rPr>
                <w:rFonts w:ascii="Arial" w:hAnsi="Arial" w:cs="Arial"/>
                <w:color w:val="000000"/>
                <w:sz w:val="18"/>
                <w:szCs w:val="18"/>
                <w:lang w:val="en-GB"/>
              </w:rPr>
              <w:t>aliper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and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ABS</w:t>
            </w:r>
          </w:p>
        </w:tc>
        <w:tc>
          <w:tcPr>
            <w:tcW w:w="2610" w:type="dxa"/>
            <w:tcBorders>
              <w:top w:val="nil"/>
              <w:left w:val="nil"/>
              <w:bottom w:val="single" w:sz="4" w:space="0" w:color="auto"/>
              <w:right w:val="single" w:sz="4" w:space="0" w:color="auto"/>
            </w:tcBorders>
            <w:shd w:val="clear" w:color="auto" w:fill="auto"/>
          </w:tcPr>
          <w:p w14:paraId="04D74165" w14:textId="13C438DF" w:rsidR="00841470" w:rsidRPr="00F26A3E" w:rsidRDefault="00841470" w:rsidP="00841470">
            <w:pPr>
              <w:jc w:val="center"/>
              <w:rPr>
                <w:rFonts w:ascii="Arial" w:hAnsi="Arial" w:cs="Arial"/>
                <w:color w:val="000000"/>
                <w:sz w:val="18"/>
                <w:szCs w:val="18"/>
                <w:lang w:val="en-GB"/>
              </w:rPr>
            </w:pPr>
            <w:r w:rsidRPr="00F26A3E">
              <w:rPr>
                <w:rFonts w:ascii="Arial" w:hAnsi="Arial" w:cs="Arial"/>
                <w:color w:val="000000"/>
                <w:sz w:val="18"/>
                <w:szCs w:val="18"/>
                <w:lang w:val="en-GB"/>
              </w:rPr>
              <w:t>Dia</w:t>
            </w:r>
            <w:r>
              <w:rPr>
                <w:rFonts w:ascii="Arial" w:hAnsi="Arial" w:cs="Arial"/>
                <w:color w:val="000000"/>
                <w:sz w:val="18"/>
                <w:szCs w:val="18"/>
                <w:lang w:val="en-GB"/>
              </w:rPr>
              <w:t>meter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280mm</w:t>
            </w:r>
            <w:r w:rsidR="006B6676">
              <w:rPr>
                <w:rFonts w:ascii="Arial" w:hAnsi="Arial" w:cs="Arial"/>
                <w:color w:val="000000"/>
                <w:sz w:val="18"/>
                <w:szCs w:val="18"/>
                <w:lang w:val="en-GB"/>
              </w:rPr>
              <w:t xml:space="preserve"> </w:t>
            </w:r>
            <w:r>
              <w:rPr>
                <w:rFonts w:ascii="Arial" w:hAnsi="Arial" w:cs="Arial"/>
                <w:color w:val="000000"/>
                <w:sz w:val="18"/>
                <w:szCs w:val="18"/>
                <w:lang w:val="en-GB"/>
              </w:rPr>
              <w:t>D</w:t>
            </w:r>
            <w:r w:rsidRPr="00F26A3E">
              <w:rPr>
                <w:rFonts w:ascii="Arial" w:hAnsi="Arial" w:cs="Arial"/>
                <w:color w:val="000000"/>
                <w:sz w:val="18"/>
                <w:szCs w:val="18"/>
                <w:lang w:val="en-GB"/>
              </w:rPr>
              <w:t>isc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with</w:t>
            </w:r>
            <w:r w:rsidR="006B6676">
              <w:rPr>
                <w:rFonts w:ascii="Arial" w:hAnsi="Arial" w:cs="Arial"/>
                <w:color w:val="000000"/>
                <w:sz w:val="18"/>
                <w:szCs w:val="18"/>
                <w:lang w:val="en-GB"/>
              </w:rPr>
              <w:t xml:space="preserve"> </w:t>
            </w:r>
            <w:r>
              <w:rPr>
                <w:rFonts w:ascii="Arial" w:hAnsi="Arial" w:cs="Arial"/>
                <w:color w:val="000000"/>
                <w:sz w:val="18"/>
                <w:szCs w:val="18"/>
                <w:lang w:val="en-GB"/>
              </w:rPr>
              <w:t>F</w:t>
            </w:r>
            <w:r w:rsidRPr="00F26A3E">
              <w:rPr>
                <w:rFonts w:ascii="Arial" w:hAnsi="Arial" w:cs="Arial"/>
                <w:color w:val="000000"/>
                <w:sz w:val="18"/>
                <w:szCs w:val="18"/>
                <w:lang w:val="en-GB"/>
              </w:rPr>
              <w:t>loating</w:t>
            </w:r>
            <w:r w:rsidR="006B6676">
              <w:rPr>
                <w:rFonts w:ascii="Arial" w:hAnsi="Arial" w:cs="Arial"/>
                <w:color w:val="000000"/>
                <w:sz w:val="18"/>
                <w:szCs w:val="18"/>
                <w:lang w:val="en-GB"/>
              </w:rPr>
              <w:t xml:space="preserve"> </w:t>
            </w:r>
            <w:r>
              <w:rPr>
                <w:rFonts w:ascii="Arial" w:hAnsi="Arial" w:cs="Arial"/>
                <w:color w:val="000000"/>
                <w:sz w:val="18"/>
                <w:szCs w:val="18"/>
                <w:lang w:val="en-GB"/>
              </w:rPr>
              <w:t>C</w:t>
            </w:r>
            <w:r w:rsidRPr="00F26A3E">
              <w:rPr>
                <w:rFonts w:ascii="Arial" w:hAnsi="Arial" w:cs="Arial"/>
                <w:color w:val="000000"/>
                <w:sz w:val="18"/>
                <w:szCs w:val="18"/>
                <w:lang w:val="en-GB"/>
              </w:rPr>
              <w:t>aliper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and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ABS</w:t>
            </w:r>
          </w:p>
        </w:tc>
        <w:tc>
          <w:tcPr>
            <w:tcW w:w="2610" w:type="dxa"/>
            <w:tcBorders>
              <w:top w:val="nil"/>
              <w:left w:val="nil"/>
              <w:bottom w:val="single" w:sz="4" w:space="0" w:color="auto"/>
              <w:right w:val="single" w:sz="4" w:space="0" w:color="auto"/>
            </w:tcBorders>
            <w:shd w:val="clear" w:color="auto" w:fill="auto"/>
          </w:tcPr>
          <w:p w14:paraId="50F46C46" w14:textId="7AD04761" w:rsidR="00841470" w:rsidRPr="00F26A3E" w:rsidRDefault="00841470" w:rsidP="00841470">
            <w:pPr>
              <w:jc w:val="center"/>
              <w:rPr>
                <w:rFonts w:ascii="Arial" w:hAnsi="Arial" w:cs="Arial"/>
                <w:color w:val="000000"/>
                <w:sz w:val="18"/>
                <w:szCs w:val="18"/>
                <w:lang w:val="en-GB"/>
              </w:rPr>
            </w:pPr>
            <w:r w:rsidRPr="00F26A3E">
              <w:rPr>
                <w:rFonts w:ascii="Arial" w:hAnsi="Arial" w:cs="Arial"/>
                <w:color w:val="000000"/>
                <w:sz w:val="18"/>
                <w:szCs w:val="18"/>
                <w:lang w:val="en-GB"/>
              </w:rPr>
              <w:t>Dia</w:t>
            </w:r>
            <w:r>
              <w:rPr>
                <w:rFonts w:ascii="Arial" w:hAnsi="Arial" w:cs="Arial"/>
                <w:color w:val="000000"/>
                <w:sz w:val="18"/>
                <w:szCs w:val="18"/>
                <w:lang w:val="en-GB"/>
              </w:rPr>
              <w:t>meter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280mm</w:t>
            </w:r>
            <w:r w:rsidR="006B6676">
              <w:rPr>
                <w:rFonts w:ascii="Arial" w:hAnsi="Arial" w:cs="Arial"/>
                <w:color w:val="000000"/>
                <w:sz w:val="18"/>
                <w:szCs w:val="18"/>
                <w:lang w:val="en-GB"/>
              </w:rPr>
              <w:t xml:space="preserve"> </w:t>
            </w:r>
            <w:r>
              <w:rPr>
                <w:rFonts w:ascii="Arial" w:hAnsi="Arial" w:cs="Arial"/>
                <w:color w:val="000000"/>
                <w:sz w:val="18"/>
                <w:szCs w:val="18"/>
                <w:lang w:val="en-GB"/>
              </w:rPr>
              <w:t>D</w:t>
            </w:r>
            <w:r w:rsidRPr="00F26A3E">
              <w:rPr>
                <w:rFonts w:ascii="Arial" w:hAnsi="Arial" w:cs="Arial"/>
                <w:color w:val="000000"/>
                <w:sz w:val="18"/>
                <w:szCs w:val="18"/>
                <w:lang w:val="en-GB"/>
              </w:rPr>
              <w:t>isc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with</w:t>
            </w:r>
            <w:r w:rsidR="006B6676">
              <w:rPr>
                <w:rFonts w:ascii="Arial" w:hAnsi="Arial" w:cs="Arial"/>
                <w:color w:val="000000"/>
                <w:sz w:val="18"/>
                <w:szCs w:val="18"/>
                <w:lang w:val="en-GB"/>
              </w:rPr>
              <w:t xml:space="preserve"> </w:t>
            </w:r>
            <w:r>
              <w:rPr>
                <w:rFonts w:ascii="Arial" w:hAnsi="Arial" w:cs="Arial"/>
                <w:color w:val="000000"/>
                <w:sz w:val="18"/>
                <w:szCs w:val="18"/>
                <w:lang w:val="en-GB"/>
              </w:rPr>
              <w:t>F</w:t>
            </w:r>
            <w:r w:rsidRPr="00F26A3E">
              <w:rPr>
                <w:rFonts w:ascii="Arial" w:hAnsi="Arial" w:cs="Arial"/>
                <w:color w:val="000000"/>
                <w:sz w:val="18"/>
                <w:szCs w:val="18"/>
                <w:lang w:val="en-GB"/>
              </w:rPr>
              <w:t>loating</w:t>
            </w:r>
            <w:r w:rsidR="006B6676">
              <w:rPr>
                <w:rFonts w:ascii="Arial" w:hAnsi="Arial" w:cs="Arial"/>
                <w:color w:val="000000"/>
                <w:sz w:val="18"/>
                <w:szCs w:val="18"/>
                <w:lang w:val="en-GB"/>
              </w:rPr>
              <w:t xml:space="preserve"> </w:t>
            </w:r>
            <w:r>
              <w:rPr>
                <w:rFonts w:ascii="Arial" w:hAnsi="Arial" w:cs="Arial"/>
                <w:color w:val="000000"/>
                <w:sz w:val="18"/>
                <w:szCs w:val="18"/>
                <w:lang w:val="en-GB"/>
              </w:rPr>
              <w:t>C</w:t>
            </w:r>
            <w:r w:rsidRPr="00F26A3E">
              <w:rPr>
                <w:rFonts w:ascii="Arial" w:hAnsi="Arial" w:cs="Arial"/>
                <w:color w:val="000000"/>
                <w:sz w:val="18"/>
                <w:szCs w:val="18"/>
                <w:lang w:val="en-GB"/>
              </w:rPr>
              <w:t>aliper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and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ABS</w:t>
            </w:r>
          </w:p>
        </w:tc>
      </w:tr>
      <w:tr w:rsidR="00841470" w:rsidRPr="00F26A3E" w14:paraId="10E06563"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tcPr>
          <w:p w14:paraId="0190AAB3" w14:textId="332B3E76" w:rsidR="00841470" w:rsidRPr="00F26A3E" w:rsidRDefault="00841470" w:rsidP="00841470">
            <w:pPr>
              <w:rPr>
                <w:rFonts w:ascii="Arial" w:hAnsi="Arial" w:cs="Arial"/>
                <w:b/>
                <w:bCs/>
                <w:color w:val="000000"/>
                <w:sz w:val="18"/>
                <w:szCs w:val="18"/>
                <w:lang w:val="en-GB"/>
              </w:rPr>
            </w:pPr>
            <w:r>
              <w:rPr>
                <w:rFonts w:ascii="Arial" w:hAnsi="Arial" w:cs="Arial"/>
                <w:b/>
                <w:bCs/>
                <w:color w:val="000000"/>
                <w:sz w:val="18"/>
                <w:szCs w:val="18"/>
                <w:lang w:val="en-GB"/>
              </w:rPr>
              <w:t>Rear</w:t>
            </w:r>
            <w:r w:rsidR="006B6676">
              <w:rPr>
                <w:rFonts w:ascii="Arial" w:hAnsi="Arial" w:cs="Arial"/>
                <w:b/>
                <w:bCs/>
                <w:color w:val="000000"/>
                <w:sz w:val="18"/>
                <w:szCs w:val="18"/>
                <w:lang w:val="en-GB"/>
              </w:rPr>
              <w:t xml:space="preserve"> </w:t>
            </w:r>
            <w:r>
              <w:rPr>
                <w:rFonts w:ascii="Arial" w:hAnsi="Arial" w:cs="Arial"/>
                <w:b/>
                <w:bCs/>
                <w:color w:val="000000"/>
                <w:sz w:val="18"/>
                <w:szCs w:val="18"/>
                <w:lang w:val="en-GB"/>
              </w:rPr>
              <w:t>Brakes</w:t>
            </w:r>
          </w:p>
        </w:tc>
        <w:tc>
          <w:tcPr>
            <w:tcW w:w="2520" w:type="dxa"/>
            <w:tcBorders>
              <w:top w:val="nil"/>
              <w:left w:val="nil"/>
              <w:bottom w:val="single" w:sz="4" w:space="0" w:color="auto"/>
              <w:right w:val="single" w:sz="4" w:space="0" w:color="auto"/>
            </w:tcBorders>
            <w:shd w:val="clear" w:color="auto" w:fill="auto"/>
          </w:tcPr>
          <w:p w14:paraId="25F140CA" w14:textId="00125FE5" w:rsidR="00841470" w:rsidRPr="00F26A3E" w:rsidRDefault="00841470" w:rsidP="00841470">
            <w:pPr>
              <w:jc w:val="center"/>
              <w:rPr>
                <w:rFonts w:ascii="Arial" w:hAnsi="Arial" w:cs="Arial"/>
                <w:color w:val="000000"/>
                <w:sz w:val="18"/>
                <w:szCs w:val="18"/>
                <w:lang w:val="en-GB"/>
              </w:rPr>
            </w:pPr>
            <w:r w:rsidRPr="00F26A3E">
              <w:rPr>
                <w:rFonts w:ascii="Arial" w:hAnsi="Arial" w:cs="Arial"/>
                <w:color w:val="000000"/>
                <w:sz w:val="18"/>
                <w:szCs w:val="18"/>
                <w:lang w:val="en-GB"/>
              </w:rPr>
              <w:t>Dia</w:t>
            </w:r>
            <w:r>
              <w:rPr>
                <w:rFonts w:ascii="Arial" w:hAnsi="Arial" w:cs="Arial"/>
                <w:color w:val="000000"/>
                <w:sz w:val="18"/>
                <w:szCs w:val="18"/>
                <w:lang w:val="en-GB"/>
              </w:rPr>
              <w:t>meter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240mm</w:t>
            </w:r>
            <w:r w:rsidR="006B6676">
              <w:rPr>
                <w:rFonts w:ascii="Arial" w:hAnsi="Arial" w:cs="Arial"/>
                <w:color w:val="000000"/>
                <w:sz w:val="18"/>
                <w:szCs w:val="18"/>
                <w:lang w:val="en-GB"/>
              </w:rPr>
              <w:t xml:space="preserve"> </w:t>
            </w:r>
            <w:r>
              <w:rPr>
                <w:rFonts w:ascii="Arial" w:hAnsi="Arial" w:cs="Arial"/>
                <w:color w:val="000000"/>
                <w:sz w:val="18"/>
                <w:szCs w:val="18"/>
                <w:lang w:val="en-GB"/>
              </w:rPr>
              <w:t>D</w:t>
            </w:r>
            <w:r w:rsidRPr="00F26A3E">
              <w:rPr>
                <w:rFonts w:ascii="Arial" w:hAnsi="Arial" w:cs="Arial"/>
                <w:color w:val="000000"/>
                <w:sz w:val="18"/>
                <w:szCs w:val="18"/>
                <w:lang w:val="en-GB"/>
              </w:rPr>
              <w:t>isc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with</w:t>
            </w:r>
            <w:r w:rsidR="006B6676">
              <w:rPr>
                <w:rFonts w:ascii="Arial" w:hAnsi="Arial" w:cs="Arial"/>
                <w:color w:val="000000"/>
                <w:sz w:val="18"/>
                <w:szCs w:val="18"/>
                <w:lang w:val="en-GB"/>
              </w:rPr>
              <w:t xml:space="preserve"> </w:t>
            </w:r>
            <w:r>
              <w:rPr>
                <w:rFonts w:ascii="Arial" w:hAnsi="Arial" w:cs="Arial"/>
                <w:color w:val="000000"/>
                <w:sz w:val="18"/>
                <w:szCs w:val="18"/>
                <w:lang w:val="en-GB"/>
              </w:rPr>
              <w:t>F</w:t>
            </w:r>
            <w:r w:rsidRPr="00F26A3E">
              <w:rPr>
                <w:rFonts w:ascii="Arial" w:hAnsi="Arial" w:cs="Arial"/>
                <w:color w:val="000000"/>
                <w:sz w:val="18"/>
                <w:szCs w:val="18"/>
                <w:lang w:val="en-GB"/>
              </w:rPr>
              <w:t>loating</w:t>
            </w:r>
            <w:r w:rsidR="006B6676">
              <w:rPr>
                <w:rFonts w:ascii="Arial" w:hAnsi="Arial" w:cs="Arial"/>
                <w:color w:val="000000"/>
                <w:sz w:val="18"/>
                <w:szCs w:val="18"/>
                <w:lang w:val="en-GB"/>
              </w:rPr>
              <w:t xml:space="preserve"> </w:t>
            </w:r>
            <w:r>
              <w:rPr>
                <w:rFonts w:ascii="Arial" w:hAnsi="Arial" w:cs="Arial"/>
                <w:color w:val="000000"/>
                <w:sz w:val="18"/>
                <w:szCs w:val="18"/>
                <w:lang w:val="en-GB"/>
              </w:rPr>
              <w:t>C</w:t>
            </w:r>
            <w:r w:rsidRPr="00F26A3E">
              <w:rPr>
                <w:rFonts w:ascii="Arial" w:hAnsi="Arial" w:cs="Arial"/>
                <w:color w:val="000000"/>
                <w:sz w:val="18"/>
                <w:szCs w:val="18"/>
                <w:lang w:val="en-GB"/>
              </w:rPr>
              <w:t>aliper</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and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ABS</w:t>
            </w:r>
          </w:p>
        </w:tc>
        <w:tc>
          <w:tcPr>
            <w:tcW w:w="2610" w:type="dxa"/>
            <w:tcBorders>
              <w:top w:val="nil"/>
              <w:left w:val="nil"/>
              <w:bottom w:val="single" w:sz="4" w:space="0" w:color="auto"/>
              <w:right w:val="single" w:sz="4" w:space="0" w:color="auto"/>
            </w:tcBorders>
            <w:shd w:val="clear" w:color="auto" w:fill="auto"/>
          </w:tcPr>
          <w:p w14:paraId="334F3BDC" w14:textId="0E1DFF0F" w:rsidR="00841470" w:rsidRPr="00F26A3E" w:rsidRDefault="00841470" w:rsidP="00841470">
            <w:pPr>
              <w:jc w:val="center"/>
              <w:rPr>
                <w:rFonts w:ascii="Arial" w:hAnsi="Arial" w:cs="Arial"/>
                <w:color w:val="000000"/>
                <w:sz w:val="18"/>
                <w:szCs w:val="18"/>
                <w:lang w:val="en-GB"/>
              </w:rPr>
            </w:pPr>
            <w:r w:rsidRPr="00F26A3E">
              <w:rPr>
                <w:rFonts w:ascii="Arial" w:hAnsi="Arial" w:cs="Arial"/>
                <w:color w:val="000000"/>
                <w:sz w:val="18"/>
                <w:szCs w:val="18"/>
                <w:lang w:val="en-GB"/>
              </w:rPr>
              <w:t>Drum</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Brake</w:t>
            </w:r>
            <w:r w:rsidR="006B6676">
              <w:rPr>
                <w:rFonts w:ascii="Arial" w:hAnsi="Arial" w:cs="Arial"/>
                <w:color w:val="000000"/>
                <w:sz w:val="18"/>
                <w:szCs w:val="18"/>
                <w:lang w:val="en-GB"/>
              </w:rPr>
              <w:t xml:space="preserve"> </w:t>
            </w:r>
            <w:r>
              <w:rPr>
                <w:rFonts w:ascii="Arial" w:hAnsi="Arial" w:cs="Arial"/>
                <w:color w:val="000000"/>
                <w:sz w:val="18"/>
                <w:szCs w:val="18"/>
                <w:lang w:val="en-GB"/>
              </w:rPr>
              <w:br/>
            </w:r>
            <w:r w:rsidRPr="00F26A3E">
              <w:rPr>
                <w:rFonts w:ascii="Arial" w:hAnsi="Arial" w:cs="Arial"/>
                <w:color w:val="000000"/>
                <w:sz w:val="18"/>
                <w:szCs w:val="18"/>
                <w:lang w:val="en-GB"/>
              </w:rPr>
              <w:t>153</w:t>
            </w:r>
            <w:r w:rsidR="0012742E">
              <w:rPr>
                <w:rFonts w:ascii="Arial" w:hAnsi="Arial" w:cs="Arial"/>
                <w:color w:val="000000"/>
                <w:sz w:val="18"/>
                <w:szCs w:val="18"/>
                <w:lang w:val="en-GB"/>
              </w:rPr>
              <w:t xml:space="preserve"> </w:t>
            </w:r>
            <w:r w:rsidRPr="00F26A3E">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tcPr>
          <w:p w14:paraId="01B827ED" w14:textId="2877B757" w:rsidR="00841470" w:rsidRPr="00F26A3E" w:rsidRDefault="00841470" w:rsidP="00841470">
            <w:pPr>
              <w:jc w:val="center"/>
              <w:rPr>
                <w:rFonts w:ascii="Arial" w:hAnsi="Arial" w:cs="Arial"/>
                <w:color w:val="000000"/>
                <w:sz w:val="18"/>
                <w:szCs w:val="18"/>
                <w:lang w:val="en-GB"/>
              </w:rPr>
            </w:pPr>
            <w:r w:rsidRPr="00F26A3E">
              <w:rPr>
                <w:rFonts w:ascii="Arial" w:hAnsi="Arial" w:cs="Arial"/>
                <w:color w:val="000000"/>
                <w:sz w:val="18"/>
                <w:szCs w:val="18"/>
                <w:lang w:val="en-GB"/>
              </w:rPr>
              <w:t>Drum</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Brake</w:t>
            </w:r>
            <w:r w:rsidR="006B6676">
              <w:rPr>
                <w:rFonts w:ascii="Arial" w:hAnsi="Arial" w:cs="Arial"/>
                <w:color w:val="000000"/>
                <w:sz w:val="18"/>
                <w:szCs w:val="18"/>
                <w:lang w:val="en-GB"/>
              </w:rPr>
              <w:t xml:space="preserve"> </w:t>
            </w:r>
            <w:r>
              <w:rPr>
                <w:rFonts w:ascii="Arial" w:hAnsi="Arial" w:cs="Arial"/>
                <w:color w:val="000000"/>
                <w:sz w:val="18"/>
                <w:szCs w:val="18"/>
                <w:lang w:val="en-GB"/>
              </w:rPr>
              <w:br/>
            </w:r>
            <w:r w:rsidRPr="00F26A3E">
              <w:rPr>
                <w:rFonts w:ascii="Arial" w:hAnsi="Arial" w:cs="Arial"/>
                <w:color w:val="000000"/>
                <w:sz w:val="18"/>
                <w:szCs w:val="18"/>
                <w:lang w:val="en-GB"/>
              </w:rPr>
              <w:t>153</w:t>
            </w:r>
            <w:r w:rsidR="0012742E">
              <w:rPr>
                <w:rFonts w:ascii="Arial" w:hAnsi="Arial" w:cs="Arial"/>
                <w:color w:val="000000"/>
                <w:sz w:val="18"/>
                <w:szCs w:val="18"/>
                <w:lang w:val="en-GB"/>
              </w:rPr>
              <w:t xml:space="preserve"> </w:t>
            </w:r>
            <w:r w:rsidRPr="00F26A3E">
              <w:rPr>
                <w:rFonts w:ascii="Arial" w:hAnsi="Arial" w:cs="Arial"/>
                <w:color w:val="000000"/>
                <w:sz w:val="18"/>
                <w:szCs w:val="18"/>
                <w:lang w:val="en-GB"/>
              </w:rPr>
              <w:t>mm</w:t>
            </w:r>
          </w:p>
        </w:tc>
      </w:tr>
      <w:tr w:rsidR="00F268A5" w:rsidRPr="00F26A3E" w14:paraId="27E59646"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0B9E3E3B" w14:textId="7FE76E8B"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Seat</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Height</w:t>
            </w:r>
          </w:p>
        </w:tc>
        <w:tc>
          <w:tcPr>
            <w:tcW w:w="2520" w:type="dxa"/>
            <w:tcBorders>
              <w:top w:val="nil"/>
              <w:left w:val="nil"/>
              <w:bottom w:val="single" w:sz="4" w:space="0" w:color="auto"/>
              <w:right w:val="single" w:sz="4" w:space="0" w:color="auto"/>
            </w:tcBorders>
            <w:shd w:val="clear" w:color="auto" w:fill="auto"/>
            <w:hideMark/>
          </w:tcPr>
          <w:p w14:paraId="50C61332" w14:textId="48D0F81F"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750</w:t>
            </w:r>
            <w:r w:rsidR="0012742E">
              <w:rPr>
                <w:rFonts w:ascii="Arial" w:hAnsi="Arial" w:cs="Arial"/>
                <w:color w:val="000000"/>
                <w:sz w:val="18"/>
                <w:szCs w:val="18"/>
                <w:lang w:val="en-GB"/>
              </w:rPr>
              <w:t xml:space="preserve"> </w:t>
            </w:r>
            <w:r w:rsidR="003B0792">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hideMark/>
          </w:tcPr>
          <w:p w14:paraId="59DB385F" w14:textId="2FCE9879"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765</w:t>
            </w:r>
            <w:r w:rsidR="0012742E">
              <w:rPr>
                <w:rFonts w:ascii="Arial" w:hAnsi="Arial" w:cs="Arial"/>
                <w:color w:val="000000"/>
                <w:sz w:val="18"/>
                <w:szCs w:val="18"/>
                <w:lang w:val="en-GB"/>
              </w:rPr>
              <w:t xml:space="preserve"> </w:t>
            </w:r>
            <w:r w:rsidR="003B0792">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hideMark/>
          </w:tcPr>
          <w:p w14:paraId="4A0E7685" w14:textId="13C14293"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765</w:t>
            </w:r>
            <w:r w:rsidR="0012742E">
              <w:rPr>
                <w:rFonts w:ascii="Arial" w:hAnsi="Arial" w:cs="Arial"/>
                <w:color w:val="000000"/>
                <w:sz w:val="18"/>
                <w:szCs w:val="18"/>
                <w:lang w:val="en-GB"/>
              </w:rPr>
              <w:t xml:space="preserve"> </w:t>
            </w:r>
            <w:r w:rsidR="003B0792">
              <w:rPr>
                <w:rFonts w:ascii="Arial" w:hAnsi="Arial" w:cs="Arial"/>
                <w:color w:val="000000"/>
                <w:sz w:val="18"/>
                <w:szCs w:val="18"/>
                <w:lang w:val="en-GB"/>
              </w:rPr>
              <w:t>mm</w:t>
            </w:r>
          </w:p>
        </w:tc>
      </w:tr>
      <w:tr w:rsidR="00F268A5" w:rsidRPr="00F26A3E" w14:paraId="157CBFE0"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2DC2B99F" w14:textId="77777777"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Wheelbase</w:t>
            </w:r>
          </w:p>
        </w:tc>
        <w:tc>
          <w:tcPr>
            <w:tcW w:w="2520" w:type="dxa"/>
            <w:tcBorders>
              <w:top w:val="nil"/>
              <w:left w:val="nil"/>
              <w:bottom w:val="single" w:sz="4" w:space="0" w:color="auto"/>
              <w:right w:val="single" w:sz="4" w:space="0" w:color="auto"/>
            </w:tcBorders>
            <w:shd w:val="clear" w:color="auto" w:fill="auto"/>
            <w:hideMark/>
          </w:tcPr>
          <w:p w14:paraId="2257D976" w14:textId="05E54D3E"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w:t>
            </w:r>
            <w:r w:rsidR="00E76988">
              <w:rPr>
                <w:rFonts w:ascii="Arial" w:hAnsi="Arial" w:cs="Arial"/>
                <w:color w:val="000000"/>
                <w:sz w:val="18"/>
                <w:szCs w:val="18"/>
                <w:lang w:val="en-GB"/>
              </w:rPr>
              <w:t>,</w:t>
            </w:r>
            <w:r w:rsidRPr="00F26A3E">
              <w:rPr>
                <w:rFonts w:ascii="Arial" w:hAnsi="Arial" w:cs="Arial"/>
                <w:color w:val="000000"/>
                <w:sz w:val="18"/>
                <w:szCs w:val="18"/>
                <w:lang w:val="en-GB"/>
              </w:rPr>
              <w:t>485</w:t>
            </w:r>
            <w:r w:rsidR="0012742E">
              <w:rPr>
                <w:rFonts w:ascii="Arial" w:hAnsi="Arial" w:cs="Arial"/>
                <w:color w:val="000000"/>
                <w:sz w:val="18"/>
                <w:szCs w:val="18"/>
                <w:lang w:val="en-GB"/>
              </w:rPr>
              <w:t xml:space="preserve"> </w:t>
            </w:r>
            <w:r w:rsidR="003B0792">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hideMark/>
          </w:tcPr>
          <w:p w14:paraId="1F3E4F66" w14:textId="23BC3260"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w:t>
            </w:r>
            <w:r w:rsidR="00E76988">
              <w:rPr>
                <w:rFonts w:ascii="Arial" w:hAnsi="Arial" w:cs="Arial"/>
                <w:color w:val="000000"/>
                <w:sz w:val="18"/>
                <w:szCs w:val="18"/>
                <w:lang w:val="en-GB"/>
              </w:rPr>
              <w:t>,</w:t>
            </w:r>
            <w:r w:rsidRPr="00F26A3E">
              <w:rPr>
                <w:rFonts w:ascii="Arial" w:hAnsi="Arial" w:cs="Arial"/>
                <w:color w:val="000000"/>
                <w:sz w:val="18"/>
                <w:szCs w:val="18"/>
                <w:lang w:val="en-GB"/>
              </w:rPr>
              <w:t>369</w:t>
            </w:r>
            <w:r w:rsidR="0012742E">
              <w:rPr>
                <w:rFonts w:ascii="Arial" w:hAnsi="Arial" w:cs="Arial"/>
                <w:color w:val="000000"/>
                <w:sz w:val="18"/>
                <w:szCs w:val="18"/>
                <w:lang w:val="en-GB"/>
              </w:rPr>
              <w:t xml:space="preserve"> </w:t>
            </w:r>
            <w:r w:rsidR="003B0792">
              <w:rPr>
                <w:rFonts w:ascii="Arial" w:hAnsi="Arial" w:cs="Arial"/>
                <w:color w:val="000000"/>
                <w:sz w:val="18"/>
                <w:szCs w:val="18"/>
                <w:lang w:val="en-GB"/>
              </w:rPr>
              <w:t>mm</w:t>
            </w:r>
          </w:p>
        </w:tc>
        <w:tc>
          <w:tcPr>
            <w:tcW w:w="2610" w:type="dxa"/>
            <w:tcBorders>
              <w:top w:val="nil"/>
              <w:left w:val="nil"/>
              <w:bottom w:val="single" w:sz="4" w:space="0" w:color="auto"/>
              <w:right w:val="single" w:sz="4" w:space="0" w:color="auto"/>
            </w:tcBorders>
            <w:shd w:val="clear" w:color="auto" w:fill="auto"/>
            <w:hideMark/>
          </w:tcPr>
          <w:p w14:paraId="3478B321" w14:textId="7823BD31"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w:t>
            </w:r>
            <w:r w:rsidR="00E76988">
              <w:rPr>
                <w:rFonts w:ascii="Arial" w:hAnsi="Arial" w:cs="Arial"/>
                <w:color w:val="000000"/>
                <w:sz w:val="18"/>
                <w:szCs w:val="18"/>
                <w:lang w:val="en-GB"/>
              </w:rPr>
              <w:t>,</w:t>
            </w:r>
            <w:r w:rsidRPr="00F26A3E">
              <w:rPr>
                <w:rFonts w:ascii="Arial" w:hAnsi="Arial" w:cs="Arial"/>
                <w:color w:val="000000"/>
                <w:sz w:val="18"/>
                <w:szCs w:val="18"/>
                <w:lang w:val="en-GB"/>
              </w:rPr>
              <w:t>369</w:t>
            </w:r>
            <w:r w:rsidR="0012742E">
              <w:rPr>
                <w:rFonts w:ascii="Arial" w:hAnsi="Arial" w:cs="Arial"/>
                <w:color w:val="000000"/>
                <w:sz w:val="18"/>
                <w:szCs w:val="18"/>
                <w:lang w:val="en-GB"/>
              </w:rPr>
              <w:t xml:space="preserve"> </w:t>
            </w:r>
            <w:r w:rsidR="003B0792">
              <w:rPr>
                <w:rFonts w:ascii="Arial" w:hAnsi="Arial" w:cs="Arial"/>
                <w:color w:val="000000"/>
                <w:sz w:val="18"/>
                <w:szCs w:val="18"/>
                <w:lang w:val="en-GB"/>
              </w:rPr>
              <w:t>mm</w:t>
            </w:r>
          </w:p>
        </w:tc>
      </w:tr>
      <w:tr w:rsidR="00F268A5" w:rsidRPr="00F26A3E" w14:paraId="7FC6B3F0"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6DD9A168" w14:textId="57A11DAA"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Kerb</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Weight</w:t>
            </w:r>
          </w:p>
        </w:tc>
        <w:tc>
          <w:tcPr>
            <w:tcW w:w="2520" w:type="dxa"/>
            <w:tcBorders>
              <w:top w:val="nil"/>
              <w:left w:val="nil"/>
              <w:bottom w:val="single" w:sz="4" w:space="0" w:color="auto"/>
              <w:right w:val="single" w:sz="4" w:space="0" w:color="auto"/>
            </w:tcBorders>
            <w:shd w:val="clear" w:color="auto" w:fill="auto"/>
            <w:hideMark/>
          </w:tcPr>
          <w:p w14:paraId="5111F2FD" w14:textId="0F77FB26"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179</w:t>
            </w:r>
            <w:r w:rsidR="006B6676">
              <w:rPr>
                <w:rFonts w:ascii="Arial" w:hAnsi="Arial" w:cs="Arial"/>
                <w:color w:val="000000"/>
                <w:sz w:val="18"/>
                <w:szCs w:val="18"/>
                <w:lang w:val="en-GB"/>
              </w:rPr>
              <w:t xml:space="preserve"> </w:t>
            </w:r>
            <w:r w:rsidR="003B0792">
              <w:rPr>
                <w:rFonts w:ascii="Arial" w:hAnsi="Arial" w:cs="Arial"/>
                <w:color w:val="000000"/>
                <w:sz w:val="18"/>
                <w:szCs w:val="18"/>
                <w:lang w:val="en-GB"/>
              </w:rPr>
              <w:t>kg</w:t>
            </w:r>
          </w:p>
        </w:tc>
        <w:tc>
          <w:tcPr>
            <w:tcW w:w="2610" w:type="dxa"/>
            <w:tcBorders>
              <w:top w:val="nil"/>
              <w:left w:val="nil"/>
              <w:bottom w:val="single" w:sz="4" w:space="0" w:color="auto"/>
              <w:right w:val="single" w:sz="4" w:space="0" w:color="auto"/>
            </w:tcBorders>
            <w:shd w:val="clear" w:color="auto" w:fill="auto"/>
            <w:hideMark/>
          </w:tcPr>
          <w:p w14:paraId="38A3B671" w14:textId="2A6F9E05"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170</w:t>
            </w:r>
            <w:r w:rsidR="006B6676">
              <w:rPr>
                <w:rFonts w:ascii="Arial" w:hAnsi="Arial" w:cs="Arial"/>
                <w:color w:val="000000"/>
                <w:sz w:val="18"/>
                <w:szCs w:val="18"/>
                <w:lang w:val="en-GB"/>
              </w:rPr>
              <w:t xml:space="preserve"> </w:t>
            </w:r>
            <w:r w:rsidR="003B0792">
              <w:rPr>
                <w:rFonts w:ascii="Arial" w:hAnsi="Arial" w:cs="Arial"/>
                <w:color w:val="000000"/>
                <w:sz w:val="18"/>
                <w:szCs w:val="18"/>
                <w:lang w:val="en-GB"/>
              </w:rPr>
              <w:t>kg</w:t>
            </w:r>
          </w:p>
        </w:tc>
        <w:tc>
          <w:tcPr>
            <w:tcW w:w="2610" w:type="dxa"/>
            <w:tcBorders>
              <w:top w:val="nil"/>
              <w:left w:val="nil"/>
              <w:bottom w:val="single" w:sz="4" w:space="0" w:color="auto"/>
              <w:right w:val="single" w:sz="4" w:space="0" w:color="auto"/>
            </w:tcBorders>
            <w:shd w:val="clear" w:color="auto" w:fill="auto"/>
            <w:hideMark/>
          </w:tcPr>
          <w:p w14:paraId="7B9AE16B" w14:textId="0C1EC3D9"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170</w:t>
            </w:r>
            <w:r w:rsidR="006B6676">
              <w:rPr>
                <w:rFonts w:ascii="Arial" w:hAnsi="Arial" w:cs="Arial"/>
                <w:color w:val="000000"/>
                <w:sz w:val="18"/>
                <w:szCs w:val="18"/>
                <w:lang w:val="en-GB"/>
              </w:rPr>
              <w:t xml:space="preserve"> </w:t>
            </w:r>
            <w:r w:rsidR="003B0792">
              <w:rPr>
                <w:rFonts w:ascii="Arial" w:hAnsi="Arial" w:cs="Arial"/>
                <w:color w:val="000000"/>
                <w:sz w:val="18"/>
                <w:szCs w:val="18"/>
                <w:lang w:val="en-GB"/>
              </w:rPr>
              <w:t>kg</w:t>
            </w:r>
          </w:p>
        </w:tc>
      </w:tr>
      <w:tr w:rsidR="00F268A5" w:rsidRPr="00F26A3E" w14:paraId="2F0330CF"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04F1F7F3" w14:textId="69F3C459"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Tank</w:t>
            </w:r>
            <w:r w:rsidR="006B6676">
              <w:rPr>
                <w:rFonts w:ascii="Arial" w:hAnsi="Arial" w:cs="Arial"/>
                <w:b/>
                <w:bCs/>
                <w:color w:val="000000"/>
                <w:sz w:val="18"/>
                <w:szCs w:val="18"/>
                <w:lang w:val="en-GB"/>
              </w:rPr>
              <w:t xml:space="preserve"> </w:t>
            </w:r>
            <w:r w:rsidRPr="00F26A3E">
              <w:rPr>
                <w:rFonts w:ascii="Arial" w:hAnsi="Arial" w:cs="Arial"/>
                <w:b/>
                <w:bCs/>
                <w:color w:val="000000"/>
                <w:sz w:val="18"/>
                <w:szCs w:val="18"/>
                <w:lang w:val="en-GB"/>
              </w:rPr>
              <w:t>Capacity</w:t>
            </w:r>
          </w:p>
        </w:tc>
        <w:tc>
          <w:tcPr>
            <w:tcW w:w="2520" w:type="dxa"/>
            <w:tcBorders>
              <w:top w:val="nil"/>
              <w:left w:val="nil"/>
              <w:bottom w:val="single" w:sz="4" w:space="0" w:color="auto"/>
              <w:right w:val="single" w:sz="4" w:space="0" w:color="auto"/>
            </w:tcBorders>
            <w:shd w:val="clear" w:color="auto" w:fill="auto"/>
            <w:hideMark/>
          </w:tcPr>
          <w:p w14:paraId="51C1DF32" w14:textId="4037279F"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14</w:t>
            </w:r>
            <w:r w:rsidR="0012742E">
              <w:rPr>
                <w:rFonts w:ascii="Arial" w:hAnsi="Arial" w:cs="Arial"/>
                <w:color w:val="000000"/>
                <w:sz w:val="18"/>
                <w:szCs w:val="18"/>
                <w:lang w:val="en-GB"/>
              </w:rPr>
              <w:t xml:space="preserve"> </w:t>
            </w:r>
            <w:r w:rsidRPr="00F26A3E">
              <w:rPr>
                <w:rFonts w:ascii="Arial" w:hAnsi="Arial" w:cs="Arial"/>
                <w:color w:val="000000"/>
                <w:sz w:val="18"/>
                <w:szCs w:val="18"/>
                <w:lang w:val="en-GB"/>
              </w:rPr>
              <w:t>L</w:t>
            </w:r>
            <w:r w:rsidR="006C1CAC">
              <w:rPr>
                <w:rFonts w:ascii="Arial" w:hAnsi="Arial" w:cs="Arial"/>
                <w:color w:val="000000"/>
                <w:sz w:val="18"/>
                <w:szCs w:val="18"/>
                <w:lang w:val="en-GB"/>
              </w:rPr>
              <w:t>itre</w:t>
            </w:r>
            <w:r w:rsidR="00E76988">
              <w:rPr>
                <w:rFonts w:ascii="Arial" w:hAnsi="Arial" w:cs="Arial"/>
                <w:color w:val="000000"/>
                <w:sz w:val="18"/>
                <w:szCs w:val="18"/>
                <w:lang w:val="en-GB"/>
              </w:rPr>
              <w:t>s</w:t>
            </w:r>
          </w:p>
        </w:tc>
        <w:tc>
          <w:tcPr>
            <w:tcW w:w="2610" w:type="dxa"/>
            <w:tcBorders>
              <w:top w:val="nil"/>
              <w:left w:val="nil"/>
              <w:bottom w:val="single" w:sz="4" w:space="0" w:color="auto"/>
              <w:right w:val="single" w:sz="4" w:space="0" w:color="auto"/>
            </w:tcBorders>
            <w:shd w:val="clear" w:color="auto" w:fill="auto"/>
            <w:hideMark/>
          </w:tcPr>
          <w:p w14:paraId="159C6AAA" w14:textId="1EF7DD06"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14</w:t>
            </w:r>
            <w:r w:rsidR="0012742E">
              <w:rPr>
                <w:rFonts w:ascii="Arial" w:hAnsi="Arial" w:cs="Arial"/>
                <w:color w:val="000000"/>
                <w:sz w:val="18"/>
                <w:szCs w:val="18"/>
                <w:lang w:val="en-GB"/>
              </w:rPr>
              <w:t xml:space="preserve"> </w:t>
            </w:r>
            <w:r w:rsidRPr="00F26A3E">
              <w:rPr>
                <w:rFonts w:ascii="Arial" w:hAnsi="Arial" w:cs="Arial"/>
                <w:color w:val="000000"/>
                <w:sz w:val="18"/>
                <w:szCs w:val="18"/>
                <w:lang w:val="en-GB"/>
              </w:rPr>
              <w:t>L</w:t>
            </w:r>
            <w:r w:rsidR="006C1CAC">
              <w:rPr>
                <w:rFonts w:ascii="Arial" w:hAnsi="Arial" w:cs="Arial"/>
                <w:color w:val="000000"/>
                <w:sz w:val="18"/>
                <w:szCs w:val="18"/>
                <w:lang w:val="en-GB"/>
              </w:rPr>
              <w:t>itre</w:t>
            </w:r>
            <w:r w:rsidR="00E76988">
              <w:rPr>
                <w:rFonts w:ascii="Arial" w:hAnsi="Arial" w:cs="Arial"/>
                <w:color w:val="000000"/>
                <w:sz w:val="18"/>
                <w:szCs w:val="18"/>
                <w:lang w:val="en-GB"/>
              </w:rPr>
              <w:t>s</w:t>
            </w:r>
          </w:p>
        </w:tc>
        <w:tc>
          <w:tcPr>
            <w:tcW w:w="2610" w:type="dxa"/>
            <w:tcBorders>
              <w:top w:val="nil"/>
              <w:left w:val="nil"/>
              <w:bottom w:val="single" w:sz="4" w:space="0" w:color="auto"/>
              <w:right w:val="single" w:sz="4" w:space="0" w:color="auto"/>
            </w:tcBorders>
            <w:shd w:val="clear" w:color="auto" w:fill="auto"/>
            <w:hideMark/>
          </w:tcPr>
          <w:p w14:paraId="2CB4CC02" w14:textId="25E6F5FD"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14</w:t>
            </w:r>
            <w:r w:rsidR="0012742E">
              <w:rPr>
                <w:rFonts w:ascii="Arial" w:hAnsi="Arial" w:cs="Arial"/>
                <w:color w:val="000000"/>
                <w:sz w:val="18"/>
                <w:szCs w:val="18"/>
                <w:lang w:val="en-GB"/>
              </w:rPr>
              <w:t xml:space="preserve"> </w:t>
            </w:r>
            <w:r w:rsidRPr="00F26A3E">
              <w:rPr>
                <w:rFonts w:ascii="Arial" w:hAnsi="Arial" w:cs="Arial"/>
                <w:color w:val="000000"/>
                <w:sz w:val="18"/>
                <w:szCs w:val="18"/>
                <w:lang w:val="en-GB"/>
              </w:rPr>
              <w:t>L</w:t>
            </w:r>
            <w:r w:rsidR="006C1CAC">
              <w:rPr>
                <w:rFonts w:ascii="Arial" w:hAnsi="Arial" w:cs="Arial"/>
                <w:color w:val="000000"/>
                <w:sz w:val="18"/>
                <w:szCs w:val="18"/>
                <w:lang w:val="en-GB"/>
              </w:rPr>
              <w:t>itre</w:t>
            </w:r>
            <w:r w:rsidR="00E76988">
              <w:rPr>
                <w:rFonts w:ascii="Arial" w:hAnsi="Arial" w:cs="Arial"/>
                <w:color w:val="000000"/>
                <w:sz w:val="18"/>
                <w:szCs w:val="18"/>
                <w:lang w:val="en-GB"/>
              </w:rPr>
              <w:t>s</w:t>
            </w:r>
          </w:p>
        </w:tc>
      </w:tr>
      <w:tr w:rsidR="00F268A5" w:rsidRPr="00F26A3E" w14:paraId="5125206A"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28744500" w14:textId="3FCC043C"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Colo</w:t>
            </w:r>
            <w:r w:rsidR="006C1CAC">
              <w:rPr>
                <w:rFonts w:ascii="Arial" w:hAnsi="Arial" w:cs="Arial"/>
                <w:b/>
                <w:bCs/>
                <w:color w:val="000000"/>
                <w:sz w:val="18"/>
                <w:szCs w:val="18"/>
                <w:lang w:val="en-GB"/>
              </w:rPr>
              <w:t>u</w:t>
            </w:r>
            <w:r w:rsidRPr="00F26A3E">
              <w:rPr>
                <w:rFonts w:ascii="Arial" w:hAnsi="Arial" w:cs="Arial"/>
                <w:b/>
                <w:bCs/>
                <w:color w:val="000000"/>
                <w:sz w:val="18"/>
                <w:szCs w:val="18"/>
                <w:lang w:val="en-GB"/>
              </w:rPr>
              <w:t>rs</w:t>
            </w:r>
            <w:r w:rsidR="006B6676">
              <w:rPr>
                <w:rFonts w:ascii="Arial" w:hAnsi="Arial" w:cs="Arial"/>
                <w:b/>
                <w:bCs/>
                <w:color w:val="000000"/>
                <w:sz w:val="18"/>
                <w:szCs w:val="18"/>
                <w:lang w:val="en-GB"/>
              </w:rPr>
              <w:t xml:space="preserve"> </w:t>
            </w:r>
            <w:r w:rsidR="006C1CAC">
              <w:rPr>
                <w:rFonts w:ascii="Arial" w:hAnsi="Arial" w:cs="Arial"/>
                <w:b/>
                <w:bCs/>
                <w:color w:val="000000"/>
                <w:sz w:val="18"/>
                <w:szCs w:val="18"/>
                <w:lang w:val="en-GB"/>
              </w:rPr>
              <w:t>(Number)</w:t>
            </w:r>
          </w:p>
        </w:tc>
        <w:tc>
          <w:tcPr>
            <w:tcW w:w="2520" w:type="dxa"/>
            <w:tcBorders>
              <w:top w:val="nil"/>
              <w:left w:val="nil"/>
              <w:bottom w:val="single" w:sz="4" w:space="0" w:color="auto"/>
              <w:right w:val="single" w:sz="4" w:space="0" w:color="auto"/>
            </w:tcBorders>
            <w:shd w:val="clear" w:color="auto" w:fill="auto"/>
            <w:noWrap/>
            <w:hideMark/>
          </w:tcPr>
          <w:p w14:paraId="0F87D5A3"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1</w:t>
            </w:r>
          </w:p>
        </w:tc>
        <w:tc>
          <w:tcPr>
            <w:tcW w:w="2610" w:type="dxa"/>
            <w:tcBorders>
              <w:top w:val="nil"/>
              <w:left w:val="nil"/>
              <w:bottom w:val="single" w:sz="4" w:space="0" w:color="auto"/>
              <w:right w:val="single" w:sz="4" w:space="0" w:color="auto"/>
            </w:tcBorders>
            <w:shd w:val="clear" w:color="auto" w:fill="auto"/>
            <w:hideMark/>
          </w:tcPr>
          <w:p w14:paraId="691B9060"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3</w:t>
            </w:r>
          </w:p>
        </w:tc>
        <w:tc>
          <w:tcPr>
            <w:tcW w:w="2610" w:type="dxa"/>
            <w:tcBorders>
              <w:top w:val="nil"/>
              <w:left w:val="nil"/>
              <w:bottom w:val="single" w:sz="4" w:space="0" w:color="auto"/>
              <w:right w:val="single" w:sz="4" w:space="0" w:color="auto"/>
            </w:tcBorders>
            <w:shd w:val="clear" w:color="auto" w:fill="auto"/>
            <w:noWrap/>
            <w:hideMark/>
          </w:tcPr>
          <w:p w14:paraId="617E9B9F"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6</w:t>
            </w:r>
          </w:p>
        </w:tc>
      </w:tr>
      <w:tr w:rsidR="00F268A5" w:rsidRPr="00F26A3E" w14:paraId="1FB7D4DB" w14:textId="77777777" w:rsidTr="00995787">
        <w:trPr>
          <w:trHeight w:val="70"/>
          <w:tblHeader/>
          <w:jc w:val="center"/>
        </w:trPr>
        <w:tc>
          <w:tcPr>
            <w:tcW w:w="1705" w:type="dxa"/>
            <w:tcBorders>
              <w:top w:val="nil"/>
              <w:left w:val="single" w:sz="4" w:space="0" w:color="auto"/>
              <w:bottom w:val="single" w:sz="4" w:space="0" w:color="auto"/>
              <w:right w:val="single" w:sz="4" w:space="0" w:color="auto"/>
            </w:tcBorders>
            <w:shd w:val="clear" w:color="auto" w:fill="auto"/>
            <w:noWrap/>
            <w:hideMark/>
          </w:tcPr>
          <w:p w14:paraId="185973CD" w14:textId="63D0AA7C" w:rsidR="00F268A5" w:rsidRPr="00F26A3E" w:rsidRDefault="00F268A5" w:rsidP="00F268A5">
            <w:pPr>
              <w:rPr>
                <w:rFonts w:ascii="Arial" w:hAnsi="Arial" w:cs="Arial"/>
                <w:b/>
                <w:bCs/>
                <w:color w:val="000000"/>
                <w:sz w:val="18"/>
                <w:szCs w:val="18"/>
                <w:lang w:val="en-GB"/>
              </w:rPr>
            </w:pPr>
            <w:r w:rsidRPr="00F26A3E">
              <w:rPr>
                <w:rFonts w:ascii="Arial" w:hAnsi="Arial" w:cs="Arial"/>
                <w:b/>
                <w:bCs/>
                <w:color w:val="000000"/>
                <w:sz w:val="18"/>
                <w:szCs w:val="18"/>
                <w:lang w:val="en-GB"/>
              </w:rPr>
              <w:t>Colo</w:t>
            </w:r>
            <w:r w:rsidR="006C1CAC">
              <w:rPr>
                <w:rFonts w:ascii="Arial" w:hAnsi="Arial" w:cs="Arial"/>
                <w:b/>
                <w:bCs/>
                <w:color w:val="000000"/>
                <w:sz w:val="18"/>
                <w:szCs w:val="18"/>
                <w:lang w:val="en-GB"/>
              </w:rPr>
              <w:t>u</w:t>
            </w:r>
            <w:r w:rsidRPr="00F26A3E">
              <w:rPr>
                <w:rFonts w:ascii="Arial" w:hAnsi="Arial" w:cs="Arial"/>
                <w:b/>
                <w:bCs/>
                <w:color w:val="000000"/>
                <w:sz w:val="18"/>
                <w:szCs w:val="18"/>
                <w:lang w:val="en-GB"/>
              </w:rPr>
              <w:t>rs</w:t>
            </w:r>
            <w:r w:rsidR="006B6676">
              <w:rPr>
                <w:rFonts w:ascii="Arial" w:hAnsi="Arial" w:cs="Arial"/>
                <w:b/>
                <w:bCs/>
                <w:color w:val="000000"/>
                <w:sz w:val="18"/>
                <w:szCs w:val="18"/>
                <w:lang w:val="en-GB"/>
              </w:rPr>
              <w:t xml:space="preserve"> </w:t>
            </w:r>
            <w:r w:rsidR="006C1CAC">
              <w:rPr>
                <w:rFonts w:ascii="Arial" w:hAnsi="Arial" w:cs="Arial"/>
                <w:b/>
                <w:bCs/>
                <w:color w:val="000000"/>
                <w:sz w:val="18"/>
                <w:szCs w:val="18"/>
                <w:lang w:val="en-GB"/>
              </w:rPr>
              <w:t>(Type)</w:t>
            </w:r>
          </w:p>
        </w:tc>
        <w:tc>
          <w:tcPr>
            <w:tcW w:w="2520" w:type="dxa"/>
            <w:tcBorders>
              <w:top w:val="nil"/>
              <w:left w:val="nil"/>
              <w:bottom w:val="single" w:sz="4" w:space="0" w:color="auto"/>
              <w:right w:val="single" w:sz="4" w:space="0" w:color="auto"/>
            </w:tcBorders>
            <w:shd w:val="clear" w:color="auto" w:fill="auto"/>
            <w:noWrap/>
            <w:hideMark/>
          </w:tcPr>
          <w:p w14:paraId="3ABC4B87" w14:textId="77777777"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Black</w:t>
            </w:r>
          </w:p>
        </w:tc>
        <w:tc>
          <w:tcPr>
            <w:tcW w:w="2610" w:type="dxa"/>
            <w:tcBorders>
              <w:top w:val="nil"/>
              <w:left w:val="nil"/>
              <w:bottom w:val="single" w:sz="4" w:space="0" w:color="auto"/>
              <w:right w:val="single" w:sz="4" w:space="0" w:color="auto"/>
            </w:tcBorders>
            <w:shd w:val="clear" w:color="auto" w:fill="auto"/>
            <w:hideMark/>
          </w:tcPr>
          <w:p w14:paraId="64AA3B87" w14:textId="6CD1E2DF"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Marron,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Grey,</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Black</w:t>
            </w:r>
          </w:p>
        </w:tc>
        <w:tc>
          <w:tcPr>
            <w:tcW w:w="2610" w:type="dxa"/>
            <w:tcBorders>
              <w:top w:val="nil"/>
              <w:left w:val="nil"/>
              <w:bottom w:val="single" w:sz="4" w:space="0" w:color="auto"/>
              <w:right w:val="single" w:sz="4" w:space="0" w:color="auto"/>
            </w:tcBorders>
            <w:shd w:val="clear" w:color="auto" w:fill="auto"/>
            <w:hideMark/>
          </w:tcPr>
          <w:p w14:paraId="71BAA0CD" w14:textId="0202954E" w:rsidR="00F268A5" w:rsidRPr="00F26A3E" w:rsidRDefault="00F268A5" w:rsidP="00F268A5">
            <w:pPr>
              <w:jc w:val="center"/>
              <w:rPr>
                <w:rFonts w:ascii="Arial" w:hAnsi="Arial" w:cs="Arial"/>
                <w:color w:val="000000"/>
                <w:sz w:val="18"/>
                <w:szCs w:val="18"/>
                <w:lang w:val="en-GB"/>
              </w:rPr>
            </w:pPr>
            <w:r w:rsidRPr="00F26A3E">
              <w:rPr>
                <w:rFonts w:ascii="Arial" w:hAnsi="Arial" w:cs="Arial"/>
                <w:color w:val="000000"/>
                <w:sz w:val="18"/>
                <w:szCs w:val="18"/>
                <w:lang w:val="en-GB"/>
              </w:rPr>
              <w:t>Galactic</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Green,</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Halley's</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Teal,</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Lumos</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Lime,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Starlight</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Blue,</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Comet</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Red,</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Nebula</w:t>
            </w:r>
            <w:r w:rsidR="006B6676">
              <w:rPr>
                <w:rFonts w:ascii="Arial" w:hAnsi="Arial" w:cs="Arial"/>
                <w:color w:val="000000"/>
                <w:sz w:val="18"/>
                <w:szCs w:val="18"/>
                <w:lang w:val="en-GB"/>
              </w:rPr>
              <w:t xml:space="preserve"> </w:t>
            </w:r>
            <w:r w:rsidRPr="00F26A3E">
              <w:rPr>
                <w:rFonts w:ascii="Arial" w:hAnsi="Arial" w:cs="Arial"/>
                <w:color w:val="000000"/>
                <w:sz w:val="18"/>
                <w:szCs w:val="18"/>
                <w:lang w:val="en-GB"/>
              </w:rPr>
              <w:t>Blue</w:t>
            </w:r>
          </w:p>
        </w:tc>
      </w:tr>
    </w:tbl>
    <w:p w14:paraId="6A6D9D1D" w14:textId="77777777" w:rsidR="00F268A5" w:rsidRPr="00F26A3E" w:rsidRDefault="00F268A5" w:rsidP="00F268A5">
      <w:pPr>
        <w:pStyle w:val="BodyTextMain"/>
        <w:rPr>
          <w:lang w:val="en-GB"/>
        </w:rPr>
      </w:pPr>
    </w:p>
    <w:p w14:paraId="0A314D49" w14:textId="13C5A9D1" w:rsidR="006C1CAC" w:rsidRDefault="006C1CAC" w:rsidP="006C1CAC">
      <w:pPr>
        <w:jc w:val="both"/>
        <w:rPr>
          <w:rFonts w:ascii="Arial" w:hAnsi="Arial" w:cs="Arial"/>
          <w:sz w:val="17"/>
          <w:szCs w:val="17"/>
          <w:lang w:val="en-GB"/>
        </w:rPr>
      </w:pPr>
      <w:r>
        <w:rPr>
          <w:rFonts w:ascii="Arial" w:hAnsi="Arial" w:cs="Arial"/>
          <w:sz w:val="17"/>
          <w:szCs w:val="17"/>
          <w:lang w:val="en-GB"/>
        </w:rPr>
        <w:t>Not</w:t>
      </w:r>
      <w:r w:rsidRPr="00F26A3E">
        <w:rPr>
          <w:rFonts w:ascii="Arial" w:hAnsi="Arial" w:cs="Arial"/>
          <w:sz w:val="17"/>
          <w:szCs w:val="17"/>
          <w:lang w:val="en-GB"/>
        </w:rPr>
        <w:t>e:</w:t>
      </w:r>
      <w:r w:rsidR="006B6676">
        <w:rPr>
          <w:rFonts w:ascii="Arial" w:hAnsi="Arial" w:cs="Arial"/>
          <w:sz w:val="17"/>
          <w:szCs w:val="17"/>
          <w:lang w:val="en-GB"/>
        </w:rPr>
        <w:t xml:space="preserve"> </w:t>
      </w:r>
      <w:r w:rsidRPr="00F26A3E">
        <w:rPr>
          <w:rFonts w:ascii="Arial" w:hAnsi="Arial" w:cs="Arial"/>
          <w:sz w:val="17"/>
          <w:szCs w:val="17"/>
          <w:lang w:val="en-GB"/>
        </w:rPr>
        <w:t>*</w:t>
      </w:r>
      <w:r w:rsidR="00A93740" w:rsidRPr="00F26A3E">
        <w:rPr>
          <w:rFonts w:ascii="Arial" w:hAnsi="Arial" w:cs="Arial"/>
          <w:sz w:val="17"/>
          <w:szCs w:val="17"/>
          <w:lang w:val="en-GB"/>
        </w:rPr>
        <w:t>price</w:t>
      </w:r>
      <w:r w:rsidR="00A93740">
        <w:rPr>
          <w:rFonts w:ascii="Arial" w:hAnsi="Arial" w:cs="Arial"/>
          <w:sz w:val="17"/>
          <w:szCs w:val="17"/>
          <w:lang w:val="en-GB"/>
        </w:rPr>
        <w:t>s</w:t>
      </w:r>
      <w:r w:rsidR="006B6676">
        <w:rPr>
          <w:rFonts w:ascii="Arial" w:hAnsi="Arial" w:cs="Arial"/>
          <w:sz w:val="17"/>
          <w:szCs w:val="17"/>
          <w:lang w:val="en-GB"/>
        </w:rPr>
        <w:t xml:space="preserve"> </w:t>
      </w:r>
      <w:r w:rsidR="00A93740">
        <w:rPr>
          <w:rFonts w:ascii="Arial" w:hAnsi="Arial" w:cs="Arial"/>
          <w:sz w:val="17"/>
          <w:szCs w:val="17"/>
          <w:lang w:val="en-GB"/>
        </w:rPr>
        <w:t>can</w:t>
      </w:r>
      <w:r w:rsidR="006B6676">
        <w:rPr>
          <w:rFonts w:ascii="Arial" w:hAnsi="Arial" w:cs="Arial"/>
          <w:sz w:val="17"/>
          <w:szCs w:val="17"/>
          <w:lang w:val="en-GB"/>
        </w:rPr>
        <w:t xml:space="preserve"> </w:t>
      </w:r>
      <w:r w:rsidRPr="00F26A3E">
        <w:rPr>
          <w:rFonts w:ascii="Arial" w:hAnsi="Arial" w:cs="Arial"/>
          <w:sz w:val="17"/>
          <w:szCs w:val="17"/>
          <w:lang w:val="en-GB"/>
        </w:rPr>
        <w:t>vary</w:t>
      </w:r>
      <w:r w:rsidR="006B6676">
        <w:rPr>
          <w:rFonts w:ascii="Arial" w:hAnsi="Arial" w:cs="Arial"/>
          <w:sz w:val="17"/>
          <w:szCs w:val="17"/>
          <w:lang w:val="en-GB"/>
        </w:rPr>
        <w:t xml:space="preserve"> </w:t>
      </w:r>
      <w:r w:rsidRPr="00F26A3E">
        <w:rPr>
          <w:rFonts w:ascii="Arial" w:hAnsi="Arial" w:cs="Arial"/>
          <w:sz w:val="17"/>
          <w:szCs w:val="17"/>
          <w:lang w:val="en-GB"/>
        </w:rPr>
        <w:t>with</w:t>
      </w:r>
      <w:r w:rsidR="006B6676">
        <w:rPr>
          <w:rFonts w:ascii="Arial" w:hAnsi="Arial" w:cs="Arial"/>
          <w:sz w:val="17"/>
          <w:szCs w:val="17"/>
          <w:lang w:val="en-GB"/>
        </w:rPr>
        <w:t xml:space="preserve"> </w:t>
      </w:r>
      <w:r>
        <w:rPr>
          <w:rFonts w:ascii="Arial" w:hAnsi="Arial" w:cs="Arial"/>
          <w:sz w:val="17"/>
          <w:szCs w:val="17"/>
          <w:lang w:val="en-GB"/>
        </w:rPr>
        <w:t>time</w:t>
      </w:r>
      <w:r w:rsidR="006B6676">
        <w:rPr>
          <w:rFonts w:ascii="Arial" w:hAnsi="Arial" w:cs="Arial"/>
          <w:sz w:val="17"/>
          <w:szCs w:val="17"/>
          <w:lang w:val="en-GB"/>
        </w:rPr>
        <w:t xml:space="preserve"> </w:t>
      </w:r>
      <w:r>
        <w:rPr>
          <w:rFonts w:ascii="Arial" w:hAnsi="Arial" w:cs="Arial"/>
          <w:sz w:val="17"/>
          <w:szCs w:val="17"/>
          <w:lang w:val="en-GB"/>
        </w:rPr>
        <w:t>and</w:t>
      </w:r>
      <w:r w:rsidR="006B6676">
        <w:rPr>
          <w:rFonts w:ascii="Arial" w:hAnsi="Arial" w:cs="Arial"/>
          <w:sz w:val="17"/>
          <w:szCs w:val="17"/>
          <w:lang w:val="en-GB"/>
        </w:rPr>
        <w:t xml:space="preserve"> </w:t>
      </w:r>
      <w:r>
        <w:rPr>
          <w:rFonts w:ascii="Arial" w:hAnsi="Arial" w:cs="Arial"/>
          <w:sz w:val="17"/>
          <w:szCs w:val="17"/>
          <w:lang w:val="en-GB"/>
        </w:rPr>
        <w:t>with</w:t>
      </w:r>
      <w:r w:rsidR="006B6676">
        <w:rPr>
          <w:rFonts w:ascii="Arial" w:hAnsi="Arial" w:cs="Arial"/>
          <w:sz w:val="17"/>
          <w:szCs w:val="17"/>
          <w:lang w:val="en-GB"/>
        </w:rPr>
        <w:t xml:space="preserve"> </w:t>
      </w:r>
      <w:r>
        <w:rPr>
          <w:rFonts w:ascii="Arial" w:hAnsi="Arial" w:cs="Arial"/>
          <w:sz w:val="17"/>
          <w:szCs w:val="17"/>
          <w:lang w:val="en-GB"/>
        </w:rPr>
        <w:t>model</w:t>
      </w:r>
      <w:r w:rsidR="006B6676">
        <w:rPr>
          <w:rFonts w:ascii="Arial" w:hAnsi="Arial" w:cs="Arial"/>
          <w:sz w:val="17"/>
          <w:szCs w:val="17"/>
          <w:lang w:val="en-GB"/>
        </w:rPr>
        <w:t xml:space="preserve"> </w:t>
      </w:r>
      <w:r w:rsidRPr="00F26A3E">
        <w:rPr>
          <w:rFonts w:ascii="Arial" w:hAnsi="Arial" w:cs="Arial"/>
          <w:sz w:val="17"/>
          <w:szCs w:val="17"/>
          <w:lang w:val="en-GB"/>
        </w:rPr>
        <w:t>variant</w:t>
      </w:r>
      <w:r>
        <w:rPr>
          <w:rFonts w:ascii="Arial" w:hAnsi="Arial" w:cs="Arial"/>
          <w:sz w:val="17"/>
          <w:szCs w:val="17"/>
          <w:lang w:val="en-GB"/>
        </w:rPr>
        <w:t>s</w:t>
      </w:r>
      <w:r w:rsidR="00E76988">
        <w:rPr>
          <w:rFonts w:ascii="Arial" w:hAnsi="Arial" w:cs="Arial"/>
          <w:sz w:val="17"/>
          <w:szCs w:val="17"/>
          <w:lang w:val="en-GB"/>
        </w:rPr>
        <w:t>;</w:t>
      </w:r>
      <w:r w:rsidR="006B6676">
        <w:rPr>
          <w:rFonts w:ascii="Arial" w:hAnsi="Arial" w:cs="Arial"/>
          <w:sz w:val="17"/>
          <w:szCs w:val="17"/>
          <w:lang w:val="en-GB"/>
        </w:rPr>
        <w:t xml:space="preserve"> </w:t>
      </w:r>
      <w:r w:rsidR="00E76988">
        <w:rPr>
          <w:rFonts w:ascii="Arial" w:hAnsi="Arial" w:cs="Arial"/>
          <w:sz w:val="17"/>
          <w:szCs w:val="17"/>
          <w:lang w:val="en-GB"/>
        </w:rPr>
        <w:t>₹</w:t>
      </w:r>
      <w:r w:rsidR="006B6676">
        <w:rPr>
          <w:rFonts w:ascii="Arial" w:hAnsi="Arial" w:cs="Arial"/>
          <w:sz w:val="17"/>
          <w:szCs w:val="17"/>
          <w:lang w:val="en-GB"/>
        </w:rPr>
        <w:t xml:space="preserve"> </w:t>
      </w:r>
      <w:r w:rsidR="00E76988">
        <w:rPr>
          <w:rFonts w:ascii="Arial" w:hAnsi="Arial" w:cs="Arial"/>
          <w:sz w:val="17"/>
          <w:szCs w:val="17"/>
          <w:lang w:val="en-GB"/>
        </w:rPr>
        <w:t>=</w:t>
      </w:r>
      <w:r w:rsidR="006B6676">
        <w:rPr>
          <w:rFonts w:ascii="Arial" w:hAnsi="Arial" w:cs="Arial"/>
          <w:sz w:val="17"/>
          <w:szCs w:val="17"/>
          <w:lang w:val="en-GB"/>
        </w:rPr>
        <w:t xml:space="preserve"> </w:t>
      </w:r>
      <w:r w:rsidR="00E76988">
        <w:rPr>
          <w:rFonts w:ascii="Arial" w:hAnsi="Arial" w:cs="Arial"/>
          <w:sz w:val="17"/>
          <w:szCs w:val="17"/>
          <w:lang w:val="en-GB"/>
        </w:rPr>
        <w:t>INR</w:t>
      </w:r>
      <w:r w:rsidR="006B6676">
        <w:rPr>
          <w:rFonts w:ascii="Arial" w:hAnsi="Arial" w:cs="Arial"/>
          <w:sz w:val="17"/>
          <w:szCs w:val="17"/>
          <w:lang w:val="en-GB"/>
        </w:rPr>
        <w:t xml:space="preserve"> </w:t>
      </w:r>
      <w:r w:rsidR="00E76988">
        <w:rPr>
          <w:rFonts w:ascii="Arial" w:hAnsi="Arial" w:cs="Arial"/>
          <w:sz w:val="17"/>
          <w:szCs w:val="17"/>
          <w:lang w:val="en-GB"/>
        </w:rPr>
        <w:t>=</w:t>
      </w:r>
      <w:r w:rsidR="006B6676">
        <w:rPr>
          <w:rFonts w:ascii="Arial" w:hAnsi="Arial" w:cs="Arial"/>
          <w:sz w:val="17"/>
          <w:szCs w:val="17"/>
          <w:lang w:val="en-GB"/>
        </w:rPr>
        <w:t xml:space="preserve"> </w:t>
      </w:r>
      <w:r w:rsidR="00E76988">
        <w:rPr>
          <w:rFonts w:ascii="Arial" w:hAnsi="Arial" w:cs="Arial"/>
          <w:sz w:val="17"/>
          <w:szCs w:val="17"/>
          <w:lang w:val="en-GB"/>
        </w:rPr>
        <w:t>Indian</w:t>
      </w:r>
      <w:r w:rsidR="006B6676">
        <w:rPr>
          <w:rFonts w:ascii="Arial" w:hAnsi="Arial" w:cs="Arial"/>
          <w:sz w:val="17"/>
          <w:szCs w:val="17"/>
          <w:lang w:val="en-GB"/>
        </w:rPr>
        <w:t xml:space="preserve"> </w:t>
      </w:r>
      <w:r w:rsidR="00E76988">
        <w:rPr>
          <w:rFonts w:ascii="Arial" w:hAnsi="Arial" w:cs="Arial"/>
          <w:sz w:val="17"/>
          <w:szCs w:val="17"/>
          <w:lang w:val="en-GB"/>
        </w:rPr>
        <w:t>rupee;</w:t>
      </w:r>
      <w:r w:rsidR="006B6676">
        <w:rPr>
          <w:rFonts w:ascii="Arial" w:hAnsi="Arial" w:cs="Arial"/>
          <w:sz w:val="17"/>
          <w:szCs w:val="17"/>
          <w:lang w:val="en-GB"/>
        </w:rPr>
        <w:t xml:space="preserve"> </w:t>
      </w:r>
      <w:r w:rsidR="00817E3A">
        <w:rPr>
          <w:rFonts w:ascii="Arial" w:hAnsi="Arial" w:cs="Arial"/>
          <w:sz w:val="17"/>
          <w:szCs w:val="17"/>
          <w:lang w:val="en-GB"/>
        </w:rPr>
        <w:t>ABS</w:t>
      </w:r>
      <w:r w:rsidR="006B6676">
        <w:rPr>
          <w:rFonts w:ascii="Arial" w:hAnsi="Arial" w:cs="Arial"/>
          <w:sz w:val="17"/>
          <w:szCs w:val="17"/>
          <w:lang w:val="en-GB"/>
        </w:rPr>
        <w:t xml:space="preserve"> </w:t>
      </w:r>
      <w:r w:rsidR="00817E3A">
        <w:rPr>
          <w:rFonts w:ascii="Arial" w:hAnsi="Arial" w:cs="Arial"/>
          <w:sz w:val="17"/>
          <w:szCs w:val="17"/>
          <w:lang w:val="en-GB"/>
        </w:rPr>
        <w:t>=</w:t>
      </w:r>
      <w:r w:rsidR="006B6676">
        <w:rPr>
          <w:rFonts w:ascii="Arial" w:hAnsi="Arial" w:cs="Arial"/>
          <w:sz w:val="17"/>
          <w:szCs w:val="17"/>
          <w:lang w:val="en-GB"/>
        </w:rPr>
        <w:t xml:space="preserve"> </w:t>
      </w:r>
      <w:r w:rsidR="00817E3A" w:rsidRPr="00817E3A">
        <w:rPr>
          <w:rFonts w:ascii="Arial" w:hAnsi="Arial" w:cs="Arial"/>
          <w:sz w:val="17"/>
          <w:szCs w:val="17"/>
          <w:lang w:val="en-GB"/>
        </w:rPr>
        <w:t>anti-lock</w:t>
      </w:r>
      <w:r w:rsidR="006B6676">
        <w:rPr>
          <w:rFonts w:ascii="Arial" w:hAnsi="Arial" w:cs="Arial"/>
          <w:sz w:val="17"/>
          <w:szCs w:val="17"/>
          <w:lang w:val="en-GB"/>
        </w:rPr>
        <w:t xml:space="preserve"> </w:t>
      </w:r>
      <w:r w:rsidR="00817E3A" w:rsidRPr="00817E3A">
        <w:rPr>
          <w:rFonts w:ascii="Arial" w:hAnsi="Arial" w:cs="Arial"/>
          <w:sz w:val="17"/>
          <w:szCs w:val="17"/>
          <w:lang w:val="en-GB"/>
        </w:rPr>
        <w:t>braking</w:t>
      </w:r>
      <w:r w:rsidR="006B6676">
        <w:rPr>
          <w:rFonts w:ascii="Arial" w:hAnsi="Arial" w:cs="Arial"/>
          <w:sz w:val="17"/>
          <w:szCs w:val="17"/>
          <w:lang w:val="en-GB"/>
        </w:rPr>
        <w:t xml:space="preserve"> </w:t>
      </w:r>
      <w:r w:rsidR="00817E3A" w:rsidRPr="00817E3A">
        <w:rPr>
          <w:rFonts w:ascii="Arial" w:hAnsi="Arial" w:cs="Arial"/>
          <w:sz w:val="17"/>
          <w:szCs w:val="17"/>
          <w:lang w:val="en-GB"/>
        </w:rPr>
        <w:t>system</w:t>
      </w:r>
      <w:r w:rsidR="00817E3A">
        <w:rPr>
          <w:rFonts w:ascii="Arial" w:hAnsi="Arial" w:cs="Arial"/>
          <w:sz w:val="17"/>
          <w:szCs w:val="17"/>
          <w:lang w:val="en-GB"/>
        </w:rPr>
        <w:t>;</w:t>
      </w:r>
      <w:r w:rsidR="006B6676">
        <w:rPr>
          <w:rFonts w:ascii="Arial" w:hAnsi="Arial" w:cs="Arial"/>
          <w:sz w:val="17"/>
          <w:szCs w:val="17"/>
          <w:lang w:val="en-GB"/>
        </w:rPr>
        <w:t xml:space="preserve"> </w:t>
      </w:r>
      <w:r w:rsidR="00E76988">
        <w:rPr>
          <w:rFonts w:ascii="Arial" w:hAnsi="Arial" w:cs="Arial"/>
          <w:sz w:val="17"/>
          <w:szCs w:val="17"/>
          <w:lang w:val="en-GB"/>
        </w:rPr>
        <w:t>cc</w:t>
      </w:r>
      <w:r w:rsidR="006B6676">
        <w:rPr>
          <w:rFonts w:ascii="Arial" w:hAnsi="Arial" w:cs="Arial"/>
          <w:sz w:val="17"/>
          <w:szCs w:val="17"/>
          <w:lang w:val="en-GB"/>
        </w:rPr>
        <w:t xml:space="preserve"> </w:t>
      </w:r>
      <w:r w:rsidR="00E76988">
        <w:rPr>
          <w:rFonts w:ascii="Arial" w:hAnsi="Arial" w:cs="Arial"/>
          <w:sz w:val="17"/>
          <w:szCs w:val="17"/>
          <w:lang w:val="en-GB"/>
        </w:rPr>
        <w:t>=</w:t>
      </w:r>
      <w:r w:rsidR="006B6676">
        <w:rPr>
          <w:rFonts w:ascii="Arial" w:hAnsi="Arial" w:cs="Arial"/>
          <w:sz w:val="17"/>
          <w:szCs w:val="17"/>
          <w:lang w:val="en-GB"/>
        </w:rPr>
        <w:t xml:space="preserve"> </w:t>
      </w:r>
      <w:r w:rsidR="00E76988">
        <w:rPr>
          <w:rFonts w:ascii="Arial" w:hAnsi="Arial" w:cs="Arial"/>
          <w:sz w:val="17"/>
          <w:szCs w:val="17"/>
          <w:lang w:val="en-GB"/>
        </w:rPr>
        <w:t>cubic</w:t>
      </w:r>
      <w:r w:rsidR="006B6676">
        <w:rPr>
          <w:rFonts w:ascii="Arial" w:hAnsi="Arial" w:cs="Arial"/>
          <w:sz w:val="17"/>
          <w:szCs w:val="17"/>
          <w:lang w:val="en-GB"/>
        </w:rPr>
        <w:t xml:space="preserve"> </w:t>
      </w:r>
      <w:r w:rsidR="0047276C">
        <w:rPr>
          <w:rFonts w:ascii="Arial" w:hAnsi="Arial" w:cs="Arial"/>
          <w:sz w:val="17"/>
          <w:szCs w:val="17"/>
          <w:lang w:val="en-GB"/>
        </w:rPr>
        <w:t>centimetres</w:t>
      </w:r>
      <w:r w:rsidR="003B0792">
        <w:rPr>
          <w:rFonts w:ascii="Arial" w:hAnsi="Arial" w:cs="Arial"/>
          <w:sz w:val="17"/>
          <w:szCs w:val="17"/>
          <w:lang w:val="en-GB"/>
        </w:rPr>
        <w:t>;</w:t>
      </w:r>
      <w:r w:rsidR="006B6676">
        <w:rPr>
          <w:rFonts w:ascii="Arial" w:hAnsi="Arial" w:cs="Arial"/>
          <w:sz w:val="17"/>
          <w:szCs w:val="17"/>
          <w:lang w:val="en-GB"/>
        </w:rPr>
        <w:t xml:space="preserve"> </w:t>
      </w:r>
      <w:r w:rsidR="003B0792">
        <w:rPr>
          <w:rFonts w:ascii="Arial" w:hAnsi="Arial" w:cs="Arial"/>
          <w:sz w:val="17"/>
          <w:szCs w:val="17"/>
          <w:lang w:val="en-GB"/>
        </w:rPr>
        <w:t>mm</w:t>
      </w:r>
      <w:r w:rsidR="006B6676">
        <w:rPr>
          <w:rFonts w:ascii="Arial" w:hAnsi="Arial" w:cs="Arial"/>
          <w:sz w:val="17"/>
          <w:szCs w:val="17"/>
          <w:lang w:val="en-GB"/>
        </w:rPr>
        <w:t xml:space="preserve"> </w:t>
      </w:r>
      <w:r w:rsidR="003B0792">
        <w:rPr>
          <w:rFonts w:ascii="Arial" w:hAnsi="Arial" w:cs="Arial"/>
          <w:sz w:val="17"/>
          <w:szCs w:val="17"/>
          <w:lang w:val="en-GB"/>
        </w:rPr>
        <w:t>=</w:t>
      </w:r>
      <w:r w:rsidR="006B6676">
        <w:rPr>
          <w:rFonts w:ascii="Arial" w:hAnsi="Arial" w:cs="Arial"/>
          <w:sz w:val="17"/>
          <w:szCs w:val="17"/>
          <w:lang w:val="en-GB"/>
        </w:rPr>
        <w:t xml:space="preserve"> </w:t>
      </w:r>
      <w:r w:rsidR="003B0792">
        <w:rPr>
          <w:rFonts w:ascii="Arial" w:hAnsi="Arial" w:cs="Arial"/>
          <w:sz w:val="17"/>
          <w:szCs w:val="17"/>
          <w:lang w:val="en-GB"/>
        </w:rPr>
        <w:t>millimetres;</w:t>
      </w:r>
      <w:r w:rsidR="006B6676">
        <w:rPr>
          <w:rFonts w:ascii="Arial" w:hAnsi="Arial" w:cs="Arial"/>
          <w:sz w:val="17"/>
          <w:szCs w:val="17"/>
          <w:lang w:val="en-GB"/>
        </w:rPr>
        <w:t xml:space="preserve"> </w:t>
      </w:r>
      <w:r w:rsidR="003B0792">
        <w:rPr>
          <w:rFonts w:ascii="Arial" w:hAnsi="Arial" w:cs="Arial"/>
          <w:sz w:val="17"/>
          <w:szCs w:val="17"/>
          <w:lang w:val="en-GB"/>
        </w:rPr>
        <w:t>kg</w:t>
      </w:r>
      <w:r w:rsidR="006B6676">
        <w:rPr>
          <w:rFonts w:ascii="Arial" w:hAnsi="Arial" w:cs="Arial"/>
          <w:sz w:val="17"/>
          <w:szCs w:val="17"/>
          <w:lang w:val="en-GB"/>
        </w:rPr>
        <w:t xml:space="preserve"> </w:t>
      </w:r>
      <w:r w:rsidR="003B0792">
        <w:rPr>
          <w:rFonts w:ascii="Arial" w:hAnsi="Arial" w:cs="Arial"/>
          <w:sz w:val="17"/>
          <w:szCs w:val="17"/>
          <w:lang w:val="en-GB"/>
        </w:rPr>
        <w:t>=</w:t>
      </w:r>
      <w:r w:rsidR="006B6676">
        <w:rPr>
          <w:rFonts w:ascii="Arial" w:hAnsi="Arial" w:cs="Arial"/>
          <w:sz w:val="17"/>
          <w:szCs w:val="17"/>
          <w:lang w:val="en-GB"/>
        </w:rPr>
        <w:t xml:space="preserve"> </w:t>
      </w:r>
      <w:r w:rsidR="003B0792">
        <w:rPr>
          <w:rFonts w:ascii="Arial" w:hAnsi="Arial" w:cs="Arial"/>
          <w:sz w:val="17"/>
          <w:szCs w:val="17"/>
          <w:lang w:val="en-GB"/>
        </w:rPr>
        <w:t>kilograms</w:t>
      </w:r>
      <w:r w:rsidR="005C2E5D">
        <w:rPr>
          <w:rFonts w:ascii="Arial" w:hAnsi="Arial" w:cs="Arial"/>
          <w:sz w:val="17"/>
          <w:szCs w:val="17"/>
          <w:lang w:val="en-GB"/>
        </w:rPr>
        <w:t>;</w:t>
      </w:r>
      <w:r w:rsidR="006B6676">
        <w:rPr>
          <w:rFonts w:ascii="Arial" w:hAnsi="Arial" w:cs="Arial"/>
          <w:sz w:val="17"/>
          <w:szCs w:val="17"/>
          <w:lang w:val="en-GB"/>
        </w:rPr>
        <w:t xml:space="preserve"> </w:t>
      </w:r>
      <w:r w:rsidR="005C2E5D">
        <w:rPr>
          <w:rFonts w:ascii="Arial" w:hAnsi="Arial" w:cs="Arial"/>
          <w:sz w:val="17"/>
          <w:szCs w:val="17"/>
          <w:lang w:val="en-GB"/>
        </w:rPr>
        <w:t>bhp</w:t>
      </w:r>
      <w:r w:rsidR="006B6676">
        <w:rPr>
          <w:rFonts w:ascii="Arial" w:hAnsi="Arial" w:cs="Arial"/>
          <w:sz w:val="17"/>
          <w:szCs w:val="17"/>
          <w:lang w:val="en-GB"/>
        </w:rPr>
        <w:t xml:space="preserve"> </w:t>
      </w:r>
      <w:r w:rsidR="005C2E5D">
        <w:rPr>
          <w:rFonts w:ascii="Arial" w:hAnsi="Arial" w:cs="Arial"/>
          <w:sz w:val="17"/>
          <w:szCs w:val="17"/>
          <w:lang w:val="en-GB"/>
        </w:rPr>
        <w:t>=</w:t>
      </w:r>
      <w:r w:rsidR="006B6676">
        <w:rPr>
          <w:rFonts w:ascii="Arial" w:hAnsi="Arial" w:cs="Arial"/>
          <w:sz w:val="17"/>
          <w:szCs w:val="17"/>
          <w:lang w:val="en-GB"/>
        </w:rPr>
        <w:t xml:space="preserve"> </w:t>
      </w:r>
      <w:r w:rsidR="005C2E5D">
        <w:rPr>
          <w:rFonts w:ascii="Arial" w:hAnsi="Arial" w:cs="Arial"/>
          <w:sz w:val="17"/>
          <w:szCs w:val="17"/>
          <w:lang w:val="en-GB"/>
        </w:rPr>
        <w:t>brake</w:t>
      </w:r>
      <w:r w:rsidR="006B6676">
        <w:rPr>
          <w:rFonts w:ascii="Arial" w:hAnsi="Arial" w:cs="Arial"/>
          <w:sz w:val="17"/>
          <w:szCs w:val="17"/>
          <w:lang w:val="en-GB"/>
        </w:rPr>
        <w:t xml:space="preserve"> </w:t>
      </w:r>
      <w:r w:rsidR="005C2E5D">
        <w:rPr>
          <w:rFonts w:ascii="Arial" w:hAnsi="Arial" w:cs="Arial"/>
          <w:sz w:val="17"/>
          <w:szCs w:val="17"/>
          <w:lang w:val="en-GB"/>
        </w:rPr>
        <w:t>horsepower;</w:t>
      </w:r>
      <w:r w:rsidR="006B6676">
        <w:rPr>
          <w:rFonts w:ascii="Arial" w:hAnsi="Arial" w:cs="Arial"/>
          <w:sz w:val="17"/>
          <w:szCs w:val="17"/>
          <w:lang w:val="en-GB"/>
        </w:rPr>
        <w:t xml:space="preserve"> </w:t>
      </w:r>
      <w:r w:rsidR="005C2E5D">
        <w:rPr>
          <w:rFonts w:ascii="Arial" w:hAnsi="Arial" w:cs="Arial"/>
          <w:sz w:val="17"/>
          <w:szCs w:val="17"/>
          <w:lang w:val="en-GB"/>
        </w:rPr>
        <w:t>Nm</w:t>
      </w:r>
      <w:r w:rsidR="006B6676">
        <w:rPr>
          <w:rFonts w:ascii="Arial" w:hAnsi="Arial" w:cs="Arial"/>
          <w:sz w:val="17"/>
          <w:szCs w:val="17"/>
          <w:lang w:val="en-GB"/>
        </w:rPr>
        <w:t xml:space="preserve"> </w:t>
      </w:r>
      <w:r w:rsidR="005C2E5D">
        <w:rPr>
          <w:rFonts w:ascii="Arial" w:hAnsi="Arial" w:cs="Arial"/>
          <w:sz w:val="17"/>
          <w:szCs w:val="17"/>
          <w:lang w:val="en-GB"/>
        </w:rPr>
        <w:t>=</w:t>
      </w:r>
      <w:r w:rsidR="006B6676">
        <w:rPr>
          <w:rFonts w:ascii="Arial" w:hAnsi="Arial" w:cs="Arial"/>
          <w:sz w:val="17"/>
          <w:szCs w:val="17"/>
          <w:lang w:val="en-GB"/>
        </w:rPr>
        <w:t xml:space="preserve"> </w:t>
      </w:r>
      <w:r w:rsidR="005C2E5D">
        <w:rPr>
          <w:rFonts w:ascii="Arial" w:hAnsi="Arial" w:cs="Arial"/>
          <w:sz w:val="17"/>
          <w:szCs w:val="17"/>
          <w:lang w:val="en-GB"/>
        </w:rPr>
        <w:t>Newton</w:t>
      </w:r>
      <w:r w:rsidR="006B6676">
        <w:rPr>
          <w:rFonts w:ascii="Arial" w:hAnsi="Arial" w:cs="Arial"/>
          <w:sz w:val="17"/>
          <w:szCs w:val="17"/>
          <w:lang w:val="en-GB"/>
        </w:rPr>
        <w:t xml:space="preserve"> </w:t>
      </w:r>
      <w:r w:rsidR="005C2E5D">
        <w:rPr>
          <w:rFonts w:ascii="Arial" w:hAnsi="Arial" w:cs="Arial"/>
          <w:sz w:val="17"/>
          <w:szCs w:val="17"/>
          <w:lang w:val="en-GB"/>
        </w:rPr>
        <w:t>metres;</w:t>
      </w:r>
      <w:r w:rsidR="006B6676">
        <w:rPr>
          <w:rFonts w:ascii="Arial" w:hAnsi="Arial" w:cs="Arial"/>
          <w:sz w:val="17"/>
          <w:szCs w:val="17"/>
          <w:lang w:val="en-GB"/>
        </w:rPr>
        <w:t xml:space="preserve"> </w:t>
      </w:r>
      <w:r w:rsidR="005C2E5D">
        <w:rPr>
          <w:rFonts w:ascii="Arial" w:hAnsi="Arial" w:cs="Arial"/>
          <w:sz w:val="17"/>
          <w:szCs w:val="17"/>
          <w:lang w:val="en-GB"/>
        </w:rPr>
        <w:t>rpm</w:t>
      </w:r>
      <w:r w:rsidR="006B6676">
        <w:rPr>
          <w:rFonts w:ascii="Arial" w:hAnsi="Arial" w:cs="Arial"/>
          <w:sz w:val="17"/>
          <w:szCs w:val="17"/>
          <w:lang w:val="en-GB"/>
        </w:rPr>
        <w:t xml:space="preserve"> </w:t>
      </w:r>
      <w:r w:rsidR="005C2E5D">
        <w:rPr>
          <w:rFonts w:ascii="Arial" w:hAnsi="Arial" w:cs="Arial"/>
          <w:sz w:val="17"/>
          <w:szCs w:val="17"/>
          <w:lang w:val="en-GB"/>
        </w:rPr>
        <w:t>=</w:t>
      </w:r>
      <w:r w:rsidR="006B6676">
        <w:rPr>
          <w:rFonts w:ascii="Arial" w:hAnsi="Arial" w:cs="Arial"/>
          <w:sz w:val="17"/>
          <w:szCs w:val="17"/>
          <w:lang w:val="en-GB"/>
        </w:rPr>
        <w:t xml:space="preserve"> </w:t>
      </w:r>
      <w:r w:rsidR="005C2E5D">
        <w:rPr>
          <w:rFonts w:ascii="Arial" w:hAnsi="Arial" w:cs="Arial"/>
          <w:sz w:val="17"/>
          <w:szCs w:val="17"/>
          <w:lang w:val="en-GB"/>
        </w:rPr>
        <w:t>revolutions</w:t>
      </w:r>
      <w:r w:rsidR="006B6676">
        <w:rPr>
          <w:rFonts w:ascii="Arial" w:hAnsi="Arial" w:cs="Arial"/>
          <w:sz w:val="17"/>
          <w:szCs w:val="17"/>
          <w:lang w:val="en-GB"/>
        </w:rPr>
        <w:t xml:space="preserve"> </w:t>
      </w:r>
      <w:r w:rsidR="005C2E5D">
        <w:rPr>
          <w:rFonts w:ascii="Arial" w:hAnsi="Arial" w:cs="Arial"/>
          <w:sz w:val="17"/>
          <w:szCs w:val="17"/>
          <w:lang w:val="en-GB"/>
        </w:rPr>
        <w:t>per</w:t>
      </w:r>
      <w:r w:rsidR="006B6676">
        <w:rPr>
          <w:rFonts w:ascii="Arial" w:hAnsi="Arial" w:cs="Arial"/>
          <w:sz w:val="17"/>
          <w:szCs w:val="17"/>
          <w:lang w:val="en-GB"/>
        </w:rPr>
        <w:t xml:space="preserve"> </w:t>
      </w:r>
      <w:r w:rsidR="005C2E5D">
        <w:rPr>
          <w:rFonts w:ascii="Arial" w:hAnsi="Arial" w:cs="Arial"/>
          <w:sz w:val="17"/>
          <w:szCs w:val="17"/>
          <w:lang w:val="en-GB"/>
        </w:rPr>
        <w:t>minute</w:t>
      </w:r>
      <w:r w:rsidR="0047276C">
        <w:rPr>
          <w:rFonts w:ascii="Arial" w:hAnsi="Arial" w:cs="Arial"/>
          <w:sz w:val="17"/>
          <w:szCs w:val="17"/>
          <w:lang w:val="en-GB"/>
        </w:rPr>
        <w:t>.</w:t>
      </w:r>
    </w:p>
    <w:p w14:paraId="206EA4A4" w14:textId="61EB8C05" w:rsidR="006C1CAC" w:rsidRPr="00F26A3E" w:rsidRDefault="006C1CAC" w:rsidP="006C1CAC">
      <w:pPr>
        <w:jc w:val="both"/>
        <w:rPr>
          <w:rFonts w:ascii="Arial" w:hAnsi="Arial" w:cs="Arial"/>
          <w:sz w:val="17"/>
          <w:szCs w:val="17"/>
          <w:lang w:val="en-GB"/>
        </w:rPr>
      </w:pPr>
      <w:r>
        <w:rPr>
          <w:rFonts w:ascii="Arial" w:hAnsi="Arial" w:cs="Arial"/>
          <w:sz w:val="17"/>
          <w:szCs w:val="17"/>
          <w:lang w:val="en-GB"/>
        </w:rPr>
        <w:t>Source:</w:t>
      </w:r>
      <w:r w:rsidR="006B6676">
        <w:rPr>
          <w:rFonts w:ascii="Arial" w:hAnsi="Arial" w:cs="Arial"/>
          <w:sz w:val="17"/>
          <w:szCs w:val="17"/>
          <w:lang w:val="en-GB"/>
        </w:rPr>
        <w:t xml:space="preserve"> </w:t>
      </w:r>
      <w:r>
        <w:rPr>
          <w:rFonts w:ascii="Arial" w:hAnsi="Arial" w:cs="Arial"/>
          <w:sz w:val="17"/>
          <w:szCs w:val="17"/>
          <w:lang w:val="en-GB"/>
        </w:rPr>
        <w:t>Compiled</w:t>
      </w:r>
      <w:r w:rsidR="006B6676">
        <w:rPr>
          <w:rFonts w:ascii="Arial" w:hAnsi="Arial" w:cs="Arial"/>
          <w:sz w:val="17"/>
          <w:szCs w:val="17"/>
          <w:lang w:val="en-GB"/>
        </w:rPr>
        <w:t xml:space="preserve"> </w:t>
      </w:r>
      <w:r>
        <w:rPr>
          <w:rFonts w:ascii="Arial" w:hAnsi="Arial" w:cs="Arial"/>
          <w:sz w:val="17"/>
          <w:szCs w:val="17"/>
          <w:lang w:val="en-GB"/>
        </w:rPr>
        <w:t>by</w:t>
      </w:r>
      <w:r w:rsidR="006B6676">
        <w:rPr>
          <w:rFonts w:ascii="Arial" w:hAnsi="Arial" w:cs="Arial"/>
          <w:sz w:val="17"/>
          <w:szCs w:val="17"/>
          <w:lang w:val="en-GB"/>
        </w:rPr>
        <w:t xml:space="preserve"> </w:t>
      </w:r>
      <w:r>
        <w:rPr>
          <w:rFonts w:ascii="Arial" w:hAnsi="Arial" w:cs="Arial"/>
          <w:sz w:val="17"/>
          <w:szCs w:val="17"/>
          <w:lang w:val="en-GB"/>
        </w:rPr>
        <w:t>the</w:t>
      </w:r>
      <w:r w:rsidR="006B6676">
        <w:rPr>
          <w:rFonts w:ascii="Arial" w:hAnsi="Arial" w:cs="Arial"/>
          <w:sz w:val="17"/>
          <w:szCs w:val="17"/>
          <w:lang w:val="en-GB"/>
        </w:rPr>
        <w:t xml:space="preserve"> </w:t>
      </w:r>
      <w:r>
        <w:rPr>
          <w:rFonts w:ascii="Arial" w:hAnsi="Arial" w:cs="Arial"/>
          <w:sz w:val="17"/>
          <w:szCs w:val="17"/>
          <w:lang w:val="en-GB"/>
        </w:rPr>
        <w:t>author</w:t>
      </w:r>
      <w:r w:rsidR="006B6676">
        <w:rPr>
          <w:rFonts w:ascii="Arial" w:hAnsi="Arial" w:cs="Arial"/>
          <w:sz w:val="17"/>
          <w:szCs w:val="17"/>
          <w:lang w:val="en-GB"/>
        </w:rPr>
        <w:t xml:space="preserve"> </w:t>
      </w:r>
      <w:r>
        <w:rPr>
          <w:rFonts w:ascii="Arial" w:hAnsi="Arial" w:cs="Arial"/>
          <w:sz w:val="17"/>
          <w:szCs w:val="17"/>
          <w:lang w:val="en-GB"/>
        </w:rPr>
        <w:t>with</w:t>
      </w:r>
      <w:r w:rsidR="006B6676">
        <w:rPr>
          <w:rFonts w:ascii="Arial" w:hAnsi="Arial" w:cs="Arial"/>
          <w:sz w:val="17"/>
          <w:szCs w:val="17"/>
          <w:lang w:val="en-GB"/>
        </w:rPr>
        <w:t xml:space="preserve"> </w:t>
      </w:r>
      <w:r>
        <w:rPr>
          <w:rFonts w:ascii="Arial" w:hAnsi="Arial" w:cs="Arial"/>
          <w:sz w:val="17"/>
          <w:szCs w:val="17"/>
          <w:lang w:val="en-GB"/>
        </w:rPr>
        <w:t>information</w:t>
      </w:r>
      <w:r w:rsidR="006B6676">
        <w:rPr>
          <w:rFonts w:ascii="Arial" w:hAnsi="Arial" w:cs="Arial"/>
          <w:sz w:val="17"/>
          <w:szCs w:val="17"/>
          <w:lang w:val="en-GB"/>
        </w:rPr>
        <w:t xml:space="preserve"> </w:t>
      </w:r>
      <w:r>
        <w:rPr>
          <w:rFonts w:ascii="Arial" w:hAnsi="Arial" w:cs="Arial"/>
          <w:sz w:val="17"/>
          <w:szCs w:val="17"/>
          <w:lang w:val="en-GB"/>
        </w:rPr>
        <w:t>from</w:t>
      </w:r>
      <w:r w:rsidR="006B6676">
        <w:rPr>
          <w:rFonts w:ascii="Arial" w:hAnsi="Arial" w:cs="Arial"/>
          <w:sz w:val="17"/>
          <w:szCs w:val="17"/>
          <w:lang w:val="en-GB"/>
        </w:rPr>
        <w:t xml:space="preserve"> </w:t>
      </w:r>
      <w:r>
        <w:rPr>
          <w:rFonts w:ascii="Arial" w:hAnsi="Arial" w:cs="Arial"/>
          <w:sz w:val="17"/>
          <w:szCs w:val="17"/>
          <w:lang w:val="en-GB"/>
        </w:rPr>
        <w:t>“The</w:t>
      </w:r>
      <w:r w:rsidR="006B6676">
        <w:rPr>
          <w:rFonts w:ascii="Arial" w:hAnsi="Arial" w:cs="Arial"/>
          <w:sz w:val="17"/>
          <w:szCs w:val="17"/>
          <w:lang w:val="en-GB"/>
        </w:rPr>
        <w:t xml:space="preserve"> </w:t>
      </w:r>
      <w:r>
        <w:rPr>
          <w:rFonts w:ascii="Arial" w:hAnsi="Arial" w:cs="Arial"/>
          <w:sz w:val="17"/>
          <w:szCs w:val="17"/>
          <w:lang w:val="en-GB"/>
        </w:rPr>
        <w:t>Legend</w:t>
      </w:r>
      <w:r w:rsidR="006B6676">
        <w:rPr>
          <w:rFonts w:ascii="Arial" w:hAnsi="Arial" w:cs="Arial"/>
          <w:sz w:val="17"/>
          <w:szCs w:val="17"/>
          <w:lang w:val="en-GB"/>
        </w:rPr>
        <w:t xml:space="preserve"> </w:t>
      </w:r>
      <w:r>
        <w:rPr>
          <w:rFonts w:ascii="Arial" w:hAnsi="Arial" w:cs="Arial"/>
          <w:sz w:val="17"/>
          <w:szCs w:val="17"/>
          <w:lang w:val="en-GB"/>
        </w:rPr>
        <w:t>Continues,”</w:t>
      </w:r>
      <w:r w:rsidR="006B6676">
        <w:rPr>
          <w:rFonts w:ascii="Arial" w:hAnsi="Arial" w:cs="Arial"/>
          <w:sz w:val="17"/>
          <w:szCs w:val="17"/>
          <w:lang w:val="en-GB"/>
        </w:rPr>
        <w:t xml:space="preserve"> </w:t>
      </w:r>
      <w:r>
        <w:rPr>
          <w:rFonts w:ascii="Arial" w:hAnsi="Arial" w:cs="Arial"/>
          <w:sz w:val="17"/>
          <w:szCs w:val="17"/>
          <w:lang w:val="en-GB"/>
        </w:rPr>
        <w:t>Jawa</w:t>
      </w:r>
      <w:r w:rsidR="006B6676">
        <w:rPr>
          <w:rFonts w:ascii="Arial" w:hAnsi="Arial" w:cs="Arial"/>
          <w:sz w:val="17"/>
          <w:szCs w:val="17"/>
          <w:lang w:val="en-GB"/>
        </w:rPr>
        <w:t xml:space="preserve"> </w:t>
      </w:r>
      <w:r>
        <w:rPr>
          <w:rFonts w:ascii="Arial" w:hAnsi="Arial" w:cs="Arial"/>
          <w:sz w:val="17"/>
          <w:szCs w:val="17"/>
          <w:lang w:val="en-GB"/>
        </w:rPr>
        <w:t>Motorcycles,</w:t>
      </w:r>
      <w:r w:rsidR="006B6676">
        <w:rPr>
          <w:rFonts w:ascii="Arial" w:hAnsi="Arial" w:cs="Arial"/>
          <w:sz w:val="17"/>
          <w:szCs w:val="17"/>
          <w:lang w:val="en-GB"/>
        </w:rPr>
        <w:t xml:space="preserve"> </w:t>
      </w:r>
      <w:r w:rsidRPr="0023084D">
        <w:rPr>
          <w:rFonts w:ascii="Arial" w:hAnsi="Arial" w:cs="Arial"/>
          <w:sz w:val="17"/>
          <w:szCs w:val="17"/>
          <w:lang w:val="en-GB"/>
        </w:rPr>
        <w:t>accessed</w:t>
      </w:r>
      <w:r w:rsidR="006B6676">
        <w:rPr>
          <w:rFonts w:ascii="Arial" w:hAnsi="Arial" w:cs="Arial"/>
          <w:sz w:val="17"/>
          <w:szCs w:val="17"/>
          <w:lang w:val="en-GB"/>
        </w:rPr>
        <w:t xml:space="preserve"> </w:t>
      </w:r>
      <w:r w:rsidR="00A253C3">
        <w:rPr>
          <w:rStyle w:val="FootnoteChar"/>
        </w:rPr>
        <w:t>December</w:t>
      </w:r>
      <w:r w:rsidR="006B6676">
        <w:rPr>
          <w:rStyle w:val="FootnoteChar"/>
        </w:rPr>
        <w:t xml:space="preserve"> </w:t>
      </w:r>
      <w:r w:rsidR="00A253C3">
        <w:rPr>
          <w:rStyle w:val="FootnoteChar"/>
        </w:rPr>
        <w:t>28,</w:t>
      </w:r>
      <w:r w:rsidR="006B6676">
        <w:rPr>
          <w:rStyle w:val="FootnoteChar"/>
        </w:rPr>
        <w:t xml:space="preserve"> </w:t>
      </w:r>
      <w:r w:rsidR="00A253C3">
        <w:rPr>
          <w:rStyle w:val="FootnoteChar"/>
        </w:rPr>
        <w:t>2019</w:t>
      </w:r>
      <w:r>
        <w:rPr>
          <w:rFonts w:ascii="Arial" w:hAnsi="Arial" w:cs="Arial"/>
          <w:sz w:val="17"/>
          <w:szCs w:val="17"/>
          <w:lang w:val="en-GB"/>
        </w:rPr>
        <w:t>,</w:t>
      </w:r>
      <w:r w:rsidR="006B6676">
        <w:rPr>
          <w:rFonts w:ascii="Arial" w:hAnsi="Arial" w:cs="Arial"/>
          <w:sz w:val="17"/>
          <w:szCs w:val="17"/>
          <w:lang w:val="en-GB"/>
        </w:rPr>
        <w:t xml:space="preserve"> </w:t>
      </w:r>
      <w:r w:rsidRPr="006C1CAC">
        <w:rPr>
          <w:rFonts w:ascii="Arial" w:hAnsi="Arial" w:cs="Arial"/>
          <w:sz w:val="17"/>
          <w:szCs w:val="17"/>
          <w:lang w:val="en-GB"/>
        </w:rPr>
        <w:t>www.jawamotorcycles.com/motorcycles</w:t>
      </w:r>
      <w:r w:rsidRPr="00764559">
        <w:rPr>
          <w:rFonts w:ascii="Arial" w:hAnsi="Arial" w:cs="Arial"/>
          <w:sz w:val="17"/>
          <w:szCs w:val="17"/>
          <w:lang w:val="en-GB"/>
        </w:rPr>
        <w:t>.</w:t>
      </w:r>
    </w:p>
    <w:p w14:paraId="4FAEE71E" w14:textId="77777777" w:rsidR="00F268A5" w:rsidRPr="00F26A3E" w:rsidRDefault="00F268A5" w:rsidP="00F268A5">
      <w:pPr>
        <w:pStyle w:val="Casehead1"/>
        <w:rPr>
          <w:lang w:val="en-GB"/>
        </w:rPr>
      </w:pPr>
    </w:p>
    <w:p w14:paraId="03E544F1" w14:textId="77777777" w:rsidR="00F268A5" w:rsidRPr="00F26A3E" w:rsidRDefault="00F268A5">
      <w:pPr>
        <w:spacing w:after="200" w:line="276" w:lineRule="auto"/>
        <w:rPr>
          <w:rFonts w:ascii="Arial" w:hAnsi="Arial" w:cs="Arial"/>
          <w:b/>
          <w:caps/>
          <w:lang w:val="en-GB"/>
        </w:rPr>
      </w:pPr>
      <w:r w:rsidRPr="00F26A3E">
        <w:rPr>
          <w:lang w:val="en-GB"/>
        </w:rPr>
        <w:br w:type="page"/>
      </w:r>
    </w:p>
    <w:p w14:paraId="0D927944" w14:textId="77777777" w:rsidR="00F268A5" w:rsidRPr="00F26A3E" w:rsidRDefault="00F268A5" w:rsidP="00F268A5">
      <w:pPr>
        <w:pStyle w:val="Casehead1"/>
        <w:rPr>
          <w:lang w:val="en-GB"/>
        </w:rPr>
      </w:pPr>
      <w:r w:rsidRPr="00F26A3E">
        <w:rPr>
          <w:lang w:val="en-GB"/>
        </w:rPr>
        <w:lastRenderedPageBreak/>
        <w:t>Endnotes</w:t>
      </w:r>
    </w:p>
    <w:sectPr w:rsidR="00F268A5" w:rsidRPr="00F26A3E" w:rsidSect="00D82A78">
      <w:headerReference w:type="default" r:id="rId19"/>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F2FBE" w14:textId="77777777" w:rsidR="00987AA6" w:rsidRDefault="00987AA6" w:rsidP="00D75295">
      <w:r>
        <w:separator/>
      </w:r>
    </w:p>
  </w:endnote>
  <w:endnote w:type="continuationSeparator" w:id="0">
    <w:p w14:paraId="487B820C" w14:textId="77777777" w:rsidR="00987AA6" w:rsidRDefault="00987AA6" w:rsidP="00D75295">
      <w:r>
        <w:continuationSeparator/>
      </w:r>
    </w:p>
  </w:endnote>
  <w:endnote w:id="1">
    <w:p w14:paraId="21FCA4FE" w14:textId="16256719" w:rsidR="00987AA6" w:rsidRPr="0047276C" w:rsidRDefault="00987AA6" w:rsidP="0047276C">
      <w:pPr>
        <w:pStyle w:val="Footnote"/>
      </w:pPr>
      <w:r w:rsidRPr="0047276C">
        <w:rPr>
          <w:rStyle w:val="EndnoteReference"/>
        </w:rPr>
        <w:endnoteRef/>
      </w:r>
      <w:r w:rsidRPr="0047276C">
        <w:t xml:space="preserve"> This case has been written on the basis of published sources only. Consequently, the interpretation and perspectives presented in this case are not necessarily those of </w:t>
      </w:r>
      <w:r w:rsidRPr="0047276C">
        <w:rPr>
          <w:lang w:val="en-GB"/>
        </w:rPr>
        <w:t>Eicher Motors Limited</w:t>
      </w:r>
      <w:r w:rsidRPr="0047276C">
        <w:t xml:space="preserve"> or any of its employees.</w:t>
      </w:r>
    </w:p>
  </w:endnote>
  <w:endnote w:id="2">
    <w:p w14:paraId="2411AD21" w14:textId="77777777" w:rsidR="00987AA6" w:rsidRPr="0047276C" w:rsidRDefault="00987AA6" w:rsidP="0047276C">
      <w:pPr>
        <w:pStyle w:val="Footnote"/>
      </w:pPr>
      <w:r w:rsidRPr="0047276C">
        <w:rPr>
          <w:rStyle w:val="EndnoteReference"/>
        </w:rPr>
        <w:endnoteRef/>
      </w:r>
      <w:r w:rsidRPr="0047276C">
        <w:t xml:space="preserve"> “Monthly Sales Volume,” Eicher Motors Limited, accessed September 24, 2020, </w:t>
      </w:r>
      <w:r w:rsidRPr="0047276C">
        <w:rPr>
          <w:rStyle w:val="Hyperlink"/>
          <w:color w:val="auto"/>
          <w:u w:val="none"/>
        </w:rPr>
        <w:t>www.eicher.in/monthly-sales-number.</w:t>
      </w:r>
    </w:p>
  </w:endnote>
  <w:endnote w:id="3">
    <w:p w14:paraId="552B9611" w14:textId="77777777" w:rsidR="00987AA6" w:rsidRPr="0047276C" w:rsidRDefault="00987AA6" w:rsidP="0047276C">
      <w:pPr>
        <w:pStyle w:val="Footnote"/>
      </w:pPr>
      <w:r w:rsidRPr="0047276C">
        <w:rPr>
          <w:rStyle w:val="EndnoteReference"/>
        </w:rPr>
        <w:endnoteRef/>
      </w:r>
      <w:r w:rsidRPr="0047276C">
        <w:t xml:space="preserve"> Eicher Motors Limited, </w:t>
      </w:r>
      <w:r w:rsidRPr="0047276C">
        <w:rPr>
          <w:i/>
        </w:rPr>
        <w:t>Annual Report 2018–19</w:t>
      </w:r>
      <w:r w:rsidRPr="0047276C">
        <w:t xml:space="preserve">, accessed September 24, 2020, </w:t>
      </w:r>
      <w:r w:rsidRPr="0047276C">
        <w:rPr>
          <w:rStyle w:val="Hyperlink"/>
          <w:color w:val="auto"/>
          <w:u w:val="none"/>
        </w:rPr>
        <w:t>www.eicher.in/uploads/1563260440_eicher-motors-annual-report-2018-19.pdf.</w:t>
      </w:r>
    </w:p>
  </w:endnote>
  <w:endnote w:id="4">
    <w:p w14:paraId="0428E42B" w14:textId="1B5AE4BE" w:rsidR="00987AA6" w:rsidRPr="0047276C" w:rsidRDefault="00987AA6" w:rsidP="0047276C">
      <w:pPr>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lang w:val="en-GB"/>
        </w:rPr>
        <w:t xml:space="preserve"> “Annual Reports,” Eicher Motors Limited, accessed September 24, 2020, www.eicher.in/annual-reports.</w:t>
      </w:r>
    </w:p>
  </w:endnote>
  <w:endnote w:id="5">
    <w:p w14:paraId="2FC5FEDE" w14:textId="6C58FC04" w:rsidR="00987AA6" w:rsidRPr="0047276C" w:rsidRDefault="00987AA6" w:rsidP="00195AC2">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Also referred to as cylinder capacity, cubic centimetres</w:t>
      </w:r>
      <w:r>
        <w:rPr>
          <w:rFonts w:ascii="Arial" w:hAnsi="Arial" w:cs="Arial"/>
          <w:sz w:val="17"/>
          <w:szCs w:val="17"/>
        </w:rPr>
        <w:t>.</w:t>
      </w:r>
    </w:p>
  </w:endnote>
  <w:endnote w:id="6">
    <w:p w14:paraId="59CF5BCB" w14:textId="4B5EB618" w:rsidR="00987AA6" w:rsidRPr="0047276C" w:rsidRDefault="00987AA6" w:rsidP="0047276C">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Eicher Motors </w:t>
      </w:r>
      <w:r w:rsidRPr="0047276C">
        <w:rPr>
          <w:rFonts w:ascii="Arial" w:hAnsi="Arial" w:cs="Arial"/>
          <w:sz w:val="17"/>
          <w:szCs w:val="17"/>
          <w:lang w:val="en-CA"/>
        </w:rPr>
        <w:t>Limited</w:t>
      </w:r>
      <w:r w:rsidRPr="0047276C">
        <w:rPr>
          <w:rFonts w:ascii="Arial" w:hAnsi="Arial" w:cs="Arial"/>
          <w:sz w:val="17"/>
          <w:szCs w:val="17"/>
        </w:rPr>
        <w:t xml:space="preserve">, </w:t>
      </w:r>
      <w:r w:rsidRPr="0047276C">
        <w:rPr>
          <w:rFonts w:ascii="Arial" w:hAnsi="Arial" w:cs="Arial"/>
          <w:i/>
          <w:sz w:val="17"/>
          <w:szCs w:val="17"/>
        </w:rPr>
        <w:t>Annual Report 2018–19</w:t>
      </w:r>
      <w:r w:rsidRPr="0047276C">
        <w:rPr>
          <w:rFonts w:ascii="Arial" w:hAnsi="Arial" w:cs="Arial"/>
          <w:sz w:val="17"/>
          <w:szCs w:val="17"/>
          <w:lang w:val="en-CA"/>
        </w:rPr>
        <w:t xml:space="preserve">, op. cit., </w:t>
      </w:r>
      <w:r w:rsidRPr="0047276C">
        <w:rPr>
          <w:rFonts w:ascii="Arial" w:hAnsi="Arial" w:cs="Arial"/>
          <w:sz w:val="17"/>
          <w:szCs w:val="17"/>
        </w:rPr>
        <w:t>4</w:t>
      </w:r>
      <w:r w:rsidRPr="0047276C">
        <w:rPr>
          <w:rFonts w:ascii="Arial" w:hAnsi="Arial" w:cs="Arial"/>
          <w:sz w:val="17"/>
          <w:szCs w:val="17"/>
          <w:lang w:val="en-CA"/>
        </w:rPr>
        <w:t>.</w:t>
      </w:r>
    </w:p>
  </w:endnote>
  <w:endnote w:id="7">
    <w:p w14:paraId="03017016" w14:textId="441BD71F" w:rsidR="00987AA6" w:rsidRPr="0047276C" w:rsidRDefault="00987AA6" w:rsidP="0047276C">
      <w:pPr>
        <w:pStyle w:val="Footnote"/>
      </w:pPr>
      <w:r w:rsidRPr="0047276C">
        <w:rPr>
          <w:rStyle w:val="EndnoteReference"/>
        </w:rPr>
        <w:endnoteRef/>
      </w:r>
      <w:r w:rsidRPr="0047276C">
        <w:t xml:space="preserve"> Avishek Banerjee, “Jawa Brand Resurrected n India by Mahindra’s Classic Legends,” </w:t>
      </w:r>
      <w:r w:rsidRPr="0047276C">
        <w:rPr>
          <w:i/>
        </w:rPr>
        <w:t>Business World</w:t>
      </w:r>
      <w:r w:rsidRPr="0047276C">
        <w:t>, November 16, 2018, accessed September 24, 2020, www.businessworld.in/article/Jawa-Brand-Resurrected-In-India-By-Mahindra-s-Classic-Legends/16-11-2018-164265.</w:t>
      </w:r>
    </w:p>
  </w:endnote>
  <w:endnote w:id="8">
    <w:p w14:paraId="6935C0B3" w14:textId="77777777" w:rsidR="00987AA6" w:rsidRPr="0047276C" w:rsidRDefault="00987AA6" w:rsidP="0047276C">
      <w:pPr>
        <w:pStyle w:val="Footnote"/>
      </w:pPr>
      <w:r w:rsidRPr="0047276C">
        <w:rPr>
          <w:rStyle w:val="EndnoteReference"/>
        </w:rPr>
        <w:endnoteRef/>
      </w:r>
      <w:r w:rsidRPr="0047276C">
        <w:t xml:space="preserve"> Tushar Deep Singh, “Jawa Bikes Sold Out till Sep 2019, Online Booking Ends,” LiveMint</w:t>
      </w:r>
      <w:r w:rsidRPr="0047276C">
        <w:rPr>
          <w:i/>
        </w:rPr>
        <w:t xml:space="preserve">, </w:t>
      </w:r>
      <w:r w:rsidRPr="0047276C">
        <w:t>December 26, 2018, accessed September 25, 2020, www.livemint.com/Auto/fc6CStvtQ9Egin2Ls71vhM/Jawa-bikes-sold-out-till-Sep-2019-online-booking-ends-tonig.html.</w:t>
      </w:r>
    </w:p>
  </w:endnote>
  <w:endnote w:id="9">
    <w:p w14:paraId="11153F51" w14:textId="76F76B83" w:rsidR="00987AA6" w:rsidRDefault="00987AA6" w:rsidP="006318DA">
      <w:pPr>
        <w:pStyle w:val="Footnote"/>
      </w:pPr>
      <w:r>
        <w:rPr>
          <w:rStyle w:val="EndnoteReference"/>
        </w:rPr>
        <w:endnoteRef/>
      </w:r>
      <w:r>
        <w:t xml:space="preserve"> </w:t>
      </w:r>
      <w:r w:rsidRPr="0047276C">
        <w:t>Ketan Thakkar, “</w:t>
      </w:r>
      <w:r w:rsidRPr="0047276C">
        <w:rPr>
          <w:shd w:val="clear" w:color="auto" w:fill="FFFFFF"/>
        </w:rPr>
        <w:t xml:space="preserve">With India in Focus, Harley Davidson to Come Out with 250–500 cc Bike,” </w:t>
      </w:r>
      <w:r w:rsidRPr="0047276C">
        <w:rPr>
          <w:i/>
          <w:shd w:val="clear" w:color="auto" w:fill="FFFFFF"/>
        </w:rPr>
        <w:t>The Economic Times</w:t>
      </w:r>
      <w:r w:rsidRPr="0047276C">
        <w:rPr>
          <w:shd w:val="clear" w:color="auto" w:fill="FFFFFF"/>
        </w:rPr>
        <w:t>, July 31, 2018, accessed July 15, 2020,</w:t>
      </w:r>
      <w:r w:rsidRPr="0047276C">
        <w:rPr>
          <w:rStyle w:val="Hyperlink"/>
          <w:color w:val="auto"/>
          <w:u w:val="none"/>
        </w:rPr>
        <w:t xml:space="preserve"> https://economictimes.indiatimes.com/industry/auto/auto-news/with-india-in-focus-harley-davidson-to-come-out-with-250-500-cc-bike/articleshow/65200522.cms?from=mdr.</w:t>
      </w:r>
    </w:p>
  </w:endnote>
  <w:endnote w:id="10">
    <w:p w14:paraId="4E2E8286" w14:textId="1FDB5666" w:rsidR="00987AA6" w:rsidRPr="0047276C" w:rsidRDefault="00987AA6" w:rsidP="0047276C">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Jui Mukherjee and T. Surendar, “Jawa vs Royal Enfield: The </w:t>
      </w:r>
      <w:r w:rsidRPr="0047276C">
        <w:rPr>
          <w:rFonts w:ascii="Arial" w:hAnsi="Arial" w:cs="Arial"/>
          <w:sz w:val="17"/>
          <w:szCs w:val="17"/>
          <w:lang w:val="en-CA"/>
        </w:rPr>
        <w:t>C</w:t>
      </w:r>
      <w:r w:rsidRPr="0047276C">
        <w:rPr>
          <w:rFonts w:ascii="Arial" w:hAnsi="Arial" w:cs="Arial"/>
          <w:sz w:val="17"/>
          <w:szCs w:val="17"/>
        </w:rPr>
        <w:t xml:space="preserve">lash of the </w:t>
      </w:r>
      <w:r w:rsidRPr="0047276C">
        <w:rPr>
          <w:rFonts w:ascii="Arial" w:hAnsi="Arial" w:cs="Arial"/>
          <w:sz w:val="17"/>
          <w:szCs w:val="17"/>
          <w:lang w:val="en-CA"/>
        </w:rPr>
        <w:t>C</w:t>
      </w:r>
      <w:r w:rsidRPr="0047276C">
        <w:rPr>
          <w:rFonts w:ascii="Arial" w:hAnsi="Arial" w:cs="Arial"/>
          <w:sz w:val="17"/>
          <w:szCs w:val="17"/>
        </w:rPr>
        <w:t xml:space="preserve">lassics,” </w:t>
      </w:r>
      <w:r w:rsidRPr="0047276C">
        <w:rPr>
          <w:rFonts w:ascii="Arial" w:hAnsi="Arial" w:cs="Arial"/>
          <w:i/>
          <w:sz w:val="17"/>
          <w:szCs w:val="17"/>
        </w:rPr>
        <w:t>Fortune India</w:t>
      </w:r>
      <w:r w:rsidRPr="00433444">
        <w:rPr>
          <w:rFonts w:ascii="Arial" w:hAnsi="Arial" w:cs="Arial"/>
          <w:sz w:val="17"/>
          <w:szCs w:val="17"/>
        </w:rPr>
        <w:t>, January 28, 2019, accessed December 19, 2020, www.fortuneindia.com/macro/jawa-vs-royal-enfield-the-clash-of-the-classics/102894</w:t>
      </w:r>
      <w:r w:rsidRPr="0047276C">
        <w:rPr>
          <w:rFonts w:ascii="Arial" w:hAnsi="Arial" w:cs="Arial"/>
          <w:sz w:val="17"/>
          <w:szCs w:val="17"/>
          <w:lang w:val="en-CA"/>
        </w:rPr>
        <w:t>.</w:t>
      </w:r>
    </w:p>
  </w:endnote>
  <w:endnote w:id="11">
    <w:p w14:paraId="695223F2" w14:textId="77777777" w:rsidR="00987AA6" w:rsidRPr="0047276C" w:rsidRDefault="00987AA6" w:rsidP="0047276C">
      <w:pPr>
        <w:pStyle w:val="Footnote"/>
      </w:pPr>
      <w:r w:rsidRPr="0047276C">
        <w:rPr>
          <w:rStyle w:val="EndnoteReference"/>
        </w:rPr>
        <w:endnoteRef/>
      </w:r>
      <w:r w:rsidRPr="0047276C">
        <w:t xml:space="preserve"> Hero MotoCorp Limited, </w:t>
      </w:r>
      <w:r w:rsidRPr="0047276C">
        <w:rPr>
          <w:i/>
        </w:rPr>
        <w:t>Annual Report 2018-19</w:t>
      </w:r>
      <w:r w:rsidRPr="0047276C">
        <w:t xml:space="preserve">, accessed July 13, 2020, </w:t>
      </w:r>
      <w:r w:rsidRPr="0047276C">
        <w:rPr>
          <w:rStyle w:val="Hyperlink"/>
          <w:color w:val="auto"/>
          <w:u w:val="none"/>
        </w:rPr>
        <w:t xml:space="preserve">www.heromotocorp.com/en-in/uploads/Annual_Reports/pdf/20190715054601pdf266.pdf, </w:t>
      </w:r>
      <w:r w:rsidRPr="0047276C">
        <w:t>39.</w:t>
      </w:r>
    </w:p>
  </w:endnote>
  <w:endnote w:id="12">
    <w:p w14:paraId="0F39EFE1" w14:textId="5F934506" w:rsidR="00987AA6" w:rsidRPr="0047276C" w:rsidRDefault="00987AA6">
      <w:pPr>
        <w:pStyle w:val="Footnote"/>
      </w:pPr>
      <w:r w:rsidRPr="0047276C">
        <w:rPr>
          <w:rStyle w:val="EndnoteReference"/>
        </w:rPr>
        <w:endnoteRef/>
      </w:r>
      <w:r w:rsidRPr="0047276C">
        <w:t xml:space="preserve"> Ibid., 40.</w:t>
      </w:r>
    </w:p>
  </w:endnote>
  <w:endnote w:id="13">
    <w:p w14:paraId="3CB452F8" w14:textId="15C07515" w:rsidR="00987AA6" w:rsidRPr="0047276C" w:rsidRDefault="00987AA6">
      <w:pPr>
        <w:pStyle w:val="Footnote"/>
      </w:pPr>
      <w:r w:rsidRPr="0047276C">
        <w:rPr>
          <w:rStyle w:val="EndnoteReference"/>
        </w:rPr>
        <w:endnoteRef/>
      </w:r>
      <w:r w:rsidRPr="0047276C">
        <w:rPr>
          <w:lang w:val="en-IN"/>
        </w:rPr>
        <w:t xml:space="preserve"> Rajesh Padmashali, “Cruising on Nostalgia,</w:t>
      </w:r>
      <w:r w:rsidRPr="0047276C">
        <w:t xml:space="preserve">” </w:t>
      </w:r>
      <w:r w:rsidRPr="0047276C">
        <w:rPr>
          <w:i/>
        </w:rPr>
        <w:t>Outlook Business</w:t>
      </w:r>
      <w:r w:rsidRPr="0047276C">
        <w:t>,</w:t>
      </w:r>
      <w:r w:rsidRPr="0047276C">
        <w:rPr>
          <w:lang w:val="en-IN"/>
        </w:rPr>
        <w:t xml:space="preserve"> October 27, 2017, accessed January 25, 2021, www.outlookbusiness.com/the-big-story/lead-story-8/cruising-on-nostalgia-3910.</w:t>
      </w:r>
    </w:p>
  </w:endnote>
  <w:endnote w:id="14">
    <w:p w14:paraId="6CDFD1D4" w14:textId="135857DC"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Nabeel A Khan, “India </w:t>
      </w:r>
      <w:r w:rsidRPr="0047276C">
        <w:rPr>
          <w:rFonts w:ascii="Arial" w:hAnsi="Arial" w:cs="Arial"/>
          <w:sz w:val="17"/>
          <w:szCs w:val="17"/>
          <w:lang w:val="en-CA"/>
        </w:rPr>
        <w:t>H</w:t>
      </w:r>
      <w:r w:rsidRPr="0047276C">
        <w:rPr>
          <w:rFonts w:ascii="Arial" w:hAnsi="Arial" w:cs="Arial"/>
          <w:sz w:val="17"/>
          <w:szCs w:val="17"/>
        </w:rPr>
        <w:t xml:space="preserve">olds </w:t>
      </w:r>
      <w:r w:rsidRPr="0047276C">
        <w:rPr>
          <w:rFonts w:ascii="Arial" w:hAnsi="Arial" w:cs="Arial"/>
          <w:sz w:val="17"/>
          <w:szCs w:val="17"/>
          <w:lang w:val="en-CA"/>
        </w:rPr>
        <w:t>M</w:t>
      </w:r>
      <w:r w:rsidRPr="0047276C">
        <w:rPr>
          <w:rFonts w:ascii="Arial" w:hAnsi="Arial" w:cs="Arial"/>
          <w:sz w:val="17"/>
          <w:szCs w:val="17"/>
        </w:rPr>
        <w:t xml:space="preserve">ore </w:t>
      </w:r>
      <w:r w:rsidRPr="00433444">
        <w:rPr>
          <w:rFonts w:ascii="Arial" w:hAnsi="Arial" w:cs="Arial"/>
          <w:sz w:val="17"/>
          <w:szCs w:val="17"/>
          <w:lang w:val="en-CA"/>
        </w:rPr>
        <w:t>P</w:t>
      </w:r>
      <w:r w:rsidRPr="00433444">
        <w:rPr>
          <w:rFonts w:ascii="Arial" w:hAnsi="Arial" w:cs="Arial"/>
          <w:sz w:val="17"/>
          <w:szCs w:val="17"/>
        </w:rPr>
        <w:t xml:space="preserve">otential than US for Harley Davidson: Peter MacKenzie, MD,” ET Auto, </w:t>
      </w:r>
      <w:r w:rsidRPr="00433444">
        <w:rPr>
          <w:rFonts w:ascii="Arial" w:hAnsi="Arial" w:cs="Arial"/>
          <w:sz w:val="17"/>
          <w:szCs w:val="17"/>
          <w:lang w:val="en-CA"/>
        </w:rPr>
        <w:t>M</w:t>
      </w:r>
      <w:r w:rsidRPr="00433444">
        <w:rPr>
          <w:rFonts w:ascii="Arial" w:hAnsi="Arial" w:cs="Arial"/>
          <w:sz w:val="17"/>
          <w:szCs w:val="17"/>
        </w:rPr>
        <w:t>arch 7, 2018, accessed October 22, 2020, https://auto.economictimes.indiatimes.com/news/two-wheelers/motorcycles/india-holds-more-potential-than-us-for-harley-davidson-pete</w:t>
      </w:r>
      <w:r w:rsidRPr="0047276C">
        <w:rPr>
          <w:rFonts w:ascii="Arial" w:hAnsi="Arial" w:cs="Arial"/>
          <w:sz w:val="17"/>
          <w:szCs w:val="17"/>
        </w:rPr>
        <w:t>r-mackenzie-md/63115024</w:t>
      </w:r>
      <w:r w:rsidRPr="0047276C">
        <w:rPr>
          <w:rStyle w:val="Hyperlink"/>
          <w:rFonts w:ascii="Arial" w:hAnsi="Arial" w:cs="Arial"/>
          <w:sz w:val="17"/>
          <w:szCs w:val="17"/>
        </w:rPr>
        <w:t>.</w:t>
      </w:r>
    </w:p>
  </w:endnote>
  <w:endnote w:id="15">
    <w:p w14:paraId="618194C5" w14:textId="07F70FE9"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Ibid.</w:t>
      </w:r>
    </w:p>
  </w:endnote>
  <w:endnote w:id="16">
    <w:p w14:paraId="433532FE" w14:textId="77777777"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“Imported </w:t>
      </w:r>
      <w:r w:rsidRPr="0047276C">
        <w:rPr>
          <w:rFonts w:ascii="Arial" w:hAnsi="Arial" w:cs="Arial"/>
          <w:sz w:val="17"/>
          <w:szCs w:val="17"/>
          <w:lang w:val="en-CA"/>
        </w:rPr>
        <w:t>B</w:t>
      </w:r>
      <w:r w:rsidRPr="0047276C">
        <w:rPr>
          <w:rFonts w:ascii="Arial" w:hAnsi="Arial" w:cs="Arial"/>
          <w:sz w:val="17"/>
          <w:szCs w:val="17"/>
        </w:rPr>
        <w:t xml:space="preserve">ikes to </w:t>
      </w:r>
      <w:r w:rsidRPr="0047276C">
        <w:rPr>
          <w:rFonts w:ascii="Arial" w:hAnsi="Arial" w:cs="Arial"/>
          <w:sz w:val="17"/>
          <w:szCs w:val="17"/>
          <w:lang w:val="en-CA"/>
        </w:rPr>
        <w:t>G</w:t>
      </w:r>
      <w:r w:rsidRPr="0047276C">
        <w:rPr>
          <w:rFonts w:ascii="Arial" w:hAnsi="Arial" w:cs="Arial"/>
          <w:sz w:val="17"/>
          <w:szCs w:val="17"/>
        </w:rPr>
        <w:t xml:space="preserve">et </w:t>
      </w:r>
      <w:r w:rsidRPr="0047276C">
        <w:rPr>
          <w:rFonts w:ascii="Arial" w:hAnsi="Arial" w:cs="Arial"/>
          <w:sz w:val="17"/>
          <w:szCs w:val="17"/>
          <w:lang w:val="en-CA"/>
        </w:rPr>
        <w:t>C</w:t>
      </w:r>
      <w:r w:rsidRPr="0047276C">
        <w:rPr>
          <w:rFonts w:ascii="Arial" w:hAnsi="Arial" w:cs="Arial"/>
          <w:sz w:val="17"/>
          <w:szCs w:val="17"/>
        </w:rPr>
        <w:t xml:space="preserve">heaper as </w:t>
      </w:r>
      <w:r w:rsidRPr="00433444">
        <w:rPr>
          <w:rFonts w:ascii="Arial" w:hAnsi="Arial" w:cs="Arial"/>
          <w:sz w:val="17"/>
          <w:szCs w:val="17"/>
          <w:lang w:val="en-CA"/>
        </w:rPr>
        <w:t>G</w:t>
      </w:r>
      <w:r w:rsidRPr="00433444">
        <w:rPr>
          <w:rFonts w:ascii="Arial" w:hAnsi="Arial" w:cs="Arial"/>
          <w:sz w:val="17"/>
          <w:szCs w:val="17"/>
        </w:rPr>
        <w:t xml:space="preserve">ovt </w:t>
      </w:r>
      <w:r w:rsidRPr="00433444">
        <w:rPr>
          <w:rFonts w:ascii="Arial" w:hAnsi="Arial" w:cs="Arial"/>
          <w:sz w:val="17"/>
          <w:szCs w:val="17"/>
          <w:lang w:val="en-CA"/>
        </w:rPr>
        <w:t>S</w:t>
      </w:r>
      <w:r w:rsidRPr="00433444">
        <w:rPr>
          <w:rFonts w:ascii="Arial" w:hAnsi="Arial" w:cs="Arial"/>
          <w:sz w:val="17"/>
          <w:szCs w:val="17"/>
        </w:rPr>
        <w:t xml:space="preserve">lashes </w:t>
      </w:r>
      <w:r w:rsidRPr="00433444">
        <w:rPr>
          <w:rFonts w:ascii="Arial" w:hAnsi="Arial" w:cs="Arial"/>
          <w:sz w:val="17"/>
          <w:szCs w:val="17"/>
          <w:lang w:val="en-CA"/>
        </w:rPr>
        <w:t>C</w:t>
      </w:r>
      <w:r w:rsidRPr="00433444">
        <w:rPr>
          <w:rFonts w:ascii="Arial" w:hAnsi="Arial" w:cs="Arial"/>
          <w:sz w:val="17"/>
          <w:szCs w:val="17"/>
        </w:rPr>
        <w:t>ustoms</w:t>
      </w:r>
      <w:r w:rsidRPr="00CB1AB7">
        <w:rPr>
          <w:rFonts w:ascii="Arial" w:hAnsi="Arial" w:cs="Arial"/>
          <w:sz w:val="17"/>
          <w:szCs w:val="17"/>
        </w:rPr>
        <w:t xml:space="preserve"> </w:t>
      </w:r>
      <w:r w:rsidRPr="00CB1AB7">
        <w:rPr>
          <w:rFonts w:ascii="Arial" w:hAnsi="Arial" w:cs="Arial"/>
          <w:sz w:val="17"/>
          <w:szCs w:val="17"/>
          <w:lang w:val="en-CA"/>
        </w:rPr>
        <w:t>D</w:t>
      </w:r>
      <w:r w:rsidRPr="00CB1AB7">
        <w:rPr>
          <w:rFonts w:ascii="Arial" w:hAnsi="Arial" w:cs="Arial"/>
          <w:sz w:val="17"/>
          <w:szCs w:val="17"/>
        </w:rPr>
        <w:t xml:space="preserve">uty to 50%,” </w:t>
      </w:r>
      <w:r w:rsidRPr="00CB1AB7">
        <w:rPr>
          <w:rFonts w:ascii="Arial" w:hAnsi="Arial" w:cs="Arial"/>
          <w:sz w:val="17"/>
          <w:szCs w:val="17"/>
          <w:lang w:val="en-CA"/>
        </w:rPr>
        <w:t>Live</w:t>
      </w:r>
      <w:r w:rsidRPr="00CB1AB7">
        <w:rPr>
          <w:rFonts w:ascii="Arial" w:hAnsi="Arial" w:cs="Arial"/>
          <w:sz w:val="17"/>
          <w:szCs w:val="17"/>
        </w:rPr>
        <w:t>Mint, February 13, 2018, accessed October 23, 2020, www.livemint.com/Industry/gJM132idC3xpw7Dnrc7e1L/Imported-bikes-to-get-cheaper-as-govt-slashes-c</w:t>
      </w:r>
      <w:r w:rsidRPr="0047276C">
        <w:rPr>
          <w:rFonts w:ascii="Arial" w:hAnsi="Arial" w:cs="Arial"/>
          <w:sz w:val="17"/>
          <w:szCs w:val="17"/>
        </w:rPr>
        <w:t>ustoms-duty-t.html</w:t>
      </w:r>
      <w:r w:rsidRPr="0047276C">
        <w:rPr>
          <w:rFonts w:ascii="Arial" w:hAnsi="Arial" w:cs="Arial"/>
          <w:sz w:val="17"/>
          <w:szCs w:val="17"/>
          <w:lang w:val="en-CA"/>
        </w:rPr>
        <w:t>.</w:t>
      </w:r>
    </w:p>
  </w:endnote>
  <w:endnote w:id="17">
    <w:p w14:paraId="6AF2038D" w14:textId="5D6077D9"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“Auto </w:t>
      </w:r>
      <w:r w:rsidRPr="0047276C">
        <w:rPr>
          <w:rFonts w:ascii="Arial" w:hAnsi="Arial" w:cs="Arial"/>
          <w:sz w:val="17"/>
          <w:szCs w:val="17"/>
          <w:lang w:val="en-CA"/>
        </w:rPr>
        <w:t>I</w:t>
      </w:r>
      <w:r w:rsidRPr="0047276C">
        <w:rPr>
          <w:rFonts w:ascii="Arial" w:hAnsi="Arial" w:cs="Arial"/>
          <w:sz w:val="17"/>
          <w:szCs w:val="17"/>
        </w:rPr>
        <w:t>ndustry</w:t>
      </w:r>
      <w:r w:rsidR="00177B51">
        <w:rPr>
          <w:rFonts w:ascii="Arial" w:hAnsi="Arial" w:cs="Arial"/>
          <w:sz w:val="17"/>
          <w:szCs w:val="17"/>
        </w:rPr>
        <w:t xml:space="preserve"> </w:t>
      </w:r>
      <w:r w:rsidRPr="0047276C">
        <w:rPr>
          <w:rFonts w:ascii="Arial" w:hAnsi="Arial" w:cs="Arial"/>
          <w:sz w:val="17"/>
          <w:szCs w:val="17"/>
          <w:lang w:val="en-CA"/>
        </w:rPr>
        <w:t>W</w:t>
      </w:r>
      <w:r w:rsidRPr="0047276C">
        <w:rPr>
          <w:rFonts w:ascii="Arial" w:hAnsi="Arial" w:cs="Arial"/>
          <w:sz w:val="17"/>
          <w:szCs w:val="17"/>
        </w:rPr>
        <w:t xml:space="preserve">elcomes Govt’s </w:t>
      </w:r>
      <w:r w:rsidRPr="0047276C">
        <w:rPr>
          <w:rFonts w:ascii="Arial" w:hAnsi="Arial" w:cs="Arial"/>
          <w:sz w:val="17"/>
          <w:szCs w:val="17"/>
          <w:lang w:val="en-CA"/>
        </w:rPr>
        <w:t>M</w:t>
      </w:r>
      <w:r w:rsidRPr="0047276C">
        <w:rPr>
          <w:rFonts w:ascii="Arial" w:hAnsi="Arial" w:cs="Arial"/>
          <w:sz w:val="17"/>
          <w:szCs w:val="17"/>
        </w:rPr>
        <w:t xml:space="preserve">ove to </w:t>
      </w:r>
      <w:r w:rsidRPr="00433444">
        <w:rPr>
          <w:rFonts w:ascii="Arial" w:hAnsi="Arial" w:cs="Arial"/>
          <w:sz w:val="17"/>
          <w:szCs w:val="17"/>
          <w:lang w:val="en-CA"/>
        </w:rPr>
        <w:t>C</w:t>
      </w:r>
      <w:r w:rsidRPr="00433444">
        <w:rPr>
          <w:rFonts w:ascii="Arial" w:hAnsi="Arial" w:cs="Arial"/>
          <w:sz w:val="17"/>
          <w:szCs w:val="17"/>
        </w:rPr>
        <w:t>ut</w:t>
      </w:r>
      <w:r w:rsidR="00177B51">
        <w:rPr>
          <w:rFonts w:ascii="Arial" w:hAnsi="Arial" w:cs="Arial"/>
          <w:sz w:val="17"/>
          <w:szCs w:val="17"/>
        </w:rPr>
        <w:t xml:space="preserve"> </w:t>
      </w:r>
      <w:r w:rsidRPr="00433444">
        <w:rPr>
          <w:rFonts w:ascii="Arial" w:hAnsi="Arial" w:cs="Arial"/>
          <w:sz w:val="17"/>
          <w:szCs w:val="17"/>
          <w:lang w:val="en-CA"/>
        </w:rPr>
        <w:t>I</w:t>
      </w:r>
      <w:r w:rsidRPr="00433444">
        <w:rPr>
          <w:rFonts w:ascii="Arial" w:hAnsi="Arial" w:cs="Arial"/>
          <w:sz w:val="17"/>
          <w:szCs w:val="17"/>
        </w:rPr>
        <w:t>mport</w:t>
      </w:r>
      <w:r w:rsidR="00177B51">
        <w:rPr>
          <w:rFonts w:ascii="Arial" w:hAnsi="Arial" w:cs="Arial"/>
          <w:sz w:val="17"/>
          <w:szCs w:val="17"/>
        </w:rPr>
        <w:t xml:space="preserve"> </w:t>
      </w:r>
      <w:r w:rsidRPr="00433444">
        <w:rPr>
          <w:rFonts w:ascii="Arial" w:hAnsi="Arial" w:cs="Arial"/>
          <w:sz w:val="17"/>
          <w:szCs w:val="17"/>
          <w:lang w:val="en-CA"/>
        </w:rPr>
        <w:t>D</w:t>
      </w:r>
      <w:r w:rsidRPr="00433444">
        <w:rPr>
          <w:rFonts w:ascii="Arial" w:hAnsi="Arial" w:cs="Arial"/>
          <w:sz w:val="17"/>
          <w:szCs w:val="17"/>
        </w:rPr>
        <w:t xml:space="preserve">uty on </w:t>
      </w:r>
      <w:r w:rsidRPr="00433444">
        <w:rPr>
          <w:rFonts w:ascii="Arial" w:hAnsi="Arial" w:cs="Arial"/>
          <w:sz w:val="17"/>
          <w:szCs w:val="17"/>
          <w:lang w:val="en-CA"/>
        </w:rPr>
        <w:t>L</w:t>
      </w:r>
      <w:r w:rsidRPr="00CB1AB7">
        <w:rPr>
          <w:rFonts w:ascii="Arial" w:hAnsi="Arial" w:cs="Arial"/>
          <w:sz w:val="17"/>
          <w:szCs w:val="17"/>
        </w:rPr>
        <w:t>uxury</w:t>
      </w:r>
      <w:r w:rsidR="00177B51">
        <w:rPr>
          <w:rFonts w:ascii="Arial" w:hAnsi="Arial" w:cs="Arial"/>
          <w:sz w:val="17"/>
          <w:szCs w:val="17"/>
        </w:rPr>
        <w:t xml:space="preserve"> </w:t>
      </w:r>
      <w:r w:rsidRPr="00CB1AB7">
        <w:rPr>
          <w:rFonts w:ascii="Arial" w:hAnsi="Arial" w:cs="Arial"/>
          <w:sz w:val="17"/>
          <w:szCs w:val="17"/>
          <w:lang w:val="en-CA"/>
        </w:rPr>
        <w:t>B</w:t>
      </w:r>
      <w:r w:rsidRPr="00CB1AB7">
        <w:rPr>
          <w:rFonts w:ascii="Arial" w:hAnsi="Arial" w:cs="Arial"/>
          <w:sz w:val="17"/>
          <w:szCs w:val="17"/>
        </w:rPr>
        <w:t>ikes,” ET Auto, February 15, 2018, accessed October 23, 2020, https://auto.economictimes.indiatimes.com/news/two-wheelers/motorcycles/auto-industry-welcomes-govts-move-to-c</w:t>
      </w:r>
      <w:r w:rsidRPr="0047276C">
        <w:rPr>
          <w:rFonts w:ascii="Arial" w:hAnsi="Arial" w:cs="Arial"/>
          <w:sz w:val="17"/>
          <w:szCs w:val="17"/>
        </w:rPr>
        <w:t>ut-import-duty-on-luxury-bikes/62924765</w:t>
      </w:r>
      <w:r w:rsidRPr="0047276C">
        <w:rPr>
          <w:rFonts w:ascii="Arial" w:hAnsi="Arial" w:cs="Arial"/>
          <w:sz w:val="17"/>
          <w:szCs w:val="17"/>
          <w:lang w:val="en-CA"/>
        </w:rPr>
        <w:t>.</w:t>
      </w:r>
    </w:p>
  </w:endnote>
  <w:endnote w:id="18">
    <w:p w14:paraId="617F2AC9" w14:textId="77777777" w:rsidR="00987AA6" w:rsidRPr="00CB1AB7"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“Imported </w:t>
      </w:r>
      <w:r w:rsidRPr="0047276C">
        <w:rPr>
          <w:rFonts w:ascii="Arial" w:hAnsi="Arial" w:cs="Arial"/>
          <w:sz w:val="17"/>
          <w:szCs w:val="17"/>
          <w:lang w:val="en-CA"/>
        </w:rPr>
        <w:t>B</w:t>
      </w:r>
      <w:r w:rsidRPr="0047276C">
        <w:rPr>
          <w:rFonts w:ascii="Arial" w:hAnsi="Arial" w:cs="Arial"/>
          <w:sz w:val="17"/>
          <w:szCs w:val="17"/>
        </w:rPr>
        <w:t xml:space="preserve">ikes to </w:t>
      </w:r>
      <w:r w:rsidRPr="0047276C">
        <w:rPr>
          <w:rFonts w:ascii="Arial" w:hAnsi="Arial" w:cs="Arial"/>
          <w:sz w:val="17"/>
          <w:szCs w:val="17"/>
          <w:lang w:val="en-CA"/>
        </w:rPr>
        <w:t>G</w:t>
      </w:r>
      <w:r w:rsidRPr="0047276C">
        <w:rPr>
          <w:rFonts w:ascii="Arial" w:hAnsi="Arial" w:cs="Arial"/>
          <w:sz w:val="17"/>
          <w:szCs w:val="17"/>
        </w:rPr>
        <w:t xml:space="preserve">et </w:t>
      </w:r>
      <w:r w:rsidRPr="0047276C">
        <w:rPr>
          <w:rFonts w:ascii="Arial" w:hAnsi="Arial" w:cs="Arial"/>
          <w:sz w:val="17"/>
          <w:szCs w:val="17"/>
          <w:lang w:val="en-CA"/>
        </w:rPr>
        <w:t>C</w:t>
      </w:r>
      <w:r w:rsidRPr="0047276C">
        <w:rPr>
          <w:rFonts w:ascii="Arial" w:hAnsi="Arial" w:cs="Arial"/>
          <w:sz w:val="17"/>
          <w:szCs w:val="17"/>
        </w:rPr>
        <w:t xml:space="preserve">heaper as </w:t>
      </w:r>
      <w:r w:rsidRPr="00433444">
        <w:rPr>
          <w:rFonts w:ascii="Arial" w:hAnsi="Arial" w:cs="Arial"/>
          <w:sz w:val="17"/>
          <w:szCs w:val="17"/>
          <w:lang w:val="en-CA"/>
        </w:rPr>
        <w:t>G</w:t>
      </w:r>
      <w:r w:rsidRPr="00433444">
        <w:rPr>
          <w:rFonts w:ascii="Arial" w:hAnsi="Arial" w:cs="Arial"/>
          <w:sz w:val="17"/>
          <w:szCs w:val="17"/>
        </w:rPr>
        <w:t xml:space="preserve">ovt </w:t>
      </w:r>
      <w:r w:rsidRPr="00433444">
        <w:rPr>
          <w:rFonts w:ascii="Arial" w:hAnsi="Arial" w:cs="Arial"/>
          <w:sz w:val="17"/>
          <w:szCs w:val="17"/>
          <w:lang w:val="en-CA"/>
        </w:rPr>
        <w:t>S</w:t>
      </w:r>
      <w:r w:rsidRPr="00433444">
        <w:rPr>
          <w:rFonts w:ascii="Arial" w:hAnsi="Arial" w:cs="Arial"/>
          <w:sz w:val="17"/>
          <w:szCs w:val="17"/>
        </w:rPr>
        <w:t xml:space="preserve">lashes </w:t>
      </w:r>
      <w:r w:rsidRPr="00433444">
        <w:rPr>
          <w:rFonts w:ascii="Arial" w:hAnsi="Arial" w:cs="Arial"/>
          <w:sz w:val="17"/>
          <w:szCs w:val="17"/>
          <w:lang w:val="en-CA"/>
        </w:rPr>
        <w:t>C</w:t>
      </w:r>
      <w:r w:rsidRPr="00433444">
        <w:rPr>
          <w:rFonts w:ascii="Arial" w:hAnsi="Arial" w:cs="Arial"/>
          <w:sz w:val="17"/>
          <w:szCs w:val="17"/>
        </w:rPr>
        <w:t>ustoms</w:t>
      </w:r>
      <w:r w:rsidRPr="00CB1AB7">
        <w:rPr>
          <w:rFonts w:ascii="Arial" w:hAnsi="Arial" w:cs="Arial"/>
          <w:sz w:val="17"/>
          <w:szCs w:val="17"/>
        </w:rPr>
        <w:t xml:space="preserve"> </w:t>
      </w:r>
      <w:r w:rsidRPr="00CB1AB7">
        <w:rPr>
          <w:rFonts w:ascii="Arial" w:hAnsi="Arial" w:cs="Arial"/>
          <w:sz w:val="17"/>
          <w:szCs w:val="17"/>
          <w:lang w:val="en-CA"/>
        </w:rPr>
        <w:t>D</w:t>
      </w:r>
      <w:r w:rsidRPr="00CB1AB7">
        <w:rPr>
          <w:rFonts w:ascii="Arial" w:hAnsi="Arial" w:cs="Arial"/>
          <w:sz w:val="17"/>
          <w:szCs w:val="17"/>
        </w:rPr>
        <w:t>uty to 50%,” op. cit.</w:t>
      </w:r>
    </w:p>
  </w:endnote>
  <w:endnote w:id="19">
    <w:p w14:paraId="669956E1" w14:textId="159DD25B"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Bank Bazaar, “GST Impact on Bikes,” Bank Bazaar, August 28, 2020, accessed October 26, 2020, www.bankbazaar.com/two-wheeler-loan/gst-impact-on-bikes.html.</w:t>
      </w:r>
    </w:p>
  </w:endnote>
  <w:endnote w:id="20">
    <w:p w14:paraId="23A6EB3A" w14:textId="77777777" w:rsidR="00987AA6" w:rsidRPr="0047276C" w:rsidRDefault="00987AA6">
      <w:pPr>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Naveen Soni, “</w:t>
      </w:r>
      <w:r w:rsidRPr="0047276C">
        <w:rPr>
          <w:rFonts w:ascii="Arial" w:hAnsi="Arial" w:cs="Arial"/>
          <w:color w:val="222222"/>
          <w:sz w:val="17"/>
          <w:szCs w:val="17"/>
          <w:shd w:val="clear" w:color="auto" w:fill="FFFFFF"/>
        </w:rPr>
        <w:t xml:space="preserve">GST Effect on Bikes and Scooters,” </w:t>
      </w:r>
      <w:r w:rsidRPr="0047276C">
        <w:rPr>
          <w:rFonts w:ascii="Arial" w:hAnsi="Arial" w:cs="Arial"/>
          <w:i/>
          <w:color w:val="222222"/>
          <w:sz w:val="17"/>
          <w:szCs w:val="17"/>
          <w:shd w:val="clear" w:color="auto" w:fill="FFFFFF"/>
        </w:rPr>
        <w:t>The Times of India</w:t>
      </w:r>
      <w:r w:rsidRPr="0047276C">
        <w:rPr>
          <w:rFonts w:ascii="Arial" w:hAnsi="Arial" w:cs="Arial"/>
          <w:color w:val="222222"/>
          <w:sz w:val="17"/>
          <w:szCs w:val="17"/>
          <w:shd w:val="clear" w:color="auto" w:fill="FFFFFF"/>
        </w:rPr>
        <w:t>, July 2, 2017, accessed October 26, 2020, https://timesofindia.indiatimes.com/auto/bikes/gst-effect-on-bikes-and-scooters/articleshow/59409521.cms.</w:t>
      </w:r>
    </w:p>
  </w:endnote>
  <w:endnote w:id="21">
    <w:p w14:paraId="559AE2B7" w14:textId="337088A0" w:rsidR="00987AA6" w:rsidRPr="0047276C" w:rsidRDefault="00987AA6">
      <w:pPr>
        <w:pStyle w:val="Footnote"/>
      </w:pPr>
      <w:r w:rsidRPr="0047276C">
        <w:rPr>
          <w:rStyle w:val="EndnoteReference"/>
        </w:rPr>
        <w:endnoteRef/>
      </w:r>
      <w:r w:rsidRPr="0047276C">
        <w:t xml:space="preserve"> Ibid.</w:t>
      </w:r>
    </w:p>
  </w:endnote>
  <w:endnote w:id="22">
    <w:p w14:paraId="31F86DBC" w14:textId="437B79BD" w:rsidR="00987AA6" w:rsidRPr="0047276C" w:rsidRDefault="00987AA6">
      <w:pPr>
        <w:pStyle w:val="Footnote"/>
      </w:pPr>
      <w:r w:rsidRPr="0047276C">
        <w:rPr>
          <w:rStyle w:val="EndnoteReference"/>
        </w:rPr>
        <w:endnoteRef/>
      </w:r>
      <w:r w:rsidRPr="0047276C">
        <w:t xml:space="preserve"> Hero MotoCorp Limited, op. cit.</w:t>
      </w:r>
    </w:p>
  </w:endnote>
  <w:endnote w:id="23">
    <w:p w14:paraId="22968450" w14:textId="72FA14E9" w:rsidR="00987AA6" w:rsidRPr="0047276C" w:rsidRDefault="00987AA6">
      <w:pPr>
        <w:pStyle w:val="Footnote"/>
      </w:pPr>
      <w:r w:rsidRPr="0047276C">
        <w:rPr>
          <w:rStyle w:val="EndnoteReference"/>
        </w:rPr>
        <w:endnoteRef/>
      </w:r>
      <w:r w:rsidRPr="0047276C">
        <w:t xml:space="preserve"> “GDP Growth (Annual %)—India,” The World Bank, accessed January 28, 2020, </w:t>
      </w:r>
      <w:r w:rsidRPr="0047276C">
        <w:rPr>
          <w:rStyle w:val="Hyperlink"/>
          <w:color w:val="auto"/>
          <w:u w:val="none"/>
        </w:rPr>
        <w:t>https://data.worldbank.org/indicator/NY.GDP.MKTP.KD.ZG?locations=IN.</w:t>
      </w:r>
    </w:p>
  </w:endnote>
  <w:endnote w:id="24">
    <w:p w14:paraId="035EC1B0" w14:textId="77777777" w:rsidR="00987AA6" w:rsidRPr="0047276C" w:rsidRDefault="00987AA6">
      <w:pPr>
        <w:pStyle w:val="Footnote"/>
      </w:pPr>
      <w:r w:rsidRPr="0047276C">
        <w:rPr>
          <w:rStyle w:val="EndnoteReference"/>
        </w:rPr>
        <w:endnoteRef/>
      </w:r>
      <w:r w:rsidRPr="0047276C">
        <w:t xml:space="preserve"> “Linx: All Segments Sales Register upward Trend Overall Sales Down by Almost 16%,” Market Screener, press release, January 10, 2020, accessed January 20, 2020, www.marketscreener.com/news/latest/Linx-All-Segments-Sales-Register-Upward-Trend-Overall-Sales-Down-by-Almost-16--29817640</w:t>
      </w:r>
      <w:r w:rsidRPr="0047276C">
        <w:rPr>
          <w:rStyle w:val="Hyperlink"/>
          <w:color w:val="auto"/>
          <w:u w:val="none"/>
        </w:rPr>
        <w:t>.</w:t>
      </w:r>
    </w:p>
  </w:endnote>
  <w:endnote w:id="25">
    <w:p w14:paraId="6539417F" w14:textId="53EDF27A" w:rsidR="00987AA6" w:rsidRPr="0047276C" w:rsidRDefault="00987AA6">
      <w:pPr>
        <w:pStyle w:val="Footnote"/>
      </w:pPr>
      <w:r w:rsidRPr="0047276C">
        <w:rPr>
          <w:rStyle w:val="EndnoteReference"/>
        </w:rPr>
        <w:endnoteRef/>
      </w:r>
      <w:r w:rsidRPr="0047276C">
        <w:t xml:space="preserve"> Eicher Motors Limited, </w:t>
      </w:r>
      <w:r w:rsidRPr="0047276C">
        <w:rPr>
          <w:i/>
        </w:rPr>
        <w:t>Annual Report 2018–19</w:t>
      </w:r>
      <w:r w:rsidRPr="0047276C">
        <w:rPr>
          <w:lang w:val="en-CA"/>
        </w:rPr>
        <w:t>, op. cit., 5.</w:t>
      </w:r>
    </w:p>
  </w:endnote>
  <w:endnote w:id="26">
    <w:p w14:paraId="609286B1" w14:textId="1945820E" w:rsidR="00987AA6" w:rsidRPr="0047276C" w:rsidRDefault="00987AA6">
      <w:pPr>
        <w:pStyle w:val="Footnote"/>
      </w:pPr>
      <w:r w:rsidRPr="0047276C">
        <w:rPr>
          <w:rStyle w:val="EndnoteReference"/>
        </w:rPr>
        <w:endnoteRef/>
      </w:r>
      <w:r w:rsidRPr="0047276C">
        <w:t xml:space="preserve"> Lijee Philip, “</w:t>
      </w:r>
      <w:r w:rsidRPr="0047276C">
        <w:rPr>
          <w:shd w:val="clear" w:color="auto" w:fill="FFFFFF"/>
        </w:rPr>
        <w:t xml:space="preserve">Meet Siddhartha Lal, the Man Who Turned Around Royal Enfield into Eicher Motors’ Profit Engine,” </w:t>
      </w:r>
      <w:r w:rsidRPr="0047276C">
        <w:rPr>
          <w:i/>
          <w:shd w:val="clear" w:color="auto" w:fill="FFFFFF"/>
        </w:rPr>
        <w:t>The Economic Times</w:t>
      </w:r>
      <w:r w:rsidRPr="0047276C">
        <w:rPr>
          <w:shd w:val="clear" w:color="auto" w:fill="FFFFFF"/>
        </w:rPr>
        <w:t xml:space="preserve">, September 9, 2015, accessed, December 21, 2019, </w:t>
      </w:r>
      <w:r w:rsidRPr="0047276C">
        <w:rPr>
          <w:rStyle w:val="Hyperlink"/>
          <w:color w:val="auto"/>
          <w:u w:val="none"/>
        </w:rPr>
        <w:t>https://economictimes.indiatimes.com/meet-siddhartha-lal-the-man-who-turned-around-royal-enfield-into-eicher-motors-profit-engine/articleshow/46461712.cms.</w:t>
      </w:r>
    </w:p>
  </w:endnote>
  <w:endnote w:id="27">
    <w:p w14:paraId="7046212B" w14:textId="68260AAD" w:rsidR="00987AA6" w:rsidRPr="0047276C" w:rsidRDefault="00987AA6">
      <w:pPr>
        <w:pStyle w:val="Footnote"/>
      </w:pPr>
      <w:r w:rsidRPr="0047276C">
        <w:rPr>
          <w:rStyle w:val="EndnoteReference"/>
        </w:rPr>
        <w:endnoteRef/>
      </w:r>
      <w:r w:rsidRPr="0047276C">
        <w:t xml:space="preserve"> VE Commercial Vehicles (VECV) was a joint venture between Eicher Motors Limited (54.4 per cent) and Sweden-based Volvo AB (45.6 per cent). VECV was engaged in the business of manufacturing commercial vehicles. Its portfolio included buses and light, medium, and heavy duty trucks branded under both company names. In FY 2018–19, VECV sold 72,969, units of commercial vehicles, up from 65,932 units in FY 2017–18. Eicher Polaris Private Limited was another joint venture between Eicher Motors Limited and Polaris Industries Inc. formed in 2012 and discontinued in 2018. Eicher Motors Limited, </w:t>
      </w:r>
      <w:r w:rsidRPr="0047276C">
        <w:rPr>
          <w:i/>
        </w:rPr>
        <w:t>Annual Report 2018–19</w:t>
      </w:r>
      <w:r w:rsidRPr="0047276C">
        <w:rPr>
          <w:lang w:val="en-CA"/>
        </w:rPr>
        <w:t>, op. cit., 4–10.</w:t>
      </w:r>
    </w:p>
  </w:endnote>
  <w:endnote w:id="28">
    <w:p w14:paraId="4D736BE7" w14:textId="6211807C" w:rsidR="00987AA6" w:rsidRPr="0047276C" w:rsidRDefault="00987AA6">
      <w:pPr>
        <w:pStyle w:val="Footnote"/>
      </w:pPr>
      <w:r w:rsidRPr="0047276C">
        <w:rPr>
          <w:rStyle w:val="EndnoteReference"/>
        </w:rPr>
        <w:endnoteRef/>
      </w:r>
      <w:r w:rsidRPr="0047276C">
        <w:t xml:space="preserve"> In FY 2018–19, Eicher Motors Limited’s share of profits from VE Commercial Vehicles was ₹2.584 billion. Eicher Motors Limited, </w:t>
      </w:r>
      <w:r w:rsidRPr="0047276C">
        <w:rPr>
          <w:i/>
        </w:rPr>
        <w:t>Annual Report 2018–19</w:t>
      </w:r>
      <w:r w:rsidRPr="0047276C">
        <w:t xml:space="preserve">, </w:t>
      </w:r>
      <w:r w:rsidRPr="0047276C">
        <w:rPr>
          <w:lang w:val="en-CA"/>
        </w:rPr>
        <w:t>op. cit., 183.</w:t>
      </w:r>
    </w:p>
  </w:endnote>
  <w:endnote w:id="29">
    <w:p w14:paraId="5FFF4B5E" w14:textId="547AEE83" w:rsidR="00987AA6" w:rsidRPr="0047276C" w:rsidRDefault="00987AA6" w:rsidP="00195AC2">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lang w:val="en-CA"/>
        </w:rPr>
        <w:t xml:space="preserve"> ₹ = INR = Indian rupee; US$1 = ₹71.37 on January 1, 2020; all currency amounts are in ₹ unless otherwise specified.</w:t>
      </w:r>
    </w:p>
  </w:endnote>
  <w:endnote w:id="30">
    <w:p w14:paraId="5FFB35CE" w14:textId="54BD5567" w:rsidR="00987AA6" w:rsidRPr="0047276C" w:rsidRDefault="00987AA6" w:rsidP="0047276C">
      <w:pPr>
        <w:pStyle w:val="Footnote"/>
      </w:pPr>
      <w:r w:rsidRPr="0047276C">
        <w:rPr>
          <w:rStyle w:val="EndnoteReference"/>
        </w:rPr>
        <w:endnoteRef/>
      </w:r>
      <w:r w:rsidRPr="0047276C">
        <w:t xml:space="preserve"> Eicher Motors Limited, </w:t>
      </w:r>
      <w:r w:rsidRPr="0047276C">
        <w:rPr>
          <w:i/>
        </w:rPr>
        <w:t>Annual Report 2018–19</w:t>
      </w:r>
      <w:r w:rsidRPr="0047276C">
        <w:t xml:space="preserve">, </w:t>
      </w:r>
      <w:r w:rsidRPr="0047276C">
        <w:rPr>
          <w:lang w:val="en-CA"/>
        </w:rPr>
        <w:t>op. cit., 7.</w:t>
      </w:r>
    </w:p>
  </w:endnote>
  <w:endnote w:id="31">
    <w:p w14:paraId="434C05D0" w14:textId="21228985" w:rsidR="00987AA6" w:rsidRPr="0047276C" w:rsidRDefault="00987AA6" w:rsidP="0047276C">
      <w:pPr>
        <w:pStyle w:val="Footnote"/>
      </w:pPr>
      <w:r w:rsidRPr="0047276C">
        <w:rPr>
          <w:rStyle w:val="EndnoteReference"/>
        </w:rPr>
        <w:endnoteRef/>
      </w:r>
      <w:r w:rsidRPr="0047276C">
        <w:t xml:space="preserve"> Ibid., 4</w:t>
      </w:r>
      <w:r w:rsidRPr="0047276C">
        <w:rPr>
          <w:lang w:val="en-CA"/>
        </w:rPr>
        <w:t>.</w:t>
      </w:r>
    </w:p>
  </w:endnote>
  <w:endnote w:id="32">
    <w:p w14:paraId="5687DE91" w14:textId="05C64AFC" w:rsidR="00987AA6" w:rsidRPr="0047276C" w:rsidRDefault="00987AA6" w:rsidP="0047276C">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Swati Ramanathan and Ramesh Ramanathan, “Many </w:t>
      </w:r>
      <w:r w:rsidRPr="0047276C">
        <w:rPr>
          <w:rFonts w:ascii="Arial" w:hAnsi="Arial" w:cs="Arial"/>
          <w:sz w:val="17"/>
          <w:szCs w:val="17"/>
          <w:lang w:val="en-CA"/>
        </w:rPr>
        <w:t>L</w:t>
      </w:r>
      <w:r w:rsidRPr="0047276C">
        <w:rPr>
          <w:rFonts w:ascii="Arial" w:hAnsi="Arial" w:cs="Arial"/>
          <w:sz w:val="17"/>
          <w:szCs w:val="17"/>
        </w:rPr>
        <w:t xml:space="preserve">ayers within India’s </w:t>
      </w:r>
      <w:r w:rsidRPr="0047276C">
        <w:rPr>
          <w:rFonts w:ascii="Arial" w:hAnsi="Arial" w:cs="Arial"/>
          <w:sz w:val="17"/>
          <w:szCs w:val="17"/>
          <w:lang w:val="en-CA"/>
        </w:rPr>
        <w:t>M</w:t>
      </w:r>
      <w:r w:rsidRPr="0047276C">
        <w:rPr>
          <w:rFonts w:ascii="Arial" w:hAnsi="Arial" w:cs="Arial"/>
          <w:sz w:val="17"/>
          <w:szCs w:val="17"/>
        </w:rPr>
        <w:t>iddle</w:t>
      </w:r>
      <w:r w:rsidRPr="0047276C">
        <w:rPr>
          <w:rFonts w:ascii="Arial" w:hAnsi="Arial" w:cs="Arial"/>
          <w:sz w:val="17"/>
          <w:szCs w:val="17"/>
          <w:lang w:val="en-CA"/>
        </w:rPr>
        <w:t>C</w:t>
      </w:r>
      <w:r w:rsidRPr="0047276C">
        <w:rPr>
          <w:rFonts w:ascii="Arial" w:hAnsi="Arial" w:cs="Arial"/>
          <w:sz w:val="17"/>
          <w:szCs w:val="17"/>
        </w:rPr>
        <w:t xml:space="preserve">lass,” </w:t>
      </w:r>
      <w:r w:rsidRPr="00433444">
        <w:rPr>
          <w:rFonts w:ascii="Arial" w:hAnsi="Arial" w:cs="Arial"/>
          <w:i/>
          <w:sz w:val="17"/>
          <w:szCs w:val="17"/>
        </w:rPr>
        <w:t>Hindustan Times</w:t>
      </w:r>
      <w:r w:rsidRPr="00433444">
        <w:rPr>
          <w:rFonts w:ascii="Arial" w:hAnsi="Arial" w:cs="Arial"/>
          <w:sz w:val="17"/>
          <w:szCs w:val="17"/>
        </w:rPr>
        <w:t>, April 16, 2019, accessed December 19, 2020, www.hindustantimes.com/india-news/many-layers-within-ind</w:t>
      </w:r>
      <w:r w:rsidRPr="0047276C">
        <w:rPr>
          <w:rFonts w:ascii="Arial" w:hAnsi="Arial" w:cs="Arial"/>
          <w:sz w:val="17"/>
          <w:szCs w:val="17"/>
        </w:rPr>
        <w:t>ia-s-middle-class/story-18h8YO4jgMpeivUgdKyAkO.html</w:t>
      </w:r>
      <w:r w:rsidRPr="0047276C">
        <w:rPr>
          <w:rFonts w:ascii="Arial" w:hAnsi="Arial" w:cs="Arial"/>
          <w:sz w:val="17"/>
          <w:szCs w:val="17"/>
          <w:lang w:val="en-CA"/>
        </w:rPr>
        <w:t>.</w:t>
      </w:r>
    </w:p>
  </w:endnote>
  <w:endnote w:id="33">
    <w:p w14:paraId="357250FF" w14:textId="21A11459" w:rsidR="00987AA6" w:rsidRPr="00195AC2" w:rsidRDefault="00987AA6" w:rsidP="0047276C">
      <w:pPr>
        <w:pStyle w:val="EndnoteText"/>
        <w:jc w:val="both"/>
        <w:rPr>
          <w:rFonts w:ascii="Arial" w:hAnsi="Arial" w:cs="Arial"/>
          <w:spacing w:val="-2"/>
          <w:sz w:val="17"/>
          <w:szCs w:val="17"/>
          <w:lang w:val="en-CA"/>
        </w:rPr>
      </w:pPr>
      <w:r w:rsidRPr="00195AC2">
        <w:rPr>
          <w:rStyle w:val="EndnoteReference"/>
          <w:rFonts w:ascii="Arial" w:hAnsi="Arial" w:cs="Arial"/>
          <w:spacing w:val="-2"/>
          <w:sz w:val="17"/>
          <w:szCs w:val="17"/>
        </w:rPr>
        <w:endnoteRef/>
      </w:r>
      <w:r w:rsidRPr="00195AC2">
        <w:rPr>
          <w:rFonts w:ascii="Arial" w:hAnsi="Arial" w:cs="Arial"/>
          <w:spacing w:val="-2"/>
          <w:sz w:val="17"/>
          <w:szCs w:val="17"/>
        </w:rPr>
        <w:t xml:space="preserve"> Abhaya Gupta, “Why Indian Consumers Are Spending More </w:t>
      </w:r>
      <w:r w:rsidRPr="00195AC2">
        <w:rPr>
          <w:rFonts w:ascii="Arial" w:hAnsi="Arial" w:cs="Arial"/>
          <w:spacing w:val="-2"/>
          <w:sz w:val="17"/>
          <w:szCs w:val="17"/>
          <w:lang w:val="en-CA"/>
        </w:rPr>
        <w:t>t</w:t>
      </w:r>
      <w:r w:rsidRPr="00195AC2">
        <w:rPr>
          <w:rFonts w:ascii="Arial" w:hAnsi="Arial" w:cs="Arial"/>
          <w:spacing w:val="-2"/>
          <w:sz w:val="17"/>
          <w:szCs w:val="17"/>
        </w:rPr>
        <w:t xml:space="preserve">han Ever </w:t>
      </w:r>
      <w:r w:rsidRPr="00195AC2">
        <w:rPr>
          <w:rFonts w:ascii="Arial" w:hAnsi="Arial" w:cs="Arial"/>
          <w:spacing w:val="-2"/>
          <w:sz w:val="17"/>
          <w:szCs w:val="17"/>
          <w:lang w:val="en-CA"/>
        </w:rPr>
        <w:t>o</w:t>
      </w:r>
      <w:r w:rsidRPr="00195AC2">
        <w:rPr>
          <w:rFonts w:ascii="Arial" w:hAnsi="Arial" w:cs="Arial"/>
          <w:spacing w:val="-2"/>
          <w:sz w:val="17"/>
          <w:szCs w:val="17"/>
        </w:rPr>
        <w:t>n Luxury,” Luxury Society, August 15, 2019, accessed December 19, 2020, www.luxurysociety.com/en/articles/2019/08/why-indian-consumers-are-spending-more-ever-luxury</w:t>
      </w:r>
      <w:r w:rsidRPr="00195AC2">
        <w:rPr>
          <w:rFonts w:ascii="Arial" w:hAnsi="Arial" w:cs="Arial"/>
          <w:spacing w:val="-2"/>
          <w:sz w:val="17"/>
          <w:szCs w:val="17"/>
          <w:lang w:val="en-CA"/>
        </w:rPr>
        <w:t>.</w:t>
      </w:r>
    </w:p>
  </w:endnote>
  <w:endnote w:id="34">
    <w:p w14:paraId="7D9A04D3" w14:textId="17B04391" w:rsidR="00987AA6" w:rsidRPr="0047276C" w:rsidRDefault="00987AA6" w:rsidP="0047276C">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Amit Panday, “Bike </w:t>
      </w:r>
      <w:r w:rsidRPr="0047276C">
        <w:rPr>
          <w:rFonts w:ascii="Arial" w:hAnsi="Arial" w:cs="Arial"/>
          <w:sz w:val="17"/>
          <w:szCs w:val="17"/>
          <w:lang w:val="en-CA"/>
        </w:rPr>
        <w:t>M</w:t>
      </w:r>
      <w:r w:rsidRPr="0047276C">
        <w:rPr>
          <w:rFonts w:ascii="Arial" w:hAnsi="Arial" w:cs="Arial"/>
          <w:sz w:val="17"/>
          <w:szCs w:val="17"/>
        </w:rPr>
        <w:t>akers</w:t>
      </w:r>
      <w:r w:rsidRPr="0047276C">
        <w:rPr>
          <w:rFonts w:ascii="Arial" w:hAnsi="Arial" w:cs="Arial"/>
          <w:sz w:val="17"/>
          <w:szCs w:val="17"/>
          <w:lang w:val="en-CA"/>
        </w:rPr>
        <w:t>S</w:t>
      </w:r>
      <w:r w:rsidRPr="004F493A">
        <w:rPr>
          <w:rFonts w:ascii="Arial" w:hAnsi="Arial" w:cs="Arial"/>
          <w:sz w:val="17"/>
          <w:szCs w:val="17"/>
        </w:rPr>
        <w:t>ee</w:t>
      </w:r>
      <w:r w:rsidRPr="00433444">
        <w:rPr>
          <w:rFonts w:ascii="Arial" w:hAnsi="Arial" w:cs="Arial"/>
          <w:sz w:val="17"/>
          <w:szCs w:val="17"/>
          <w:lang w:val="en-CA"/>
        </w:rPr>
        <w:t>B</w:t>
      </w:r>
      <w:r w:rsidRPr="00433444">
        <w:rPr>
          <w:rFonts w:ascii="Arial" w:hAnsi="Arial" w:cs="Arial"/>
          <w:sz w:val="17"/>
          <w:szCs w:val="17"/>
        </w:rPr>
        <w:t>ig</w:t>
      </w:r>
      <w:r w:rsidRPr="00433444">
        <w:rPr>
          <w:rFonts w:ascii="Arial" w:hAnsi="Arial" w:cs="Arial"/>
          <w:sz w:val="17"/>
          <w:szCs w:val="17"/>
          <w:lang w:val="en-CA"/>
        </w:rPr>
        <w:t>G</w:t>
      </w:r>
      <w:r w:rsidRPr="00433444">
        <w:rPr>
          <w:rFonts w:ascii="Arial" w:hAnsi="Arial" w:cs="Arial"/>
          <w:sz w:val="17"/>
          <w:szCs w:val="17"/>
        </w:rPr>
        <w:t xml:space="preserve">ains in </w:t>
      </w:r>
      <w:r w:rsidRPr="00433444">
        <w:rPr>
          <w:rFonts w:ascii="Arial" w:hAnsi="Arial" w:cs="Arial"/>
          <w:sz w:val="17"/>
          <w:szCs w:val="17"/>
          <w:lang w:val="en-CA"/>
        </w:rPr>
        <w:t>A</w:t>
      </w:r>
      <w:r w:rsidRPr="00433444">
        <w:rPr>
          <w:rFonts w:ascii="Arial" w:hAnsi="Arial" w:cs="Arial"/>
          <w:sz w:val="17"/>
          <w:szCs w:val="17"/>
        </w:rPr>
        <w:t>dventure</w:t>
      </w:r>
      <w:r w:rsidRPr="00CB1AB7">
        <w:rPr>
          <w:rFonts w:ascii="Arial" w:hAnsi="Arial" w:cs="Arial"/>
          <w:sz w:val="17"/>
          <w:szCs w:val="17"/>
          <w:lang w:val="en-CA"/>
        </w:rPr>
        <w:t>T</w:t>
      </w:r>
      <w:r w:rsidRPr="00CB1AB7">
        <w:rPr>
          <w:rFonts w:ascii="Arial" w:hAnsi="Arial" w:cs="Arial"/>
          <w:sz w:val="17"/>
          <w:szCs w:val="17"/>
        </w:rPr>
        <w:t xml:space="preserve">ourers,” </w:t>
      </w:r>
      <w:r w:rsidRPr="00CB1AB7">
        <w:rPr>
          <w:rFonts w:ascii="Arial" w:hAnsi="Arial" w:cs="Arial"/>
          <w:i/>
          <w:sz w:val="17"/>
          <w:szCs w:val="17"/>
        </w:rPr>
        <w:t>Auto Car</w:t>
      </w:r>
      <w:r w:rsidRPr="0012742E">
        <w:rPr>
          <w:rFonts w:ascii="Arial" w:hAnsi="Arial" w:cs="Arial"/>
          <w:sz w:val="17"/>
          <w:szCs w:val="17"/>
        </w:rPr>
        <w:t>, January 16, 2017, accessed December 19, 2020, www.autocarindia.com/auto-features/bike-makers-see-big-gains-in-adventure-tourers-403964</w:t>
      </w:r>
      <w:r w:rsidRPr="0047276C">
        <w:rPr>
          <w:rFonts w:ascii="Arial" w:hAnsi="Arial" w:cs="Arial"/>
          <w:sz w:val="17"/>
          <w:szCs w:val="17"/>
          <w:lang w:val="en-CA"/>
        </w:rPr>
        <w:t>.</w:t>
      </w:r>
    </w:p>
  </w:endnote>
  <w:endnote w:id="35">
    <w:p w14:paraId="18B809B7" w14:textId="60178EFD" w:rsidR="00987AA6" w:rsidRPr="0047276C" w:rsidRDefault="00987AA6" w:rsidP="0047276C">
      <w:pPr>
        <w:pStyle w:val="Footnote"/>
      </w:pPr>
      <w:r w:rsidRPr="0047276C">
        <w:rPr>
          <w:rStyle w:val="EndnoteReference"/>
        </w:rPr>
        <w:endnoteRef/>
      </w:r>
      <w:r w:rsidRPr="0047276C">
        <w:t xml:space="preserve"> The genesis of the brand could be traced back to 1891. Eicher Motors Limited, </w:t>
      </w:r>
      <w:r w:rsidRPr="0047276C">
        <w:rPr>
          <w:lang w:val="en-CA"/>
        </w:rPr>
        <w:t>op. cit., 14.</w:t>
      </w:r>
    </w:p>
  </w:endnote>
  <w:endnote w:id="36">
    <w:p w14:paraId="67597D15" w14:textId="77777777" w:rsidR="00987AA6" w:rsidRPr="0047276C" w:rsidRDefault="00987AA6" w:rsidP="0047276C">
      <w:pPr>
        <w:pStyle w:val="Footnote"/>
      </w:pPr>
      <w:r w:rsidRPr="0047276C">
        <w:rPr>
          <w:rStyle w:val="EndnoteReference"/>
        </w:rPr>
        <w:endnoteRef/>
      </w:r>
      <w:r w:rsidRPr="0047276C">
        <w:t xml:space="preserve"> Eicher Motors Limited, </w:t>
      </w:r>
      <w:r w:rsidRPr="0047276C">
        <w:rPr>
          <w:i/>
        </w:rPr>
        <w:t>Annual Report April 01, 2008 – December 31, 2008</w:t>
      </w:r>
      <w:r w:rsidRPr="0047276C">
        <w:t>, accessed September 24, 2020, www.eicher.in/uploads/1532949097_Eicher_Motors_Annual_Report_2008.pdf, 8.</w:t>
      </w:r>
    </w:p>
  </w:endnote>
  <w:endnote w:id="37">
    <w:p w14:paraId="6F207308" w14:textId="02D578D9" w:rsidR="00987AA6" w:rsidRPr="0047276C" w:rsidRDefault="00987AA6" w:rsidP="004F493A">
      <w:pPr>
        <w:pStyle w:val="Footnote"/>
        <w:rPr>
          <w:lang w:val="en-IN"/>
        </w:rPr>
      </w:pPr>
      <w:r w:rsidRPr="0047276C">
        <w:rPr>
          <w:rStyle w:val="EndnoteReference"/>
        </w:rPr>
        <w:endnoteRef/>
      </w:r>
      <w:r w:rsidRPr="0047276C">
        <w:t xml:space="preserve"> N. Madhvan, “Biting the Bullet,” </w:t>
      </w:r>
      <w:r w:rsidRPr="0047276C">
        <w:rPr>
          <w:i/>
        </w:rPr>
        <w:t>Business Today</w:t>
      </w:r>
      <w:r w:rsidRPr="0047276C">
        <w:t xml:space="preserve">, November 27, 2011, accessed December 29, 2019, </w:t>
      </w:r>
      <w:r w:rsidRPr="0047276C">
        <w:rPr>
          <w:rStyle w:val="Hyperlink"/>
          <w:color w:val="auto"/>
          <w:u w:val="none"/>
        </w:rPr>
        <w:t>www.businesstoday.in/magazine/case-study/reviving-royal-enfield-bullet/story/19892.html</w:t>
      </w:r>
    </w:p>
  </w:endnote>
  <w:endnote w:id="38">
    <w:p w14:paraId="4AE9E308" w14:textId="6FE5A112"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Alokesh Bhattacharyya, “Riding the Niche”, </w:t>
      </w:r>
      <w:r w:rsidRPr="0047276C">
        <w:rPr>
          <w:rFonts w:ascii="Arial" w:hAnsi="Arial" w:cs="Arial"/>
          <w:i/>
          <w:sz w:val="17"/>
          <w:szCs w:val="17"/>
        </w:rPr>
        <w:t xml:space="preserve">Business Today, </w:t>
      </w:r>
      <w:r w:rsidRPr="0047276C">
        <w:rPr>
          <w:rFonts w:ascii="Arial" w:hAnsi="Arial" w:cs="Arial"/>
          <w:sz w:val="17"/>
          <w:szCs w:val="17"/>
        </w:rPr>
        <w:t>July 19, 2015, accessed October 26, 2020, www.businesstoday.in/magazine/cover-story/emerging-companies-2015-eicher-motors-siddhartha-lal-future/story/221081.html</w:t>
      </w:r>
      <w:r w:rsidRPr="0047276C">
        <w:rPr>
          <w:rFonts w:ascii="Arial" w:hAnsi="Arial" w:cs="Arial"/>
          <w:sz w:val="17"/>
          <w:szCs w:val="17"/>
          <w:lang w:val="en-CA"/>
        </w:rPr>
        <w:t>.</w:t>
      </w:r>
    </w:p>
  </w:endnote>
  <w:endnote w:id="39">
    <w:p w14:paraId="09B77DC1" w14:textId="77777777" w:rsidR="00987AA6" w:rsidRPr="0047276C" w:rsidRDefault="00987AA6">
      <w:pPr>
        <w:pStyle w:val="Footnote"/>
        <w:rPr>
          <w:lang w:val="en-IN"/>
        </w:rPr>
      </w:pPr>
      <w:r w:rsidRPr="0047276C">
        <w:rPr>
          <w:rStyle w:val="EndnoteReference"/>
        </w:rPr>
        <w:endnoteRef/>
      </w:r>
      <w:r w:rsidRPr="0047276C">
        <w:t xml:space="preserve"> Eicher Motors Limited, </w:t>
      </w:r>
      <w:r w:rsidRPr="0047276C">
        <w:rPr>
          <w:i/>
        </w:rPr>
        <w:t>Joint Investors Meet</w:t>
      </w:r>
      <w:r w:rsidRPr="0047276C">
        <w:t xml:space="preserve">, accessed January 12, 2020, </w:t>
      </w:r>
      <w:r w:rsidRPr="0047276C">
        <w:rPr>
          <w:rStyle w:val="Hyperlink"/>
          <w:color w:val="auto"/>
          <w:u w:val="none"/>
        </w:rPr>
        <w:t>www.eicher.in/admin/uploads/OIR/9159Downloads_Joint%20Investors%20Meet_Presentation%20on%20Eicher%20Motors%20Ltd.pdf.</w:t>
      </w:r>
    </w:p>
  </w:endnote>
  <w:endnote w:id="40">
    <w:p w14:paraId="5F601267" w14:textId="77777777" w:rsidR="00987AA6" w:rsidRPr="0047276C" w:rsidRDefault="00987AA6">
      <w:pPr>
        <w:pStyle w:val="Footnote"/>
        <w:rPr>
          <w:lang w:val="en-IN"/>
        </w:rPr>
      </w:pPr>
      <w:r w:rsidRPr="0047276C">
        <w:rPr>
          <w:rStyle w:val="EndnoteReference"/>
        </w:rPr>
        <w:endnoteRef/>
      </w:r>
      <w:r w:rsidRPr="0047276C">
        <w:rPr>
          <w:lang w:val="en-IN"/>
        </w:rPr>
        <w:t xml:space="preserve"> The variants of Royal Enfield’s Bullet model were </w:t>
      </w:r>
      <w:r w:rsidRPr="0047276C">
        <w:rPr>
          <w:lang w:val="en-IN" w:eastAsia="en-IN"/>
        </w:rPr>
        <w:t xml:space="preserve">Bullet 350, Bullet 350 ES, Bullet 500, Bullet Trial Works Replica 500, and Bullet Trial works Replica 350; the variants of Royal Enfield’s Classic were Classic 350, Classic 500 Stealth Black, Classic 500 Squadron Blue, Classic 500 Desert Storm, Classic 500 Chrome, Classic 500, Classic 350 Gunmetal Grey, Classic 350 Redditch, Classic 350 Signals, and Classic 500 Pegasus. “Motorcycles,” </w:t>
      </w:r>
      <w:r w:rsidRPr="0047276C">
        <w:rPr>
          <w:rStyle w:val="Hyperlink"/>
          <w:color w:val="auto"/>
          <w:u w:val="none"/>
        </w:rPr>
        <w:t xml:space="preserve">Royal Enfield, </w:t>
      </w:r>
      <w:r w:rsidRPr="0047276C">
        <w:t xml:space="preserve">accessed December 11, 2019, </w:t>
      </w:r>
      <w:r w:rsidRPr="0047276C">
        <w:rPr>
          <w:rStyle w:val="Hyperlink"/>
          <w:color w:val="auto"/>
          <w:u w:val="none"/>
        </w:rPr>
        <w:t>www.royalenfield.com/in/en/motorcycles.</w:t>
      </w:r>
    </w:p>
  </w:endnote>
  <w:endnote w:id="41">
    <w:p w14:paraId="03AEE997" w14:textId="2D6E6387" w:rsidR="00987AA6" w:rsidRPr="0047276C" w:rsidRDefault="00987AA6">
      <w:pPr>
        <w:pStyle w:val="Footnote"/>
      </w:pPr>
      <w:r w:rsidRPr="0047276C">
        <w:rPr>
          <w:rStyle w:val="EndnoteReference"/>
        </w:rPr>
        <w:endnoteRef/>
      </w:r>
      <w:r w:rsidRPr="0047276C">
        <w:rPr>
          <w:lang w:val="en-IN"/>
        </w:rPr>
        <w:t xml:space="preserve"> Rajesh Padmashali, o</w:t>
      </w:r>
      <w:r w:rsidRPr="0047276C">
        <w:t>p. cit.</w:t>
      </w:r>
    </w:p>
  </w:endnote>
  <w:endnote w:id="42">
    <w:p w14:paraId="6843F61B" w14:textId="475A419B"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Ankush Chibber, “Royal Enfield </w:t>
      </w:r>
      <w:r w:rsidRPr="0047276C">
        <w:rPr>
          <w:rFonts w:ascii="Arial" w:hAnsi="Arial" w:cs="Arial"/>
          <w:sz w:val="17"/>
          <w:szCs w:val="17"/>
          <w:lang w:val="en-CA"/>
        </w:rPr>
        <w:t>I</w:t>
      </w:r>
      <w:r w:rsidRPr="0047276C">
        <w:rPr>
          <w:rFonts w:ascii="Arial" w:hAnsi="Arial" w:cs="Arial"/>
          <w:sz w:val="17"/>
          <w:szCs w:val="17"/>
        </w:rPr>
        <w:t xml:space="preserve">s </w:t>
      </w:r>
      <w:r w:rsidRPr="0047276C">
        <w:rPr>
          <w:rFonts w:ascii="Arial" w:hAnsi="Arial" w:cs="Arial"/>
          <w:sz w:val="17"/>
          <w:szCs w:val="17"/>
          <w:lang w:val="en-CA"/>
        </w:rPr>
        <w:t>R</w:t>
      </w:r>
      <w:r w:rsidRPr="004F493A">
        <w:rPr>
          <w:rFonts w:ascii="Arial" w:hAnsi="Arial" w:cs="Arial"/>
          <w:sz w:val="17"/>
          <w:szCs w:val="17"/>
        </w:rPr>
        <w:t>iding</w:t>
      </w:r>
      <w:r w:rsidRPr="00433444">
        <w:rPr>
          <w:rFonts w:ascii="Arial" w:hAnsi="Arial" w:cs="Arial"/>
          <w:sz w:val="17"/>
          <w:szCs w:val="17"/>
          <w:lang w:val="en-CA"/>
        </w:rPr>
        <w:t>A</w:t>
      </w:r>
      <w:r w:rsidRPr="00433444">
        <w:rPr>
          <w:rFonts w:ascii="Arial" w:hAnsi="Arial" w:cs="Arial"/>
          <w:sz w:val="17"/>
          <w:szCs w:val="17"/>
        </w:rPr>
        <w:t xml:space="preserve">head of the </w:t>
      </w:r>
      <w:r w:rsidRPr="00433444">
        <w:rPr>
          <w:rFonts w:ascii="Arial" w:hAnsi="Arial" w:cs="Arial"/>
          <w:sz w:val="17"/>
          <w:szCs w:val="17"/>
          <w:lang w:val="en-CA"/>
        </w:rPr>
        <w:t>C</w:t>
      </w:r>
      <w:r w:rsidRPr="00433444">
        <w:rPr>
          <w:rFonts w:ascii="Arial" w:hAnsi="Arial" w:cs="Arial"/>
          <w:sz w:val="17"/>
          <w:szCs w:val="17"/>
        </w:rPr>
        <w:t xml:space="preserve">ompetition, for </w:t>
      </w:r>
      <w:r w:rsidRPr="00433444">
        <w:rPr>
          <w:rFonts w:ascii="Arial" w:hAnsi="Arial" w:cs="Arial"/>
          <w:sz w:val="17"/>
          <w:szCs w:val="17"/>
          <w:lang w:val="en-CA"/>
        </w:rPr>
        <w:t>N</w:t>
      </w:r>
      <w:r w:rsidRPr="00433444">
        <w:rPr>
          <w:rFonts w:ascii="Arial" w:hAnsi="Arial" w:cs="Arial"/>
          <w:sz w:val="17"/>
          <w:szCs w:val="17"/>
        </w:rPr>
        <w:t>ow,” Money Control, February 6, 2014, accessed December</w:t>
      </w:r>
      <w:r w:rsidRPr="0047276C">
        <w:rPr>
          <w:rFonts w:ascii="Arial" w:hAnsi="Arial" w:cs="Arial"/>
          <w:sz w:val="17"/>
          <w:szCs w:val="17"/>
        </w:rPr>
        <w:t xml:space="preserve"> 28, 2020, www.moneycontrol.com/india/newsarticle/news_print.php?autono=1036723&amp;sr_no=0</w:t>
      </w:r>
      <w:r w:rsidRPr="0047276C">
        <w:rPr>
          <w:rFonts w:ascii="Arial" w:hAnsi="Arial" w:cs="Arial"/>
          <w:sz w:val="17"/>
          <w:szCs w:val="17"/>
          <w:lang w:val="en-CA"/>
        </w:rPr>
        <w:t>.</w:t>
      </w:r>
    </w:p>
  </w:endnote>
  <w:endnote w:id="43">
    <w:p w14:paraId="1245691D" w14:textId="127432B4"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Rajesh Padmashali, op. cit.</w:t>
      </w:r>
    </w:p>
  </w:endnote>
  <w:endnote w:id="44">
    <w:p w14:paraId="0BDE4851" w14:textId="58E2BA6A" w:rsidR="00987AA6" w:rsidRPr="004F493A"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Ankush Chibber, </w:t>
      </w:r>
      <w:r w:rsidRPr="0047276C">
        <w:rPr>
          <w:rFonts w:ascii="Arial" w:hAnsi="Arial" w:cs="Arial"/>
          <w:sz w:val="17"/>
          <w:szCs w:val="17"/>
          <w:lang w:val="en-CA"/>
        </w:rPr>
        <w:t>o</w:t>
      </w:r>
      <w:r w:rsidRPr="0047276C">
        <w:rPr>
          <w:rFonts w:ascii="Arial" w:hAnsi="Arial" w:cs="Arial"/>
          <w:sz w:val="17"/>
          <w:szCs w:val="17"/>
        </w:rPr>
        <w:t>p.</w:t>
      </w:r>
      <w:r w:rsidR="00177B51">
        <w:rPr>
          <w:rFonts w:ascii="Arial" w:hAnsi="Arial" w:cs="Arial"/>
          <w:sz w:val="17"/>
          <w:szCs w:val="17"/>
        </w:rPr>
        <w:t xml:space="preserve"> </w:t>
      </w:r>
      <w:r w:rsidRPr="0047276C">
        <w:rPr>
          <w:rFonts w:ascii="Arial" w:hAnsi="Arial" w:cs="Arial"/>
          <w:sz w:val="17"/>
          <w:szCs w:val="17"/>
        </w:rPr>
        <w:t>cit.</w:t>
      </w:r>
    </w:p>
  </w:endnote>
  <w:endnote w:id="45">
    <w:p w14:paraId="6989098A" w14:textId="215DFC60"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Ibid.</w:t>
      </w:r>
    </w:p>
  </w:endnote>
  <w:endnote w:id="46">
    <w:p w14:paraId="493FE33A" w14:textId="2DA7C3EC" w:rsidR="00987AA6" w:rsidRPr="0047276C" w:rsidRDefault="00987AA6">
      <w:pPr>
        <w:pStyle w:val="Footnote"/>
        <w:rPr>
          <w:lang w:val="en-IN"/>
        </w:rPr>
      </w:pPr>
      <w:r w:rsidRPr="0047276C">
        <w:rPr>
          <w:rStyle w:val="EndnoteReference"/>
        </w:rPr>
        <w:endnoteRef/>
      </w:r>
      <w:r w:rsidRPr="0047276C">
        <w:t xml:space="preserve"> “Royal Enfield Roars into Global Market with Interceptor, Continental,” Deccan Chronicle, November, 10, 2018, accessed January 10, 2020, </w:t>
      </w:r>
      <w:r w:rsidRPr="0047276C">
        <w:rPr>
          <w:rStyle w:val="Hyperlink"/>
          <w:color w:val="auto"/>
          <w:u w:val="none"/>
        </w:rPr>
        <w:t>www.deccanchronicle.com/business/autos/101118/royal-enfield-roars-into-global-market-with-interceptor-continental.html.</w:t>
      </w:r>
    </w:p>
  </w:endnote>
  <w:endnote w:id="47">
    <w:p w14:paraId="32FCF7B8" w14:textId="11415AB0" w:rsidR="00987AA6" w:rsidRPr="0047276C" w:rsidRDefault="00987AA6">
      <w:pPr>
        <w:pStyle w:val="Footnote"/>
      </w:pPr>
      <w:r w:rsidRPr="0047276C">
        <w:rPr>
          <w:rStyle w:val="EndnoteReference"/>
        </w:rPr>
        <w:endnoteRef/>
      </w:r>
      <w:r w:rsidRPr="0047276C">
        <w:t xml:space="preserve"> Abhilasha Singh, “Royal Enfield Interceptor 650 India Prices Revealed! To Cost Slightly Higher than KTM 390 Duke,” </w:t>
      </w:r>
      <w:r w:rsidRPr="0047276C">
        <w:rPr>
          <w:i/>
        </w:rPr>
        <w:t>Financial Express,</w:t>
      </w:r>
      <w:r w:rsidRPr="0047276C">
        <w:t xml:space="preserve"> October 22, 2018, accessed September 26, 2020, www.financialexpress.com/auto/bike-news/royal-enfield-interceptor-650-price-in-india-continental-gt-650-price-in-india-confirmed-why-harley-davidson-should-worry/1326495.</w:t>
      </w:r>
    </w:p>
  </w:endnote>
  <w:endnote w:id="48">
    <w:p w14:paraId="2DB82AE8" w14:textId="347F4C3B" w:rsidR="00987AA6" w:rsidRPr="004F493A" w:rsidRDefault="00987AA6">
      <w:pPr>
        <w:pStyle w:val="Footnote"/>
      </w:pPr>
      <w:r w:rsidRPr="0047276C">
        <w:rPr>
          <w:rStyle w:val="EndnoteReference"/>
        </w:rPr>
        <w:endnoteRef/>
      </w:r>
      <w:r w:rsidRPr="0047276C">
        <w:t xml:space="preserve"> Eicher Motors Limited, </w:t>
      </w:r>
      <w:r w:rsidRPr="0047276C">
        <w:rPr>
          <w:i/>
        </w:rPr>
        <w:t>Annual Report 2018–19</w:t>
      </w:r>
      <w:r w:rsidRPr="0047276C">
        <w:t>, op. cit., 26</w:t>
      </w:r>
      <w:r w:rsidRPr="0047276C">
        <w:rPr>
          <w:lang w:val="en-CA"/>
        </w:rPr>
        <w:t>.</w:t>
      </w:r>
    </w:p>
  </w:endnote>
  <w:endnote w:id="49">
    <w:p w14:paraId="0D52D0B0" w14:textId="77777777" w:rsidR="00987AA6" w:rsidRPr="0047276C" w:rsidRDefault="00987AA6">
      <w:pPr>
        <w:pStyle w:val="Footnote"/>
      </w:pPr>
      <w:r w:rsidRPr="0047276C">
        <w:rPr>
          <w:rStyle w:val="EndnoteReference"/>
        </w:rPr>
        <w:endnoteRef/>
      </w:r>
      <w:r w:rsidRPr="0047276C">
        <w:t xml:space="preserve"> Eicher Motors Limited, </w:t>
      </w:r>
      <w:r w:rsidRPr="0047276C">
        <w:rPr>
          <w:i/>
        </w:rPr>
        <w:t>Annual Report 2013</w:t>
      </w:r>
      <w:r w:rsidRPr="0047276C">
        <w:t>, accessed September 24, 2020, www.eicher.in/uploads/1532166715_Eicher_Motors_Annual_Reports_2013.pdf, 2.</w:t>
      </w:r>
    </w:p>
  </w:endnote>
  <w:endnote w:id="50">
    <w:p w14:paraId="3D1CB193" w14:textId="3D906FFE" w:rsidR="00987AA6" w:rsidRPr="004F493A" w:rsidRDefault="00987AA6">
      <w:pPr>
        <w:pStyle w:val="Footnote"/>
      </w:pPr>
      <w:r w:rsidRPr="0047276C">
        <w:rPr>
          <w:rStyle w:val="EndnoteReference"/>
        </w:rPr>
        <w:endnoteRef/>
      </w:r>
      <w:r w:rsidRPr="0047276C">
        <w:t xml:space="preserve"> Eicher Motors Limited, </w:t>
      </w:r>
      <w:r w:rsidRPr="0047276C">
        <w:rPr>
          <w:i/>
        </w:rPr>
        <w:t>Annual Report 2018–19</w:t>
      </w:r>
      <w:r w:rsidRPr="0047276C">
        <w:t>, op. cit., 37</w:t>
      </w:r>
      <w:r w:rsidRPr="0047276C">
        <w:rPr>
          <w:lang w:val="en-CA"/>
        </w:rPr>
        <w:t>.</w:t>
      </w:r>
    </w:p>
  </w:endnote>
  <w:endnote w:id="51">
    <w:p w14:paraId="10D532BE" w14:textId="77777777" w:rsidR="00987AA6" w:rsidRPr="0047276C" w:rsidRDefault="00987AA6">
      <w:pPr>
        <w:pStyle w:val="Footnote"/>
      </w:pPr>
      <w:r w:rsidRPr="0047276C">
        <w:rPr>
          <w:rStyle w:val="EndnoteReference"/>
        </w:rPr>
        <w:endnoteRef/>
      </w:r>
      <w:r w:rsidRPr="0047276C">
        <w:t xml:space="preserve"> Royal Enfield, </w:t>
      </w:r>
      <w:r w:rsidRPr="0047276C">
        <w:rPr>
          <w:i/>
        </w:rPr>
        <w:t>Royal Enfield Signs MOU with Govt. of Tamil Nadu</w:t>
      </w:r>
      <w:r w:rsidRPr="0047276C">
        <w:t xml:space="preserve">, January 24, 2019, accessed December 18, 2019, </w:t>
      </w:r>
      <w:r w:rsidRPr="0047276C">
        <w:rPr>
          <w:rStyle w:val="Hyperlink"/>
          <w:color w:val="auto"/>
          <w:u w:val="none"/>
        </w:rPr>
        <w:t>www.eicher.in/uploads/1556862592_royal-enfield-signs-MOU-with-TN.pdf.</w:t>
      </w:r>
    </w:p>
  </w:endnote>
  <w:endnote w:id="52">
    <w:p w14:paraId="5E084A6F" w14:textId="24E680DC" w:rsidR="00987AA6" w:rsidRPr="00CB1AB7"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Eicher Motors </w:t>
      </w:r>
      <w:r w:rsidRPr="0047276C">
        <w:rPr>
          <w:rFonts w:ascii="Arial" w:hAnsi="Arial" w:cs="Arial"/>
          <w:sz w:val="17"/>
          <w:szCs w:val="17"/>
          <w:lang w:val="en-CA"/>
        </w:rPr>
        <w:t xml:space="preserve">Limited, </w:t>
      </w:r>
      <w:r w:rsidRPr="0047276C">
        <w:rPr>
          <w:rFonts w:ascii="Arial" w:hAnsi="Arial" w:cs="Arial"/>
          <w:sz w:val="17"/>
          <w:szCs w:val="17"/>
        </w:rPr>
        <w:t xml:space="preserve">Annual Report </w:t>
      </w:r>
      <w:r w:rsidRPr="0047276C">
        <w:rPr>
          <w:rFonts w:ascii="Arial" w:hAnsi="Arial" w:cs="Arial"/>
          <w:i/>
          <w:sz w:val="17"/>
          <w:szCs w:val="17"/>
        </w:rPr>
        <w:t xml:space="preserve">April 01, </w:t>
      </w:r>
      <w:r w:rsidRPr="004F493A">
        <w:rPr>
          <w:rFonts w:ascii="Arial" w:hAnsi="Arial" w:cs="Arial"/>
          <w:sz w:val="17"/>
          <w:szCs w:val="17"/>
        </w:rPr>
        <w:t>2008</w:t>
      </w:r>
      <w:r w:rsidRPr="00433444">
        <w:rPr>
          <w:rFonts w:ascii="Arial" w:hAnsi="Arial" w:cs="Arial"/>
          <w:i/>
          <w:sz w:val="17"/>
          <w:szCs w:val="17"/>
        </w:rPr>
        <w:t xml:space="preserve"> – December 31, 2008</w:t>
      </w:r>
      <w:r w:rsidRPr="00433444">
        <w:rPr>
          <w:rFonts w:ascii="Arial" w:hAnsi="Arial" w:cs="Arial"/>
          <w:i/>
          <w:sz w:val="17"/>
          <w:szCs w:val="17"/>
          <w:lang w:val="en-CA"/>
        </w:rPr>
        <w:t xml:space="preserve">, </w:t>
      </w:r>
      <w:r w:rsidRPr="00433444">
        <w:rPr>
          <w:rFonts w:ascii="Arial" w:hAnsi="Arial" w:cs="Arial"/>
          <w:sz w:val="17"/>
          <w:szCs w:val="17"/>
          <w:lang w:val="en-CA"/>
        </w:rPr>
        <w:t xml:space="preserve">op. cit., </w:t>
      </w:r>
      <w:r w:rsidRPr="00433444">
        <w:rPr>
          <w:rFonts w:ascii="Arial" w:hAnsi="Arial" w:cs="Arial"/>
          <w:sz w:val="17"/>
          <w:szCs w:val="17"/>
        </w:rPr>
        <w:t>52</w:t>
      </w:r>
      <w:r w:rsidRPr="00CB1AB7">
        <w:rPr>
          <w:rFonts w:ascii="Arial" w:hAnsi="Arial" w:cs="Arial"/>
          <w:sz w:val="17"/>
          <w:szCs w:val="17"/>
          <w:lang w:val="en-CA"/>
        </w:rPr>
        <w:t>.</w:t>
      </w:r>
    </w:p>
  </w:endnote>
  <w:endnote w:id="53">
    <w:p w14:paraId="7F1C72FD" w14:textId="2A695299" w:rsidR="00987AA6" w:rsidRPr="0047276C" w:rsidRDefault="00987AA6">
      <w:pPr>
        <w:pStyle w:val="Footnote"/>
      </w:pPr>
      <w:r w:rsidRPr="0047276C">
        <w:rPr>
          <w:rStyle w:val="EndnoteReference"/>
        </w:rPr>
        <w:endnoteRef/>
      </w:r>
      <w:r w:rsidRPr="0047276C">
        <w:t xml:space="preserve"> Eicher Motors Limited, </w:t>
      </w:r>
      <w:r w:rsidRPr="0047276C">
        <w:rPr>
          <w:i/>
        </w:rPr>
        <w:t>Annual Report 2018–19</w:t>
      </w:r>
      <w:r w:rsidRPr="0047276C">
        <w:t>, op. cit., 45–46.</w:t>
      </w:r>
    </w:p>
  </w:endnote>
  <w:endnote w:id="54">
    <w:p w14:paraId="01745EFB" w14:textId="0F336BA0" w:rsidR="00987AA6" w:rsidRPr="0047276C" w:rsidRDefault="00987AA6">
      <w:pPr>
        <w:pStyle w:val="Footnote"/>
      </w:pPr>
      <w:r w:rsidRPr="0047276C">
        <w:rPr>
          <w:rStyle w:val="EndnoteReference"/>
        </w:rPr>
        <w:endnoteRef/>
      </w:r>
      <w:r w:rsidRPr="0047276C">
        <w:t xml:space="preserve"> Ibid., 47.</w:t>
      </w:r>
    </w:p>
  </w:endnote>
  <w:endnote w:id="55">
    <w:p w14:paraId="686C7B74" w14:textId="7A012033"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Ibid.</w:t>
      </w:r>
    </w:p>
  </w:endnote>
  <w:endnote w:id="56">
    <w:p w14:paraId="24C8FACB" w14:textId="740C242C" w:rsidR="00987AA6" w:rsidRPr="0047276C" w:rsidRDefault="00987AA6">
      <w:pPr>
        <w:pStyle w:val="Footnote"/>
      </w:pPr>
      <w:r w:rsidRPr="0047276C">
        <w:rPr>
          <w:rStyle w:val="EndnoteReference"/>
        </w:rPr>
        <w:endnoteRef/>
      </w:r>
      <w:r w:rsidRPr="0047276C">
        <w:t xml:space="preserve"> Eicher Motors Limited, </w:t>
      </w:r>
      <w:r w:rsidRPr="0047276C">
        <w:rPr>
          <w:i/>
        </w:rPr>
        <w:t>Annual Report 2016–17</w:t>
      </w:r>
      <w:r w:rsidRPr="0047276C">
        <w:rPr>
          <w:lang w:val="en-CA"/>
        </w:rPr>
        <w:t>, op. cit., 57</w:t>
      </w:r>
      <w:r w:rsidRPr="0047276C">
        <w:t>.</w:t>
      </w:r>
    </w:p>
  </w:endnote>
  <w:endnote w:id="57">
    <w:p w14:paraId="4D4A0108" w14:textId="2E0875DF" w:rsidR="00987AA6" w:rsidRPr="00433444"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Eicher Motors </w:t>
      </w:r>
      <w:r w:rsidRPr="0047276C">
        <w:rPr>
          <w:rFonts w:ascii="Arial" w:hAnsi="Arial" w:cs="Arial"/>
          <w:sz w:val="17"/>
          <w:szCs w:val="17"/>
          <w:lang w:val="en-CA"/>
        </w:rPr>
        <w:t xml:space="preserve">Limited, </w:t>
      </w:r>
      <w:r w:rsidRPr="0047276C">
        <w:rPr>
          <w:rFonts w:ascii="Arial" w:hAnsi="Arial" w:cs="Arial"/>
          <w:i/>
          <w:sz w:val="17"/>
          <w:szCs w:val="17"/>
        </w:rPr>
        <w:t>Annual Report 2018</w:t>
      </w:r>
      <w:r w:rsidRPr="0047276C">
        <w:rPr>
          <w:rFonts w:ascii="Arial" w:hAnsi="Arial" w:cs="Arial"/>
          <w:i/>
          <w:sz w:val="17"/>
          <w:szCs w:val="17"/>
          <w:lang w:val="en-CA"/>
        </w:rPr>
        <w:t>–</w:t>
      </w:r>
      <w:r w:rsidRPr="004F493A">
        <w:rPr>
          <w:rFonts w:ascii="Arial" w:hAnsi="Arial" w:cs="Arial"/>
          <w:i/>
          <w:sz w:val="17"/>
          <w:szCs w:val="17"/>
        </w:rPr>
        <w:t>19</w:t>
      </w:r>
      <w:r w:rsidRPr="00433444">
        <w:rPr>
          <w:rFonts w:ascii="Arial" w:hAnsi="Arial" w:cs="Arial"/>
          <w:sz w:val="17"/>
          <w:szCs w:val="17"/>
          <w:lang w:val="en-CA"/>
        </w:rPr>
        <w:t>, op. cit., 57</w:t>
      </w:r>
      <w:r w:rsidRPr="00433444">
        <w:rPr>
          <w:rFonts w:ascii="Arial" w:hAnsi="Arial" w:cs="Arial"/>
          <w:sz w:val="17"/>
          <w:szCs w:val="17"/>
        </w:rPr>
        <w:t>.</w:t>
      </w:r>
    </w:p>
  </w:endnote>
  <w:endnote w:id="58">
    <w:p w14:paraId="2B166E18" w14:textId="4B75DE7F" w:rsidR="00987AA6" w:rsidRPr="0047276C" w:rsidRDefault="00987AA6">
      <w:pPr>
        <w:pStyle w:val="Footnote"/>
      </w:pPr>
      <w:r w:rsidRPr="0047276C">
        <w:rPr>
          <w:rStyle w:val="EndnoteReference"/>
        </w:rPr>
        <w:endnoteRef/>
      </w:r>
      <w:r w:rsidRPr="0047276C">
        <w:t xml:space="preserve"> Ibid., 42.</w:t>
      </w:r>
    </w:p>
  </w:endnote>
  <w:endnote w:id="59">
    <w:p w14:paraId="168A4E8F" w14:textId="63AF2FD0" w:rsidR="00987AA6" w:rsidRPr="0047276C" w:rsidRDefault="00987AA6">
      <w:pPr>
        <w:pStyle w:val="Footnote"/>
      </w:pPr>
      <w:r w:rsidRPr="0047276C">
        <w:rPr>
          <w:rStyle w:val="EndnoteReference"/>
        </w:rPr>
        <w:endnoteRef/>
      </w:r>
      <w:r w:rsidRPr="0047276C">
        <w:t xml:space="preserve"> Ibid., 42.</w:t>
      </w:r>
    </w:p>
  </w:endnote>
  <w:endnote w:id="60">
    <w:p w14:paraId="52F4947F" w14:textId="1116E5A8" w:rsidR="00987AA6" w:rsidRPr="0047276C" w:rsidRDefault="00987AA6">
      <w:pPr>
        <w:pStyle w:val="Footnote"/>
      </w:pPr>
      <w:r w:rsidRPr="0047276C">
        <w:rPr>
          <w:rStyle w:val="EndnoteReference"/>
        </w:rPr>
        <w:endnoteRef/>
      </w:r>
      <w:r w:rsidRPr="0047276C">
        <w:t xml:space="preserve"> Jawa, “Jawa Motorcycles India Dealership Details Are Here!,” November 22, 2018, accessed September 28, 2020, www.jawamotorcycles.com/news/jawa-motorcycles-india-dealership-details-are-here.</w:t>
      </w:r>
    </w:p>
  </w:endnote>
  <w:endnote w:id="61">
    <w:p w14:paraId="0BF1B018" w14:textId="5691FAEC" w:rsidR="00987AA6" w:rsidRPr="0047276C" w:rsidRDefault="00987AA6">
      <w:pPr>
        <w:pStyle w:val="Footnote"/>
      </w:pPr>
      <w:r w:rsidRPr="0047276C">
        <w:rPr>
          <w:rStyle w:val="EndnoteReference"/>
        </w:rPr>
        <w:endnoteRef/>
      </w:r>
      <w:r w:rsidRPr="0047276C">
        <w:t xml:space="preserve"> Nandana James, “To Meet Demand, Jawa’s Makers Ask Suppliers to Ramp-Up Production,” </w:t>
      </w:r>
      <w:r w:rsidRPr="0047276C">
        <w:rPr>
          <w:i/>
        </w:rPr>
        <w:t>The Hindu Business Line</w:t>
      </w:r>
      <w:r w:rsidRPr="0047276C">
        <w:t>, May 31, 2019, accessed September 29, 2020, www.thehindubusinessline.com/companies/to-meet-demand-jawas-makers-ask-suppliers-to-ramp-up-production/article27377602.ece.</w:t>
      </w:r>
    </w:p>
  </w:endnote>
  <w:endnote w:id="62">
    <w:p w14:paraId="51FD4808" w14:textId="77777777" w:rsidR="00987AA6" w:rsidRPr="0047276C" w:rsidRDefault="00987AA6">
      <w:pPr>
        <w:pStyle w:val="Footnote"/>
      </w:pPr>
      <w:r w:rsidRPr="0047276C">
        <w:rPr>
          <w:rStyle w:val="EndnoteReference"/>
        </w:rPr>
        <w:endnoteRef/>
      </w:r>
      <w:r w:rsidRPr="0047276C">
        <w:t xml:space="preserve"> “Harley-Davidson Celebrates 10 Years in India, Plans to Launch Two New Motorcycles Next Year,” News 18, February 21, 2019, accessed September 27, 2020, www.news18.com/news/auto/harley-davidson-celebrates-10-years-in-india-two-new-motorcycles-to-come-next-year-2044209.html.</w:t>
      </w:r>
    </w:p>
  </w:endnote>
  <w:endnote w:id="63">
    <w:p w14:paraId="7CC14766" w14:textId="395405AE" w:rsidR="00987AA6" w:rsidRPr="0047276C" w:rsidRDefault="00987AA6">
      <w:pPr>
        <w:pStyle w:val="Footnote"/>
      </w:pPr>
      <w:r w:rsidRPr="0047276C">
        <w:rPr>
          <w:rStyle w:val="EndnoteReference"/>
        </w:rPr>
        <w:endnoteRef/>
      </w:r>
      <w:r w:rsidRPr="0047276C">
        <w:t xml:space="preserve"> Sashi Gupta, “Where Is Royal Enfield Headed with Its New Campaign,” </w:t>
      </w:r>
      <w:r w:rsidRPr="0047276C">
        <w:rPr>
          <w:i/>
        </w:rPr>
        <w:t>Economic Times</w:t>
      </w:r>
      <w:r w:rsidRPr="0047276C">
        <w:t xml:space="preserve">, September 24, 2019, accessed July 15, 2020, </w:t>
      </w:r>
      <w:r w:rsidRPr="0047276C">
        <w:rPr>
          <w:rStyle w:val="Hyperlink"/>
          <w:color w:val="auto"/>
          <w:u w:val="none"/>
        </w:rPr>
        <w:t>https://brandequity.economictimes.indiatimes.com/news/advertising/where-is-royal-enfield-headed-with-its-new-campaign/71268802.</w:t>
      </w:r>
    </w:p>
  </w:endnote>
  <w:endnote w:id="64">
    <w:p w14:paraId="1DDD14DC" w14:textId="44F0F9F3" w:rsidR="00987AA6" w:rsidRPr="00433444"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Eicher Motors</w:t>
      </w:r>
      <w:r w:rsidRPr="0047276C">
        <w:rPr>
          <w:rFonts w:ascii="Arial" w:hAnsi="Arial" w:cs="Arial"/>
          <w:sz w:val="17"/>
          <w:szCs w:val="17"/>
          <w:lang w:val="en-CA"/>
        </w:rPr>
        <w:t xml:space="preserve"> Limited, </w:t>
      </w:r>
      <w:r w:rsidRPr="0047276C">
        <w:rPr>
          <w:rFonts w:ascii="Arial" w:hAnsi="Arial" w:cs="Arial"/>
          <w:i/>
          <w:sz w:val="17"/>
          <w:szCs w:val="17"/>
        </w:rPr>
        <w:t>Annual Report 2018</w:t>
      </w:r>
      <w:r w:rsidRPr="0047276C">
        <w:rPr>
          <w:rFonts w:ascii="Arial" w:hAnsi="Arial" w:cs="Arial"/>
          <w:i/>
          <w:sz w:val="17"/>
          <w:szCs w:val="17"/>
          <w:lang w:val="en-CA"/>
        </w:rPr>
        <w:t>–</w:t>
      </w:r>
      <w:r w:rsidRPr="004F493A">
        <w:rPr>
          <w:rFonts w:ascii="Arial" w:hAnsi="Arial" w:cs="Arial"/>
          <w:i/>
          <w:sz w:val="17"/>
          <w:szCs w:val="17"/>
        </w:rPr>
        <w:t>19</w:t>
      </w:r>
      <w:r w:rsidRPr="00433444">
        <w:rPr>
          <w:rFonts w:ascii="Arial" w:hAnsi="Arial" w:cs="Arial"/>
          <w:sz w:val="17"/>
          <w:szCs w:val="17"/>
          <w:lang w:val="en-CA"/>
        </w:rPr>
        <w:t>, op. cit., 42.</w:t>
      </w:r>
    </w:p>
  </w:endnote>
  <w:endnote w:id="65">
    <w:p w14:paraId="4575F8B0" w14:textId="77777777" w:rsidR="00987AA6" w:rsidRPr="0047276C" w:rsidRDefault="00987AA6">
      <w:pPr>
        <w:pStyle w:val="Footnote"/>
      </w:pPr>
      <w:r w:rsidRPr="0047276C">
        <w:rPr>
          <w:rStyle w:val="EndnoteReference"/>
        </w:rPr>
        <w:endnoteRef/>
      </w:r>
      <w:r w:rsidRPr="0047276C">
        <w:t xml:space="preserve"> “</w:t>
      </w:r>
      <w:r w:rsidRPr="0047276C">
        <w:rPr>
          <w:shd w:val="clear" w:color="auto" w:fill="FFFFFF"/>
        </w:rPr>
        <w:t xml:space="preserve">250 Royal Enfield Classic 500 Pegasus Sold in 178 Seconds,” </w:t>
      </w:r>
      <w:r w:rsidRPr="0047276C">
        <w:rPr>
          <w:i/>
        </w:rPr>
        <w:t>The Times of India</w:t>
      </w:r>
      <w:r w:rsidRPr="0047276C">
        <w:rPr>
          <w:shd w:val="clear" w:color="auto" w:fill="FFFFFF"/>
        </w:rPr>
        <w:t xml:space="preserve">, July 25, 2018, accessed January 11, 2020, </w:t>
      </w:r>
      <w:r w:rsidRPr="004F493A">
        <w:rPr>
          <w:rStyle w:val="Hyperlink"/>
          <w:color w:val="auto"/>
          <w:u w:val="none"/>
        </w:rPr>
        <w:t>https://timesofindia.indiatimes.com/auto/bikes/250-royal-enfield-clas</w:t>
      </w:r>
      <w:r w:rsidRPr="00433444">
        <w:rPr>
          <w:rStyle w:val="Hyperlink"/>
          <w:color w:val="auto"/>
          <w:u w:val="none"/>
        </w:rPr>
        <w:t>sic-500-pegasus-sold-in-178-seconds/articleshow/65137350.cms.</w:t>
      </w:r>
    </w:p>
  </w:endnote>
  <w:endnote w:id="66">
    <w:p w14:paraId="59D25DB0" w14:textId="77777777" w:rsidR="00987AA6" w:rsidRPr="0047276C" w:rsidRDefault="00987AA6">
      <w:pPr>
        <w:pStyle w:val="Footnote"/>
      </w:pPr>
      <w:r w:rsidRPr="0047276C">
        <w:rPr>
          <w:rStyle w:val="EndnoteReference"/>
        </w:rPr>
        <w:endnoteRef/>
      </w:r>
      <w:r w:rsidRPr="0047276C">
        <w:t xml:space="preserve"> “Marquee Rides,” Royal Enfield, accessed January 25, 2021, www.royalenfield.com/in/en/rides/marquee-rides.</w:t>
      </w:r>
    </w:p>
  </w:endnote>
  <w:endnote w:id="67">
    <w:p w14:paraId="76611C66" w14:textId="77777777" w:rsidR="00987AA6" w:rsidRPr="0047276C" w:rsidRDefault="00987AA6">
      <w:pPr>
        <w:pStyle w:val="Footnote"/>
      </w:pPr>
      <w:r w:rsidRPr="0047276C">
        <w:rPr>
          <w:rStyle w:val="EndnoteReference"/>
        </w:rPr>
        <w:endnoteRef/>
      </w:r>
      <w:r w:rsidRPr="0047276C">
        <w:t xml:space="preserve"> “Himalayan Odyssey 2019,” Royal Enfield, accessed July 16, 2020, </w:t>
      </w:r>
      <w:r w:rsidRPr="0047276C">
        <w:rPr>
          <w:rStyle w:val="Hyperlink"/>
          <w:color w:val="auto"/>
          <w:u w:val="none"/>
        </w:rPr>
        <w:t>www.royalenfield.com/in/en/rides/marquee-rides/himalayan-odyssey-2019.</w:t>
      </w:r>
    </w:p>
  </w:endnote>
  <w:endnote w:id="68">
    <w:p w14:paraId="068B71BD" w14:textId="71AE8985" w:rsidR="00987AA6" w:rsidRPr="0047276C" w:rsidRDefault="00987AA6">
      <w:pPr>
        <w:pStyle w:val="Footnote"/>
      </w:pPr>
      <w:r w:rsidRPr="0047276C">
        <w:rPr>
          <w:rStyle w:val="EndnoteReference"/>
        </w:rPr>
        <w:endnoteRef/>
      </w:r>
      <w:r w:rsidRPr="0047276C">
        <w:t xml:space="preserve"> “Himalayan Odyssey Women 2019,” Royal Enfield, accessed July 16, 2020, www.royalenfield.com/in/en/rides/marquee-rides/himalayan-odyssey-women-2019; “Scramble Karnataka 2020,” Royal Enfield, accessed July 16, 2020, www.royalenfield.com/in/en/rides/events/scramble-karnataka-2020.</w:t>
      </w:r>
    </w:p>
  </w:endnote>
  <w:endnote w:id="69">
    <w:p w14:paraId="143B9746" w14:textId="4F797D78" w:rsidR="006318DA" w:rsidRDefault="006318DA" w:rsidP="006318DA">
      <w:pPr>
        <w:pStyle w:val="Footnote"/>
      </w:pPr>
      <w:r>
        <w:rPr>
          <w:rStyle w:val="EndnoteReference"/>
        </w:rPr>
        <w:endnoteRef/>
      </w:r>
      <w:r>
        <w:t xml:space="preserve"> “The Kommuniti,” accessed May 2, 2021, </w:t>
      </w:r>
      <w:r w:rsidRPr="006318DA">
        <w:t>https://www.jawamotorcycles.com/kommuniti</w:t>
      </w:r>
      <w:r>
        <w:t>.</w:t>
      </w:r>
    </w:p>
  </w:endnote>
  <w:endnote w:id="70">
    <w:p w14:paraId="7635E6D4" w14:textId="155314F9" w:rsidR="00987AA6" w:rsidRPr="0047276C" w:rsidRDefault="00987AA6">
      <w:pPr>
        <w:pStyle w:val="Footnote"/>
      </w:pPr>
      <w:r w:rsidRPr="0047276C">
        <w:rPr>
          <w:rStyle w:val="EndnoteReference"/>
        </w:rPr>
        <w:endnoteRef/>
      </w:r>
      <w:r w:rsidRPr="0047276C">
        <w:t xml:space="preserve"> Eicher Motors Limited, Annual Report 2018–19, op. cit., 4.</w:t>
      </w:r>
    </w:p>
  </w:endnote>
  <w:endnote w:id="71">
    <w:p w14:paraId="0CE55C5D" w14:textId="00693D81" w:rsidR="00987AA6" w:rsidRPr="0047276C" w:rsidRDefault="00987AA6">
      <w:pPr>
        <w:pStyle w:val="Footnote"/>
      </w:pPr>
      <w:r w:rsidRPr="0047276C">
        <w:rPr>
          <w:rStyle w:val="EndnoteReference"/>
        </w:rPr>
        <w:endnoteRef/>
      </w:r>
      <w:r w:rsidRPr="0047276C">
        <w:t xml:space="preserve"> Ibid., 43.</w:t>
      </w:r>
    </w:p>
  </w:endnote>
  <w:endnote w:id="72">
    <w:p w14:paraId="56150D50" w14:textId="01BE0839" w:rsidR="00987AA6" w:rsidRPr="0047276C" w:rsidRDefault="00987AA6">
      <w:pPr>
        <w:pStyle w:val="Footnote"/>
      </w:pPr>
      <w:r w:rsidRPr="0047276C">
        <w:rPr>
          <w:rStyle w:val="EndnoteReference"/>
        </w:rPr>
        <w:endnoteRef/>
      </w:r>
      <w:r w:rsidRPr="0047276C">
        <w:t xml:space="preserve"> Ibid.</w:t>
      </w:r>
    </w:p>
  </w:endnote>
  <w:endnote w:id="73">
    <w:p w14:paraId="00AC9261" w14:textId="49B512F5" w:rsidR="00987AA6" w:rsidRPr="0047276C" w:rsidRDefault="00987AA6">
      <w:pPr>
        <w:pStyle w:val="Footnote"/>
      </w:pPr>
      <w:r w:rsidRPr="0047276C">
        <w:rPr>
          <w:rStyle w:val="EndnoteReference"/>
        </w:rPr>
        <w:endnoteRef/>
      </w:r>
      <w:r w:rsidRPr="0047276C">
        <w:t xml:space="preserve"> Ibid., 5.</w:t>
      </w:r>
    </w:p>
  </w:endnote>
  <w:endnote w:id="74">
    <w:p w14:paraId="77783E52" w14:textId="33DB857B" w:rsidR="00987AA6" w:rsidRPr="0047276C" w:rsidRDefault="00987AA6">
      <w:pPr>
        <w:pStyle w:val="Footnote"/>
      </w:pPr>
      <w:r w:rsidRPr="0047276C">
        <w:rPr>
          <w:rStyle w:val="EndnoteReference"/>
        </w:rPr>
        <w:endnoteRef/>
      </w:r>
      <w:r w:rsidRPr="0047276C">
        <w:t xml:space="preserve"> Ibid., 66.</w:t>
      </w:r>
    </w:p>
  </w:endnote>
  <w:endnote w:id="75">
    <w:p w14:paraId="5AFBBAA3" w14:textId="7026B3F2" w:rsidR="00987AA6" w:rsidRPr="0047276C" w:rsidRDefault="00987AA6">
      <w:pPr>
        <w:pStyle w:val="Footnote"/>
      </w:pPr>
      <w:r w:rsidRPr="0047276C">
        <w:rPr>
          <w:rStyle w:val="EndnoteReference"/>
        </w:rPr>
        <w:endnoteRef/>
      </w:r>
      <w:r w:rsidRPr="0047276C">
        <w:t xml:space="preserve"> Ibid.</w:t>
      </w:r>
    </w:p>
  </w:endnote>
  <w:endnote w:id="76">
    <w:p w14:paraId="0633E559" w14:textId="55918E47" w:rsidR="00987AA6" w:rsidRPr="0047276C" w:rsidRDefault="00987AA6">
      <w:pPr>
        <w:pStyle w:val="Footnote"/>
      </w:pPr>
      <w:r w:rsidRPr="0047276C">
        <w:rPr>
          <w:rStyle w:val="EndnoteReference"/>
        </w:rPr>
        <w:endnoteRef/>
      </w:r>
      <w:r w:rsidRPr="0047276C">
        <w:t xml:space="preserve"> Ibid.</w:t>
      </w:r>
    </w:p>
  </w:endnote>
  <w:endnote w:id="77">
    <w:p w14:paraId="0FF22A8D" w14:textId="3A54031A" w:rsidR="00987AA6" w:rsidRPr="0047276C" w:rsidRDefault="00987AA6">
      <w:pPr>
        <w:pStyle w:val="Footnote"/>
      </w:pPr>
      <w:r w:rsidRPr="0047276C">
        <w:rPr>
          <w:rStyle w:val="EndnoteReference"/>
        </w:rPr>
        <w:endnoteRef/>
      </w:r>
      <w:r w:rsidRPr="0047276C">
        <w:t xml:space="preserve"> Ibid., 67.</w:t>
      </w:r>
    </w:p>
  </w:endnote>
  <w:endnote w:id="78">
    <w:p w14:paraId="585724EF" w14:textId="77777777" w:rsidR="00987AA6" w:rsidRPr="0047276C" w:rsidRDefault="00987AA6">
      <w:pPr>
        <w:pStyle w:val="Footnote"/>
      </w:pPr>
      <w:r w:rsidRPr="0047276C">
        <w:rPr>
          <w:rStyle w:val="EndnoteReference"/>
        </w:rPr>
        <w:endnoteRef/>
      </w:r>
      <w:r w:rsidRPr="0047276C">
        <w:t xml:space="preserve"> “Royal Enfield Announces the Formation of Its Wholly-Owned Subsidiary in Thailand,” Royal Enfield, March 21, 2019, accessed January 26, 2020, </w:t>
      </w:r>
      <w:r w:rsidRPr="0047276C">
        <w:rPr>
          <w:rStyle w:val="Hyperlink"/>
          <w:color w:val="auto"/>
          <w:u w:val="none"/>
        </w:rPr>
        <w:t>www.eicher.in/uploads/1556880031_royal-enfield-thailand-subsidiary-announcement.pdf.</w:t>
      </w:r>
    </w:p>
  </w:endnote>
  <w:endnote w:id="79">
    <w:p w14:paraId="2230CA21" w14:textId="2ED70ADD" w:rsidR="00987AA6" w:rsidRPr="0047276C" w:rsidRDefault="00987AA6">
      <w:pPr>
        <w:pStyle w:val="Footnote"/>
      </w:pPr>
      <w:r w:rsidRPr="0047276C">
        <w:rPr>
          <w:rStyle w:val="EndnoteReference"/>
        </w:rPr>
        <w:endnoteRef/>
      </w:r>
      <w:r w:rsidRPr="0047276C">
        <w:t xml:space="preserve"> Ibid.</w:t>
      </w:r>
    </w:p>
  </w:endnote>
  <w:endnote w:id="80">
    <w:p w14:paraId="44C71DA5" w14:textId="5D2C9BBC" w:rsidR="00987AA6" w:rsidRPr="0047276C" w:rsidRDefault="00987AA6">
      <w:pPr>
        <w:pStyle w:val="Footnote"/>
      </w:pPr>
      <w:r w:rsidRPr="0047276C">
        <w:rPr>
          <w:rStyle w:val="EndnoteReference"/>
        </w:rPr>
        <w:endnoteRef/>
      </w:r>
      <w:r w:rsidRPr="0047276C">
        <w:t xml:space="preserve"> Eicher Motors Limited, </w:t>
      </w:r>
      <w:r w:rsidRPr="0047276C">
        <w:rPr>
          <w:i/>
        </w:rPr>
        <w:t>Annual Report 2018–19</w:t>
      </w:r>
      <w:r w:rsidRPr="0047276C">
        <w:t>, op. cit., 28.</w:t>
      </w:r>
    </w:p>
  </w:endnote>
  <w:endnote w:id="81">
    <w:p w14:paraId="25C90BA0" w14:textId="0AF91D42" w:rsidR="00987AA6" w:rsidRPr="0047276C" w:rsidRDefault="00987AA6">
      <w:pPr>
        <w:pStyle w:val="Footnote"/>
      </w:pPr>
      <w:r w:rsidRPr="0047276C">
        <w:rPr>
          <w:rStyle w:val="EndnoteReference"/>
        </w:rPr>
        <w:endnoteRef/>
      </w:r>
      <w:r w:rsidRPr="0047276C">
        <w:t xml:space="preserve"> Ibid., 33.</w:t>
      </w:r>
    </w:p>
  </w:endnote>
  <w:endnote w:id="82">
    <w:p w14:paraId="2CCFB3F2" w14:textId="26C5EB83"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lang w:val="en-CA"/>
        </w:rPr>
        <w:t xml:space="preserve"> “Key Financial Ratios of Hero Motocorp (in Rs. Cr.),” Money Control, accessed January 25, 2021, </w:t>
      </w:r>
      <w:r w:rsidRPr="0047276C">
        <w:rPr>
          <w:rFonts w:ascii="Arial" w:hAnsi="Arial" w:cs="Arial"/>
          <w:sz w:val="17"/>
          <w:szCs w:val="17"/>
        </w:rPr>
        <w:t>www.moneycontrol.com/financials/heromotocorp/ratiosVI/HHM</w:t>
      </w:r>
      <w:r w:rsidRPr="0047276C">
        <w:rPr>
          <w:rFonts w:ascii="Arial" w:hAnsi="Arial" w:cs="Arial"/>
          <w:sz w:val="17"/>
          <w:szCs w:val="17"/>
          <w:lang w:val="en-CA"/>
        </w:rPr>
        <w:t>.</w:t>
      </w:r>
    </w:p>
  </w:endnote>
  <w:endnote w:id="83">
    <w:p w14:paraId="373714F2" w14:textId="11E8CC45"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lang w:val="en-CA"/>
        </w:rPr>
        <w:t xml:space="preserve"> “Key Financial Ratios of Bajaj Auto (in Rs. Cr.),” Money Control, accessed January 25, 2021, </w:t>
      </w:r>
      <w:r w:rsidRPr="0047276C">
        <w:rPr>
          <w:rFonts w:ascii="Arial" w:hAnsi="Arial" w:cs="Arial"/>
          <w:sz w:val="17"/>
          <w:szCs w:val="17"/>
        </w:rPr>
        <w:t>www.moneycontrol.com/financials/bajajauto/ratiosVI/BA10</w:t>
      </w:r>
      <w:r w:rsidRPr="0047276C">
        <w:rPr>
          <w:rFonts w:ascii="Arial" w:hAnsi="Arial" w:cs="Arial"/>
          <w:sz w:val="17"/>
          <w:szCs w:val="17"/>
          <w:lang w:val="en-CA"/>
        </w:rPr>
        <w:t>.</w:t>
      </w:r>
    </w:p>
  </w:endnote>
  <w:endnote w:id="84">
    <w:p w14:paraId="572B4D12" w14:textId="2AF13814"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lang w:val="en-CA"/>
        </w:rPr>
        <w:t xml:space="preserve"> R</w:t>
      </w:r>
      <w:r w:rsidRPr="0047276C">
        <w:rPr>
          <w:rFonts w:ascii="Arial" w:hAnsi="Arial" w:cs="Arial"/>
          <w:sz w:val="17"/>
          <w:szCs w:val="17"/>
          <w:lang w:val="en-IN"/>
        </w:rPr>
        <w:t>eturn on capital employed before tax is calculated as (earnings before interest and taxes – depreciation) ÷ (net worth + debt). Return on capital employed after tax is calculated as return on capital employed before tax × (1 – 0.3).</w:t>
      </w:r>
    </w:p>
  </w:endnote>
  <w:endnote w:id="85">
    <w:p w14:paraId="33389E7B" w14:textId="274123B0" w:rsidR="00987AA6" w:rsidRPr="0047276C" w:rsidRDefault="00987AA6">
      <w:pPr>
        <w:pStyle w:val="Footnote"/>
      </w:pPr>
      <w:r w:rsidRPr="0047276C">
        <w:rPr>
          <w:rStyle w:val="EndnoteReference"/>
        </w:rPr>
        <w:endnoteRef/>
      </w:r>
      <w:r w:rsidRPr="0047276C">
        <w:t xml:space="preserve"> Rajesh Padmashali, op. cit., 52.</w:t>
      </w:r>
    </w:p>
  </w:endnote>
  <w:endnote w:id="86">
    <w:p w14:paraId="1E24A097" w14:textId="77777777" w:rsidR="00987AA6" w:rsidRPr="00195AC2" w:rsidRDefault="00987AA6">
      <w:pPr>
        <w:pStyle w:val="Footnote"/>
        <w:rPr>
          <w:spacing w:val="-2"/>
        </w:rPr>
      </w:pPr>
      <w:r w:rsidRPr="00195AC2">
        <w:rPr>
          <w:rStyle w:val="EndnoteReference"/>
          <w:spacing w:val="-2"/>
        </w:rPr>
        <w:endnoteRef/>
      </w:r>
      <w:r w:rsidRPr="00195AC2">
        <w:rPr>
          <w:spacing w:val="-2"/>
        </w:rPr>
        <w:t xml:space="preserve"> Amit Panday, “Bajaj-Triumph JV to Make Only Triumph Branded Bikes,” LiveMint, November 11, 2019, accessed July 16, 2020, </w:t>
      </w:r>
      <w:r w:rsidRPr="00195AC2">
        <w:rPr>
          <w:rStyle w:val="Hyperlink"/>
          <w:color w:val="auto"/>
          <w:spacing w:val="-2"/>
          <w:u w:val="none"/>
        </w:rPr>
        <w:t>www.livemint.com/auto-news/bajaj-triumph-alliance-to-make-only-triumph-branded-motorcycles-11573471611890.html.</w:t>
      </w:r>
    </w:p>
  </w:endnote>
  <w:endnote w:id="87">
    <w:p w14:paraId="7E317467" w14:textId="3BD4D43D"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Jui Mukherjee and T. Surendar, </w:t>
      </w:r>
      <w:r w:rsidRPr="0047276C">
        <w:rPr>
          <w:rFonts w:ascii="Arial" w:hAnsi="Arial" w:cs="Arial"/>
          <w:sz w:val="17"/>
          <w:szCs w:val="17"/>
          <w:lang w:val="en-CA"/>
        </w:rPr>
        <w:t>op. cit.</w:t>
      </w:r>
    </w:p>
  </w:endnote>
  <w:endnote w:id="88">
    <w:p w14:paraId="4A4B926C" w14:textId="0D1654A5"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“TVS </w:t>
      </w:r>
      <w:r w:rsidRPr="0047276C">
        <w:rPr>
          <w:rFonts w:ascii="Arial" w:hAnsi="Arial" w:cs="Arial"/>
          <w:sz w:val="17"/>
          <w:szCs w:val="17"/>
          <w:lang w:val="en-CA"/>
        </w:rPr>
        <w:t>R</w:t>
      </w:r>
      <w:r w:rsidRPr="0047276C">
        <w:rPr>
          <w:rFonts w:ascii="Arial" w:hAnsi="Arial" w:cs="Arial"/>
          <w:sz w:val="17"/>
          <w:szCs w:val="17"/>
        </w:rPr>
        <w:t>olls</w:t>
      </w:r>
      <w:r w:rsidR="00177B51">
        <w:rPr>
          <w:rFonts w:ascii="Arial" w:hAnsi="Arial" w:cs="Arial"/>
          <w:sz w:val="17"/>
          <w:szCs w:val="17"/>
        </w:rPr>
        <w:t xml:space="preserve"> </w:t>
      </w:r>
      <w:r w:rsidRPr="0047276C">
        <w:rPr>
          <w:rFonts w:ascii="Arial" w:hAnsi="Arial" w:cs="Arial"/>
          <w:sz w:val="17"/>
          <w:szCs w:val="17"/>
          <w:lang w:val="en-CA"/>
        </w:rPr>
        <w:t>O</w:t>
      </w:r>
      <w:r w:rsidRPr="0047276C">
        <w:rPr>
          <w:rFonts w:ascii="Arial" w:hAnsi="Arial" w:cs="Arial"/>
          <w:sz w:val="17"/>
          <w:szCs w:val="17"/>
        </w:rPr>
        <w:t xml:space="preserve">ut 50,000th </w:t>
      </w:r>
      <w:r w:rsidRPr="0047276C">
        <w:rPr>
          <w:rFonts w:ascii="Arial" w:hAnsi="Arial" w:cs="Arial"/>
          <w:sz w:val="17"/>
          <w:szCs w:val="17"/>
          <w:lang w:val="en-CA"/>
        </w:rPr>
        <w:t>U</w:t>
      </w:r>
      <w:r w:rsidRPr="0047276C">
        <w:rPr>
          <w:rFonts w:ascii="Arial" w:hAnsi="Arial" w:cs="Arial"/>
          <w:sz w:val="17"/>
          <w:szCs w:val="17"/>
        </w:rPr>
        <w:t xml:space="preserve">nit of the BMW 310cc </w:t>
      </w:r>
      <w:r w:rsidRPr="0047276C">
        <w:rPr>
          <w:rFonts w:ascii="Arial" w:hAnsi="Arial" w:cs="Arial"/>
          <w:sz w:val="17"/>
          <w:szCs w:val="17"/>
          <w:lang w:val="en-CA"/>
        </w:rPr>
        <w:t>M</w:t>
      </w:r>
      <w:r w:rsidRPr="0047276C">
        <w:rPr>
          <w:rFonts w:ascii="Arial" w:hAnsi="Arial" w:cs="Arial"/>
          <w:sz w:val="17"/>
          <w:szCs w:val="17"/>
        </w:rPr>
        <w:t>otorcy</w:t>
      </w:r>
      <w:r w:rsidRPr="00433444">
        <w:rPr>
          <w:rFonts w:ascii="Arial" w:hAnsi="Arial" w:cs="Arial"/>
          <w:sz w:val="17"/>
          <w:szCs w:val="17"/>
        </w:rPr>
        <w:t xml:space="preserve">cle from Hosur </w:t>
      </w:r>
      <w:r w:rsidRPr="00433444">
        <w:rPr>
          <w:rFonts w:ascii="Arial" w:hAnsi="Arial" w:cs="Arial"/>
          <w:sz w:val="17"/>
          <w:szCs w:val="17"/>
          <w:lang w:val="en-CA"/>
        </w:rPr>
        <w:t>P</w:t>
      </w:r>
      <w:r w:rsidRPr="00433444">
        <w:rPr>
          <w:rFonts w:ascii="Arial" w:hAnsi="Arial" w:cs="Arial"/>
          <w:sz w:val="17"/>
          <w:szCs w:val="17"/>
        </w:rPr>
        <w:t xml:space="preserve">lant,” </w:t>
      </w:r>
      <w:r w:rsidRPr="00433444">
        <w:rPr>
          <w:rFonts w:ascii="Arial" w:hAnsi="Arial" w:cs="Arial"/>
          <w:i/>
          <w:sz w:val="17"/>
          <w:szCs w:val="17"/>
        </w:rPr>
        <w:t>Business Standard</w:t>
      </w:r>
      <w:r w:rsidRPr="00433444">
        <w:rPr>
          <w:rFonts w:ascii="Arial" w:hAnsi="Arial" w:cs="Arial"/>
          <w:sz w:val="17"/>
          <w:szCs w:val="17"/>
        </w:rPr>
        <w:t>, December 13, 2018, accessed December 21, 2020, www.business-standard.com/article/companies/tvs-rolls-out-50-000th-unit-of-the-bmw-310cc-motorcycle-from-hosur-plant-118121300571_1.html</w:t>
      </w:r>
      <w:r w:rsidRPr="0047276C">
        <w:rPr>
          <w:rFonts w:ascii="Arial" w:hAnsi="Arial" w:cs="Arial"/>
          <w:sz w:val="17"/>
          <w:szCs w:val="17"/>
          <w:lang w:val="en-CA"/>
        </w:rPr>
        <w:t>.</w:t>
      </w:r>
    </w:p>
  </w:endnote>
  <w:endnote w:id="89">
    <w:p w14:paraId="503D0E94" w14:textId="0B42C444"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Rajesh Padmashali, op. cit.</w:t>
      </w:r>
      <w:r w:rsidRPr="0047276C">
        <w:rPr>
          <w:rFonts w:ascii="Arial" w:hAnsi="Arial" w:cs="Arial"/>
          <w:sz w:val="17"/>
          <w:szCs w:val="17"/>
          <w:lang w:val="en-CA"/>
        </w:rPr>
        <w:t>, 55.</w:t>
      </w:r>
    </w:p>
  </w:endnote>
  <w:endnote w:id="90">
    <w:p w14:paraId="51651955" w14:textId="7CD1BC91"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Jui Mukherjee and T. Surendar, </w:t>
      </w:r>
      <w:r w:rsidRPr="0047276C">
        <w:rPr>
          <w:rFonts w:ascii="Arial" w:hAnsi="Arial" w:cs="Arial"/>
          <w:sz w:val="17"/>
          <w:szCs w:val="17"/>
          <w:lang w:val="en-CA"/>
        </w:rPr>
        <w:t>op. cit.</w:t>
      </w:r>
    </w:p>
  </w:endnote>
  <w:endnote w:id="91">
    <w:p w14:paraId="2E89BC5A" w14:textId="3064F664" w:rsidR="00987AA6" w:rsidRPr="0047276C" w:rsidRDefault="00987AA6">
      <w:pPr>
        <w:pStyle w:val="Footnote"/>
      </w:pPr>
      <w:r w:rsidRPr="0047276C">
        <w:rPr>
          <w:rStyle w:val="EndnoteReference"/>
        </w:rPr>
        <w:endnoteRef/>
      </w:r>
      <w:r w:rsidRPr="0047276C">
        <w:t xml:space="preserve"> Rajesh Padmashali, op. cit., 52.</w:t>
      </w:r>
    </w:p>
  </w:endnote>
  <w:endnote w:id="92">
    <w:p w14:paraId="750BA6CD" w14:textId="3CF51A91" w:rsidR="00987AA6" w:rsidRPr="0047276C" w:rsidRDefault="00987AA6">
      <w:pPr>
        <w:pStyle w:val="Footnote"/>
      </w:pPr>
      <w:r w:rsidRPr="0047276C">
        <w:rPr>
          <w:rStyle w:val="EndnoteReference"/>
        </w:rPr>
        <w:endnoteRef/>
      </w:r>
      <w:r w:rsidRPr="0047276C">
        <w:t xml:space="preserve"> Abhilasha Singh, op. cit. </w:t>
      </w:r>
    </w:p>
  </w:endnote>
  <w:endnote w:id="93">
    <w:p w14:paraId="5B0B0C12" w14:textId="7DF543D9" w:rsidR="00987AA6" w:rsidRPr="0047276C" w:rsidRDefault="00987AA6">
      <w:pPr>
        <w:pStyle w:val="Footnote"/>
      </w:pPr>
      <w:r w:rsidRPr="0047276C">
        <w:rPr>
          <w:rStyle w:val="EndnoteReference"/>
        </w:rPr>
        <w:endnoteRef/>
      </w:r>
      <w:r w:rsidRPr="0047276C">
        <w:t xml:space="preserve"> Ketan Thakkar, “</w:t>
      </w:r>
      <w:r w:rsidRPr="0047276C">
        <w:rPr>
          <w:shd w:val="clear" w:color="auto" w:fill="FFFFFF"/>
        </w:rPr>
        <w:t xml:space="preserve">With India in Focus, Harley Davidson to Come Out with 250–500 cc Bike,” </w:t>
      </w:r>
      <w:r w:rsidRPr="00987AA6">
        <w:rPr>
          <w:rStyle w:val="Hyperlink"/>
          <w:color w:val="auto"/>
          <w:u w:val="none"/>
          <w:shd w:val="clear" w:color="auto" w:fill="FFFFFF"/>
        </w:rPr>
        <w:t>op</w:t>
      </w:r>
      <w:r>
        <w:rPr>
          <w:shd w:val="clear" w:color="auto" w:fill="FFFFFF"/>
        </w:rPr>
        <w:t>. cit</w:t>
      </w:r>
      <w:r w:rsidRPr="0047276C">
        <w:rPr>
          <w:rStyle w:val="Hyperlink"/>
          <w:color w:val="auto"/>
          <w:u w:val="none"/>
        </w:rPr>
        <w:t>.</w:t>
      </w:r>
    </w:p>
  </w:endnote>
  <w:endnote w:id="94">
    <w:p w14:paraId="51DAE348" w14:textId="77777777" w:rsidR="00987AA6" w:rsidRPr="0047276C" w:rsidRDefault="00987AA6">
      <w:pPr>
        <w:pStyle w:val="Footnote"/>
      </w:pPr>
      <w:r w:rsidRPr="0047276C">
        <w:rPr>
          <w:rStyle w:val="EndnoteReference"/>
        </w:rPr>
        <w:endnoteRef/>
      </w:r>
      <w:r w:rsidRPr="0047276C">
        <w:t xml:space="preserve"> “We Are Mahindra,” Mahindra &amp; Mahindra, accessed January 25, 2021, www.mahindra.com/about-mahindra-company.</w:t>
      </w:r>
    </w:p>
  </w:endnote>
  <w:endnote w:id="95">
    <w:p w14:paraId="554E2BB4" w14:textId="2CB9F324" w:rsidR="00987AA6" w:rsidRPr="00195AC2" w:rsidRDefault="00987AA6">
      <w:pPr>
        <w:pStyle w:val="Footnote"/>
        <w:rPr>
          <w:spacing w:val="-4"/>
        </w:rPr>
      </w:pPr>
      <w:r w:rsidRPr="00195AC2">
        <w:rPr>
          <w:rStyle w:val="EndnoteReference"/>
          <w:spacing w:val="-4"/>
        </w:rPr>
        <w:endnoteRef/>
      </w:r>
      <w:r w:rsidRPr="00195AC2">
        <w:rPr>
          <w:spacing w:val="-4"/>
        </w:rPr>
        <w:t xml:space="preserve"> Muntaser</w:t>
      </w:r>
      <w:r w:rsidR="00177B51">
        <w:rPr>
          <w:spacing w:val="-4"/>
        </w:rPr>
        <w:t xml:space="preserve"> </w:t>
      </w:r>
      <w:r w:rsidRPr="00195AC2">
        <w:rPr>
          <w:spacing w:val="-4"/>
        </w:rPr>
        <w:t>Mirkar, “</w:t>
      </w:r>
      <w:r w:rsidRPr="00195AC2">
        <w:rPr>
          <w:spacing w:val="-4"/>
          <w:shd w:val="clear" w:color="auto" w:fill="FFFFFF"/>
        </w:rPr>
        <w:t xml:space="preserve">Mahindra Acquires 80% in Kinetic Motor Cycles,” </w:t>
      </w:r>
      <w:r w:rsidRPr="00195AC2">
        <w:rPr>
          <w:i/>
          <w:spacing w:val="-4"/>
          <w:shd w:val="clear" w:color="auto" w:fill="FFFFFF"/>
        </w:rPr>
        <w:t>The Economic Times</w:t>
      </w:r>
      <w:r w:rsidRPr="00195AC2">
        <w:rPr>
          <w:spacing w:val="-4"/>
          <w:shd w:val="clear" w:color="auto" w:fill="FFFFFF"/>
        </w:rPr>
        <w:t xml:space="preserve">, August 7, 2008, accessed September 27, 2020, </w:t>
      </w:r>
      <w:r w:rsidRPr="00195AC2">
        <w:rPr>
          <w:rStyle w:val="Hyperlink"/>
          <w:color w:val="auto"/>
          <w:spacing w:val="-4"/>
          <w:u w:val="none"/>
          <w:shd w:val="clear" w:color="auto" w:fill="FFFFFF"/>
        </w:rPr>
        <w:t>https://economictimes.indiatimes.com/auto/mahindra-acquires-80-in-kinetic-motor-cycles/articleshow/3335578.cms.</w:t>
      </w:r>
    </w:p>
  </w:endnote>
  <w:endnote w:id="96">
    <w:p w14:paraId="32EF7D78" w14:textId="77777777" w:rsidR="00987AA6" w:rsidRPr="0047276C" w:rsidRDefault="00987AA6">
      <w:pPr>
        <w:pStyle w:val="Footnote"/>
      </w:pPr>
      <w:r w:rsidRPr="0047276C">
        <w:rPr>
          <w:rStyle w:val="EndnoteReference"/>
        </w:rPr>
        <w:endnoteRef/>
      </w:r>
      <w:r w:rsidRPr="0047276C">
        <w:t xml:space="preserve"> Swaraj Baggonkar, “Mahindra ‘Withdraws’ from Mass Market Two-Wheeler Segment,” Money Control, September 4, 2017, accessed September 29, 2020, www.moneycontrol.com/news/business/companies/mahindra-withdraws-from-mass-market-two-wheeler-segment-2376505.html.</w:t>
      </w:r>
    </w:p>
  </w:endnote>
  <w:endnote w:id="97">
    <w:p w14:paraId="28AD3FB5" w14:textId="77777777" w:rsidR="00987AA6" w:rsidRPr="0047276C" w:rsidRDefault="00987AA6">
      <w:pPr>
        <w:pStyle w:val="Footnote"/>
      </w:pPr>
      <w:r w:rsidRPr="0047276C">
        <w:rPr>
          <w:rStyle w:val="EndnoteReference"/>
        </w:rPr>
        <w:endnoteRef/>
      </w:r>
      <w:r w:rsidRPr="0047276C">
        <w:t xml:space="preserve"> Stephen, “</w:t>
      </w:r>
      <w:r w:rsidRPr="0047276C">
        <w:rPr>
          <w:shd w:val="clear" w:color="auto" w:fill="FFFFFF"/>
        </w:rPr>
        <w:t xml:space="preserve">Mahindra Calls It Quits in the Mass Market Two-Wheeler Segment in India—Here’s Why It Makes Sense,” DriveSpark, September 6, 2017, accessed September 27, 2020, </w:t>
      </w:r>
      <w:r w:rsidRPr="0047276C">
        <w:rPr>
          <w:rStyle w:val="Hyperlink"/>
          <w:color w:val="auto"/>
          <w:u w:val="none"/>
          <w:bdr w:val="none" w:sz="0" w:space="0" w:color="auto" w:frame="1"/>
          <w:shd w:val="clear" w:color="auto" w:fill="FFFFFF"/>
        </w:rPr>
        <w:t>www.drivespark.com/off-beat/mahindra-to-exit-the-mass-market-two-wheeler-segment-here-is-why-it-makes-sense-023602.html.</w:t>
      </w:r>
    </w:p>
  </w:endnote>
  <w:endnote w:id="98">
    <w:p w14:paraId="1971D7CD" w14:textId="342AD99F" w:rsidR="00987AA6" w:rsidRPr="0047276C" w:rsidRDefault="00987AA6">
      <w:pPr>
        <w:pStyle w:val="Footnote"/>
      </w:pPr>
      <w:r w:rsidRPr="0047276C">
        <w:rPr>
          <w:rStyle w:val="EndnoteReference"/>
        </w:rPr>
        <w:endnoteRef/>
      </w:r>
      <w:r w:rsidRPr="0047276C">
        <w:t xml:space="preserve"> Rajesh Padmashali, op. cit., 50.</w:t>
      </w:r>
    </w:p>
  </w:endnote>
  <w:endnote w:id="99">
    <w:p w14:paraId="3F708D2B" w14:textId="1F1BCC22" w:rsidR="00987AA6" w:rsidRPr="0047276C" w:rsidRDefault="00987AA6">
      <w:pPr>
        <w:pStyle w:val="Footnote"/>
        <w:rPr>
          <w:i/>
        </w:rPr>
      </w:pPr>
      <w:r w:rsidRPr="0047276C">
        <w:rPr>
          <w:rStyle w:val="EndnoteReference"/>
        </w:rPr>
        <w:endnoteRef/>
      </w:r>
      <w:r w:rsidRPr="0047276C">
        <w:t xml:space="preserve"> Swaraj Baggonkar, op. cit.</w:t>
      </w:r>
    </w:p>
  </w:endnote>
  <w:endnote w:id="100">
    <w:p w14:paraId="5BE47F37" w14:textId="56ED9548"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Ketan Thakkar, “Mahindra 2 Wheelers to De-focus from Mass Market, E</w:t>
      </w:r>
      <w:r w:rsidRPr="00433444">
        <w:rPr>
          <w:rFonts w:ascii="Arial" w:hAnsi="Arial" w:cs="Arial"/>
          <w:sz w:val="17"/>
          <w:szCs w:val="17"/>
        </w:rPr>
        <w:t>yes Niche Premium S</w:t>
      </w:r>
      <w:r w:rsidRPr="00CB1AB7">
        <w:rPr>
          <w:rFonts w:ascii="Arial" w:hAnsi="Arial" w:cs="Arial"/>
          <w:sz w:val="17"/>
          <w:szCs w:val="17"/>
        </w:rPr>
        <w:t xml:space="preserve">egment Play,” </w:t>
      </w:r>
      <w:r w:rsidRPr="0012742E">
        <w:rPr>
          <w:rFonts w:ascii="Arial" w:hAnsi="Arial" w:cs="Arial"/>
          <w:i/>
          <w:sz w:val="17"/>
          <w:szCs w:val="17"/>
        </w:rPr>
        <w:t>The Economic Times</w:t>
      </w:r>
      <w:r w:rsidRPr="0047276C">
        <w:rPr>
          <w:rFonts w:ascii="Arial" w:hAnsi="Arial" w:cs="Arial"/>
          <w:sz w:val="17"/>
          <w:szCs w:val="17"/>
        </w:rPr>
        <w:t>, October 26, 2016, accessed February 13, 2021, https://economictimes.indiatimes.com/mahindra-2-wheelers-to-de-focus-from-mass-market-eyes-niche-premium-segment-play/articleshow/55056157.cms.</w:t>
      </w:r>
    </w:p>
  </w:endnote>
  <w:endnote w:id="101">
    <w:p w14:paraId="67F13D97" w14:textId="77777777" w:rsidR="00987AA6" w:rsidRPr="0047276C" w:rsidRDefault="00987AA6">
      <w:pPr>
        <w:pStyle w:val="Footnote"/>
      </w:pPr>
      <w:r w:rsidRPr="0047276C">
        <w:rPr>
          <w:vertAlign w:val="superscript"/>
        </w:rPr>
        <w:endnoteRef/>
      </w:r>
      <w:r w:rsidRPr="0047276C">
        <w:t xml:space="preserve"> Press Trust of India, “Entering Commuter Two-Wheeler Segment Was a Mistake, Admits Anand Mahindra,” </w:t>
      </w:r>
      <w:r w:rsidRPr="0047276C">
        <w:rPr>
          <w:i/>
        </w:rPr>
        <w:t>Business Standard</w:t>
      </w:r>
      <w:r w:rsidRPr="0047276C">
        <w:t xml:space="preserve">, December 12, 2019, accessed January 13, 2020, </w:t>
      </w:r>
      <w:r w:rsidRPr="0047276C">
        <w:rPr>
          <w:rStyle w:val="Hyperlink"/>
          <w:color w:val="auto"/>
          <w:u w:val="none"/>
        </w:rPr>
        <w:t>www.business-standard.com/article/companies/failure-of-commuter-bike-business-gave-us-some-valuable-lessons-mahindra-119121200068_1.html.</w:t>
      </w:r>
    </w:p>
  </w:endnote>
  <w:endnote w:id="102">
    <w:p w14:paraId="2CD4B72D" w14:textId="77777777" w:rsidR="00987AA6" w:rsidRPr="0047276C" w:rsidRDefault="00987AA6">
      <w:pPr>
        <w:pStyle w:val="Footnote"/>
      </w:pPr>
      <w:r w:rsidRPr="0047276C">
        <w:rPr>
          <w:rStyle w:val="EndnoteReference"/>
        </w:rPr>
        <w:endnoteRef/>
      </w:r>
      <w:r w:rsidRPr="0047276C">
        <w:t xml:space="preserve"> Mahindra &amp; Mahindra, </w:t>
      </w:r>
      <w:r w:rsidRPr="0047276C">
        <w:rPr>
          <w:i/>
        </w:rPr>
        <w:t>Designed to Rise: Integrated Annual Report 2018–19</w:t>
      </w:r>
      <w:r w:rsidRPr="0047276C">
        <w:t>, accessed January 25, 2021, www.mahindra.com/resources/investor-reports/FY19/Annual%20Reports/Mahindra-Mahindra-Annual-report-2018-19.pdf.</w:t>
      </w:r>
    </w:p>
  </w:endnote>
  <w:endnote w:id="103">
    <w:p w14:paraId="778413B5" w14:textId="4F1E8EE4" w:rsidR="00987AA6" w:rsidRPr="0047276C" w:rsidRDefault="00987AA6">
      <w:pPr>
        <w:pStyle w:val="Footnote"/>
      </w:pPr>
      <w:r w:rsidRPr="0047276C">
        <w:rPr>
          <w:rStyle w:val="EndnoteReference"/>
        </w:rPr>
        <w:endnoteRef/>
      </w:r>
      <w:r w:rsidRPr="0047276C">
        <w:t xml:space="preserve"> “</w:t>
      </w:r>
      <w:r w:rsidRPr="0047276C">
        <w:rPr>
          <w:shd w:val="clear" w:color="auto" w:fill="FFFFFF"/>
        </w:rPr>
        <w:t>Mahindra Board Okays Demerger of MTWL’s Two-Wheeler Undertaking,”</w:t>
      </w:r>
      <w:r w:rsidRPr="0047276C">
        <w:t xml:space="preserve"> op. cit.</w:t>
      </w:r>
    </w:p>
  </w:endnote>
  <w:endnote w:id="104">
    <w:p w14:paraId="20F50935" w14:textId="7797CD8A" w:rsidR="00987AA6" w:rsidRPr="0047276C" w:rsidRDefault="00987AA6">
      <w:pPr>
        <w:pStyle w:val="Footnote"/>
        <w:rPr>
          <w:lang w:val="en-IN"/>
        </w:rPr>
      </w:pPr>
      <w:r w:rsidRPr="0047276C">
        <w:rPr>
          <w:rStyle w:val="EndnoteReference"/>
        </w:rPr>
        <w:endnoteRef/>
      </w:r>
      <w:r w:rsidRPr="0047276C">
        <w:t xml:space="preserve"> “Mahindra's Jawa and BSA Bikes to Arrive Soon,” Jawa</w:t>
      </w:r>
      <w:r w:rsidR="00177B51">
        <w:t xml:space="preserve"> </w:t>
      </w:r>
      <w:r w:rsidRPr="0047276C">
        <w:t xml:space="preserve">Motorcycles, accessed January 11, 2020, </w:t>
      </w:r>
      <w:r w:rsidRPr="0047276C">
        <w:rPr>
          <w:rStyle w:val="Hyperlink"/>
          <w:color w:val="auto"/>
          <w:u w:val="none"/>
        </w:rPr>
        <w:t>www.jawamotorcycles.com/news/mahindra-s-jawa-and-bsa-bikes-to-arrive-soon.</w:t>
      </w:r>
    </w:p>
  </w:endnote>
  <w:endnote w:id="105">
    <w:p w14:paraId="736EF2DE" w14:textId="77777777" w:rsidR="00987AA6" w:rsidRPr="0047276C" w:rsidRDefault="00987AA6">
      <w:pPr>
        <w:pStyle w:val="Footnote"/>
      </w:pPr>
      <w:r w:rsidRPr="0047276C">
        <w:rPr>
          <w:rStyle w:val="EndnoteReference"/>
        </w:rPr>
        <w:endnoteRef/>
      </w:r>
      <w:r w:rsidRPr="0047276C">
        <w:t xml:space="preserve"> “The Legend JAWA Is Reborn,” Mahindra &amp; Mahindra, November 15, 2018, accessed September 27, 2020, www.mahindra.com/enewsletter-echo/2018/nov15.</w:t>
      </w:r>
    </w:p>
  </w:endnote>
  <w:endnote w:id="106">
    <w:p w14:paraId="02682CD5" w14:textId="7E868EBC"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Hindol Sengupta, “The </w:t>
      </w:r>
      <w:r w:rsidRPr="0047276C">
        <w:rPr>
          <w:rFonts w:ascii="Arial" w:hAnsi="Arial" w:cs="Arial"/>
          <w:sz w:val="17"/>
          <w:szCs w:val="17"/>
          <w:lang w:val="en-CA"/>
        </w:rPr>
        <w:t>N</w:t>
      </w:r>
      <w:r w:rsidRPr="0047276C">
        <w:rPr>
          <w:rFonts w:ascii="Arial" w:hAnsi="Arial" w:cs="Arial"/>
          <w:sz w:val="17"/>
          <w:szCs w:val="17"/>
        </w:rPr>
        <w:t>ostalgia</w:t>
      </w:r>
      <w:r w:rsidRPr="0047276C">
        <w:rPr>
          <w:rFonts w:ascii="Arial" w:hAnsi="Arial" w:cs="Arial"/>
          <w:sz w:val="17"/>
          <w:szCs w:val="17"/>
          <w:lang w:val="en-CA"/>
        </w:rPr>
        <w:t>E</w:t>
      </w:r>
      <w:r w:rsidRPr="0047276C">
        <w:rPr>
          <w:rFonts w:ascii="Arial" w:hAnsi="Arial" w:cs="Arial"/>
          <w:sz w:val="17"/>
          <w:szCs w:val="17"/>
        </w:rPr>
        <w:t xml:space="preserve">conomy,” </w:t>
      </w:r>
      <w:r w:rsidRPr="0047276C">
        <w:rPr>
          <w:rFonts w:ascii="Arial" w:hAnsi="Arial" w:cs="Arial"/>
          <w:i/>
          <w:sz w:val="17"/>
          <w:szCs w:val="17"/>
        </w:rPr>
        <w:t>Fortune India</w:t>
      </w:r>
      <w:r w:rsidRPr="0047276C">
        <w:rPr>
          <w:rFonts w:ascii="Arial" w:hAnsi="Arial" w:cs="Arial"/>
          <w:sz w:val="17"/>
          <w:szCs w:val="17"/>
        </w:rPr>
        <w:t>, November 17, 2018, accessed December 20, 2020, www.fortuneindia.com/polemicist/the-nostalgia-economy/102685</w:t>
      </w:r>
      <w:r w:rsidRPr="0047276C">
        <w:rPr>
          <w:rFonts w:ascii="Arial" w:hAnsi="Arial" w:cs="Arial"/>
          <w:sz w:val="17"/>
          <w:szCs w:val="17"/>
          <w:lang w:val="en-CA"/>
        </w:rPr>
        <w:t>.</w:t>
      </w:r>
    </w:p>
  </w:endnote>
  <w:endnote w:id="107">
    <w:p w14:paraId="718C965B" w14:textId="43E33574"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rPr>
        <w:t xml:space="preserve"> “Jawa Motorcycles launched in India</w:t>
      </w:r>
      <w:r w:rsidRPr="0047276C">
        <w:rPr>
          <w:rFonts w:ascii="Arial" w:hAnsi="Arial" w:cs="Arial"/>
          <w:sz w:val="17"/>
          <w:szCs w:val="17"/>
          <w:lang w:val="en-CA"/>
        </w:rPr>
        <w:t>—</w:t>
      </w:r>
      <w:r w:rsidRPr="0047276C">
        <w:rPr>
          <w:rFonts w:ascii="Arial" w:hAnsi="Arial" w:cs="Arial"/>
          <w:sz w:val="17"/>
          <w:szCs w:val="17"/>
        </w:rPr>
        <w:t>Jawa, Jawa 42, Perak,” Jawa Motorcycles</w:t>
      </w:r>
      <w:r w:rsidRPr="0047276C">
        <w:rPr>
          <w:rFonts w:ascii="Arial" w:hAnsi="Arial" w:cs="Arial"/>
          <w:sz w:val="17"/>
          <w:szCs w:val="17"/>
          <w:lang w:val="en-CA"/>
        </w:rPr>
        <w:t xml:space="preserve">, </w:t>
      </w:r>
      <w:r w:rsidRPr="0047276C">
        <w:rPr>
          <w:rFonts w:ascii="Arial" w:hAnsi="Arial" w:cs="Arial"/>
          <w:sz w:val="17"/>
          <w:szCs w:val="17"/>
        </w:rPr>
        <w:t>November 16, 2018, accessed October 26, 2020, www.jawamotorcycles.com/news/jawa-motorcycles-launched-in-india-jawa-jawa-42-perak</w:t>
      </w:r>
      <w:r w:rsidRPr="0047276C">
        <w:rPr>
          <w:rFonts w:ascii="Arial" w:hAnsi="Arial" w:cs="Arial"/>
          <w:sz w:val="17"/>
          <w:szCs w:val="17"/>
          <w:lang w:val="en-CA"/>
        </w:rPr>
        <w:t>.</w:t>
      </w:r>
    </w:p>
  </w:endnote>
  <w:endnote w:id="108">
    <w:p w14:paraId="39711CFE" w14:textId="14E8D940" w:rsidR="00987AA6" w:rsidRPr="00CB1AB7"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Sameer Contractor, “Jawa Perak Bookings Commence, Deliveries </w:t>
      </w:r>
      <w:r w:rsidRPr="0047276C">
        <w:rPr>
          <w:rFonts w:ascii="Arial" w:hAnsi="Arial" w:cs="Arial"/>
          <w:sz w:val="17"/>
          <w:szCs w:val="17"/>
          <w:lang w:val="en-CA"/>
        </w:rPr>
        <w:t>t</w:t>
      </w:r>
      <w:r w:rsidRPr="0047276C">
        <w:rPr>
          <w:rFonts w:ascii="Arial" w:hAnsi="Arial" w:cs="Arial"/>
          <w:sz w:val="17"/>
          <w:szCs w:val="17"/>
        </w:rPr>
        <w:t xml:space="preserve">o Start </w:t>
      </w:r>
      <w:r w:rsidRPr="0047276C">
        <w:rPr>
          <w:rFonts w:ascii="Arial" w:hAnsi="Arial" w:cs="Arial"/>
          <w:sz w:val="17"/>
          <w:szCs w:val="17"/>
          <w:lang w:val="en-CA"/>
        </w:rPr>
        <w:t>f</w:t>
      </w:r>
      <w:r w:rsidRPr="0047276C">
        <w:rPr>
          <w:rFonts w:ascii="Arial" w:hAnsi="Arial" w:cs="Arial"/>
          <w:sz w:val="17"/>
          <w:szCs w:val="17"/>
        </w:rPr>
        <w:t xml:space="preserve">rom April 2020,” </w:t>
      </w:r>
      <w:r w:rsidRPr="0047276C">
        <w:rPr>
          <w:rFonts w:ascii="Arial" w:hAnsi="Arial" w:cs="Arial"/>
          <w:sz w:val="17"/>
          <w:szCs w:val="17"/>
          <w:lang w:val="en-CA"/>
        </w:rPr>
        <w:t>C</w:t>
      </w:r>
      <w:r w:rsidRPr="00433444">
        <w:rPr>
          <w:rFonts w:ascii="Arial" w:hAnsi="Arial" w:cs="Arial"/>
          <w:sz w:val="17"/>
          <w:szCs w:val="17"/>
        </w:rPr>
        <w:t>ar</w:t>
      </w:r>
      <w:r w:rsidRPr="00433444">
        <w:rPr>
          <w:rFonts w:ascii="Arial" w:hAnsi="Arial" w:cs="Arial"/>
          <w:sz w:val="17"/>
          <w:szCs w:val="17"/>
          <w:lang w:val="en-CA"/>
        </w:rPr>
        <w:t xml:space="preserve"> a</w:t>
      </w:r>
      <w:r w:rsidRPr="00433444">
        <w:rPr>
          <w:rFonts w:ascii="Arial" w:hAnsi="Arial" w:cs="Arial"/>
          <w:sz w:val="17"/>
          <w:szCs w:val="17"/>
        </w:rPr>
        <w:t>nd</w:t>
      </w:r>
      <w:r w:rsidRPr="00433444">
        <w:rPr>
          <w:rFonts w:ascii="Arial" w:hAnsi="Arial" w:cs="Arial"/>
          <w:sz w:val="17"/>
          <w:szCs w:val="17"/>
          <w:lang w:val="en-CA"/>
        </w:rPr>
        <w:t xml:space="preserve"> B</w:t>
      </w:r>
      <w:r w:rsidRPr="00433444">
        <w:rPr>
          <w:rFonts w:ascii="Arial" w:hAnsi="Arial" w:cs="Arial"/>
          <w:sz w:val="17"/>
          <w:szCs w:val="17"/>
        </w:rPr>
        <w:t>ike, Jan</w:t>
      </w:r>
      <w:r w:rsidRPr="00433444">
        <w:rPr>
          <w:rFonts w:ascii="Arial" w:hAnsi="Arial" w:cs="Arial"/>
          <w:sz w:val="17"/>
          <w:szCs w:val="17"/>
          <w:lang w:val="en-CA"/>
        </w:rPr>
        <w:t>uary</w:t>
      </w:r>
      <w:r w:rsidRPr="00CB1AB7">
        <w:rPr>
          <w:rFonts w:ascii="Arial" w:hAnsi="Arial" w:cs="Arial"/>
          <w:sz w:val="17"/>
          <w:szCs w:val="17"/>
        </w:rPr>
        <w:t xml:space="preserve"> 1, 2020, accessed October 26, 2020, www.carandbike.com/news/jawa-perak-bookings-commence-deliveries-to-start-from-april-2020-2157310.</w:t>
      </w:r>
    </w:p>
  </w:endnote>
  <w:endnote w:id="109">
    <w:p w14:paraId="43721776" w14:textId="0BCEBB01"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Abhay Verma, “Comparison </w:t>
      </w:r>
      <w:r w:rsidRPr="0047276C">
        <w:rPr>
          <w:rFonts w:ascii="Arial" w:hAnsi="Arial" w:cs="Arial"/>
          <w:sz w:val="17"/>
          <w:szCs w:val="17"/>
          <w:lang w:val="en-CA"/>
        </w:rPr>
        <w:t>T</w:t>
      </w:r>
      <w:r w:rsidRPr="0047276C">
        <w:rPr>
          <w:rFonts w:ascii="Arial" w:hAnsi="Arial" w:cs="Arial"/>
          <w:sz w:val="17"/>
          <w:szCs w:val="17"/>
        </w:rPr>
        <w:t>est: 2019 Jawa vs 2019 Royal Enfield Classic 350,” November 27, 2019, accessed December 20, 2020, www.overdrive.in/reviews/comparison-test-2019-jawa-vs-2019-royal-enfield-classic-350-comparo</w:t>
      </w:r>
      <w:r w:rsidRPr="0047276C">
        <w:rPr>
          <w:rFonts w:ascii="Arial" w:hAnsi="Arial" w:cs="Arial"/>
          <w:sz w:val="17"/>
          <w:szCs w:val="17"/>
          <w:lang w:val="en-CA"/>
        </w:rPr>
        <w:t>.</w:t>
      </w:r>
    </w:p>
  </w:endnote>
  <w:endnote w:id="110">
    <w:p w14:paraId="0AFAE5E2" w14:textId="06B2936F"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lang w:val="en-GB"/>
        </w:rPr>
        <w:t xml:space="preserve"> “Compare Bikes: Jawa Perak vs Royal Enfield Classic 350,” ZigWheels, accessed September 24, 2020, </w:t>
      </w:r>
      <w:r w:rsidRPr="0047276C">
        <w:rPr>
          <w:rFonts w:ascii="Arial" w:hAnsi="Arial" w:cs="Arial"/>
          <w:sz w:val="17"/>
          <w:szCs w:val="17"/>
        </w:rPr>
        <w:t>www.zigwheels.com/bike-comparison/jawa-motorcycles-jawa-perak-vs-royal-enfield-classic-350?&amp;_=1608544380677</w:t>
      </w:r>
      <w:r w:rsidRPr="0047276C">
        <w:rPr>
          <w:rFonts w:ascii="Arial" w:hAnsi="Arial" w:cs="Arial"/>
          <w:sz w:val="17"/>
          <w:szCs w:val="17"/>
          <w:lang w:val="en-CA"/>
        </w:rPr>
        <w:t>.</w:t>
      </w:r>
    </w:p>
  </w:endnote>
  <w:endnote w:id="111">
    <w:p w14:paraId="5651C4AD" w14:textId="5675F7DC" w:rsidR="00987AA6" w:rsidRPr="0047276C" w:rsidRDefault="00987AA6">
      <w:pPr>
        <w:pStyle w:val="EndnoteText"/>
        <w:jc w:val="both"/>
        <w:rPr>
          <w:rFonts w:ascii="Arial" w:hAnsi="Arial" w:cs="Arial"/>
          <w:sz w:val="17"/>
          <w:szCs w:val="17"/>
          <w:lang w:val="en-CA"/>
        </w:rPr>
      </w:pPr>
      <w:r w:rsidRPr="0047276C">
        <w:rPr>
          <w:rStyle w:val="EndnoteReference"/>
          <w:rFonts w:ascii="Arial" w:hAnsi="Arial" w:cs="Arial"/>
          <w:sz w:val="17"/>
          <w:szCs w:val="17"/>
        </w:rPr>
        <w:endnoteRef/>
      </w:r>
      <w:r w:rsidRPr="0047276C">
        <w:rPr>
          <w:rFonts w:ascii="Arial" w:hAnsi="Arial" w:cs="Arial"/>
          <w:sz w:val="17"/>
          <w:szCs w:val="17"/>
          <w:lang w:val="en-GB"/>
        </w:rPr>
        <w:t xml:space="preserve"> “Compare Bikes: Jawa vs Royal Enfield Bullet 350,” ZigWheels, accessed September 24, 2020, </w:t>
      </w:r>
      <w:r w:rsidRPr="0047276C">
        <w:rPr>
          <w:rFonts w:ascii="Arial" w:hAnsi="Arial" w:cs="Arial"/>
          <w:sz w:val="17"/>
          <w:szCs w:val="17"/>
        </w:rPr>
        <w:t>www.zigwheels.com/bike-comparison/jawa-motorcycles-jawa-300-vs-royal-enfield-bullet-350-twinspark</w:t>
      </w:r>
      <w:r w:rsidRPr="0047276C">
        <w:rPr>
          <w:rFonts w:ascii="Arial" w:hAnsi="Arial" w:cs="Arial"/>
          <w:sz w:val="17"/>
          <w:szCs w:val="17"/>
          <w:lang w:val="en-CA"/>
        </w:rPr>
        <w:t>.</w:t>
      </w:r>
    </w:p>
  </w:endnote>
  <w:endnote w:id="112">
    <w:p w14:paraId="19F2F5D2" w14:textId="28E98246" w:rsidR="00987AA6" w:rsidRPr="0047276C" w:rsidRDefault="00987AA6">
      <w:pPr>
        <w:pStyle w:val="EndnoteText"/>
        <w:jc w:val="both"/>
        <w:rPr>
          <w:rFonts w:ascii="Arial" w:hAnsi="Arial" w:cs="Arial"/>
          <w:sz w:val="17"/>
          <w:szCs w:val="17"/>
        </w:rPr>
      </w:pPr>
      <w:r w:rsidRPr="0047276C">
        <w:rPr>
          <w:rStyle w:val="EndnoteReference"/>
          <w:rFonts w:ascii="Arial" w:hAnsi="Arial" w:cs="Arial"/>
          <w:sz w:val="17"/>
          <w:szCs w:val="17"/>
        </w:rPr>
        <w:endnoteRef/>
      </w:r>
      <w:r w:rsidRPr="0047276C">
        <w:rPr>
          <w:rFonts w:ascii="Arial" w:hAnsi="Arial" w:cs="Arial"/>
          <w:sz w:val="17"/>
          <w:szCs w:val="17"/>
        </w:rPr>
        <w:t xml:space="preserve"> Jui Mukherjee and T. Surendar, </w:t>
      </w:r>
      <w:r w:rsidRPr="0047276C">
        <w:rPr>
          <w:rFonts w:ascii="Arial" w:hAnsi="Arial" w:cs="Arial"/>
          <w:sz w:val="17"/>
          <w:szCs w:val="17"/>
          <w:lang w:val="en-CA"/>
        </w:rPr>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BF93" w14:textId="77777777" w:rsidR="00987AA6" w:rsidRDefault="00987AA6" w:rsidP="00D75295">
      <w:r>
        <w:separator/>
      </w:r>
    </w:p>
  </w:footnote>
  <w:footnote w:type="continuationSeparator" w:id="0">
    <w:p w14:paraId="53B92F7E" w14:textId="77777777" w:rsidR="00987AA6" w:rsidRDefault="00987AA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57C9" w14:textId="431470B1" w:rsidR="00987AA6" w:rsidRPr="00C92CC4" w:rsidRDefault="00987AA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r w:rsidR="00F57EDA">
      <w:rPr>
        <w:rFonts w:ascii="Arial" w:hAnsi="Arial"/>
        <w:b/>
      </w:rPr>
      <w:t>9B21M042</w:t>
    </w:r>
  </w:p>
  <w:p w14:paraId="712E8565" w14:textId="77777777" w:rsidR="00987AA6" w:rsidRDefault="00987AA6" w:rsidP="00D13667">
    <w:pPr>
      <w:pStyle w:val="Header"/>
      <w:tabs>
        <w:tab w:val="clear" w:pos="4680"/>
      </w:tabs>
      <w:rPr>
        <w:sz w:val="18"/>
        <w:szCs w:val="18"/>
      </w:rPr>
    </w:pPr>
  </w:p>
  <w:p w14:paraId="20C0698E" w14:textId="77777777" w:rsidR="00987AA6" w:rsidRPr="00C92CC4" w:rsidRDefault="00987AA6"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E8F42" w14:textId="77777777" w:rsidR="00D82A78" w:rsidRPr="00C92CC4" w:rsidRDefault="00D82A78" w:rsidP="00D82A78">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9B21M042</w:t>
    </w:r>
  </w:p>
  <w:p w14:paraId="114A8BCE" w14:textId="77777777" w:rsidR="00D82A78" w:rsidRDefault="00D82A78" w:rsidP="00D82A78">
    <w:pPr>
      <w:pStyle w:val="Header"/>
      <w:tabs>
        <w:tab w:val="clear" w:pos="4680"/>
        <w:tab w:val="clear" w:pos="9360"/>
        <w:tab w:val="right" w:pos="12960"/>
      </w:tabs>
      <w:rPr>
        <w:sz w:val="18"/>
        <w:szCs w:val="18"/>
      </w:rPr>
    </w:pPr>
  </w:p>
  <w:p w14:paraId="73E2137B" w14:textId="77777777" w:rsidR="00D82A78" w:rsidRPr="00C92CC4" w:rsidRDefault="00D82A78" w:rsidP="00D82A78">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2B860" w14:textId="77777777" w:rsidR="00D82A78" w:rsidRPr="00C92CC4" w:rsidRDefault="00D82A78" w:rsidP="00D82A78">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9B21M042</w:t>
    </w:r>
  </w:p>
  <w:p w14:paraId="505808F3" w14:textId="77777777" w:rsidR="00D82A78" w:rsidRDefault="00D82A78" w:rsidP="00D82A78">
    <w:pPr>
      <w:pStyle w:val="Header"/>
      <w:tabs>
        <w:tab w:val="clear" w:pos="4680"/>
        <w:tab w:val="right" w:pos="9360"/>
      </w:tabs>
      <w:rPr>
        <w:sz w:val="18"/>
        <w:szCs w:val="18"/>
      </w:rPr>
    </w:pPr>
  </w:p>
  <w:p w14:paraId="5C5C3674" w14:textId="77777777" w:rsidR="00D82A78" w:rsidRPr="00C92CC4" w:rsidRDefault="00D82A78" w:rsidP="00D82A78">
    <w:pPr>
      <w:pStyle w:val="Header"/>
      <w:tabs>
        <w:tab w:val="clear" w:pos="4680"/>
        <w:tab w:val="right" w:pos="93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E55E00"/>
    <w:multiLevelType w:val="hybridMultilevel"/>
    <w:tmpl w:val="9AB82E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868"/>
    <w:rsid w:val="000033B8"/>
    <w:rsid w:val="00007A5D"/>
    <w:rsid w:val="00012F3E"/>
    <w:rsid w:val="00013360"/>
    <w:rsid w:val="00016759"/>
    <w:rsid w:val="00016A64"/>
    <w:rsid w:val="0001762E"/>
    <w:rsid w:val="000216CE"/>
    <w:rsid w:val="00024ED4"/>
    <w:rsid w:val="00025DC7"/>
    <w:rsid w:val="00030250"/>
    <w:rsid w:val="0003321A"/>
    <w:rsid w:val="00035F09"/>
    <w:rsid w:val="00044ECC"/>
    <w:rsid w:val="000456E1"/>
    <w:rsid w:val="000531D3"/>
    <w:rsid w:val="0005646B"/>
    <w:rsid w:val="000615D1"/>
    <w:rsid w:val="000733D8"/>
    <w:rsid w:val="00080ED4"/>
    <w:rsid w:val="0008102D"/>
    <w:rsid w:val="00086B26"/>
    <w:rsid w:val="00094C0E"/>
    <w:rsid w:val="000A146D"/>
    <w:rsid w:val="000A534C"/>
    <w:rsid w:val="000A5916"/>
    <w:rsid w:val="000A5E62"/>
    <w:rsid w:val="000B5F23"/>
    <w:rsid w:val="000D0C64"/>
    <w:rsid w:val="000D2A2F"/>
    <w:rsid w:val="000D7091"/>
    <w:rsid w:val="000D7E4F"/>
    <w:rsid w:val="000E5B4D"/>
    <w:rsid w:val="000F0C22"/>
    <w:rsid w:val="000F68BD"/>
    <w:rsid w:val="000F6B09"/>
    <w:rsid w:val="000F6FDC"/>
    <w:rsid w:val="00102B0A"/>
    <w:rsid w:val="00104276"/>
    <w:rsid w:val="00104567"/>
    <w:rsid w:val="00104916"/>
    <w:rsid w:val="00104AA7"/>
    <w:rsid w:val="001141CC"/>
    <w:rsid w:val="00123DE0"/>
    <w:rsid w:val="00124DFD"/>
    <w:rsid w:val="0012732D"/>
    <w:rsid w:val="0012742E"/>
    <w:rsid w:val="001329BB"/>
    <w:rsid w:val="00136D4A"/>
    <w:rsid w:val="00143F25"/>
    <w:rsid w:val="00144BB9"/>
    <w:rsid w:val="001519B4"/>
    <w:rsid w:val="00152682"/>
    <w:rsid w:val="00154FC9"/>
    <w:rsid w:val="001561BB"/>
    <w:rsid w:val="00165A1A"/>
    <w:rsid w:val="00173537"/>
    <w:rsid w:val="001763AC"/>
    <w:rsid w:val="00177B51"/>
    <w:rsid w:val="001901C0"/>
    <w:rsid w:val="0019022D"/>
    <w:rsid w:val="0019241A"/>
    <w:rsid w:val="00192A18"/>
    <w:rsid w:val="00195AC2"/>
    <w:rsid w:val="001A22D1"/>
    <w:rsid w:val="001A42B2"/>
    <w:rsid w:val="001A752D"/>
    <w:rsid w:val="001A757E"/>
    <w:rsid w:val="001B3297"/>
    <w:rsid w:val="001B5032"/>
    <w:rsid w:val="001C758A"/>
    <w:rsid w:val="001C7777"/>
    <w:rsid w:val="001D05EB"/>
    <w:rsid w:val="001D0DBC"/>
    <w:rsid w:val="001D344B"/>
    <w:rsid w:val="001E364F"/>
    <w:rsid w:val="001F4222"/>
    <w:rsid w:val="00203AA1"/>
    <w:rsid w:val="00204E64"/>
    <w:rsid w:val="00207DE9"/>
    <w:rsid w:val="002128C5"/>
    <w:rsid w:val="00213E98"/>
    <w:rsid w:val="00230150"/>
    <w:rsid w:val="00230702"/>
    <w:rsid w:val="0023081A"/>
    <w:rsid w:val="0023084D"/>
    <w:rsid w:val="00231044"/>
    <w:rsid w:val="002325C3"/>
    <w:rsid w:val="002328A8"/>
    <w:rsid w:val="00233111"/>
    <w:rsid w:val="00242F04"/>
    <w:rsid w:val="00254CA1"/>
    <w:rsid w:val="00256320"/>
    <w:rsid w:val="00265FA8"/>
    <w:rsid w:val="002829BD"/>
    <w:rsid w:val="00291285"/>
    <w:rsid w:val="00297B01"/>
    <w:rsid w:val="002B04EB"/>
    <w:rsid w:val="002B0BAD"/>
    <w:rsid w:val="002B40FF"/>
    <w:rsid w:val="002C3B5A"/>
    <w:rsid w:val="002C4E29"/>
    <w:rsid w:val="002D4110"/>
    <w:rsid w:val="002D724D"/>
    <w:rsid w:val="002E11BC"/>
    <w:rsid w:val="002E2B59"/>
    <w:rsid w:val="002E4A05"/>
    <w:rsid w:val="002F460C"/>
    <w:rsid w:val="002F48D6"/>
    <w:rsid w:val="002F5CBB"/>
    <w:rsid w:val="002F753F"/>
    <w:rsid w:val="00307CCD"/>
    <w:rsid w:val="00317391"/>
    <w:rsid w:val="00326216"/>
    <w:rsid w:val="00332536"/>
    <w:rsid w:val="003344FF"/>
    <w:rsid w:val="00336580"/>
    <w:rsid w:val="003475E2"/>
    <w:rsid w:val="003515CC"/>
    <w:rsid w:val="0035195A"/>
    <w:rsid w:val="00353A8C"/>
    <w:rsid w:val="00353F2D"/>
    <w:rsid w:val="00354899"/>
    <w:rsid w:val="00355FD6"/>
    <w:rsid w:val="00361E96"/>
    <w:rsid w:val="00364A5C"/>
    <w:rsid w:val="00367591"/>
    <w:rsid w:val="00367F32"/>
    <w:rsid w:val="0037289B"/>
    <w:rsid w:val="00373FB1"/>
    <w:rsid w:val="00374DB0"/>
    <w:rsid w:val="00383EFC"/>
    <w:rsid w:val="00394887"/>
    <w:rsid w:val="0039534A"/>
    <w:rsid w:val="00396C76"/>
    <w:rsid w:val="003A1168"/>
    <w:rsid w:val="003A487A"/>
    <w:rsid w:val="003B0792"/>
    <w:rsid w:val="003B273F"/>
    <w:rsid w:val="003B30D8"/>
    <w:rsid w:val="003B56D8"/>
    <w:rsid w:val="003B7EF2"/>
    <w:rsid w:val="003C3FA4"/>
    <w:rsid w:val="003C44A1"/>
    <w:rsid w:val="003D0BA1"/>
    <w:rsid w:val="003E2A31"/>
    <w:rsid w:val="003F2B0C"/>
    <w:rsid w:val="003F5094"/>
    <w:rsid w:val="00407D6D"/>
    <w:rsid w:val="004105B2"/>
    <w:rsid w:val="0041145A"/>
    <w:rsid w:val="00412900"/>
    <w:rsid w:val="00413ADD"/>
    <w:rsid w:val="004221E4"/>
    <w:rsid w:val="004273F8"/>
    <w:rsid w:val="00433444"/>
    <w:rsid w:val="004355A3"/>
    <w:rsid w:val="00440F60"/>
    <w:rsid w:val="00444373"/>
    <w:rsid w:val="00446546"/>
    <w:rsid w:val="00452769"/>
    <w:rsid w:val="00454FA7"/>
    <w:rsid w:val="00465348"/>
    <w:rsid w:val="004674F5"/>
    <w:rsid w:val="004677D0"/>
    <w:rsid w:val="0047276C"/>
    <w:rsid w:val="00472BD5"/>
    <w:rsid w:val="004856E2"/>
    <w:rsid w:val="00485BE6"/>
    <w:rsid w:val="00490E0A"/>
    <w:rsid w:val="00493D60"/>
    <w:rsid w:val="004979A5"/>
    <w:rsid w:val="00497BA4"/>
    <w:rsid w:val="004A1C8C"/>
    <w:rsid w:val="004A25E0"/>
    <w:rsid w:val="004B1AF5"/>
    <w:rsid w:val="004B1CCB"/>
    <w:rsid w:val="004B632F"/>
    <w:rsid w:val="004C14CC"/>
    <w:rsid w:val="004D3FB1"/>
    <w:rsid w:val="004D4128"/>
    <w:rsid w:val="004D6F21"/>
    <w:rsid w:val="004D73A5"/>
    <w:rsid w:val="004F493A"/>
    <w:rsid w:val="0050158E"/>
    <w:rsid w:val="00504B29"/>
    <w:rsid w:val="005160F1"/>
    <w:rsid w:val="005214E3"/>
    <w:rsid w:val="00521F49"/>
    <w:rsid w:val="00524F2F"/>
    <w:rsid w:val="00525552"/>
    <w:rsid w:val="00527E5C"/>
    <w:rsid w:val="00532CF5"/>
    <w:rsid w:val="0053344D"/>
    <w:rsid w:val="00534F8C"/>
    <w:rsid w:val="00545DD9"/>
    <w:rsid w:val="0055021C"/>
    <w:rsid w:val="005502C1"/>
    <w:rsid w:val="00550422"/>
    <w:rsid w:val="0055254D"/>
    <w:rsid w:val="005528CB"/>
    <w:rsid w:val="00566771"/>
    <w:rsid w:val="005774D6"/>
    <w:rsid w:val="00581E2E"/>
    <w:rsid w:val="00584F15"/>
    <w:rsid w:val="00593A1B"/>
    <w:rsid w:val="0059514B"/>
    <w:rsid w:val="005A1B0F"/>
    <w:rsid w:val="005A26AD"/>
    <w:rsid w:val="005A3952"/>
    <w:rsid w:val="005A3E11"/>
    <w:rsid w:val="005A70C8"/>
    <w:rsid w:val="005B38C9"/>
    <w:rsid w:val="005B47B3"/>
    <w:rsid w:val="005B4CE6"/>
    <w:rsid w:val="005B5EFE"/>
    <w:rsid w:val="005C0F70"/>
    <w:rsid w:val="005C2E5D"/>
    <w:rsid w:val="005C5676"/>
    <w:rsid w:val="005C6243"/>
    <w:rsid w:val="00614199"/>
    <w:rsid w:val="006163F7"/>
    <w:rsid w:val="00623973"/>
    <w:rsid w:val="00627C63"/>
    <w:rsid w:val="00631472"/>
    <w:rsid w:val="006318DA"/>
    <w:rsid w:val="0063350B"/>
    <w:rsid w:val="00635335"/>
    <w:rsid w:val="00652606"/>
    <w:rsid w:val="006766B3"/>
    <w:rsid w:val="00682B89"/>
    <w:rsid w:val="0068696E"/>
    <w:rsid w:val="0069462B"/>
    <w:rsid w:val="006946EE"/>
    <w:rsid w:val="006A2362"/>
    <w:rsid w:val="006A58A9"/>
    <w:rsid w:val="006A606D"/>
    <w:rsid w:val="006B6676"/>
    <w:rsid w:val="006C0371"/>
    <w:rsid w:val="006C0820"/>
    <w:rsid w:val="006C08B6"/>
    <w:rsid w:val="006C0B1A"/>
    <w:rsid w:val="006C1CAC"/>
    <w:rsid w:val="006C6065"/>
    <w:rsid w:val="006C7F9F"/>
    <w:rsid w:val="006E2F6D"/>
    <w:rsid w:val="006E58F6"/>
    <w:rsid w:val="006E77E1"/>
    <w:rsid w:val="006F131D"/>
    <w:rsid w:val="006F259A"/>
    <w:rsid w:val="006F3658"/>
    <w:rsid w:val="006F795C"/>
    <w:rsid w:val="007035DF"/>
    <w:rsid w:val="00711642"/>
    <w:rsid w:val="00711E7B"/>
    <w:rsid w:val="007135C3"/>
    <w:rsid w:val="00716710"/>
    <w:rsid w:val="00725311"/>
    <w:rsid w:val="00731CCA"/>
    <w:rsid w:val="00732ADC"/>
    <w:rsid w:val="0073656D"/>
    <w:rsid w:val="007413F0"/>
    <w:rsid w:val="0074327F"/>
    <w:rsid w:val="007507C6"/>
    <w:rsid w:val="00751E0B"/>
    <w:rsid w:val="00752BCD"/>
    <w:rsid w:val="00764559"/>
    <w:rsid w:val="0076637B"/>
    <w:rsid w:val="00766DA1"/>
    <w:rsid w:val="007710FD"/>
    <w:rsid w:val="00777CDC"/>
    <w:rsid w:val="00780D94"/>
    <w:rsid w:val="007866A6"/>
    <w:rsid w:val="007965A9"/>
    <w:rsid w:val="007A1049"/>
    <w:rsid w:val="007A130D"/>
    <w:rsid w:val="007A5EE2"/>
    <w:rsid w:val="007B1F7D"/>
    <w:rsid w:val="007B2109"/>
    <w:rsid w:val="007B54D9"/>
    <w:rsid w:val="007B59CD"/>
    <w:rsid w:val="007C2757"/>
    <w:rsid w:val="007D1A2D"/>
    <w:rsid w:val="007D32E6"/>
    <w:rsid w:val="007D3E08"/>
    <w:rsid w:val="007D4102"/>
    <w:rsid w:val="007D45C1"/>
    <w:rsid w:val="007E0380"/>
    <w:rsid w:val="007E3207"/>
    <w:rsid w:val="007E54A7"/>
    <w:rsid w:val="007F0D72"/>
    <w:rsid w:val="007F43B7"/>
    <w:rsid w:val="00815CCF"/>
    <w:rsid w:val="00817E3A"/>
    <w:rsid w:val="00821FFC"/>
    <w:rsid w:val="008271CA"/>
    <w:rsid w:val="00833B1B"/>
    <w:rsid w:val="00841470"/>
    <w:rsid w:val="008467D5"/>
    <w:rsid w:val="008A25D6"/>
    <w:rsid w:val="008A4DC4"/>
    <w:rsid w:val="008B438C"/>
    <w:rsid w:val="008C332B"/>
    <w:rsid w:val="008C36C0"/>
    <w:rsid w:val="008D06CA"/>
    <w:rsid w:val="008D3A46"/>
    <w:rsid w:val="008E4E9A"/>
    <w:rsid w:val="008F0825"/>
    <w:rsid w:val="008F2385"/>
    <w:rsid w:val="008F3B70"/>
    <w:rsid w:val="00901C95"/>
    <w:rsid w:val="009067A4"/>
    <w:rsid w:val="00907390"/>
    <w:rsid w:val="009166A0"/>
    <w:rsid w:val="00926434"/>
    <w:rsid w:val="00930885"/>
    <w:rsid w:val="00930EBD"/>
    <w:rsid w:val="00933D68"/>
    <w:rsid w:val="009340DB"/>
    <w:rsid w:val="00941B5E"/>
    <w:rsid w:val="00943E0B"/>
    <w:rsid w:val="0094618C"/>
    <w:rsid w:val="009465BA"/>
    <w:rsid w:val="00953F07"/>
    <w:rsid w:val="0095684B"/>
    <w:rsid w:val="00966DE5"/>
    <w:rsid w:val="00966F64"/>
    <w:rsid w:val="00972498"/>
    <w:rsid w:val="0097481F"/>
    <w:rsid w:val="00974CC6"/>
    <w:rsid w:val="00976AD4"/>
    <w:rsid w:val="00982F32"/>
    <w:rsid w:val="00983BAA"/>
    <w:rsid w:val="00985EAC"/>
    <w:rsid w:val="00987AA6"/>
    <w:rsid w:val="00995547"/>
    <w:rsid w:val="00995787"/>
    <w:rsid w:val="009A312F"/>
    <w:rsid w:val="009A5348"/>
    <w:rsid w:val="009A6937"/>
    <w:rsid w:val="009B0AB7"/>
    <w:rsid w:val="009B159B"/>
    <w:rsid w:val="009B4AB1"/>
    <w:rsid w:val="009C6ECF"/>
    <w:rsid w:val="009C76D5"/>
    <w:rsid w:val="009E0C23"/>
    <w:rsid w:val="009F0A98"/>
    <w:rsid w:val="009F3B62"/>
    <w:rsid w:val="009F7AA4"/>
    <w:rsid w:val="00A02BBA"/>
    <w:rsid w:val="00A07454"/>
    <w:rsid w:val="00A10AD7"/>
    <w:rsid w:val="00A135C1"/>
    <w:rsid w:val="00A143E6"/>
    <w:rsid w:val="00A20D35"/>
    <w:rsid w:val="00A253C3"/>
    <w:rsid w:val="00A30B4C"/>
    <w:rsid w:val="00A323B0"/>
    <w:rsid w:val="00A32DFF"/>
    <w:rsid w:val="00A34F0E"/>
    <w:rsid w:val="00A356D5"/>
    <w:rsid w:val="00A4207D"/>
    <w:rsid w:val="00A4501F"/>
    <w:rsid w:val="00A53224"/>
    <w:rsid w:val="00A559DB"/>
    <w:rsid w:val="00A569EA"/>
    <w:rsid w:val="00A60AE0"/>
    <w:rsid w:val="00A676A0"/>
    <w:rsid w:val="00A8147A"/>
    <w:rsid w:val="00A820B4"/>
    <w:rsid w:val="00A82FC7"/>
    <w:rsid w:val="00A9250C"/>
    <w:rsid w:val="00A93740"/>
    <w:rsid w:val="00AB6083"/>
    <w:rsid w:val="00AE6E8A"/>
    <w:rsid w:val="00AF2810"/>
    <w:rsid w:val="00AF35FC"/>
    <w:rsid w:val="00AF5556"/>
    <w:rsid w:val="00B00631"/>
    <w:rsid w:val="00B00CFE"/>
    <w:rsid w:val="00B03639"/>
    <w:rsid w:val="00B057C1"/>
    <w:rsid w:val="00B0652A"/>
    <w:rsid w:val="00B10E39"/>
    <w:rsid w:val="00B12B77"/>
    <w:rsid w:val="00B14F7E"/>
    <w:rsid w:val="00B26025"/>
    <w:rsid w:val="00B2768B"/>
    <w:rsid w:val="00B40937"/>
    <w:rsid w:val="00B413A2"/>
    <w:rsid w:val="00B423EF"/>
    <w:rsid w:val="00B44EE7"/>
    <w:rsid w:val="00B453DE"/>
    <w:rsid w:val="00B607FC"/>
    <w:rsid w:val="00B62497"/>
    <w:rsid w:val="00B72597"/>
    <w:rsid w:val="00B87DC0"/>
    <w:rsid w:val="00B901F9"/>
    <w:rsid w:val="00B94F30"/>
    <w:rsid w:val="00BA05F0"/>
    <w:rsid w:val="00BB4905"/>
    <w:rsid w:val="00BC1498"/>
    <w:rsid w:val="00BC4D98"/>
    <w:rsid w:val="00BD02C9"/>
    <w:rsid w:val="00BD3E36"/>
    <w:rsid w:val="00BD6EFB"/>
    <w:rsid w:val="00BE0A62"/>
    <w:rsid w:val="00BE3DF5"/>
    <w:rsid w:val="00BF51B3"/>
    <w:rsid w:val="00BF5EAB"/>
    <w:rsid w:val="00C02410"/>
    <w:rsid w:val="00C1584D"/>
    <w:rsid w:val="00C15BE2"/>
    <w:rsid w:val="00C16FDE"/>
    <w:rsid w:val="00C3447F"/>
    <w:rsid w:val="00C44714"/>
    <w:rsid w:val="00C5068D"/>
    <w:rsid w:val="00C52073"/>
    <w:rsid w:val="00C558D8"/>
    <w:rsid w:val="00C6314A"/>
    <w:rsid w:val="00C67102"/>
    <w:rsid w:val="00C67227"/>
    <w:rsid w:val="00C81491"/>
    <w:rsid w:val="00C81676"/>
    <w:rsid w:val="00C8370F"/>
    <w:rsid w:val="00C85292"/>
    <w:rsid w:val="00C85C5D"/>
    <w:rsid w:val="00C92CC4"/>
    <w:rsid w:val="00C94D02"/>
    <w:rsid w:val="00CA0AFB"/>
    <w:rsid w:val="00CA270F"/>
    <w:rsid w:val="00CA2CE1"/>
    <w:rsid w:val="00CA3976"/>
    <w:rsid w:val="00CA50E3"/>
    <w:rsid w:val="00CA6A0D"/>
    <w:rsid w:val="00CA757B"/>
    <w:rsid w:val="00CB1AB7"/>
    <w:rsid w:val="00CC00AB"/>
    <w:rsid w:val="00CC1787"/>
    <w:rsid w:val="00CC182C"/>
    <w:rsid w:val="00CC3D50"/>
    <w:rsid w:val="00CD0824"/>
    <w:rsid w:val="00CD2859"/>
    <w:rsid w:val="00CD2908"/>
    <w:rsid w:val="00CD764C"/>
    <w:rsid w:val="00CE25E4"/>
    <w:rsid w:val="00CF3B2D"/>
    <w:rsid w:val="00CF432D"/>
    <w:rsid w:val="00CF7265"/>
    <w:rsid w:val="00D03A82"/>
    <w:rsid w:val="00D12607"/>
    <w:rsid w:val="00D13667"/>
    <w:rsid w:val="00D13A3E"/>
    <w:rsid w:val="00D15344"/>
    <w:rsid w:val="00D1611C"/>
    <w:rsid w:val="00D209CA"/>
    <w:rsid w:val="00D227CA"/>
    <w:rsid w:val="00D23F57"/>
    <w:rsid w:val="00D31BEC"/>
    <w:rsid w:val="00D53639"/>
    <w:rsid w:val="00D5379C"/>
    <w:rsid w:val="00D63150"/>
    <w:rsid w:val="00D636BA"/>
    <w:rsid w:val="00D64A32"/>
    <w:rsid w:val="00D64EFC"/>
    <w:rsid w:val="00D72516"/>
    <w:rsid w:val="00D726D3"/>
    <w:rsid w:val="00D7484F"/>
    <w:rsid w:val="00D75295"/>
    <w:rsid w:val="00D76CE9"/>
    <w:rsid w:val="00D82A78"/>
    <w:rsid w:val="00D866A5"/>
    <w:rsid w:val="00D90662"/>
    <w:rsid w:val="00D97F12"/>
    <w:rsid w:val="00DA6095"/>
    <w:rsid w:val="00DB42E7"/>
    <w:rsid w:val="00DC09D8"/>
    <w:rsid w:val="00DE01A6"/>
    <w:rsid w:val="00DE568D"/>
    <w:rsid w:val="00DE7798"/>
    <w:rsid w:val="00DE7A98"/>
    <w:rsid w:val="00DF32C2"/>
    <w:rsid w:val="00E064A1"/>
    <w:rsid w:val="00E30CF1"/>
    <w:rsid w:val="00E37935"/>
    <w:rsid w:val="00E471A7"/>
    <w:rsid w:val="00E51FEF"/>
    <w:rsid w:val="00E542A3"/>
    <w:rsid w:val="00E635CF"/>
    <w:rsid w:val="00E71EA7"/>
    <w:rsid w:val="00E74225"/>
    <w:rsid w:val="00E76188"/>
    <w:rsid w:val="00E766F2"/>
    <w:rsid w:val="00E76988"/>
    <w:rsid w:val="00E97562"/>
    <w:rsid w:val="00EA655E"/>
    <w:rsid w:val="00EB1E3B"/>
    <w:rsid w:val="00EC6E0A"/>
    <w:rsid w:val="00EC770A"/>
    <w:rsid w:val="00ED0A3E"/>
    <w:rsid w:val="00ED2972"/>
    <w:rsid w:val="00ED4E18"/>
    <w:rsid w:val="00ED7922"/>
    <w:rsid w:val="00EE01D9"/>
    <w:rsid w:val="00EE02C4"/>
    <w:rsid w:val="00EE1F37"/>
    <w:rsid w:val="00EE4180"/>
    <w:rsid w:val="00EE47BB"/>
    <w:rsid w:val="00F0159C"/>
    <w:rsid w:val="00F03584"/>
    <w:rsid w:val="00F04D19"/>
    <w:rsid w:val="00F105B7"/>
    <w:rsid w:val="00F13220"/>
    <w:rsid w:val="00F17A21"/>
    <w:rsid w:val="00F268A5"/>
    <w:rsid w:val="00F26A3E"/>
    <w:rsid w:val="00F34284"/>
    <w:rsid w:val="00F36FC2"/>
    <w:rsid w:val="00F37B27"/>
    <w:rsid w:val="00F46278"/>
    <w:rsid w:val="00F46556"/>
    <w:rsid w:val="00F50E91"/>
    <w:rsid w:val="00F53E32"/>
    <w:rsid w:val="00F56799"/>
    <w:rsid w:val="00F57D29"/>
    <w:rsid w:val="00F57EDA"/>
    <w:rsid w:val="00F60786"/>
    <w:rsid w:val="00F64DD3"/>
    <w:rsid w:val="00F660BE"/>
    <w:rsid w:val="00F75A0B"/>
    <w:rsid w:val="00F90EBC"/>
    <w:rsid w:val="00F91BC7"/>
    <w:rsid w:val="00F934A7"/>
    <w:rsid w:val="00F953D5"/>
    <w:rsid w:val="00F96201"/>
    <w:rsid w:val="00FA1BBC"/>
    <w:rsid w:val="00FB29F4"/>
    <w:rsid w:val="00FB4681"/>
    <w:rsid w:val="00FB63A0"/>
    <w:rsid w:val="00FC005E"/>
    <w:rsid w:val="00FC056B"/>
    <w:rsid w:val="00FC44AC"/>
    <w:rsid w:val="00FC748F"/>
    <w:rsid w:val="00FD0B18"/>
    <w:rsid w:val="00FD2FAD"/>
    <w:rsid w:val="00FE2E11"/>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5202EA"/>
  <w15:docId w15:val="{CB794521-F165-4932-BA39-D54E45A0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MediumList11">
    <w:name w:val="Medium List 1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B6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6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2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2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2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A6A0D"/>
    <w:rPr>
      <w:color w:val="605E5C"/>
      <w:shd w:val="clear" w:color="auto" w:fill="E1DFDD"/>
    </w:rPr>
  </w:style>
  <w:style w:type="character" w:styleId="UnresolvedMention">
    <w:name w:val="Unresolved Mention"/>
    <w:basedOn w:val="DefaultParagraphFont"/>
    <w:uiPriority w:val="99"/>
    <w:semiHidden/>
    <w:unhideWhenUsed/>
    <w:rsid w:val="00987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1488">
      <w:bodyDiv w:val="1"/>
      <w:marLeft w:val="0"/>
      <w:marRight w:val="0"/>
      <w:marTop w:val="0"/>
      <w:marBottom w:val="0"/>
      <w:divBdr>
        <w:top w:val="none" w:sz="0" w:space="0" w:color="auto"/>
        <w:left w:val="none" w:sz="0" w:space="0" w:color="auto"/>
        <w:bottom w:val="none" w:sz="0" w:space="0" w:color="auto"/>
        <w:right w:val="none" w:sz="0" w:space="0" w:color="auto"/>
      </w:divBdr>
      <w:divsChild>
        <w:div w:id="182016236">
          <w:marLeft w:val="0"/>
          <w:marRight w:val="0"/>
          <w:marTop w:val="0"/>
          <w:marBottom w:val="0"/>
          <w:divBdr>
            <w:top w:val="none" w:sz="0" w:space="0" w:color="auto"/>
            <w:left w:val="none" w:sz="0" w:space="0" w:color="auto"/>
            <w:bottom w:val="none" w:sz="0" w:space="0" w:color="auto"/>
            <w:right w:val="none" w:sz="0" w:space="0" w:color="auto"/>
          </w:divBdr>
        </w:div>
      </w:divsChild>
    </w:div>
    <w:div w:id="364794934">
      <w:bodyDiv w:val="1"/>
      <w:marLeft w:val="0"/>
      <w:marRight w:val="0"/>
      <w:marTop w:val="0"/>
      <w:marBottom w:val="0"/>
      <w:divBdr>
        <w:top w:val="none" w:sz="0" w:space="0" w:color="auto"/>
        <w:left w:val="none" w:sz="0" w:space="0" w:color="auto"/>
        <w:bottom w:val="none" w:sz="0" w:space="0" w:color="auto"/>
        <w:right w:val="none" w:sz="0" w:space="0" w:color="auto"/>
      </w:divBdr>
    </w:div>
    <w:div w:id="540365832">
      <w:bodyDiv w:val="1"/>
      <w:marLeft w:val="0"/>
      <w:marRight w:val="0"/>
      <w:marTop w:val="0"/>
      <w:marBottom w:val="0"/>
      <w:divBdr>
        <w:top w:val="none" w:sz="0" w:space="0" w:color="auto"/>
        <w:left w:val="none" w:sz="0" w:space="0" w:color="auto"/>
        <w:bottom w:val="none" w:sz="0" w:space="0" w:color="auto"/>
        <w:right w:val="none" w:sz="0" w:space="0" w:color="auto"/>
      </w:divBdr>
    </w:div>
    <w:div w:id="1272205343">
      <w:bodyDiv w:val="1"/>
      <w:marLeft w:val="0"/>
      <w:marRight w:val="0"/>
      <w:marTop w:val="0"/>
      <w:marBottom w:val="0"/>
      <w:divBdr>
        <w:top w:val="none" w:sz="0" w:space="0" w:color="auto"/>
        <w:left w:val="none" w:sz="0" w:space="0" w:color="auto"/>
        <w:bottom w:val="none" w:sz="0" w:space="0" w:color="auto"/>
        <w:right w:val="none" w:sz="0" w:space="0" w:color="auto"/>
      </w:divBdr>
    </w:div>
    <w:div w:id="158645247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6733906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zigwheels.com/bikes/comparison" TargetMode="External"/><Relationship Id="rId18" Type="http://schemas.openxmlformats.org/officeDocument/2006/relationships/hyperlink" Target="https://www.zigwheels.com/newbikes/Royal-Enfield/Himalay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zigwheels.com/newbikes/Royal-Enfield/Thunderbird-500/on-road-price-delhi" TargetMode="External"/><Relationship Id="rId2" Type="http://schemas.openxmlformats.org/officeDocument/2006/relationships/numbering" Target="numbering.xml"/><Relationship Id="rId16" Type="http://schemas.openxmlformats.org/officeDocument/2006/relationships/hyperlink" Target="https://www.zigwheels.com/newbikes/Royal-Enfield/Classic-350/on-road-price-delh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zigwheels.com/newbikes/Royal-Enfield/Bullet-350-Twinspark/on-road-price-delhi" TargetMode="External"/><Relationship Id="rId10" Type="http://schemas.openxmlformats.org/officeDocument/2006/relationships/hyperlink" Target="http://www.eicher.in/uploads/1532949097_Eicher_Motors_Annual_Report_2008.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eicher.in/annual-reports" TargetMode="External"/><Relationship Id="rId14" Type="http://schemas.openxmlformats.org/officeDocument/2006/relationships/hyperlink" Target="https://www.royalenfield.com/in/en/motorcy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30F4A-8B45-4932-9AC9-1C993029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6343</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4</cp:revision>
  <cp:lastPrinted>2021-05-05T16:38:00Z</cp:lastPrinted>
  <dcterms:created xsi:type="dcterms:W3CDTF">2021-05-05T16:36:00Z</dcterms:created>
  <dcterms:modified xsi:type="dcterms:W3CDTF">2021-05-05T18:47:00Z</dcterms:modified>
</cp:coreProperties>
</file>