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5A2DD" w14:textId="77777777" w:rsidR="0046605A" w:rsidRDefault="0046605A" w:rsidP="0046605A">
      <w:pPr>
        <w:pBdr>
          <w:bottom w:val="single" w:sz="18" w:space="1" w:color="auto"/>
        </w:pBdr>
        <w:tabs>
          <w:tab w:val="left" w:pos="-1440"/>
          <w:tab w:val="left" w:pos="-720"/>
          <w:tab w:val="left" w:pos="1"/>
        </w:tabs>
        <w:jc w:val="both"/>
        <w:rPr>
          <w:rFonts w:ascii="Arial" w:hAnsi="Arial"/>
          <w:b/>
          <w:sz w:val="24"/>
        </w:rPr>
      </w:pPr>
      <w:r>
        <w:rPr>
          <w:rFonts w:ascii="Arial" w:hAnsi="Arial"/>
          <w:b/>
          <w:noProof/>
        </w:rPr>
        <w:drawing>
          <wp:anchor distT="0" distB="0" distL="114300" distR="114300" simplePos="0" relativeHeight="251661312" behindDoc="0" locked="0" layoutInCell="1" allowOverlap="1" wp14:anchorId="0821ED7D" wp14:editId="5F45BA64">
            <wp:simplePos x="0" y="0"/>
            <wp:positionH relativeFrom="column">
              <wp:posOffset>3037205</wp:posOffset>
            </wp:positionH>
            <wp:positionV relativeFrom="paragraph">
              <wp:posOffset>114300</wp:posOffset>
            </wp:positionV>
            <wp:extent cx="2903518" cy="327804"/>
            <wp:effectExtent l="0" t="0" r="0" b="0"/>
            <wp:wrapNone/>
            <wp:docPr id="3" name="Picture 3" descr="Concordia University and John Molson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sz w:val="24"/>
          <w:lang w:val="en-CA" w:eastAsia="en-CA"/>
        </w:rPr>
        <w:drawing>
          <wp:inline distT="0" distB="0" distL="0" distR="0" wp14:anchorId="63A08915" wp14:editId="2C7D63F1">
            <wp:extent cx="2613804" cy="551245"/>
            <wp:effectExtent l="0" t="0" r="0" b="1270"/>
            <wp:docPr id="1" name="Picture 1" descr="Ivey Publishing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C15E83B" w14:textId="4085071C" w:rsidR="0046605A" w:rsidRPr="00052171" w:rsidRDefault="0046605A" w:rsidP="0046605A">
      <w:pPr>
        <w:pStyle w:val="ProductNumber"/>
      </w:pPr>
      <w:r>
        <w:t>9B21</w:t>
      </w:r>
      <w:r w:rsidR="00D919FA">
        <w:t>M043</w:t>
      </w:r>
    </w:p>
    <w:p w14:paraId="4E057522" w14:textId="7A113CB1" w:rsidR="00D75295" w:rsidRPr="00946435" w:rsidRDefault="00D75295" w:rsidP="00D75295">
      <w:pPr>
        <w:jc w:val="right"/>
        <w:rPr>
          <w:rFonts w:ascii="Arial" w:hAnsi="Arial"/>
          <w:b/>
          <w:lang w:val="en-GB"/>
        </w:rPr>
      </w:pPr>
    </w:p>
    <w:p w14:paraId="02524312" w14:textId="77777777" w:rsidR="001901C0" w:rsidRPr="00946435" w:rsidRDefault="001901C0" w:rsidP="00D75295">
      <w:pPr>
        <w:jc w:val="right"/>
        <w:rPr>
          <w:rFonts w:ascii="Arial" w:hAnsi="Arial"/>
          <w:b/>
          <w:lang w:val="en-GB"/>
        </w:rPr>
      </w:pPr>
    </w:p>
    <w:p w14:paraId="40ABF6FD" w14:textId="4636B2E2" w:rsidR="00CA3976" w:rsidRPr="00946435" w:rsidRDefault="009424DA" w:rsidP="00013360">
      <w:pPr>
        <w:pStyle w:val="CaseTitle"/>
        <w:spacing w:after="0" w:line="240" w:lineRule="auto"/>
        <w:rPr>
          <w:lang w:val="en-GB"/>
        </w:rPr>
      </w:pPr>
      <w:r w:rsidRPr="00946435">
        <w:rPr>
          <w:lang w:val="en-GB"/>
        </w:rPr>
        <w:t>Wellington Brewery: Growth Decision in a Crowded Beer Market</w:t>
      </w:r>
    </w:p>
    <w:p w14:paraId="3B795C79" w14:textId="77777777" w:rsidR="009424DA" w:rsidRPr="00946435" w:rsidRDefault="009424DA" w:rsidP="00013360">
      <w:pPr>
        <w:pStyle w:val="CaseTitle"/>
        <w:spacing w:after="0" w:line="240" w:lineRule="auto"/>
        <w:rPr>
          <w:sz w:val="20"/>
          <w:szCs w:val="20"/>
          <w:lang w:val="en-GB"/>
        </w:rPr>
      </w:pPr>
    </w:p>
    <w:p w14:paraId="202F1085" w14:textId="77777777" w:rsidR="00013360" w:rsidRPr="00946435" w:rsidRDefault="00013360" w:rsidP="00013360">
      <w:pPr>
        <w:pStyle w:val="CaseTitle"/>
        <w:spacing w:after="0" w:line="240" w:lineRule="auto"/>
        <w:rPr>
          <w:sz w:val="20"/>
          <w:szCs w:val="20"/>
          <w:lang w:val="en-GB"/>
        </w:rPr>
      </w:pPr>
    </w:p>
    <w:p w14:paraId="58B0C73F" w14:textId="7850859B" w:rsidR="00086B26" w:rsidRPr="00946435" w:rsidRDefault="009424DA" w:rsidP="00086B26">
      <w:pPr>
        <w:pStyle w:val="StyleCopyrightStatementAfter0ptBottomSinglesolidline1"/>
        <w:rPr>
          <w:lang w:val="en-GB"/>
        </w:rPr>
      </w:pPr>
      <w:r w:rsidRPr="00946435">
        <w:rPr>
          <w:lang w:val="en-GB"/>
        </w:rPr>
        <w:t>Nadège Levallet, Corey Wood, and Suchit Ahuja</w:t>
      </w:r>
      <w:r w:rsidR="00ED7922" w:rsidRPr="00946435">
        <w:rPr>
          <w:rFonts w:cs="Arial"/>
          <w:szCs w:val="16"/>
          <w:lang w:val="en-GB"/>
        </w:rPr>
        <w:t xml:space="preserve"> </w:t>
      </w:r>
      <w:r w:rsidR="00086B26" w:rsidRPr="0094643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078FB4E" w14:textId="77777777" w:rsidR="0046605A" w:rsidRDefault="0046605A" w:rsidP="0046605A">
      <w:pPr>
        <w:pStyle w:val="StyleCopyrightStatementAfter0ptBottomSinglesolidline1"/>
        <w:rPr>
          <w:lang w:val="en-GB"/>
        </w:rPr>
      </w:pPr>
    </w:p>
    <w:p w14:paraId="4C4DD041" w14:textId="77777777" w:rsidR="0046605A" w:rsidRPr="00A323B0" w:rsidRDefault="0046605A" w:rsidP="0046605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03B1D2F" w14:textId="77777777" w:rsidR="0046605A" w:rsidRPr="00A323B0" w:rsidRDefault="0046605A" w:rsidP="0046605A">
      <w:pPr>
        <w:pStyle w:val="StyleStyleCopyrightStatementAfter0ptBottomSinglesolid"/>
        <w:rPr>
          <w:rFonts w:cs="Arial"/>
          <w:szCs w:val="16"/>
        </w:rPr>
      </w:pPr>
    </w:p>
    <w:p w14:paraId="3922E14F" w14:textId="4D361E5C" w:rsidR="00751E0B" w:rsidRPr="00946435" w:rsidRDefault="0046605A" w:rsidP="0046605A">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2021-04-26</w:t>
      </w:r>
    </w:p>
    <w:p w14:paraId="0A2A54E4" w14:textId="77777777" w:rsidR="00751E0B" w:rsidRPr="00946435" w:rsidRDefault="00751E0B" w:rsidP="00751E0B">
      <w:pPr>
        <w:pStyle w:val="StyleCopyrightStatementAfter0ptBottomSinglesolidline1"/>
        <w:rPr>
          <w:rFonts w:ascii="Times New Roman" w:hAnsi="Times New Roman"/>
          <w:sz w:val="20"/>
          <w:lang w:val="en-GB"/>
        </w:rPr>
      </w:pPr>
    </w:p>
    <w:p w14:paraId="2C183161" w14:textId="64AA963F" w:rsidR="00B87DC0" w:rsidRPr="00946435" w:rsidRDefault="00B87DC0" w:rsidP="002B40FF">
      <w:pPr>
        <w:pStyle w:val="Casehead1"/>
        <w:rPr>
          <w:lang w:val="en-GB"/>
        </w:rPr>
      </w:pPr>
    </w:p>
    <w:p w14:paraId="15E7E888" w14:textId="574BBBF0" w:rsidR="009424DA" w:rsidRPr="00946435" w:rsidRDefault="009424DA" w:rsidP="009424DA">
      <w:pPr>
        <w:pStyle w:val="BodyTextMain"/>
        <w:rPr>
          <w:lang w:val="en-GB"/>
        </w:rPr>
      </w:pPr>
      <w:bookmarkStart w:id="0" w:name="_Hlk60993680"/>
      <w:r w:rsidRPr="00946435">
        <w:rPr>
          <w:lang w:val="en-GB"/>
        </w:rPr>
        <w:t>I</w:t>
      </w:r>
      <w:r w:rsidR="00F14761" w:rsidRPr="00946435">
        <w:rPr>
          <w:lang w:val="en-GB"/>
        </w:rPr>
        <w:t xml:space="preserve">n late June 2019, Brent Davies was considering various strategic options for the future of his company. Davies was the president of Wellington Brewery, a well-established craft brewery located in Guelph, Ontario, Canada. Wellington Brewery had recently completed a successful expansion of its operations. The expansion had taken place during a period of explosive growth in Canada’s craft brewery industry. As part of the expansion project, the company had </w:t>
      </w:r>
      <w:r w:rsidR="003C300E" w:rsidRPr="00946435">
        <w:rPr>
          <w:lang w:val="en-GB"/>
        </w:rPr>
        <w:t>increased the size of its premises by</w:t>
      </w:r>
      <w:r w:rsidR="00F14761" w:rsidRPr="00946435">
        <w:rPr>
          <w:lang w:val="en-GB"/>
        </w:rPr>
        <w:t xml:space="preserve"> 1,700 square metres (</w:t>
      </w:r>
      <w:r w:rsidR="00185104">
        <w:rPr>
          <w:lang w:val="en-GB"/>
        </w:rPr>
        <w:t>18,300</w:t>
      </w:r>
      <w:r w:rsidR="00F14761" w:rsidRPr="00946435">
        <w:rPr>
          <w:lang w:val="en-GB"/>
        </w:rPr>
        <w:t xml:space="preserve"> square feet</w:t>
      </w:r>
      <w:r w:rsidR="003C300E" w:rsidRPr="00946435">
        <w:rPr>
          <w:lang w:val="en-GB"/>
        </w:rPr>
        <w:t>).</w:t>
      </w:r>
      <w:r w:rsidR="00F14761" w:rsidRPr="00946435">
        <w:rPr>
          <w:lang w:val="en-GB"/>
        </w:rPr>
        <w:t xml:space="preserve"> </w:t>
      </w:r>
      <w:r w:rsidR="003C300E" w:rsidRPr="00946435">
        <w:rPr>
          <w:lang w:val="en-GB"/>
        </w:rPr>
        <w:t>It had also</w:t>
      </w:r>
      <w:r w:rsidR="00F14761" w:rsidRPr="00946435">
        <w:rPr>
          <w:lang w:val="en-GB"/>
        </w:rPr>
        <w:t xml:space="preserve"> upgrade</w:t>
      </w:r>
      <w:r w:rsidR="003C300E" w:rsidRPr="00946435">
        <w:rPr>
          <w:lang w:val="en-GB"/>
        </w:rPr>
        <w:t>d</w:t>
      </w:r>
      <w:r w:rsidR="00F14761" w:rsidRPr="00946435">
        <w:rPr>
          <w:lang w:val="en-GB"/>
        </w:rPr>
        <w:t xml:space="preserve"> its facilities with new state-of-the-art </w:t>
      </w:r>
      <w:r w:rsidR="00185104">
        <w:rPr>
          <w:lang w:val="en-GB"/>
        </w:rPr>
        <w:t xml:space="preserve">equipment for </w:t>
      </w:r>
      <w:r w:rsidR="00F14761" w:rsidRPr="00946435">
        <w:rPr>
          <w:lang w:val="en-GB"/>
        </w:rPr>
        <w:t xml:space="preserve">brewing, canning, and water treatment. The expansion process had successfully transitioned Wellington Brewery from a small company to a medium-sized operation. Within only a few years, the craft brewery’s operations had </w:t>
      </w:r>
      <w:r w:rsidR="003C300E" w:rsidRPr="00946435">
        <w:rPr>
          <w:lang w:val="en-GB"/>
        </w:rPr>
        <w:t>expanded</w:t>
      </w:r>
      <w:r w:rsidR="00C86FA8">
        <w:rPr>
          <w:lang w:val="en-GB"/>
        </w:rPr>
        <w:t xml:space="preserve"> significantly</w:t>
      </w:r>
      <w:r w:rsidRPr="00946435">
        <w:rPr>
          <w:lang w:val="en-GB"/>
        </w:rPr>
        <w:t xml:space="preserve">. </w:t>
      </w:r>
      <w:bookmarkEnd w:id="0"/>
    </w:p>
    <w:p w14:paraId="7CD06C64" w14:textId="77777777" w:rsidR="009424DA" w:rsidRPr="00946435" w:rsidRDefault="009424DA" w:rsidP="009424DA">
      <w:pPr>
        <w:pStyle w:val="BodyTextMain"/>
        <w:rPr>
          <w:lang w:val="en-GB"/>
        </w:rPr>
      </w:pPr>
    </w:p>
    <w:p w14:paraId="4A8A9853" w14:textId="42F837FB" w:rsidR="00064936" w:rsidRPr="00946435" w:rsidRDefault="009424DA" w:rsidP="009424DA">
      <w:pPr>
        <w:pStyle w:val="BodyTextMain"/>
        <w:rPr>
          <w:lang w:val="en-GB"/>
        </w:rPr>
      </w:pPr>
      <w:r w:rsidRPr="00946435">
        <w:rPr>
          <w:lang w:val="en-GB"/>
        </w:rPr>
        <w:t>A</w:t>
      </w:r>
      <w:r w:rsidR="00BB4C1B" w:rsidRPr="00946435">
        <w:rPr>
          <w:lang w:val="en-GB"/>
        </w:rPr>
        <w:t>m</w:t>
      </w:r>
      <w:r w:rsidRPr="00946435">
        <w:rPr>
          <w:lang w:val="en-GB"/>
        </w:rPr>
        <w:t xml:space="preserve">ong </w:t>
      </w:r>
      <w:r w:rsidR="00BB4C1B" w:rsidRPr="00946435">
        <w:rPr>
          <w:lang w:val="en-GB"/>
        </w:rPr>
        <w:t>its greatest assets, Wellington Brewery acknowledged its employees,</w:t>
      </w:r>
      <w:r w:rsidRPr="00946435">
        <w:rPr>
          <w:lang w:val="en-GB"/>
        </w:rPr>
        <w:t xml:space="preserve"> cutting-edge equipment, </w:t>
      </w:r>
      <w:r w:rsidR="00BB4C1B" w:rsidRPr="00946435">
        <w:rPr>
          <w:lang w:val="en-GB"/>
        </w:rPr>
        <w:t>and product</w:t>
      </w:r>
      <w:r w:rsidR="006775CD" w:rsidRPr="00946435">
        <w:rPr>
          <w:lang w:val="en-GB"/>
        </w:rPr>
        <w:t xml:space="preserve"> </w:t>
      </w:r>
      <w:r w:rsidRPr="00946435">
        <w:rPr>
          <w:lang w:val="en-GB"/>
        </w:rPr>
        <w:t xml:space="preserve">quality and consistency. </w:t>
      </w:r>
      <w:r w:rsidR="00BB4C1B" w:rsidRPr="00946435">
        <w:rPr>
          <w:lang w:val="en-GB"/>
        </w:rPr>
        <w:t>In fact, the b</w:t>
      </w:r>
      <w:r w:rsidRPr="00946435">
        <w:rPr>
          <w:lang w:val="en-GB"/>
        </w:rPr>
        <w:t xml:space="preserve">rewery sought to create </w:t>
      </w:r>
      <w:r w:rsidR="00BB4C1B" w:rsidRPr="00946435">
        <w:rPr>
          <w:lang w:val="en-GB"/>
        </w:rPr>
        <w:t xml:space="preserve">consistently </w:t>
      </w:r>
      <w:r w:rsidRPr="00946435">
        <w:rPr>
          <w:lang w:val="en-GB"/>
        </w:rPr>
        <w:t>handcrafted beer products</w:t>
      </w:r>
      <w:r w:rsidR="00BB4C1B" w:rsidRPr="00946435">
        <w:rPr>
          <w:lang w:val="en-GB"/>
        </w:rPr>
        <w:t xml:space="preserve"> with every</w:t>
      </w:r>
      <w:r w:rsidRPr="00946435">
        <w:rPr>
          <w:lang w:val="en-GB"/>
        </w:rPr>
        <w:t xml:space="preserve"> batch, and never took shortcuts in the brewing process. The </w:t>
      </w:r>
      <w:r w:rsidR="00064936" w:rsidRPr="00946435">
        <w:rPr>
          <w:lang w:val="en-GB"/>
        </w:rPr>
        <w:t>recently</w:t>
      </w:r>
      <w:r w:rsidR="00185104">
        <w:rPr>
          <w:lang w:val="en-GB"/>
        </w:rPr>
        <w:t xml:space="preserve"> </w:t>
      </w:r>
      <w:r w:rsidRPr="00946435">
        <w:rPr>
          <w:lang w:val="en-GB"/>
        </w:rPr>
        <w:t xml:space="preserve">upgraded equipment significantly increased the company’s efficiency </w:t>
      </w:r>
      <w:r w:rsidR="00064936" w:rsidRPr="00946435">
        <w:rPr>
          <w:lang w:val="en-GB"/>
        </w:rPr>
        <w:t>in the beer</w:t>
      </w:r>
      <w:r w:rsidR="00185104">
        <w:rPr>
          <w:lang w:val="en-GB"/>
        </w:rPr>
        <w:t>-</w:t>
      </w:r>
      <w:r w:rsidRPr="00946435">
        <w:rPr>
          <w:lang w:val="en-GB"/>
        </w:rPr>
        <w:t xml:space="preserve">canning </w:t>
      </w:r>
      <w:r w:rsidR="00064936" w:rsidRPr="00946435">
        <w:rPr>
          <w:lang w:val="en-GB"/>
        </w:rPr>
        <w:t>process</w:t>
      </w:r>
      <w:r w:rsidRPr="00946435">
        <w:rPr>
          <w:lang w:val="en-GB"/>
        </w:rPr>
        <w:t xml:space="preserve"> and improved quality control</w:t>
      </w:r>
      <w:r w:rsidR="00064936" w:rsidRPr="00946435">
        <w:rPr>
          <w:lang w:val="en-GB"/>
        </w:rPr>
        <w:t xml:space="preserve"> of the product</w:t>
      </w:r>
      <w:r w:rsidRPr="00946435">
        <w:rPr>
          <w:lang w:val="en-GB"/>
        </w:rPr>
        <w:t xml:space="preserve">. These </w:t>
      </w:r>
      <w:r w:rsidR="00064936" w:rsidRPr="00946435">
        <w:rPr>
          <w:lang w:val="en-GB"/>
        </w:rPr>
        <w:t>enhancements clearly</w:t>
      </w:r>
      <w:r w:rsidRPr="00946435">
        <w:rPr>
          <w:lang w:val="en-GB"/>
        </w:rPr>
        <w:t xml:space="preserve"> supported </w:t>
      </w:r>
      <w:r w:rsidR="00064936" w:rsidRPr="00946435">
        <w:rPr>
          <w:lang w:val="en-GB"/>
        </w:rPr>
        <w:t>Wellington Brewery’s overall</w:t>
      </w:r>
      <w:r w:rsidRPr="00946435">
        <w:rPr>
          <w:lang w:val="en-GB"/>
        </w:rPr>
        <w:t xml:space="preserve"> goal of</w:t>
      </w:r>
      <w:r w:rsidR="00946435" w:rsidRPr="00946435">
        <w:rPr>
          <w:lang w:val="en-GB"/>
        </w:rPr>
        <w:t xml:space="preserve"> </w:t>
      </w:r>
      <w:r w:rsidRPr="00946435">
        <w:rPr>
          <w:lang w:val="en-GB"/>
        </w:rPr>
        <w:t>expan</w:t>
      </w:r>
      <w:r w:rsidR="00064936" w:rsidRPr="00946435">
        <w:rPr>
          <w:lang w:val="en-GB"/>
        </w:rPr>
        <w:t>sion</w:t>
      </w:r>
      <w:r w:rsidRPr="00946435">
        <w:rPr>
          <w:lang w:val="en-GB"/>
        </w:rPr>
        <w:t xml:space="preserve"> across </w:t>
      </w:r>
      <w:r w:rsidR="001306F7" w:rsidRPr="00946435">
        <w:rPr>
          <w:lang w:val="en-GB"/>
        </w:rPr>
        <w:t>the entire</w:t>
      </w:r>
      <w:r w:rsidR="00064936" w:rsidRPr="00946435">
        <w:rPr>
          <w:lang w:val="en-GB"/>
        </w:rPr>
        <w:t xml:space="preserve"> </w:t>
      </w:r>
      <w:r w:rsidRPr="00946435">
        <w:rPr>
          <w:lang w:val="en-GB"/>
        </w:rPr>
        <w:t xml:space="preserve">Ontario market. </w:t>
      </w:r>
      <w:r w:rsidR="00064936" w:rsidRPr="00946435">
        <w:rPr>
          <w:lang w:val="en-GB"/>
        </w:rPr>
        <w:t>The b</w:t>
      </w:r>
      <w:r w:rsidRPr="00946435">
        <w:rPr>
          <w:lang w:val="en-GB"/>
        </w:rPr>
        <w:t xml:space="preserve">rewery </w:t>
      </w:r>
      <w:r w:rsidR="00C24D6A" w:rsidRPr="00946435">
        <w:rPr>
          <w:lang w:val="en-GB"/>
        </w:rPr>
        <w:t xml:space="preserve">already </w:t>
      </w:r>
      <w:r w:rsidRPr="00946435">
        <w:rPr>
          <w:lang w:val="en-GB"/>
        </w:rPr>
        <w:t>performed exceptionally well locally</w:t>
      </w:r>
      <w:r w:rsidR="00064936" w:rsidRPr="00946435">
        <w:rPr>
          <w:lang w:val="en-GB"/>
        </w:rPr>
        <w:t>. The next step was</w:t>
      </w:r>
      <w:r w:rsidRPr="00946435">
        <w:rPr>
          <w:lang w:val="en-GB"/>
        </w:rPr>
        <w:t xml:space="preserve"> to continue expanding beyond </w:t>
      </w:r>
      <w:r w:rsidR="00C24D6A" w:rsidRPr="00946435">
        <w:rPr>
          <w:lang w:val="en-GB"/>
        </w:rPr>
        <w:t>i</w:t>
      </w:r>
      <w:r w:rsidRPr="00946435">
        <w:rPr>
          <w:lang w:val="en-GB"/>
        </w:rPr>
        <w:t>t</w:t>
      </w:r>
      <w:r w:rsidR="00C24D6A" w:rsidRPr="00946435">
        <w:rPr>
          <w:lang w:val="en-GB"/>
        </w:rPr>
        <w:t>s</w:t>
      </w:r>
      <w:r w:rsidRPr="00946435">
        <w:rPr>
          <w:lang w:val="en-GB"/>
        </w:rPr>
        <w:t xml:space="preserve"> </w:t>
      </w:r>
      <w:r w:rsidR="001306F7" w:rsidRPr="00946435">
        <w:rPr>
          <w:lang w:val="en-GB"/>
        </w:rPr>
        <w:t xml:space="preserve">own </w:t>
      </w:r>
      <w:r w:rsidRPr="00946435">
        <w:rPr>
          <w:lang w:val="en-GB"/>
        </w:rPr>
        <w:t>community</w:t>
      </w:r>
      <w:r w:rsidR="001306F7" w:rsidRPr="00946435">
        <w:rPr>
          <w:lang w:val="en-GB"/>
        </w:rPr>
        <w:t xml:space="preserve"> </w:t>
      </w:r>
      <w:r w:rsidR="00064936" w:rsidRPr="00946435">
        <w:rPr>
          <w:lang w:val="en-GB"/>
        </w:rPr>
        <w:t xml:space="preserve">and </w:t>
      </w:r>
      <w:r w:rsidR="00BC186F" w:rsidRPr="00946435">
        <w:rPr>
          <w:lang w:val="en-GB"/>
        </w:rPr>
        <w:t>throughout</w:t>
      </w:r>
      <w:r w:rsidR="00064936" w:rsidRPr="00946435">
        <w:rPr>
          <w:lang w:val="en-GB"/>
        </w:rPr>
        <w:t xml:space="preserve"> the province</w:t>
      </w:r>
      <w:r w:rsidRPr="00946435">
        <w:rPr>
          <w:lang w:val="en-GB"/>
        </w:rPr>
        <w:t>.</w:t>
      </w:r>
    </w:p>
    <w:p w14:paraId="73B7F0A9" w14:textId="77777777" w:rsidR="00064936" w:rsidRPr="00946435" w:rsidRDefault="00064936" w:rsidP="009424DA">
      <w:pPr>
        <w:pStyle w:val="BodyTextMain"/>
        <w:rPr>
          <w:lang w:val="en-GB"/>
        </w:rPr>
      </w:pPr>
    </w:p>
    <w:p w14:paraId="62DB2100" w14:textId="47886DD4" w:rsidR="009424DA" w:rsidRPr="00946435" w:rsidRDefault="00AE4F3C" w:rsidP="009424DA">
      <w:pPr>
        <w:pStyle w:val="BodyTextMain"/>
        <w:rPr>
          <w:lang w:val="en-GB"/>
        </w:rPr>
      </w:pPr>
      <w:r w:rsidRPr="00946435">
        <w:rPr>
          <w:lang w:val="en-GB"/>
        </w:rPr>
        <w:t>Wellington Brewery faced strong competition from other craft breweries in the province, but also from giant multinational “macrobreweries.” However, t</w:t>
      </w:r>
      <w:r w:rsidR="009424DA" w:rsidRPr="00946435">
        <w:rPr>
          <w:lang w:val="en-GB"/>
        </w:rPr>
        <w:t>he c</w:t>
      </w:r>
      <w:r w:rsidR="00C24D6A" w:rsidRPr="00946435">
        <w:rPr>
          <w:lang w:val="en-GB"/>
        </w:rPr>
        <w:t>ompany</w:t>
      </w:r>
      <w:r w:rsidRPr="00946435">
        <w:rPr>
          <w:lang w:val="en-GB"/>
        </w:rPr>
        <w:t xml:space="preserve"> boasted</w:t>
      </w:r>
      <w:r w:rsidR="009424DA" w:rsidRPr="00946435">
        <w:rPr>
          <w:lang w:val="en-GB"/>
        </w:rPr>
        <w:t xml:space="preserve"> a competitive advantage over macrobreweries</w:t>
      </w:r>
      <w:r w:rsidRPr="00946435">
        <w:rPr>
          <w:lang w:val="en-GB"/>
        </w:rPr>
        <w:t xml:space="preserve"> simply due to</w:t>
      </w:r>
      <w:r w:rsidR="009424DA" w:rsidRPr="00946435">
        <w:rPr>
          <w:lang w:val="en-GB"/>
        </w:rPr>
        <w:t xml:space="preserve"> its smaller scale</w:t>
      </w:r>
      <w:r w:rsidRPr="00946435">
        <w:rPr>
          <w:lang w:val="en-GB"/>
        </w:rPr>
        <w:t>, which</w:t>
      </w:r>
      <w:r w:rsidR="009424DA" w:rsidRPr="00946435">
        <w:rPr>
          <w:lang w:val="en-GB"/>
        </w:rPr>
        <w:t xml:space="preserve"> allowed </w:t>
      </w:r>
      <w:r w:rsidRPr="00946435">
        <w:rPr>
          <w:lang w:val="en-GB"/>
        </w:rPr>
        <w:t>the craft brewery</w:t>
      </w:r>
      <w:r w:rsidR="009424DA" w:rsidRPr="00946435">
        <w:rPr>
          <w:lang w:val="en-GB"/>
        </w:rPr>
        <w:t xml:space="preserve"> to </w:t>
      </w:r>
      <w:r w:rsidRPr="00946435">
        <w:rPr>
          <w:lang w:val="en-GB"/>
        </w:rPr>
        <w:t>offer</w:t>
      </w:r>
      <w:r w:rsidR="009424DA" w:rsidRPr="00946435">
        <w:rPr>
          <w:lang w:val="en-GB"/>
        </w:rPr>
        <w:t xml:space="preserve"> more expensive and exquisite ingredients</w:t>
      </w:r>
      <w:r w:rsidRPr="00946435">
        <w:rPr>
          <w:lang w:val="en-GB"/>
        </w:rPr>
        <w:t xml:space="preserve"> in its beer</w:t>
      </w:r>
      <w:r w:rsidR="009424DA" w:rsidRPr="00946435">
        <w:rPr>
          <w:lang w:val="en-GB"/>
        </w:rPr>
        <w:t xml:space="preserve">, such as </w:t>
      </w:r>
      <w:r w:rsidRPr="00946435">
        <w:rPr>
          <w:lang w:val="en-GB"/>
        </w:rPr>
        <w:t xml:space="preserve">interesting </w:t>
      </w:r>
      <w:r w:rsidR="009424DA" w:rsidRPr="00946435">
        <w:rPr>
          <w:lang w:val="en-GB"/>
        </w:rPr>
        <w:t>fruit</w:t>
      </w:r>
      <w:r w:rsidRPr="00946435">
        <w:rPr>
          <w:lang w:val="en-GB"/>
        </w:rPr>
        <w:t>s</w:t>
      </w:r>
      <w:r w:rsidR="009424DA" w:rsidRPr="00946435">
        <w:rPr>
          <w:lang w:val="en-GB"/>
        </w:rPr>
        <w:t xml:space="preserve"> and </w:t>
      </w:r>
      <w:r w:rsidRPr="00946435">
        <w:rPr>
          <w:lang w:val="en-GB"/>
        </w:rPr>
        <w:t>carefully</w:t>
      </w:r>
      <w:r w:rsidR="00185104">
        <w:rPr>
          <w:lang w:val="en-GB"/>
        </w:rPr>
        <w:t xml:space="preserve"> </w:t>
      </w:r>
      <w:r w:rsidRPr="00946435">
        <w:rPr>
          <w:lang w:val="en-GB"/>
        </w:rPr>
        <w:t xml:space="preserve">chosen </w:t>
      </w:r>
      <w:r w:rsidR="009424DA" w:rsidRPr="00946435">
        <w:rPr>
          <w:lang w:val="en-GB"/>
        </w:rPr>
        <w:t xml:space="preserve">additives, to brew </w:t>
      </w:r>
      <w:r w:rsidRPr="00946435">
        <w:rPr>
          <w:lang w:val="en-GB"/>
        </w:rPr>
        <w:t xml:space="preserve">a selection of </w:t>
      </w:r>
      <w:r w:rsidR="009424DA" w:rsidRPr="00946435">
        <w:rPr>
          <w:lang w:val="en-GB"/>
        </w:rPr>
        <w:t>unique</w:t>
      </w:r>
      <w:r w:rsidRPr="00946435">
        <w:rPr>
          <w:lang w:val="en-GB"/>
        </w:rPr>
        <w:t>-tasting</w:t>
      </w:r>
      <w:r w:rsidR="00185104">
        <w:rPr>
          <w:lang w:val="en-GB"/>
        </w:rPr>
        <w:t>,</w:t>
      </w:r>
      <w:r w:rsidR="009424DA" w:rsidRPr="00946435">
        <w:rPr>
          <w:lang w:val="en-GB"/>
        </w:rPr>
        <w:t xml:space="preserve"> small-batch craft</w:t>
      </w:r>
      <w:r w:rsidRPr="00946435">
        <w:rPr>
          <w:lang w:val="en-GB"/>
        </w:rPr>
        <w:t xml:space="preserve"> beer</w:t>
      </w:r>
      <w:r w:rsidR="009424DA" w:rsidRPr="00946435">
        <w:rPr>
          <w:lang w:val="en-GB"/>
        </w:rPr>
        <w:t xml:space="preserve">s. </w:t>
      </w:r>
    </w:p>
    <w:p w14:paraId="0B8DF3C4" w14:textId="77777777" w:rsidR="009424DA" w:rsidRPr="00946435" w:rsidRDefault="009424DA" w:rsidP="009424DA">
      <w:pPr>
        <w:pStyle w:val="BodyTextMain"/>
        <w:rPr>
          <w:lang w:val="en-GB"/>
        </w:rPr>
      </w:pPr>
    </w:p>
    <w:p w14:paraId="5FCD55DB" w14:textId="34A97232" w:rsidR="009424DA" w:rsidRPr="00946435" w:rsidRDefault="00C24D6A" w:rsidP="009424DA">
      <w:pPr>
        <w:pStyle w:val="BodyTextMain"/>
        <w:rPr>
          <w:lang w:val="en-GB"/>
        </w:rPr>
      </w:pPr>
      <w:r w:rsidRPr="00946435">
        <w:rPr>
          <w:lang w:val="en-GB"/>
        </w:rPr>
        <w:t xml:space="preserve">After completing </w:t>
      </w:r>
      <w:r w:rsidR="00AE4F3C" w:rsidRPr="00946435">
        <w:rPr>
          <w:lang w:val="en-GB"/>
        </w:rPr>
        <w:t>its recent</w:t>
      </w:r>
      <w:r w:rsidR="001306F7" w:rsidRPr="00946435">
        <w:rPr>
          <w:lang w:val="en-GB"/>
        </w:rPr>
        <w:t xml:space="preserve"> </w:t>
      </w:r>
      <w:r w:rsidR="009424DA" w:rsidRPr="00946435">
        <w:rPr>
          <w:lang w:val="en-GB"/>
        </w:rPr>
        <w:t xml:space="preserve">expansion </w:t>
      </w:r>
      <w:r w:rsidRPr="00946435">
        <w:rPr>
          <w:lang w:val="en-GB"/>
        </w:rPr>
        <w:t>p</w:t>
      </w:r>
      <w:r w:rsidR="00AE4F3C" w:rsidRPr="00946435">
        <w:rPr>
          <w:lang w:val="en-GB"/>
        </w:rPr>
        <w:t>roject</w:t>
      </w:r>
      <w:r w:rsidR="009424DA" w:rsidRPr="00946435">
        <w:rPr>
          <w:lang w:val="en-GB"/>
        </w:rPr>
        <w:t xml:space="preserve">, </w:t>
      </w:r>
      <w:r w:rsidRPr="00946435">
        <w:rPr>
          <w:lang w:val="en-GB"/>
        </w:rPr>
        <w:t>Wellington Brewery</w:t>
      </w:r>
      <w:r w:rsidR="009424DA" w:rsidRPr="00946435">
        <w:rPr>
          <w:lang w:val="en-GB"/>
        </w:rPr>
        <w:t xml:space="preserve"> faced the challenges of an </w:t>
      </w:r>
      <w:r w:rsidR="00D32EB0" w:rsidRPr="00946435">
        <w:rPr>
          <w:lang w:val="en-GB"/>
        </w:rPr>
        <w:t xml:space="preserve">unpredictable and </w:t>
      </w:r>
      <w:r w:rsidR="009424DA" w:rsidRPr="00946435">
        <w:rPr>
          <w:lang w:val="en-GB"/>
        </w:rPr>
        <w:t xml:space="preserve">oversaturated market. </w:t>
      </w:r>
      <w:r w:rsidR="00AE4F3C" w:rsidRPr="00946435">
        <w:rPr>
          <w:lang w:val="en-GB"/>
        </w:rPr>
        <w:t xml:space="preserve">Ontario’s craft brewery </w:t>
      </w:r>
      <w:r w:rsidR="00D32EB0" w:rsidRPr="00946435">
        <w:rPr>
          <w:lang w:val="en-GB"/>
        </w:rPr>
        <w:t>industry</w:t>
      </w:r>
      <w:r w:rsidR="00AE4F3C" w:rsidRPr="00946435">
        <w:rPr>
          <w:lang w:val="en-GB"/>
        </w:rPr>
        <w:t xml:space="preserve"> was c</w:t>
      </w:r>
      <w:r w:rsidR="009424DA" w:rsidRPr="00946435">
        <w:rPr>
          <w:lang w:val="en-GB"/>
        </w:rPr>
        <w:t>haracterized by unexpected growth, shifting consumer preferences, and intense competition for shelf space</w:t>
      </w:r>
      <w:r w:rsidR="00AE4F3C" w:rsidRPr="00946435">
        <w:rPr>
          <w:lang w:val="en-GB"/>
        </w:rPr>
        <w:t xml:space="preserve"> at limited retail outlets.</w:t>
      </w:r>
      <w:r w:rsidR="009424DA" w:rsidRPr="00946435">
        <w:rPr>
          <w:lang w:val="en-GB"/>
        </w:rPr>
        <w:t xml:space="preserve"> Davies urgently needed to </w:t>
      </w:r>
      <w:r w:rsidR="00D32EB0" w:rsidRPr="00946435">
        <w:rPr>
          <w:lang w:val="en-GB"/>
        </w:rPr>
        <w:t>plan</w:t>
      </w:r>
      <w:r w:rsidRPr="00946435">
        <w:rPr>
          <w:lang w:val="en-GB"/>
        </w:rPr>
        <w:t xml:space="preserve"> his company’s</w:t>
      </w:r>
      <w:r w:rsidR="009424DA" w:rsidRPr="00946435">
        <w:rPr>
          <w:lang w:val="en-GB"/>
        </w:rPr>
        <w:t xml:space="preserve"> </w:t>
      </w:r>
      <w:r w:rsidR="00D32EB0" w:rsidRPr="00946435">
        <w:rPr>
          <w:lang w:val="en-GB"/>
        </w:rPr>
        <w:t>continuing expansion and</w:t>
      </w:r>
      <w:r w:rsidRPr="00946435">
        <w:rPr>
          <w:lang w:val="en-GB"/>
        </w:rPr>
        <w:t xml:space="preserve"> ensure that</w:t>
      </w:r>
      <w:r w:rsidR="009424DA" w:rsidRPr="00946435">
        <w:rPr>
          <w:lang w:val="en-GB"/>
        </w:rPr>
        <w:t xml:space="preserve"> </w:t>
      </w:r>
      <w:r w:rsidR="00D32EB0" w:rsidRPr="00946435">
        <w:rPr>
          <w:lang w:val="en-GB"/>
        </w:rPr>
        <w:t>Wellington B</w:t>
      </w:r>
      <w:r w:rsidR="009424DA" w:rsidRPr="00946435">
        <w:rPr>
          <w:lang w:val="en-GB"/>
        </w:rPr>
        <w:t>rewer</w:t>
      </w:r>
      <w:r w:rsidR="00D32EB0" w:rsidRPr="00946435">
        <w:rPr>
          <w:lang w:val="en-GB"/>
        </w:rPr>
        <w:t>y</w:t>
      </w:r>
      <w:r w:rsidR="009424DA" w:rsidRPr="00946435">
        <w:rPr>
          <w:lang w:val="en-GB"/>
        </w:rPr>
        <w:t xml:space="preserve"> </w:t>
      </w:r>
      <w:r w:rsidRPr="00946435">
        <w:rPr>
          <w:lang w:val="en-GB"/>
        </w:rPr>
        <w:t>remained</w:t>
      </w:r>
      <w:r w:rsidR="009424DA" w:rsidRPr="00946435">
        <w:rPr>
          <w:lang w:val="en-GB"/>
        </w:rPr>
        <w:t xml:space="preserve"> relevant and financially </w:t>
      </w:r>
      <w:r w:rsidR="00D32EB0" w:rsidRPr="00946435">
        <w:rPr>
          <w:lang w:val="en-GB"/>
        </w:rPr>
        <w:t>strong</w:t>
      </w:r>
      <w:r w:rsidR="009424DA" w:rsidRPr="00946435">
        <w:rPr>
          <w:lang w:val="en-GB"/>
        </w:rPr>
        <w:t xml:space="preserve"> during cha</w:t>
      </w:r>
      <w:r w:rsidR="00D32EB0" w:rsidRPr="00946435">
        <w:rPr>
          <w:lang w:val="en-GB"/>
        </w:rPr>
        <w:t>lle</w:t>
      </w:r>
      <w:r w:rsidR="009424DA" w:rsidRPr="00946435">
        <w:rPr>
          <w:lang w:val="en-GB"/>
        </w:rPr>
        <w:t>nging times</w:t>
      </w:r>
      <w:r w:rsidR="00D32EB0" w:rsidRPr="00946435">
        <w:rPr>
          <w:lang w:val="en-GB"/>
        </w:rPr>
        <w:t>.</w:t>
      </w:r>
    </w:p>
    <w:p w14:paraId="00105412" w14:textId="77777777" w:rsidR="009424DA" w:rsidRPr="00946435" w:rsidRDefault="009424DA" w:rsidP="004D070D">
      <w:pPr>
        <w:pStyle w:val="Casehead1"/>
        <w:keepNext/>
        <w:rPr>
          <w:lang w:val="en-GB"/>
        </w:rPr>
      </w:pPr>
      <w:r w:rsidRPr="00946435">
        <w:rPr>
          <w:lang w:val="en-GB"/>
        </w:rPr>
        <w:lastRenderedPageBreak/>
        <w:t>INDUSTRY BACKGROUND</w:t>
      </w:r>
    </w:p>
    <w:p w14:paraId="0D75F1A9" w14:textId="77777777" w:rsidR="009424DA" w:rsidRPr="00946435" w:rsidRDefault="009424DA" w:rsidP="004D070D">
      <w:pPr>
        <w:pStyle w:val="BodyTextMain"/>
        <w:keepNext/>
        <w:rPr>
          <w:lang w:val="en-GB"/>
        </w:rPr>
      </w:pPr>
    </w:p>
    <w:p w14:paraId="00C49FF0" w14:textId="274AD22F" w:rsidR="009424DA" w:rsidRPr="00946435" w:rsidRDefault="009424DA" w:rsidP="004D070D">
      <w:pPr>
        <w:pStyle w:val="Casehead2"/>
        <w:keepNext/>
        <w:rPr>
          <w:lang w:val="en-GB"/>
        </w:rPr>
      </w:pPr>
      <w:r w:rsidRPr="00946435">
        <w:rPr>
          <w:lang w:val="en-GB"/>
        </w:rPr>
        <w:t>The Beer Industry</w:t>
      </w:r>
      <w:r w:rsidR="00F47654" w:rsidRPr="00946435">
        <w:rPr>
          <w:lang w:val="en-GB"/>
        </w:rPr>
        <w:t xml:space="preserve"> in Canada</w:t>
      </w:r>
    </w:p>
    <w:p w14:paraId="12387C85" w14:textId="77777777" w:rsidR="009424DA" w:rsidRPr="00946435" w:rsidRDefault="009424DA" w:rsidP="009424DA">
      <w:pPr>
        <w:pStyle w:val="BodyTextMain"/>
        <w:rPr>
          <w:lang w:val="en-GB"/>
        </w:rPr>
      </w:pPr>
    </w:p>
    <w:p w14:paraId="1C0DC2CB" w14:textId="5F2C9A5C" w:rsidR="009424DA" w:rsidRPr="00946435" w:rsidRDefault="009424DA" w:rsidP="009424DA">
      <w:pPr>
        <w:pStyle w:val="BodyTextMain"/>
        <w:rPr>
          <w:lang w:val="en-GB"/>
        </w:rPr>
      </w:pPr>
      <w:r w:rsidRPr="00946435">
        <w:rPr>
          <w:lang w:val="en-GB"/>
        </w:rPr>
        <w:t>In 2018, the global beer market was worth CA$895 billion</w:t>
      </w:r>
      <w:r w:rsidR="001306F7" w:rsidRPr="00946435">
        <w:rPr>
          <w:rStyle w:val="EndnoteReference"/>
          <w:lang w:val="en-GB"/>
        </w:rPr>
        <w:endnoteReference w:id="1"/>
      </w:r>
      <w:r w:rsidRPr="00946435">
        <w:rPr>
          <w:lang w:val="en-GB"/>
        </w:rPr>
        <w:t xml:space="preserve"> and was expected to continue grow</w:t>
      </w:r>
      <w:r w:rsidR="001306F7" w:rsidRPr="00946435">
        <w:rPr>
          <w:lang w:val="en-GB"/>
        </w:rPr>
        <w:t>ing</w:t>
      </w:r>
      <w:r w:rsidRPr="00946435">
        <w:rPr>
          <w:lang w:val="en-GB"/>
        </w:rPr>
        <w:t>.</w:t>
      </w:r>
      <w:r w:rsidRPr="00946435">
        <w:rPr>
          <w:rStyle w:val="EndnoteReference"/>
          <w:lang w:val="en-GB"/>
        </w:rPr>
        <w:endnoteReference w:id="2"/>
      </w:r>
      <w:r w:rsidRPr="00946435">
        <w:rPr>
          <w:lang w:val="en-GB"/>
        </w:rPr>
        <w:t xml:space="preserve"> </w:t>
      </w:r>
      <w:r w:rsidR="001306F7" w:rsidRPr="00946435">
        <w:rPr>
          <w:lang w:val="en-GB"/>
        </w:rPr>
        <w:t>Of the</w:t>
      </w:r>
      <w:r w:rsidRPr="00946435">
        <w:rPr>
          <w:lang w:val="en-GB"/>
        </w:rPr>
        <w:t xml:space="preserve"> estimated 25,000</w:t>
      </w:r>
      <w:r w:rsidR="001306F7" w:rsidRPr="00946435">
        <w:rPr>
          <w:lang w:val="en-GB"/>
        </w:rPr>
        <w:t>–</w:t>
      </w:r>
      <w:r w:rsidRPr="00946435">
        <w:rPr>
          <w:lang w:val="en-GB"/>
        </w:rPr>
        <w:t xml:space="preserve">30,000 breweries around the world, </w:t>
      </w:r>
      <w:r w:rsidR="001306F7" w:rsidRPr="00946435">
        <w:rPr>
          <w:lang w:val="en-GB"/>
        </w:rPr>
        <w:t>most</w:t>
      </w:r>
      <w:r w:rsidRPr="00946435">
        <w:rPr>
          <w:lang w:val="en-GB"/>
        </w:rPr>
        <w:t xml:space="preserve"> produc</w:t>
      </w:r>
      <w:r w:rsidR="001306F7" w:rsidRPr="00946435">
        <w:rPr>
          <w:lang w:val="en-GB"/>
        </w:rPr>
        <w:t>ed</w:t>
      </w:r>
      <w:r w:rsidRPr="00946435">
        <w:rPr>
          <w:lang w:val="en-GB"/>
        </w:rPr>
        <w:t xml:space="preserve"> less than 1,000 hectolitres </w:t>
      </w:r>
      <w:r w:rsidR="001067BD">
        <w:rPr>
          <w:lang w:val="en-GB"/>
        </w:rPr>
        <w:t xml:space="preserve">(hl) </w:t>
      </w:r>
      <w:r w:rsidRPr="00946435">
        <w:rPr>
          <w:lang w:val="en-GB"/>
        </w:rPr>
        <w:t>per year.</w:t>
      </w:r>
      <w:r w:rsidRPr="00946435">
        <w:rPr>
          <w:rStyle w:val="EndnoteReference"/>
          <w:lang w:val="en-GB"/>
        </w:rPr>
        <w:endnoteReference w:id="3"/>
      </w:r>
      <w:r w:rsidRPr="00946435">
        <w:rPr>
          <w:lang w:val="en-GB"/>
        </w:rPr>
        <w:t xml:space="preserve"> Beer </w:t>
      </w:r>
      <w:r w:rsidR="00EA4E7D" w:rsidRPr="00946435">
        <w:rPr>
          <w:lang w:val="en-GB"/>
        </w:rPr>
        <w:t>was</w:t>
      </w:r>
      <w:r w:rsidRPr="00946435">
        <w:rPr>
          <w:lang w:val="en-GB"/>
        </w:rPr>
        <w:t xml:space="preserve"> Canada’s most popular alcoholic beverage. </w:t>
      </w:r>
      <w:r w:rsidR="00BC186F" w:rsidRPr="00946435">
        <w:rPr>
          <w:lang w:val="en-GB"/>
        </w:rPr>
        <w:t>In 2018</w:t>
      </w:r>
      <w:r w:rsidRPr="00946435">
        <w:rPr>
          <w:lang w:val="en-GB"/>
        </w:rPr>
        <w:t xml:space="preserve">, Canadian beer sales reached $20.2 billion, and were forecasted to reach $22.1 billion </w:t>
      </w:r>
      <w:r w:rsidR="00EA4E7D" w:rsidRPr="00946435">
        <w:rPr>
          <w:lang w:val="en-GB"/>
        </w:rPr>
        <w:t>by</w:t>
      </w:r>
      <w:r w:rsidRPr="00946435">
        <w:rPr>
          <w:lang w:val="en-GB"/>
        </w:rPr>
        <w:t xml:space="preserve"> 2023.</w:t>
      </w:r>
      <w:r w:rsidRPr="00946435">
        <w:rPr>
          <w:rStyle w:val="EndnoteReference"/>
          <w:lang w:val="en-GB"/>
        </w:rPr>
        <w:endnoteReference w:id="4"/>
      </w:r>
      <w:r w:rsidRPr="00946435">
        <w:rPr>
          <w:lang w:val="en-GB"/>
        </w:rPr>
        <w:t xml:space="preserve"> </w:t>
      </w:r>
      <w:r w:rsidR="00EA4E7D" w:rsidRPr="00946435">
        <w:rPr>
          <w:lang w:val="en-GB"/>
        </w:rPr>
        <w:t>T</w:t>
      </w:r>
      <w:r w:rsidRPr="00946435">
        <w:rPr>
          <w:lang w:val="en-GB"/>
        </w:rPr>
        <w:t xml:space="preserve">he Canadian </w:t>
      </w:r>
      <w:r w:rsidR="00EA4E7D" w:rsidRPr="00946435">
        <w:rPr>
          <w:lang w:val="en-GB"/>
        </w:rPr>
        <w:t xml:space="preserve">beer </w:t>
      </w:r>
      <w:r w:rsidRPr="00946435">
        <w:rPr>
          <w:lang w:val="en-GB"/>
        </w:rPr>
        <w:t>market w</w:t>
      </w:r>
      <w:r w:rsidR="00EA4E7D" w:rsidRPr="00946435">
        <w:rPr>
          <w:lang w:val="en-GB"/>
        </w:rPr>
        <w:t>as dominated by</w:t>
      </w:r>
      <w:r w:rsidRPr="00946435">
        <w:rPr>
          <w:lang w:val="en-GB"/>
        </w:rPr>
        <w:t xml:space="preserve"> two multi</w:t>
      </w:r>
      <w:r w:rsidR="00EA4E7D" w:rsidRPr="00946435">
        <w:rPr>
          <w:lang w:val="en-GB"/>
        </w:rPr>
        <w:t>national companies—</w:t>
      </w:r>
      <w:r w:rsidRPr="00946435">
        <w:rPr>
          <w:lang w:val="en-GB"/>
        </w:rPr>
        <w:t>Molson Coors B</w:t>
      </w:r>
      <w:r w:rsidR="00EA4E7D" w:rsidRPr="00946435">
        <w:rPr>
          <w:lang w:val="en-GB"/>
        </w:rPr>
        <w:t>eve</w:t>
      </w:r>
      <w:r w:rsidRPr="00946435">
        <w:rPr>
          <w:lang w:val="en-GB"/>
        </w:rPr>
        <w:t>r</w:t>
      </w:r>
      <w:r w:rsidR="00EA4E7D" w:rsidRPr="00946435">
        <w:rPr>
          <w:lang w:val="en-GB"/>
        </w:rPr>
        <w:t>age Company</w:t>
      </w:r>
      <w:r w:rsidRPr="00946435">
        <w:rPr>
          <w:lang w:val="en-GB"/>
        </w:rPr>
        <w:t xml:space="preserve"> and Labatt Brewing</w:t>
      </w:r>
      <w:r w:rsidR="00EA4E7D" w:rsidRPr="00946435">
        <w:rPr>
          <w:lang w:val="en-GB"/>
        </w:rPr>
        <w:t xml:space="preserve"> Company Limited</w:t>
      </w:r>
      <w:r w:rsidRPr="00946435">
        <w:rPr>
          <w:lang w:val="en-GB"/>
        </w:rPr>
        <w:t xml:space="preserve"> </w:t>
      </w:r>
      <w:r w:rsidR="00EA4E7D" w:rsidRPr="00946435">
        <w:rPr>
          <w:lang w:val="en-GB"/>
        </w:rPr>
        <w:t>(</w:t>
      </w:r>
      <w:r w:rsidRPr="00946435">
        <w:rPr>
          <w:lang w:val="en-GB"/>
        </w:rPr>
        <w:t>owned by Anheuser-Busch InBev</w:t>
      </w:r>
      <w:r w:rsidR="00EA4E7D" w:rsidRPr="00946435">
        <w:rPr>
          <w:lang w:val="en-GB"/>
        </w:rPr>
        <w:t>). T</w:t>
      </w:r>
      <w:r w:rsidRPr="00946435">
        <w:rPr>
          <w:lang w:val="en-GB"/>
        </w:rPr>
        <w:t>he</w:t>
      </w:r>
      <w:r w:rsidR="00EA4E7D" w:rsidRPr="00946435">
        <w:rPr>
          <w:lang w:val="en-GB"/>
        </w:rPr>
        <w:t xml:space="preserve">se two </w:t>
      </w:r>
      <w:r w:rsidR="00BC186F" w:rsidRPr="00946435">
        <w:rPr>
          <w:lang w:val="en-GB"/>
        </w:rPr>
        <w:t>industry giants controlled</w:t>
      </w:r>
      <w:r w:rsidR="00EA4E7D" w:rsidRPr="00946435">
        <w:rPr>
          <w:lang w:val="en-GB"/>
        </w:rPr>
        <w:t xml:space="preserve"> 50 per cent of the </w:t>
      </w:r>
      <w:r w:rsidR="00BC186F" w:rsidRPr="00946435">
        <w:rPr>
          <w:lang w:val="en-GB"/>
        </w:rPr>
        <w:t xml:space="preserve">Canadian </w:t>
      </w:r>
      <w:r w:rsidR="00EA4E7D" w:rsidRPr="00946435">
        <w:rPr>
          <w:lang w:val="en-GB"/>
        </w:rPr>
        <w:t>market, while the</w:t>
      </w:r>
      <w:r w:rsidRPr="00946435">
        <w:rPr>
          <w:lang w:val="en-GB"/>
        </w:rPr>
        <w:t xml:space="preserve"> myriad of </w:t>
      </w:r>
      <w:r w:rsidR="00EA4E7D" w:rsidRPr="00946435">
        <w:rPr>
          <w:lang w:val="en-GB"/>
        </w:rPr>
        <w:t xml:space="preserve">much smaller </w:t>
      </w:r>
      <w:r w:rsidRPr="00946435">
        <w:rPr>
          <w:lang w:val="en-GB"/>
        </w:rPr>
        <w:t>craft brewer</w:t>
      </w:r>
      <w:r w:rsidR="00D56902" w:rsidRPr="00946435">
        <w:rPr>
          <w:lang w:val="en-GB"/>
        </w:rPr>
        <w:t>ie</w:t>
      </w:r>
      <w:r w:rsidRPr="00946435">
        <w:rPr>
          <w:lang w:val="en-GB"/>
        </w:rPr>
        <w:t xml:space="preserve">s </w:t>
      </w:r>
      <w:r w:rsidR="00EA4E7D" w:rsidRPr="00946435">
        <w:rPr>
          <w:lang w:val="en-GB"/>
        </w:rPr>
        <w:t xml:space="preserve">together </w:t>
      </w:r>
      <w:r w:rsidRPr="00946435">
        <w:rPr>
          <w:lang w:val="en-GB"/>
        </w:rPr>
        <w:t xml:space="preserve">accounted for </w:t>
      </w:r>
      <w:r w:rsidR="00185104">
        <w:rPr>
          <w:lang w:val="en-GB"/>
        </w:rPr>
        <w:t xml:space="preserve">only </w:t>
      </w:r>
      <w:r w:rsidR="00EA4E7D" w:rsidRPr="00946435">
        <w:rPr>
          <w:lang w:val="en-GB"/>
        </w:rPr>
        <w:t>approximately</w:t>
      </w:r>
      <w:r w:rsidRPr="00946435">
        <w:rPr>
          <w:lang w:val="en-GB"/>
        </w:rPr>
        <w:t xml:space="preserve"> </w:t>
      </w:r>
      <w:r w:rsidR="00EA4E7D" w:rsidRPr="00946435">
        <w:rPr>
          <w:lang w:val="en-GB"/>
        </w:rPr>
        <w:t xml:space="preserve">a </w:t>
      </w:r>
      <w:r w:rsidRPr="00946435">
        <w:rPr>
          <w:lang w:val="en-GB"/>
        </w:rPr>
        <w:t>9</w:t>
      </w:r>
      <w:r w:rsidR="00EA4E7D" w:rsidRPr="00946435">
        <w:rPr>
          <w:lang w:val="en-GB"/>
        </w:rPr>
        <w:t xml:space="preserve"> per cent share</w:t>
      </w:r>
      <w:r w:rsidRPr="00946435">
        <w:rPr>
          <w:lang w:val="en-GB"/>
        </w:rPr>
        <w:t>. Between 2016 and 2018, Canada saw a 30</w:t>
      </w:r>
      <w:r w:rsidR="00EA4E7D" w:rsidRPr="00946435">
        <w:rPr>
          <w:lang w:val="en-GB"/>
        </w:rPr>
        <w:t xml:space="preserve"> per cent</w:t>
      </w:r>
      <w:r w:rsidRPr="00946435">
        <w:rPr>
          <w:lang w:val="en-GB"/>
        </w:rPr>
        <w:t xml:space="preserve"> increase in the </w:t>
      </w:r>
      <w:r w:rsidR="006532AF" w:rsidRPr="00946435">
        <w:rPr>
          <w:lang w:val="en-GB"/>
        </w:rPr>
        <w:t>launch</w:t>
      </w:r>
      <w:r w:rsidRPr="00946435">
        <w:rPr>
          <w:lang w:val="en-GB"/>
        </w:rPr>
        <w:t xml:space="preserve"> of </w:t>
      </w:r>
      <w:r w:rsidR="006532AF" w:rsidRPr="00946435">
        <w:rPr>
          <w:lang w:val="en-GB"/>
        </w:rPr>
        <w:t xml:space="preserve">new </w:t>
      </w:r>
      <w:r w:rsidRPr="00946435">
        <w:rPr>
          <w:lang w:val="en-GB"/>
        </w:rPr>
        <w:t xml:space="preserve">breweries, </w:t>
      </w:r>
      <w:r w:rsidR="006532AF" w:rsidRPr="00946435">
        <w:rPr>
          <w:lang w:val="en-GB"/>
        </w:rPr>
        <w:t>reaching</w:t>
      </w:r>
      <w:r w:rsidRPr="00946435">
        <w:rPr>
          <w:lang w:val="en-GB"/>
        </w:rPr>
        <w:t xml:space="preserve"> a total of 901</w:t>
      </w:r>
      <w:r w:rsidR="006532AF" w:rsidRPr="00946435">
        <w:rPr>
          <w:lang w:val="en-GB"/>
        </w:rPr>
        <w:t xml:space="preserve"> companies in the industry</w:t>
      </w:r>
      <w:r w:rsidRPr="00946435">
        <w:rPr>
          <w:lang w:val="en-GB"/>
        </w:rPr>
        <w:t xml:space="preserve">. Despite this increase, </w:t>
      </w:r>
      <w:r w:rsidR="006532AF" w:rsidRPr="00946435">
        <w:rPr>
          <w:lang w:val="en-GB"/>
        </w:rPr>
        <w:t xml:space="preserve">however, </w:t>
      </w:r>
      <w:r w:rsidRPr="00946435">
        <w:rPr>
          <w:lang w:val="en-GB"/>
        </w:rPr>
        <w:t xml:space="preserve">beer consumption in Canada </w:t>
      </w:r>
      <w:r w:rsidR="00BC186F" w:rsidRPr="00946435">
        <w:rPr>
          <w:lang w:val="en-GB"/>
        </w:rPr>
        <w:t>remained</w:t>
      </w:r>
      <w:r w:rsidR="006532AF" w:rsidRPr="00946435">
        <w:rPr>
          <w:lang w:val="en-GB"/>
        </w:rPr>
        <w:t xml:space="preserve"> relatively flat over the previous decade and </w:t>
      </w:r>
      <w:r w:rsidRPr="00946435">
        <w:rPr>
          <w:lang w:val="en-GB"/>
        </w:rPr>
        <w:t>d</w:t>
      </w:r>
      <w:r w:rsidR="006532AF" w:rsidRPr="00946435">
        <w:rPr>
          <w:lang w:val="en-GB"/>
        </w:rPr>
        <w:t>ropp</w:t>
      </w:r>
      <w:r w:rsidRPr="00946435">
        <w:rPr>
          <w:lang w:val="en-GB"/>
        </w:rPr>
        <w:t>ed by 0.7 per</w:t>
      </w:r>
      <w:r w:rsidR="006532AF" w:rsidRPr="00946435">
        <w:rPr>
          <w:lang w:val="en-GB"/>
        </w:rPr>
        <w:t xml:space="preserve"> </w:t>
      </w:r>
      <w:r w:rsidRPr="00946435">
        <w:rPr>
          <w:lang w:val="en-GB"/>
        </w:rPr>
        <w:t>cent</w:t>
      </w:r>
      <w:r w:rsidR="006532AF" w:rsidRPr="00946435">
        <w:rPr>
          <w:lang w:val="en-GB"/>
        </w:rPr>
        <w:t xml:space="preserve"> during 2019.</w:t>
      </w:r>
      <w:r w:rsidRPr="00946435">
        <w:rPr>
          <w:rStyle w:val="EndnoteReference"/>
          <w:lang w:val="en-GB"/>
        </w:rPr>
        <w:endnoteReference w:id="5"/>
      </w:r>
      <w:r w:rsidRPr="00946435">
        <w:rPr>
          <w:lang w:val="en-GB"/>
        </w:rPr>
        <w:t xml:space="preserve"> This trend was attributed to </w:t>
      </w:r>
      <w:r w:rsidR="006532AF" w:rsidRPr="00946435">
        <w:rPr>
          <w:lang w:val="en-GB"/>
        </w:rPr>
        <w:t>various factors, including an increasingly health-conscious consumer base</w:t>
      </w:r>
      <w:r w:rsidR="00185104">
        <w:rPr>
          <w:lang w:val="en-GB"/>
        </w:rPr>
        <w:t>;</w:t>
      </w:r>
      <w:r w:rsidR="006532AF" w:rsidRPr="00946435">
        <w:rPr>
          <w:lang w:val="en-GB"/>
        </w:rPr>
        <w:t xml:space="preserve"> lower drinking rates among younger customers</w:t>
      </w:r>
      <w:r w:rsidR="00185104">
        <w:rPr>
          <w:lang w:val="en-GB"/>
        </w:rPr>
        <w:t>;</w:t>
      </w:r>
      <w:r w:rsidR="006532AF" w:rsidRPr="00946435">
        <w:rPr>
          <w:lang w:val="en-GB"/>
        </w:rPr>
        <w:t xml:space="preserve"> and </w:t>
      </w:r>
      <w:r w:rsidRPr="00946435">
        <w:rPr>
          <w:lang w:val="en-GB"/>
        </w:rPr>
        <w:t>growing cider, wine, and spirits industries.</w:t>
      </w:r>
      <w:r w:rsidRPr="00946435">
        <w:rPr>
          <w:rStyle w:val="EndnoteReference"/>
          <w:lang w:val="en-GB"/>
        </w:rPr>
        <w:endnoteReference w:id="6"/>
      </w:r>
      <w:r w:rsidRPr="00946435">
        <w:rPr>
          <w:lang w:val="en-GB"/>
        </w:rPr>
        <w:t xml:space="preserve"> Non-alcoholic beer </w:t>
      </w:r>
      <w:r w:rsidR="006532AF" w:rsidRPr="00946435">
        <w:rPr>
          <w:lang w:val="en-GB"/>
        </w:rPr>
        <w:t xml:space="preserve">also </w:t>
      </w:r>
      <w:r w:rsidRPr="00946435">
        <w:rPr>
          <w:lang w:val="en-GB"/>
        </w:rPr>
        <w:t>saw tremendous growth in 2018, with a 31</w:t>
      </w:r>
      <w:r w:rsidR="006532AF" w:rsidRPr="00946435">
        <w:rPr>
          <w:lang w:val="en-GB"/>
        </w:rPr>
        <w:t xml:space="preserve"> per cent</w:t>
      </w:r>
      <w:r w:rsidRPr="00946435">
        <w:rPr>
          <w:lang w:val="en-GB"/>
        </w:rPr>
        <w:t xml:space="preserve"> growth in total volume.</w:t>
      </w:r>
      <w:r w:rsidRPr="00946435">
        <w:rPr>
          <w:rStyle w:val="EndnoteReference"/>
          <w:lang w:val="en-GB"/>
        </w:rPr>
        <w:endnoteReference w:id="7"/>
      </w:r>
    </w:p>
    <w:p w14:paraId="56F6B5AD" w14:textId="77777777" w:rsidR="009424DA" w:rsidRPr="00946435" w:rsidRDefault="009424DA" w:rsidP="009424DA">
      <w:pPr>
        <w:pStyle w:val="BodyTextMain"/>
        <w:rPr>
          <w:lang w:val="en-GB"/>
        </w:rPr>
      </w:pPr>
    </w:p>
    <w:p w14:paraId="06B35531" w14:textId="20505F8B" w:rsidR="009424DA" w:rsidRPr="0078134E" w:rsidRDefault="009424DA" w:rsidP="009424DA">
      <w:pPr>
        <w:pStyle w:val="BodyTextMain"/>
        <w:rPr>
          <w:spacing w:val="-2"/>
          <w:kern w:val="22"/>
          <w:lang w:val="en-GB"/>
        </w:rPr>
      </w:pPr>
      <w:r w:rsidRPr="0078134E">
        <w:rPr>
          <w:spacing w:val="-2"/>
          <w:kern w:val="22"/>
          <w:lang w:val="en-GB"/>
        </w:rPr>
        <w:t>The beer industry was unpredictable</w:t>
      </w:r>
      <w:r w:rsidR="006532AF" w:rsidRPr="0078134E">
        <w:rPr>
          <w:spacing w:val="-2"/>
          <w:kern w:val="22"/>
          <w:lang w:val="en-GB"/>
        </w:rPr>
        <w:t xml:space="preserve"> for various reasons:</w:t>
      </w:r>
      <w:r w:rsidRPr="0078134E">
        <w:rPr>
          <w:spacing w:val="-2"/>
          <w:kern w:val="22"/>
          <w:lang w:val="en-GB"/>
        </w:rPr>
        <w:t xml:space="preserve"> consumption seasonality, explosive growth, changing consumer preferences (e.g., products </w:t>
      </w:r>
      <w:r w:rsidR="006532AF" w:rsidRPr="0078134E">
        <w:rPr>
          <w:spacing w:val="-2"/>
          <w:kern w:val="22"/>
          <w:lang w:val="en-GB"/>
        </w:rPr>
        <w:t xml:space="preserve">being </w:t>
      </w:r>
      <w:r w:rsidRPr="0078134E">
        <w:rPr>
          <w:spacing w:val="-2"/>
          <w:kern w:val="22"/>
          <w:lang w:val="en-GB"/>
        </w:rPr>
        <w:t xml:space="preserve">made sustainably), aggressive innovation from smaller breweries, and uncertain Canadian and provincial regulations. Until 2015, </w:t>
      </w:r>
      <w:r w:rsidR="002A4CC8" w:rsidRPr="0078134E">
        <w:rPr>
          <w:spacing w:val="-2"/>
          <w:kern w:val="22"/>
          <w:lang w:val="en-GB"/>
        </w:rPr>
        <w:t>only</w:t>
      </w:r>
      <w:r w:rsidRPr="0078134E">
        <w:rPr>
          <w:spacing w:val="-2"/>
          <w:kern w:val="22"/>
          <w:lang w:val="en-GB"/>
        </w:rPr>
        <w:t xml:space="preserve"> the</w:t>
      </w:r>
      <w:r w:rsidR="002A4CC8" w:rsidRPr="0078134E">
        <w:rPr>
          <w:spacing w:val="-2"/>
          <w:kern w:val="22"/>
          <w:lang w:val="en-GB"/>
        </w:rPr>
        <w:t xml:space="preserve"> government-owned</w:t>
      </w:r>
      <w:r w:rsidRPr="0078134E">
        <w:rPr>
          <w:spacing w:val="-2"/>
          <w:kern w:val="22"/>
          <w:lang w:val="en-GB"/>
        </w:rPr>
        <w:t xml:space="preserve"> Liquor Control Board of Ontario (LCBO)</w:t>
      </w:r>
      <w:r w:rsidRPr="0078134E">
        <w:rPr>
          <w:rStyle w:val="EndnoteReference"/>
          <w:spacing w:val="-2"/>
          <w:kern w:val="22"/>
          <w:lang w:val="en-GB"/>
        </w:rPr>
        <w:endnoteReference w:id="8"/>
      </w:r>
      <w:r w:rsidRPr="0078134E">
        <w:rPr>
          <w:spacing w:val="-2"/>
          <w:kern w:val="22"/>
          <w:lang w:val="en-GB"/>
        </w:rPr>
        <w:t xml:space="preserve"> and The Beer Store (TBS) were authorized to sell alcoholic beverages.</w:t>
      </w:r>
      <w:r w:rsidR="002A4CC8" w:rsidRPr="0078134E">
        <w:rPr>
          <w:spacing w:val="-2"/>
          <w:kern w:val="22"/>
          <w:lang w:val="en-GB"/>
        </w:rPr>
        <w:t xml:space="preserve"> In 2019, </w:t>
      </w:r>
      <w:r w:rsidRPr="0078134E">
        <w:rPr>
          <w:spacing w:val="-2"/>
          <w:kern w:val="22"/>
          <w:lang w:val="en-GB"/>
        </w:rPr>
        <w:t>TBS accounted for 63 per</w:t>
      </w:r>
      <w:r w:rsidR="002A4CC8" w:rsidRPr="0078134E">
        <w:rPr>
          <w:spacing w:val="-2"/>
          <w:kern w:val="22"/>
          <w:lang w:val="en-GB"/>
        </w:rPr>
        <w:t xml:space="preserve"> </w:t>
      </w:r>
      <w:r w:rsidRPr="0078134E">
        <w:rPr>
          <w:spacing w:val="-2"/>
          <w:kern w:val="22"/>
          <w:lang w:val="en-GB"/>
        </w:rPr>
        <w:t xml:space="preserve">cent of total beer sales in </w:t>
      </w:r>
      <w:r w:rsidR="002A4CC8" w:rsidRPr="0078134E">
        <w:rPr>
          <w:spacing w:val="-2"/>
          <w:kern w:val="22"/>
          <w:lang w:val="en-GB"/>
        </w:rPr>
        <w:t>the province</w:t>
      </w:r>
      <w:r w:rsidRPr="0078134E">
        <w:rPr>
          <w:spacing w:val="-2"/>
          <w:kern w:val="22"/>
          <w:lang w:val="en-GB"/>
        </w:rPr>
        <w:t xml:space="preserve">, </w:t>
      </w:r>
      <w:r w:rsidR="002A4CC8" w:rsidRPr="0078134E">
        <w:rPr>
          <w:spacing w:val="-2"/>
          <w:kern w:val="22"/>
          <w:lang w:val="en-GB"/>
        </w:rPr>
        <w:t>which was</w:t>
      </w:r>
      <w:r w:rsidR="00946435" w:rsidRPr="0078134E">
        <w:rPr>
          <w:spacing w:val="-2"/>
          <w:kern w:val="22"/>
          <w:lang w:val="en-GB"/>
        </w:rPr>
        <w:t xml:space="preserve"> </w:t>
      </w:r>
      <w:r w:rsidR="002A4CC8" w:rsidRPr="0078134E">
        <w:rPr>
          <w:spacing w:val="-2"/>
          <w:kern w:val="22"/>
          <w:lang w:val="en-GB"/>
        </w:rPr>
        <w:t>a</w:t>
      </w:r>
      <w:r w:rsidRPr="0078134E">
        <w:rPr>
          <w:spacing w:val="-2"/>
          <w:kern w:val="22"/>
          <w:lang w:val="en-GB"/>
        </w:rPr>
        <w:t xml:space="preserve"> decrease from 66 per</w:t>
      </w:r>
      <w:r w:rsidR="002A4CC8" w:rsidRPr="0078134E">
        <w:rPr>
          <w:spacing w:val="-2"/>
          <w:kern w:val="22"/>
          <w:lang w:val="en-GB"/>
        </w:rPr>
        <w:t xml:space="preserve"> </w:t>
      </w:r>
      <w:r w:rsidRPr="0078134E">
        <w:rPr>
          <w:spacing w:val="-2"/>
          <w:kern w:val="22"/>
          <w:lang w:val="en-GB"/>
        </w:rPr>
        <w:t>cent in 2018. TBS traditionally sold mainstream beer</w:t>
      </w:r>
      <w:r w:rsidR="002A4CC8" w:rsidRPr="0078134E">
        <w:rPr>
          <w:spacing w:val="-2"/>
          <w:kern w:val="22"/>
          <w:lang w:val="en-GB"/>
        </w:rPr>
        <w:t xml:space="preserve"> brand</w:t>
      </w:r>
      <w:r w:rsidRPr="0078134E">
        <w:rPr>
          <w:spacing w:val="-2"/>
          <w:kern w:val="22"/>
          <w:lang w:val="en-GB"/>
        </w:rPr>
        <w:t>s</w:t>
      </w:r>
      <w:r w:rsidR="00D51A36" w:rsidRPr="0078134E">
        <w:rPr>
          <w:spacing w:val="-2"/>
          <w:kern w:val="22"/>
          <w:lang w:val="en-GB"/>
        </w:rPr>
        <w:t>,</w:t>
      </w:r>
      <w:r w:rsidRPr="0078134E">
        <w:rPr>
          <w:spacing w:val="-2"/>
          <w:kern w:val="22"/>
          <w:lang w:val="en-GB"/>
        </w:rPr>
        <w:t xml:space="preserve"> in packages of 24 bottles, </w:t>
      </w:r>
      <w:r w:rsidR="002A4CC8" w:rsidRPr="0078134E">
        <w:rPr>
          <w:spacing w:val="-2"/>
          <w:kern w:val="22"/>
          <w:lang w:val="en-GB"/>
        </w:rPr>
        <w:t xml:space="preserve">whereas </w:t>
      </w:r>
      <w:r w:rsidRPr="0078134E">
        <w:rPr>
          <w:spacing w:val="-2"/>
          <w:kern w:val="22"/>
          <w:lang w:val="en-GB"/>
        </w:rPr>
        <w:t>the LCBO offered over 28,000 alcoholic beverage products, including beer</w:t>
      </w:r>
      <w:r w:rsidR="001067BD" w:rsidRPr="0078134E">
        <w:rPr>
          <w:spacing w:val="-2"/>
          <w:kern w:val="22"/>
          <w:lang w:val="en-GB"/>
        </w:rPr>
        <w:t>,</w:t>
      </w:r>
      <w:r w:rsidR="00D51A36" w:rsidRPr="0078134E">
        <w:rPr>
          <w:spacing w:val="-2"/>
          <w:kern w:val="22"/>
          <w:lang w:val="en-GB"/>
        </w:rPr>
        <w:t xml:space="preserve"> in individual cans or small packs</w:t>
      </w:r>
      <w:r w:rsidRPr="0078134E">
        <w:rPr>
          <w:spacing w:val="-2"/>
          <w:kern w:val="22"/>
          <w:lang w:val="en-GB"/>
        </w:rPr>
        <w:t xml:space="preserve">. The LCBO also acted as wholesaler to </w:t>
      </w:r>
      <w:r w:rsidR="002A4CC8" w:rsidRPr="0078134E">
        <w:rPr>
          <w:spacing w:val="-2"/>
          <w:kern w:val="22"/>
          <w:lang w:val="en-GB"/>
        </w:rPr>
        <w:t>approximately</w:t>
      </w:r>
      <w:r w:rsidRPr="0078134E">
        <w:rPr>
          <w:spacing w:val="-2"/>
          <w:kern w:val="22"/>
          <w:lang w:val="en-GB"/>
        </w:rPr>
        <w:t xml:space="preserve"> 450 grocery stores in the province. </w:t>
      </w:r>
      <w:r w:rsidR="002A4CC8" w:rsidRPr="0078134E">
        <w:rPr>
          <w:spacing w:val="-2"/>
          <w:kern w:val="22"/>
          <w:lang w:val="en-GB"/>
        </w:rPr>
        <w:t xml:space="preserve">In 2019, the </w:t>
      </w:r>
      <w:r w:rsidRPr="0078134E">
        <w:rPr>
          <w:spacing w:val="-2"/>
          <w:kern w:val="22"/>
          <w:lang w:val="en-GB"/>
        </w:rPr>
        <w:t>LCBO</w:t>
      </w:r>
      <w:r w:rsidR="002A4CC8" w:rsidRPr="0078134E">
        <w:rPr>
          <w:spacing w:val="-2"/>
          <w:kern w:val="22"/>
          <w:lang w:val="en-GB"/>
        </w:rPr>
        <w:t>’s sales of</w:t>
      </w:r>
      <w:r w:rsidRPr="0078134E">
        <w:rPr>
          <w:spacing w:val="-2"/>
          <w:kern w:val="22"/>
          <w:lang w:val="en-GB"/>
        </w:rPr>
        <w:t xml:space="preserve"> beer, wine, and cider to grocery stores grew by 60.8 per</w:t>
      </w:r>
      <w:r w:rsidR="002A4CC8" w:rsidRPr="0078134E">
        <w:rPr>
          <w:spacing w:val="-2"/>
          <w:kern w:val="22"/>
          <w:lang w:val="en-GB"/>
        </w:rPr>
        <w:t xml:space="preserve"> </w:t>
      </w:r>
      <w:r w:rsidRPr="0078134E">
        <w:rPr>
          <w:spacing w:val="-2"/>
          <w:kern w:val="22"/>
          <w:lang w:val="en-GB"/>
        </w:rPr>
        <w:t>cent</w:t>
      </w:r>
      <w:r w:rsidR="002A4CC8" w:rsidRPr="0078134E">
        <w:rPr>
          <w:spacing w:val="-2"/>
          <w:kern w:val="22"/>
          <w:lang w:val="en-GB"/>
        </w:rPr>
        <w:t xml:space="preserve"> for a</w:t>
      </w:r>
      <w:r w:rsidRPr="0078134E">
        <w:rPr>
          <w:spacing w:val="-2"/>
          <w:kern w:val="22"/>
          <w:lang w:val="en-GB"/>
        </w:rPr>
        <w:t xml:space="preserve"> total</w:t>
      </w:r>
      <w:r w:rsidR="002A4CC8" w:rsidRPr="0078134E">
        <w:rPr>
          <w:spacing w:val="-2"/>
          <w:kern w:val="22"/>
          <w:lang w:val="en-GB"/>
        </w:rPr>
        <w:t xml:space="preserve"> of</w:t>
      </w:r>
      <w:r w:rsidRPr="0078134E">
        <w:rPr>
          <w:spacing w:val="-2"/>
          <w:kern w:val="22"/>
          <w:lang w:val="en-GB"/>
        </w:rPr>
        <w:t xml:space="preserve"> $246.7 million. </w:t>
      </w:r>
      <w:r w:rsidR="0031456C" w:rsidRPr="0078134E">
        <w:rPr>
          <w:spacing w:val="-2"/>
          <w:kern w:val="22"/>
          <w:lang w:val="en-GB"/>
        </w:rPr>
        <w:t>That same year, g</w:t>
      </w:r>
      <w:r w:rsidRPr="0078134E">
        <w:rPr>
          <w:spacing w:val="-2"/>
          <w:kern w:val="22"/>
          <w:lang w:val="en-GB"/>
        </w:rPr>
        <w:t>rocery</w:t>
      </w:r>
      <w:r w:rsidR="0031456C" w:rsidRPr="0078134E">
        <w:rPr>
          <w:spacing w:val="-2"/>
          <w:kern w:val="22"/>
          <w:lang w:val="en-GB"/>
        </w:rPr>
        <w:t xml:space="preserve"> store sales</w:t>
      </w:r>
      <w:r w:rsidRPr="0078134E">
        <w:rPr>
          <w:spacing w:val="-2"/>
          <w:kern w:val="22"/>
          <w:lang w:val="en-GB"/>
        </w:rPr>
        <w:t xml:space="preserve"> represented 80 per</w:t>
      </w:r>
      <w:r w:rsidR="0031456C" w:rsidRPr="0078134E">
        <w:rPr>
          <w:spacing w:val="-2"/>
          <w:kern w:val="22"/>
          <w:lang w:val="en-GB"/>
        </w:rPr>
        <w:t xml:space="preserve"> </w:t>
      </w:r>
      <w:r w:rsidRPr="0078134E">
        <w:rPr>
          <w:spacing w:val="-2"/>
          <w:kern w:val="22"/>
          <w:lang w:val="en-GB"/>
        </w:rPr>
        <w:t xml:space="preserve">cent of its market share gain </w:t>
      </w:r>
      <w:r w:rsidR="0031456C" w:rsidRPr="0078134E">
        <w:rPr>
          <w:spacing w:val="-2"/>
          <w:kern w:val="22"/>
          <w:lang w:val="en-GB"/>
        </w:rPr>
        <w:t>by volume</w:t>
      </w:r>
      <w:r w:rsidRPr="0078134E">
        <w:rPr>
          <w:spacing w:val="-2"/>
          <w:kern w:val="22"/>
          <w:lang w:val="en-GB"/>
        </w:rPr>
        <w:t>. The LCBO’s e-commerce channel was also steadily growing by 72</w:t>
      </w:r>
      <w:r w:rsidR="0031456C" w:rsidRPr="0078134E">
        <w:rPr>
          <w:spacing w:val="-2"/>
          <w:kern w:val="22"/>
          <w:lang w:val="en-GB"/>
        </w:rPr>
        <w:t xml:space="preserve"> per cent</w:t>
      </w:r>
      <w:r w:rsidRPr="0078134E">
        <w:rPr>
          <w:spacing w:val="-2"/>
          <w:kern w:val="22"/>
          <w:lang w:val="en-GB"/>
        </w:rPr>
        <w:t xml:space="preserve"> year-over-year, reaching $19.5 million in 2019.</w:t>
      </w:r>
      <w:r w:rsidRPr="0078134E">
        <w:rPr>
          <w:rStyle w:val="EndnoteReference"/>
          <w:spacing w:val="-2"/>
          <w:kern w:val="22"/>
          <w:lang w:val="en-GB"/>
        </w:rPr>
        <w:endnoteReference w:id="9"/>
      </w:r>
      <w:r w:rsidRPr="0078134E">
        <w:rPr>
          <w:spacing w:val="-2"/>
          <w:kern w:val="22"/>
          <w:lang w:val="en-GB"/>
        </w:rPr>
        <w:t xml:space="preserve"> The price of alcohol was </w:t>
      </w:r>
      <w:r w:rsidR="00D51A36" w:rsidRPr="0078134E">
        <w:rPr>
          <w:spacing w:val="-2"/>
          <w:kern w:val="22"/>
          <w:lang w:val="en-GB"/>
        </w:rPr>
        <w:t xml:space="preserve">regulated and </w:t>
      </w:r>
      <w:r w:rsidR="0031456C" w:rsidRPr="0078134E">
        <w:rPr>
          <w:spacing w:val="-2"/>
          <w:kern w:val="22"/>
          <w:lang w:val="en-GB"/>
        </w:rPr>
        <w:t>consistent</w:t>
      </w:r>
      <w:r w:rsidRPr="0078134E">
        <w:rPr>
          <w:spacing w:val="-2"/>
          <w:kern w:val="22"/>
          <w:lang w:val="en-GB"/>
        </w:rPr>
        <w:t xml:space="preserve"> </w:t>
      </w:r>
      <w:r w:rsidR="0031456C" w:rsidRPr="0078134E">
        <w:rPr>
          <w:spacing w:val="-2"/>
          <w:kern w:val="22"/>
          <w:lang w:val="en-GB"/>
        </w:rPr>
        <w:t xml:space="preserve">throughout the province, </w:t>
      </w:r>
      <w:r w:rsidRPr="0078134E">
        <w:rPr>
          <w:spacing w:val="-2"/>
          <w:kern w:val="22"/>
          <w:lang w:val="en-GB"/>
        </w:rPr>
        <w:t xml:space="preserve">regardless of the </w:t>
      </w:r>
      <w:r w:rsidR="0031456C" w:rsidRPr="0078134E">
        <w:rPr>
          <w:spacing w:val="-2"/>
          <w:kern w:val="22"/>
          <w:lang w:val="en-GB"/>
        </w:rPr>
        <w:t xml:space="preserve">specific </w:t>
      </w:r>
      <w:r w:rsidRPr="0078134E">
        <w:rPr>
          <w:spacing w:val="-2"/>
          <w:kern w:val="22"/>
          <w:lang w:val="en-GB"/>
        </w:rPr>
        <w:t>retailer.</w:t>
      </w:r>
      <w:r w:rsidRPr="0078134E">
        <w:rPr>
          <w:rStyle w:val="EndnoteReference"/>
          <w:spacing w:val="-2"/>
          <w:kern w:val="22"/>
          <w:lang w:val="en-GB"/>
        </w:rPr>
        <w:endnoteReference w:id="10"/>
      </w:r>
      <w:r w:rsidRPr="0078134E">
        <w:rPr>
          <w:spacing w:val="-2"/>
          <w:kern w:val="22"/>
          <w:lang w:val="en-GB"/>
        </w:rPr>
        <w:t xml:space="preserve"> The LCBO reported directly to </w:t>
      </w:r>
      <w:r w:rsidR="0031456C" w:rsidRPr="0078134E">
        <w:rPr>
          <w:spacing w:val="-2"/>
          <w:kern w:val="22"/>
          <w:lang w:val="en-GB"/>
        </w:rPr>
        <w:t xml:space="preserve">Canada’s </w:t>
      </w:r>
      <w:r w:rsidRPr="0078134E">
        <w:rPr>
          <w:spacing w:val="-2"/>
          <w:kern w:val="22"/>
          <w:lang w:val="en-GB"/>
        </w:rPr>
        <w:t xml:space="preserve">Minister of Finance and </w:t>
      </w:r>
      <w:r w:rsidR="0031456C" w:rsidRPr="0078134E">
        <w:rPr>
          <w:spacing w:val="-2"/>
          <w:kern w:val="22"/>
          <w:lang w:val="en-GB"/>
        </w:rPr>
        <w:t>provided</w:t>
      </w:r>
      <w:r w:rsidRPr="0078134E">
        <w:rPr>
          <w:spacing w:val="-2"/>
          <w:kern w:val="22"/>
          <w:lang w:val="en-GB"/>
        </w:rPr>
        <w:t xml:space="preserve"> $6.39 billion</w:t>
      </w:r>
      <w:r w:rsidR="0031456C" w:rsidRPr="0078134E">
        <w:rPr>
          <w:spacing w:val="-2"/>
          <w:kern w:val="22"/>
          <w:lang w:val="en-GB"/>
        </w:rPr>
        <w:t xml:space="preserve"> in revenue</w:t>
      </w:r>
      <w:r w:rsidRPr="0078134E">
        <w:rPr>
          <w:spacing w:val="-2"/>
          <w:kern w:val="22"/>
          <w:lang w:val="en-GB"/>
        </w:rPr>
        <w:t>. In 2019, t</w:t>
      </w:r>
      <w:r w:rsidR="00D51A36" w:rsidRPr="0078134E">
        <w:rPr>
          <w:spacing w:val="-2"/>
          <w:kern w:val="22"/>
          <w:lang w:val="en-GB"/>
        </w:rPr>
        <w:t>he LCBO</w:t>
      </w:r>
      <w:r w:rsidRPr="0078134E">
        <w:rPr>
          <w:spacing w:val="-2"/>
          <w:kern w:val="22"/>
          <w:lang w:val="en-GB"/>
        </w:rPr>
        <w:t xml:space="preserve"> transferred $2.37 billion in dividends to the Ontario Government.</w:t>
      </w:r>
      <w:r w:rsidRPr="0078134E">
        <w:rPr>
          <w:rStyle w:val="EndnoteReference"/>
          <w:spacing w:val="-2"/>
          <w:kern w:val="22"/>
          <w:lang w:val="en-GB"/>
        </w:rPr>
        <w:endnoteReference w:id="11"/>
      </w:r>
      <w:r w:rsidR="00946435" w:rsidRPr="0078134E">
        <w:rPr>
          <w:spacing w:val="-2"/>
          <w:kern w:val="22"/>
          <w:lang w:val="en-GB"/>
        </w:rPr>
        <w:t xml:space="preserve"> </w:t>
      </w:r>
    </w:p>
    <w:p w14:paraId="28D7E3A9" w14:textId="77777777" w:rsidR="009424DA" w:rsidRPr="00946435" w:rsidRDefault="009424DA" w:rsidP="009424DA">
      <w:pPr>
        <w:pStyle w:val="BodyTextMain"/>
        <w:rPr>
          <w:lang w:val="en-GB"/>
        </w:rPr>
      </w:pPr>
    </w:p>
    <w:p w14:paraId="7D45A055" w14:textId="35F26015" w:rsidR="009424DA" w:rsidRPr="00946435" w:rsidRDefault="009424DA" w:rsidP="009424DA">
      <w:pPr>
        <w:pStyle w:val="BodyTextMain"/>
        <w:rPr>
          <w:lang w:val="en-GB"/>
        </w:rPr>
      </w:pPr>
      <w:r w:rsidRPr="00946435">
        <w:rPr>
          <w:lang w:val="en-GB"/>
        </w:rPr>
        <w:t>For convenience, beer distribution channels in Canada were classified into two categories: on-premise</w:t>
      </w:r>
      <w:r w:rsidR="00964FEC">
        <w:rPr>
          <w:lang w:val="en-GB"/>
        </w:rPr>
        <w:t>s</w:t>
      </w:r>
      <w:r w:rsidRPr="00946435">
        <w:rPr>
          <w:lang w:val="en-GB"/>
        </w:rPr>
        <w:t xml:space="preserve"> and off-premise</w:t>
      </w:r>
      <w:r w:rsidR="00964FEC">
        <w:rPr>
          <w:lang w:val="en-GB"/>
        </w:rPr>
        <w:t>s</w:t>
      </w:r>
      <w:r w:rsidRPr="00946435">
        <w:rPr>
          <w:lang w:val="en-GB"/>
        </w:rPr>
        <w:t>. On-premise</w:t>
      </w:r>
      <w:r w:rsidR="00964FEC">
        <w:rPr>
          <w:lang w:val="en-GB"/>
        </w:rPr>
        <w:t>s</w:t>
      </w:r>
      <w:r w:rsidRPr="00946435">
        <w:rPr>
          <w:lang w:val="en-GB"/>
        </w:rPr>
        <w:t xml:space="preserve"> locations</w:t>
      </w:r>
      <w:r w:rsidR="00D51A36" w:rsidRPr="00946435">
        <w:rPr>
          <w:lang w:val="en-GB"/>
        </w:rPr>
        <w:t>, which</w:t>
      </w:r>
      <w:r w:rsidRPr="00946435">
        <w:rPr>
          <w:lang w:val="en-GB"/>
        </w:rPr>
        <w:t xml:space="preserve"> </w:t>
      </w:r>
      <w:r w:rsidR="0031456C" w:rsidRPr="00946435">
        <w:rPr>
          <w:lang w:val="en-GB"/>
        </w:rPr>
        <w:t>allowed consumers to</w:t>
      </w:r>
      <w:r w:rsidRPr="00946435">
        <w:rPr>
          <w:lang w:val="en-GB"/>
        </w:rPr>
        <w:t xml:space="preserve"> </w:t>
      </w:r>
      <w:r w:rsidR="00736F84" w:rsidRPr="00946435">
        <w:rPr>
          <w:lang w:val="en-GB"/>
        </w:rPr>
        <w:t>drink</w:t>
      </w:r>
      <w:r w:rsidR="0031456C" w:rsidRPr="00946435">
        <w:rPr>
          <w:lang w:val="en-GB"/>
        </w:rPr>
        <w:t xml:space="preserve"> beer</w:t>
      </w:r>
      <w:r w:rsidRPr="00946435">
        <w:rPr>
          <w:lang w:val="en-GB"/>
        </w:rPr>
        <w:t xml:space="preserve"> </w:t>
      </w:r>
      <w:r w:rsidR="0031456C" w:rsidRPr="00946435">
        <w:rPr>
          <w:lang w:val="en-GB"/>
        </w:rPr>
        <w:t>directly</w:t>
      </w:r>
      <w:r w:rsidR="00D51A36" w:rsidRPr="00946435">
        <w:rPr>
          <w:lang w:val="en-GB"/>
        </w:rPr>
        <w:t>,</w:t>
      </w:r>
      <w:r w:rsidRPr="00946435">
        <w:rPr>
          <w:lang w:val="en-GB"/>
        </w:rPr>
        <w:t xml:space="preserve"> </w:t>
      </w:r>
      <w:r w:rsidR="0031456C" w:rsidRPr="00946435">
        <w:rPr>
          <w:lang w:val="en-GB"/>
        </w:rPr>
        <w:t>included</w:t>
      </w:r>
      <w:r w:rsidRPr="00946435">
        <w:rPr>
          <w:lang w:val="en-GB"/>
        </w:rPr>
        <w:t xml:space="preserve"> </w:t>
      </w:r>
      <w:r w:rsidR="00C61DF4" w:rsidRPr="00946435">
        <w:rPr>
          <w:lang w:val="en-GB"/>
        </w:rPr>
        <w:t>bars</w:t>
      </w:r>
      <w:r w:rsidR="00D51A36" w:rsidRPr="00946435">
        <w:rPr>
          <w:lang w:val="en-GB"/>
        </w:rPr>
        <w:t xml:space="preserve"> and</w:t>
      </w:r>
      <w:r w:rsidRPr="00946435">
        <w:rPr>
          <w:lang w:val="en-GB"/>
        </w:rPr>
        <w:t xml:space="preserve"> restaurants</w:t>
      </w:r>
      <w:r w:rsidR="0031456C" w:rsidRPr="00946435">
        <w:rPr>
          <w:lang w:val="en-GB"/>
        </w:rPr>
        <w:t>. O</w:t>
      </w:r>
      <w:r w:rsidRPr="00946435">
        <w:rPr>
          <w:lang w:val="en-GB"/>
        </w:rPr>
        <w:t>ff-premise</w:t>
      </w:r>
      <w:r w:rsidR="00964FEC">
        <w:rPr>
          <w:lang w:val="en-GB"/>
        </w:rPr>
        <w:t>s</w:t>
      </w:r>
      <w:r w:rsidRPr="00946435">
        <w:rPr>
          <w:lang w:val="en-GB"/>
        </w:rPr>
        <w:t xml:space="preserve"> </w:t>
      </w:r>
      <w:r w:rsidR="0031456C" w:rsidRPr="00946435">
        <w:rPr>
          <w:lang w:val="en-GB"/>
        </w:rPr>
        <w:t>locations</w:t>
      </w:r>
      <w:r w:rsidR="00D51A36" w:rsidRPr="00946435">
        <w:rPr>
          <w:lang w:val="en-GB"/>
        </w:rPr>
        <w:t>, which</w:t>
      </w:r>
      <w:r w:rsidR="00C61DF4" w:rsidRPr="00946435">
        <w:rPr>
          <w:lang w:val="en-GB"/>
        </w:rPr>
        <w:t xml:space="preserve"> </w:t>
      </w:r>
      <w:r w:rsidR="00736F84" w:rsidRPr="00946435">
        <w:rPr>
          <w:lang w:val="en-GB"/>
        </w:rPr>
        <w:t>allowed consumers to</w:t>
      </w:r>
      <w:r w:rsidRPr="00946435">
        <w:rPr>
          <w:lang w:val="en-GB"/>
        </w:rPr>
        <w:t xml:space="preserve"> purchase</w:t>
      </w:r>
      <w:r w:rsidR="00736F84" w:rsidRPr="00946435">
        <w:rPr>
          <w:lang w:val="en-GB"/>
        </w:rPr>
        <w:t xml:space="preserve"> beer</w:t>
      </w:r>
      <w:r w:rsidRPr="00946435">
        <w:rPr>
          <w:lang w:val="en-GB"/>
        </w:rPr>
        <w:t xml:space="preserve"> but not </w:t>
      </w:r>
      <w:r w:rsidR="00736F84" w:rsidRPr="00946435">
        <w:rPr>
          <w:lang w:val="en-GB"/>
        </w:rPr>
        <w:t xml:space="preserve">to </w:t>
      </w:r>
      <w:r w:rsidRPr="00946435">
        <w:rPr>
          <w:lang w:val="en-GB"/>
        </w:rPr>
        <w:t>directly consume</w:t>
      </w:r>
      <w:r w:rsidR="00736F84" w:rsidRPr="00946435">
        <w:rPr>
          <w:lang w:val="en-GB"/>
        </w:rPr>
        <w:t xml:space="preserve"> it</w:t>
      </w:r>
      <w:r w:rsidR="00D51A36" w:rsidRPr="00946435">
        <w:rPr>
          <w:lang w:val="en-GB"/>
        </w:rPr>
        <w:t>,</w:t>
      </w:r>
      <w:r w:rsidR="00736F84" w:rsidRPr="00946435">
        <w:rPr>
          <w:lang w:val="en-GB"/>
        </w:rPr>
        <w:t xml:space="preserve"> </w:t>
      </w:r>
      <w:r w:rsidR="00C61DF4" w:rsidRPr="00946435">
        <w:rPr>
          <w:lang w:val="en-GB"/>
        </w:rPr>
        <w:t>included</w:t>
      </w:r>
      <w:r w:rsidRPr="00946435">
        <w:rPr>
          <w:lang w:val="en-GB"/>
        </w:rPr>
        <w:t xml:space="preserve"> the LCBO</w:t>
      </w:r>
      <w:r w:rsidR="00C61DF4" w:rsidRPr="00946435">
        <w:rPr>
          <w:lang w:val="en-GB"/>
        </w:rPr>
        <w:t>,</w:t>
      </w:r>
      <w:r w:rsidRPr="00946435">
        <w:rPr>
          <w:lang w:val="en-GB"/>
        </w:rPr>
        <w:t xml:space="preserve"> </w:t>
      </w:r>
      <w:r w:rsidR="00D51A36" w:rsidRPr="00946435">
        <w:rPr>
          <w:lang w:val="en-GB"/>
        </w:rPr>
        <w:t xml:space="preserve">TBS, </w:t>
      </w:r>
      <w:r w:rsidR="00736F84" w:rsidRPr="00946435">
        <w:rPr>
          <w:lang w:val="en-GB"/>
        </w:rPr>
        <w:t>grocery stores</w:t>
      </w:r>
      <w:r w:rsidR="00C61DF4" w:rsidRPr="00946435">
        <w:rPr>
          <w:lang w:val="en-GB"/>
        </w:rPr>
        <w:t>, and</w:t>
      </w:r>
      <w:r w:rsidRPr="00946435">
        <w:rPr>
          <w:lang w:val="en-GB"/>
        </w:rPr>
        <w:t xml:space="preserve"> e-commerce</w:t>
      </w:r>
      <w:r w:rsidR="00C61DF4" w:rsidRPr="00946435">
        <w:rPr>
          <w:lang w:val="en-GB"/>
        </w:rPr>
        <w:t xml:space="preserve"> </w:t>
      </w:r>
      <w:r w:rsidR="00736F84" w:rsidRPr="00946435">
        <w:rPr>
          <w:lang w:val="en-GB"/>
        </w:rPr>
        <w:t>outlets</w:t>
      </w:r>
      <w:r w:rsidRPr="00946435">
        <w:rPr>
          <w:lang w:val="en-GB"/>
        </w:rPr>
        <w:t xml:space="preserve">. In 2018, </w:t>
      </w:r>
      <w:r w:rsidR="00736F84" w:rsidRPr="00946435">
        <w:rPr>
          <w:lang w:val="en-GB"/>
        </w:rPr>
        <w:t>the LCBO</w:t>
      </w:r>
      <w:r w:rsidRPr="00946435">
        <w:rPr>
          <w:lang w:val="en-GB"/>
        </w:rPr>
        <w:t xml:space="preserve"> </w:t>
      </w:r>
      <w:r w:rsidR="00D51A36" w:rsidRPr="00946435">
        <w:rPr>
          <w:lang w:val="en-GB"/>
        </w:rPr>
        <w:t xml:space="preserve">and TBS </w:t>
      </w:r>
      <w:r w:rsidR="00C67A44">
        <w:rPr>
          <w:lang w:val="en-GB"/>
        </w:rPr>
        <w:t>were the most</w:t>
      </w:r>
      <w:r w:rsidRPr="00946435">
        <w:rPr>
          <w:lang w:val="en-GB"/>
        </w:rPr>
        <w:t xml:space="preserve"> popular off-premise</w:t>
      </w:r>
      <w:r w:rsidR="00964FEC">
        <w:rPr>
          <w:lang w:val="en-GB"/>
        </w:rPr>
        <w:t>s</w:t>
      </w:r>
      <w:r w:rsidRPr="00946435">
        <w:rPr>
          <w:lang w:val="en-GB"/>
        </w:rPr>
        <w:t xml:space="preserve"> </w:t>
      </w:r>
      <w:r w:rsidR="00D51A36" w:rsidRPr="00946435">
        <w:rPr>
          <w:lang w:val="en-GB"/>
        </w:rPr>
        <w:t xml:space="preserve">beer </w:t>
      </w:r>
      <w:r w:rsidRPr="00946435">
        <w:rPr>
          <w:lang w:val="en-GB"/>
        </w:rPr>
        <w:t>distribution channel</w:t>
      </w:r>
      <w:r w:rsidR="000A30FD">
        <w:rPr>
          <w:lang w:val="en-GB"/>
        </w:rPr>
        <w:t>s</w:t>
      </w:r>
      <w:r w:rsidR="00C61DF4" w:rsidRPr="00946435">
        <w:rPr>
          <w:lang w:val="en-GB"/>
        </w:rPr>
        <w:t xml:space="preserve">, </w:t>
      </w:r>
      <w:r w:rsidR="00736F84" w:rsidRPr="00946435">
        <w:rPr>
          <w:lang w:val="en-GB"/>
        </w:rPr>
        <w:t>generating</w:t>
      </w:r>
      <w:r w:rsidR="00C61DF4" w:rsidRPr="00946435">
        <w:rPr>
          <w:lang w:val="en-GB"/>
        </w:rPr>
        <w:t xml:space="preserve"> </w:t>
      </w:r>
      <w:r w:rsidRPr="00946435">
        <w:rPr>
          <w:lang w:val="en-GB"/>
        </w:rPr>
        <w:t>$5.0 billion</w:t>
      </w:r>
      <w:r w:rsidR="00736F84" w:rsidRPr="00946435">
        <w:rPr>
          <w:lang w:val="en-GB"/>
        </w:rPr>
        <w:t xml:space="preserve"> in sales</w:t>
      </w:r>
      <w:r w:rsidR="00C61DF4" w:rsidRPr="00946435">
        <w:rPr>
          <w:lang w:val="en-GB"/>
        </w:rPr>
        <w:t>.</w:t>
      </w:r>
      <w:r w:rsidR="00736F84" w:rsidRPr="00946435">
        <w:rPr>
          <w:lang w:val="en-GB"/>
        </w:rPr>
        <w:t xml:space="preserve"> </w:t>
      </w:r>
      <w:r w:rsidR="00D51A36" w:rsidRPr="00946435">
        <w:rPr>
          <w:lang w:val="en-GB"/>
        </w:rPr>
        <w:t>On-premise</w:t>
      </w:r>
      <w:r w:rsidR="00964FEC">
        <w:rPr>
          <w:lang w:val="en-GB"/>
        </w:rPr>
        <w:t>s</w:t>
      </w:r>
      <w:r w:rsidR="00D51A36" w:rsidRPr="00946435">
        <w:rPr>
          <w:lang w:val="en-GB"/>
        </w:rPr>
        <w:t xml:space="preserve"> locations such as b</w:t>
      </w:r>
      <w:r w:rsidRPr="00946435">
        <w:rPr>
          <w:lang w:val="en-GB"/>
        </w:rPr>
        <w:t>ars</w:t>
      </w:r>
      <w:r w:rsidR="00D51A36" w:rsidRPr="00946435">
        <w:rPr>
          <w:lang w:val="en-GB"/>
        </w:rPr>
        <w:t xml:space="preserve"> and</w:t>
      </w:r>
      <w:r w:rsidRPr="00946435">
        <w:rPr>
          <w:lang w:val="en-GB"/>
        </w:rPr>
        <w:t xml:space="preserve"> restaurants </w:t>
      </w:r>
      <w:r w:rsidR="00736F84" w:rsidRPr="00946435">
        <w:rPr>
          <w:lang w:val="en-GB"/>
        </w:rPr>
        <w:t>generated</w:t>
      </w:r>
      <w:r w:rsidRPr="00946435">
        <w:rPr>
          <w:lang w:val="en-GB"/>
        </w:rPr>
        <w:t xml:space="preserve"> $9.0 billion</w:t>
      </w:r>
      <w:r w:rsidR="00736F84" w:rsidRPr="00946435">
        <w:rPr>
          <w:lang w:val="en-GB"/>
        </w:rPr>
        <w:t xml:space="preserve"> in beer sales</w:t>
      </w:r>
      <w:r w:rsidRPr="00946435">
        <w:rPr>
          <w:lang w:val="en-GB"/>
        </w:rPr>
        <w:t>.</w:t>
      </w:r>
      <w:r w:rsidRPr="00946435">
        <w:rPr>
          <w:rStyle w:val="EndnoteReference"/>
          <w:lang w:val="en-GB"/>
        </w:rPr>
        <w:endnoteReference w:id="12"/>
      </w:r>
      <w:r w:rsidRPr="00946435">
        <w:rPr>
          <w:lang w:val="en-GB"/>
        </w:rPr>
        <w:t xml:space="preserve"> </w:t>
      </w:r>
    </w:p>
    <w:p w14:paraId="28E845BE" w14:textId="0FE207EF" w:rsidR="00F47654" w:rsidRPr="00946435" w:rsidRDefault="00F47654" w:rsidP="009424DA">
      <w:pPr>
        <w:pStyle w:val="BodyTextMain"/>
        <w:rPr>
          <w:lang w:val="en-GB"/>
        </w:rPr>
      </w:pPr>
    </w:p>
    <w:p w14:paraId="6D5720C1" w14:textId="77777777" w:rsidR="00404C27" w:rsidRPr="00946435" w:rsidRDefault="00404C27" w:rsidP="009424DA">
      <w:pPr>
        <w:pStyle w:val="BodyTextMain"/>
        <w:rPr>
          <w:lang w:val="en-GB"/>
        </w:rPr>
      </w:pPr>
    </w:p>
    <w:p w14:paraId="6A3949D1" w14:textId="77777777" w:rsidR="009424DA" w:rsidRPr="00946435" w:rsidRDefault="009424DA" w:rsidP="009424DA">
      <w:pPr>
        <w:pStyle w:val="Casehead2"/>
        <w:rPr>
          <w:lang w:val="en-GB"/>
        </w:rPr>
      </w:pPr>
      <w:r w:rsidRPr="00946435">
        <w:rPr>
          <w:lang w:val="en-GB"/>
        </w:rPr>
        <w:t>Craft Beer</w:t>
      </w:r>
    </w:p>
    <w:p w14:paraId="32D1C60C" w14:textId="77777777" w:rsidR="009424DA" w:rsidRPr="00946435" w:rsidRDefault="009424DA" w:rsidP="009424DA">
      <w:pPr>
        <w:pStyle w:val="BodyTextMain"/>
        <w:rPr>
          <w:lang w:val="en-GB"/>
        </w:rPr>
      </w:pPr>
    </w:p>
    <w:p w14:paraId="34A77C26" w14:textId="60E38E47" w:rsidR="009424DA" w:rsidRPr="0078134E" w:rsidRDefault="009424DA" w:rsidP="009424DA">
      <w:pPr>
        <w:pStyle w:val="BodyTextMain"/>
        <w:rPr>
          <w:spacing w:val="-2"/>
          <w:kern w:val="22"/>
          <w:lang w:val="en-GB"/>
        </w:rPr>
      </w:pPr>
      <w:r w:rsidRPr="0078134E">
        <w:rPr>
          <w:spacing w:val="-2"/>
          <w:kern w:val="22"/>
          <w:lang w:val="en-GB"/>
        </w:rPr>
        <w:t>The craft brewing industry</w:t>
      </w:r>
      <w:r w:rsidR="00B61F7C" w:rsidRPr="0078134E">
        <w:rPr>
          <w:spacing w:val="-2"/>
          <w:kern w:val="22"/>
          <w:lang w:val="en-GB"/>
        </w:rPr>
        <w:t>,</w:t>
      </w:r>
      <w:r w:rsidRPr="0078134E">
        <w:rPr>
          <w:spacing w:val="-2"/>
          <w:kern w:val="22"/>
          <w:lang w:val="en-GB"/>
        </w:rPr>
        <w:t xml:space="preserve"> a sub-sector of the overall beer industry</w:t>
      </w:r>
      <w:r w:rsidR="00B61F7C" w:rsidRPr="0078134E">
        <w:rPr>
          <w:spacing w:val="-2"/>
          <w:kern w:val="22"/>
          <w:lang w:val="en-GB"/>
        </w:rPr>
        <w:t>,</w:t>
      </w:r>
      <w:r w:rsidR="001B1F4D" w:rsidRPr="0078134E">
        <w:rPr>
          <w:spacing w:val="-2"/>
          <w:kern w:val="22"/>
          <w:lang w:val="en-GB"/>
        </w:rPr>
        <w:t xml:space="preserve"> </w:t>
      </w:r>
      <w:r w:rsidRPr="0078134E">
        <w:rPr>
          <w:spacing w:val="-2"/>
          <w:kern w:val="22"/>
          <w:lang w:val="en-GB"/>
        </w:rPr>
        <w:t>offer</w:t>
      </w:r>
      <w:r w:rsidR="001B1F4D" w:rsidRPr="0078134E">
        <w:rPr>
          <w:spacing w:val="-2"/>
          <w:kern w:val="22"/>
          <w:lang w:val="en-GB"/>
        </w:rPr>
        <w:t>ed</w:t>
      </w:r>
      <w:r w:rsidRPr="0078134E">
        <w:rPr>
          <w:spacing w:val="-2"/>
          <w:kern w:val="22"/>
          <w:lang w:val="en-GB"/>
        </w:rPr>
        <w:t xml:space="preserve"> premium </w:t>
      </w:r>
      <w:r w:rsidR="00B61F7C" w:rsidRPr="0078134E">
        <w:rPr>
          <w:spacing w:val="-2"/>
          <w:kern w:val="22"/>
          <w:lang w:val="en-GB"/>
        </w:rPr>
        <w:t xml:space="preserve">beverage </w:t>
      </w:r>
      <w:r w:rsidRPr="0078134E">
        <w:rPr>
          <w:spacing w:val="-2"/>
          <w:kern w:val="22"/>
          <w:lang w:val="en-GB"/>
        </w:rPr>
        <w:t>products. From 2014 to 2018, the Canadian craft beer industry experienced significant growth, almost doubling in revenue from $1.0 billion to $1.9 billion.</w:t>
      </w:r>
      <w:r w:rsidRPr="0078134E">
        <w:rPr>
          <w:rStyle w:val="EndnoteReference"/>
          <w:spacing w:val="-2"/>
          <w:kern w:val="22"/>
          <w:lang w:val="en-GB"/>
        </w:rPr>
        <w:endnoteReference w:id="13"/>
      </w:r>
      <w:r w:rsidRPr="0078134E">
        <w:rPr>
          <w:spacing w:val="-2"/>
          <w:kern w:val="22"/>
          <w:lang w:val="en-GB"/>
        </w:rPr>
        <w:t xml:space="preserve"> A</w:t>
      </w:r>
      <w:r w:rsidR="005C670B" w:rsidRPr="0078134E">
        <w:rPr>
          <w:spacing w:val="-2"/>
          <w:kern w:val="22"/>
          <w:lang w:val="en-GB"/>
        </w:rPr>
        <w:t>lthough a</w:t>
      </w:r>
      <w:r w:rsidRPr="0078134E">
        <w:rPr>
          <w:spacing w:val="-2"/>
          <w:kern w:val="22"/>
          <w:lang w:val="en-GB"/>
        </w:rPr>
        <w:t xml:space="preserve"> comprehensive definition for </w:t>
      </w:r>
      <w:r w:rsidR="005C670B" w:rsidRPr="0078134E">
        <w:rPr>
          <w:spacing w:val="-2"/>
          <w:kern w:val="22"/>
          <w:lang w:val="en-GB"/>
        </w:rPr>
        <w:t xml:space="preserve">the terms </w:t>
      </w:r>
      <w:r w:rsidRPr="0078134E">
        <w:rPr>
          <w:spacing w:val="-2"/>
          <w:kern w:val="22"/>
          <w:lang w:val="en-GB"/>
        </w:rPr>
        <w:t xml:space="preserve">“craft brewery” or “microbrewery” was not </w:t>
      </w:r>
      <w:r w:rsidR="005C670B" w:rsidRPr="0078134E">
        <w:rPr>
          <w:spacing w:val="-2"/>
          <w:kern w:val="22"/>
          <w:lang w:val="en-GB"/>
        </w:rPr>
        <w:t xml:space="preserve">officially </w:t>
      </w:r>
      <w:r w:rsidRPr="0078134E">
        <w:rPr>
          <w:spacing w:val="-2"/>
          <w:kern w:val="22"/>
          <w:lang w:val="en-GB"/>
        </w:rPr>
        <w:t>established</w:t>
      </w:r>
      <w:r w:rsidR="005C670B" w:rsidRPr="0078134E">
        <w:rPr>
          <w:spacing w:val="-2"/>
          <w:kern w:val="22"/>
          <w:lang w:val="en-GB"/>
        </w:rPr>
        <w:t>,</w:t>
      </w:r>
      <w:r w:rsidRPr="0078134E">
        <w:rPr>
          <w:spacing w:val="-2"/>
          <w:kern w:val="22"/>
          <w:lang w:val="en-GB"/>
        </w:rPr>
        <w:t xml:space="preserve"> microbreweries </w:t>
      </w:r>
      <w:r w:rsidR="005C670B" w:rsidRPr="0078134E">
        <w:rPr>
          <w:spacing w:val="-2"/>
          <w:kern w:val="22"/>
          <w:lang w:val="en-GB"/>
        </w:rPr>
        <w:t>were understood to represent companies that</w:t>
      </w:r>
      <w:r w:rsidRPr="0078134E">
        <w:rPr>
          <w:spacing w:val="-2"/>
          <w:kern w:val="22"/>
          <w:lang w:val="en-GB"/>
        </w:rPr>
        <w:t xml:space="preserve"> produc</w:t>
      </w:r>
      <w:r w:rsidR="005C670B" w:rsidRPr="0078134E">
        <w:rPr>
          <w:spacing w:val="-2"/>
          <w:kern w:val="22"/>
          <w:lang w:val="en-GB"/>
        </w:rPr>
        <w:t>ed</w:t>
      </w:r>
      <w:r w:rsidRPr="0078134E">
        <w:rPr>
          <w:spacing w:val="-2"/>
          <w:kern w:val="22"/>
          <w:lang w:val="en-GB"/>
        </w:rPr>
        <w:t xml:space="preserve"> less than 50,000 hl annually.</w:t>
      </w:r>
      <w:r w:rsidRPr="0078134E">
        <w:rPr>
          <w:rStyle w:val="EndnoteReference"/>
          <w:spacing w:val="-2"/>
          <w:kern w:val="22"/>
          <w:lang w:val="en-GB"/>
        </w:rPr>
        <w:endnoteReference w:id="14"/>
      </w:r>
      <w:r w:rsidRPr="0078134E">
        <w:rPr>
          <w:spacing w:val="-2"/>
          <w:kern w:val="22"/>
          <w:lang w:val="en-GB"/>
        </w:rPr>
        <w:t xml:space="preserve"> The federal government typically licensed craft breweries that produced 400,000 hl or less per year and were independently owned and operated.</w:t>
      </w:r>
      <w:r w:rsidRPr="0078134E">
        <w:rPr>
          <w:rStyle w:val="EndnoteReference"/>
          <w:spacing w:val="-2"/>
          <w:kern w:val="22"/>
          <w:lang w:val="en-GB"/>
        </w:rPr>
        <w:endnoteReference w:id="15"/>
      </w:r>
      <w:r w:rsidRPr="0078134E">
        <w:rPr>
          <w:spacing w:val="-2"/>
          <w:kern w:val="22"/>
          <w:lang w:val="en-GB"/>
        </w:rPr>
        <w:t xml:space="preserve"> For example, Brick Brewing</w:t>
      </w:r>
      <w:r w:rsidR="005C670B" w:rsidRPr="0078134E">
        <w:rPr>
          <w:spacing w:val="-2"/>
          <w:kern w:val="22"/>
          <w:lang w:val="en-GB"/>
        </w:rPr>
        <w:t xml:space="preserve"> Co. Limited (renamed Waterloo Brewing Ltd. in 2019)</w:t>
      </w:r>
      <w:r w:rsidRPr="0078134E">
        <w:rPr>
          <w:spacing w:val="-2"/>
          <w:kern w:val="22"/>
          <w:lang w:val="en-GB"/>
        </w:rPr>
        <w:t xml:space="preserve"> </w:t>
      </w:r>
      <w:r w:rsidR="00532854" w:rsidRPr="0078134E">
        <w:rPr>
          <w:spacing w:val="-2"/>
          <w:kern w:val="22"/>
          <w:lang w:val="en-GB"/>
        </w:rPr>
        <w:t xml:space="preserve">in Kitchener, Ontario, </w:t>
      </w:r>
      <w:r w:rsidRPr="0078134E">
        <w:rPr>
          <w:spacing w:val="-2"/>
          <w:kern w:val="22"/>
          <w:lang w:val="en-GB"/>
        </w:rPr>
        <w:t xml:space="preserve">was a certified craft </w:t>
      </w:r>
      <w:r w:rsidRPr="0078134E">
        <w:rPr>
          <w:spacing w:val="-2"/>
          <w:kern w:val="22"/>
          <w:lang w:val="en-GB"/>
        </w:rPr>
        <w:lastRenderedPageBreak/>
        <w:t>brewery.</w:t>
      </w:r>
      <w:r w:rsidRPr="0078134E">
        <w:rPr>
          <w:rStyle w:val="EndnoteReference"/>
          <w:spacing w:val="-2"/>
          <w:kern w:val="22"/>
          <w:lang w:val="en-GB"/>
        </w:rPr>
        <w:endnoteReference w:id="16"/>
      </w:r>
      <w:r w:rsidRPr="0078134E">
        <w:rPr>
          <w:spacing w:val="-2"/>
          <w:kern w:val="22"/>
          <w:lang w:val="en-GB"/>
        </w:rPr>
        <w:t xml:space="preserve"> </w:t>
      </w:r>
      <w:r w:rsidR="005C670B" w:rsidRPr="0078134E">
        <w:rPr>
          <w:spacing w:val="-2"/>
          <w:kern w:val="22"/>
          <w:lang w:val="en-GB"/>
        </w:rPr>
        <w:t>Most</w:t>
      </w:r>
      <w:r w:rsidRPr="0078134E">
        <w:rPr>
          <w:spacing w:val="-2"/>
          <w:kern w:val="22"/>
          <w:lang w:val="en-GB"/>
        </w:rPr>
        <w:t xml:space="preserve"> craft breweries in Canada produced 5,000 hl or less</w:t>
      </w:r>
      <w:r w:rsidR="005C670B" w:rsidRPr="0078134E">
        <w:rPr>
          <w:spacing w:val="-2"/>
          <w:kern w:val="22"/>
          <w:lang w:val="en-GB"/>
        </w:rPr>
        <w:t xml:space="preserve"> per year</w:t>
      </w:r>
      <w:r w:rsidRPr="0078134E">
        <w:rPr>
          <w:spacing w:val="-2"/>
          <w:kern w:val="22"/>
          <w:lang w:val="en-GB"/>
        </w:rPr>
        <w:t>.</w:t>
      </w:r>
      <w:r w:rsidRPr="0078134E">
        <w:rPr>
          <w:rStyle w:val="EndnoteReference"/>
          <w:spacing w:val="-2"/>
          <w:kern w:val="22"/>
          <w:lang w:val="en-GB"/>
        </w:rPr>
        <w:endnoteReference w:id="17"/>
      </w:r>
      <w:r w:rsidRPr="0078134E">
        <w:rPr>
          <w:spacing w:val="-2"/>
          <w:kern w:val="22"/>
          <w:lang w:val="en-GB"/>
        </w:rPr>
        <w:t xml:space="preserve"> </w:t>
      </w:r>
      <w:r w:rsidR="005C670B" w:rsidRPr="0078134E">
        <w:rPr>
          <w:spacing w:val="-2"/>
          <w:kern w:val="22"/>
          <w:lang w:val="en-GB"/>
        </w:rPr>
        <w:t>Compan</w:t>
      </w:r>
      <w:r w:rsidRPr="0078134E">
        <w:rPr>
          <w:spacing w:val="-2"/>
          <w:kern w:val="22"/>
          <w:lang w:val="en-GB"/>
        </w:rPr>
        <w:t>ies</w:t>
      </w:r>
      <w:r w:rsidR="005C670B" w:rsidRPr="0078134E">
        <w:rPr>
          <w:spacing w:val="-2"/>
          <w:kern w:val="22"/>
          <w:lang w:val="en-GB"/>
        </w:rPr>
        <w:t xml:space="preserve"> that</w:t>
      </w:r>
      <w:r w:rsidRPr="0078134E">
        <w:rPr>
          <w:spacing w:val="-2"/>
          <w:kern w:val="22"/>
          <w:lang w:val="en-GB"/>
        </w:rPr>
        <w:t xml:space="preserve"> produc</w:t>
      </w:r>
      <w:r w:rsidR="005C670B" w:rsidRPr="0078134E">
        <w:rPr>
          <w:spacing w:val="-2"/>
          <w:kern w:val="22"/>
          <w:lang w:val="en-GB"/>
        </w:rPr>
        <w:t>ed</w:t>
      </w:r>
      <w:r w:rsidRPr="0078134E">
        <w:rPr>
          <w:spacing w:val="-2"/>
          <w:kern w:val="22"/>
          <w:lang w:val="en-GB"/>
        </w:rPr>
        <w:t xml:space="preserve"> over 400,000 hl</w:t>
      </w:r>
      <w:r w:rsidR="005C670B" w:rsidRPr="0078134E">
        <w:rPr>
          <w:spacing w:val="-2"/>
          <w:kern w:val="22"/>
          <w:lang w:val="en-GB"/>
        </w:rPr>
        <w:t xml:space="preserve">, such as the two multinational </w:t>
      </w:r>
      <w:r w:rsidR="008A5777" w:rsidRPr="0078134E">
        <w:rPr>
          <w:spacing w:val="-2"/>
          <w:kern w:val="22"/>
          <w:lang w:val="en-GB"/>
        </w:rPr>
        <w:t xml:space="preserve">beer </w:t>
      </w:r>
      <w:r w:rsidR="005C670B" w:rsidRPr="0078134E">
        <w:rPr>
          <w:spacing w:val="-2"/>
          <w:kern w:val="22"/>
          <w:lang w:val="en-GB"/>
        </w:rPr>
        <w:t xml:space="preserve">companies </w:t>
      </w:r>
      <w:r w:rsidR="008A5777" w:rsidRPr="0078134E">
        <w:rPr>
          <w:spacing w:val="-2"/>
          <w:kern w:val="22"/>
          <w:lang w:val="en-GB"/>
        </w:rPr>
        <w:t>that dominated Canada’s beer industry,</w:t>
      </w:r>
      <w:r w:rsidRPr="0078134E">
        <w:rPr>
          <w:spacing w:val="-2"/>
          <w:kern w:val="22"/>
          <w:lang w:val="en-GB"/>
        </w:rPr>
        <w:t xml:space="preserve"> were categorized as “macrobreweries</w:t>
      </w:r>
      <w:r w:rsidR="008A5777" w:rsidRPr="0078134E">
        <w:rPr>
          <w:spacing w:val="-2"/>
          <w:kern w:val="22"/>
          <w:lang w:val="en-GB"/>
        </w:rPr>
        <w:t>.</w:t>
      </w:r>
      <w:r w:rsidRPr="0078134E">
        <w:rPr>
          <w:spacing w:val="-2"/>
          <w:kern w:val="22"/>
          <w:lang w:val="en-GB"/>
        </w:rPr>
        <w:t>”</w:t>
      </w:r>
      <w:r w:rsidR="008A5777" w:rsidRPr="0078134E">
        <w:rPr>
          <w:spacing w:val="-2"/>
          <w:kern w:val="22"/>
          <w:lang w:val="en-GB"/>
        </w:rPr>
        <w:t xml:space="preserve"> In contrast</w:t>
      </w:r>
      <w:r w:rsidRPr="0078134E">
        <w:rPr>
          <w:spacing w:val="-2"/>
          <w:kern w:val="22"/>
          <w:lang w:val="en-GB"/>
        </w:rPr>
        <w:t xml:space="preserve">, the Canadian craft brewing industry was </w:t>
      </w:r>
      <w:r w:rsidR="008A5777" w:rsidRPr="0078134E">
        <w:rPr>
          <w:spacing w:val="-2"/>
          <w:kern w:val="22"/>
          <w:lang w:val="en-GB"/>
        </w:rPr>
        <w:t>highl</w:t>
      </w:r>
      <w:r w:rsidRPr="0078134E">
        <w:rPr>
          <w:spacing w:val="-2"/>
          <w:kern w:val="22"/>
          <w:lang w:val="en-GB"/>
        </w:rPr>
        <w:t xml:space="preserve">y fragmented, with hundreds of </w:t>
      </w:r>
      <w:r w:rsidR="008A5777" w:rsidRPr="0078134E">
        <w:rPr>
          <w:spacing w:val="-2"/>
          <w:kern w:val="22"/>
          <w:lang w:val="en-GB"/>
        </w:rPr>
        <w:t xml:space="preserve">small </w:t>
      </w:r>
      <w:r w:rsidRPr="0078134E">
        <w:rPr>
          <w:spacing w:val="-2"/>
          <w:kern w:val="22"/>
          <w:lang w:val="en-GB"/>
        </w:rPr>
        <w:t>brewer</w:t>
      </w:r>
      <w:r w:rsidR="00D56902" w:rsidRPr="0078134E">
        <w:rPr>
          <w:spacing w:val="-2"/>
          <w:kern w:val="22"/>
          <w:lang w:val="en-GB"/>
        </w:rPr>
        <w:t>ie</w:t>
      </w:r>
      <w:r w:rsidRPr="0078134E">
        <w:rPr>
          <w:spacing w:val="-2"/>
          <w:kern w:val="22"/>
          <w:lang w:val="en-GB"/>
        </w:rPr>
        <w:t xml:space="preserve">s </w:t>
      </w:r>
      <w:r w:rsidR="008A5777" w:rsidRPr="0078134E">
        <w:rPr>
          <w:spacing w:val="-2"/>
          <w:kern w:val="22"/>
          <w:lang w:val="en-GB"/>
        </w:rPr>
        <w:t>typic</w:t>
      </w:r>
      <w:r w:rsidRPr="0078134E">
        <w:rPr>
          <w:spacing w:val="-2"/>
          <w:kern w:val="22"/>
          <w:lang w:val="en-GB"/>
        </w:rPr>
        <w:t>ally focus</w:t>
      </w:r>
      <w:r w:rsidR="008A5777" w:rsidRPr="0078134E">
        <w:rPr>
          <w:spacing w:val="-2"/>
          <w:kern w:val="22"/>
          <w:lang w:val="en-GB"/>
        </w:rPr>
        <w:t>ed</w:t>
      </w:r>
      <w:r w:rsidRPr="0078134E">
        <w:rPr>
          <w:spacing w:val="-2"/>
          <w:kern w:val="22"/>
          <w:lang w:val="en-GB"/>
        </w:rPr>
        <w:t xml:space="preserve"> on serving local communities, </w:t>
      </w:r>
      <w:r w:rsidR="008A5777" w:rsidRPr="0078134E">
        <w:rPr>
          <w:spacing w:val="-2"/>
          <w:kern w:val="22"/>
          <w:lang w:val="en-GB"/>
        </w:rPr>
        <w:t>although some</w:t>
      </w:r>
      <w:r w:rsidRPr="0078134E">
        <w:rPr>
          <w:spacing w:val="-2"/>
          <w:kern w:val="22"/>
          <w:lang w:val="en-GB"/>
        </w:rPr>
        <w:t xml:space="preserve"> of </w:t>
      </w:r>
      <w:r w:rsidR="008A5777" w:rsidRPr="0078134E">
        <w:rPr>
          <w:spacing w:val="-2"/>
          <w:kern w:val="22"/>
          <w:lang w:val="en-GB"/>
        </w:rPr>
        <w:t xml:space="preserve">the </w:t>
      </w:r>
      <w:r w:rsidRPr="0078134E">
        <w:rPr>
          <w:spacing w:val="-2"/>
          <w:kern w:val="22"/>
          <w:lang w:val="en-GB"/>
        </w:rPr>
        <w:t>larger craft brewer</w:t>
      </w:r>
      <w:r w:rsidR="00D56902" w:rsidRPr="0078134E">
        <w:rPr>
          <w:spacing w:val="-2"/>
          <w:kern w:val="22"/>
          <w:lang w:val="en-GB"/>
        </w:rPr>
        <w:t>ie</w:t>
      </w:r>
      <w:r w:rsidRPr="0078134E">
        <w:rPr>
          <w:spacing w:val="-2"/>
          <w:kern w:val="22"/>
          <w:lang w:val="en-GB"/>
        </w:rPr>
        <w:t>s</w:t>
      </w:r>
      <w:r w:rsidR="008A5777" w:rsidRPr="0078134E">
        <w:rPr>
          <w:spacing w:val="-2"/>
          <w:kern w:val="22"/>
          <w:lang w:val="en-GB"/>
        </w:rPr>
        <w:t xml:space="preserve"> catered to</w:t>
      </w:r>
      <w:r w:rsidRPr="0078134E">
        <w:rPr>
          <w:spacing w:val="-2"/>
          <w:kern w:val="22"/>
          <w:lang w:val="en-GB"/>
        </w:rPr>
        <w:t xml:space="preserve"> the </w:t>
      </w:r>
      <w:r w:rsidR="008A5777" w:rsidRPr="0078134E">
        <w:rPr>
          <w:spacing w:val="-2"/>
          <w:kern w:val="22"/>
          <w:lang w:val="en-GB"/>
        </w:rPr>
        <w:t xml:space="preserve">entire </w:t>
      </w:r>
      <w:r w:rsidRPr="0078134E">
        <w:rPr>
          <w:spacing w:val="-2"/>
          <w:kern w:val="22"/>
          <w:lang w:val="en-GB"/>
        </w:rPr>
        <w:t xml:space="preserve">province. </w:t>
      </w:r>
      <w:r w:rsidR="008A5777" w:rsidRPr="0078134E">
        <w:rPr>
          <w:spacing w:val="-2"/>
          <w:kern w:val="22"/>
          <w:lang w:val="en-GB"/>
        </w:rPr>
        <w:t>Ontario was home to</w:t>
      </w:r>
      <w:r w:rsidRPr="0078134E">
        <w:rPr>
          <w:spacing w:val="-2"/>
          <w:kern w:val="22"/>
          <w:lang w:val="en-GB"/>
        </w:rPr>
        <w:t xml:space="preserve"> 315 brewer</w:t>
      </w:r>
      <w:r w:rsidR="00D56902" w:rsidRPr="0078134E">
        <w:rPr>
          <w:spacing w:val="-2"/>
          <w:kern w:val="22"/>
          <w:lang w:val="en-GB"/>
        </w:rPr>
        <w:t>ie</w:t>
      </w:r>
      <w:r w:rsidRPr="0078134E">
        <w:rPr>
          <w:spacing w:val="-2"/>
          <w:kern w:val="22"/>
          <w:lang w:val="en-GB"/>
        </w:rPr>
        <w:t xml:space="preserve">s, </w:t>
      </w:r>
      <w:r w:rsidR="008A5777" w:rsidRPr="0078134E">
        <w:rPr>
          <w:spacing w:val="-2"/>
          <w:kern w:val="22"/>
          <w:lang w:val="en-GB"/>
        </w:rPr>
        <w:t>but only</w:t>
      </w:r>
      <w:r w:rsidRPr="0078134E">
        <w:rPr>
          <w:spacing w:val="-2"/>
          <w:kern w:val="22"/>
          <w:lang w:val="en-GB"/>
        </w:rPr>
        <w:t xml:space="preserve"> two-thirds </w:t>
      </w:r>
      <w:r w:rsidR="008A5777" w:rsidRPr="0078134E">
        <w:rPr>
          <w:spacing w:val="-2"/>
          <w:kern w:val="22"/>
          <w:lang w:val="en-GB"/>
        </w:rPr>
        <w:t xml:space="preserve">of them </w:t>
      </w:r>
      <w:r w:rsidRPr="0078134E">
        <w:rPr>
          <w:spacing w:val="-2"/>
          <w:kern w:val="22"/>
          <w:lang w:val="en-GB"/>
        </w:rPr>
        <w:t xml:space="preserve">sold their beer in retail </w:t>
      </w:r>
      <w:r w:rsidR="008A5777" w:rsidRPr="0078134E">
        <w:rPr>
          <w:spacing w:val="-2"/>
          <w:kern w:val="22"/>
          <w:lang w:val="en-GB"/>
        </w:rPr>
        <w:t>outlets such as the</w:t>
      </w:r>
      <w:r w:rsidRPr="0078134E">
        <w:rPr>
          <w:spacing w:val="-2"/>
          <w:kern w:val="22"/>
          <w:lang w:val="en-GB"/>
        </w:rPr>
        <w:t xml:space="preserve"> LCBO, TBS</w:t>
      </w:r>
      <w:r w:rsidR="008A5777" w:rsidRPr="0078134E">
        <w:rPr>
          <w:spacing w:val="-2"/>
          <w:kern w:val="22"/>
          <w:lang w:val="en-GB"/>
        </w:rPr>
        <w:t>,</w:t>
      </w:r>
      <w:r w:rsidRPr="0078134E">
        <w:rPr>
          <w:spacing w:val="-2"/>
          <w:kern w:val="22"/>
          <w:lang w:val="en-GB"/>
        </w:rPr>
        <w:t xml:space="preserve"> or grocery stores.</w:t>
      </w:r>
      <w:r w:rsidRPr="0078134E">
        <w:rPr>
          <w:rStyle w:val="EndnoteReference"/>
          <w:spacing w:val="-2"/>
          <w:kern w:val="22"/>
          <w:lang w:val="en-GB"/>
        </w:rPr>
        <w:endnoteReference w:id="18"/>
      </w:r>
    </w:p>
    <w:p w14:paraId="1E05E4A6" w14:textId="77777777" w:rsidR="00D60CA0" w:rsidRPr="00946435" w:rsidRDefault="00D60CA0" w:rsidP="009424DA">
      <w:pPr>
        <w:pStyle w:val="BodyTextMain"/>
        <w:rPr>
          <w:lang w:val="en-GB"/>
        </w:rPr>
      </w:pPr>
    </w:p>
    <w:p w14:paraId="3093C904" w14:textId="547CEA63" w:rsidR="009424DA" w:rsidRPr="00946435" w:rsidRDefault="009424DA" w:rsidP="009424DA">
      <w:pPr>
        <w:pStyle w:val="BodyTextMain"/>
        <w:rPr>
          <w:lang w:val="en-GB"/>
        </w:rPr>
      </w:pPr>
      <w:r w:rsidRPr="00946435">
        <w:rPr>
          <w:lang w:val="en-GB"/>
        </w:rPr>
        <w:t>Craft beer consumers</w:t>
      </w:r>
      <w:r w:rsidR="008A5777" w:rsidRPr="00946435">
        <w:rPr>
          <w:lang w:val="en-GB"/>
        </w:rPr>
        <w:t>, whose</w:t>
      </w:r>
      <w:r w:rsidRPr="00946435">
        <w:rPr>
          <w:lang w:val="en-GB"/>
        </w:rPr>
        <w:t xml:space="preserve"> tastes chang</w:t>
      </w:r>
      <w:r w:rsidR="008A5777" w:rsidRPr="00946435">
        <w:rPr>
          <w:lang w:val="en-GB"/>
        </w:rPr>
        <w:t>ed</w:t>
      </w:r>
      <w:r w:rsidRPr="00946435">
        <w:rPr>
          <w:lang w:val="en-GB"/>
        </w:rPr>
        <w:t xml:space="preserve"> rapidly</w:t>
      </w:r>
      <w:r w:rsidR="008A5777" w:rsidRPr="00946435">
        <w:rPr>
          <w:lang w:val="en-GB"/>
        </w:rPr>
        <w:t>,</w:t>
      </w:r>
      <w:r w:rsidRPr="00946435">
        <w:rPr>
          <w:lang w:val="en-GB"/>
        </w:rPr>
        <w:t xml:space="preserve"> were m</w:t>
      </w:r>
      <w:r w:rsidR="008A5777" w:rsidRPr="00946435">
        <w:rPr>
          <w:lang w:val="en-GB"/>
        </w:rPr>
        <w:t>ainly</w:t>
      </w:r>
      <w:r w:rsidRPr="00946435">
        <w:rPr>
          <w:lang w:val="en-GB"/>
        </w:rPr>
        <w:t xml:space="preserve"> interested in the experience, locality, and the variety of products </w:t>
      </w:r>
      <w:r w:rsidR="008A5777" w:rsidRPr="00946435">
        <w:rPr>
          <w:lang w:val="en-GB"/>
        </w:rPr>
        <w:t xml:space="preserve">that </w:t>
      </w:r>
      <w:r w:rsidRPr="00946435">
        <w:rPr>
          <w:lang w:val="en-GB"/>
        </w:rPr>
        <w:t>craft b</w:t>
      </w:r>
      <w:r w:rsidR="008A5777" w:rsidRPr="00946435">
        <w:rPr>
          <w:lang w:val="en-GB"/>
        </w:rPr>
        <w:t>r</w:t>
      </w:r>
      <w:r w:rsidRPr="00946435">
        <w:rPr>
          <w:lang w:val="en-GB"/>
        </w:rPr>
        <w:t>e</w:t>
      </w:r>
      <w:r w:rsidR="008A5777" w:rsidRPr="00946435">
        <w:rPr>
          <w:lang w:val="en-GB"/>
        </w:rPr>
        <w:t>w</w:t>
      </w:r>
      <w:r w:rsidRPr="00946435">
        <w:rPr>
          <w:lang w:val="en-GB"/>
        </w:rPr>
        <w:t>er</w:t>
      </w:r>
      <w:r w:rsidR="008A5777" w:rsidRPr="00946435">
        <w:rPr>
          <w:lang w:val="en-GB"/>
        </w:rPr>
        <w:t>ies</w:t>
      </w:r>
      <w:r w:rsidRPr="00946435">
        <w:rPr>
          <w:lang w:val="en-GB"/>
        </w:rPr>
        <w:t xml:space="preserve"> offered. In contrast to macrobrewer</w:t>
      </w:r>
      <w:r w:rsidR="008A5777" w:rsidRPr="00946435">
        <w:rPr>
          <w:lang w:val="en-GB"/>
        </w:rPr>
        <w:t>y customers</w:t>
      </w:r>
      <w:r w:rsidRPr="00946435">
        <w:rPr>
          <w:lang w:val="en-GB"/>
        </w:rPr>
        <w:t xml:space="preserve">, </w:t>
      </w:r>
      <w:r w:rsidR="008A5777" w:rsidRPr="00946435">
        <w:rPr>
          <w:lang w:val="en-GB"/>
        </w:rPr>
        <w:t>these</w:t>
      </w:r>
      <w:r w:rsidRPr="00946435">
        <w:rPr>
          <w:lang w:val="en-GB"/>
        </w:rPr>
        <w:t xml:space="preserve"> consumers</w:t>
      </w:r>
      <w:r w:rsidR="008A5777" w:rsidRPr="00946435">
        <w:rPr>
          <w:lang w:val="en-GB"/>
        </w:rPr>
        <w:t xml:space="preserve"> also </w:t>
      </w:r>
      <w:r w:rsidR="001067BD">
        <w:rPr>
          <w:lang w:val="en-GB"/>
        </w:rPr>
        <w:t xml:space="preserve">tended to </w:t>
      </w:r>
      <w:r w:rsidR="001067BD" w:rsidRPr="00946435">
        <w:rPr>
          <w:lang w:val="en-GB"/>
        </w:rPr>
        <w:t>ha</w:t>
      </w:r>
      <w:r w:rsidR="001067BD">
        <w:rPr>
          <w:lang w:val="en-GB"/>
        </w:rPr>
        <w:t>ve</w:t>
      </w:r>
      <w:r w:rsidR="001067BD" w:rsidRPr="00946435">
        <w:rPr>
          <w:lang w:val="en-GB"/>
        </w:rPr>
        <w:t xml:space="preserve"> </w:t>
      </w:r>
      <w:r w:rsidRPr="00946435">
        <w:rPr>
          <w:lang w:val="en-GB"/>
        </w:rPr>
        <w:t>less brand loyal</w:t>
      </w:r>
      <w:r w:rsidR="008A5777" w:rsidRPr="00946435">
        <w:rPr>
          <w:lang w:val="en-GB"/>
        </w:rPr>
        <w:t>ty and</w:t>
      </w:r>
      <w:r w:rsidR="00964C80" w:rsidRPr="00946435">
        <w:rPr>
          <w:lang w:val="en-GB"/>
        </w:rPr>
        <w:t xml:space="preserve"> </w:t>
      </w:r>
      <w:r w:rsidR="001067BD">
        <w:rPr>
          <w:lang w:val="en-GB"/>
        </w:rPr>
        <w:t xml:space="preserve">to </w:t>
      </w:r>
      <w:r w:rsidR="00964C80" w:rsidRPr="00946435">
        <w:rPr>
          <w:lang w:val="en-GB"/>
        </w:rPr>
        <w:t>prefer ale to</w:t>
      </w:r>
      <w:r w:rsidRPr="00946435">
        <w:rPr>
          <w:lang w:val="en-GB"/>
        </w:rPr>
        <w:t xml:space="preserve"> lager</w:t>
      </w:r>
      <w:r w:rsidR="00964C80" w:rsidRPr="00946435">
        <w:rPr>
          <w:lang w:val="en-GB"/>
        </w:rPr>
        <w:t>.</w:t>
      </w:r>
      <w:r w:rsidR="00964C80" w:rsidRPr="00946435">
        <w:rPr>
          <w:rStyle w:val="EndnoteReference"/>
          <w:lang w:val="en-GB"/>
        </w:rPr>
        <w:endnoteReference w:id="19"/>
      </w:r>
      <w:r w:rsidRPr="00946435">
        <w:rPr>
          <w:lang w:val="en-GB"/>
        </w:rPr>
        <w:t xml:space="preserve"> </w:t>
      </w:r>
      <w:r w:rsidR="00964C80" w:rsidRPr="00946435">
        <w:rPr>
          <w:lang w:val="en-GB"/>
        </w:rPr>
        <w:t xml:space="preserve">Sales of </w:t>
      </w:r>
      <w:r w:rsidRPr="00946435">
        <w:rPr>
          <w:lang w:val="en-GB"/>
        </w:rPr>
        <w:t>ale</w:t>
      </w:r>
      <w:r w:rsidR="00964C80" w:rsidRPr="00946435">
        <w:rPr>
          <w:lang w:val="en-GB"/>
        </w:rPr>
        <w:t>,</w:t>
      </w:r>
      <w:r w:rsidRPr="00946435">
        <w:rPr>
          <w:lang w:val="en-GB"/>
        </w:rPr>
        <w:t xml:space="preserve"> the most consumed craft </w:t>
      </w:r>
      <w:r w:rsidR="00964C80" w:rsidRPr="00946435">
        <w:rPr>
          <w:lang w:val="en-GB"/>
        </w:rPr>
        <w:t>beer,</w:t>
      </w:r>
      <w:r w:rsidRPr="00946435">
        <w:rPr>
          <w:lang w:val="en-GB"/>
        </w:rPr>
        <w:t xml:space="preserve"> gr</w:t>
      </w:r>
      <w:r w:rsidR="00964C80" w:rsidRPr="00946435">
        <w:rPr>
          <w:lang w:val="en-GB"/>
        </w:rPr>
        <w:t>e</w:t>
      </w:r>
      <w:r w:rsidRPr="00946435">
        <w:rPr>
          <w:lang w:val="en-GB"/>
        </w:rPr>
        <w:t>w from $905.2 million in 2014 to $1.7 billion in 2018.</w:t>
      </w:r>
      <w:r w:rsidRPr="00946435">
        <w:rPr>
          <w:rStyle w:val="EndnoteReference"/>
          <w:lang w:val="en-GB"/>
        </w:rPr>
        <w:endnoteReference w:id="20"/>
      </w:r>
      <w:r w:rsidRPr="00946435">
        <w:rPr>
          <w:lang w:val="en-GB"/>
        </w:rPr>
        <w:t xml:space="preserve"> </w:t>
      </w:r>
      <w:r w:rsidR="005B203E" w:rsidRPr="00946435">
        <w:rPr>
          <w:lang w:val="en-GB"/>
        </w:rPr>
        <w:t>E</w:t>
      </w:r>
      <w:r w:rsidRPr="00946435">
        <w:rPr>
          <w:lang w:val="en-GB"/>
        </w:rPr>
        <w:t xml:space="preserve">merging </w:t>
      </w:r>
      <w:r w:rsidR="00D60CA0" w:rsidRPr="00946435">
        <w:rPr>
          <w:lang w:val="en-GB"/>
        </w:rPr>
        <w:t xml:space="preserve">and alternative </w:t>
      </w:r>
      <w:r w:rsidRPr="00946435">
        <w:rPr>
          <w:lang w:val="en-GB"/>
        </w:rPr>
        <w:t xml:space="preserve">trends in </w:t>
      </w:r>
      <w:r w:rsidR="005B203E" w:rsidRPr="00946435">
        <w:rPr>
          <w:lang w:val="en-GB"/>
        </w:rPr>
        <w:t>the industry</w:t>
      </w:r>
      <w:r w:rsidRPr="00946435">
        <w:rPr>
          <w:lang w:val="en-GB"/>
        </w:rPr>
        <w:t xml:space="preserve"> included canned nitrogenated</w:t>
      </w:r>
      <w:r w:rsidR="00D60CA0" w:rsidRPr="00946435">
        <w:rPr>
          <w:lang w:val="en-GB"/>
        </w:rPr>
        <w:t xml:space="preserve"> beer</w:t>
      </w:r>
      <w:r w:rsidRPr="00946435">
        <w:rPr>
          <w:rStyle w:val="EndnoteReference"/>
          <w:lang w:val="en-GB"/>
        </w:rPr>
        <w:endnoteReference w:id="21"/>
      </w:r>
      <w:r w:rsidRPr="00946435">
        <w:rPr>
          <w:lang w:val="en-GB"/>
        </w:rPr>
        <w:t xml:space="preserve"> and non-alcoholic beer.</w:t>
      </w:r>
    </w:p>
    <w:p w14:paraId="30936782" w14:textId="77777777" w:rsidR="009424DA" w:rsidRPr="00946435" w:rsidRDefault="009424DA" w:rsidP="009424DA">
      <w:pPr>
        <w:pStyle w:val="BodyTextMain"/>
        <w:rPr>
          <w:lang w:val="en-GB"/>
        </w:rPr>
      </w:pPr>
    </w:p>
    <w:p w14:paraId="4100CE0B" w14:textId="7FAA1E71" w:rsidR="007224C6" w:rsidRPr="00946435" w:rsidRDefault="009424DA" w:rsidP="009424DA">
      <w:pPr>
        <w:pStyle w:val="BodyTextMain"/>
        <w:rPr>
          <w:lang w:val="en-GB"/>
        </w:rPr>
      </w:pPr>
      <w:r w:rsidRPr="00946435">
        <w:rPr>
          <w:lang w:val="en-GB"/>
        </w:rPr>
        <w:t xml:space="preserve">Despite environmental uncertainty and regulatory constraints affecting the </w:t>
      </w:r>
      <w:r w:rsidR="005B203E" w:rsidRPr="00946435">
        <w:rPr>
          <w:lang w:val="en-GB"/>
        </w:rPr>
        <w:t>entire</w:t>
      </w:r>
      <w:r w:rsidRPr="00946435">
        <w:rPr>
          <w:lang w:val="en-GB"/>
        </w:rPr>
        <w:t xml:space="preserve"> industry, the Canadian craft beer industry continued to grow</w:t>
      </w:r>
      <w:r w:rsidR="005B203E" w:rsidRPr="00946435">
        <w:rPr>
          <w:lang w:val="en-GB"/>
        </w:rPr>
        <w:t>. Reasons for growth included</w:t>
      </w:r>
      <w:r w:rsidRPr="00946435">
        <w:rPr>
          <w:lang w:val="en-GB"/>
        </w:rPr>
        <w:t xml:space="preserve"> changing demographics, consumer preferences for unique products and </w:t>
      </w:r>
      <w:r w:rsidR="005B203E" w:rsidRPr="00946435">
        <w:rPr>
          <w:lang w:val="en-GB"/>
        </w:rPr>
        <w:t>new</w:t>
      </w:r>
      <w:r w:rsidRPr="00946435">
        <w:rPr>
          <w:lang w:val="en-GB"/>
        </w:rPr>
        <w:t xml:space="preserve"> experience</w:t>
      </w:r>
      <w:r w:rsidR="005B203E" w:rsidRPr="00946435">
        <w:rPr>
          <w:lang w:val="en-GB"/>
        </w:rPr>
        <w:t>s</w:t>
      </w:r>
      <w:r w:rsidRPr="00946435">
        <w:rPr>
          <w:lang w:val="en-GB"/>
        </w:rPr>
        <w:t>, and overall support from vital retail partners.</w:t>
      </w:r>
      <w:r w:rsidRPr="00946435">
        <w:rPr>
          <w:rStyle w:val="EndnoteReference"/>
          <w:lang w:val="en-GB"/>
        </w:rPr>
        <w:endnoteReference w:id="22"/>
      </w:r>
      <w:r w:rsidRPr="00946435">
        <w:rPr>
          <w:lang w:val="en-GB"/>
        </w:rPr>
        <w:t xml:space="preserve"> </w:t>
      </w:r>
      <w:r w:rsidR="005B203E" w:rsidRPr="00946435">
        <w:rPr>
          <w:lang w:val="en-GB"/>
        </w:rPr>
        <w:t>Specifically in Canada, the growth of the craft beer industry was influenced by the country’s generally favourable demographic, social, political, economic, and environmental characteristics (s</w:t>
      </w:r>
      <w:r w:rsidR="007224C6" w:rsidRPr="00946435">
        <w:rPr>
          <w:lang w:val="en-GB"/>
        </w:rPr>
        <w:t>ee Exhibit 1</w:t>
      </w:r>
      <w:r w:rsidR="005B203E" w:rsidRPr="00946435">
        <w:rPr>
          <w:lang w:val="en-GB"/>
        </w:rPr>
        <w:t>)</w:t>
      </w:r>
      <w:r w:rsidR="007224C6" w:rsidRPr="00946435">
        <w:rPr>
          <w:lang w:val="en-GB"/>
        </w:rPr>
        <w:t>.</w:t>
      </w:r>
    </w:p>
    <w:p w14:paraId="4613FFA5" w14:textId="77777777" w:rsidR="009424DA" w:rsidRPr="00946435" w:rsidRDefault="009424DA" w:rsidP="009424DA">
      <w:pPr>
        <w:pStyle w:val="BodyTextMain"/>
        <w:rPr>
          <w:lang w:val="en-GB"/>
        </w:rPr>
      </w:pPr>
    </w:p>
    <w:p w14:paraId="70815AB0" w14:textId="75ED038B" w:rsidR="00BB421A" w:rsidRPr="00946435" w:rsidRDefault="00BB421A" w:rsidP="009424DA">
      <w:pPr>
        <w:pStyle w:val="Casehead1"/>
        <w:rPr>
          <w:lang w:val="en-GB"/>
        </w:rPr>
      </w:pPr>
    </w:p>
    <w:p w14:paraId="08433E47" w14:textId="669DC06A" w:rsidR="009424DA" w:rsidRPr="00946435" w:rsidRDefault="009424DA" w:rsidP="009424DA">
      <w:pPr>
        <w:pStyle w:val="Casehead1"/>
        <w:rPr>
          <w:lang w:val="en-GB"/>
        </w:rPr>
      </w:pPr>
      <w:r w:rsidRPr="00946435">
        <w:rPr>
          <w:lang w:val="en-GB"/>
        </w:rPr>
        <w:t>BRENT DAVIES, WELLINGTON BREWERY</w:t>
      </w:r>
      <w:r w:rsidR="009C4BD4" w:rsidRPr="00946435">
        <w:rPr>
          <w:lang w:val="en-GB"/>
        </w:rPr>
        <w:t>’s President</w:t>
      </w:r>
    </w:p>
    <w:p w14:paraId="16B8DB66" w14:textId="77777777" w:rsidR="009424DA" w:rsidRPr="0078134E" w:rsidRDefault="009424DA" w:rsidP="009424DA">
      <w:pPr>
        <w:pStyle w:val="BodyTextMain"/>
        <w:rPr>
          <w:sz w:val="14"/>
          <w:szCs w:val="14"/>
          <w:lang w:val="en-GB"/>
        </w:rPr>
      </w:pPr>
    </w:p>
    <w:p w14:paraId="4CC594F9" w14:textId="3F3A65C4" w:rsidR="009424DA" w:rsidRPr="00946435" w:rsidRDefault="00EA3F1A" w:rsidP="009424DA">
      <w:pPr>
        <w:pStyle w:val="BodyTextMain"/>
        <w:rPr>
          <w:lang w:val="en-GB"/>
        </w:rPr>
      </w:pPr>
      <w:r w:rsidRPr="00946435">
        <w:rPr>
          <w:lang w:val="en-GB"/>
        </w:rPr>
        <w:t>Wellington Brewery earned</w:t>
      </w:r>
      <w:r w:rsidR="009424DA" w:rsidRPr="00946435">
        <w:rPr>
          <w:lang w:val="en-GB"/>
        </w:rPr>
        <w:t xml:space="preserve"> $10 million in revenues in 2019</w:t>
      </w:r>
      <w:r w:rsidRPr="00946435">
        <w:rPr>
          <w:lang w:val="en-GB"/>
        </w:rPr>
        <w:t>.</w:t>
      </w:r>
      <w:r w:rsidR="009424DA" w:rsidRPr="00946435">
        <w:rPr>
          <w:rStyle w:val="EndnoteReference"/>
          <w:lang w:val="en-GB"/>
        </w:rPr>
        <w:endnoteReference w:id="23"/>
      </w:r>
      <w:r w:rsidR="009424DA" w:rsidRPr="00946435">
        <w:rPr>
          <w:lang w:val="en-GB"/>
        </w:rPr>
        <w:t xml:space="preserve"> </w:t>
      </w:r>
      <w:r w:rsidRPr="00946435">
        <w:rPr>
          <w:lang w:val="en-GB"/>
        </w:rPr>
        <w:t xml:space="preserve">It </w:t>
      </w:r>
      <w:r w:rsidR="009424DA" w:rsidRPr="00946435">
        <w:rPr>
          <w:lang w:val="en-GB"/>
        </w:rPr>
        <w:t>was one of Canada’s oldest and largest independently owned craft breweries.</w:t>
      </w:r>
      <w:r w:rsidR="009424DA" w:rsidRPr="00946435">
        <w:rPr>
          <w:rStyle w:val="EndnoteReference"/>
          <w:lang w:val="en-GB"/>
        </w:rPr>
        <w:endnoteReference w:id="24"/>
      </w:r>
      <w:r w:rsidR="009424DA" w:rsidRPr="00946435">
        <w:rPr>
          <w:lang w:val="en-GB"/>
        </w:rPr>
        <w:t xml:space="preserve"> The brewery was initially known for its darker craft beers</w:t>
      </w:r>
      <w:r w:rsidRPr="00946435">
        <w:rPr>
          <w:lang w:val="en-GB"/>
        </w:rPr>
        <w:t>, which were</w:t>
      </w:r>
      <w:r w:rsidR="009424DA" w:rsidRPr="00946435">
        <w:rPr>
          <w:lang w:val="en-GB"/>
        </w:rPr>
        <w:t xml:space="preserve"> offered throughout Canada’s most populated province</w:t>
      </w:r>
      <w:r w:rsidR="00D076E5">
        <w:rPr>
          <w:lang w:val="en-GB"/>
        </w:rPr>
        <w:t>, Ontario</w:t>
      </w:r>
      <w:r w:rsidR="009424DA" w:rsidRPr="00946435">
        <w:rPr>
          <w:lang w:val="en-GB"/>
        </w:rPr>
        <w:t xml:space="preserve">. </w:t>
      </w:r>
      <w:r w:rsidRPr="00946435">
        <w:rPr>
          <w:lang w:val="en-GB"/>
        </w:rPr>
        <w:t>Davies started working at Wellington Brewery in 1995 but left the company i</w:t>
      </w:r>
      <w:r w:rsidR="009424DA" w:rsidRPr="00946435">
        <w:rPr>
          <w:lang w:val="en-GB"/>
        </w:rPr>
        <w:t>n 2000</w:t>
      </w:r>
      <w:r w:rsidRPr="00946435">
        <w:rPr>
          <w:lang w:val="en-GB"/>
        </w:rPr>
        <w:t xml:space="preserve"> to pursue a career</w:t>
      </w:r>
      <w:r w:rsidR="009424DA" w:rsidRPr="00946435">
        <w:rPr>
          <w:lang w:val="en-GB"/>
        </w:rPr>
        <w:t xml:space="preserve"> in the chemical industry. </w:t>
      </w:r>
      <w:r w:rsidRPr="00946435">
        <w:rPr>
          <w:lang w:val="en-GB"/>
        </w:rPr>
        <w:t>However, i</w:t>
      </w:r>
      <w:r w:rsidR="009424DA" w:rsidRPr="00946435">
        <w:rPr>
          <w:lang w:val="en-GB"/>
        </w:rPr>
        <w:t xml:space="preserve">n 2010, </w:t>
      </w:r>
      <w:r w:rsidRPr="00946435">
        <w:rPr>
          <w:lang w:val="en-GB"/>
        </w:rPr>
        <w:t>Davies</w:t>
      </w:r>
      <w:r w:rsidR="009424DA" w:rsidRPr="00946435">
        <w:rPr>
          <w:lang w:val="en-GB"/>
        </w:rPr>
        <w:t xml:space="preserve"> returned to </w:t>
      </w:r>
      <w:r w:rsidRPr="00946435">
        <w:rPr>
          <w:lang w:val="en-GB"/>
        </w:rPr>
        <w:t>Wellington Brewery</w:t>
      </w:r>
      <w:r w:rsidR="009424DA" w:rsidRPr="00946435">
        <w:rPr>
          <w:lang w:val="en-GB"/>
        </w:rPr>
        <w:t xml:space="preserve"> as partner and vice</w:t>
      </w:r>
      <w:r w:rsidRPr="00946435">
        <w:rPr>
          <w:lang w:val="en-GB"/>
        </w:rPr>
        <w:t>-</w:t>
      </w:r>
      <w:r w:rsidR="009424DA" w:rsidRPr="00946435">
        <w:rPr>
          <w:lang w:val="en-GB"/>
        </w:rPr>
        <w:t xml:space="preserve">president, </w:t>
      </w:r>
      <w:r w:rsidRPr="00946435">
        <w:rPr>
          <w:lang w:val="en-GB"/>
        </w:rPr>
        <w:t>with responsibilities in the company’s</w:t>
      </w:r>
      <w:r w:rsidR="009424DA" w:rsidRPr="00946435">
        <w:rPr>
          <w:lang w:val="en-GB"/>
        </w:rPr>
        <w:t xml:space="preserve"> sales and marketing</w:t>
      </w:r>
      <w:r w:rsidRPr="00946435">
        <w:rPr>
          <w:lang w:val="en-GB"/>
        </w:rPr>
        <w:t xml:space="preserve"> divisions</w:t>
      </w:r>
      <w:r w:rsidR="009424DA" w:rsidRPr="00946435">
        <w:rPr>
          <w:lang w:val="en-GB"/>
        </w:rPr>
        <w:t xml:space="preserve">. In 2016, </w:t>
      </w:r>
      <w:r w:rsidRPr="00946435">
        <w:rPr>
          <w:lang w:val="en-GB"/>
        </w:rPr>
        <w:t>Davies was appointed p</w:t>
      </w:r>
      <w:r w:rsidR="009424DA" w:rsidRPr="00946435">
        <w:rPr>
          <w:lang w:val="en-GB"/>
        </w:rPr>
        <w:t>resident</w:t>
      </w:r>
      <w:r w:rsidRPr="00946435">
        <w:rPr>
          <w:lang w:val="en-GB"/>
        </w:rPr>
        <w:t>. At the time</w:t>
      </w:r>
      <w:r w:rsidR="009424DA" w:rsidRPr="00946435">
        <w:rPr>
          <w:lang w:val="en-GB"/>
        </w:rPr>
        <w:t xml:space="preserve">, </w:t>
      </w:r>
      <w:r w:rsidRPr="00946435">
        <w:rPr>
          <w:lang w:val="en-GB"/>
        </w:rPr>
        <w:t>he</w:t>
      </w:r>
      <w:r w:rsidR="009424DA" w:rsidRPr="00946435">
        <w:rPr>
          <w:lang w:val="en-GB"/>
        </w:rPr>
        <w:t xml:space="preserve"> owned 60</w:t>
      </w:r>
      <w:r w:rsidRPr="00946435">
        <w:rPr>
          <w:lang w:val="en-GB"/>
        </w:rPr>
        <w:t xml:space="preserve"> per cent</w:t>
      </w:r>
      <w:r w:rsidR="009424DA" w:rsidRPr="00946435">
        <w:rPr>
          <w:lang w:val="en-GB"/>
        </w:rPr>
        <w:t xml:space="preserve"> of the brewery and </w:t>
      </w:r>
      <w:r w:rsidRPr="00946435">
        <w:rPr>
          <w:lang w:val="en-GB"/>
        </w:rPr>
        <w:t xml:space="preserve">held </w:t>
      </w:r>
      <w:r w:rsidR="009424DA" w:rsidRPr="00946435">
        <w:rPr>
          <w:lang w:val="en-GB"/>
        </w:rPr>
        <w:t>90</w:t>
      </w:r>
      <w:r w:rsidRPr="00946435">
        <w:rPr>
          <w:lang w:val="en-GB"/>
        </w:rPr>
        <w:t xml:space="preserve"> per cent</w:t>
      </w:r>
      <w:r w:rsidR="009424DA" w:rsidRPr="00946435">
        <w:rPr>
          <w:lang w:val="en-GB"/>
        </w:rPr>
        <w:t xml:space="preserve"> voting rights. The re</w:t>
      </w:r>
      <w:r w:rsidRPr="00946435">
        <w:rPr>
          <w:lang w:val="en-GB"/>
        </w:rPr>
        <w:t>maining control</w:t>
      </w:r>
      <w:r w:rsidR="009424DA" w:rsidRPr="00946435">
        <w:rPr>
          <w:lang w:val="en-GB"/>
        </w:rPr>
        <w:t xml:space="preserve"> of the company </w:t>
      </w:r>
      <w:r w:rsidRPr="00946435">
        <w:rPr>
          <w:lang w:val="en-GB"/>
        </w:rPr>
        <w:t>was spread among</w:t>
      </w:r>
      <w:r w:rsidR="009424DA" w:rsidRPr="00946435">
        <w:rPr>
          <w:lang w:val="en-GB"/>
        </w:rPr>
        <w:t xml:space="preserve"> small investors with limited voting rights.</w:t>
      </w:r>
    </w:p>
    <w:p w14:paraId="52F0E1C8" w14:textId="77777777" w:rsidR="009424DA" w:rsidRPr="0078134E" w:rsidRDefault="009424DA" w:rsidP="009424DA">
      <w:pPr>
        <w:pStyle w:val="BodyTextMain"/>
        <w:rPr>
          <w:sz w:val="14"/>
          <w:szCs w:val="14"/>
          <w:lang w:val="en-GB"/>
        </w:rPr>
      </w:pPr>
    </w:p>
    <w:p w14:paraId="7E12A0E0" w14:textId="604132F6" w:rsidR="009424DA" w:rsidRPr="00946435" w:rsidRDefault="00EA3F1A" w:rsidP="009424DA">
      <w:pPr>
        <w:pStyle w:val="BodyTextMain"/>
        <w:rPr>
          <w:lang w:val="en-GB"/>
        </w:rPr>
      </w:pPr>
      <w:r w:rsidRPr="00946435">
        <w:rPr>
          <w:lang w:val="en-GB"/>
        </w:rPr>
        <w:t>In addition to his</w:t>
      </w:r>
      <w:r w:rsidR="00FC14D5" w:rsidRPr="00946435">
        <w:rPr>
          <w:lang w:val="en-GB"/>
        </w:rPr>
        <w:t xml:space="preserve"> close</w:t>
      </w:r>
      <w:r w:rsidRPr="00946435">
        <w:rPr>
          <w:lang w:val="en-GB"/>
        </w:rPr>
        <w:t xml:space="preserve"> </w:t>
      </w:r>
      <w:r w:rsidR="00FC14D5" w:rsidRPr="00946435">
        <w:rPr>
          <w:lang w:val="en-GB"/>
        </w:rPr>
        <w:t>affinity with</w:t>
      </w:r>
      <w:r w:rsidR="009424DA" w:rsidRPr="00946435">
        <w:rPr>
          <w:lang w:val="en-GB"/>
        </w:rPr>
        <w:t xml:space="preserve"> the business, </w:t>
      </w:r>
      <w:r w:rsidR="00FC14D5" w:rsidRPr="00946435">
        <w:rPr>
          <w:lang w:val="en-GB"/>
        </w:rPr>
        <w:t xml:space="preserve">Davies </w:t>
      </w:r>
      <w:r w:rsidR="009424DA" w:rsidRPr="00946435">
        <w:rPr>
          <w:lang w:val="en-GB"/>
        </w:rPr>
        <w:t xml:space="preserve">had a passion for beer and a deep understanding of consumer choices. During his interactions with customers at </w:t>
      </w:r>
      <w:r w:rsidR="00FC14D5" w:rsidRPr="00946435">
        <w:rPr>
          <w:lang w:val="en-GB"/>
        </w:rPr>
        <w:t xml:space="preserve">the </w:t>
      </w:r>
      <w:r w:rsidR="009424DA" w:rsidRPr="00946435">
        <w:rPr>
          <w:lang w:val="en-GB"/>
        </w:rPr>
        <w:t xml:space="preserve">LCBO stores, he would often ask people why they chose a specific product. He was proud of Wellington Brewery’s award-winning beers and sought to expand people’s palette with high-quality tasting products. As the brewery expanded, Davies knew that upcoming decisions were critical. </w:t>
      </w:r>
      <w:r w:rsidR="00FC14D5" w:rsidRPr="00946435">
        <w:rPr>
          <w:lang w:val="en-GB"/>
        </w:rPr>
        <w:t>He believed that any d</w:t>
      </w:r>
      <w:r w:rsidR="009424DA" w:rsidRPr="00946435">
        <w:rPr>
          <w:lang w:val="en-GB"/>
        </w:rPr>
        <w:t>ecisions about the business strategy and long-term vision would need to respect</w:t>
      </w:r>
      <w:r w:rsidR="00FC14D5" w:rsidRPr="00946435">
        <w:rPr>
          <w:lang w:val="en-GB"/>
        </w:rPr>
        <w:t>,</w:t>
      </w:r>
      <w:r w:rsidR="009424DA" w:rsidRPr="00946435">
        <w:rPr>
          <w:lang w:val="en-GB"/>
        </w:rPr>
        <w:t xml:space="preserve"> yet help evolve</w:t>
      </w:r>
      <w:r w:rsidR="00FC14D5" w:rsidRPr="00946435">
        <w:rPr>
          <w:lang w:val="en-GB"/>
        </w:rPr>
        <w:t>,</w:t>
      </w:r>
      <w:r w:rsidR="009424DA" w:rsidRPr="00946435">
        <w:rPr>
          <w:lang w:val="en-GB"/>
        </w:rPr>
        <w:t xml:space="preserve"> the company’s culture. </w:t>
      </w:r>
    </w:p>
    <w:p w14:paraId="2BB2AECE" w14:textId="220FAD12" w:rsidR="009424DA" w:rsidRPr="0078134E" w:rsidRDefault="009424DA" w:rsidP="009424DA">
      <w:pPr>
        <w:pStyle w:val="BodyTextMain"/>
        <w:rPr>
          <w:sz w:val="14"/>
          <w:szCs w:val="14"/>
          <w:lang w:val="en-GB"/>
        </w:rPr>
      </w:pPr>
    </w:p>
    <w:p w14:paraId="4E6F50FF" w14:textId="77777777" w:rsidR="009424DA" w:rsidRPr="0078134E" w:rsidRDefault="009424DA" w:rsidP="009424DA">
      <w:pPr>
        <w:pStyle w:val="BodyTextMain"/>
        <w:rPr>
          <w:sz w:val="14"/>
          <w:szCs w:val="14"/>
          <w:lang w:val="en-GB"/>
        </w:rPr>
      </w:pPr>
    </w:p>
    <w:p w14:paraId="00E8F160" w14:textId="77777777" w:rsidR="009424DA" w:rsidRPr="00946435" w:rsidRDefault="009424DA" w:rsidP="009424DA">
      <w:pPr>
        <w:pStyle w:val="Casehead1"/>
        <w:rPr>
          <w:lang w:val="en-GB"/>
        </w:rPr>
      </w:pPr>
      <w:r w:rsidRPr="00946435">
        <w:rPr>
          <w:lang w:val="en-GB"/>
        </w:rPr>
        <w:t>COMPANY BACKGROUND</w:t>
      </w:r>
    </w:p>
    <w:p w14:paraId="0380AFDE" w14:textId="77777777" w:rsidR="009424DA" w:rsidRPr="0078134E" w:rsidRDefault="009424DA" w:rsidP="009424DA">
      <w:pPr>
        <w:pStyle w:val="BodyTextMain"/>
        <w:rPr>
          <w:sz w:val="14"/>
          <w:szCs w:val="14"/>
          <w:lang w:val="en-GB"/>
        </w:rPr>
      </w:pPr>
    </w:p>
    <w:p w14:paraId="7975DEE7" w14:textId="6578E599" w:rsidR="00A03412" w:rsidRPr="00946435" w:rsidRDefault="009424DA" w:rsidP="009424DA">
      <w:pPr>
        <w:pStyle w:val="BodyTextMain"/>
        <w:rPr>
          <w:lang w:val="en-GB"/>
        </w:rPr>
      </w:pPr>
      <w:r w:rsidRPr="00946435">
        <w:rPr>
          <w:lang w:val="en-GB"/>
        </w:rPr>
        <w:t>Wellington Brewery’s expansion in 2015</w:t>
      </w:r>
      <w:r w:rsidR="00830B61" w:rsidRPr="00946435">
        <w:rPr>
          <w:lang w:val="en-GB"/>
        </w:rPr>
        <w:t>–</w:t>
      </w:r>
      <w:r w:rsidRPr="00946435">
        <w:rPr>
          <w:lang w:val="en-GB"/>
        </w:rPr>
        <w:t xml:space="preserve">16 increased the organization’s </w:t>
      </w:r>
      <w:r w:rsidR="00830B61" w:rsidRPr="00946435">
        <w:rPr>
          <w:lang w:val="en-GB"/>
        </w:rPr>
        <w:t xml:space="preserve">annual </w:t>
      </w:r>
      <w:r w:rsidRPr="00946435">
        <w:rPr>
          <w:lang w:val="en-GB"/>
        </w:rPr>
        <w:t xml:space="preserve">brewing capacity from 24,000 hl to 80,000 hl. In addition to state-of-the-art brewing equipment upgrades, the company purchased a second building to make room for offices and inventory, a new canning line to increase efficiency, and an enterprise resource planning (ERP) system. The company also installed a complete water treatment system to improve the longevity of the equipment and to reduce water usage and waste. </w:t>
      </w:r>
    </w:p>
    <w:p w14:paraId="0F887EEE" w14:textId="77777777" w:rsidR="00A03412" w:rsidRPr="0078134E" w:rsidRDefault="00A03412" w:rsidP="009424DA">
      <w:pPr>
        <w:pStyle w:val="BodyTextMain"/>
        <w:rPr>
          <w:sz w:val="14"/>
          <w:szCs w:val="14"/>
          <w:lang w:val="en-GB"/>
        </w:rPr>
      </w:pPr>
    </w:p>
    <w:p w14:paraId="3F71DD0B" w14:textId="6FBE98A5" w:rsidR="00A03412" w:rsidRPr="00946435" w:rsidRDefault="009424DA" w:rsidP="009424DA">
      <w:pPr>
        <w:pStyle w:val="BodyTextMain"/>
        <w:rPr>
          <w:lang w:val="en-GB"/>
        </w:rPr>
      </w:pPr>
      <w:r w:rsidRPr="00946435">
        <w:rPr>
          <w:lang w:val="en-GB"/>
        </w:rPr>
        <w:t>As of 2019, the brewery employed 45 staff, including full-time and part-time positions, depending on the seasonality of the business. Wellington Brewery</w:t>
      </w:r>
      <w:r w:rsidR="00566C85" w:rsidRPr="00946435">
        <w:rPr>
          <w:lang w:val="en-GB"/>
        </w:rPr>
        <w:t>’s respect and</w:t>
      </w:r>
      <w:r w:rsidRPr="00946435">
        <w:rPr>
          <w:lang w:val="en-GB"/>
        </w:rPr>
        <w:t xml:space="preserve"> pride in </w:t>
      </w:r>
      <w:r w:rsidR="00383C8B" w:rsidRPr="00946435">
        <w:rPr>
          <w:lang w:val="en-GB"/>
        </w:rPr>
        <w:t>i</w:t>
      </w:r>
      <w:r w:rsidRPr="00946435">
        <w:rPr>
          <w:lang w:val="en-GB"/>
        </w:rPr>
        <w:t>t</w:t>
      </w:r>
      <w:r w:rsidR="00383C8B" w:rsidRPr="00946435">
        <w:rPr>
          <w:lang w:val="en-GB"/>
        </w:rPr>
        <w:t>s</w:t>
      </w:r>
      <w:r w:rsidRPr="00946435">
        <w:rPr>
          <w:lang w:val="en-GB"/>
        </w:rPr>
        <w:t xml:space="preserve"> employees </w:t>
      </w:r>
      <w:r w:rsidR="00383C8B" w:rsidRPr="00946435">
        <w:rPr>
          <w:lang w:val="en-GB"/>
        </w:rPr>
        <w:t>was reflected by the company’s</w:t>
      </w:r>
      <w:r w:rsidRPr="00946435">
        <w:rPr>
          <w:lang w:val="en-GB"/>
        </w:rPr>
        <w:t xml:space="preserve"> impressive retention rate. For example, the </w:t>
      </w:r>
      <w:r w:rsidR="00383C8B" w:rsidRPr="00946435">
        <w:rPr>
          <w:lang w:val="en-GB"/>
        </w:rPr>
        <w:t xml:space="preserve">brewery’s </w:t>
      </w:r>
      <w:r w:rsidRPr="00946435">
        <w:rPr>
          <w:lang w:val="en-GB"/>
        </w:rPr>
        <w:t>vice</w:t>
      </w:r>
      <w:r w:rsidR="00383C8B" w:rsidRPr="00946435">
        <w:rPr>
          <w:lang w:val="en-GB"/>
        </w:rPr>
        <w:t>-</w:t>
      </w:r>
      <w:r w:rsidRPr="00946435">
        <w:rPr>
          <w:lang w:val="en-GB"/>
        </w:rPr>
        <w:t>president</w:t>
      </w:r>
      <w:r w:rsidR="00383C8B" w:rsidRPr="00946435">
        <w:rPr>
          <w:lang w:val="en-GB"/>
        </w:rPr>
        <w:t>s of</w:t>
      </w:r>
      <w:r w:rsidRPr="00946435">
        <w:rPr>
          <w:lang w:val="en-GB"/>
        </w:rPr>
        <w:t xml:space="preserve"> finance, sales, and brewing had been with the company for an average of 16 years. </w:t>
      </w:r>
      <w:r w:rsidR="00A03412" w:rsidRPr="00946435">
        <w:rPr>
          <w:lang w:val="en-GB"/>
        </w:rPr>
        <w:t>Its e</w:t>
      </w:r>
      <w:r w:rsidRPr="00946435">
        <w:rPr>
          <w:lang w:val="en-GB"/>
        </w:rPr>
        <w:t>xperience</w:t>
      </w:r>
      <w:r w:rsidR="00A03412" w:rsidRPr="00946435">
        <w:rPr>
          <w:lang w:val="en-GB"/>
        </w:rPr>
        <w:t>d staff helped</w:t>
      </w:r>
      <w:r w:rsidRPr="00946435">
        <w:rPr>
          <w:lang w:val="en-GB"/>
        </w:rPr>
        <w:t xml:space="preserve"> Wellington Brewery master the challenging product submission process through the LCBO</w:t>
      </w:r>
      <w:r w:rsidR="00A03412" w:rsidRPr="00946435">
        <w:rPr>
          <w:lang w:val="en-GB"/>
        </w:rPr>
        <w:t>, as</w:t>
      </w:r>
      <w:r w:rsidRPr="00946435">
        <w:rPr>
          <w:lang w:val="en-GB"/>
        </w:rPr>
        <w:t xml:space="preserve"> Davies </w:t>
      </w:r>
      <w:r w:rsidR="00A03412" w:rsidRPr="00946435">
        <w:rPr>
          <w:lang w:val="en-GB"/>
        </w:rPr>
        <w:t>explained</w:t>
      </w:r>
      <w:r w:rsidRPr="00946435">
        <w:rPr>
          <w:lang w:val="en-GB"/>
        </w:rPr>
        <w:t xml:space="preserve">: </w:t>
      </w:r>
    </w:p>
    <w:p w14:paraId="45F27438" w14:textId="19E1C287" w:rsidR="00A03412" w:rsidRPr="00946435" w:rsidRDefault="009424DA" w:rsidP="0000179D">
      <w:pPr>
        <w:pStyle w:val="BodyTextMain"/>
        <w:ind w:left="720"/>
        <w:rPr>
          <w:lang w:val="en-GB"/>
        </w:rPr>
      </w:pPr>
      <w:r w:rsidRPr="00946435">
        <w:rPr>
          <w:lang w:val="en-GB"/>
        </w:rPr>
        <w:lastRenderedPageBreak/>
        <w:t>Because we’ve been around so long, we know the process to plan timing-wise. We got it so our last couple brands—our product launches</w:t>
      </w:r>
      <w:r w:rsidR="00A529A3" w:rsidRPr="00946435">
        <w:rPr>
          <w:lang w:val="en-GB"/>
        </w:rPr>
        <w:t>—</w:t>
      </w:r>
      <w:r w:rsidRPr="00946435">
        <w:rPr>
          <w:lang w:val="en-GB"/>
        </w:rPr>
        <w:t>we were early to market and we had things well in advance to LCBO</w:t>
      </w:r>
      <w:r w:rsidR="00A529A3" w:rsidRPr="00946435">
        <w:rPr>
          <w:lang w:val="en-GB"/>
        </w:rPr>
        <w:t>. W</w:t>
      </w:r>
      <w:r w:rsidRPr="00946435">
        <w:rPr>
          <w:lang w:val="en-GB"/>
        </w:rPr>
        <w:t>e got approvals through, and we got it out there.</w:t>
      </w:r>
    </w:p>
    <w:p w14:paraId="0F487F07" w14:textId="77777777" w:rsidR="00A03412" w:rsidRPr="00946435" w:rsidRDefault="00A03412" w:rsidP="009424DA">
      <w:pPr>
        <w:pStyle w:val="BodyTextMain"/>
        <w:rPr>
          <w:lang w:val="en-GB"/>
        </w:rPr>
      </w:pPr>
    </w:p>
    <w:p w14:paraId="1EF9398B" w14:textId="2401BA02" w:rsidR="00172550" w:rsidRPr="0078134E" w:rsidRDefault="009424DA" w:rsidP="009424DA">
      <w:pPr>
        <w:pStyle w:val="BodyTextMain"/>
        <w:rPr>
          <w:spacing w:val="-2"/>
          <w:kern w:val="22"/>
          <w:lang w:val="en-GB"/>
        </w:rPr>
      </w:pPr>
      <w:r w:rsidRPr="0078134E">
        <w:rPr>
          <w:spacing w:val="-2"/>
          <w:kern w:val="22"/>
          <w:lang w:val="en-GB"/>
        </w:rPr>
        <w:t xml:space="preserve">Long-tenured employees contributed to corporate memory, provided stability within the business, facilitated creativity, and readily provided their expertise. </w:t>
      </w:r>
      <w:r w:rsidR="00F954FA" w:rsidRPr="0078134E">
        <w:rPr>
          <w:spacing w:val="-2"/>
          <w:kern w:val="22"/>
          <w:lang w:val="en-GB"/>
        </w:rPr>
        <w:t>However</w:t>
      </w:r>
      <w:r w:rsidRPr="0078134E">
        <w:rPr>
          <w:spacing w:val="-2"/>
          <w:kern w:val="22"/>
          <w:lang w:val="en-GB"/>
        </w:rPr>
        <w:t xml:space="preserve">, Davies was aware that long-time employees </w:t>
      </w:r>
      <w:r w:rsidR="00F954FA" w:rsidRPr="0078134E">
        <w:rPr>
          <w:spacing w:val="-2"/>
          <w:kern w:val="22"/>
          <w:lang w:val="en-GB"/>
        </w:rPr>
        <w:t>could also</w:t>
      </w:r>
      <w:r w:rsidRPr="0078134E">
        <w:rPr>
          <w:spacing w:val="-2"/>
          <w:kern w:val="22"/>
          <w:lang w:val="en-GB"/>
        </w:rPr>
        <w:t xml:space="preserve"> be more resistant to change</w:t>
      </w:r>
      <w:r w:rsidR="00F954FA" w:rsidRPr="0078134E">
        <w:rPr>
          <w:spacing w:val="-2"/>
          <w:kern w:val="22"/>
          <w:lang w:val="en-GB"/>
        </w:rPr>
        <w:t xml:space="preserve"> and more heavily</w:t>
      </w:r>
      <w:r w:rsidRPr="0078134E">
        <w:rPr>
          <w:spacing w:val="-2"/>
          <w:kern w:val="22"/>
          <w:lang w:val="en-GB"/>
        </w:rPr>
        <w:t xml:space="preserve"> reli</w:t>
      </w:r>
      <w:r w:rsidR="00F954FA" w:rsidRPr="0078134E">
        <w:rPr>
          <w:spacing w:val="-2"/>
          <w:kern w:val="22"/>
          <w:lang w:val="en-GB"/>
        </w:rPr>
        <w:t>ed upon, rather than</w:t>
      </w:r>
      <w:r w:rsidRPr="0078134E">
        <w:rPr>
          <w:spacing w:val="-2"/>
          <w:kern w:val="22"/>
          <w:lang w:val="en-GB"/>
        </w:rPr>
        <w:t xml:space="preserve"> establishing </w:t>
      </w:r>
      <w:r w:rsidR="00F954FA" w:rsidRPr="0078134E">
        <w:rPr>
          <w:spacing w:val="-2"/>
          <w:kern w:val="22"/>
          <w:lang w:val="en-GB"/>
        </w:rPr>
        <w:t xml:space="preserve">more </w:t>
      </w:r>
      <w:r w:rsidRPr="0078134E">
        <w:rPr>
          <w:spacing w:val="-2"/>
          <w:kern w:val="22"/>
          <w:lang w:val="en-GB"/>
        </w:rPr>
        <w:t>automated processes.</w:t>
      </w:r>
      <w:r w:rsidR="00617300" w:rsidRPr="0078134E">
        <w:rPr>
          <w:spacing w:val="-2"/>
          <w:kern w:val="22"/>
          <w:lang w:val="en-GB"/>
        </w:rPr>
        <w:t xml:space="preserve"> </w:t>
      </w:r>
      <w:r w:rsidR="00172550" w:rsidRPr="0078134E">
        <w:rPr>
          <w:spacing w:val="-2"/>
          <w:kern w:val="22"/>
          <w:lang w:val="en-GB"/>
        </w:rPr>
        <w:t>Wellington Brewery’s</w:t>
      </w:r>
      <w:r w:rsidRPr="0078134E">
        <w:rPr>
          <w:spacing w:val="-2"/>
          <w:kern w:val="22"/>
          <w:lang w:val="en-GB"/>
        </w:rPr>
        <w:t xml:space="preserve"> top management team described the company culture as “very family and community-oriented.” This type of culture worked well as long as </w:t>
      </w:r>
      <w:r w:rsidR="00172550" w:rsidRPr="0078134E">
        <w:rPr>
          <w:spacing w:val="-2"/>
          <w:kern w:val="22"/>
          <w:lang w:val="en-GB"/>
        </w:rPr>
        <w:t>the company remained</w:t>
      </w:r>
      <w:r w:rsidRPr="0078134E">
        <w:rPr>
          <w:spacing w:val="-2"/>
          <w:kern w:val="22"/>
          <w:lang w:val="en-GB"/>
        </w:rPr>
        <w:t xml:space="preserve"> relatively small. However, </w:t>
      </w:r>
      <w:r w:rsidR="00172550" w:rsidRPr="0078134E">
        <w:rPr>
          <w:spacing w:val="-2"/>
          <w:kern w:val="22"/>
          <w:lang w:val="en-GB"/>
        </w:rPr>
        <w:t>with</w:t>
      </w:r>
      <w:r w:rsidRPr="0078134E">
        <w:rPr>
          <w:spacing w:val="-2"/>
          <w:kern w:val="22"/>
          <w:lang w:val="en-GB"/>
        </w:rPr>
        <w:t xml:space="preserve"> the expansion </w:t>
      </w:r>
      <w:r w:rsidR="00172550" w:rsidRPr="0078134E">
        <w:rPr>
          <w:spacing w:val="-2"/>
          <w:kern w:val="22"/>
          <w:lang w:val="en-GB"/>
        </w:rPr>
        <w:t xml:space="preserve">of the brewery </w:t>
      </w:r>
      <w:r w:rsidRPr="0078134E">
        <w:rPr>
          <w:spacing w:val="-2"/>
          <w:kern w:val="22"/>
          <w:lang w:val="en-GB"/>
        </w:rPr>
        <w:t>and additional staff</w:t>
      </w:r>
      <w:r w:rsidR="00172550" w:rsidRPr="0078134E">
        <w:rPr>
          <w:spacing w:val="-2"/>
          <w:kern w:val="22"/>
          <w:lang w:val="en-GB"/>
        </w:rPr>
        <w:t xml:space="preserve"> added to the team</w:t>
      </w:r>
      <w:r w:rsidRPr="0078134E">
        <w:rPr>
          <w:spacing w:val="-2"/>
          <w:kern w:val="22"/>
          <w:lang w:val="en-GB"/>
        </w:rPr>
        <w:t xml:space="preserve">, Davies acknowledged the need for a more balanced approach between focusing on maintaining a </w:t>
      </w:r>
      <w:r w:rsidR="00172550" w:rsidRPr="0078134E">
        <w:rPr>
          <w:spacing w:val="-2"/>
          <w:kern w:val="22"/>
          <w:lang w:val="en-GB"/>
        </w:rPr>
        <w:t>“</w:t>
      </w:r>
      <w:r w:rsidRPr="0078134E">
        <w:rPr>
          <w:spacing w:val="-2"/>
          <w:kern w:val="22"/>
          <w:lang w:val="en-GB"/>
        </w:rPr>
        <w:t>family</w:t>
      </w:r>
      <w:r w:rsidR="00172550" w:rsidRPr="0078134E">
        <w:rPr>
          <w:spacing w:val="-2"/>
          <w:kern w:val="22"/>
          <w:lang w:val="en-GB"/>
        </w:rPr>
        <w:t>”</w:t>
      </w:r>
      <w:r w:rsidRPr="0078134E">
        <w:rPr>
          <w:spacing w:val="-2"/>
          <w:kern w:val="22"/>
          <w:lang w:val="en-GB"/>
        </w:rPr>
        <w:t xml:space="preserve"> feel and integrating more structured roles into the business. </w:t>
      </w:r>
      <w:r w:rsidR="00172550" w:rsidRPr="0078134E">
        <w:rPr>
          <w:spacing w:val="-2"/>
          <w:kern w:val="22"/>
          <w:lang w:val="en-GB"/>
        </w:rPr>
        <w:t xml:space="preserve">Davies noted that </w:t>
      </w:r>
      <w:r w:rsidRPr="0078134E">
        <w:rPr>
          <w:spacing w:val="-2"/>
          <w:kern w:val="22"/>
          <w:lang w:val="en-GB"/>
        </w:rPr>
        <w:t>“when you’re small, everybody’s doing everything. But now, the thing is, you can’t. You can’t do everything. You can’t have those pressures all the time</w:t>
      </w:r>
      <w:r w:rsidR="00172550" w:rsidRPr="0078134E">
        <w:rPr>
          <w:spacing w:val="-2"/>
          <w:kern w:val="22"/>
          <w:lang w:val="en-GB"/>
        </w:rPr>
        <w:t>.</w:t>
      </w:r>
      <w:r w:rsidRPr="0078134E">
        <w:rPr>
          <w:spacing w:val="-2"/>
          <w:kern w:val="22"/>
          <w:lang w:val="en-GB"/>
        </w:rPr>
        <w:t>”</w:t>
      </w:r>
    </w:p>
    <w:p w14:paraId="4B858797" w14:textId="77777777" w:rsidR="00172550" w:rsidRPr="00946435" w:rsidRDefault="00172550" w:rsidP="009424DA">
      <w:pPr>
        <w:pStyle w:val="BodyTextMain"/>
        <w:rPr>
          <w:lang w:val="en-GB"/>
        </w:rPr>
      </w:pPr>
    </w:p>
    <w:p w14:paraId="6AFE1C66" w14:textId="0A6ED613" w:rsidR="009424DA" w:rsidRPr="00946435" w:rsidRDefault="00617300" w:rsidP="009424DA">
      <w:pPr>
        <w:pStyle w:val="BodyTextMain"/>
        <w:rPr>
          <w:lang w:val="en-GB"/>
        </w:rPr>
      </w:pPr>
      <w:r w:rsidRPr="00946435">
        <w:rPr>
          <w:lang w:val="en-GB"/>
        </w:rPr>
        <w:t>Some m</w:t>
      </w:r>
      <w:r w:rsidR="009424DA" w:rsidRPr="00946435">
        <w:rPr>
          <w:lang w:val="en-GB"/>
        </w:rPr>
        <w:t xml:space="preserve">embers of the top management team were responsible for multiple managerial roles, which </w:t>
      </w:r>
      <w:r w:rsidR="00932C76" w:rsidRPr="00946435">
        <w:rPr>
          <w:lang w:val="en-GB"/>
        </w:rPr>
        <w:t>reduced</w:t>
      </w:r>
      <w:r w:rsidR="009424DA" w:rsidRPr="00946435">
        <w:rPr>
          <w:lang w:val="en-GB"/>
        </w:rPr>
        <w:t xml:space="preserve"> their ability to take on additional tasks or projects. </w:t>
      </w:r>
      <w:r w:rsidR="00172550" w:rsidRPr="00946435">
        <w:rPr>
          <w:lang w:val="en-GB"/>
        </w:rPr>
        <w:t>T</w:t>
      </w:r>
      <w:r w:rsidR="009424DA" w:rsidRPr="00946435">
        <w:rPr>
          <w:lang w:val="en-GB"/>
        </w:rPr>
        <w:t xml:space="preserve">he brewery </w:t>
      </w:r>
      <w:r w:rsidR="00172550" w:rsidRPr="00946435">
        <w:rPr>
          <w:lang w:val="en-GB"/>
        </w:rPr>
        <w:t>ha</w:t>
      </w:r>
      <w:r w:rsidR="009424DA" w:rsidRPr="00946435">
        <w:rPr>
          <w:lang w:val="en-GB"/>
        </w:rPr>
        <w:t xml:space="preserve">d to start implementing its new inventory management system, </w:t>
      </w:r>
      <w:r w:rsidR="00172550" w:rsidRPr="00946435">
        <w:rPr>
          <w:lang w:val="en-GB"/>
        </w:rPr>
        <w:t xml:space="preserve">but </w:t>
      </w:r>
      <w:r w:rsidR="00932C76" w:rsidRPr="00946435">
        <w:rPr>
          <w:lang w:val="en-GB"/>
        </w:rPr>
        <w:t>it was difficult to</w:t>
      </w:r>
      <w:r w:rsidR="009424DA" w:rsidRPr="00946435">
        <w:rPr>
          <w:lang w:val="en-GB"/>
        </w:rPr>
        <w:t xml:space="preserve"> find the right </w:t>
      </w:r>
      <w:r w:rsidR="00172550" w:rsidRPr="00946435">
        <w:rPr>
          <w:lang w:val="en-GB"/>
        </w:rPr>
        <w:t xml:space="preserve">time and </w:t>
      </w:r>
      <w:r w:rsidR="00932C76" w:rsidRPr="00946435">
        <w:rPr>
          <w:lang w:val="en-GB"/>
        </w:rPr>
        <w:t xml:space="preserve">the right </w:t>
      </w:r>
      <w:r w:rsidR="009424DA" w:rsidRPr="00946435">
        <w:rPr>
          <w:lang w:val="en-GB"/>
        </w:rPr>
        <w:t>person</w:t>
      </w:r>
      <w:r w:rsidRPr="00946435">
        <w:rPr>
          <w:lang w:val="en-GB"/>
        </w:rPr>
        <w:t xml:space="preserve"> to</w:t>
      </w:r>
      <w:r w:rsidR="009424DA" w:rsidRPr="00946435">
        <w:rPr>
          <w:lang w:val="en-GB"/>
        </w:rPr>
        <w:t xml:space="preserve"> manage the project</w:t>
      </w:r>
      <w:r w:rsidRPr="00946435">
        <w:rPr>
          <w:lang w:val="en-GB"/>
        </w:rPr>
        <w:t xml:space="preserve">, </w:t>
      </w:r>
      <w:r w:rsidR="00932C76" w:rsidRPr="00946435">
        <w:rPr>
          <w:lang w:val="en-GB"/>
        </w:rPr>
        <w:t xml:space="preserve">which incurred delays. That person would likely to be selected </w:t>
      </w:r>
      <w:r w:rsidRPr="00946435">
        <w:rPr>
          <w:lang w:val="en-GB"/>
        </w:rPr>
        <w:t xml:space="preserve">from among </w:t>
      </w:r>
      <w:r w:rsidR="009424DA" w:rsidRPr="00946435">
        <w:rPr>
          <w:lang w:val="en-GB"/>
        </w:rPr>
        <w:t xml:space="preserve">the busiest people in the company. </w:t>
      </w:r>
      <w:r w:rsidRPr="00946435">
        <w:rPr>
          <w:lang w:val="en-GB"/>
        </w:rPr>
        <w:t>S</w:t>
      </w:r>
      <w:r w:rsidR="009424DA" w:rsidRPr="00946435">
        <w:rPr>
          <w:lang w:val="en-GB"/>
        </w:rPr>
        <w:t xml:space="preserve">tress and confusion </w:t>
      </w:r>
      <w:r w:rsidRPr="00946435">
        <w:rPr>
          <w:lang w:val="en-GB"/>
        </w:rPr>
        <w:t>arose in</w:t>
      </w:r>
      <w:r w:rsidR="009424DA" w:rsidRPr="00946435">
        <w:rPr>
          <w:lang w:val="en-GB"/>
        </w:rPr>
        <w:t xml:space="preserve"> reporting lines </w:t>
      </w:r>
      <w:r w:rsidRPr="00946435">
        <w:rPr>
          <w:lang w:val="en-GB"/>
        </w:rPr>
        <w:t>due to</w:t>
      </w:r>
      <w:r w:rsidR="009424DA" w:rsidRPr="00946435">
        <w:rPr>
          <w:lang w:val="en-GB"/>
        </w:rPr>
        <w:t xml:space="preserve"> multiple roles held by some employees. Davies felt that a revised organizational structure </w:t>
      </w:r>
      <w:r w:rsidRPr="00946435">
        <w:rPr>
          <w:lang w:val="en-GB"/>
        </w:rPr>
        <w:t xml:space="preserve">was needed </w:t>
      </w:r>
      <w:r w:rsidR="009424DA" w:rsidRPr="00946435">
        <w:rPr>
          <w:lang w:val="en-GB"/>
        </w:rPr>
        <w:t>to support growth plans</w:t>
      </w:r>
      <w:r w:rsidRPr="00946435">
        <w:rPr>
          <w:lang w:val="en-GB"/>
        </w:rPr>
        <w:t>,</w:t>
      </w:r>
      <w:r w:rsidR="009424DA" w:rsidRPr="00946435">
        <w:rPr>
          <w:lang w:val="en-GB"/>
        </w:rPr>
        <w:t xml:space="preserve"> formalize processes</w:t>
      </w:r>
      <w:r w:rsidRPr="00946435">
        <w:rPr>
          <w:lang w:val="en-GB"/>
        </w:rPr>
        <w:t>,</w:t>
      </w:r>
      <w:r w:rsidR="009424DA" w:rsidRPr="00946435">
        <w:rPr>
          <w:lang w:val="en-GB"/>
        </w:rPr>
        <w:t xml:space="preserve"> clarify roles</w:t>
      </w:r>
      <w:r w:rsidRPr="00946435">
        <w:rPr>
          <w:lang w:val="en-GB"/>
        </w:rPr>
        <w:t xml:space="preserve"> and</w:t>
      </w:r>
      <w:r w:rsidR="009424DA" w:rsidRPr="00946435">
        <w:rPr>
          <w:lang w:val="en-GB"/>
        </w:rPr>
        <w:t xml:space="preserve"> responsibilities, and reduce employee workload. </w:t>
      </w:r>
    </w:p>
    <w:p w14:paraId="31945D5B" w14:textId="1F832F17" w:rsidR="009424DA" w:rsidRPr="00946435" w:rsidRDefault="009424DA" w:rsidP="009424DA">
      <w:pPr>
        <w:pStyle w:val="BodyTextMain"/>
        <w:rPr>
          <w:lang w:val="en-GB"/>
        </w:rPr>
      </w:pPr>
    </w:p>
    <w:p w14:paraId="06B240C7" w14:textId="77777777" w:rsidR="009424DA" w:rsidRPr="00946435" w:rsidRDefault="009424DA" w:rsidP="009424DA">
      <w:pPr>
        <w:pStyle w:val="BodyTextMain"/>
        <w:rPr>
          <w:lang w:val="en-GB"/>
        </w:rPr>
      </w:pPr>
    </w:p>
    <w:p w14:paraId="23CE3FE8" w14:textId="77777777" w:rsidR="009424DA" w:rsidRPr="00946435" w:rsidRDefault="009424DA" w:rsidP="009424DA">
      <w:pPr>
        <w:pStyle w:val="Casehead1"/>
        <w:rPr>
          <w:lang w:val="en-GB"/>
        </w:rPr>
      </w:pPr>
      <w:r w:rsidRPr="00946435">
        <w:rPr>
          <w:lang w:val="en-GB"/>
        </w:rPr>
        <w:t>COMMUNITY</w:t>
      </w:r>
    </w:p>
    <w:p w14:paraId="3A766493" w14:textId="77777777" w:rsidR="009424DA" w:rsidRPr="00946435" w:rsidRDefault="009424DA" w:rsidP="009424DA">
      <w:pPr>
        <w:pStyle w:val="BodyTextMain"/>
        <w:rPr>
          <w:lang w:val="en-GB"/>
        </w:rPr>
      </w:pPr>
    </w:p>
    <w:p w14:paraId="6AFD2534" w14:textId="1A2872D1" w:rsidR="009424DA" w:rsidRPr="00946435" w:rsidRDefault="009424DA" w:rsidP="009424DA">
      <w:pPr>
        <w:pStyle w:val="BodyTextMain"/>
        <w:rPr>
          <w:lang w:val="en-GB"/>
        </w:rPr>
      </w:pPr>
      <w:r w:rsidRPr="00946435">
        <w:rPr>
          <w:lang w:val="en-GB"/>
        </w:rPr>
        <w:t xml:space="preserve">The community was a crucial element </w:t>
      </w:r>
      <w:r w:rsidR="00B61F7C" w:rsidRPr="00946435">
        <w:rPr>
          <w:lang w:val="en-GB"/>
        </w:rPr>
        <w:t>of</w:t>
      </w:r>
      <w:r w:rsidRPr="00946435">
        <w:rPr>
          <w:lang w:val="en-GB"/>
        </w:rPr>
        <w:t xml:space="preserve"> </w:t>
      </w:r>
      <w:r w:rsidR="00B61F7C" w:rsidRPr="00946435">
        <w:rPr>
          <w:lang w:val="en-GB"/>
        </w:rPr>
        <w:t xml:space="preserve">the </w:t>
      </w:r>
      <w:r w:rsidRPr="00946435">
        <w:rPr>
          <w:lang w:val="en-GB"/>
        </w:rPr>
        <w:t>craft brewing</w:t>
      </w:r>
      <w:r w:rsidR="00B61F7C" w:rsidRPr="00946435">
        <w:rPr>
          <w:lang w:val="en-GB"/>
        </w:rPr>
        <w:t xml:space="preserve"> industry</w:t>
      </w:r>
      <w:r w:rsidRPr="00946435">
        <w:rPr>
          <w:lang w:val="en-GB"/>
        </w:rPr>
        <w:t>. Craft beers were locally handcrafted</w:t>
      </w:r>
      <w:r w:rsidR="002C01F9">
        <w:rPr>
          <w:lang w:val="en-GB"/>
        </w:rPr>
        <w:t>,</w:t>
      </w:r>
      <w:r w:rsidRPr="00946435">
        <w:rPr>
          <w:lang w:val="en-GB"/>
        </w:rPr>
        <w:t xml:space="preserve"> authentic products. Wellington Brewery maintained its connection to the community through engagements </w:t>
      </w:r>
      <w:r w:rsidR="00B61F7C" w:rsidRPr="00946435">
        <w:rPr>
          <w:lang w:val="en-GB"/>
        </w:rPr>
        <w:t>in</w:t>
      </w:r>
      <w:r w:rsidRPr="00946435">
        <w:rPr>
          <w:lang w:val="en-GB"/>
        </w:rPr>
        <w:t xml:space="preserve"> local events, charitable work, </w:t>
      </w:r>
      <w:r w:rsidR="00B61F7C" w:rsidRPr="00946435">
        <w:rPr>
          <w:lang w:val="en-GB"/>
        </w:rPr>
        <w:t xml:space="preserve">and </w:t>
      </w:r>
      <w:r w:rsidRPr="00946435">
        <w:rPr>
          <w:lang w:val="en-GB"/>
        </w:rPr>
        <w:t>donations to local causes. Davies</w:t>
      </w:r>
      <w:r w:rsidR="00B61F7C" w:rsidRPr="00946435">
        <w:rPr>
          <w:lang w:val="en-GB"/>
        </w:rPr>
        <w:t xml:space="preserve"> felt that</w:t>
      </w:r>
      <w:r w:rsidRPr="00946435">
        <w:rPr>
          <w:lang w:val="en-GB"/>
        </w:rPr>
        <w:t xml:space="preserve"> “those decisions kind of become stand-in for a lot of things I think are really important, and in broader relationship building.” Some initiatives included collaborations with local organizations</w:t>
      </w:r>
      <w:r w:rsidR="00520A4C" w:rsidRPr="00946435">
        <w:rPr>
          <w:lang w:val="en-GB"/>
        </w:rPr>
        <w:t xml:space="preserve">, such </w:t>
      </w:r>
      <w:r w:rsidRPr="00946435">
        <w:rPr>
          <w:lang w:val="en-GB"/>
        </w:rPr>
        <w:t>as donat</w:t>
      </w:r>
      <w:r w:rsidR="00520A4C" w:rsidRPr="00946435">
        <w:rPr>
          <w:lang w:val="en-GB"/>
        </w:rPr>
        <w:t>ions</w:t>
      </w:r>
      <w:r w:rsidRPr="00946435">
        <w:rPr>
          <w:lang w:val="en-GB"/>
        </w:rPr>
        <w:t xml:space="preserve"> to Pride support groups</w:t>
      </w:r>
      <w:r w:rsidR="00520A4C" w:rsidRPr="00946435">
        <w:rPr>
          <w:lang w:val="en-GB"/>
        </w:rPr>
        <w:t xml:space="preserve"> based on the sale of a specific beer brand or</w:t>
      </w:r>
      <w:r w:rsidRPr="00946435">
        <w:rPr>
          <w:lang w:val="en-GB"/>
        </w:rPr>
        <w:t xml:space="preserve"> hiring local artists to design beer coasters. </w:t>
      </w:r>
      <w:r w:rsidR="00520A4C" w:rsidRPr="00946435">
        <w:rPr>
          <w:lang w:val="en-GB"/>
        </w:rPr>
        <w:t>Despite its goal to</w:t>
      </w:r>
      <w:r w:rsidRPr="00946435">
        <w:rPr>
          <w:lang w:val="en-GB"/>
        </w:rPr>
        <w:t xml:space="preserve"> expan</w:t>
      </w:r>
      <w:r w:rsidR="00520A4C" w:rsidRPr="00946435">
        <w:rPr>
          <w:lang w:val="en-GB"/>
        </w:rPr>
        <w:t>d across the entire province</w:t>
      </w:r>
      <w:r w:rsidRPr="00946435">
        <w:rPr>
          <w:lang w:val="en-GB"/>
        </w:rPr>
        <w:t xml:space="preserve">, </w:t>
      </w:r>
      <w:r w:rsidR="00520A4C" w:rsidRPr="00946435">
        <w:rPr>
          <w:lang w:val="en-GB"/>
        </w:rPr>
        <w:t>Wellington Brewery was eager to retain</w:t>
      </w:r>
      <w:r w:rsidRPr="00946435">
        <w:rPr>
          <w:lang w:val="en-GB"/>
        </w:rPr>
        <w:t xml:space="preserve"> the local brand feel and connections </w:t>
      </w:r>
      <w:r w:rsidR="00520A4C" w:rsidRPr="00946435">
        <w:rPr>
          <w:lang w:val="en-GB"/>
        </w:rPr>
        <w:t xml:space="preserve">it had established </w:t>
      </w:r>
      <w:r w:rsidRPr="00946435">
        <w:rPr>
          <w:lang w:val="en-GB"/>
        </w:rPr>
        <w:t>with</w:t>
      </w:r>
      <w:r w:rsidR="00520A4C" w:rsidRPr="00946435">
        <w:rPr>
          <w:lang w:val="en-GB"/>
        </w:rPr>
        <w:t>in its</w:t>
      </w:r>
      <w:r w:rsidRPr="00946435">
        <w:rPr>
          <w:lang w:val="en-GB"/>
        </w:rPr>
        <w:t xml:space="preserve"> community. </w:t>
      </w:r>
    </w:p>
    <w:p w14:paraId="0C8938E0" w14:textId="77777777" w:rsidR="009424DA" w:rsidRPr="00946435" w:rsidRDefault="009424DA" w:rsidP="009424DA">
      <w:pPr>
        <w:pStyle w:val="BodyTextMain"/>
        <w:rPr>
          <w:lang w:val="en-GB"/>
        </w:rPr>
      </w:pPr>
    </w:p>
    <w:p w14:paraId="7A644E78" w14:textId="32F6AA76" w:rsidR="004451A8" w:rsidRPr="00946435" w:rsidRDefault="009424DA" w:rsidP="005C47F1">
      <w:pPr>
        <w:pStyle w:val="BodyTextMain"/>
        <w:rPr>
          <w:lang w:val="en-GB"/>
        </w:rPr>
      </w:pPr>
      <w:r w:rsidRPr="00946435">
        <w:rPr>
          <w:lang w:val="en-GB"/>
        </w:rPr>
        <w:t xml:space="preserve">A craft brewery’s community was dependent on location, size, and strategy. Some regions and communities were more receptive </w:t>
      </w:r>
      <w:r w:rsidR="004451A8" w:rsidRPr="00946435">
        <w:rPr>
          <w:lang w:val="en-GB"/>
        </w:rPr>
        <w:t xml:space="preserve">than others </w:t>
      </w:r>
      <w:r w:rsidRPr="00946435">
        <w:rPr>
          <w:lang w:val="en-GB"/>
        </w:rPr>
        <w:t xml:space="preserve">to craft </w:t>
      </w:r>
      <w:r w:rsidR="00520A4C" w:rsidRPr="00946435">
        <w:rPr>
          <w:lang w:val="en-GB"/>
        </w:rPr>
        <w:t>beer</w:t>
      </w:r>
      <w:r w:rsidRPr="00946435">
        <w:rPr>
          <w:lang w:val="en-GB"/>
        </w:rPr>
        <w:t xml:space="preserve">. </w:t>
      </w:r>
      <w:r w:rsidR="004451A8" w:rsidRPr="00946435">
        <w:rPr>
          <w:lang w:val="en-GB"/>
        </w:rPr>
        <w:t>In fact, t</w:t>
      </w:r>
      <w:r w:rsidRPr="00946435">
        <w:rPr>
          <w:lang w:val="en-GB"/>
        </w:rPr>
        <w:t xml:space="preserve">he </w:t>
      </w:r>
      <w:r w:rsidR="004451A8" w:rsidRPr="00946435">
        <w:rPr>
          <w:lang w:val="en-GB"/>
        </w:rPr>
        <w:t xml:space="preserve">number of </w:t>
      </w:r>
      <w:r w:rsidRPr="00946435">
        <w:rPr>
          <w:lang w:val="en-GB"/>
        </w:rPr>
        <w:t>Canadian beer drinkers that consumed craft products range</w:t>
      </w:r>
      <w:r w:rsidR="004451A8" w:rsidRPr="00946435">
        <w:rPr>
          <w:lang w:val="en-GB"/>
        </w:rPr>
        <w:t>d widely from</w:t>
      </w:r>
      <w:r w:rsidRPr="00946435">
        <w:rPr>
          <w:lang w:val="en-GB"/>
        </w:rPr>
        <w:t xml:space="preserve"> 26</w:t>
      </w:r>
      <w:r w:rsidR="004451A8" w:rsidRPr="00946435">
        <w:rPr>
          <w:lang w:val="en-GB"/>
        </w:rPr>
        <w:t xml:space="preserve"> per cent to </w:t>
      </w:r>
      <w:r w:rsidRPr="00946435">
        <w:rPr>
          <w:lang w:val="en-GB"/>
        </w:rPr>
        <w:t>50</w:t>
      </w:r>
      <w:r w:rsidR="00520A4C" w:rsidRPr="00946435">
        <w:rPr>
          <w:lang w:val="en-GB"/>
        </w:rPr>
        <w:t xml:space="preserve"> per cent</w:t>
      </w:r>
      <w:r w:rsidR="004451A8" w:rsidRPr="00946435">
        <w:rPr>
          <w:lang w:val="en-GB"/>
        </w:rPr>
        <w:t xml:space="preserve"> of the population</w:t>
      </w:r>
      <w:r w:rsidRPr="00946435">
        <w:rPr>
          <w:lang w:val="en-GB"/>
        </w:rPr>
        <w:t>, depending on the geographical location.</w:t>
      </w:r>
      <w:r w:rsidRPr="00946435">
        <w:rPr>
          <w:rStyle w:val="EndnoteReference"/>
          <w:lang w:val="en-GB"/>
        </w:rPr>
        <w:endnoteReference w:id="25"/>
      </w:r>
      <w:r w:rsidRPr="00946435">
        <w:rPr>
          <w:lang w:val="en-GB"/>
        </w:rPr>
        <w:t xml:space="preserve"> </w:t>
      </w:r>
      <w:r w:rsidR="00520A4C" w:rsidRPr="00946435">
        <w:rPr>
          <w:lang w:val="en-GB"/>
        </w:rPr>
        <w:t>Therefore</w:t>
      </w:r>
      <w:r w:rsidRPr="00946435">
        <w:rPr>
          <w:lang w:val="en-GB"/>
        </w:rPr>
        <w:t>, craft brewer</w:t>
      </w:r>
      <w:r w:rsidR="00520A4C" w:rsidRPr="00946435">
        <w:rPr>
          <w:lang w:val="en-GB"/>
        </w:rPr>
        <w:t>ies</w:t>
      </w:r>
      <w:r w:rsidRPr="00946435">
        <w:rPr>
          <w:lang w:val="en-GB"/>
        </w:rPr>
        <w:t xml:space="preserve"> </w:t>
      </w:r>
      <w:r w:rsidR="00A64329">
        <w:rPr>
          <w:lang w:val="en-GB"/>
        </w:rPr>
        <w:t>needed</w:t>
      </w:r>
      <w:r w:rsidR="00A64329" w:rsidRPr="00946435">
        <w:rPr>
          <w:lang w:val="en-GB"/>
        </w:rPr>
        <w:t xml:space="preserve"> </w:t>
      </w:r>
      <w:r w:rsidRPr="00946435">
        <w:rPr>
          <w:lang w:val="en-GB"/>
        </w:rPr>
        <w:t>to de</w:t>
      </w:r>
      <w:r w:rsidR="00520A4C" w:rsidRPr="00946435">
        <w:rPr>
          <w:lang w:val="en-GB"/>
        </w:rPr>
        <w:t>cide</w:t>
      </w:r>
      <w:r w:rsidRPr="00946435">
        <w:rPr>
          <w:lang w:val="en-GB"/>
        </w:rPr>
        <w:t xml:space="preserve"> whether </w:t>
      </w:r>
      <w:r w:rsidR="00F95628">
        <w:rPr>
          <w:lang w:val="en-GB"/>
        </w:rPr>
        <w:t>to</w:t>
      </w:r>
      <w:r w:rsidRPr="00946435">
        <w:rPr>
          <w:lang w:val="en-GB"/>
        </w:rPr>
        <w:t xml:space="preserve"> focus </w:t>
      </w:r>
      <w:r w:rsidR="00520A4C" w:rsidRPr="00946435">
        <w:rPr>
          <w:lang w:val="en-GB"/>
        </w:rPr>
        <w:t xml:space="preserve">their efforts </w:t>
      </w:r>
      <w:r w:rsidRPr="00946435">
        <w:rPr>
          <w:lang w:val="en-GB"/>
        </w:rPr>
        <w:t>on competi</w:t>
      </w:r>
      <w:r w:rsidR="00520A4C" w:rsidRPr="00946435">
        <w:rPr>
          <w:lang w:val="en-GB"/>
        </w:rPr>
        <w:t>ng in a</w:t>
      </w:r>
      <w:r w:rsidRPr="00946435">
        <w:rPr>
          <w:lang w:val="en-GB"/>
        </w:rPr>
        <w:t xml:space="preserve"> </w:t>
      </w:r>
      <w:r w:rsidR="00101088" w:rsidRPr="00946435">
        <w:rPr>
          <w:lang w:val="en-GB"/>
        </w:rPr>
        <w:t xml:space="preserve">popular </w:t>
      </w:r>
      <w:r w:rsidRPr="00946435">
        <w:rPr>
          <w:lang w:val="en-GB"/>
        </w:rPr>
        <w:t>craft</w:t>
      </w:r>
      <w:r w:rsidR="00520A4C" w:rsidRPr="00946435">
        <w:rPr>
          <w:lang w:val="en-GB"/>
        </w:rPr>
        <w:t xml:space="preserve"> beer</w:t>
      </w:r>
      <w:r w:rsidRPr="00946435">
        <w:rPr>
          <w:lang w:val="en-GB"/>
        </w:rPr>
        <w:t xml:space="preserve"> market or </w:t>
      </w:r>
      <w:r w:rsidR="004451A8" w:rsidRPr="00946435">
        <w:rPr>
          <w:lang w:val="en-GB"/>
        </w:rPr>
        <w:t xml:space="preserve">instead </w:t>
      </w:r>
      <w:r w:rsidRPr="00946435">
        <w:rPr>
          <w:lang w:val="en-GB"/>
        </w:rPr>
        <w:t xml:space="preserve">tap into </w:t>
      </w:r>
      <w:r w:rsidR="00101088" w:rsidRPr="00946435">
        <w:rPr>
          <w:lang w:val="en-GB"/>
        </w:rPr>
        <w:t xml:space="preserve">a </w:t>
      </w:r>
      <w:r w:rsidRPr="00946435">
        <w:rPr>
          <w:lang w:val="en-GB"/>
        </w:rPr>
        <w:t>smaller</w:t>
      </w:r>
      <w:r w:rsidR="00101088" w:rsidRPr="00946435">
        <w:rPr>
          <w:lang w:val="en-GB"/>
        </w:rPr>
        <w:t xml:space="preserve"> </w:t>
      </w:r>
      <w:r w:rsidRPr="00946435">
        <w:rPr>
          <w:lang w:val="en-GB"/>
        </w:rPr>
        <w:t>market</w:t>
      </w:r>
      <w:r w:rsidR="00101088" w:rsidRPr="00946435">
        <w:rPr>
          <w:lang w:val="en-GB"/>
        </w:rPr>
        <w:t xml:space="preserve"> and build up the brand by</w:t>
      </w:r>
      <w:r w:rsidRPr="00946435">
        <w:rPr>
          <w:lang w:val="en-GB"/>
        </w:rPr>
        <w:t xml:space="preserve"> educat</w:t>
      </w:r>
      <w:r w:rsidR="00101088" w:rsidRPr="00946435">
        <w:rPr>
          <w:lang w:val="en-GB"/>
        </w:rPr>
        <w:t>ing</w:t>
      </w:r>
      <w:r w:rsidRPr="00946435">
        <w:rPr>
          <w:lang w:val="en-GB"/>
        </w:rPr>
        <w:t xml:space="preserve"> </w:t>
      </w:r>
      <w:r w:rsidR="00101088" w:rsidRPr="00946435">
        <w:rPr>
          <w:lang w:val="en-GB"/>
        </w:rPr>
        <w:t xml:space="preserve">new </w:t>
      </w:r>
      <w:r w:rsidRPr="00946435">
        <w:rPr>
          <w:lang w:val="en-GB"/>
        </w:rPr>
        <w:t xml:space="preserve">craft </w:t>
      </w:r>
      <w:r w:rsidR="00101088" w:rsidRPr="00946435">
        <w:rPr>
          <w:lang w:val="en-GB"/>
        </w:rPr>
        <w:t xml:space="preserve">beer </w:t>
      </w:r>
      <w:r w:rsidRPr="00946435">
        <w:rPr>
          <w:lang w:val="en-GB"/>
        </w:rPr>
        <w:t>consumer</w:t>
      </w:r>
      <w:r w:rsidR="00101088" w:rsidRPr="00946435">
        <w:rPr>
          <w:lang w:val="en-GB"/>
        </w:rPr>
        <w:t>s</w:t>
      </w:r>
      <w:r w:rsidRPr="00946435">
        <w:rPr>
          <w:lang w:val="en-GB"/>
        </w:rPr>
        <w:t xml:space="preserve">. In </w:t>
      </w:r>
      <w:r w:rsidR="00101088" w:rsidRPr="00946435">
        <w:rPr>
          <w:lang w:val="en-GB"/>
        </w:rPr>
        <w:t xml:space="preserve">Ontario’s </w:t>
      </w:r>
      <w:r w:rsidRPr="00946435">
        <w:rPr>
          <w:lang w:val="en-GB"/>
        </w:rPr>
        <w:t xml:space="preserve">highly competitive Toronto market, </w:t>
      </w:r>
      <w:r w:rsidR="00101088" w:rsidRPr="00946435">
        <w:rPr>
          <w:lang w:val="en-GB"/>
        </w:rPr>
        <w:t xml:space="preserve">for example, </w:t>
      </w:r>
      <w:r w:rsidRPr="00946435">
        <w:rPr>
          <w:lang w:val="en-GB"/>
        </w:rPr>
        <w:t xml:space="preserve">a craft brewery’s community could </w:t>
      </w:r>
      <w:r w:rsidR="00101088" w:rsidRPr="00946435">
        <w:rPr>
          <w:lang w:val="en-GB"/>
        </w:rPr>
        <w:t>vary from</w:t>
      </w:r>
      <w:r w:rsidRPr="00946435">
        <w:rPr>
          <w:lang w:val="en-GB"/>
        </w:rPr>
        <w:t xml:space="preserve"> the </w:t>
      </w:r>
      <w:r w:rsidR="00101088" w:rsidRPr="00946435">
        <w:rPr>
          <w:lang w:val="en-GB"/>
        </w:rPr>
        <w:t xml:space="preserve">entire </w:t>
      </w:r>
      <w:r w:rsidRPr="00946435">
        <w:rPr>
          <w:lang w:val="en-GB"/>
        </w:rPr>
        <w:t xml:space="preserve">city, </w:t>
      </w:r>
      <w:r w:rsidR="00101088" w:rsidRPr="00946435">
        <w:rPr>
          <w:lang w:val="en-GB"/>
        </w:rPr>
        <w:t xml:space="preserve">to </w:t>
      </w:r>
      <w:r w:rsidRPr="00946435">
        <w:rPr>
          <w:lang w:val="en-GB"/>
        </w:rPr>
        <w:t xml:space="preserve">a </w:t>
      </w:r>
      <w:r w:rsidR="00101088" w:rsidRPr="00946435">
        <w:rPr>
          <w:lang w:val="en-GB"/>
        </w:rPr>
        <w:t>geographical portion such as</w:t>
      </w:r>
      <w:r w:rsidRPr="00946435">
        <w:rPr>
          <w:lang w:val="en-GB"/>
        </w:rPr>
        <w:t xml:space="preserve"> </w:t>
      </w:r>
      <w:r w:rsidR="00F11E9F" w:rsidRPr="00946435">
        <w:rPr>
          <w:lang w:val="en-GB"/>
        </w:rPr>
        <w:t>e</w:t>
      </w:r>
      <w:r w:rsidRPr="00946435">
        <w:rPr>
          <w:lang w:val="en-GB"/>
        </w:rPr>
        <w:t>ast</w:t>
      </w:r>
      <w:r w:rsidR="00101088" w:rsidRPr="00946435">
        <w:rPr>
          <w:lang w:val="en-GB"/>
        </w:rPr>
        <w:t xml:space="preserve"> Toronto or the downtown core</w:t>
      </w:r>
      <w:r w:rsidRPr="00946435">
        <w:rPr>
          <w:lang w:val="en-GB"/>
        </w:rPr>
        <w:t xml:space="preserve">, or even a </w:t>
      </w:r>
      <w:r w:rsidR="00101088" w:rsidRPr="00946435">
        <w:rPr>
          <w:lang w:val="en-GB"/>
        </w:rPr>
        <w:t xml:space="preserve">specific </w:t>
      </w:r>
      <w:r w:rsidRPr="00946435">
        <w:rPr>
          <w:lang w:val="en-GB"/>
        </w:rPr>
        <w:t xml:space="preserve">neighbourhood </w:t>
      </w:r>
      <w:r w:rsidR="00101088" w:rsidRPr="00946435">
        <w:rPr>
          <w:lang w:val="en-GB"/>
        </w:rPr>
        <w:t xml:space="preserve">such as The </w:t>
      </w:r>
      <w:proofErr w:type="spellStart"/>
      <w:r w:rsidR="00101088" w:rsidRPr="00946435">
        <w:rPr>
          <w:lang w:val="en-GB"/>
        </w:rPr>
        <w:t>Danforth</w:t>
      </w:r>
      <w:proofErr w:type="spellEnd"/>
      <w:r w:rsidR="00101088" w:rsidRPr="00946435">
        <w:rPr>
          <w:lang w:val="en-GB"/>
        </w:rPr>
        <w:t xml:space="preserve"> or Etobicoke. </w:t>
      </w:r>
      <w:r w:rsidR="005C47F1" w:rsidRPr="00946435">
        <w:rPr>
          <w:lang w:val="en-GB"/>
        </w:rPr>
        <w:t>A</w:t>
      </w:r>
      <w:r w:rsidRPr="00946435">
        <w:rPr>
          <w:lang w:val="en-GB"/>
        </w:rPr>
        <w:t xml:space="preserve"> brewer</w:t>
      </w:r>
      <w:r w:rsidR="00101088" w:rsidRPr="00946435">
        <w:rPr>
          <w:lang w:val="en-GB"/>
        </w:rPr>
        <w:t>y</w:t>
      </w:r>
      <w:r w:rsidRPr="00946435">
        <w:rPr>
          <w:lang w:val="en-GB"/>
        </w:rPr>
        <w:t xml:space="preserve"> </w:t>
      </w:r>
      <w:r w:rsidR="005C47F1" w:rsidRPr="00946435">
        <w:rPr>
          <w:lang w:val="en-GB"/>
        </w:rPr>
        <w:t>c</w:t>
      </w:r>
      <w:r w:rsidRPr="00946435">
        <w:rPr>
          <w:lang w:val="en-GB"/>
        </w:rPr>
        <w:t>ould</w:t>
      </w:r>
      <w:r w:rsidR="00101088" w:rsidRPr="00946435">
        <w:rPr>
          <w:lang w:val="en-GB"/>
        </w:rPr>
        <w:t xml:space="preserve"> </w:t>
      </w:r>
      <w:r w:rsidR="005C47F1" w:rsidRPr="00946435">
        <w:rPr>
          <w:lang w:val="en-GB"/>
        </w:rPr>
        <w:t>focus on</w:t>
      </w:r>
      <w:r w:rsidRPr="00946435">
        <w:rPr>
          <w:lang w:val="en-GB"/>
        </w:rPr>
        <w:t xml:space="preserve"> </w:t>
      </w:r>
      <w:r w:rsidR="005C47F1" w:rsidRPr="00946435">
        <w:rPr>
          <w:lang w:val="en-GB"/>
        </w:rPr>
        <w:t>s</w:t>
      </w:r>
      <w:r w:rsidRPr="00946435">
        <w:rPr>
          <w:lang w:val="en-GB"/>
        </w:rPr>
        <w:t>p</w:t>
      </w:r>
      <w:r w:rsidR="005C47F1" w:rsidRPr="00946435">
        <w:rPr>
          <w:lang w:val="en-GB"/>
        </w:rPr>
        <w:t>ecific</w:t>
      </w:r>
      <w:r w:rsidRPr="00946435">
        <w:rPr>
          <w:lang w:val="en-GB"/>
        </w:rPr>
        <w:t xml:space="preserve"> stores </w:t>
      </w:r>
      <w:r w:rsidR="00101088" w:rsidRPr="00946435">
        <w:rPr>
          <w:lang w:val="en-GB"/>
        </w:rPr>
        <w:t xml:space="preserve">within </w:t>
      </w:r>
      <w:r w:rsidR="005C47F1" w:rsidRPr="00946435">
        <w:rPr>
          <w:lang w:val="en-GB"/>
        </w:rPr>
        <w:t>a small</w:t>
      </w:r>
      <w:r w:rsidR="00101088" w:rsidRPr="00946435">
        <w:rPr>
          <w:lang w:val="en-GB"/>
        </w:rPr>
        <w:t xml:space="preserve"> area </w:t>
      </w:r>
      <w:r w:rsidRPr="00946435">
        <w:rPr>
          <w:lang w:val="en-GB"/>
        </w:rPr>
        <w:t xml:space="preserve">to sell </w:t>
      </w:r>
      <w:r w:rsidR="00101088" w:rsidRPr="00946435">
        <w:rPr>
          <w:lang w:val="en-GB"/>
        </w:rPr>
        <w:t>i</w:t>
      </w:r>
      <w:r w:rsidRPr="00946435">
        <w:rPr>
          <w:lang w:val="en-GB"/>
        </w:rPr>
        <w:t>t</w:t>
      </w:r>
      <w:r w:rsidR="00101088" w:rsidRPr="00946435">
        <w:rPr>
          <w:lang w:val="en-GB"/>
        </w:rPr>
        <w:t>s</w:t>
      </w:r>
      <w:r w:rsidRPr="00946435">
        <w:rPr>
          <w:lang w:val="en-GB"/>
        </w:rPr>
        <w:t xml:space="preserve"> products </w:t>
      </w:r>
      <w:r w:rsidR="00101088" w:rsidRPr="00946435">
        <w:rPr>
          <w:lang w:val="en-GB"/>
        </w:rPr>
        <w:t>to a targeted consumer group</w:t>
      </w:r>
      <w:r w:rsidRPr="00946435">
        <w:rPr>
          <w:lang w:val="en-GB"/>
        </w:rPr>
        <w:t xml:space="preserve">. </w:t>
      </w:r>
      <w:r w:rsidR="005C47F1" w:rsidRPr="00946435">
        <w:rPr>
          <w:lang w:val="en-GB"/>
        </w:rPr>
        <w:t>Alternatively, it could instead cater to a much broader range of consumers. For example</w:t>
      </w:r>
      <w:r w:rsidRPr="00946435">
        <w:rPr>
          <w:lang w:val="en-GB"/>
        </w:rPr>
        <w:t>, Waterloo Brewing</w:t>
      </w:r>
      <w:r w:rsidR="004451A8" w:rsidRPr="00946435">
        <w:rPr>
          <w:lang w:val="en-GB"/>
        </w:rPr>
        <w:t xml:space="preserve"> Ltd. chose to</w:t>
      </w:r>
      <w:r w:rsidRPr="00946435">
        <w:rPr>
          <w:lang w:val="en-GB"/>
        </w:rPr>
        <w:t xml:space="preserve"> expand</w:t>
      </w:r>
      <w:r w:rsidR="004451A8" w:rsidRPr="00946435">
        <w:rPr>
          <w:lang w:val="en-GB"/>
        </w:rPr>
        <w:t xml:space="preserve"> its</w:t>
      </w:r>
      <w:r w:rsidRPr="00946435">
        <w:rPr>
          <w:lang w:val="en-GB"/>
        </w:rPr>
        <w:t xml:space="preserve"> market</w:t>
      </w:r>
      <w:r w:rsidR="004451A8" w:rsidRPr="00946435">
        <w:rPr>
          <w:lang w:val="en-GB"/>
        </w:rPr>
        <w:t xml:space="preserve"> </w:t>
      </w:r>
      <w:r w:rsidRPr="00946435">
        <w:rPr>
          <w:lang w:val="en-GB"/>
        </w:rPr>
        <w:t>s</w:t>
      </w:r>
      <w:r w:rsidR="004451A8" w:rsidRPr="00946435">
        <w:rPr>
          <w:lang w:val="en-GB"/>
        </w:rPr>
        <w:t>hare</w:t>
      </w:r>
      <w:r w:rsidRPr="00946435">
        <w:rPr>
          <w:lang w:val="en-GB"/>
        </w:rPr>
        <w:t xml:space="preserve"> by acquiring </w:t>
      </w:r>
      <w:r w:rsidR="00E13A54" w:rsidRPr="00946435">
        <w:rPr>
          <w:lang w:val="en-GB"/>
        </w:rPr>
        <w:t>province-wide</w:t>
      </w:r>
      <w:r w:rsidRPr="00946435">
        <w:rPr>
          <w:lang w:val="en-GB"/>
        </w:rPr>
        <w:t xml:space="preserve"> distribut</w:t>
      </w:r>
      <w:r w:rsidR="00E13A54" w:rsidRPr="00946435">
        <w:rPr>
          <w:lang w:val="en-GB"/>
        </w:rPr>
        <w:t xml:space="preserve">ion </w:t>
      </w:r>
      <w:r w:rsidR="005C47F1" w:rsidRPr="00946435">
        <w:rPr>
          <w:lang w:val="en-GB"/>
        </w:rPr>
        <w:t>rights f</w:t>
      </w:r>
      <w:r w:rsidR="00E13A54" w:rsidRPr="00946435">
        <w:rPr>
          <w:lang w:val="en-GB"/>
        </w:rPr>
        <w:t>o</w:t>
      </w:r>
      <w:r w:rsidR="005C47F1" w:rsidRPr="00946435">
        <w:rPr>
          <w:lang w:val="en-GB"/>
        </w:rPr>
        <w:t>r</w:t>
      </w:r>
      <w:r w:rsidRPr="00946435">
        <w:rPr>
          <w:lang w:val="en-GB"/>
        </w:rPr>
        <w:t xml:space="preserve"> </w:t>
      </w:r>
      <w:r w:rsidR="005C47F1" w:rsidRPr="00946435">
        <w:rPr>
          <w:lang w:val="en-GB"/>
        </w:rPr>
        <w:t>several major</w:t>
      </w:r>
      <w:r w:rsidR="004451A8" w:rsidRPr="00946435">
        <w:rPr>
          <w:lang w:val="en-GB"/>
        </w:rPr>
        <w:t xml:space="preserve"> beer </w:t>
      </w:r>
      <w:r w:rsidRPr="00946435">
        <w:rPr>
          <w:lang w:val="en-GB"/>
        </w:rPr>
        <w:t>brands</w:t>
      </w:r>
      <w:r w:rsidR="005C47F1" w:rsidRPr="00946435">
        <w:rPr>
          <w:lang w:val="en-GB"/>
        </w:rPr>
        <w:t xml:space="preserve"> including</w:t>
      </w:r>
      <w:r w:rsidRPr="00946435">
        <w:rPr>
          <w:lang w:val="en-GB"/>
        </w:rPr>
        <w:t xml:space="preserve"> Laker, Seagram Coolers, </w:t>
      </w:r>
      <w:r w:rsidR="004451A8" w:rsidRPr="00946435">
        <w:rPr>
          <w:lang w:val="en-GB"/>
        </w:rPr>
        <w:t xml:space="preserve">and </w:t>
      </w:r>
      <w:proofErr w:type="spellStart"/>
      <w:r w:rsidRPr="00946435">
        <w:rPr>
          <w:lang w:val="en-GB"/>
        </w:rPr>
        <w:t>LandShark</w:t>
      </w:r>
      <w:proofErr w:type="spellEnd"/>
      <w:r w:rsidRPr="00946435">
        <w:rPr>
          <w:lang w:val="en-GB"/>
        </w:rPr>
        <w:t>.</w:t>
      </w:r>
      <w:r w:rsidRPr="00946435">
        <w:rPr>
          <w:rStyle w:val="EndnoteReference"/>
          <w:lang w:val="en-GB"/>
        </w:rPr>
        <w:endnoteReference w:id="26"/>
      </w:r>
      <w:r w:rsidRPr="00946435">
        <w:rPr>
          <w:lang w:val="en-GB"/>
        </w:rPr>
        <w:t xml:space="preserve"> </w:t>
      </w:r>
    </w:p>
    <w:p w14:paraId="643FD0B9" w14:textId="77777777" w:rsidR="004451A8" w:rsidRPr="00946435" w:rsidRDefault="004451A8" w:rsidP="009424DA">
      <w:pPr>
        <w:pStyle w:val="BodyTextMain"/>
        <w:rPr>
          <w:lang w:val="en-GB"/>
        </w:rPr>
      </w:pPr>
    </w:p>
    <w:p w14:paraId="65C4AF59" w14:textId="086CF03F" w:rsidR="009424DA" w:rsidRPr="0078134E" w:rsidRDefault="009424DA" w:rsidP="009424DA">
      <w:pPr>
        <w:pStyle w:val="BodyTextMain"/>
        <w:rPr>
          <w:spacing w:val="-2"/>
          <w:kern w:val="2"/>
          <w:lang w:val="en-GB"/>
        </w:rPr>
      </w:pPr>
      <w:r w:rsidRPr="0078134E">
        <w:rPr>
          <w:spacing w:val="-2"/>
          <w:kern w:val="2"/>
          <w:lang w:val="en-GB"/>
        </w:rPr>
        <w:t xml:space="preserve">Smaller breweries looking for growth </w:t>
      </w:r>
      <w:r w:rsidR="00A64329" w:rsidRPr="0078134E">
        <w:rPr>
          <w:spacing w:val="-2"/>
          <w:kern w:val="2"/>
          <w:lang w:val="en-GB"/>
        </w:rPr>
        <w:t xml:space="preserve">needed </w:t>
      </w:r>
      <w:r w:rsidRPr="0078134E">
        <w:rPr>
          <w:spacing w:val="-2"/>
          <w:kern w:val="2"/>
          <w:lang w:val="en-GB"/>
        </w:rPr>
        <w:t xml:space="preserve">to be more creative due to </w:t>
      </w:r>
      <w:r w:rsidR="00A64329" w:rsidRPr="0078134E">
        <w:rPr>
          <w:spacing w:val="-2"/>
          <w:kern w:val="2"/>
          <w:lang w:val="en-GB"/>
        </w:rPr>
        <w:t xml:space="preserve">their </w:t>
      </w:r>
      <w:r w:rsidRPr="0078134E">
        <w:rPr>
          <w:spacing w:val="-2"/>
          <w:kern w:val="2"/>
          <w:lang w:val="en-GB"/>
        </w:rPr>
        <w:t xml:space="preserve">limited access to capital. An alternative to acquisition was to develop long-term sustainable relationships with retailers outside the </w:t>
      </w:r>
      <w:r w:rsidRPr="0078134E">
        <w:rPr>
          <w:spacing w:val="-2"/>
          <w:kern w:val="2"/>
          <w:lang w:val="en-GB"/>
        </w:rPr>
        <w:lastRenderedPageBreak/>
        <w:t xml:space="preserve">community. To achieve this, craft breweries could leverage their existing connections with local LCBO stores and licensees to help them expand. Other options included sponsoring events and sports teams outside their city and developing innovative methods for bringing people from outside the community to the brewery. </w:t>
      </w:r>
    </w:p>
    <w:p w14:paraId="4587D96D" w14:textId="77777777" w:rsidR="009424DA" w:rsidRPr="00946435" w:rsidRDefault="009424DA" w:rsidP="009424DA">
      <w:pPr>
        <w:pStyle w:val="BodyTextMain"/>
        <w:rPr>
          <w:lang w:val="en-GB"/>
        </w:rPr>
      </w:pPr>
    </w:p>
    <w:p w14:paraId="4A3AD95E" w14:textId="525FA311" w:rsidR="003A78A8" w:rsidRPr="00946435" w:rsidRDefault="009424DA" w:rsidP="009424DA">
      <w:pPr>
        <w:pStyle w:val="BodyTextMain"/>
        <w:rPr>
          <w:lang w:val="en-GB"/>
        </w:rPr>
      </w:pPr>
      <w:r w:rsidRPr="00946435">
        <w:rPr>
          <w:lang w:val="en-GB"/>
        </w:rPr>
        <w:t xml:space="preserve">The craft </w:t>
      </w:r>
      <w:r w:rsidR="003A78A8" w:rsidRPr="00946435">
        <w:rPr>
          <w:lang w:val="en-GB"/>
        </w:rPr>
        <w:t xml:space="preserve">brewery </w:t>
      </w:r>
      <w:r w:rsidRPr="00946435">
        <w:rPr>
          <w:lang w:val="en-GB"/>
        </w:rPr>
        <w:t>industry was generally collaborative. C</w:t>
      </w:r>
      <w:r w:rsidR="003A78A8" w:rsidRPr="00946435">
        <w:rPr>
          <w:lang w:val="en-GB"/>
        </w:rPr>
        <w:t>ompanies</w:t>
      </w:r>
      <w:r w:rsidRPr="00946435">
        <w:rPr>
          <w:lang w:val="en-GB"/>
        </w:rPr>
        <w:t xml:space="preserve"> often relied on each other during times of need and shared </w:t>
      </w:r>
      <w:r w:rsidR="003A78A8" w:rsidRPr="00946435">
        <w:rPr>
          <w:lang w:val="en-GB"/>
        </w:rPr>
        <w:t xml:space="preserve">their </w:t>
      </w:r>
      <w:r w:rsidRPr="00946435">
        <w:rPr>
          <w:lang w:val="en-GB"/>
        </w:rPr>
        <w:t xml:space="preserve">knowledge at professional events. These practices helped produce resourceful teams and promoted rapid pivoting when information was needed. </w:t>
      </w:r>
      <w:r w:rsidR="003A78A8" w:rsidRPr="00946435">
        <w:rPr>
          <w:lang w:val="en-GB"/>
        </w:rPr>
        <w:t>For example, w</w:t>
      </w:r>
      <w:r w:rsidRPr="00946435">
        <w:rPr>
          <w:lang w:val="en-GB"/>
        </w:rPr>
        <w:t xml:space="preserve">hen Wellington Brewery’s equipment was experiencing rapid degradation due to the city’s hard water, the </w:t>
      </w:r>
      <w:r w:rsidR="003A78A8" w:rsidRPr="00946435">
        <w:rPr>
          <w:lang w:val="en-GB"/>
        </w:rPr>
        <w:t>company’s vice-president of</w:t>
      </w:r>
      <w:r w:rsidRPr="00946435">
        <w:rPr>
          <w:lang w:val="en-GB"/>
        </w:rPr>
        <w:t xml:space="preserve"> brewing and another employee leveraged their expertise to build a network of contacts </w:t>
      </w:r>
      <w:r w:rsidR="003A78A8" w:rsidRPr="00946435">
        <w:rPr>
          <w:lang w:val="en-GB"/>
        </w:rPr>
        <w:t xml:space="preserve">who </w:t>
      </w:r>
      <w:r w:rsidRPr="00946435">
        <w:rPr>
          <w:lang w:val="en-GB"/>
        </w:rPr>
        <w:t>work</w:t>
      </w:r>
      <w:r w:rsidR="003A78A8" w:rsidRPr="00946435">
        <w:rPr>
          <w:lang w:val="en-GB"/>
        </w:rPr>
        <w:t>ed</w:t>
      </w:r>
      <w:r w:rsidRPr="00946435">
        <w:rPr>
          <w:lang w:val="en-GB"/>
        </w:rPr>
        <w:t xml:space="preserve"> in wastewater </w:t>
      </w:r>
      <w:r w:rsidR="003A78A8" w:rsidRPr="00946435">
        <w:rPr>
          <w:lang w:val="en-GB"/>
        </w:rPr>
        <w:t xml:space="preserve">management </w:t>
      </w:r>
      <w:r w:rsidRPr="00946435">
        <w:rPr>
          <w:lang w:val="en-GB"/>
        </w:rPr>
        <w:t>and water treatment</w:t>
      </w:r>
      <w:r w:rsidR="003A78A8" w:rsidRPr="00946435">
        <w:rPr>
          <w:lang w:val="en-GB"/>
        </w:rPr>
        <w:t xml:space="preserve"> services</w:t>
      </w:r>
      <w:r w:rsidRPr="00946435">
        <w:rPr>
          <w:lang w:val="en-GB"/>
        </w:rPr>
        <w:t xml:space="preserve">. Using this knowledge, the company was able to assess the problem and </w:t>
      </w:r>
      <w:r w:rsidR="003A78A8" w:rsidRPr="00946435">
        <w:rPr>
          <w:lang w:val="en-GB"/>
        </w:rPr>
        <w:t>procure</w:t>
      </w:r>
      <w:r w:rsidRPr="00946435">
        <w:rPr>
          <w:lang w:val="en-GB"/>
        </w:rPr>
        <w:t xml:space="preserve"> a new </w:t>
      </w:r>
      <w:r w:rsidR="003A78A8" w:rsidRPr="00946435">
        <w:rPr>
          <w:lang w:val="en-GB"/>
        </w:rPr>
        <w:t xml:space="preserve">water </w:t>
      </w:r>
      <w:r w:rsidRPr="00946435">
        <w:rPr>
          <w:lang w:val="en-GB"/>
        </w:rPr>
        <w:t xml:space="preserve">system. One employee outlined his experience: </w:t>
      </w:r>
    </w:p>
    <w:p w14:paraId="13CB0A63" w14:textId="77777777" w:rsidR="003A78A8" w:rsidRPr="00946435" w:rsidRDefault="003A78A8" w:rsidP="009424DA">
      <w:pPr>
        <w:pStyle w:val="BodyTextMain"/>
        <w:rPr>
          <w:lang w:val="en-GB"/>
        </w:rPr>
      </w:pPr>
    </w:p>
    <w:p w14:paraId="07ACFA40" w14:textId="30BD0B7F" w:rsidR="009424DA" w:rsidRPr="00946435" w:rsidRDefault="009424DA" w:rsidP="00AF0208">
      <w:pPr>
        <w:pStyle w:val="BodyTextMain"/>
        <w:ind w:left="720"/>
        <w:rPr>
          <w:lang w:val="en-GB"/>
        </w:rPr>
      </w:pPr>
      <w:r w:rsidRPr="00946435">
        <w:rPr>
          <w:lang w:val="en-GB"/>
        </w:rPr>
        <w:t xml:space="preserve">It all ties back into </w:t>
      </w:r>
      <w:r w:rsidR="003A78A8" w:rsidRPr="00946435">
        <w:rPr>
          <w:lang w:val="en-GB"/>
        </w:rPr>
        <w:t xml:space="preserve">[the fact that] </w:t>
      </w:r>
      <w:r w:rsidRPr="00946435">
        <w:rPr>
          <w:lang w:val="en-GB"/>
        </w:rPr>
        <w:t>we always try to get people out in the community to try and learn to make better beers. The</w:t>
      </w:r>
      <w:r w:rsidR="003A78A8" w:rsidRPr="00946435">
        <w:rPr>
          <w:lang w:val="en-GB"/>
        </w:rPr>
        <w:t xml:space="preserve"> [brewer</w:t>
      </w:r>
      <w:r w:rsidRPr="00946435">
        <w:rPr>
          <w:lang w:val="en-GB"/>
        </w:rPr>
        <w:t>y</w:t>
      </w:r>
      <w:r w:rsidR="003A78A8" w:rsidRPr="00946435">
        <w:rPr>
          <w:lang w:val="en-GB"/>
        </w:rPr>
        <w:t>]</w:t>
      </w:r>
      <w:r w:rsidRPr="00946435">
        <w:rPr>
          <w:lang w:val="en-GB"/>
        </w:rPr>
        <w:t xml:space="preserve"> would put me out in trade shows to connect with people and network</w:t>
      </w:r>
      <w:r w:rsidR="003A78A8" w:rsidRPr="00946435">
        <w:rPr>
          <w:lang w:val="en-GB"/>
        </w:rPr>
        <w:t>.</w:t>
      </w:r>
      <w:r w:rsidRPr="00946435">
        <w:rPr>
          <w:lang w:val="en-GB"/>
        </w:rPr>
        <w:t xml:space="preserve"> </w:t>
      </w:r>
      <w:r w:rsidR="003A78A8" w:rsidRPr="00946435">
        <w:rPr>
          <w:lang w:val="en-GB"/>
        </w:rPr>
        <w:t>S</w:t>
      </w:r>
      <w:r w:rsidRPr="00946435">
        <w:rPr>
          <w:lang w:val="en-GB"/>
        </w:rPr>
        <w:t>o</w:t>
      </w:r>
      <w:r w:rsidR="003A78A8" w:rsidRPr="00946435">
        <w:rPr>
          <w:lang w:val="en-GB"/>
        </w:rPr>
        <w:t>,</w:t>
      </w:r>
      <w:r w:rsidRPr="00946435">
        <w:rPr>
          <w:lang w:val="en-GB"/>
        </w:rPr>
        <w:t xml:space="preserve"> if any of these things come up, I know who to contact.</w:t>
      </w:r>
    </w:p>
    <w:p w14:paraId="12091FF3" w14:textId="7F6BC757" w:rsidR="009424DA" w:rsidRPr="00946435" w:rsidRDefault="009424DA" w:rsidP="009424DA">
      <w:pPr>
        <w:pStyle w:val="BodyTextMain"/>
        <w:rPr>
          <w:lang w:val="en-GB"/>
        </w:rPr>
      </w:pPr>
    </w:p>
    <w:p w14:paraId="64CB4585" w14:textId="77777777" w:rsidR="009424DA" w:rsidRPr="00946435" w:rsidRDefault="009424DA" w:rsidP="009424DA">
      <w:pPr>
        <w:pStyle w:val="BodyTextMain"/>
        <w:rPr>
          <w:lang w:val="en-GB"/>
        </w:rPr>
      </w:pPr>
    </w:p>
    <w:p w14:paraId="031B77AF" w14:textId="77777777" w:rsidR="009424DA" w:rsidRPr="00946435" w:rsidRDefault="009424DA" w:rsidP="009424DA">
      <w:pPr>
        <w:pStyle w:val="Casehead1"/>
        <w:rPr>
          <w:lang w:val="en-GB"/>
        </w:rPr>
      </w:pPr>
      <w:r w:rsidRPr="00946435">
        <w:rPr>
          <w:lang w:val="en-GB"/>
        </w:rPr>
        <w:t>PRODUCT FOCUS</w:t>
      </w:r>
    </w:p>
    <w:p w14:paraId="4FCB3636" w14:textId="77777777" w:rsidR="009424DA" w:rsidRPr="00946435" w:rsidRDefault="009424DA" w:rsidP="009424DA">
      <w:pPr>
        <w:pStyle w:val="BodyTextMain"/>
        <w:rPr>
          <w:lang w:val="en-GB"/>
        </w:rPr>
      </w:pPr>
    </w:p>
    <w:p w14:paraId="24EAEB77" w14:textId="1597DF5B" w:rsidR="00464E7A" w:rsidRPr="0078134E" w:rsidRDefault="009424DA" w:rsidP="009424DA">
      <w:pPr>
        <w:pStyle w:val="BodyTextMain"/>
        <w:rPr>
          <w:spacing w:val="-2"/>
          <w:kern w:val="2"/>
          <w:lang w:val="en-GB"/>
        </w:rPr>
      </w:pPr>
      <w:r w:rsidRPr="0078134E">
        <w:rPr>
          <w:spacing w:val="-2"/>
          <w:kern w:val="2"/>
          <w:lang w:val="en-GB"/>
        </w:rPr>
        <w:t>Wellington Brewery was customarily known as an English-style craft brewery</w:t>
      </w:r>
      <w:r w:rsidR="00924C79" w:rsidRPr="0078134E">
        <w:rPr>
          <w:spacing w:val="-2"/>
          <w:kern w:val="2"/>
          <w:lang w:val="en-GB"/>
        </w:rPr>
        <w:t>, with ale as its</w:t>
      </w:r>
      <w:r w:rsidRPr="0078134E">
        <w:rPr>
          <w:spacing w:val="-2"/>
          <w:kern w:val="2"/>
          <w:lang w:val="en-GB"/>
        </w:rPr>
        <w:t xml:space="preserve"> featur</w:t>
      </w:r>
      <w:r w:rsidR="00924C79" w:rsidRPr="0078134E">
        <w:rPr>
          <w:spacing w:val="-2"/>
          <w:kern w:val="2"/>
          <w:lang w:val="en-GB"/>
        </w:rPr>
        <w:t>ed</w:t>
      </w:r>
      <w:r w:rsidRPr="0078134E">
        <w:rPr>
          <w:spacing w:val="-2"/>
          <w:kern w:val="2"/>
          <w:lang w:val="en-GB"/>
        </w:rPr>
        <w:t xml:space="preserve"> </w:t>
      </w:r>
      <w:r w:rsidR="00924C79" w:rsidRPr="0078134E">
        <w:rPr>
          <w:spacing w:val="-2"/>
          <w:kern w:val="2"/>
          <w:lang w:val="en-GB"/>
        </w:rPr>
        <w:t>beer type</w:t>
      </w:r>
      <w:r w:rsidRPr="0078134E">
        <w:rPr>
          <w:spacing w:val="-2"/>
          <w:kern w:val="2"/>
          <w:lang w:val="en-GB"/>
        </w:rPr>
        <w:t xml:space="preserve">. In the </w:t>
      </w:r>
      <w:r w:rsidR="00A64329" w:rsidRPr="0078134E">
        <w:rPr>
          <w:spacing w:val="-2"/>
          <w:kern w:val="2"/>
          <w:lang w:val="en-GB"/>
        </w:rPr>
        <w:t xml:space="preserve">past </w:t>
      </w:r>
      <w:r w:rsidRPr="0078134E">
        <w:rPr>
          <w:spacing w:val="-2"/>
          <w:kern w:val="2"/>
          <w:lang w:val="en-GB"/>
        </w:rPr>
        <w:t xml:space="preserve">several years, its product line </w:t>
      </w:r>
      <w:r w:rsidR="00924C79" w:rsidRPr="0078134E">
        <w:rPr>
          <w:spacing w:val="-2"/>
          <w:kern w:val="2"/>
          <w:lang w:val="en-GB"/>
        </w:rPr>
        <w:t>focused on</w:t>
      </w:r>
      <w:r w:rsidRPr="0078134E">
        <w:rPr>
          <w:spacing w:val="-2"/>
          <w:kern w:val="2"/>
          <w:lang w:val="en-GB"/>
        </w:rPr>
        <w:t xml:space="preserve"> three core b</w:t>
      </w:r>
      <w:r w:rsidR="00924C79" w:rsidRPr="0078134E">
        <w:rPr>
          <w:spacing w:val="-2"/>
          <w:kern w:val="2"/>
          <w:lang w:val="en-GB"/>
        </w:rPr>
        <w:t>rands</w:t>
      </w:r>
      <w:r w:rsidRPr="0078134E">
        <w:rPr>
          <w:spacing w:val="-2"/>
          <w:kern w:val="2"/>
          <w:lang w:val="en-GB"/>
        </w:rPr>
        <w:t xml:space="preserve"> and an assortment of experimental small-batch and seasonal beers. </w:t>
      </w:r>
      <w:r w:rsidR="00924C79" w:rsidRPr="0078134E">
        <w:rPr>
          <w:spacing w:val="-2"/>
          <w:kern w:val="2"/>
          <w:lang w:val="en-GB"/>
        </w:rPr>
        <w:t>The company’s h</w:t>
      </w:r>
      <w:r w:rsidRPr="0078134E">
        <w:rPr>
          <w:spacing w:val="-2"/>
          <w:kern w:val="2"/>
          <w:lang w:val="en-GB"/>
        </w:rPr>
        <w:t>igh</w:t>
      </w:r>
      <w:r w:rsidR="00924C79" w:rsidRPr="0078134E">
        <w:rPr>
          <w:spacing w:val="-2"/>
          <w:kern w:val="2"/>
          <w:lang w:val="en-GB"/>
        </w:rPr>
        <w:t>-</w:t>
      </w:r>
      <w:r w:rsidRPr="0078134E">
        <w:rPr>
          <w:spacing w:val="-2"/>
          <w:kern w:val="2"/>
          <w:lang w:val="en-GB"/>
        </w:rPr>
        <w:t>volume production</w:t>
      </w:r>
      <w:r w:rsidR="00924C79" w:rsidRPr="0078134E">
        <w:rPr>
          <w:spacing w:val="-2"/>
          <w:kern w:val="2"/>
          <w:lang w:val="en-GB"/>
        </w:rPr>
        <w:t xml:space="preserve"> brands—a</w:t>
      </w:r>
      <w:r w:rsidR="006C5899" w:rsidRPr="0078134E">
        <w:rPr>
          <w:spacing w:val="-2"/>
          <w:kern w:val="2"/>
          <w:lang w:val="en-GB"/>
        </w:rPr>
        <w:t xml:space="preserve"> traditional</w:t>
      </w:r>
      <w:r w:rsidR="00924C79" w:rsidRPr="0078134E">
        <w:rPr>
          <w:spacing w:val="-2"/>
          <w:kern w:val="2"/>
          <w:lang w:val="en-GB"/>
        </w:rPr>
        <w:t xml:space="preserve"> ale, an India </w:t>
      </w:r>
      <w:r w:rsidR="006733CE" w:rsidRPr="0078134E">
        <w:rPr>
          <w:spacing w:val="-2"/>
          <w:kern w:val="2"/>
          <w:lang w:val="en-GB"/>
        </w:rPr>
        <w:t>p</w:t>
      </w:r>
      <w:r w:rsidR="00924C79" w:rsidRPr="0078134E">
        <w:rPr>
          <w:spacing w:val="-2"/>
          <w:kern w:val="2"/>
          <w:lang w:val="en-GB"/>
        </w:rPr>
        <w:t xml:space="preserve">ale </w:t>
      </w:r>
      <w:r w:rsidR="006733CE" w:rsidRPr="0078134E">
        <w:rPr>
          <w:spacing w:val="-2"/>
          <w:kern w:val="2"/>
          <w:lang w:val="en-GB"/>
        </w:rPr>
        <w:t>a</w:t>
      </w:r>
      <w:r w:rsidR="00924C79" w:rsidRPr="0078134E">
        <w:rPr>
          <w:spacing w:val="-2"/>
          <w:kern w:val="2"/>
          <w:lang w:val="en-GB"/>
        </w:rPr>
        <w:t xml:space="preserve">le, and a lager—were aimed at a wide consumer base and </w:t>
      </w:r>
      <w:r w:rsidRPr="0078134E">
        <w:rPr>
          <w:spacing w:val="-2"/>
          <w:kern w:val="2"/>
          <w:lang w:val="en-GB"/>
        </w:rPr>
        <w:t xml:space="preserve">required different </w:t>
      </w:r>
      <w:r w:rsidR="00924C79" w:rsidRPr="0078134E">
        <w:rPr>
          <w:spacing w:val="-2"/>
          <w:kern w:val="2"/>
          <w:lang w:val="en-GB"/>
        </w:rPr>
        <w:t xml:space="preserve">brewing </w:t>
      </w:r>
      <w:r w:rsidRPr="0078134E">
        <w:rPr>
          <w:spacing w:val="-2"/>
          <w:kern w:val="2"/>
          <w:lang w:val="en-GB"/>
        </w:rPr>
        <w:t>strategies</w:t>
      </w:r>
      <w:r w:rsidR="00924C79" w:rsidRPr="0078134E">
        <w:rPr>
          <w:spacing w:val="-2"/>
          <w:kern w:val="2"/>
          <w:lang w:val="en-GB"/>
        </w:rPr>
        <w:t xml:space="preserve"> than its low-volume production brands, which</w:t>
      </w:r>
      <w:r w:rsidRPr="0078134E">
        <w:rPr>
          <w:spacing w:val="-2"/>
          <w:kern w:val="2"/>
          <w:lang w:val="en-GB"/>
        </w:rPr>
        <w:t xml:space="preserve"> were usually experimental </w:t>
      </w:r>
      <w:r w:rsidR="00924C79" w:rsidRPr="0078134E">
        <w:rPr>
          <w:spacing w:val="-2"/>
          <w:kern w:val="2"/>
          <w:lang w:val="en-GB"/>
        </w:rPr>
        <w:t>beers aimed at</w:t>
      </w:r>
      <w:r w:rsidRPr="0078134E">
        <w:rPr>
          <w:spacing w:val="-2"/>
          <w:kern w:val="2"/>
          <w:lang w:val="en-GB"/>
        </w:rPr>
        <w:t xml:space="preserve"> consumer</w:t>
      </w:r>
      <w:r w:rsidR="00924C79" w:rsidRPr="0078134E">
        <w:rPr>
          <w:spacing w:val="-2"/>
          <w:kern w:val="2"/>
          <w:lang w:val="en-GB"/>
        </w:rPr>
        <w:t>s</w:t>
      </w:r>
      <w:r w:rsidRPr="0078134E">
        <w:rPr>
          <w:spacing w:val="-2"/>
          <w:kern w:val="2"/>
          <w:lang w:val="en-GB"/>
        </w:rPr>
        <w:t xml:space="preserve"> seeking a novel beer-drinking experience. </w:t>
      </w:r>
      <w:r w:rsidR="006733CE" w:rsidRPr="0078134E">
        <w:rPr>
          <w:spacing w:val="-2"/>
          <w:kern w:val="2"/>
          <w:lang w:val="en-GB"/>
        </w:rPr>
        <w:t>Therefore, the two different product lines</w:t>
      </w:r>
      <w:r w:rsidRPr="0078134E">
        <w:rPr>
          <w:spacing w:val="-2"/>
          <w:kern w:val="2"/>
          <w:lang w:val="en-GB"/>
        </w:rPr>
        <w:t xml:space="preserve"> required </w:t>
      </w:r>
      <w:r w:rsidR="006733CE" w:rsidRPr="0078134E">
        <w:rPr>
          <w:spacing w:val="-2"/>
          <w:kern w:val="2"/>
          <w:lang w:val="en-GB"/>
        </w:rPr>
        <w:t xml:space="preserve">the company to </w:t>
      </w:r>
      <w:r w:rsidRPr="0078134E">
        <w:rPr>
          <w:spacing w:val="-2"/>
          <w:kern w:val="2"/>
          <w:lang w:val="en-GB"/>
        </w:rPr>
        <w:t>a</w:t>
      </w:r>
      <w:r w:rsidR="006733CE" w:rsidRPr="0078134E">
        <w:rPr>
          <w:spacing w:val="-2"/>
          <w:kern w:val="2"/>
          <w:lang w:val="en-GB"/>
        </w:rPr>
        <w:t>ttract two</w:t>
      </w:r>
      <w:r w:rsidRPr="0078134E">
        <w:rPr>
          <w:spacing w:val="-2"/>
          <w:kern w:val="2"/>
          <w:lang w:val="en-GB"/>
        </w:rPr>
        <w:t xml:space="preserve"> different customer segment</w:t>
      </w:r>
      <w:r w:rsidR="006733CE" w:rsidRPr="0078134E">
        <w:rPr>
          <w:spacing w:val="-2"/>
          <w:kern w:val="2"/>
          <w:lang w:val="en-GB"/>
        </w:rPr>
        <w:t>s</w:t>
      </w:r>
      <w:r w:rsidRPr="0078134E">
        <w:rPr>
          <w:spacing w:val="-2"/>
          <w:kern w:val="2"/>
          <w:lang w:val="en-GB"/>
        </w:rPr>
        <w:t xml:space="preserve">, </w:t>
      </w:r>
      <w:r w:rsidR="006733CE" w:rsidRPr="0078134E">
        <w:rPr>
          <w:spacing w:val="-2"/>
          <w:kern w:val="2"/>
          <w:lang w:val="en-GB"/>
        </w:rPr>
        <w:t>which also divided</w:t>
      </w:r>
      <w:r w:rsidRPr="0078134E">
        <w:rPr>
          <w:spacing w:val="-2"/>
          <w:kern w:val="2"/>
          <w:lang w:val="en-GB"/>
        </w:rPr>
        <w:t xml:space="preserve"> Wellington Brewery </w:t>
      </w:r>
      <w:r w:rsidR="006733CE" w:rsidRPr="0078134E">
        <w:rPr>
          <w:spacing w:val="-2"/>
          <w:kern w:val="2"/>
          <w:lang w:val="en-GB"/>
        </w:rPr>
        <w:t>staff members</w:t>
      </w:r>
      <w:r w:rsidRPr="0078134E">
        <w:rPr>
          <w:spacing w:val="-2"/>
          <w:kern w:val="2"/>
          <w:lang w:val="en-GB"/>
        </w:rPr>
        <w:t xml:space="preserve">. </w:t>
      </w:r>
    </w:p>
    <w:p w14:paraId="3F7BFFB0" w14:textId="77777777" w:rsidR="00464E7A" w:rsidRPr="00946435" w:rsidRDefault="00464E7A" w:rsidP="009424DA">
      <w:pPr>
        <w:pStyle w:val="BodyTextMain"/>
        <w:rPr>
          <w:lang w:val="en-GB"/>
        </w:rPr>
      </w:pPr>
    </w:p>
    <w:p w14:paraId="41EB93F4" w14:textId="56495629" w:rsidR="009424DA" w:rsidRPr="0078134E" w:rsidRDefault="009424DA" w:rsidP="009424DA">
      <w:pPr>
        <w:pStyle w:val="BodyTextMain"/>
        <w:rPr>
          <w:spacing w:val="-2"/>
          <w:kern w:val="2"/>
          <w:lang w:val="en-GB"/>
        </w:rPr>
      </w:pPr>
      <w:r w:rsidRPr="0078134E">
        <w:rPr>
          <w:spacing w:val="-2"/>
          <w:kern w:val="2"/>
          <w:lang w:val="en-GB"/>
        </w:rPr>
        <w:t xml:space="preserve">A senior executive </w:t>
      </w:r>
      <w:r w:rsidR="006733CE" w:rsidRPr="0078134E">
        <w:rPr>
          <w:spacing w:val="-2"/>
          <w:kern w:val="2"/>
          <w:lang w:val="en-GB"/>
        </w:rPr>
        <w:t>felt that staff members</w:t>
      </w:r>
      <w:r w:rsidRPr="0078134E">
        <w:rPr>
          <w:spacing w:val="-2"/>
          <w:kern w:val="2"/>
          <w:lang w:val="en-GB"/>
        </w:rPr>
        <w:t xml:space="preserve"> were conflicted between “putting out products that sell versus products that are innovative.” Davies </w:t>
      </w:r>
      <w:r w:rsidR="006733CE" w:rsidRPr="0078134E">
        <w:rPr>
          <w:spacing w:val="-2"/>
          <w:kern w:val="2"/>
          <w:lang w:val="en-GB"/>
        </w:rPr>
        <w:t>agreed that</w:t>
      </w:r>
      <w:r w:rsidRPr="0078134E">
        <w:rPr>
          <w:spacing w:val="-2"/>
          <w:kern w:val="2"/>
          <w:lang w:val="en-GB"/>
        </w:rPr>
        <w:t xml:space="preserve"> produc</w:t>
      </w:r>
      <w:r w:rsidR="006733CE" w:rsidRPr="0078134E">
        <w:rPr>
          <w:spacing w:val="-2"/>
          <w:kern w:val="2"/>
          <w:lang w:val="en-GB"/>
        </w:rPr>
        <w:t>ing</w:t>
      </w:r>
      <w:r w:rsidRPr="0078134E">
        <w:rPr>
          <w:spacing w:val="-2"/>
          <w:kern w:val="2"/>
          <w:lang w:val="en-GB"/>
        </w:rPr>
        <w:t xml:space="preserve"> award-winning experimental beers </w:t>
      </w:r>
      <w:r w:rsidR="006733CE" w:rsidRPr="0078134E">
        <w:rPr>
          <w:spacing w:val="-2"/>
          <w:kern w:val="2"/>
          <w:lang w:val="en-GB"/>
        </w:rPr>
        <w:t>would</w:t>
      </w:r>
      <w:r w:rsidRPr="0078134E">
        <w:rPr>
          <w:spacing w:val="-2"/>
          <w:kern w:val="2"/>
          <w:lang w:val="en-GB"/>
        </w:rPr>
        <w:t xml:space="preserve"> build “street cred” </w:t>
      </w:r>
      <w:r w:rsidR="006733CE" w:rsidRPr="0078134E">
        <w:rPr>
          <w:spacing w:val="-2"/>
          <w:kern w:val="2"/>
          <w:lang w:val="en-GB"/>
        </w:rPr>
        <w:t>(short for “street credibility” or acceptability among fashionable beer consumers</w:t>
      </w:r>
      <w:r w:rsidR="006C5899" w:rsidRPr="0078134E">
        <w:rPr>
          <w:spacing w:val="-2"/>
          <w:kern w:val="2"/>
          <w:lang w:val="en-GB"/>
        </w:rPr>
        <w:t>)</w:t>
      </w:r>
      <w:r w:rsidR="006733CE" w:rsidRPr="0078134E">
        <w:rPr>
          <w:spacing w:val="-2"/>
          <w:kern w:val="2"/>
          <w:lang w:val="en-GB"/>
        </w:rPr>
        <w:t xml:space="preserve"> </w:t>
      </w:r>
      <w:r w:rsidRPr="0078134E">
        <w:rPr>
          <w:spacing w:val="-2"/>
          <w:kern w:val="2"/>
          <w:lang w:val="en-GB"/>
        </w:rPr>
        <w:t xml:space="preserve">and </w:t>
      </w:r>
      <w:r w:rsidR="00464E7A" w:rsidRPr="0078134E">
        <w:rPr>
          <w:spacing w:val="-2"/>
          <w:kern w:val="2"/>
          <w:lang w:val="en-GB"/>
        </w:rPr>
        <w:t xml:space="preserve">thus </w:t>
      </w:r>
      <w:r w:rsidRPr="0078134E">
        <w:rPr>
          <w:spacing w:val="-2"/>
          <w:kern w:val="2"/>
          <w:lang w:val="en-GB"/>
        </w:rPr>
        <w:t xml:space="preserve">draw </w:t>
      </w:r>
      <w:r w:rsidR="00464E7A" w:rsidRPr="0078134E">
        <w:rPr>
          <w:spacing w:val="-2"/>
          <w:kern w:val="2"/>
          <w:lang w:val="en-GB"/>
        </w:rPr>
        <w:t xml:space="preserve">more </w:t>
      </w:r>
      <w:r w:rsidR="006733CE" w:rsidRPr="0078134E">
        <w:rPr>
          <w:spacing w:val="-2"/>
          <w:kern w:val="2"/>
          <w:lang w:val="en-GB"/>
        </w:rPr>
        <w:t>customers</w:t>
      </w:r>
      <w:r w:rsidRPr="0078134E">
        <w:rPr>
          <w:spacing w:val="-2"/>
          <w:kern w:val="2"/>
          <w:lang w:val="en-GB"/>
        </w:rPr>
        <w:t xml:space="preserve"> to the brewery. However, he also recognized that </w:t>
      </w:r>
      <w:r w:rsidR="00464E7A" w:rsidRPr="0078134E">
        <w:rPr>
          <w:spacing w:val="-2"/>
          <w:kern w:val="2"/>
          <w:lang w:val="en-GB"/>
        </w:rPr>
        <w:t xml:space="preserve">although </w:t>
      </w:r>
      <w:r w:rsidRPr="0078134E">
        <w:rPr>
          <w:spacing w:val="-2"/>
          <w:kern w:val="2"/>
          <w:lang w:val="en-GB"/>
        </w:rPr>
        <w:t>lager</w:t>
      </w:r>
      <w:r w:rsidR="006C5899" w:rsidRPr="0078134E">
        <w:rPr>
          <w:spacing w:val="-2"/>
          <w:kern w:val="2"/>
          <w:lang w:val="en-GB"/>
        </w:rPr>
        <w:t xml:space="preserve"> wa</w:t>
      </w:r>
      <w:r w:rsidRPr="0078134E">
        <w:rPr>
          <w:spacing w:val="-2"/>
          <w:kern w:val="2"/>
          <w:lang w:val="en-GB"/>
        </w:rPr>
        <w:t xml:space="preserve">s not Wellington Brewery’s </w:t>
      </w:r>
      <w:r w:rsidR="006C5899" w:rsidRPr="0078134E">
        <w:rPr>
          <w:spacing w:val="-2"/>
          <w:kern w:val="2"/>
          <w:lang w:val="en-GB"/>
        </w:rPr>
        <w:t>choice of beer type</w:t>
      </w:r>
      <w:r w:rsidR="00464E7A" w:rsidRPr="0078134E">
        <w:rPr>
          <w:spacing w:val="-2"/>
          <w:kern w:val="2"/>
          <w:lang w:val="en-GB"/>
        </w:rPr>
        <w:t xml:space="preserve">, </w:t>
      </w:r>
      <w:r w:rsidR="006C5899" w:rsidRPr="0078134E">
        <w:rPr>
          <w:spacing w:val="-2"/>
          <w:kern w:val="2"/>
          <w:lang w:val="en-GB"/>
        </w:rPr>
        <w:t>i</w:t>
      </w:r>
      <w:r w:rsidR="00464E7A" w:rsidRPr="0078134E">
        <w:rPr>
          <w:spacing w:val="-2"/>
          <w:kern w:val="2"/>
          <w:lang w:val="en-GB"/>
        </w:rPr>
        <w:t>t</w:t>
      </w:r>
      <w:r w:rsidRPr="0078134E">
        <w:rPr>
          <w:spacing w:val="-2"/>
          <w:kern w:val="2"/>
          <w:lang w:val="en-GB"/>
        </w:rPr>
        <w:t xml:space="preserve"> represented the </w:t>
      </w:r>
      <w:r w:rsidR="00464E7A" w:rsidRPr="0078134E">
        <w:rPr>
          <w:spacing w:val="-2"/>
          <w:kern w:val="2"/>
          <w:lang w:val="en-GB"/>
        </w:rPr>
        <w:t>largest</w:t>
      </w:r>
      <w:r w:rsidRPr="0078134E">
        <w:rPr>
          <w:spacing w:val="-2"/>
          <w:kern w:val="2"/>
          <w:lang w:val="en-GB"/>
        </w:rPr>
        <w:t xml:space="preserve"> beer market </w:t>
      </w:r>
      <w:r w:rsidR="00464E7A" w:rsidRPr="0078134E">
        <w:rPr>
          <w:spacing w:val="-2"/>
          <w:kern w:val="2"/>
          <w:lang w:val="en-GB"/>
        </w:rPr>
        <w:t xml:space="preserve">segment </w:t>
      </w:r>
      <w:r w:rsidRPr="0078134E">
        <w:rPr>
          <w:spacing w:val="-2"/>
          <w:kern w:val="2"/>
          <w:lang w:val="en-GB"/>
        </w:rPr>
        <w:t xml:space="preserve">and could </w:t>
      </w:r>
      <w:r w:rsidR="00464E7A" w:rsidRPr="0078134E">
        <w:rPr>
          <w:spacing w:val="-2"/>
          <w:kern w:val="2"/>
          <w:lang w:val="en-GB"/>
        </w:rPr>
        <w:t>be</w:t>
      </w:r>
      <w:r w:rsidRPr="0078134E">
        <w:rPr>
          <w:spacing w:val="-2"/>
          <w:kern w:val="2"/>
          <w:lang w:val="en-GB"/>
        </w:rPr>
        <w:t xml:space="preserve"> an </w:t>
      </w:r>
      <w:r w:rsidR="00464E7A" w:rsidRPr="0078134E">
        <w:rPr>
          <w:spacing w:val="-2"/>
          <w:kern w:val="2"/>
          <w:lang w:val="en-GB"/>
        </w:rPr>
        <w:t>important</w:t>
      </w:r>
      <w:r w:rsidRPr="0078134E">
        <w:rPr>
          <w:spacing w:val="-2"/>
          <w:kern w:val="2"/>
          <w:lang w:val="en-GB"/>
        </w:rPr>
        <w:t xml:space="preserve"> source </w:t>
      </w:r>
      <w:r w:rsidR="00464E7A" w:rsidRPr="0078134E">
        <w:rPr>
          <w:spacing w:val="-2"/>
          <w:kern w:val="2"/>
          <w:lang w:val="en-GB"/>
        </w:rPr>
        <w:t xml:space="preserve">of </w:t>
      </w:r>
      <w:r w:rsidRPr="0078134E">
        <w:rPr>
          <w:spacing w:val="-2"/>
          <w:kern w:val="2"/>
          <w:lang w:val="en-GB"/>
        </w:rPr>
        <w:t>revenue</w:t>
      </w:r>
      <w:r w:rsidR="00464E7A" w:rsidRPr="0078134E">
        <w:rPr>
          <w:spacing w:val="-2"/>
          <w:kern w:val="2"/>
          <w:lang w:val="en-GB"/>
        </w:rPr>
        <w:t xml:space="preserve"> for the company</w:t>
      </w:r>
      <w:r w:rsidRPr="0078134E">
        <w:rPr>
          <w:spacing w:val="-2"/>
          <w:kern w:val="2"/>
          <w:lang w:val="en-GB"/>
        </w:rPr>
        <w:t xml:space="preserve">. </w:t>
      </w:r>
      <w:r w:rsidR="00464E7A" w:rsidRPr="0078134E">
        <w:rPr>
          <w:spacing w:val="-2"/>
          <w:kern w:val="2"/>
          <w:lang w:val="en-GB"/>
        </w:rPr>
        <w:t>Because t</w:t>
      </w:r>
      <w:r w:rsidRPr="0078134E">
        <w:rPr>
          <w:spacing w:val="-2"/>
          <w:kern w:val="2"/>
          <w:lang w:val="en-GB"/>
        </w:rPr>
        <w:t>raditional ale products had always been a</w:t>
      </w:r>
      <w:r w:rsidR="00464E7A" w:rsidRPr="0078134E">
        <w:rPr>
          <w:spacing w:val="-2"/>
          <w:kern w:val="2"/>
          <w:lang w:val="en-GB"/>
        </w:rPr>
        <w:t>ssocia</w:t>
      </w:r>
      <w:r w:rsidRPr="0078134E">
        <w:rPr>
          <w:spacing w:val="-2"/>
          <w:kern w:val="2"/>
          <w:lang w:val="en-GB"/>
        </w:rPr>
        <w:t>t</w:t>
      </w:r>
      <w:r w:rsidR="00464E7A" w:rsidRPr="0078134E">
        <w:rPr>
          <w:spacing w:val="-2"/>
          <w:kern w:val="2"/>
          <w:lang w:val="en-GB"/>
        </w:rPr>
        <w:t>ed</w:t>
      </w:r>
      <w:r w:rsidRPr="0078134E">
        <w:rPr>
          <w:spacing w:val="-2"/>
          <w:kern w:val="2"/>
          <w:lang w:val="en-GB"/>
        </w:rPr>
        <w:t xml:space="preserve"> </w:t>
      </w:r>
      <w:r w:rsidR="00464E7A" w:rsidRPr="0078134E">
        <w:rPr>
          <w:spacing w:val="-2"/>
          <w:kern w:val="2"/>
          <w:lang w:val="en-GB"/>
        </w:rPr>
        <w:t>with</w:t>
      </w:r>
      <w:r w:rsidRPr="0078134E">
        <w:rPr>
          <w:spacing w:val="-2"/>
          <w:kern w:val="2"/>
          <w:lang w:val="en-GB"/>
        </w:rPr>
        <w:t xml:space="preserve"> Wellington Brewery’s identity</w:t>
      </w:r>
      <w:r w:rsidR="00464E7A" w:rsidRPr="0078134E">
        <w:rPr>
          <w:spacing w:val="-2"/>
          <w:kern w:val="2"/>
          <w:lang w:val="en-GB"/>
        </w:rPr>
        <w:t>, adding</w:t>
      </w:r>
      <w:r w:rsidRPr="0078134E">
        <w:rPr>
          <w:spacing w:val="-2"/>
          <w:kern w:val="2"/>
          <w:lang w:val="en-GB"/>
        </w:rPr>
        <w:t xml:space="preserve"> a lager</w:t>
      </w:r>
      <w:r w:rsidR="00464E7A" w:rsidRPr="0078134E">
        <w:rPr>
          <w:spacing w:val="-2"/>
          <w:kern w:val="2"/>
          <w:lang w:val="en-GB"/>
        </w:rPr>
        <w:t xml:space="preserve"> to the product mix would</w:t>
      </w:r>
      <w:r w:rsidRPr="0078134E">
        <w:rPr>
          <w:spacing w:val="-2"/>
          <w:kern w:val="2"/>
          <w:lang w:val="en-GB"/>
        </w:rPr>
        <w:t xml:space="preserve"> require a significant shift in business culture.</w:t>
      </w:r>
    </w:p>
    <w:p w14:paraId="0597DC6C" w14:textId="6536F554" w:rsidR="009424DA" w:rsidRPr="0078134E" w:rsidRDefault="009424DA" w:rsidP="009424DA">
      <w:pPr>
        <w:pStyle w:val="BodyTextMain"/>
        <w:rPr>
          <w:sz w:val="14"/>
          <w:szCs w:val="14"/>
          <w:lang w:val="en-GB"/>
        </w:rPr>
      </w:pPr>
    </w:p>
    <w:p w14:paraId="086E7495" w14:textId="77777777" w:rsidR="009424DA" w:rsidRPr="0078134E" w:rsidRDefault="009424DA" w:rsidP="009424DA">
      <w:pPr>
        <w:pStyle w:val="BodyTextMain"/>
        <w:rPr>
          <w:sz w:val="14"/>
          <w:szCs w:val="14"/>
          <w:lang w:val="en-GB"/>
        </w:rPr>
      </w:pPr>
    </w:p>
    <w:p w14:paraId="2DEFDA7A" w14:textId="77777777" w:rsidR="009424DA" w:rsidRPr="00946435" w:rsidRDefault="009424DA" w:rsidP="009424DA">
      <w:pPr>
        <w:pStyle w:val="Casehead1"/>
        <w:rPr>
          <w:lang w:val="en-GB"/>
        </w:rPr>
      </w:pPr>
      <w:r w:rsidRPr="00946435">
        <w:rPr>
          <w:lang w:val="en-GB"/>
        </w:rPr>
        <w:t>COMPETITORS</w:t>
      </w:r>
    </w:p>
    <w:p w14:paraId="659D397C" w14:textId="77777777" w:rsidR="009424DA" w:rsidRPr="0078134E" w:rsidRDefault="009424DA" w:rsidP="009424DA">
      <w:pPr>
        <w:pStyle w:val="BodyTextMain"/>
        <w:rPr>
          <w:sz w:val="14"/>
          <w:szCs w:val="14"/>
          <w:lang w:val="en-GB"/>
        </w:rPr>
      </w:pPr>
    </w:p>
    <w:p w14:paraId="5BB3289B" w14:textId="7E606A2A" w:rsidR="009424DA" w:rsidRPr="00946435" w:rsidRDefault="009424DA" w:rsidP="009424DA">
      <w:pPr>
        <w:pStyle w:val="BodyTextMain"/>
        <w:rPr>
          <w:lang w:val="en-GB"/>
        </w:rPr>
      </w:pPr>
      <w:r w:rsidRPr="00946435">
        <w:rPr>
          <w:lang w:val="en-GB"/>
        </w:rPr>
        <w:t xml:space="preserve">Wellington Brewery viewed </w:t>
      </w:r>
      <w:r w:rsidR="004B064B" w:rsidRPr="00946435">
        <w:rPr>
          <w:lang w:val="en-GB"/>
        </w:rPr>
        <w:t xml:space="preserve">the two </w:t>
      </w:r>
      <w:r w:rsidRPr="00946435">
        <w:rPr>
          <w:lang w:val="en-GB"/>
        </w:rPr>
        <w:t xml:space="preserve">international </w:t>
      </w:r>
      <w:proofErr w:type="spellStart"/>
      <w:r w:rsidRPr="00946435">
        <w:rPr>
          <w:lang w:val="en-GB"/>
        </w:rPr>
        <w:t>macrobreweries</w:t>
      </w:r>
      <w:proofErr w:type="spellEnd"/>
      <w:r w:rsidR="004B064B" w:rsidRPr="00946435">
        <w:rPr>
          <w:lang w:val="en-GB"/>
        </w:rPr>
        <w:t>,</w:t>
      </w:r>
      <w:r w:rsidRPr="00946435">
        <w:rPr>
          <w:lang w:val="en-GB"/>
        </w:rPr>
        <w:t xml:space="preserve"> Molson Coors </w:t>
      </w:r>
      <w:r w:rsidR="00A64329">
        <w:rPr>
          <w:lang w:val="en-GB"/>
        </w:rPr>
        <w:t>Beverage</w:t>
      </w:r>
      <w:r w:rsidR="00A64329" w:rsidRPr="00946435">
        <w:rPr>
          <w:lang w:val="en-GB"/>
        </w:rPr>
        <w:t xml:space="preserve"> </w:t>
      </w:r>
      <w:r w:rsidRPr="00946435">
        <w:rPr>
          <w:lang w:val="en-GB"/>
        </w:rPr>
        <w:t>Company and Anheuser-Busch InBev</w:t>
      </w:r>
      <w:r w:rsidR="004B064B" w:rsidRPr="00946435">
        <w:rPr>
          <w:lang w:val="en-GB"/>
        </w:rPr>
        <w:t>,</w:t>
      </w:r>
      <w:r w:rsidRPr="00946435">
        <w:rPr>
          <w:lang w:val="en-GB"/>
        </w:rPr>
        <w:t xml:space="preserve"> as </w:t>
      </w:r>
      <w:r w:rsidR="004B064B" w:rsidRPr="00946435">
        <w:rPr>
          <w:lang w:val="en-GB"/>
        </w:rPr>
        <w:t xml:space="preserve">major </w:t>
      </w:r>
      <w:r w:rsidRPr="00946435">
        <w:rPr>
          <w:lang w:val="en-GB"/>
        </w:rPr>
        <w:t xml:space="preserve">competitors </w:t>
      </w:r>
      <w:r w:rsidR="004B064B" w:rsidRPr="00946435">
        <w:rPr>
          <w:lang w:val="en-GB"/>
        </w:rPr>
        <w:t>in</w:t>
      </w:r>
      <w:r w:rsidRPr="00946435">
        <w:rPr>
          <w:lang w:val="en-GB"/>
        </w:rPr>
        <w:t xml:space="preserve"> </w:t>
      </w:r>
      <w:r w:rsidR="004B064B" w:rsidRPr="00946435">
        <w:rPr>
          <w:lang w:val="en-GB"/>
        </w:rPr>
        <w:t>Canada’s</w:t>
      </w:r>
      <w:r w:rsidRPr="00946435">
        <w:rPr>
          <w:lang w:val="en-GB"/>
        </w:rPr>
        <w:t xml:space="preserve"> overall brewing industry. </w:t>
      </w:r>
      <w:r w:rsidR="004B064B" w:rsidRPr="00946435">
        <w:rPr>
          <w:lang w:val="en-GB"/>
        </w:rPr>
        <w:t>Wellington Brewery’s</w:t>
      </w:r>
      <w:r w:rsidR="00946435" w:rsidRPr="00946435">
        <w:rPr>
          <w:lang w:val="en-GB"/>
        </w:rPr>
        <w:t xml:space="preserve"> </w:t>
      </w:r>
      <w:r w:rsidRPr="00946435">
        <w:rPr>
          <w:lang w:val="en-GB"/>
        </w:rPr>
        <w:t>mainstream beers</w:t>
      </w:r>
      <w:r w:rsidR="00D1500C" w:rsidRPr="00946435">
        <w:rPr>
          <w:lang w:val="en-GB"/>
        </w:rPr>
        <w:t xml:space="preserve"> were intended to</w:t>
      </w:r>
      <w:r w:rsidRPr="00946435">
        <w:rPr>
          <w:lang w:val="en-GB"/>
        </w:rPr>
        <w:t xml:space="preserve"> increas</w:t>
      </w:r>
      <w:r w:rsidR="00D1500C" w:rsidRPr="00946435">
        <w:rPr>
          <w:lang w:val="en-GB"/>
        </w:rPr>
        <w:t>e</w:t>
      </w:r>
      <w:r w:rsidRPr="00946435">
        <w:rPr>
          <w:lang w:val="en-GB"/>
        </w:rPr>
        <w:t xml:space="preserve"> sales</w:t>
      </w:r>
      <w:r w:rsidR="004B064B" w:rsidRPr="00946435">
        <w:rPr>
          <w:lang w:val="en-GB"/>
        </w:rPr>
        <w:t xml:space="preserve"> and faced</w:t>
      </w:r>
      <w:r w:rsidRPr="00946435">
        <w:rPr>
          <w:lang w:val="en-GB"/>
        </w:rPr>
        <w:t xml:space="preserve"> direct competition for shelf space </w:t>
      </w:r>
      <w:r w:rsidR="004B064B" w:rsidRPr="00946435">
        <w:rPr>
          <w:lang w:val="en-GB"/>
        </w:rPr>
        <w:t>from</w:t>
      </w:r>
      <w:r w:rsidRPr="00946435">
        <w:rPr>
          <w:lang w:val="en-GB"/>
        </w:rPr>
        <w:t xml:space="preserve"> the</w:t>
      </w:r>
      <w:r w:rsidR="00D1500C" w:rsidRPr="00946435">
        <w:rPr>
          <w:lang w:val="en-GB"/>
        </w:rPr>
        <w:t xml:space="preserve"> two</w:t>
      </w:r>
      <w:r w:rsidRPr="00946435">
        <w:rPr>
          <w:lang w:val="en-GB"/>
        </w:rPr>
        <w:t xml:space="preserve"> brewer</w:t>
      </w:r>
      <w:r w:rsidR="00D1500C" w:rsidRPr="00946435">
        <w:rPr>
          <w:lang w:val="en-GB"/>
        </w:rPr>
        <w:t>y giant</w:t>
      </w:r>
      <w:r w:rsidRPr="00946435">
        <w:rPr>
          <w:lang w:val="en-GB"/>
        </w:rPr>
        <w:t xml:space="preserve">s. </w:t>
      </w:r>
      <w:r w:rsidR="004B064B" w:rsidRPr="00946435">
        <w:rPr>
          <w:lang w:val="en-GB"/>
        </w:rPr>
        <w:t>However, o</w:t>
      </w:r>
      <w:r w:rsidRPr="00946435">
        <w:rPr>
          <w:lang w:val="en-GB"/>
        </w:rPr>
        <w:t xml:space="preserve">ver the </w:t>
      </w:r>
      <w:r w:rsidR="00D1500C" w:rsidRPr="00946435">
        <w:rPr>
          <w:lang w:val="en-GB"/>
        </w:rPr>
        <w:t>previous</w:t>
      </w:r>
      <w:r w:rsidRPr="00946435">
        <w:rPr>
          <w:lang w:val="en-GB"/>
        </w:rPr>
        <w:t xml:space="preserve"> three years, the </w:t>
      </w:r>
      <w:r w:rsidR="00D1500C" w:rsidRPr="00946435">
        <w:rPr>
          <w:lang w:val="en-GB"/>
        </w:rPr>
        <w:t xml:space="preserve">overall </w:t>
      </w:r>
      <w:r w:rsidRPr="00946435">
        <w:rPr>
          <w:lang w:val="en-GB"/>
        </w:rPr>
        <w:t>craft brew</w:t>
      </w:r>
      <w:r w:rsidR="00D1500C" w:rsidRPr="00946435">
        <w:rPr>
          <w:lang w:val="en-GB"/>
        </w:rPr>
        <w:t>ery</w:t>
      </w:r>
      <w:r w:rsidRPr="00946435">
        <w:rPr>
          <w:lang w:val="en-GB"/>
        </w:rPr>
        <w:t xml:space="preserve"> </w:t>
      </w:r>
      <w:r w:rsidR="00D1500C" w:rsidRPr="00946435">
        <w:rPr>
          <w:lang w:val="en-GB"/>
        </w:rPr>
        <w:t>segment</w:t>
      </w:r>
      <w:r w:rsidRPr="00946435">
        <w:rPr>
          <w:lang w:val="en-GB"/>
        </w:rPr>
        <w:t xml:space="preserve"> had </w:t>
      </w:r>
      <w:r w:rsidR="00D1500C" w:rsidRPr="00946435">
        <w:rPr>
          <w:lang w:val="en-GB"/>
        </w:rPr>
        <w:t>helped</w:t>
      </w:r>
      <w:r w:rsidRPr="00946435">
        <w:rPr>
          <w:lang w:val="en-GB"/>
        </w:rPr>
        <w:t xml:space="preserve"> flatten</w:t>
      </w:r>
      <w:r w:rsidR="00D1500C" w:rsidRPr="00946435">
        <w:rPr>
          <w:lang w:val="en-GB"/>
        </w:rPr>
        <w:t xml:space="preserve"> </w:t>
      </w:r>
      <w:r w:rsidR="004B064B" w:rsidRPr="00946435">
        <w:rPr>
          <w:lang w:val="en-GB"/>
        </w:rPr>
        <w:t xml:space="preserve">Canadian </w:t>
      </w:r>
      <w:r w:rsidR="00D1500C" w:rsidRPr="00946435">
        <w:rPr>
          <w:lang w:val="en-GB"/>
        </w:rPr>
        <w:t>sales volumes</w:t>
      </w:r>
      <w:r w:rsidRPr="00946435">
        <w:rPr>
          <w:lang w:val="en-GB"/>
        </w:rPr>
        <w:t xml:space="preserve"> </w:t>
      </w:r>
      <w:r w:rsidR="00D1500C" w:rsidRPr="00946435">
        <w:rPr>
          <w:lang w:val="en-GB"/>
        </w:rPr>
        <w:t>o</w:t>
      </w:r>
      <w:r w:rsidRPr="00946435">
        <w:rPr>
          <w:lang w:val="en-GB"/>
        </w:rPr>
        <w:t xml:space="preserve">f the </w:t>
      </w:r>
      <w:r w:rsidR="00D1500C" w:rsidRPr="00946435">
        <w:rPr>
          <w:lang w:val="en-GB"/>
        </w:rPr>
        <w:t>two</w:t>
      </w:r>
      <w:r w:rsidRPr="00946435">
        <w:rPr>
          <w:lang w:val="en-GB"/>
        </w:rPr>
        <w:t xml:space="preserve"> </w:t>
      </w:r>
      <w:r w:rsidR="00D1500C" w:rsidRPr="00946435">
        <w:rPr>
          <w:lang w:val="en-GB"/>
        </w:rPr>
        <w:t xml:space="preserve">multinational </w:t>
      </w:r>
      <w:r w:rsidRPr="00946435">
        <w:rPr>
          <w:lang w:val="en-GB"/>
        </w:rPr>
        <w:t xml:space="preserve">breweries, </w:t>
      </w:r>
      <w:r w:rsidR="00D1500C" w:rsidRPr="00946435">
        <w:rPr>
          <w:lang w:val="en-GB"/>
        </w:rPr>
        <w:t xml:space="preserve">which </w:t>
      </w:r>
      <w:r w:rsidRPr="00946435">
        <w:rPr>
          <w:lang w:val="en-GB"/>
        </w:rPr>
        <w:t>reflect</w:t>
      </w:r>
      <w:r w:rsidR="004B064B" w:rsidRPr="00946435">
        <w:rPr>
          <w:lang w:val="en-GB"/>
        </w:rPr>
        <w:t>ed</w:t>
      </w:r>
      <w:r w:rsidRPr="00946435">
        <w:rPr>
          <w:lang w:val="en-GB"/>
        </w:rPr>
        <w:t xml:space="preserve"> </w:t>
      </w:r>
      <w:r w:rsidR="00D1500C" w:rsidRPr="00946435">
        <w:rPr>
          <w:lang w:val="en-GB"/>
        </w:rPr>
        <w:t>a consumer</w:t>
      </w:r>
      <w:r w:rsidRPr="00946435">
        <w:rPr>
          <w:lang w:val="en-GB"/>
        </w:rPr>
        <w:t xml:space="preserve"> trend </w:t>
      </w:r>
      <w:r w:rsidR="00D1500C" w:rsidRPr="00946435">
        <w:rPr>
          <w:lang w:val="en-GB"/>
        </w:rPr>
        <w:t>away from traditional</w:t>
      </w:r>
      <w:r w:rsidRPr="00946435">
        <w:rPr>
          <w:lang w:val="en-GB"/>
        </w:rPr>
        <w:t xml:space="preserve"> beer consumption.</w:t>
      </w:r>
      <w:r w:rsidRPr="00946435">
        <w:rPr>
          <w:rStyle w:val="EndnoteReference"/>
          <w:lang w:val="en-GB"/>
        </w:rPr>
        <w:endnoteReference w:id="27"/>
      </w:r>
    </w:p>
    <w:p w14:paraId="0329A4FE" w14:textId="77777777" w:rsidR="009424DA" w:rsidRPr="0078134E" w:rsidRDefault="009424DA" w:rsidP="009424DA">
      <w:pPr>
        <w:pStyle w:val="BodyTextMain"/>
        <w:rPr>
          <w:sz w:val="14"/>
          <w:szCs w:val="14"/>
          <w:lang w:val="en-GB"/>
        </w:rPr>
      </w:pPr>
    </w:p>
    <w:p w14:paraId="6FAB6037" w14:textId="53D5D1BB" w:rsidR="009424DA" w:rsidRPr="00946435" w:rsidRDefault="009424DA" w:rsidP="009424DA">
      <w:pPr>
        <w:pStyle w:val="BodyTextMain"/>
        <w:rPr>
          <w:lang w:val="en-GB"/>
        </w:rPr>
      </w:pPr>
      <w:r w:rsidRPr="00946435">
        <w:rPr>
          <w:lang w:val="en-GB"/>
        </w:rPr>
        <w:t xml:space="preserve">Wellington Brewery saw </w:t>
      </w:r>
      <w:r w:rsidR="004B064B" w:rsidRPr="00946435">
        <w:rPr>
          <w:lang w:val="en-GB"/>
        </w:rPr>
        <w:t xml:space="preserve">all </w:t>
      </w:r>
      <w:r w:rsidRPr="00946435">
        <w:rPr>
          <w:lang w:val="en-GB"/>
        </w:rPr>
        <w:t>other craft brewer</w:t>
      </w:r>
      <w:r w:rsidR="00D56902" w:rsidRPr="00946435">
        <w:rPr>
          <w:lang w:val="en-GB"/>
        </w:rPr>
        <w:t>ie</w:t>
      </w:r>
      <w:r w:rsidRPr="00946435">
        <w:rPr>
          <w:lang w:val="en-GB"/>
        </w:rPr>
        <w:t xml:space="preserve">s as collaborators, </w:t>
      </w:r>
      <w:r w:rsidR="006C5899" w:rsidRPr="00946435">
        <w:rPr>
          <w:lang w:val="en-GB"/>
        </w:rPr>
        <w:t xml:space="preserve">but </w:t>
      </w:r>
      <w:r w:rsidR="004B064B" w:rsidRPr="00946435">
        <w:rPr>
          <w:lang w:val="en-GB"/>
        </w:rPr>
        <w:t>it nonetheless</w:t>
      </w:r>
      <w:r w:rsidRPr="00946435">
        <w:rPr>
          <w:lang w:val="en-GB"/>
        </w:rPr>
        <w:t xml:space="preserve"> compete</w:t>
      </w:r>
      <w:r w:rsidR="004B064B" w:rsidRPr="00946435">
        <w:rPr>
          <w:lang w:val="en-GB"/>
        </w:rPr>
        <w:t>d</w:t>
      </w:r>
      <w:r w:rsidRPr="00946435">
        <w:rPr>
          <w:lang w:val="en-GB"/>
        </w:rPr>
        <w:t xml:space="preserve"> against local </w:t>
      </w:r>
      <w:r w:rsidR="004B064B" w:rsidRPr="00946435">
        <w:rPr>
          <w:lang w:val="en-GB"/>
        </w:rPr>
        <w:t>and nearby craft brewer</w:t>
      </w:r>
      <w:r w:rsidR="00D56902" w:rsidRPr="00946435">
        <w:rPr>
          <w:lang w:val="en-GB"/>
        </w:rPr>
        <w:t>ie</w:t>
      </w:r>
      <w:r w:rsidR="004B064B" w:rsidRPr="00946435">
        <w:rPr>
          <w:lang w:val="en-GB"/>
        </w:rPr>
        <w:t>s. For example,</w:t>
      </w:r>
      <w:r w:rsidRPr="00946435">
        <w:rPr>
          <w:lang w:val="en-GB"/>
        </w:rPr>
        <w:t xml:space="preserve"> Guelph</w:t>
      </w:r>
      <w:r w:rsidR="004B064B" w:rsidRPr="00946435">
        <w:rPr>
          <w:lang w:val="en-GB"/>
        </w:rPr>
        <w:t>’s</w:t>
      </w:r>
      <w:r w:rsidRPr="00946435">
        <w:rPr>
          <w:lang w:val="en-GB"/>
        </w:rPr>
        <w:t xml:space="preserve"> innovative small-batch craft brewer</w:t>
      </w:r>
      <w:r w:rsidR="004B064B" w:rsidRPr="00946435">
        <w:rPr>
          <w:lang w:val="en-GB"/>
        </w:rPr>
        <w:t>y</w:t>
      </w:r>
      <w:r w:rsidRPr="00946435">
        <w:rPr>
          <w:lang w:val="en-GB"/>
        </w:rPr>
        <w:t xml:space="preserve"> </w:t>
      </w:r>
      <w:r w:rsidR="00B50440" w:rsidRPr="00946435">
        <w:rPr>
          <w:lang w:val="en-GB"/>
        </w:rPr>
        <w:t>was home to Royal City</w:t>
      </w:r>
      <w:r w:rsidR="001C7F9D" w:rsidRPr="00946435">
        <w:rPr>
          <w:lang w:val="en-GB"/>
        </w:rPr>
        <w:t xml:space="preserve"> Brewery</w:t>
      </w:r>
      <w:r w:rsidR="00B50440" w:rsidRPr="00946435">
        <w:rPr>
          <w:lang w:val="en-GB"/>
        </w:rPr>
        <w:t xml:space="preserve"> and </w:t>
      </w:r>
      <w:r w:rsidRPr="00946435">
        <w:rPr>
          <w:lang w:val="en-GB"/>
        </w:rPr>
        <w:t>Fixed Gear Brewing</w:t>
      </w:r>
      <w:r w:rsidR="00D1147F">
        <w:rPr>
          <w:lang w:val="en-GB"/>
        </w:rPr>
        <w:t>, while</w:t>
      </w:r>
      <w:r w:rsidR="004B064B" w:rsidRPr="00946435">
        <w:rPr>
          <w:lang w:val="en-GB"/>
        </w:rPr>
        <w:t xml:space="preserve"> </w:t>
      </w:r>
      <w:r w:rsidR="00A64329">
        <w:rPr>
          <w:lang w:val="en-GB"/>
        </w:rPr>
        <w:t>i</w:t>
      </w:r>
      <w:r w:rsidR="004B064B" w:rsidRPr="00946435">
        <w:rPr>
          <w:lang w:val="en-GB"/>
        </w:rPr>
        <w:t xml:space="preserve">n nearby Waterloo, the </w:t>
      </w:r>
      <w:r w:rsidRPr="00946435">
        <w:rPr>
          <w:lang w:val="en-GB"/>
        </w:rPr>
        <w:t>mid-sized multi-branded brewer</w:t>
      </w:r>
      <w:r w:rsidR="004B064B" w:rsidRPr="00946435">
        <w:rPr>
          <w:lang w:val="en-GB"/>
        </w:rPr>
        <w:t>y</w:t>
      </w:r>
      <w:r w:rsidRPr="00946435">
        <w:rPr>
          <w:lang w:val="en-GB"/>
        </w:rPr>
        <w:t xml:space="preserve"> Waterloo Brewing</w:t>
      </w:r>
      <w:r w:rsidR="004B064B" w:rsidRPr="00946435">
        <w:rPr>
          <w:lang w:val="en-GB"/>
        </w:rPr>
        <w:t xml:space="preserve"> Ltd. had earned annual</w:t>
      </w:r>
      <w:r w:rsidRPr="00946435">
        <w:rPr>
          <w:lang w:val="en-GB"/>
        </w:rPr>
        <w:t xml:space="preserve"> revenue of $53.7 million</w:t>
      </w:r>
      <w:r w:rsidR="004B064B" w:rsidRPr="00946435">
        <w:rPr>
          <w:lang w:val="en-GB"/>
        </w:rPr>
        <w:t xml:space="preserve"> </w:t>
      </w:r>
      <w:r w:rsidR="000C3D87" w:rsidRPr="00946435">
        <w:rPr>
          <w:lang w:val="en-GB"/>
        </w:rPr>
        <w:t>in 2019</w:t>
      </w:r>
      <w:r w:rsidR="004B064B" w:rsidRPr="00946435">
        <w:rPr>
          <w:lang w:val="en-GB"/>
        </w:rPr>
        <w:t>.</w:t>
      </w:r>
      <w:r w:rsidRPr="00946435">
        <w:rPr>
          <w:rStyle w:val="EndnoteReference"/>
          <w:lang w:val="en-GB"/>
        </w:rPr>
        <w:endnoteReference w:id="28"/>
      </w:r>
      <w:r w:rsidR="004B064B" w:rsidRPr="00946435">
        <w:rPr>
          <w:lang w:val="en-GB"/>
        </w:rPr>
        <w:t xml:space="preserve"> Guelph was also home to </w:t>
      </w:r>
      <w:proofErr w:type="spellStart"/>
      <w:r w:rsidR="004B064B" w:rsidRPr="00946435">
        <w:rPr>
          <w:lang w:val="en-GB"/>
        </w:rPr>
        <w:t>Sleem</w:t>
      </w:r>
      <w:r w:rsidR="0028101C" w:rsidRPr="00946435">
        <w:rPr>
          <w:lang w:val="en-GB"/>
        </w:rPr>
        <w:t>a</w:t>
      </w:r>
      <w:r w:rsidR="004B064B" w:rsidRPr="00946435">
        <w:rPr>
          <w:lang w:val="en-GB"/>
        </w:rPr>
        <w:t>n</w:t>
      </w:r>
      <w:proofErr w:type="spellEnd"/>
      <w:r w:rsidR="004B064B" w:rsidRPr="00946435">
        <w:rPr>
          <w:lang w:val="en-GB"/>
        </w:rPr>
        <w:t xml:space="preserve"> Breweries</w:t>
      </w:r>
      <w:r w:rsidR="00A51910" w:rsidRPr="00946435">
        <w:rPr>
          <w:lang w:val="en-GB"/>
        </w:rPr>
        <w:t xml:space="preserve"> (owned by Sapporo Brewe</w:t>
      </w:r>
      <w:r w:rsidR="00523716" w:rsidRPr="00946435">
        <w:rPr>
          <w:lang w:val="en-GB"/>
        </w:rPr>
        <w:t>ries)</w:t>
      </w:r>
      <w:r w:rsidR="0028101C" w:rsidRPr="00946435">
        <w:rPr>
          <w:lang w:val="en-GB"/>
        </w:rPr>
        <w:t>,</w:t>
      </w:r>
      <w:r w:rsidR="004B064B" w:rsidRPr="00946435">
        <w:rPr>
          <w:lang w:val="en-GB"/>
        </w:rPr>
        <w:t xml:space="preserve"> a</w:t>
      </w:r>
      <w:r w:rsidRPr="00946435">
        <w:rPr>
          <w:lang w:val="en-GB"/>
        </w:rPr>
        <w:t xml:space="preserve"> </w:t>
      </w:r>
      <w:r w:rsidR="006C5899" w:rsidRPr="00946435">
        <w:rPr>
          <w:lang w:val="en-GB"/>
        </w:rPr>
        <w:t xml:space="preserve">large traditional brewery </w:t>
      </w:r>
      <w:r w:rsidR="004B064B" w:rsidRPr="00946435">
        <w:rPr>
          <w:lang w:val="en-GB"/>
        </w:rPr>
        <w:t>that sold both</w:t>
      </w:r>
      <w:r w:rsidRPr="00946435">
        <w:rPr>
          <w:lang w:val="en-GB"/>
        </w:rPr>
        <w:t xml:space="preserve"> domestic and imported beer </w:t>
      </w:r>
      <w:r w:rsidR="004B064B" w:rsidRPr="00946435">
        <w:rPr>
          <w:lang w:val="en-GB"/>
        </w:rPr>
        <w:t>products.</w:t>
      </w:r>
    </w:p>
    <w:p w14:paraId="687A0745" w14:textId="25D38F0D" w:rsidR="009424DA" w:rsidRPr="00946435" w:rsidRDefault="009424DA" w:rsidP="009424DA">
      <w:pPr>
        <w:pStyle w:val="Casehead1"/>
        <w:rPr>
          <w:lang w:val="en-GB"/>
        </w:rPr>
      </w:pPr>
      <w:r w:rsidRPr="00946435">
        <w:rPr>
          <w:lang w:val="en-GB"/>
        </w:rPr>
        <w:lastRenderedPageBreak/>
        <w:t xml:space="preserve">THE PRODUCTION OF BEER </w:t>
      </w:r>
    </w:p>
    <w:p w14:paraId="2C75D190" w14:textId="77777777" w:rsidR="009424DA" w:rsidRPr="00946435" w:rsidRDefault="009424DA" w:rsidP="009424DA">
      <w:pPr>
        <w:pStyle w:val="BodyTextMain"/>
        <w:rPr>
          <w:lang w:val="en-GB"/>
        </w:rPr>
      </w:pPr>
    </w:p>
    <w:p w14:paraId="3EF53F94" w14:textId="281A904B" w:rsidR="009424DA" w:rsidRPr="00946435" w:rsidRDefault="009424DA" w:rsidP="009424DA">
      <w:pPr>
        <w:pStyle w:val="BodyTextMain"/>
        <w:rPr>
          <w:lang w:val="en-GB"/>
        </w:rPr>
      </w:pPr>
      <w:r w:rsidRPr="00946435">
        <w:rPr>
          <w:lang w:val="en-GB"/>
        </w:rPr>
        <w:t>Beer had been produced in Canada since 1646. Key ingredients in the production of beer included malts (</w:t>
      </w:r>
      <w:r w:rsidR="005559C3" w:rsidRPr="00946435">
        <w:rPr>
          <w:lang w:val="en-GB"/>
        </w:rPr>
        <w:t xml:space="preserve">i.e., </w:t>
      </w:r>
      <w:r w:rsidRPr="00946435">
        <w:rPr>
          <w:lang w:val="en-GB"/>
        </w:rPr>
        <w:t>converted grains, often barley), hops (</w:t>
      </w:r>
      <w:r w:rsidR="005559C3" w:rsidRPr="00946435">
        <w:rPr>
          <w:lang w:val="en-GB"/>
        </w:rPr>
        <w:t xml:space="preserve">i.e., </w:t>
      </w:r>
      <w:r w:rsidRPr="00946435">
        <w:rPr>
          <w:lang w:val="en-GB"/>
        </w:rPr>
        <w:t>flowers of the hop plant), and yeast</w:t>
      </w:r>
      <w:r w:rsidR="005559C3" w:rsidRPr="00946435">
        <w:rPr>
          <w:lang w:val="en-GB"/>
        </w:rPr>
        <w:t>. Specific</w:t>
      </w:r>
      <w:r w:rsidRPr="00946435">
        <w:rPr>
          <w:lang w:val="en-GB"/>
        </w:rPr>
        <w:t xml:space="preserve"> temperatures and times depend</w:t>
      </w:r>
      <w:r w:rsidR="005559C3" w:rsidRPr="00946435">
        <w:rPr>
          <w:lang w:val="en-GB"/>
        </w:rPr>
        <w:t>ed</w:t>
      </w:r>
      <w:r w:rsidRPr="00946435">
        <w:rPr>
          <w:lang w:val="en-GB"/>
        </w:rPr>
        <w:t xml:space="preserve"> on the </w:t>
      </w:r>
      <w:r w:rsidR="005559C3" w:rsidRPr="00946435">
        <w:rPr>
          <w:lang w:val="en-GB"/>
        </w:rPr>
        <w:t xml:space="preserve">beer’s </w:t>
      </w:r>
      <w:r w:rsidRPr="00946435">
        <w:rPr>
          <w:lang w:val="en-GB"/>
        </w:rPr>
        <w:t>recipe. Yeasts were re-added throughout the process to produce sugars, some of which transformed into alcohol.</w:t>
      </w:r>
      <w:r w:rsidRPr="00946435">
        <w:rPr>
          <w:rStyle w:val="EndnoteReference"/>
          <w:lang w:val="en-GB"/>
        </w:rPr>
        <w:endnoteReference w:id="29"/>
      </w:r>
      <w:r w:rsidRPr="00946435">
        <w:rPr>
          <w:lang w:val="en-GB"/>
        </w:rPr>
        <w:t xml:space="preserve"> The </w:t>
      </w:r>
      <w:r w:rsidR="005559C3" w:rsidRPr="00946435">
        <w:rPr>
          <w:lang w:val="en-GB"/>
        </w:rPr>
        <w:t xml:space="preserve">company’s </w:t>
      </w:r>
      <w:r w:rsidRPr="00946435">
        <w:rPr>
          <w:lang w:val="en-GB"/>
        </w:rPr>
        <w:t xml:space="preserve">brewmaster </w:t>
      </w:r>
      <w:r w:rsidR="005559C3" w:rsidRPr="00946435">
        <w:rPr>
          <w:lang w:val="en-GB"/>
        </w:rPr>
        <w:t xml:space="preserve">would </w:t>
      </w:r>
      <w:r w:rsidRPr="00946435">
        <w:rPr>
          <w:lang w:val="en-GB"/>
        </w:rPr>
        <w:t xml:space="preserve">create recipes </w:t>
      </w:r>
      <w:r w:rsidR="005559C3" w:rsidRPr="00946435">
        <w:rPr>
          <w:lang w:val="en-GB"/>
        </w:rPr>
        <w:t>for</w:t>
      </w:r>
      <w:r w:rsidRPr="00946435">
        <w:rPr>
          <w:lang w:val="en-GB"/>
        </w:rPr>
        <w:t xml:space="preserve"> traditional </w:t>
      </w:r>
      <w:r w:rsidR="00964FEC">
        <w:rPr>
          <w:lang w:val="en-GB"/>
        </w:rPr>
        <w:t xml:space="preserve">beer </w:t>
      </w:r>
      <w:r w:rsidRPr="00946435">
        <w:rPr>
          <w:lang w:val="en-GB"/>
        </w:rPr>
        <w:t xml:space="preserve">(e.g., lager or ale) or experimental </w:t>
      </w:r>
      <w:r w:rsidR="005559C3" w:rsidRPr="00946435">
        <w:rPr>
          <w:lang w:val="en-GB"/>
        </w:rPr>
        <w:t xml:space="preserve">beer </w:t>
      </w:r>
      <w:r w:rsidR="00D1147F" w:rsidRPr="00946435">
        <w:rPr>
          <w:lang w:val="en-GB"/>
        </w:rPr>
        <w:t>(e.g., sour fruit beer)</w:t>
      </w:r>
      <w:r w:rsidR="00D1147F">
        <w:rPr>
          <w:lang w:val="en-GB"/>
        </w:rPr>
        <w:t xml:space="preserve"> </w:t>
      </w:r>
      <w:r w:rsidR="005559C3" w:rsidRPr="00946435">
        <w:rPr>
          <w:lang w:val="en-GB"/>
        </w:rPr>
        <w:t>by using</w:t>
      </w:r>
      <w:r w:rsidRPr="00946435">
        <w:rPr>
          <w:lang w:val="en-GB"/>
        </w:rPr>
        <w:t xml:space="preserve"> a variety of additives and </w:t>
      </w:r>
      <w:r w:rsidR="005559C3" w:rsidRPr="00946435">
        <w:rPr>
          <w:lang w:val="en-GB"/>
        </w:rPr>
        <w:t>customizations</w:t>
      </w:r>
      <w:r w:rsidRPr="00946435">
        <w:rPr>
          <w:lang w:val="en-GB"/>
        </w:rPr>
        <w:t xml:space="preserve">. Compared </w:t>
      </w:r>
      <w:r w:rsidR="00D1147F">
        <w:rPr>
          <w:lang w:val="en-GB"/>
        </w:rPr>
        <w:t>with</w:t>
      </w:r>
      <w:r w:rsidR="00D1147F" w:rsidRPr="00946435">
        <w:rPr>
          <w:lang w:val="en-GB"/>
        </w:rPr>
        <w:t xml:space="preserve"> </w:t>
      </w:r>
      <w:r w:rsidR="005559C3" w:rsidRPr="00946435">
        <w:rPr>
          <w:lang w:val="en-GB"/>
        </w:rPr>
        <w:t>both smaller</w:t>
      </w:r>
      <w:r w:rsidRPr="00946435">
        <w:rPr>
          <w:lang w:val="en-GB"/>
        </w:rPr>
        <w:t xml:space="preserve"> craft brewer</w:t>
      </w:r>
      <w:r w:rsidR="00D56902" w:rsidRPr="00946435">
        <w:rPr>
          <w:lang w:val="en-GB"/>
        </w:rPr>
        <w:t>ie</w:t>
      </w:r>
      <w:r w:rsidRPr="00946435">
        <w:rPr>
          <w:lang w:val="en-GB"/>
        </w:rPr>
        <w:t>s and large</w:t>
      </w:r>
      <w:r w:rsidR="005559C3" w:rsidRPr="00946435">
        <w:rPr>
          <w:lang w:val="en-GB"/>
        </w:rPr>
        <w:t>r</w:t>
      </w:r>
      <w:r w:rsidRPr="00946435">
        <w:rPr>
          <w:lang w:val="en-GB"/>
        </w:rPr>
        <w:t xml:space="preserve"> </w:t>
      </w:r>
      <w:r w:rsidR="005559C3" w:rsidRPr="00946435">
        <w:rPr>
          <w:lang w:val="en-GB"/>
        </w:rPr>
        <w:t xml:space="preserve">traditional </w:t>
      </w:r>
      <w:r w:rsidRPr="00946435">
        <w:rPr>
          <w:lang w:val="en-GB"/>
        </w:rPr>
        <w:t>breweries, Wellington Brewery</w:t>
      </w:r>
      <w:r w:rsidR="0041685C" w:rsidRPr="00946435">
        <w:rPr>
          <w:lang w:val="en-GB"/>
        </w:rPr>
        <w:t>’s advantage</w:t>
      </w:r>
      <w:r w:rsidRPr="00946435">
        <w:rPr>
          <w:lang w:val="en-GB"/>
        </w:rPr>
        <w:t xml:space="preserve"> was </w:t>
      </w:r>
      <w:r w:rsidR="0041685C" w:rsidRPr="00946435">
        <w:rPr>
          <w:lang w:val="en-GB"/>
        </w:rPr>
        <w:t>i</w:t>
      </w:r>
      <w:r w:rsidRPr="00946435">
        <w:rPr>
          <w:lang w:val="en-GB"/>
        </w:rPr>
        <w:t>t</w:t>
      </w:r>
      <w:r w:rsidR="0041685C" w:rsidRPr="00946435">
        <w:rPr>
          <w:lang w:val="en-GB"/>
        </w:rPr>
        <w:t>s</w:t>
      </w:r>
      <w:r w:rsidRPr="00946435">
        <w:rPr>
          <w:lang w:val="en-GB"/>
        </w:rPr>
        <w:t xml:space="preserve"> ability to produce large </w:t>
      </w:r>
      <w:r w:rsidR="0041685C" w:rsidRPr="00946435">
        <w:rPr>
          <w:lang w:val="en-GB"/>
        </w:rPr>
        <w:t>amounts</w:t>
      </w:r>
      <w:r w:rsidRPr="00946435">
        <w:rPr>
          <w:lang w:val="en-GB"/>
        </w:rPr>
        <w:t xml:space="preserve"> of experimental beer, </w:t>
      </w:r>
      <w:r w:rsidR="0041685C" w:rsidRPr="00946435">
        <w:rPr>
          <w:lang w:val="en-GB"/>
        </w:rPr>
        <w:t>al</w:t>
      </w:r>
      <w:r w:rsidRPr="00946435">
        <w:rPr>
          <w:lang w:val="en-GB"/>
        </w:rPr>
        <w:t xml:space="preserve">though some ingredients and additives proved challenging </w:t>
      </w:r>
      <w:r w:rsidR="0041685C" w:rsidRPr="00946435">
        <w:rPr>
          <w:lang w:val="en-GB"/>
        </w:rPr>
        <w:t>to</w:t>
      </w:r>
      <w:r w:rsidRPr="00946435">
        <w:rPr>
          <w:lang w:val="en-GB"/>
        </w:rPr>
        <w:t xml:space="preserve"> scal</w:t>
      </w:r>
      <w:r w:rsidR="0041685C" w:rsidRPr="00946435">
        <w:rPr>
          <w:lang w:val="en-GB"/>
        </w:rPr>
        <w:t>e for high volumes</w:t>
      </w:r>
      <w:r w:rsidRPr="00946435">
        <w:rPr>
          <w:lang w:val="en-GB"/>
        </w:rPr>
        <w:t>.</w:t>
      </w:r>
    </w:p>
    <w:p w14:paraId="6194E86E" w14:textId="77777777" w:rsidR="009424DA" w:rsidRPr="00946435" w:rsidRDefault="009424DA" w:rsidP="009424DA">
      <w:pPr>
        <w:pStyle w:val="BodyTextMain"/>
        <w:rPr>
          <w:lang w:val="en-GB"/>
        </w:rPr>
      </w:pPr>
    </w:p>
    <w:p w14:paraId="577AD2BF" w14:textId="3826B8EA" w:rsidR="009424DA" w:rsidRPr="00946435" w:rsidRDefault="0041685C" w:rsidP="009424DA">
      <w:pPr>
        <w:pStyle w:val="BodyTextMain"/>
        <w:rPr>
          <w:lang w:val="en-GB"/>
        </w:rPr>
      </w:pPr>
      <w:r w:rsidRPr="00946435">
        <w:rPr>
          <w:lang w:val="en-GB"/>
        </w:rPr>
        <w:t>T</w:t>
      </w:r>
      <w:r w:rsidR="009424DA" w:rsidRPr="00946435">
        <w:rPr>
          <w:lang w:val="en-GB"/>
        </w:rPr>
        <w:t>he addition of new canning and brewing equipment</w:t>
      </w:r>
      <w:r w:rsidRPr="00946435">
        <w:rPr>
          <w:lang w:val="en-GB"/>
        </w:rPr>
        <w:t xml:space="preserve"> enabled</w:t>
      </w:r>
      <w:r w:rsidR="009424DA" w:rsidRPr="00946435">
        <w:rPr>
          <w:lang w:val="en-GB"/>
        </w:rPr>
        <w:t xml:space="preserve"> Wellington Brewery </w:t>
      </w:r>
      <w:r w:rsidRPr="00946435">
        <w:rPr>
          <w:lang w:val="en-GB"/>
        </w:rPr>
        <w:t xml:space="preserve">to </w:t>
      </w:r>
      <w:r w:rsidR="009424DA" w:rsidRPr="00946435">
        <w:rPr>
          <w:lang w:val="en-GB"/>
        </w:rPr>
        <w:t xml:space="preserve">significantly increase </w:t>
      </w:r>
      <w:r w:rsidR="00964FEC">
        <w:rPr>
          <w:lang w:val="en-GB"/>
        </w:rPr>
        <w:t xml:space="preserve">its </w:t>
      </w:r>
      <w:r w:rsidR="009424DA" w:rsidRPr="00946435">
        <w:rPr>
          <w:lang w:val="en-GB"/>
        </w:rPr>
        <w:t xml:space="preserve">efficiency. The company went from producing 20 hl per large batch in six hours to 40 hl per large batch in only two and a half hours. The new equipment also </w:t>
      </w:r>
      <w:r w:rsidRPr="00946435">
        <w:rPr>
          <w:lang w:val="en-GB"/>
        </w:rPr>
        <w:t>helped</w:t>
      </w:r>
      <w:r w:rsidR="009424DA" w:rsidRPr="00946435">
        <w:rPr>
          <w:lang w:val="en-GB"/>
        </w:rPr>
        <w:t xml:space="preserve"> increase </w:t>
      </w:r>
      <w:r w:rsidRPr="00946435">
        <w:rPr>
          <w:lang w:val="en-GB"/>
        </w:rPr>
        <w:t>malt</w:t>
      </w:r>
      <w:r w:rsidR="00D1147F">
        <w:rPr>
          <w:lang w:val="en-GB"/>
        </w:rPr>
        <w:t>-</w:t>
      </w:r>
      <w:r w:rsidRPr="00946435">
        <w:rPr>
          <w:lang w:val="en-GB"/>
        </w:rPr>
        <w:t xml:space="preserve">processing </w:t>
      </w:r>
      <w:r w:rsidR="009424DA" w:rsidRPr="00946435">
        <w:rPr>
          <w:lang w:val="en-GB"/>
        </w:rPr>
        <w:t>efficiency and reduce water waste.</w:t>
      </w:r>
      <w:r w:rsidRPr="00946435">
        <w:rPr>
          <w:lang w:val="en-GB"/>
        </w:rPr>
        <w:t xml:space="preserve"> Brewed</w:t>
      </w:r>
      <w:r w:rsidR="009424DA" w:rsidRPr="00946435">
        <w:rPr>
          <w:lang w:val="en-GB"/>
        </w:rPr>
        <w:t xml:space="preserve"> beer sat in tanks for approximately two to four weeks until it was ready for packaging. </w:t>
      </w:r>
      <w:r w:rsidRPr="00946435">
        <w:rPr>
          <w:lang w:val="en-GB"/>
        </w:rPr>
        <w:t>In recent years, c</w:t>
      </w:r>
      <w:r w:rsidR="009424DA" w:rsidRPr="00946435">
        <w:rPr>
          <w:lang w:val="en-GB"/>
        </w:rPr>
        <w:t>ans had become the predominant packaging choice over glass bottles. Th</w:t>
      </w:r>
      <w:r w:rsidRPr="00946435">
        <w:rPr>
          <w:lang w:val="en-GB"/>
        </w:rPr>
        <w:t>e</w:t>
      </w:r>
      <w:r w:rsidR="009424DA" w:rsidRPr="00946435">
        <w:rPr>
          <w:lang w:val="en-GB"/>
        </w:rPr>
        <w:t xml:space="preserve"> shift </w:t>
      </w:r>
      <w:r w:rsidRPr="00946435">
        <w:rPr>
          <w:lang w:val="en-GB"/>
        </w:rPr>
        <w:t>to cans provided a</w:t>
      </w:r>
      <w:r w:rsidR="009424DA" w:rsidRPr="00946435">
        <w:rPr>
          <w:lang w:val="en-GB"/>
        </w:rPr>
        <w:t xml:space="preserve"> more environmental</w:t>
      </w:r>
      <w:r w:rsidRPr="00946435">
        <w:rPr>
          <w:lang w:val="en-GB"/>
        </w:rPr>
        <w:t xml:space="preserve"> option and result</w:t>
      </w:r>
      <w:r w:rsidR="00D1500C" w:rsidRPr="00946435">
        <w:rPr>
          <w:lang w:val="en-GB"/>
        </w:rPr>
        <w:t>ed</w:t>
      </w:r>
      <w:r w:rsidRPr="00946435">
        <w:rPr>
          <w:lang w:val="en-GB"/>
        </w:rPr>
        <w:t xml:space="preserve"> in</w:t>
      </w:r>
      <w:r w:rsidR="009424DA" w:rsidRPr="00946435">
        <w:rPr>
          <w:lang w:val="en-GB"/>
        </w:rPr>
        <w:t xml:space="preserve"> a better-tasting product</w:t>
      </w:r>
      <w:r w:rsidR="00D1500C" w:rsidRPr="00946435">
        <w:rPr>
          <w:lang w:val="en-GB"/>
        </w:rPr>
        <w:t>. C</w:t>
      </w:r>
      <w:r w:rsidR="009424DA" w:rsidRPr="00946435">
        <w:rPr>
          <w:lang w:val="en-GB"/>
        </w:rPr>
        <w:t xml:space="preserve">ans could block ultraviolet light </w:t>
      </w:r>
      <w:r w:rsidR="00D1500C" w:rsidRPr="00946435">
        <w:rPr>
          <w:lang w:val="en-GB"/>
        </w:rPr>
        <w:t>more effectively</w:t>
      </w:r>
      <w:r w:rsidR="009424DA" w:rsidRPr="00946435">
        <w:rPr>
          <w:lang w:val="en-GB"/>
        </w:rPr>
        <w:t xml:space="preserve"> than bottles</w:t>
      </w:r>
      <w:r w:rsidR="00D1500C" w:rsidRPr="00946435">
        <w:rPr>
          <w:lang w:val="en-GB"/>
        </w:rPr>
        <w:t>, which</w:t>
      </w:r>
      <w:r w:rsidR="009424DA" w:rsidRPr="00946435">
        <w:rPr>
          <w:lang w:val="en-GB"/>
        </w:rPr>
        <w:t xml:space="preserve"> helped limit </w:t>
      </w:r>
      <w:r w:rsidR="00D1500C" w:rsidRPr="00946435">
        <w:rPr>
          <w:lang w:val="en-GB"/>
        </w:rPr>
        <w:t xml:space="preserve">product </w:t>
      </w:r>
      <w:r w:rsidR="009424DA" w:rsidRPr="00946435">
        <w:rPr>
          <w:lang w:val="en-GB"/>
        </w:rPr>
        <w:t>spoilage.</w:t>
      </w:r>
      <w:r w:rsidR="009424DA" w:rsidRPr="00946435">
        <w:rPr>
          <w:rStyle w:val="EndnoteReference"/>
          <w:lang w:val="en-GB"/>
        </w:rPr>
        <w:endnoteReference w:id="30"/>
      </w:r>
      <w:r w:rsidR="009424DA" w:rsidRPr="00946435">
        <w:rPr>
          <w:lang w:val="en-GB"/>
        </w:rPr>
        <w:t xml:space="preserve"> </w:t>
      </w:r>
    </w:p>
    <w:p w14:paraId="1DF3CE9E" w14:textId="77777777" w:rsidR="009424DA" w:rsidRPr="00946435" w:rsidRDefault="009424DA" w:rsidP="009424DA">
      <w:pPr>
        <w:pStyle w:val="BodyTextMain"/>
        <w:rPr>
          <w:lang w:val="en-GB"/>
        </w:rPr>
      </w:pPr>
    </w:p>
    <w:p w14:paraId="2D4A4616" w14:textId="2A9D5ACA" w:rsidR="009424DA" w:rsidRPr="00946435" w:rsidRDefault="009424DA" w:rsidP="009424DA">
      <w:pPr>
        <w:pStyle w:val="BodyTextMain"/>
        <w:rPr>
          <w:lang w:val="en-GB"/>
        </w:rPr>
      </w:pPr>
      <w:r w:rsidRPr="00946435">
        <w:rPr>
          <w:lang w:val="en-GB"/>
        </w:rPr>
        <w:t xml:space="preserve">Wellington Brewery </w:t>
      </w:r>
      <w:r w:rsidR="00D1500C" w:rsidRPr="00946435">
        <w:rPr>
          <w:lang w:val="en-GB"/>
        </w:rPr>
        <w:t>employed</w:t>
      </w:r>
      <w:r w:rsidRPr="00946435">
        <w:rPr>
          <w:lang w:val="en-GB"/>
        </w:rPr>
        <w:t xml:space="preserve"> a pilot system to experiment with different combinations of ingredients</w:t>
      </w:r>
      <w:r w:rsidR="00D1500C" w:rsidRPr="00946435">
        <w:rPr>
          <w:lang w:val="en-GB"/>
        </w:rPr>
        <w:t>. Its low-volume capability allowed the company</w:t>
      </w:r>
      <w:r w:rsidRPr="00946435">
        <w:rPr>
          <w:lang w:val="en-GB"/>
        </w:rPr>
        <w:t xml:space="preserve"> to produce </w:t>
      </w:r>
      <w:r w:rsidR="00D1500C" w:rsidRPr="00946435">
        <w:rPr>
          <w:lang w:val="en-GB"/>
        </w:rPr>
        <w:t xml:space="preserve">single products, or </w:t>
      </w:r>
      <w:r w:rsidRPr="00946435">
        <w:rPr>
          <w:lang w:val="en-GB"/>
        </w:rPr>
        <w:t>“one-offs</w:t>
      </w:r>
      <w:r w:rsidR="00D1500C" w:rsidRPr="00946435">
        <w:rPr>
          <w:lang w:val="en-GB"/>
        </w:rPr>
        <w:t>,</w:t>
      </w:r>
      <w:r w:rsidRPr="00946435">
        <w:rPr>
          <w:lang w:val="en-GB"/>
        </w:rPr>
        <w:t xml:space="preserve">” </w:t>
      </w:r>
      <w:r w:rsidR="00D1500C" w:rsidRPr="00946435">
        <w:rPr>
          <w:lang w:val="en-GB"/>
        </w:rPr>
        <w:t>and later</w:t>
      </w:r>
      <w:r w:rsidRPr="00946435">
        <w:rPr>
          <w:lang w:val="en-GB"/>
        </w:rPr>
        <w:t xml:space="preserve"> scale up to large volumes. Wellington Brewery </w:t>
      </w:r>
      <w:r w:rsidR="00D1500C" w:rsidRPr="00946435">
        <w:rPr>
          <w:lang w:val="en-GB"/>
        </w:rPr>
        <w:t xml:space="preserve">was thus able </w:t>
      </w:r>
      <w:r w:rsidRPr="00946435">
        <w:rPr>
          <w:lang w:val="en-GB"/>
        </w:rPr>
        <w:t xml:space="preserve">to quickly react to </w:t>
      </w:r>
      <w:r w:rsidR="00D1500C" w:rsidRPr="00946435">
        <w:rPr>
          <w:lang w:val="en-GB"/>
        </w:rPr>
        <w:t xml:space="preserve">consumer </w:t>
      </w:r>
      <w:r w:rsidRPr="00946435">
        <w:rPr>
          <w:lang w:val="en-GB"/>
        </w:rPr>
        <w:t xml:space="preserve">trends and release new products </w:t>
      </w:r>
      <w:r w:rsidR="00D1500C" w:rsidRPr="00946435">
        <w:rPr>
          <w:lang w:val="en-GB"/>
        </w:rPr>
        <w:t xml:space="preserve">each </w:t>
      </w:r>
      <w:r w:rsidRPr="00946435">
        <w:rPr>
          <w:lang w:val="en-GB"/>
        </w:rPr>
        <w:t xml:space="preserve">week in the </w:t>
      </w:r>
      <w:r w:rsidR="00D1500C" w:rsidRPr="00946435">
        <w:rPr>
          <w:lang w:val="en-GB"/>
        </w:rPr>
        <w:t xml:space="preserve">company’s </w:t>
      </w:r>
      <w:r w:rsidRPr="00946435">
        <w:rPr>
          <w:lang w:val="en-GB"/>
        </w:rPr>
        <w:t xml:space="preserve">brewhouse. These </w:t>
      </w:r>
      <w:r w:rsidR="00D1500C" w:rsidRPr="00946435">
        <w:rPr>
          <w:lang w:val="en-GB"/>
        </w:rPr>
        <w:t xml:space="preserve">frequent </w:t>
      </w:r>
      <w:r w:rsidRPr="00946435">
        <w:rPr>
          <w:lang w:val="en-GB"/>
        </w:rPr>
        <w:t xml:space="preserve">releases provided </w:t>
      </w:r>
      <w:r w:rsidR="00D1500C" w:rsidRPr="00946435">
        <w:rPr>
          <w:lang w:val="en-GB"/>
        </w:rPr>
        <w:t>an</w:t>
      </w:r>
      <w:r w:rsidRPr="00946435">
        <w:rPr>
          <w:lang w:val="en-GB"/>
        </w:rPr>
        <w:t xml:space="preserve"> opportunity to experiment, gauge customer reactions</w:t>
      </w:r>
      <w:r w:rsidR="00D1500C" w:rsidRPr="00946435">
        <w:rPr>
          <w:lang w:val="en-GB"/>
        </w:rPr>
        <w:t>,</w:t>
      </w:r>
      <w:r w:rsidRPr="00946435">
        <w:rPr>
          <w:lang w:val="en-GB"/>
        </w:rPr>
        <w:t xml:space="preserve"> and collect customer preference data at a relatively low cost. </w:t>
      </w:r>
    </w:p>
    <w:p w14:paraId="156F86CC" w14:textId="08B7031A" w:rsidR="009424DA" w:rsidRPr="00946435" w:rsidRDefault="009424DA" w:rsidP="009424DA">
      <w:pPr>
        <w:pStyle w:val="BodyTextMain"/>
        <w:rPr>
          <w:lang w:val="en-GB"/>
        </w:rPr>
      </w:pPr>
    </w:p>
    <w:p w14:paraId="6FFEA3DB" w14:textId="77777777" w:rsidR="009424DA" w:rsidRPr="00946435" w:rsidRDefault="009424DA" w:rsidP="009424DA">
      <w:pPr>
        <w:pStyle w:val="BodyTextMain"/>
        <w:rPr>
          <w:lang w:val="en-GB"/>
        </w:rPr>
      </w:pPr>
    </w:p>
    <w:p w14:paraId="7292FA8D" w14:textId="71B0BCB0" w:rsidR="009424DA" w:rsidRPr="00946435" w:rsidRDefault="00E244CD" w:rsidP="009424DA">
      <w:pPr>
        <w:pStyle w:val="Casehead1"/>
        <w:rPr>
          <w:lang w:val="en-GB"/>
        </w:rPr>
      </w:pPr>
      <w:r w:rsidRPr="00946435">
        <w:rPr>
          <w:lang w:val="en-GB"/>
        </w:rPr>
        <w:t xml:space="preserve">Impact of </w:t>
      </w:r>
      <w:r w:rsidR="009424DA" w:rsidRPr="00946435">
        <w:rPr>
          <w:lang w:val="en-GB"/>
        </w:rPr>
        <w:t xml:space="preserve">REGULATORY CHANGES </w:t>
      </w:r>
    </w:p>
    <w:p w14:paraId="0BA2E724" w14:textId="77777777" w:rsidR="009424DA" w:rsidRPr="00946435" w:rsidRDefault="009424DA" w:rsidP="009424DA">
      <w:pPr>
        <w:pStyle w:val="BodyTextMain"/>
        <w:rPr>
          <w:lang w:val="en-GB"/>
        </w:rPr>
      </w:pPr>
    </w:p>
    <w:p w14:paraId="038A038F" w14:textId="3A8EE01A" w:rsidR="009424DA" w:rsidRPr="00946435" w:rsidRDefault="00E244CD" w:rsidP="009424DA">
      <w:pPr>
        <w:pStyle w:val="BodyTextMain"/>
        <w:rPr>
          <w:lang w:val="en-GB"/>
        </w:rPr>
      </w:pPr>
      <w:r w:rsidRPr="00946435">
        <w:rPr>
          <w:lang w:val="en-GB"/>
        </w:rPr>
        <w:t xml:space="preserve">Both </w:t>
      </w:r>
      <w:r w:rsidR="009424DA" w:rsidRPr="00946435">
        <w:rPr>
          <w:lang w:val="en-GB"/>
        </w:rPr>
        <w:t xml:space="preserve">provincial and federal governments regulated the sale of alcohol in Ontario. </w:t>
      </w:r>
      <w:r w:rsidRPr="00946435">
        <w:rPr>
          <w:lang w:val="en-GB"/>
        </w:rPr>
        <w:t>An</w:t>
      </w:r>
      <w:r w:rsidR="009424DA" w:rsidRPr="00946435">
        <w:rPr>
          <w:lang w:val="en-GB"/>
        </w:rPr>
        <w:t xml:space="preserve"> annual excise tax was</w:t>
      </w:r>
      <w:r w:rsidRPr="00946435">
        <w:rPr>
          <w:lang w:val="en-GB"/>
        </w:rPr>
        <w:t xml:space="preserve"> based on the beer’s</w:t>
      </w:r>
      <w:r w:rsidR="009424DA" w:rsidRPr="00946435">
        <w:rPr>
          <w:lang w:val="en-GB"/>
        </w:rPr>
        <w:t xml:space="preserve"> alcohol percentage and produc</w:t>
      </w:r>
      <w:r w:rsidR="00342C70" w:rsidRPr="00946435">
        <w:rPr>
          <w:lang w:val="en-GB"/>
        </w:rPr>
        <w:t>tion volume</w:t>
      </w:r>
      <w:r w:rsidR="009424DA" w:rsidRPr="00946435">
        <w:rPr>
          <w:lang w:val="en-GB"/>
        </w:rPr>
        <w:t>.</w:t>
      </w:r>
      <w:r w:rsidR="009424DA" w:rsidRPr="00946435">
        <w:rPr>
          <w:rStyle w:val="EndnoteReference"/>
          <w:lang w:val="en-GB"/>
        </w:rPr>
        <w:endnoteReference w:id="31"/>
      </w:r>
      <w:r w:rsidR="009424DA" w:rsidRPr="00946435">
        <w:rPr>
          <w:lang w:val="en-GB"/>
        </w:rPr>
        <w:t xml:space="preserve"> </w:t>
      </w:r>
      <w:r w:rsidRPr="00946435">
        <w:rPr>
          <w:lang w:val="en-GB"/>
        </w:rPr>
        <w:t>In</w:t>
      </w:r>
      <w:r w:rsidR="009424DA" w:rsidRPr="00946435">
        <w:rPr>
          <w:lang w:val="en-GB"/>
        </w:rPr>
        <w:t xml:space="preserve"> 2018 and 2019</w:t>
      </w:r>
      <w:r w:rsidRPr="00946435">
        <w:rPr>
          <w:lang w:val="en-GB"/>
        </w:rPr>
        <w:t>, Canada’s</w:t>
      </w:r>
      <w:r w:rsidR="009424DA" w:rsidRPr="00946435">
        <w:rPr>
          <w:lang w:val="en-GB"/>
        </w:rPr>
        <w:t xml:space="preserve"> alcoholic beverage industry </w:t>
      </w:r>
      <w:r w:rsidRPr="00946435">
        <w:rPr>
          <w:lang w:val="en-GB"/>
        </w:rPr>
        <w:t xml:space="preserve">faced various challenges, and some opportunities, </w:t>
      </w:r>
      <w:r w:rsidR="009424DA" w:rsidRPr="00946435">
        <w:rPr>
          <w:lang w:val="en-GB"/>
        </w:rPr>
        <w:t xml:space="preserve">due to legislation changes. </w:t>
      </w:r>
      <w:r w:rsidRPr="00946435">
        <w:rPr>
          <w:lang w:val="en-GB"/>
        </w:rPr>
        <w:t>L</w:t>
      </w:r>
      <w:r w:rsidR="009424DA" w:rsidRPr="00946435">
        <w:rPr>
          <w:lang w:val="en-GB"/>
        </w:rPr>
        <w:t xml:space="preserve">egalization of cannabis </w:t>
      </w:r>
      <w:r w:rsidR="00B106F4" w:rsidRPr="00946435">
        <w:rPr>
          <w:lang w:val="en-GB"/>
        </w:rPr>
        <w:t xml:space="preserve">in Canada went into effect in October 2018, </w:t>
      </w:r>
      <w:r w:rsidR="009424DA" w:rsidRPr="00946435">
        <w:rPr>
          <w:lang w:val="en-GB"/>
        </w:rPr>
        <w:t xml:space="preserve">and cannabis-infused beverages </w:t>
      </w:r>
      <w:r w:rsidR="00B106F4" w:rsidRPr="00946435">
        <w:rPr>
          <w:lang w:val="en-GB"/>
        </w:rPr>
        <w:t>were allowed to be sold starting in</w:t>
      </w:r>
      <w:r w:rsidR="009424DA" w:rsidRPr="00946435">
        <w:rPr>
          <w:lang w:val="en-GB"/>
        </w:rPr>
        <w:t xml:space="preserve"> December 2019.</w:t>
      </w:r>
      <w:r w:rsidR="009424DA" w:rsidRPr="00946435">
        <w:rPr>
          <w:rStyle w:val="EndnoteReference"/>
          <w:lang w:val="en-GB"/>
        </w:rPr>
        <w:endnoteReference w:id="32"/>
      </w:r>
      <w:r w:rsidR="009424DA" w:rsidRPr="00946435">
        <w:rPr>
          <w:lang w:val="en-GB"/>
        </w:rPr>
        <w:t xml:space="preserve"> </w:t>
      </w:r>
      <w:r w:rsidR="00B106F4" w:rsidRPr="00946435">
        <w:rPr>
          <w:lang w:val="en-GB"/>
        </w:rPr>
        <w:t xml:space="preserve">These legislative initiatives </w:t>
      </w:r>
      <w:r w:rsidR="009424DA" w:rsidRPr="00946435">
        <w:rPr>
          <w:lang w:val="en-GB"/>
        </w:rPr>
        <w:t xml:space="preserve">provided opportunities </w:t>
      </w:r>
      <w:r w:rsidR="00B106F4" w:rsidRPr="00946435">
        <w:rPr>
          <w:lang w:val="en-GB"/>
        </w:rPr>
        <w:t>for</w:t>
      </w:r>
      <w:r w:rsidR="009424DA" w:rsidRPr="00946435">
        <w:rPr>
          <w:lang w:val="en-GB"/>
        </w:rPr>
        <w:t xml:space="preserve"> craft b</w:t>
      </w:r>
      <w:r w:rsidR="00B106F4" w:rsidRPr="00946435">
        <w:rPr>
          <w:lang w:val="en-GB"/>
        </w:rPr>
        <w:t>r</w:t>
      </w:r>
      <w:r w:rsidR="009424DA" w:rsidRPr="00946435">
        <w:rPr>
          <w:lang w:val="en-GB"/>
        </w:rPr>
        <w:t>e</w:t>
      </w:r>
      <w:r w:rsidR="00B106F4" w:rsidRPr="00946435">
        <w:rPr>
          <w:lang w:val="en-GB"/>
        </w:rPr>
        <w:t>w</w:t>
      </w:r>
      <w:r w:rsidR="009424DA" w:rsidRPr="00946435">
        <w:rPr>
          <w:lang w:val="en-GB"/>
        </w:rPr>
        <w:t>er</w:t>
      </w:r>
      <w:r w:rsidR="00B106F4" w:rsidRPr="00946435">
        <w:rPr>
          <w:lang w:val="en-GB"/>
        </w:rPr>
        <w:t>ies</w:t>
      </w:r>
      <w:r w:rsidR="009424DA" w:rsidRPr="00946435">
        <w:rPr>
          <w:lang w:val="en-GB"/>
        </w:rPr>
        <w:t xml:space="preserve"> to enter the</w:t>
      </w:r>
      <w:r w:rsidR="00B106F4" w:rsidRPr="00946435">
        <w:rPr>
          <w:lang w:val="en-GB"/>
        </w:rPr>
        <w:t xml:space="preserve"> new</w:t>
      </w:r>
      <w:r w:rsidR="009424DA" w:rsidRPr="00946435">
        <w:rPr>
          <w:lang w:val="en-GB"/>
        </w:rPr>
        <w:t xml:space="preserve"> cannabis-infused </w:t>
      </w:r>
      <w:r w:rsidR="00B106F4" w:rsidRPr="00946435">
        <w:rPr>
          <w:lang w:val="en-GB"/>
        </w:rPr>
        <w:t>beverage market</w:t>
      </w:r>
      <w:r w:rsidR="009424DA" w:rsidRPr="00946435">
        <w:rPr>
          <w:lang w:val="en-GB"/>
        </w:rPr>
        <w:t xml:space="preserve">. In addition, </w:t>
      </w:r>
      <w:r w:rsidR="00B106F4" w:rsidRPr="00946435">
        <w:rPr>
          <w:lang w:val="en-GB"/>
        </w:rPr>
        <w:t xml:space="preserve">the sale of </w:t>
      </w:r>
      <w:r w:rsidR="009424DA" w:rsidRPr="00946435">
        <w:rPr>
          <w:lang w:val="en-GB"/>
        </w:rPr>
        <w:t>beer in grocery stores</w:t>
      </w:r>
      <w:r w:rsidR="00B106F4" w:rsidRPr="00946435">
        <w:rPr>
          <w:lang w:val="en-GB"/>
        </w:rPr>
        <w:t>, which had started in</w:t>
      </w:r>
      <w:r w:rsidR="009424DA" w:rsidRPr="00946435">
        <w:rPr>
          <w:lang w:val="en-GB"/>
        </w:rPr>
        <w:t xml:space="preserve"> December 2015</w:t>
      </w:r>
      <w:r w:rsidR="00B106F4" w:rsidRPr="00946435">
        <w:rPr>
          <w:lang w:val="en-GB"/>
        </w:rPr>
        <w:t>,</w:t>
      </w:r>
      <w:r w:rsidR="009424DA" w:rsidRPr="00946435">
        <w:rPr>
          <w:rStyle w:val="EndnoteReference"/>
          <w:lang w:val="en-GB"/>
        </w:rPr>
        <w:endnoteReference w:id="33"/>
      </w:r>
      <w:r w:rsidR="009424DA" w:rsidRPr="00946435">
        <w:rPr>
          <w:lang w:val="en-GB"/>
        </w:rPr>
        <w:t xml:space="preserve"> </w:t>
      </w:r>
      <w:r w:rsidR="00B106F4" w:rsidRPr="00946435">
        <w:rPr>
          <w:lang w:val="en-GB"/>
        </w:rPr>
        <w:t>had reached an</w:t>
      </w:r>
      <w:r w:rsidR="009424DA" w:rsidRPr="00946435">
        <w:rPr>
          <w:lang w:val="en-GB"/>
        </w:rPr>
        <w:t xml:space="preserve"> Ontario government goal </w:t>
      </w:r>
      <w:r w:rsidR="00B106F4" w:rsidRPr="00946435">
        <w:rPr>
          <w:lang w:val="en-GB"/>
        </w:rPr>
        <w:t>of</w:t>
      </w:r>
      <w:r w:rsidR="009424DA" w:rsidRPr="00946435">
        <w:rPr>
          <w:lang w:val="en-GB"/>
        </w:rPr>
        <w:t xml:space="preserve"> enabl</w:t>
      </w:r>
      <w:r w:rsidR="00B106F4" w:rsidRPr="00946435">
        <w:rPr>
          <w:lang w:val="en-GB"/>
        </w:rPr>
        <w:t>ing</w:t>
      </w:r>
      <w:r w:rsidR="009424DA" w:rsidRPr="00946435">
        <w:rPr>
          <w:lang w:val="en-GB"/>
        </w:rPr>
        <w:t xml:space="preserve"> 450 grocery stores</w:t>
      </w:r>
      <w:r w:rsidR="00B106F4" w:rsidRPr="00946435">
        <w:rPr>
          <w:lang w:val="en-GB"/>
        </w:rPr>
        <w:t xml:space="preserve"> in the province to sell beer. This new market segment</w:t>
      </w:r>
      <w:r w:rsidR="009424DA" w:rsidRPr="00946435">
        <w:rPr>
          <w:lang w:val="en-GB"/>
        </w:rPr>
        <w:t xml:space="preserve"> provided access to a new retail option for many breweries across </w:t>
      </w:r>
      <w:r w:rsidR="00B106F4" w:rsidRPr="00946435">
        <w:rPr>
          <w:lang w:val="en-GB"/>
        </w:rPr>
        <w:t>Ontario</w:t>
      </w:r>
      <w:r w:rsidR="009424DA" w:rsidRPr="00946435">
        <w:rPr>
          <w:lang w:val="en-GB"/>
        </w:rPr>
        <w:t>.</w:t>
      </w:r>
      <w:r w:rsidR="009424DA" w:rsidRPr="00946435">
        <w:rPr>
          <w:rStyle w:val="EndnoteReference"/>
          <w:lang w:val="en-GB"/>
        </w:rPr>
        <w:endnoteReference w:id="34"/>
      </w:r>
      <w:r w:rsidR="009424DA" w:rsidRPr="00946435">
        <w:rPr>
          <w:lang w:val="en-GB"/>
        </w:rPr>
        <w:t xml:space="preserve"> </w:t>
      </w:r>
      <w:r w:rsidR="00B106F4" w:rsidRPr="00946435">
        <w:rPr>
          <w:lang w:val="en-GB"/>
        </w:rPr>
        <w:t>In 2016</w:t>
      </w:r>
      <w:r w:rsidR="009424DA" w:rsidRPr="00946435">
        <w:rPr>
          <w:lang w:val="en-GB"/>
        </w:rPr>
        <w:t xml:space="preserve">, </w:t>
      </w:r>
      <w:r w:rsidR="00B106F4" w:rsidRPr="00946435">
        <w:rPr>
          <w:lang w:val="en-GB"/>
        </w:rPr>
        <w:t xml:space="preserve">the sale of </w:t>
      </w:r>
      <w:r w:rsidR="009424DA" w:rsidRPr="00946435">
        <w:rPr>
          <w:lang w:val="en-GB"/>
        </w:rPr>
        <w:t xml:space="preserve">alcohol </w:t>
      </w:r>
      <w:r w:rsidR="00B106F4" w:rsidRPr="00946435">
        <w:rPr>
          <w:lang w:val="en-GB"/>
        </w:rPr>
        <w:t>was made available by</w:t>
      </w:r>
      <w:r w:rsidR="009424DA" w:rsidRPr="00946435">
        <w:rPr>
          <w:lang w:val="en-GB"/>
        </w:rPr>
        <w:t xml:space="preserve"> mail direct</w:t>
      </w:r>
      <w:r w:rsidR="00B106F4" w:rsidRPr="00946435">
        <w:rPr>
          <w:lang w:val="en-GB"/>
        </w:rPr>
        <w:t xml:space="preserve">ly </w:t>
      </w:r>
      <w:r w:rsidR="009424DA" w:rsidRPr="00946435">
        <w:rPr>
          <w:lang w:val="en-GB"/>
        </w:rPr>
        <w:t>to</w:t>
      </w:r>
      <w:r w:rsidR="00B106F4" w:rsidRPr="00946435">
        <w:rPr>
          <w:lang w:val="en-GB"/>
        </w:rPr>
        <w:t xml:space="preserve"> </w:t>
      </w:r>
      <w:r w:rsidR="009424DA" w:rsidRPr="00946435">
        <w:rPr>
          <w:lang w:val="en-GB"/>
        </w:rPr>
        <w:t>consumer</w:t>
      </w:r>
      <w:r w:rsidR="00B106F4" w:rsidRPr="00946435">
        <w:rPr>
          <w:lang w:val="en-GB"/>
        </w:rPr>
        <w:t>s</w:t>
      </w:r>
      <w:r w:rsidR="009424DA" w:rsidRPr="00946435">
        <w:rPr>
          <w:lang w:val="en-GB"/>
        </w:rPr>
        <w:t>,</w:t>
      </w:r>
      <w:r w:rsidR="009424DA" w:rsidRPr="00946435">
        <w:rPr>
          <w:rStyle w:val="EndnoteReference"/>
          <w:lang w:val="en-GB"/>
        </w:rPr>
        <w:endnoteReference w:id="35"/>
      </w:r>
      <w:r w:rsidR="009424DA" w:rsidRPr="00946435">
        <w:rPr>
          <w:lang w:val="en-GB"/>
        </w:rPr>
        <w:t xml:space="preserve"> </w:t>
      </w:r>
      <w:r w:rsidR="00B106F4" w:rsidRPr="00946435">
        <w:rPr>
          <w:lang w:val="en-GB"/>
        </w:rPr>
        <w:t>which opened a new opportunity for</w:t>
      </w:r>
      <w:r w:rsidR="009424DA" w:rsidRPr="00946435">
        <w:rPr>
          <w:lang w:val="en-GB"/>
        </w:rPr>
        <w:t xml:space="preserve"> many breweries to set up an e-commerce platform. </w:t>
      </w:r>
      <w:r w:rsidR="00B106F4" w:rsidRPr="00946435">
        <w:rPr>
          <w:lang w:val="en-GB"/>
        </w:rPr>
        <w:t>D</w:t>
      </w:r>
      <w:r w:rsidR="009424DA" w:rsidRPr="00946435">
        <w:rPr>
          <w:lang w:val="en-GB"/>
        </w:rPr>
        <w:t>iscussions</w:t>
      </w:r>
      <w:r w:rsidR="00B106F4" w:rsidRPr="00946435">
        <w:rPr>
          <w:lang w:val="en-GB"/>
        </w:rPr>
        <w:t xml:space="preserve"> had also begun on the topic of</w:t>
      </w:r>
      <w:r w:rsidR="009424DA" w:rsidRPr="00946435">
        <w:rPr>
          <w:lang w:val="en-GB"/>
        </w:rPr>
        <w:t xml:space="preserve"> making </w:t>
      </w:r>
      <w:r w:rsidR="00B106F4" w:rsidRPr="00946435">
        <w:rPr>
          <w:lang w:val="en-GB"/>
        </w:rPr>
        <w:t xml:space="preserve">the sale of </w:t>
      </w:r>
      <w:r w:rsidR="009424DA" w:rsidRPr="00946435">
        <w:rPr>
          <w:lang w:val="en-GB"/>
        </w:rPr>
        <w:t>alcohol available in Ontario</w:t>
      </w:r>
      <w:r w:rsidR="00B106F4" w:rsidRPr="00946435">
        <w:rPr>
          <w:lang w:val="en-GB"/>
        </w:rPr>
        <w:t>’s numerous</w:t>
      </w:r>
      <w:r w:rsidR="009424DA" w:rsidRPr="00946435">
        <w:rPr>
          <w:lang w:val="en-GB"/>
        </w:rPr>
        <w:t xml:space="preserve"> convenience stores, </w:t>
      </w:r>
      <w:r w:rsidR="00B106F4" w:rsidRPr="00946435">
        <w:rPr>
          <w:lang w:val="en-GB"/>
        </w:rPr>
        <w:t>although no decisions had yet been made on this potential new distribution outlet</w:t>
      </w:r>
      <w:r w:rsidR="009424DA" w:rsidRPr="00946435">
        <w:rPr>
          <w:lang w:val="en-GB"/>
        </w:rPr>
        <w:t>.</w:t>
      </w:r>
    </w:p>
    <w:p w14:paraId="60B73042" w14:textId="77777777" w:rsidR="009424DA" w:rsidRPr="00946435" w:rsidRDefault="009424DA" w:rsidP="009424DA">
      <w:pPr>
        <w:pStyle w:val="BodyTextMain"/>
        <w:rPr>
          <w:lang w:val="en-GB"/>
        </w:rPr>
      </w:pPr>
    </w:p>
    <w:p w14:paraId="6EC32D5D" w14:textId="79BA39AE" w:rsidR="009424DA" w:rsidRPr="00946435" w:rsidRDefault="009424DA" w:rsidP="009424DA">
      <w:pPr>
        <w:pStyle w:val="BodyTextMain"/>
        <w:rPr>
          <w:lang w:val="en-GB"/>
        </w:rPr>
      </w:pPr>
      <w:r w:rsidRPr="00946435">
        <w:rPr>
          <w:lang w:val="en-GB"/>
        </w:rPr>
        <w:t>Wellington Brewery</w:t>
      </w:r>
      <w:r w:rsidR="000372E8" w:rsidRPr="00946435">
        <w:rPr>
          <w:lang w:val="en-GB"/>
        </w:rPr>
        <w:t>’s management team had</w:t>
      </w:r>
      <w:r w:rsidRPr="00946435">
        <w:rPr>
          <w:lang w:val="en-GB"/>
        </w:rPr>
        <w:t xml:space="preserve"> not </w:t>
      </w:r>
      <w:r w:rsidR="004C54FB" w:rsidRPr="00946435">
        <w:rPr>
          <w:lang w:val="en-GB"/>
        </w:rPr>
        <w:t xml:space="preserve">yet </w:t>
      </w:r>
      <w:r w:rsidR="000372E8" w:rsidRPr="00946435">
        <w:rPr>
          <w:lang w:val="en-GB"/>
        </w:rPr>
        <w:t xml:space="preserve">expressed an </w:t>
      </w:r>
      <w:r w:rsidRPr="00946435">
        <w:rPr>
          <w:lang w:val="en-GB"/>
        </w:rPr>
        <w:t xml:space="preserve">interest in the cannabis-infused </w:t>
      </w:r>
      <w:r w:rsidR="004C54FB" w:rsidRPr="00946435">
        <w:rPr>
          <w:lang w:val="en-GB"/>
        </w:rPr>
        <w:t>beverage</w:t>
      </w:r>
      <w:r w:rsidRPr="00946435">
        <w:rPr>
          <w:lang w:val="en-GB"/>
        </w:rPr>
        <w:t xml:space="preserve"> market. </w:t>
      </w:r>
      <w:r w:rsidR="004C54FB" w:rsidRPr="00946435">
        <w:rPr>
          <w:lang w:val="en-GB"/>
        </w:rPr>
        <w:t xml:space="preserve">However, </w:t>
      </w:r>
      <w:r w:rsidRPr="00946435">
        <w:rPr>
          <w:lang w:val="en-GB"/>
        </w:rPr>
        <w:t xml:space="preserve">grocery store sales </w:t>
      </w:r>
      <w:r w:rsidR="004C54FB" w:rsidRPr="00946435">
        <w:rPr>
          <w:lang w:val="en-GB"/>
        </w:rPr>
        <w:t>provided</w:t>
      </w:r>
      <w:r w:rsidRPr="00946435">
        <w:rPr>
          <w:lang w:val="en-GB"/>
        </w:rPr>
        <w:t xml:space="preserve"> high margins, and e-commerce was </w:t>
      </w:r>
      <w:r w:rsidR="004C54FB" w:rsidRPr="00946435">
        <w:rPr>
          <w:lang w:val="en-GB"/>
        </w:rPr>
        <w:t xml:space="preserve">an </w:t>
      </w:r>
      <w:r w:rsidRPr="00946435">
        <w:rPr>
          <w:lang w:val="en-GB"/>
        </w:rPr>
        <w:t xml:space="preserve">especially </w:t>
      </w:r>
      <w:r w:rsidR="004C54FB" w:rsidRPr="00946435">
        <w:rPr>
          <w:lang w:val="en-GB"/>
        </w:rPr>
        <w:t>promising sales vehicle for the upcoming Christmas</w:t>
      </w:r>
      <w:r w:rsidRPr="00946435">
        <w:rPr>
          <w:lang w:val="en-GB"/>
        </w:rPr>
        <w:t xml:space="preserve"> holiday</w:t>
      </w:r>
      <w:r w:rsidR="004C54FB" w:rsidRPr="00946435">
        <w:rPr>
          <w:lang w:val="en-GB"/>
        </w:rPr>
        <w:t xml:space="preserve"> </w:t>
      </w:r>
      <w:r w:rsidRPr="00946435">
        <w:rPr>
          <w:lang w:val="en-GB"/>
        </w:rPr>
        <w:t>s</w:t>
      </w:r>
      <w:r w:rsidR="004C54FB" w:rsidRPr="00946435">
        <w:rPr>
          <w:lang w:val="en-GB"/>
        </w:rPr>
        <w:t>eason</w:t>
      </w:r>
      <w:r w:rsidRPr="00946435">
        <w:rPr>
          <w:lang w:val="en-GB"/>
        </w:rPr>
        <w:t xml:space="preserve">, </w:t>
      </w:r>
      <w:r w:rsidR="004C54FB" w:rsidRPr="00946435">
        <w:rPr>
          <w:lang w:val="en-GB"/>
        </w:rPr>
        <w:t xml:space="preserve">so </w:t>
      </w:r>
      <w:r w:rsidRPr="00946435">
        <w:rPr>
          <w:lang w:val="en-GB"/>
        </w:rPr>
        <w:t xml:space="preserve">the company </w:t>
      </w:r>
      <w:r w:rsidR="004C54FB" w:rsidRPr="00946435">
        <w:rPr>
          <w:lang w:val="en-GB"/>
        </w:rPr>
        <w:t xml:space="preserve">decided to </w:t>
      </w:r>
      <w:r w:rsidRPr="00946435">
        <w:rPr>
          <w:lang w:val="en-GB"/>
        </w:rPr>
        <w:t xml:space="preserve">enter both </w:t>
      </w:r>
      <w:r w:rsidR="004C54FB" w:rsidRPr="00946435">
        <w:rPr>
          <w:lang w:val="en-GB"/>
        </w:rPr>
        <w:t xml:space="preserve">of these </w:t>
      </w:r>
      <w:r w:rsidRPr="00946435">
        <w:rPr>
          <w:lang w:val="en-GB"/>
        </w:rPr>
        <w:t xml:space="preserve">markets. </w:t>
      </w:r>
      <w:r w:rsidR="004C54FB" w:rsidRPr="00946435">
        <w:rPr>
          <w:lang w:val="en-GB"/>
        </w:rPr>
        <w:t>D</w:t>
      </w:r>
      <w:r w:rsidRPr="00946435">
        <w:rPr>
          <w:lang w:val="en-GB"/>
        </w:rPr>
        <w:t xml:space="preserve">iscussions </w:t>
      </w:r>
      <w:r w:rsidR="00A73DDD" w:rsidRPr="00946435">
        <w:rPr>
          <w:lang w:val="en-GB"/>
        </w:rPr>
        <w:t>by Ontario’s regulators on the prospect of allowing beer sales in</w:t>
      </w:r>
      <w:r w:rsidRPr="00946435">
        <w:rPr>
          <w:lang w:val="en-GB"/>
        </w:rPr>
        <w:t xml:space="preserve"> the</w:t>
      </w:r>
      <w:r w:rsidR="00A73DDD" w:rsidRPr="00946435">
        <w:rPr>
          <w:lang w:val="en-GB"/>
        </w:rPr>
        <w:t xml:space="preserve"> province’s</w:t>
      </w:r>
      <w:r w:rsidRPr="00946435">
        <w:rPr>
          <w:lang w:val="en-GB"/>
        </w:rPr>
        <w:t xml:space="preserve"> convenience store</w:t>
      </w:r>
      <w:r w:rsidR="00A73DDD" w:rsidRPr="00946435">
        <w:rPr>
          <w:lang w:val="en-GB"/>
        </w:rPr>
        <w:t>s were still in early stages and</w:t>
      </w:r>
      <w:r w:rsidRPr="00946435">
        <w:rPr>
          <w:lang w:val="en-GB"/>
        </w:rPr>
        <w:t xml:space="preserve"> remained unpredictable. Wellington Brewery </w:t>
      </w:r>
      <w:r w:rsidR="004C54FB" w:rsidRPr="00946435">
        <w:rPr>
          <w:lang w:val="en-GB"/>
        </w:rPr>
        <w:t xml:space="preserve">was </w:t>
      </w:r>
      <w:r w:rsidRPr="00946435">
        <w:rPr>
          <w:lang w:val="en-GB"/>
        </w:rPr>
        <w:t xml:space="preserve">also </w:t>
      </w:r>
      <w:r w:rsidR="004C54FB" w:rsidRPr="00946435">
        <w:rPr>
          <w:lang w:val="en-GB"/>
        </w:rPr>
        <w:t>licensed for the sale of</w:t>
      </w:r>
      <w:r w:rsidRPr="00946435">
        <w:rPr>
          <w:lang w:val="en-GB"/>
        </w:rPr>
        <w:t xml:space="preserve"> cider, </w:t>
      </w:r>
      <w:r w:rsidR="004C54FB" w:rsidRPr="00946435">
        <w:rPr>
          <w:lang w:val="en-GB"/>
        </w:rPr>
        <w:t>but had yet to decide whether</w:t>
      </w:r>
      <w:r w:rsidRPr="00946435">
        <w:rPr>
          <w:lang w:val="en-GB"/>
        </w:rPr>
        <w:t xml:space="preserve"> </w:t>
      </w:r>
      <w:r w:rsidR="005E7A5D">
        <w:rPr>
          <w:lang w:val="en-GB"/>
        </w:rPr>
        <w:t xml:space="preserve">or not </w:t>
      </w:r>
      <w:r w:rsidRPr="00946435">
        <w:rPr>
          <w:lang w:val="en-GB"/>
        </w:rPr>
        <w:t xml:space="preserve">to diversify </w:t>
      </w:r>
      <w:r w:rsidR="004C54FB" w:rsidRPr="00946435">
        <w:rPr>
          <w:lang w:val="en-GB"/>
        </w:rPr>
        <w:t>into this segment, which could be an important consideration</w:t>
      </w:r>
      <w:r w:rsidRPr="00946435">
        <w:rPr>
          <w:lang w:val="en-GB"/>
        </w:rPr>
        <w:t xml:space="preserve"> if a </w:t>
      </w:r>
      <w:r w:rsidR="004C54FB" w:rsidRPr="00946435">
        <w:rPr>
          <w:lang w:val="en-GB"/>
        </w:rPr>
        <w:t>drop</w:t>
      </w:r>
      <w:r w:rsidRPr="00946435">
        <w:rPr>
          <w:lang w:val="en-GB"/>
        </w:rPr>
        <w:t xml:space="preserve"> in </w:t>
      </w:r>
      <w:r w:rsidR="004C54FB" w:rsidRPr="00946435">
        <w:rPr>
          <w:lang w:val="en-GB"/>
        </w:rPr>
        <w:t xml:space="preserve">beer </w:t>
      </w:r>
      <w:r w:rsidRPr="00946435">
        <w:rPr>
          <w:lang w:val="en-GB"/>
        </w:rPr>
        <w:t>sales</w:t>
      </w:r>
      <w:r w:rsidR="004C54FB" w:rsidRPr="00946435">
        <w:rPr>
          <w:lang w:val="en-GB"/>
        </w:rPr>
        <w:t xml:space="preserve"> occurred</w:t>
      </w:r>
      <w:r w:rsidRPr="00946435">
        <w:rPr>
          <w:lang w:val="en-GB"/>
        </w:rPr>
        <w:t xml:space="preserve">. However, the company was comfortable </w:t>
      </w:r>
      <w:r w:rsidR="004C54FB" w:rsidRPr="00946435">
        <w:rPr>
          <w:lang w:val="en-GB"/>
        </w:rPr>
        <w:t>remaining focused on beer</w:t>
      </w:r>
      <w:r w:rsidRPr="00946435">
        <w:rPr>
          <w:lang w:val="en-GB"/>
        </w:rPr>
        <w:t xml:space="preserve"> produc</w:t>
      </w:r>
      <w:r w:rsidR="004C54FB" w:rsidRPr="00946435">
        <w:rPr>
          <w:lang w:val="en-GB"/>
        </w:rPr>
        <w:t>t</w:t>
      </w:r>
      <w:r w:rsidRPr="00946435">
        <w:rPr>
          <w:lang w:val="en-GB"/>
        </w:rPr>
        <w:t>i</w:t>
      </w:r>
      <w:r w:rsidR="004C54FB" w:rsidRPr="00946435">
        <w:rPr>
          <w:lang w:val="en-GB"/>
        </w:rPr>
        <w:t>o</w:t>
      </w:r>
      <w:r w:rsidRPr="00946435">
        <w:rPr>
          <w:lang w:val="en-GB"/>
        </w:rPr>
        <w:t xml:space="preserve">n at this stage. </w:t>
      </w:r>
      <w:r w:rsidR="004C54FB" w:rsidRPr="00946435">
        <w:rPr>
          <w:lang w:val="en-GB"/>
        </w:rPr>
        <w:t xml:space="preserve">As </w:t>
      </w:r>
      <w:r w:rsidRPr="00946435">
        <w:rPr>
          <w:lang w:val="en-GB"/>
        </w:rPr>
        <w:t xml:space="preserve">Davies </w:t>
      </w:r>
      <w:r w:rsidR="004C54FB" w:rsidRPr="00946435">
        <w:rPr>
          <w:lang w:val="en-GB"/>
        </w:rPr>
        <w:t>noted,</w:t>
      </w:r>
      <w:r w:rsidRPr="00946435">
        <w:rPr>
          <w:lang w:val="en-GB"/>
        </w:rPr>
        <w:t xml:space="preserve"> the</w:t>
      </w:r>
      <w:r w:rsidR="004C54FB" w:rsidRPr="00946435">
        <w:rPr>
          <w:lang w:val="en-GB"/>
        </w:rPr>
        <w:t xml:space="preserve"> compan</w:t>
      </w:r>
      <w:r w:rsidRPr="00946435">
        <w:rPr>
          <w:lang w:val="en-GB"/>
        </w:rPr>
        <w:t>y had “historically done beer very well and still [saw] lots of room to grow.”</w:t>
      </w:r>
    </w:p>
    <w:p w14:paraId="142F57A1" w14:textId="77777777" w:rsidR="009424DA" w:rsidRPr="00946435" w:rsidRDefault="009424DA" w:rsidP="009424DA">
      <w:pPr>
        <w:pStyle w:val="Casehead1"/>
        <w:rPr>
          <w:lang w:val="en-GB"/>
        </w:rPr>
      </w:pPr>
      <w:r w:rsidRPr="00946435">
        <w:rPr>
          <w:lang w:val="en-GB"/>
        </w:rPr>
        <w:lastRenderedPageBreak/>
        <w:t>WELLINGTON BREWERY’S SALES MIX AND DISTRIBUTION</w:t>
      </w:r>
    </w:p>
    <w:p w14:paraId="77418776" w14:textId="77777777" w:rsidR="009424DA" w:rsidRPr="00946435" w:rsidRDefault="009424DA" w:rsidP="009424DA">
      <w:pPr>
        <w:pStyle w:val="BodyTextMain"/>
        <w:rPr>
          <w:lang w:val="en-GB"/>
        </w:rPr>
      </w:pPr>
    </w:p>
    <w:p w14:paraId="4F2B01F3" w14:textId="37B56AE1" w:rsidR="00DC1726" w:rsidRPr="00946435" w:rsidRDefault="009424DA" w:rsidP="009424DA">
      <w:pPr>
        <w:pStyle w:val="BodyTextMain"/>
        <w:rPr>
          <w:lang w:val="en-GB"/>
        </w:rPr>
      </w:pPr>
      <w:r w:rsidRPr="00946435">
        <w:rPr>
          <w:lang w:val="en-GB"/>
        </w:rPr>
        <w:t xml:space="preserve">Wellington Brewery </w:t>
      </w:r>
      <w:r w:rsidR="00A73DDD" w:rsidRPr="00946435">
        <w:rPr>
          <w:lang w:val="en-GB"/>
        </w:rPr>
        <w:t xml:space="preserve">generated revenues from </w:t>
      </w:r>
      <w:r w:rsidR="00F920A4" w:rsidRPr="00946435">
        <w:rPr>
          <w:lang w:val="en-GB"/>
        </w:rPr>
        <w:t>both</w:t>
      </w:r>
      <w:r w:rsidR="002976D0" w:rsidRPr="00946435">
        <w:rPr>
          <w:lang w:val="en-GB"/>
        </w:rPr>
        <w:t xml:space="preserve"> </w:t>
      </w:r>
      <w:r w:rsidRPr="00946435">
        <w:rPr>
          <w:lang w:val="en-GB"/>
        </w:rPr>
        <w:t>on-premise</w:t>
      </w:r>
      <w:r w:rsidR="00F920A4" w:rsidRPr="00946435">
        <w:rPr>
          <w:lang w:val="en-GB"/>
        </w:rPr>
        <w:t>s</w:t>
      </w:r>
      <w:r w:rsidRPr="00946435">
        <w:rPr>
          <w:lang w:val="en-GB"/>
        </w:rPr>
        <w:t xml:space="preserve"> sales </w:t>
      </w:r>
      <w:r w:rsidR="002976D0" w:rsidRPr="00946435">
        <w:rPr>
          <w:lang w:val="en-GB"/>
        </w:rPr>
        <w:t>channels, such as the company’s</w:t>
      </w:r>
      <w:r w:rsidRPr="00946435">
        <w:rPr>
          <w:lang w:val="en-GB"/>
        </w:rPr>
        <w:t xml:space="preserve"> </w:t>
      </w:r>
      <w:r w:rsidR="000160B2" w:rsidRPr="00946435">
        <w:rPr>
          <w:lang w:val="en-GB"/>
        </w:rPr>
        <w:t xml:space="preserve">onsite </w:t>
      </w:r>
      <w:r w:rsidRPr="00946435">
        <w:rPr>
          <w:lang w:val="en-GB"/>
        </w:rPr>
        <w:t>brewhouse</w:t>
      </w:r>
      <w:r w:rsidR="000160B2" w:rsidRPr="00946435">
        <w:rPr>
          <w:lang w:val="en-GB"/>
        </w:rPr>
        <w:t xml:space="preserve"> or licensees (e.g., bars and restaurants)</w:t>
      </w:r>
      <w:r w:rsidR="002976D0" w:rsidRPr="00946435">
        <w:rPr>
          <w:lang w:val="en-GB"/>
        </w:rPr>
        <w:t>, and</w:t>
      </w:r>
      <w:r w:rsidR="00A73DDD" w:rsidRPr="00946435">
        <w:rPr>
          <w:lang w:val="en-GB"/>
        </w:rPr>
        <w:t xml:space="preserve"> </w:t>
      </w:r>
      <w:r w:rsidR="002976D0" w:rsidRPr="00946435">
        <w:rPr>
          <w:lang w:val="en-GB"/>
        </w:rPr>
        <w:t>off-</w:t>
      </w:r>
      <w:r w:rsidR="00A73DDD" w:rsidRPr="00946435">
        <w:rPr>
          <w:lang w:val="en-GB"/>
        </w:rPr>
        <w:t xml:space="preserve">premises </w:t>
      </w:r>
      <w:r w:rsidR="002976D0" w:rsidRPr="00946435">
        <w:rPr>
          <w:lang w:val="en-GB"/>
        </w:rPr>
        <w:t>sales channels, such as</w:t>
      </w:r>
      <w:r w:rsidRPr="00946435">
        <w:rPr>
          <w:lang w:val="en-GB"/>
        </w:rPr>
        <w:t xml:space="preserve"> </w:t>
      </w:r>
      <w:r w:rsidR="00F920A4" w:rsidRPr="00946435">
        <w:rPr>
          <w:lang w:val="en-GB"/>
        </w:rPr>
        <w:t>retailers</w:t>
      </w:r>
      <w:r w:rsidRPr="00946435">
        <w:rPr>
          <w:lang w:val="en-GB"/>
        </w:rPr>
        <w:t xml:space="preserve">. The brewhouse was </w:t>
      </w:r>
      <w:r w:rsidR="00DC1726" w:rsidRPr="00946435">
        <w:rPr>
          <w:lang w:val="en-GB"/>
        </w:rPr>
        <w:t xml:space="preserve">the company’s </w:t>
      </w:r>
      <w:r w:rsidRPr="00946435">
        <w:rPr>
          <w:lang w:val="en-GB"/>
        </w:rPr>
        <w:t xml:space="preserve">most profitable </w:t>
      </w:r>
      <w:r w:rsidR="00DC1726" w:rsidRPr="00946435">
        <w:rPr>
          <w:lang w:val="en-GB"/>
        </w:rPr>
        <w:t xml:space="preserve">revenue source </w:t>
      </w:r>
      <w:r w:rsidRPr="00946435">
        <w:rPr>
          <w:lang w:val="en-GB"/>
        </w:rPr>
        <w:t xml:space="preserve">but represented </w:t>
      </w:r>
      <w:r w:rsidR="00DC1726" w:rsidRPr="00946435">
        <w:rPr>
          <w:lang w:val="en-GB"/>
        </w:rPr>
        <w:t xml:space="preserve">only </w:t>
      </w:r>
      <w:r w:rsidRPr="00946435">
        <w:rPr>
          <w:lang w:val="en-GB"/>
        </w:rPr>
        <w:t>a small p</w:t>
      </w:r>
      <w:r w:rsidR="00DC1726" w:rsidRPr="00946435">
        <w:rPr>
          <w:lang w:val="en-GB"/>
        </w:rPr>
        <w:t>ortion</w:t>
      </w:r>
      <w:r w:rsidRPr="00946435">
        <w:rPr>
          <w:lang w:val="en-GB"/>
        </w:rPr>
        <w:t xml:space="preserve"> of </w:t>
      </w:r>
      <w:r w:rsidR="00DC1726" w:rsidRPr="00946435">
        <w:rPr>
          <w:lang w:val="en-GB"/>
        </w:rPr>
        <w:t>total</w:t>
      </w:r>
      <w:r w:rsidRPr="00946435">
        <w:rPr>
          <w:lang w:val="en-GB"/>
        </w:rPr>
        <w:t xml:space="preserve"> revenues</w:t>
      </w:r>
      <w:r w:rsidR="002976D0" w:rsidRPr="00946435">
        <w:rPr>
          <w:lang w:val="en-GB"/>
        </w:rPr>
        <w:t>, whereas o</w:t>
      </w:r>
      <w:r w:rsidRPr="00946435">
        <w:rPr>
          <w:lang w:val="en-GB"/>
        </w:rPr>
        <w:t>ff-premise</w:t>
      </w:r>
      <w:r w:rsidR="002976D0" w:rsidRPr="00946435">
        <w:rPr>
          <w:lang w:val="en-GB"/>
        </w:rPr>
        <w:t>s</w:t>
      </w:r>
      <w:r w:rsidRPr="00946435">
        <w:rPr>
          <w:lang w:val="en-GB"/>
        </w:rPr>
        <w:t xml:space="preserve"> retailer</w:t>
      </w:r>
      <w:r w:rsidR="002976D0" w:rsidRPr="00946435">
        <w:rPr>
          <w:lang w:val="en-GB"/>
        </w:rPr>
        <w:t xml:space="preserve"> </w:t>
      </w:r>
      <w:r w:rsidRPr="00946435">
        <w:rPr>
          <w:lang w:val="en-GB"/>
        </w:rPr>
        <w:t>s</w:t>
      </w:r>
      <w:r w:rsidR="002976D0" w:rsidRPr="00946435">
        <w:rPr>
          <w:lang w:val="en-GB"/>
        </w:rPr>
        <w:t>ales channels</w:t>
      </w:r>
      <w:r w:rsidRPr="00946435">
        <w:rPr>
          <w:lang w:val="en-GB"/>
        </w:rPr>
        <w:t xml:space="preserve"> such as the LCBO</w:t>
      </w:r>
      <w:r w:rsidR="00DC1726" w:rsidRPr="00946435">
        <w:rPr>
          <w:lang w:val="en-GB"/>
        </w:rPr>
        <w:t xml:space="preserve"> and </w:t>
      </w:r>
      <w:r w:rsidRPr="00946435">
        <w:rPr>
          <w:lang w:val="en-GB"/>
        </w:rPr>
        <w:t>e-commerce</w:t>
      </w:r>
      <w:r w:rsidR="00DC1726" w:rsidRPr="00946435">
        <w:rPr>
          <w:lang w:val="en-GB"/>
        </w:rPr>
        <w:t xml:space="preserve">, </w:t>
      </w:r>
      <w:r w:rsidR="002976D0" w:rsidRPr="00946435">
        <w:rPr>
          <w:lang w:val="en-GB"/>
        </w:rPr>
        <w:t>generated greater revenue amounts that</w:t>
      </w:r>
      <w:r w:rsidRPr="00946435">
        <w:rPr>
          <w:lang w:val="en-GB"/>
        </w:rPr>
        <w:t xml:space="preserve"> were fundamental to </w:t>
      </w:r>
      <w:r w:rsidR="002976D0" w:rsidRPr="00946435">
        <w:rPr>
          <w:lang w:val="en-GB"/>
        </w:rPr>
        <w:t>the company’s</w:t>
      </w:r>
      <w:r w:rsidR="00DC1726" w:rsidRPr="00946435">
        <w:rPr>
          <w:lang w:val="en-GB"/>
        </w:rPr>
        <w:t xml:space="preserve"> </w:t>
      </w:r>
      <w:r w:rsidRPr="00946435">
        <w:rPr>
          <w:lang w:val="en-GB"/>
        </w:rPr>
        <w:t xml:space="preserve">growth. </w:t>
      </w:r>
      <w:r w:rsidR="00F920A4" w:rsidRPr="00946435">
        <w:rPr>
          <w:lang w:val="en-GB"/>
        </w:rPr>
        <w:t>An</w:t>
      </w:r>
      <w:r w:rsidR="00EB6D6A" w:rsidRPr="00946435">
        <w:rPr>
          <w:lang w:val="en-GB"/>
        </w:rPr>
        <w:t>other important revenue channel</w:t>
      </w:r>
      <w:r w:rsidR="00F920A4" w:rsidRPr="00946435">
        <w:rPr>
          <w:lang w:val="en-GB"/>
        </w:rPr>
        <w:t xml:space="preserve"> wa</w:t>
      </w:r>
      <w:r w:rsidR="00EB6D6A" w:rsidRPr="00946435">
        <w:rPr>
          <w:lang w:val="en-GB"/>
        </w:rPr>
        <w:t xml:space="preserve">s contract brewing, which referred to </w:t>
      </w:r>
      <w:r w:rsidR="00F920A4" w:rsidRPr="00946435">
        <w:rPr>
          <w:lang w:val="en-GB"/>
        </w:rPr>
        <w:t xml:space="preserve">Wellington Brewery offering its </w:t>
      </w:r>
      <w:r w:rsidR="00EB6D6A" w:rsidRPr="00946435">
        <w:rPr>
          <w:lang w:val="en-GB"/>
        </w:rPr>
        <w:t xml:space="preserve">brewing </w:t>
      </w:r>
      <w:r w:rsidR="00F920A4" w:rsidRPr="00946435">
        <w:rPr>
          <w:lang w:val="en-GB"/>
        </w:rPr>
        <w:t xml:space="preserve">premises and expertise to </w:t>
      </w:r>
      <w:r w:rsidR="002976D0" w:rsidRPr="00946435">
        <w:rPr>
          <w:lang w:val="en-GB"/>
        </w:rPr>
        <w:t xml:space="preserve">other </w:t>
      </w:r>
      <w:r w:rsidR="00F920A4" w:rsidRPr="00946435">
        <w:rPr>
          <w:lang w:val="en-GB"/>
        </w:rPr>
        <w:t>breweries that did not have their own facilities</w:t>
      </w:r>
      <w:r w:rsidR="00EB6D6A" w:rsidRPr="00946435">
        <w:rPr>
          <w:lang w:val="en-GB"/>
        </w:rPr>
        <w:t xml:space="preserve">. </w:t>
      </w:r>
      <w:r w:rsidR="00DC1726" w:rsidRPr="00946435">
        <w:rPr>
          <w:lang w:val="en-GB"/>
        </w:rPr>
        <w:t xml:space="preserve">The breakdown of </w:t>
      </w:r>
      <w:r w:rsidRPr="00946435">
        <w:rPr>
          <w:lang w:val="en-GB"/>
        </w:rPr>
        <w:t xml:space="preserve">Wellington Brewery’s sales mix </w:t>
      </w:r>
      <w:r w:rsidR="00DC1726" w:rsidRPr="00946435">
        <w:rPr>
          <w:lang w:val="en-GB"/>
        </w:rPr>
        <w:t>consisted of</w:t>
      </w:r>
      <w:r w:rsidRPr="00946435">
        <w:rPr>
          <w:lang w:val="en-GB"/>
        </w:rPr>
        <w:t xml:space="preserve"> approximately 25</w:t>
      </w:r>
      <w:r w:rsidR="00DC1726" w:rsidRPr="00946435">
        <w:rPr>
          <w:lang w:val="en-GB"/>
        </w:rPr>
        <w:t xml:space="preserve"> per cent</w:t>
      </w:r>
      <w:r w:rsidRPr="00946435">
        <w:rPr>
          <w:lang w:val="en-GB"/>
        </w:rPr>
        <w:t xml:space="preserve"> LCBO, 30</w:t>
      </w:r>
      <w:r w:rsidR="00DC1726" w:rsidRPr="00946435">
        <w:rPr>
          <w:lang w:val="en-GB"/>
        </w:rPr>
        <w:t xml:space="preserve"> per cent</w:t>
      </w:r>
      <w:r w:rsidRPr="00946435">
        <w:rPr>
          <w:lang w:val="en-GB"/>
        </w:rPr>
        <w:t xml:space="preserve"> licensees, 25</w:t>
      </w:r>
      <w:r w:rsidR="00DC1726" w:rsidRPr="00946435">
        <w:rPr>
          <w:lang w:val="en-GB"/>
        </w:rPr>
        <w:t xml:space="preserve"> per cent</w:t>
      </w:r>
      <w:r w:rsidRPr="00946435">
        <w:rPr>
          <w:lang w:val="en-GB"/>
        </w:rPr>
        <w:t xml:space="preserve"> contract</w:t>
      </w:r>
      <w:r w:rsidR="00F920A4" w:rsidRPr="00946435">
        <w:rPr>
          <w:lang w:val="en-GB"/>
        </w:rPr>
        <w:t xml:space="preserve"> brewing</w:t>
      </w:r>
      <w:r w:rsidRPr="00946435">
        <w:rPr>
          <w:lang w:val="en-GB"/>
        </w:rPr>
        <w:t>, 10</w:t>
      </w:r>
      <w:r w:rsidR="00DC1726" w:rsidRPr="00946435">
        <w:rPr>
          <w:lang w:val="en-GB"/>
        </w:rPr>
        <w:t xml:space="preserve"> per cent</w:t>
      </w:r>
      <w:r w:rsidRPr="00946435">
        <w:rPr>
          <w:lang w:val="en-GB"/>
        </w:rPr>
        <w:t xml:space="preserve"> TBS, and 10</w:t>
      </w:r>
      <w:r w:rsidR="00DC1726" w:rsidRPr="00946435">
        <w:rPr>
          <w:lang w:val="en-GB"/>
        </w:rPr>
        <w:t xml:space="preserve"> per cent</w:t>
      </w:r>
      <w:r w:rsidRPr="00946435">
        <w:rPr>
          <w:lang w:val="en-GB"/>
        </w:rPr>
        <w:t xml:space="preserve"> brewhouse</w:t>
      </w:r>
      <w:r w:rsidR="00F920A4" w:rsidRPr="00946435">
        <w:rPr>
          <w:lang w:val="en-GB"/>
        </w:rPr>
        <w:t xml:space="preserve"> revenue</w:t>
      </w:r>
      <w:r w:rsidRPr="00946435">
        <w:rPr>
          <w:lang w:val="en-GB"/>
        </w:rPr>
        <w:t xml:space="preserve">. </w:t>
      </w:r>
    </w:p>
    <w:p w14:paraId="732B3218" w14:textId="77777777" w:rsidR="00DC1726" w:rsidRPr="00946435" w:rsidRDefault="00DC1726" w:rsidP="009424DA">
      <w:pPr>
        <w:pStyle w:val="BodyTextMain"/>
        <w:rPr>
          <w:lang w:val="en-GB"/>
        </w:rPr>
      </w:pPr>
    </w:p>
    <w:p w14:paraId="27F6C11D" w14:textId="4090C193" w:rsidR="009424DA" w:rsidRPr="0078134E" w:rsidRDefault="00F920A4" w:rsidP="009424DA">
      <w:pPr>
        <w:pStyle w:val="BodyTextMain"/>
        <w:rPr>
          <w:spacing w:val="-4"/>
          <w:kern w:val="22"/>
          <w:lang w:val="en-GB"/>
        </w:rPr>
      </w:pPr>
      <w:r w:rsidRPr="0078134E">
        <w:rPr>
          <w:spacing w:val="-4"/>
          <w:kern w:val="22"/>
          <w:lang w:val="en-GB"/>
        </w:rPr>
        <w:t>Although</w:t>
      </w:r>
      <w:r w:rsidR="00EB6D6A" w:rsidRPr="0078134E">
        <w:rPr>
          <w:spacing w:val="-4"/>
          <w:kern w:val="22"/>
          <w:lang w:val="en-GB"/>
        </w:rPr>
        <w:t xml:space="preserve"> </w:t>
      </w:r>
      <w:r w:rsidR="00DC1726" w:rsidRPr="0078134E">
        <w:rPr>
          <w:spacing w:val="-4"/>
          <w:kern w:val="22"/>
          <w:lang w:val="en-GB"/>
        </w:rPr>
        <w:t>macrobrewer</w:t>
      </w:r>
      <w:r w:rsidR="00EB6D6A" w:rsidRPr="0078134E">
        <w:rPr>
          <w:spacing w:val="-4"/>
          <w:kern w:val="22"/>
          <w:lang w:val="en-GB"/>
        </w:rPr>
        <w:t xml:space="preserve">ies typically sold </w:t>
      </w:r>
      <w:r w:rsidRPr="0078134E">
        <w:rPr>
          <w:spacing w:val="-4"/>
          <w:kern w:val="22"/>
          <w:lang w:val="en-GB"/>
        </w:rPr>
        <w:t xml:space="preserve">their product in standard cases of 24 beers </w:t>
      </w:r>
      <w:r w:rsidR="00EB6D6A" w:rsidRPr="0078134E">
        <w:rPr>
          <w:spacing w:val="-4"/>
          <w:kern w:val="22"/>
          <w:lang w:val="en-GB"/>
        </w:rPr>
        <w:t>through TBS,</w:t>
      </w:r>
      <w:r w:rsidR="009424DA" w:rsidRPr="0078134E">
        <w:rPr>
          <w:spacing w:val="-4"/>
          <w:kern w:val="22"/>
          <w:lang w:val="en-GB"/>
        </w:rPr>
        <w:t xml:space="preserve"> craft brewery</w:t>
      </w:r>
      <w:r w:rsidR="00EB6D6A" w:rsidRPr="0078134E">
        <w:rPr>
          <w:spacing w:val="-4"/>
          <w:kern w:val="22"/>
          <w:lang w:val="en-GB"/>
        </w:rPr>
        <w:t xml:space="preserve"> sales consisted mainly of low-number packs</w:t>
      </w:r>
      <w:r w:rsidR="009424DA" w:rsidRPr="0078134E">
        <w:rPr>
          <w:spacing w:val="-4"/>
          <w:kern w:val="22"/>
          <w:lang w:val="en-GB"/>
        </w:rPr>
        <w:t xml:space="preserve"> </w:t>
      </w:r>
      <w:r w:rsidR="00EB6D6A" w:rsidRPr="0078134E">
        <w:rPr>
          <w:spacing w:val="-4"/>
          <w:kern w:val="22"/>
          <w:lang w:val="en-GB"/>
        </w:rPr>
        <w:t>or single</w:t>
      </w:r>
      <w:r w:rsidR="008465D4" w:rsidRPr="0078134E">
        <w:rPr>
          <w:spacing w:val="-4"/>
          <w:kern w:val="22"/>
          <w:lang w:val="en-GB"/>
        </w:rPr>
        <w:t>-</w:t>
      </w:r>
      <w:r w:rsidR="00EB6D6A" w:rsidRPr="0078134E">
        <w:rPr>
          <w:spacing w:val="-4"/>
          <w:kern w:val="22"/>
          <w:lang w:val="en-GB"/>
        </w:rPr>
        <w:t>unit sales. Therefore, the craft b</w:t>
      </w:r>
      <w:r w:rsidRPr="0078134E">
        <w:rPr>
          <w:spacing w:val="-4"/>
          <w:kern w:val="22"/>
          <w:lang w:val="en-GB"/>
        </w:rPr>
        <w:t>r</w:t>
      </w:r>
      <w:r w:rsidR="00EB6D6A" w:rsidRPr="0078134E">
        <w:rPr>
          <w:spacing w:val="-4"/>
          <w:kern w:val="22"/>
          <w:lang w:val="en-GB"/>
        </w:rPr>
        <w:t>e</w:t>
      </w:r>
      <w:r w:rsidRPr="0078134E">
        <w:rPr>
          <w:spacing w:val="-4"/>
          <w:kern w:val="22"/>
          <w:lang w:val="en-GB"/>
        </w:rPr>
        <w:t>w</w:t>
      </w:r>
      <w:r w:rsidR="00EB6D6A" w:rsidRPr="0078134E">
        <w:rPr>
          <w:spacing w:val="-4"/>
          <w:kern w:val="22"/>
          <w:lang w:val="en-GB"/>
        </w:rPr>
        <w:t>er</w:t>
      </w:r>
      <w:r w:rsidRPr="0078134E">
        <w:rPr>
          <w:spacing w:val="-4"/>
          <w:kern w:val="22"/>
          <w:lang w:val="en-GB"/>
        </w:rPr>
        <w:t>y</w:t>
      </w:r>
      <w:r w:rsidR="00EB6D6A" w:rsidRPr="0078134E">
        <w:rPr>
          <w:spacing w:val="-4"/>
          <w:kern w:val="22"/>
          <w:lang w:val="en-GB"/>
        </w:rPr>
        <w:t xml:space="preserve"> segment’s</w:t>
      </w:r>
      <w:r w:rsidR="009424DA" w:rsidRPr="0078134E">
        <w:rPr>
          <w:spacing w:val="-4"/>
          <w:kern w:val="22"/>
          <w:lang w:val="en-GB"/>
        </w:rPr>
        <w:t xml:space="preserve"> relationship with TBS</w:t>
      </w:r>
      <w:r w:rsidR="00EB6D6A" w:rsidRPr="0078134E">
        <w:rPr>
          <w:spacing w:val="-4"/>
          <w:kern w:val="22"/>
          <w:lang w:val="en-GB"/>
        </w:rPr>
        <w:t xml:space="preserve"> was </w:t>
      </w:r>
      <w:r w:rsidRPr="0078134E">
        <w:rPr>
          <w:spacing w:val="-4"/>
          <w:kern w:val="22"/>
          <w:lang w:val="en-GB"/>
        </w:rPr>
        <w:t xml:space="preserve">increasingly </w:t>
      </w:r>
      <w:r w:rsidR="00EB6D6A" w:rsidRPr="0078134E">
        <w:rPr>
          <w:spacing w:val="-4"/>
          <w:kern w:val="22"/>
          <w:lang w:val="en-GB"/>
        </w:rPr>
        <w:t xml:space="preserve">becoming </w:t>
      </w:r>
      <w:r w:rsidRPr="0078134E">
        <w:rPr>
          <w:spacing w:val="-4"/>
          <w:kern w:val="22"/>
          <w:lang w:val="en-GB"/>
        </w:rPr>
        <w:t>insignificant</w:t>
      </w:r>
      <w:r w:rsidR="009424DA" w:rsidRPr="0078134E">
        <w:rPr>
          <w:spacing w:val="-4"/>
          <w:kern w:val="22"/>
          <w:lang w:val="en-GB"/>
        </w:rPr>
        <w:t xml:space="preserve">. </w:t>
      </w:r>
      <w:r w:rsidRPr="0078134E">
        <w:rPr>
          <w:spacing w:val="-4"/>
          <w:kern w:val="22"/>
          <w:lang w:val="en-GB"/>
        </w:rPr>
        <w:t>In contrast</w:t>
      </w:r>
      <w:r w:rsidR="00EB6D6A" w:rsidRPr="0078134E">
        <w:rPr>
          <w:spacing w:val="-4"/>
          <w:kern w:val="22"/>
          <w:lang w:val="en-GB"/>
        </w:rPr>
        <w:t xml:space="preserve">, </w:t>
      </w:r>
      <w:r w:rsidRPr="0078134E">
        <w:rPr>
          <w:spacing w:val="-4"/>
          <w:kern w:val="22"/>
          <w:lang w:val="en-GB"/>
        </w:rPr>
        <w:t xml:space="preserve">the craft brewery segment’s </w:t>
      </w:r>
      <w:r w:rsidR="00EB6D6A" w:rsidRPr="0078134E">
        <w:rPr>
          <w:spacing w:val="-4"/>
          <w:kern w:val="22"/>
          <w:lang w:val="en-GB"/>
        </w:rPr>
        <w:t>relationship with t</w:t>
      </w:r>
      <w:r w:rsidR="009424DA" w:rsidRPr="0078134E">
        <w:rPr>
          <w:spacing w:val="-4"/>
          <w:kern w:val="22"/>
          <w:lang w:val="en-GB"/>
        </w:rPr>
        <w:t xml:space="preserve">he LCBO, licensees, contract </w:t>
      </w:r>
      <w:r w:rsidR="00EB6D6A" w:rsidRPr="0078134E">
        <w:rPr>
          <w:spacing w:val="-4"/>
          <w:kern w:val="22"/>
          <w:lang w:val="en-GB"/>
        </w:rPr>
        <w:t>brewing, and e-commerce</w:t>
      </w:r>
      <w:r w:rsidR="009424DA" w:rsidRPr="0078134E">
        <w:rPr>
          <w:spacing w:val="-4"/>
          <w:kern w:val="22"/>
          <w:lang w:val="en-GB"/>
        </w:rPr>
        <w:t xml:space="preserve"> </w:t>
      </w:r>
      <w:r w:rsidR="00EB6D6A" w:rsidRPr="0078134E">
        <w:rPr>
          <w:spacing w:val="-4"/>
          <w:kern w:val="22"/>
          <w:lang w:val="en-GB"/>
        </w:rPr>
        <w:t>w</w:t>
      </w:r>
      <w:r w:rsidRPr="0078134E">
        <w:rPr>
          <w:spacing w:val="-4"/>
          <w:kern w:val="22"/>
          <w:lang w:val="en-GB"/>
        </w:rPr>
        <w:t>as</w:t>
      </w:r>
      <w:r w:rsidR="009424DA" w:rsidRPr="0078134E">
        <w:rPr>
          <w:spacing w:val="-4"/>
          <w:kern w:val="22"/>
          <w:lang w:val="en-GB"/>
        </w:rPr>
        <w:t xml:space="preserve"> </w:t>
      </w:r>
      <w:r w:rsidRPr="0078134E">
        <w:rPr>
          <w:spacing w:val="-4"/>
          <w:kern w:val="22"/>
          <w:lang w:val="en-GB"/>
        </w:rPr>
        <w:t>critical</w:t>
      </w:r>
      <w:r w:rsidR="00EB6D6A" w:rsidRPr="0078134E">
        <w:rPr>
          <w:spacing w:val="-4"/>
          <w:kern w:val="22"/>
          <w:lang w:val="en-GB"/>
        </w:rPr>
        <w:t xml:space="preserve"> (s</w:t>
      </w:r>
      <w:r w:rsidR="009424DA" w:rsidRPr="0078134E">
        <w:rPr>
          <w:spacing w:val="-4"/>
          <w:kern w:val="22"/>
          <w:lang w:val="en-GB"/>
        </w:rPr>
        <w:t xml:space="preserve">ee Exhibit </w:t>
      </w:r>
      <w:r w:rsidR="00F47654" w:rsidRPr="0078134E">
        <w:rPr>
          <w:spacing w:val="-4"/>
          <w:kern w:val="22"/>
          <w:lang w:val="en-GB"/>
        </w:rPr>
        <w:t>2</w:t>
      </w:r>
      <w:r w:rsidR="00EB6D6A" w:rsidRPr="0078134E">
        <w:rPr>
          <w:spacing w:val="-4"/>
          <w:kern w:val="22"/>
          <w:lang w:val="en-GB"/>
        </w:rPr>
        <w:t>)</w:t>
      </w:r>
      <w:r w:rsidR="009424DA" w:rsidRPr="0078134E">
        <w:rPr>
          <w:spacing w:val="-4"/>
          <w:kern w:val="22"/>
          <w:lang w:val="en-GB"/>
        </w:rPr>
        <w:t xml:space="preserve">. </w:t>
      </w:r>
    </w:p>
    <w:p w14:paraId="405B4A21" w14:textId="7C1F7A6E" w:rsidR="009424DA" w:rsidRPr="00946435" w:rsidRDefault="009424DA" w:rsidP="009424DA">
      <w:pPr>
        <w:pStyle w:val="BodyTextMain"/>
        <w:rPr>
          <w:lang w:val="en-GB"/>
        </w:rPr>
      </w:pPr>
    </w:p>
    <w:p w14:paraId="5EA8D9DA" w14:textId="77777777" w:rsidR="009424DA" w:rsidRPr="00946435" w:rsidRDefault="009424DA" w:rsidP="009424DA">
      <w:pPr>
        <w:pStyle w:val="BodyTextMain"/>
        <w:rPr>
          <w:lang w:val="en-GB"/>
        </w:rPr>
      </w:pPr>
    </w:p>
    <w:p w14:paraId="0937B09A" w14:textId="77777777" w:rsidR="009424DA" w:rsidRPr="00946435" w:rsidRDefault="009424DA" w:rsidP="009424DA">
      <w:pPr>
        <w:pStyle w:val="Casehead1"/>
        <w:rPr>
          <w:lang w:val="en-GB"/>
        </w:rPr>
      </w:pPr>
      <w:r w:rsidRPr="00946435">
        <w:rPr>
          <w:lang w:val="en-GB"/>
        </w:rPr>
        <w:t>The LCBO</w:t>
      </w:r>
    </w:p>
    <w:p w14:paraId="387ECAE7" w14:textId="77777777" w:rsidR="009424DA" w:rsidRPr="00946435" w:rsidRDefault="009424DA" w:rsidP="009424DA">
      <w:pPr>
        <w:pStyle w:val="BodyTextMain"/>
        <w:rPr>
          <w:lang w:val="en-GB"/>
        </w:rPr>
      </w:pPr>
    </w:p>
    <w:p w14:paraId="733ADA47" w14:textId="2C8C463B" w:rsidR="009424DA" w:rsidRPr="00946435" w:rsidRDefault="009424DA" w:rsidP="009424DA">
      <w:pPr>
        <w:pStyle w:val="BodyTextMain"/>
        <w:rPr>
          <w:lang w:val="en-GB"/>
        </w:rPr>
      </w:pPr>
      <w:r w:rsidRPr="00946435">
        <w:rPr>
          <w:lang w:val="en-GB"/>
        </w:rPr>
        <w:t xml:space="preserve">The LCBO dominated retail distribution in Ontario. Getting a product onto the retailer’s shelves was challenging for craft breweries. The LCBO used a web-based </w:t>
      </w:r>
      <w:r w:rsidR="009E40F1" w:rsidRPr="00946435">
        <w:rPr>
          <w:lang w:val="en-GB"/>
        </w:rPr>
        <w:t xml:space="preserve">product </w:t>
      </w:r>
      <w:r w:rsidRPr="00946435">
        <w:rPr>
          <w:lang w:val="en-GB"/>
        </w:rPr>
        <w:t>submission process called the New Item Submission System (NISS).</w:t>
      </w:r>
      <w:r w:rsidRPr="00946435">
        <w:rPr>
          <w:rStyle w:val="EndnoteReference"/>
          <w:lang w:val="en-GB"/>
        </w:rPr>
        <w:endnoteReference w:id="36"/>
      </w:r>
      <w:r w:rsidRPr="00946435">
        <w:rPr>
          <w:lang w:val="en-GB"/>
        </w:rPr>
        <w:t xml:space="preserve"> This process required a new product to pass through a series of stages</w:t>
      </w:r>
      <w:r w:rsidR="009E40F1" w:rsidRPr="00946435">
        <w:rPr>
          <w:lang w:val="en-GB"/>
        </w:rPr>
        <w:t>,</w:t>
      </w:r>
      <w:r w:rsidRPr="00946435">
        <w:rPr>
          <w:lang w:val="en-GB"/>
        </w:rPr>
        <w:t xml:space="preserve"> ranging from setting price parameters to </w:t>
      </w:r>
      <w:r w:rsidR="00EF7FE4" w:rsidRPr="00946435">
        <w:rPr>
          <w:lang w:val="en-GB"/>
        </w:rPr>
        <w:t xml:space="preserve">product </w:t>
      </w:r>
      <w:r w:rsidRPr="00946435">
        <w:rPr>
          <w:lang w:val="en-GB"/>
        </w:rPr>
        <w:t xml:space="preserve">tasting, </w:t>
      </w:r>
      <w:r w:rsidR="009E40F1" w:rsidRPr="00946435">
        <w:rPr>
          <w:lang w:val="en-GB"/>
        </w:rPr>
        <w:t xml:space="preserve">which </w:t>
      </w:r>
      <w:r w:rsidRPr="00946435">
        <w:rPr>
          <w:lang w:val="en-GB"/>
        </w:rPr>
        <w:t>last</w:t>
      </w:r>
      <w:r w:rsidR="009E40F1" w:rsidRPr="00946435">
        <w:rPr>
          <w:lang w:val="en-GB"/>
        </w:rPr>
        <w:t>e</w:t>
      </w:r>
      <w:r w:rsidR="00EB1876" w:rsidRPr="00946435">
        <w:rPr>
          <w:lang w:val="en-GB"/>
        </w:rPr>
        <w:t>d</w:t>
      </w:r>
      <w:r w:rsidRPr="00946435">
        <w:rPr>
          <w:lang w:val="en-GB"/>
        </w:rPr>
        <w:t xml:space="preserve"> at least six weeks. Several factors </w:t>
      </w:r>
      <w:r w:rsidR="009E40F1" w:rsidRPr="00946435">
        <w:rPr>
          <w:lang w:val="en-GB"/>
        </w:rPr>
        <w:t>affected</w:t>
      </w:r>
      <w:r w:rsidRPr="00946435">
        <w:rPr>
          <w:lang w:val="en-GB"/>
        </w:rPr>
        <w:t xml:space="preserve"> a craft brewery’s ability to </w:t>
      </w:r>
      <w:r w:rsidR="009E40F1" w:rsidRPr="00946435">
        <w:rPr>
          <w:lang w:val="en-GB"/>
        </w:rPr>
        <w:t>be accepted and remain active in the LCBO</w:t>
      </w:r>
      <w:r w:rsidRPr="00946435">
        <w:rPr>
          <w:lang w:val="en-GB"/>
        </w:rPr>
        <w:t xml:space="preserve"> stores. </w:t>
      </w:r>
      <w:r w:rsidR="009E40F1" w:rsidRPr="00946435">
        <w:rPr>
          <w:lang w:val="en-GB"/>
        </w:rPr>
        <w:t xml:space="preserve">After </w:t>
      </w:r>
      <w:r w:rsidR="00EF7FE4" w:rsidRPr="00946435">
        <w:rPr>
          <w:lang w:val="en-GB"/>
        </w:rPr>
        <w:t>a product was</w:t>
      </w:r>
      <w:r w:rsidR="009E40F1" w:rsidRPr="00946435">
        <w:rPr>
          <w:lang w:val="en-GB"/>
        </w:rPr>
        <w:t xml:space="preserve"> accepted, </w:t>
      </w:r>
      <w:r w:rsidR="00EF7FE4" w:rsidRPr="00946435">
        <w:rPr>
          <w:lang w:val="en-GB"/>
        </w:rPr>
        <w:t>i</w:t>
      </w:r>
      <w:r w:rsidR="009E40F1" w:rsidRPr="00946435">
        <w:rPr>
          <w:lang w:val="en-GB"/>
        </w:rPr>
        <w:t>t</w:t>
      </w:r>
      <w:r w:rsidR="00EF7FE4" w:rsidRPr="00946435">
        <w:rPr>
          <w:lang w:val="en-GB"/>
        </w:rPr>
        <w:t>s</w:t>
      </w:r>
      <w:r w:rsidR="009E40F1" w:rsidRPr="00946435">
        <w:rPr>
          <w:lang w:val="en-GB"/>
        </w:rPr>
        <w:t xml:space="preserve"> s</w:t>
      </w:r>
      <w:r w:rsidRPr="00946435">
        <w:rPr>
          <w:lang w:val="en-GB"/>
        </w:rPr>
        <w:t>helf</w:t>
      </w:r>
      <w:r w:rsidR="009E40F1" w:rsidRPr="00946435">
        <w:rPr>
          <w:lang w:val="en-GB"/>
        </w:rPr>
        <w:t xml:space="preserve"> </w:t>
      </w:r>
      <w:r w:rsidRPr="00946435">
        <w:rPr>
          <w:lang w:val="en-GB"/>
        </w:rPr>
        <w:t xml:space="preserve">space was </w:t>
      </w:r>
      <w:r w:rsidR="009E40F1" w:rsidRPr="00946435">
        <w:rPr>
          <w:lang w:val="en-GB"/>
        </w:rPr>
        <w:t>reviewed</w:t>
      </w:r>
      <w:r w:rsidRPr="00946435">
        <w:rPr>
          <w:lang w:val="en-GB"/>
        </w:rPr>
        <w:t xml:space="preserve"> week</w:t>
      </w:r>
      <w:r w:rsidR="009E40F1" w:rsidRPr="00946435">
        <w:rPr>
          <w:lang w:val="en-GB"/>
        </w:rPr>
        <w:t>ly. T</w:t>
      </w:r>
      <w:r w:rsidRPr="00946435">
        <w:rPr>
          <w:lang w:val="en-GB"/>
        </w:rPr>
        <w:t>he LCBO prefer</w:t>
      </w:r>
      <w:r w:rsidR="009E40F1" w:rsidRPr="00946435">
        <w:rPr>
          <w:lang w:val="en-GB"/>
        </w:rPr>
        <w:t>red stocking</w:t>
      </w:r>
      <w:r w:rsidRPr="00946435">
        <w:rPr>
          <w:lang w:val="en-GB"/>
        </w:rPr>
        <w:t xml:space="preserve"> </w:t>
      </w:r>
      <w:r w:rsidR="009E40F1" w:rsidRPr="00946435">
        <w:rPr>
          <w:lang w:val="en-GB"/>
        </w:rPr>
        <w:t xml:space="preserve">beer products in cans of </w:t>
      </w:r>
      <w:r w:rsidRPr="00946435">
        <w:rPr>
          <w:lang w:val="en-GB"/>
        </w:rPr>
        <w:t>473</w:t>
      </w:r>
      <w:r w:rsidR="009E40F1" w:rsidRPr="00946435">
        <w:rPr>
          <w:lang w:val="en-GB"/>
        </w:rPr>
        <w:t xml:space="preserve"> </w:t>
      </w:r>
      <w:r w:rsidRPr="00946435">
        <w:rPr>
          <w:lang w:val="en-GB"/>
        </w:rPr>
        <w:t>millilitr</w:t>
      </w:r>
      <w:r w:rsidR="009E40F1" w:rsidRPr="00946435">
        <w:rPr>
          <w:lang w:val="en-GB"/>
        </w:rPr>
        <w:t>e</w:t>
      </w:r>
      <w:r w:rsidRPr="00946435">
        <w:rPr>
          <w:lang w:val="en-GB"/>
        </w:rPr>
        <w:t>s</w:t>
      </w:r>
      <w:r w:rsidR="009E40F1" w:rsidRPr="00946435">
        <w:rPr>
          <w:lang w:val="en-GB"/>
        </w:rPr>
        <w:t xml:space="preserve"> and</w:t>
      </w:r>
      <w:r w:rsidRPr="00946435">
        <w:rPr>
          <w:lang w:val="en-GB"/>
        </w:rPr>
        <w:t xml:space="preserve"> require</w:t>
      </w:r>
      <w:r w:rsidR="009E40F1" w:rsidRPr="00946435">
        <w:rPr>
          <w:lang w:val="en-GB"/>
        </w:rPr>
        <w:t>d</w:t>
      </w:r>
      <w:r w:rsidRPr="00946435">
        <w:rPr>
          <w:lang w:val="en-GB"/>
        </w:rPr>
        <w:t xml:space="preserve"> a minimum of 20 litr</w:t>
      </w:r>
      <w:r w:rsidR="009E40F1" w:rsidRPr="00946435">
        <w:rPr>
          <w:lang w:val="en-GB"/>
        </w:rPr>
        <w:t>e</w:t>
      </w:r>
      <w:r w:rsidRPr="00946435">
        <w:rPr>
          <w:lang w:val="en-GB"/>
        </w:rPr>
        <w:t xml:space="preserve">s </w:t>
      </w:r>
      <w:r w:rsidR="009E40F1" w:rsidRPr="00946435">
        <w:rPr>
          <w:lang w:val="en-GB"/>
        </w:rPr>
        <w:t>of the product to be sold in each</w:t>
      </w:r>
      <w:r w:rsidRPr="00946435">
        <w:rPr>
          <w:lang w:val="en-GB"/>
        </w:rPr>
        <w:t xml:space="preserve"> store </w:t>
      </w:r>
      <w:r w:rsidR="009E40F1" w:rsidRPr="00946435">
        <w:rPr>
          <w:lang w:val="en-GB"/>
        </w:rPr>
        <w:t>within a specific</w:t>
      </w:r>
      <w:r w:rsidRPr="00946435">
        <w:rPr>
          <w:lang w:val="en-GB"/>
        </w:rPr>
        <w:t xml:space="preserve"> period. </w:t>
      </w:r>
      <w:r w:rsidR="00001B6D" w:rsidRPr="00946435">
        <w:rPr>
          <w:lang w:val="en-GB"/>
        </w:rPr>
        <w:t>Each</w:t>
      </w:r>
      <w:r w:rsidRPr="00946435">
        <w:rPr>
          <w:lang w:val="en-GB"/>
        </w:rPr>
        <w:t xml:space="preserve"> year</w:t>
      </w:r>
      <w:r w:rsidR="00EF7FE4" w:rsidRPr="00946435">
        <w:rPr>
          <w:lang w:val="en-GB"/>
        </w:rPr>
        <w:t>,</w:t>
      </w:r>
      <w:r w:rsidRPr="00946435">
        <w:rPr>
          <w:lang w:val="en-GB"/>
        </w:rPr>
        <w:t xml:space="preserve"> a random sample from every </w:t>
      </w:r>
      <w:r w:rsidR="00EF7FE4" w:rsidRPr="00946435">
        <w:rPr>
          <w:lang w:val="en-GB"/>
        </w:rPr>
        <w:t xml:space="preserve">product listed on the </w:t>
      </w:r>
      <w:r w:rsidRPr="00946435">
        <w:rPr>
          <w:lang w:val="en-GB"/>
        </w:rPr>
        <w:t xml:space="preserve">LCBO was sent to </w:t>
      </w:r>
      <w:r w:rsidR="00001B6D" w:rsidRPr="00946435">
        <w:rPr>
          <w:lang w:val="en-GB"/>
        </w:rPr>
        <w:t>i</w:t>
      </w:r>
      <w:r w:rsidRPr="00946435">
        <w:rPr>
          <w:lang w:val="en-GB"/>
        </w:rPr>
        <w:t>t</w:t>
      </w:r>
      <w:r w:rsidR="00001B6D" w:rsidRPr="00946435">
        <w:rPr>
          <w:lang w:val="en-GB"/>
        </w:rPr>
        <w:t>s q</w:t>
      </w:r>
      <w:r w:rsidRPr="00946435">
        <w:rPr>
          <w:lang w:val="en-GB"/>
        </w:rPr>
        <w:t xml:space="preserve">uality </w:t>
      </w:r>
      <w:r w:rsidR="00001B6D" w:rsidRPr="00946435">
        <w:rPr>
          <w:lang w:val="en-GB"/>
        </w:rPr>
        <w:t>a</w:t>
      </w:r>
      <w:r w:rsidRPr="00946435">
        <w:rPr>
          <w:lang w:val="en-GB"/>
        </w:rPr>
        <w:t>ssurance department for analysis of alcohol content and packaging.</w:t>
      </w:r>
      <w:r w:rsidRPr="00946435">
        <w:rPr>
          <w:rStyle w:val="EndnoteReference"/>
          <w:lang w:val="en-GB"/>
        </w:rPr>
        <w:endnoteReference w:id="37"/>
      </w:r>
      <w:r w:rsidRPr="00946435">
        <w:rPr>
          <w:lang w:val="en-GB"/>
        </w:rPr>
        <w:t xml:space="preserve"> If </w:t>
      </w:r>
      <w:r w:rsidR="00EF7FE4" w:rsidRPr="00946435">
        <w:rPr>
          <w:lang w:val="en-GB"/>
        </w:rPr>
        <w:t>a</w:t>
      </w:r>
      <w:r w:rsidRPr="00946435">
        <w:rPr>
          <w:lang w:val="en-GB"/>
        </w:rPr>
        <w:t xml:space="preserve"> product</w:t>
      </w:r>
      <w:r w:rsidR="00001B6D" w:rsidRPr="00946435">
        <w:rPr>
          <w:lang w:val="en-GB"/>
        </w:rPr>
        <w:t>’s alcohol content</w:t>
      </w:r>
      <w:r w:rsidRPr="00946435">
        <w:rPr>
          <w:lang w:val="en-GB"/>
        </w:rPr>
        <w:t xml:space="preserve"> was found to be over its advertised </w:t>
      </w:r>
      <w:r w:rsidR="00001B6D" w:rsidRPr="00946435">
        <w:rPr>
          <w:lang w:val="en-GB"/>
        </w:rPr>
        <w:t>level by as little as 0.5 per cent</w:t>
      </w:r>
      <w:r w:rsidRPr="00946435">
        <w:rPr>
          <w:lang w:val="en-GB"/>
        </w:rPr>
        <w:t>, the entire listing could be removed</w:t>
      </w:r>
      <w:r w:rsidR="00001B6D" w:rsidRPr="00946435">
        <w:rPr>
          <w:lang w:val="en-GB"/>
        </w:rPr>
        <w:t xml:space="preserve"> from the shelves</w:t>
      </w:r>
      <w:r w:rsidRPr="00946435">
        <w:rPr>
          <w:lang w:val="en-GB"/>
        </w:rPr>
        <w:t xml:space="preserve">. </w:t>
      </w:r>
      <w:r w:rsidR="00001B6D" w:rsidRPr="00946435">
        <w:rPr>
          <w:lang w:val="en-GB"/>
        </w:rPr>
        <w:t>Theref</w:t>
      </w:r>
      <w:r w:rsidRPr="00946435">
        <w:rPr>
          <w:lang w:val="en-GB"/>
        </w:rPr>
        <w:t>or</w:t>
      </w:r>
      <w:r w:rsidR="00001B6D" w:rsidRPr="00946435">
        <w:rPr>
          <w:lang w:val="en-GB"/>
        </w:rPr>
        <w:t>e,</w:t>
      </w:r>
      <w:r w:rsidRPr="00946435">
        <w:rPr>
          <w:lang w:val="en-GB"/>
        </w:rPr>
        <w:t xml:space="preserve"> Wellington Brewery</w:t>
      </w:r>
      <w:r w:rsidR="00001B6D" w:rsidRPr="00946435">
        <w:rPr>
          <w:lang w:val="en-GB"/>
        </w:rPr>
        <w:t xml:space="preserve"> made</w:t>
      </w:r>
      <w:r w:rsidRPr="00946435">
        <w:rPr>
          <w:lang w:val="en-GB"/>
        </w:rPr>
        <w:t xml:space="preserve"> consistency a critical aspect of </w:t>
      </w:r>
      <w:r w:rsidR="00001B6D" w:rsidRPr="00946435">
        <w:rPr>
          <w:lang w:val="en-GB"/>
        </w:rPr>
        <w:t>i</w:t>
      </w:r>
      <w:r w:rsidRPr="00946435">
        <w:rPr>
          <w:lang w:val="en-GB"/>
        </w:rPr>
        <w:t>t</w:t>
      </w:r>
      <w:r w:rsidR="00001B6D" w:rsidRPr="00946435">
        <w:rPr>
          <w:lang w:val="en-GB"/>
        </w:rPr>
        <w:t>s</w:t>
      </w:r>
      <w:r w:rsidRPr="00946435">
        <w:rPr>
          <w:lang w:val="en-GB"/>
        </w:rPr>
        <w:t xml:space="preserve"> business.</w:t>
      </w:r>
    </w:p>
    <w:p w14:paraId="33D4D83F" w14:textId="77777777" w:rsidR="009424DA" w:rsidRPr="00946435" w:rsidRDefault="009424DA" w:rsidP="009424DA">
      <w:pPr>
        <w:pStyle w:val="BodyTextMain"/>
        <w:rPr>
          <w:lang w:val="en-GB"/>
        </w:rPr>
      </w:pPr>
    </w:p>
    <w:p w14:paraId="643C95AA" w14:textId="12A29CD0" w:rsidR="000D49F3" w:rsidRPr="00946435" w:rsidRDefault="009424DA" w:rsidP="009424DA">
      <w:pPr>
        <w:pStyle w:val="BodyTextMain"/>
        <w:rPr>
          <w:lang w:val="en-GB"/>
        </w:rPr>
      </w:pPr>
      <w:r w:rsidRPr="00946435">
        <w:rPr>
          <w:lang w:val="en-GB"/>
        </w:rPr>
        <w:t xml:space="preserve">Before </w:t>
      </w:r>
      <w:r w:rsidR="00BC5F8C" w:rsidRPr="00946435">
        <w:rPr>
          <w:lang w:val="en-GB"/>
        </w:rPr>
        <w:t>completing</w:t>
      </w:r>
      <w:r w:rsidRPr="00946435">
        <w:rPr>
          <w:lang w:val="en-GB"/>
        </w:rPr>
        <w:t xml:space="preserve"> </w:t>
      </w:r>
      <w:r w:rsidR="00D8444B" w:rsidRPr="00946435">
        <w:rPr>
          <w:lang w:val="en-GB"/>
        </w:rPr>
        <w:t xml:space="preserve">the </w:t>
      </w:r>
      <w:r w:rsidRPr="00946435">
        <w:rPr>
          <w:lang w:val="en-GB"/>
        </w:rPr>
        <w:t>NISS</w:t>
      </w:r>
      <w:r w:rsidR="00D8444B" w:rsidRPr="00946435">
        <w:rPr>
          <w:lang w:val="en-GB"/>
        </w:rPr>
        <w:t xml:space="preserve"> process</w:t>
      </w:r>
      <w:r w:rsidRPr="00946435">
        <w:rPr>
          <w:lang w:val="en-GB"/>
        </w:rPr>
        <w:t xml:space="preserve">, a craft brewery </w:t>
      </w:r>
      <w:r w:rsidR="006C55C5">
        <w:rPr>
          <w:lang w:val="en-GB"/>
        </w:rPr>
        <w:t>needed</w:t>
      </w:r>
      <w:r w:rsidR="006C55C5" w:rsidRPr="00946435">
        <w:rPr>
          <w:lang w:val="en-GB"/>
        </w:rPr>
        <w:t xml:space="preserve"> </w:t>
      </w:r>
      <w:r w:rsidRPr="00946435">
        <w:rPr>
          <w:lang w:val="en-GB"/>
        </w:rPr>
        <w:t>to establish a relationship with LCBO</w:t>
      </w:r>
      <w:r w:rsidR="00EB1876" w:rsidRPr="00946435">
        <w:rPr>
          <w:lang w:val="en-GB"/>
        </w:rPr>
        <w:t>’s</w:t>
      </w:r>
      <w:r w:rsidRPr="00946435">
        <w:rPr>
          <w:lang w:val="en-GB"/>
        </w:rPr>
        <w:t xml:space="preserve"> head office and individual store managers. Dedicated brewery sales teams participated in ongoing relationship-building efforts and presented their new products. This process was labour</w:t>
      </w:r>
      <w:r w:rsidR="006C55C5">
        <w:rPr>
          <w:lang w:val="en-GB"/>
        </w:rPr>
        <w:t>-</w:t>
      </w:r>
      <w:r w:rsidRPr="00946435">
        <w:rPr>
          <w:lang w:val="en-GB"/>
        </w:rPr>
        <w:t>intensive and competitive</w:t>
      </w:r>
      <w:r w:rsidR="00EB1876" w:rsidRPr="00946435">
        <w:rPr>
          <w:lang w:val="en-GB"/>
        </w:rPr>
        <w:t>. S</w:t>
      </w:r>
      <w:r w:rsidRPr="00946435">
        <w:rPr>
          <w:lang w:val="en-GB"/>
        </w:rPr>
        <w:t>helf</w:t>
      </w:r>
      <w:r w:rsidR="006C55C5">
        <w:rPr>
          <w:lang w:val="en-GB"/>
        </w:rPr>
        <w:t xml:space="preserve"> </w:t>
      </w:r>
      <w:r w:rsidRPr="00946435">
        <w:rPr>
          <w:lang w:val="en-GB"/>
        </w:rPr>
        <w:t xml:space="preserve">space </w:t>
      </w:r>
      <w:r w:rsidR="00EB1876" w:rsidRPr="00946435">
        <w:rPr>
          <w:lang w:val="en-GB"/>
        </w:rPr>
        <w:t xml:space="preserve">at the LCBO stores </w:t>
      </w:r>
      <w:r w:rsidRPr="00946435">
        <w:rPr>
          <w:lang w:val="en-GB"/>
        </w:rPr>
        <w:t xml:space="preserve">was </w:t>
      </w:r>
      <w:r w:rsidR="00EB1876" w:rsidRPr="00946435">
        <w:rPr>
          <w:lang w:val="en-GB"/>
        </w:rPr>
        <w:t>limited</w:t>
      </w:r>
      <w:r w:rsidRPr="00946435">
        <w:rPr>
          <w:lang w:val="en-GB"/>
        </w:rPr>
        <w:t xml:space="preserve">, and macrobreweries occupied a </w:t>
      </w:r>
      <w:r w:rsidR="00EB1876" w:rsidRPr="00946435">
        <w:rPr>
          <w:lang w:val="en-GB"/>
        </w:rPr>
        <w:t>considerable</w:t>
      </w:r>
      <w:r w:rsidRPr="00946435">
        <w:rPr>
          <w:lang w:val="en-GB"/>
        </w:rPr>
        <w:t xml:space="preserve"> amount of the </w:t>
      </w:r>
      <w:r w:rsidR="00EB1876" w:rsidRPr="00946435">
        <w:rPr>
          <w:lang w:val="en-GB"/>
        </w:rPr>
        <w:t xml:space="preserve">available </w:t>
      </w:r>
      <w:r w:rsidRPr="00946435">
        <w:rPr>
          <w:lang w:val="en-GB"/>
        </w:rPr>
        <w:t xml:space="preserve">space. Davies </w:t>
      </w:r>
      <w:r w:rsidR="00EB1876" w:rsidRPr="00946435">
        <w:rPr>
          <w:lang w:val="en-GB"/>
        </w:rPr>
        <w:t>was aware that</w:t>
      </w:r>
      <w:r w:rsidRPr="00946435">
        <w:rPr>
          <w:lang w:val="en-GB"/>
        </w:rPr>
        <w:t xml:space="preserve"> </w:t>
      </w:r>
      <w:r w:rsidR="00EB1876" w:rsidRPr="00946435">
        <w:rPr>
          <w:lang w:val="en-GB"/>
        </w:rPr>
        <w:t>new</w:t>
      </w:r>
      <w:r w:rsidR="006C55C5">
        <w:rPr>
          <w:lang w:val="en-GB"/>
        </w:rPr>
        <w:t>-</w:t>
      </w:r>
      <w:r w:rsidRPr="00946435">
        <w:rPr>
          <w:lang w:val="en-GB"/>
        </w:rPr>
        <w:t xml:space="preserve">product applications to the LCBO </w:t>
      </w:r>
      <w:r w:rsidR="00EB1876" w:rsidRPr="00946435">
        <w:rPr>
          <w:lang w:val="en-GB"/>
        </w:rPr>
        <w:t>were requir</w:t>
      </w:r>
      <w:r w:rsidRPr="00946435">
        <w:rPr>
          <w:lang w:val="en-GB"/>
        </w:rPr>
        <w:t xml:space="preserve">ed </w:t>
      </w:r>
      <w:r w:rsidR="00EB1876" w:rsidRPr="00946435">
        <w:rPr>
          <w:lang w:val="en-GB"/>
        </w:rPr>
        <w:t>for</w:t>
      </w:r>
      <w:r w:rsidRPr="00946435">
        <w:rPr>
          <w:lang w:val="en-GB"/>
        </w:rPr>
        <w:t xml:space="preserve"> both core and seasonal </w:t>
      </w:r>
      <w:r w:rsidR="00EB1876" w:rsidRPr="00946435">
        <w:rPr>
          <w:lang w:val="en-GB"/>
        </w:rPr>
        <w:t>brands</w:t>
      </w:r>
      <w:r w:rsidRPr="00946435">
        <w:rPr>
          <w:lang w:val="en-GB"/>
        </w:rPr>
        <w:t xml:space="preserve">. The LCBO maintained an updated </w:t>
      </w:r>
      <w:r w:rsidR="00EB1876" w:rsidRPr="00946435">
        <w:rPr>
          <w:lang w:val="en-GB"/>
        </w:rPr>
        <w:t>p</w:t>
      </w:r>
      <w:r w:rsidRPr="00946435">
        <w:rPr>
          <w:lang w:val="en-GB"/>
        </w:rPr>
        <w:t>roduct</w:t>
      </w:r>
      <w:r w:rsidR="006C55C5">
        <w:rPr>
          <w:lang w:val="en-GB"/>
        </w:rPr>
        <w:t>-</w:t>
      </w:r>
      <w:r w:rsidR="00EB1876" w:rsidRPr="00946435">
        <w:rPr>
          <w:lang w:val="en-GB"/>
        </w:rPr>
        <w:t>n</w:t>
      </w:r>
      <w:r w:rsidRPr="00946435">
        <w:rPr>
          <w:lang w:val="en-GB"/>
        </w:rPr>
        <w:t xml:space="preserve">eed </w:t>
      </w:r>
      <w:r w:rsidR="00EB1876" w:rsidRPr="00946435">
        <w:rPr>
          <w:lang w:val="en-GB"/>
        </w:rPr>
        <w:t>i</w:t>
      </w:r>
      <w:r w:rsidRPr="00946435">
        <w:rPr>
          <w:lang w:val="en-GB"/>
        </w:rPr>
        <w:t xml:space="preserve">tem </w:t>
      </w:r>
      <w:r w:rsidR="00EB1876" w:rsidRPr="00946435">
        <w:rPr>
          <w:lang w:val="en-GB"/>
        </w:rPr>
        <w:t>l</w:t>
      </w:r>
      <w:r w:rsidRPr="00946435">
        <w:rPr>
          <w:lang w:val="en-GB"/>
        </w:rPr>
        <w:t xml:space="preserve">ist through </w:t>
      </w:r>
      <w:r w:rsidR="00EB1876" w:rsidRPr="00946435">
        <w:rPr>
          <w:lang w:val="en-GB"/>
        </w:rPr>
        <w:t xml:space="preserve">the </w:t>
      </w:r>
      <w:r w:rsidRPr="00946435">
        <w:rPr>
          <w:lang w:val="en-GB"/>
        </w:rPr>
        <w:t>NISS to guide new</w:t>
      </w:r>
      <w:r w:rsidR="006C55C5">
        <w:rPr>
          <w:lang w:val="en-GB"/>
        </w:rPr>
        <w:t>-</w:t>
      </w:r>
      <w:r w:rsidRPr="00946435">
        <w:rPr>
          <w:lang w:val="en-GB"/>
        </w:rPr>
        <w:t>product submissions.</w:t>
      </w:r>
      <w:r w:rsidRPr="00946435">
        <w:rPr>
          <w:rStyle w:val="EndnoteReference"/>
          <w:lang w:val="en-GB"/>
        </w:rPr>
        <w:endnoteReference w:id="38"/>
      </w:r>
      <w:r w:rsidRPr="00946435">
        <w:rPr>
          <w:lang w:val="en-GB"/>
        </w:rPr>
        <w:t xml:space="preserve"> </w:t>
      </w:r>
      <w:r w:rsidR="00EB1876" w:rsidRPr="00946435">
        <w:rPr>
          <w:lang w:val="en-GB"/>
        </w:rPr>
        <w:t xml:space="preserve">As </w:t>
      </w:r>
      <w:r w:rsidRPr="00946435">
        <w:rPr>
          <w:lang w:val="en-GB"/>
        </w:rPr>
        <w:t xml:space="preserve">Davies </w:t>
      </w:r>
      <w:r w:rsidR="00EB1876" w:rsidRPr="00946435">
        <w:rPr>
          <w:lang w:val="en-GB"/>
        </w:rPr>
        <w:t>explained,</w:t>
      </w:r>
      <w:r w:rsidRPr="00946435">
        <w:rPr>
          <w:lang w:val="en-GB"/>
        </w:rPr>
        <w:t xml:space="preserve"> </w:t>
      </w:r>
      <w:r w:rsidR="00EB1876" w:rsidRPr="00946435">
        <w:rPr>
          <w:lang w:val="en-GB"/>
        </w:rPr>
        <w:t>“</w:t>
      </w:r>
      <w:r w:rsidRPr="00946435">
        <w:rPr>
          <w:lang w:val="en-GB"/>
        </w:rPr>
        <w:t xml:space="preserve">the better a product’s performance ratio, the better chance it had at getting a subsequent product in, or in scoring a seasonal listing.” </w:t>
      </w:r>
    </w:p>
    <w:p w14:paraId="444C7CB7" w14:textId="77777777" w:rsidR="000D49F3" w:rsidRPr="00946435" w:rsidRDefault="000D49F3" w:rsidP="009424DA">
      <w:pPr>
        <w:pStyle w:val="BodyTextMain"/>
        <w:rPr>
          <w:lang w:val="en-GB"/>
        </w:rPr>
      </w:pPr>
    </w:p>
    <w:p w14:paraId="5B7C04A4" w14:textId="4CDAE152" w:rsidR="009424DA" w:rsidRPr="00946435" w:rsidRDefault="009424DA" w:rsidP="009424DA">
      <w:pPr>
        <w:pStyle w:val="BodyTextMain"/>
        <w:rPr>
          <w:lang w:val="en-GB"/>
        </w:rPr>
      </w:pPr>
      <w:r w:rsidRPr="00946435">
        <w:rPr>
          <w:lang w:val="en-GB"/>
        </w:rPr>
        <w:t xml:space="preserve">Wellington Brewery modified </w:t>
      </w:r>
      <w:r w:rsidR="00CB44F6" w:rsidRPr="00946435">
        <w:rPr>
          <w:lang w:val="en-GB"/>
        </w:rPr>
        <w:t>i</w:t>
      </w:r>
      <w:r w:rsidRPr="00946435">
        <w:rPr>
          <w:lang w:val="en-GB"/>
        </w:rPr>
        <w:t>t</w:t>
      </w:r>
      <w:r w:rsidR="00CB44F6" w:rsidRPr="00946435">
        <w:rPr>
          <w:lang w:val="en-GB"/>
        </w:rPr>
        <w:t>s</w:t>
      </w:r>
      <w:r w:rsidRPr="00946435">
        <w:rPr>
          <w:lang w:val="en-GB"/>
        </w:rPr>
        <w:t xml:space="preserve"> tactics over time to maintain a positive relationship with the LCBO. </w:t>
      </w:r>
      <w:r w:rsidR="00CB44F6" w:rsidRPr="00946435">
        <w:rPr>
          <w:lang w:val="en-GB"/>
        </w:rPr>
        <w:t>For example, t</w:t>
      </w:r>
      <w:r w:rsidRPr="00946435">
        <w:rPr>
          <w:lang w:val="en-GB"/>
        </w:rPr>
        <w:t>he</w:t>
      </w:r>
      <w:r w:rsidR="00CB44F6" w:rsidRPr="00946435">
        <w:rPr>
          <w:lang w:val="en-GB"/>
        </w:rPr>
        <w:t xml:space="preserve"> compan</w:t>
      </w:r>
      <w:r w:rsidRPr="00946435">
        <w:rPr>
          <w:lang w:val="en-GB"/>
        </w:rPr>
        <w:t xml:space="preserve">y </w:t>
      </w:r>
      <w:r w:rsidR="00CB44F6" w:rsidRPr="00946435">
        <w:rPr>
          <w:lang w:val="en-GB"/>
        </w:rPr>
        <w:t xml:space="preserve">decided to adopt the </w:t>
      </w:r>
      <w:r w:rsidRPr="00946435">
        <w:rPr>
          <w:lang w:val="en-GB"/>
        </w:rPr>
        <w:t xml:space="preserve">LCBO’s </w:t>
      </w:r>
      <w:r w:rsidR="00CB44F6" w:rsidRPr="00946435">
        <w:rPr>
          <w:lang w:val="en-GB"/>
        </w:rPr>
        <w:t>preferred</w:t>
      </w:r>
      <w:r w:rsidRPr="00946435">
        <w:rPr>
          <w:lang w:val="en-GB"/>
        </w:rPr>
        <w:t xml:space="preserve"> format </w:t>
      </w:r>
      <w:r w:rsidR="00CB44F6" w:rsidRPr="00946435">
        <w:rPr>
          <w:lang w:val="en-GB"/>
        </w:rPr>
        <w:t>of 473</w:t>
      </w:r>
      <w:r w:rsidR="006C55C5">
        <w:rPr>
          <w:lang w:val="en-GB"/>
        </w:rPr>
        <w:t>-</w:t>
      </w:r>
      <w:r w:rsidR="00CB44F6" w:rsidRPr="00946435">
        <w:rPr>
          <w:lang w:val="en-GB"/>
        </w:rPr>
        <w:t xml:space="preserve">millilitre cans </w:t>
      </w:r>
      <w:r w:rsidRPr="00946435">
        <w:rPr>
          <w:lang w:val="en-GB"/>
        </w:rPr>
        <w:t xml:space="preserve">for </w:t>
      </w:r>
      <w:r w:rsidR="00CB44F6" w:rsidRPr="00946435">
        <w:rPr>
          <w:lang w:val="en-GB"/>
        </w:rPr>
        <w:t xml:space="preserve">its </w:t>
      </w:r>
      <w:r w:rsidRPr="00946435">
        <w:rPr>
          <w:lang w:val="en-GB"/>
        </w:rPr>
        <w:t xml:space="preserve">beer. </w:t>
      </w:r>
      <w:r w:rsidR="00CB44F6" w:rsidRPr="00946435">
        <w:rPr>
          <w:lang w:val="en-GB"/>
        </w:rPr>
        <w:t>As well, the company used its</w:t>
      </w:r>
      <w:r w:rsidRPr="00946435">
        <w:rPr>
          <w:lang w:val="en-GB"/>
        </w:rPr>
        <w:t xml:space="preserve"> own distribution </w:t>
      </w:r>
      <w:r w:rsidR="00CB44F6" w:rsidRPr="00946435">
        <w:rPr>
          <w:lang w:val="en-GB"/>
        </w:rPr>
        <w:t>service, rather than</w:t>
      </w:r>
      <w:r w:rsidRPr="00946435">
        <w:rPr>
          <w:lang w:val="en-GB"/>
        </w:rPr>
        <w:t xml:space="preserve"> a third</w:t>
      </w:r>
      <w:r w:rsidR="006C55C5">
        <w:rPr>
          <w:lang w:val="en-GB"/>
        </w:rPr>
        <w:t xml:space="preserve"> </w:t>
      </w:r>
      <w:r w:rsidRPr="00946435">
        <w:rPr>
          <w:lang w:val="en-GB"/>
        </w:rPr>
        <w:t>party</w:t>
      </w:r>
      <w:r w:rsidR="00CB44F6" w:rsidRPr="00946435">
        <w:rPr>
          <w:lang w:val="en-GB"/>
        </w:rPr>
        <w:t>,</w:t>
      </w:r>
      <w:r w:rsidRPr="00946435">
        <w:rPr>
          <w:lang w:val="en-GB"/>
        </w:rPr>
        <w:t xml:space="preserve"> to better leverage opportunities to build </w:t>
      </w:r>
      <w:r w:rsidR="00CB44F6" w:rsidRPr="00946435">
        <w:rPr>
          <w:lang w:val="en-GB"/>
        </w:rPr>
        <w:t xml:space="preserve">rapport and </w:t>
      </w:r>
      <w:r w:rsidRPr="00946435">
        <w:rPr>
          <w:lang w:val="en-GB"/>
        </w:rPr>
        <w:t xml:space="preserve">connections with buyers. </w:t>
      </w:r>
      <w:r w:rsidR="00CB44F6" w:rsidRPr="00946435">
        <w:rPr>
          <w:lang w:val="en-GB"/>
        </w:rPr>
        <w:t>Among o</w:t>
      </w:r>
      <w:r w:rsidRPr="00946435">
        <w:rPr>
          <w:lang w:val="en-GB"/>
        </w:rPr>
        <w:t>ther strategies</w:t>
      </w:r>
      <w:r w:rsidR="00CB44F6" w:rsidRPr="00946435">
        <w:rPr>
          <w:lang w:val="en-GB"/>
        </w:rPr>
        <w:t>, Wellington Brewery</w:t>
      </w:r>
      <w:r w:rsidRPr="00946435">
        <w:rPr>
          <w:lang w:val="en-GB"/>
        </w:rPr>
        <w:t xml:space="preserve"> offer</w:t>
      </w:r>
      <w:r w:rsidR="00CB44F6" w:rsidRPr="00946435">
        <w:rPr>
          <w:lang w:val="en-GB"/>
        </w:rPr>
        <w:t>ed</w:t>
      </w:r>
      <w:r w:rsidRPr="00946435">
        <w:rPr>
          <w:lang w:val="en-GB"/>
        </w:rPr>
        <w:t xml:space="preserve"> tasting notes and comparable products to the LCBO store managers and ensur</w:t>
      </w:r>
      <w:r w:rsidR="00CB44F6" w:rsidRPr="00946435">
        <w:rPr>
          <w:lang w:val="en-GB"/>
        </w:rPr>
        <w:t>ed</w:t>
      </w:r>
      <w:r w:rsidRPr="00946435">
        <w:rPr>
          <w:lang w:val="en-GB"/>
        </w:rPr>
        <w:t xml:space="preserve"> quality and consistency through lab testing before submission</w:t>
      </w:r>
      <w:r w:rsidR="00F10583" w:rsidRPr="00946435">
        <w:rPr>
          <w:lang w:val="en-GB"/>
        </w:rPr>
        <w:t xml:space="preserve"> of its products</w:t>
      </w:r>
      <w:r w:rsidRPr="00946435">
        <w:rPr>
          <w:lang w:val="en-GB"/>
        </w:rPr>
        <w:t>.</w:t>
      </w:r>
      <w:r w:rsidR="00F10583" w:rsidRPr="00946435">
        <w:rPr>
          <w:lang w:val="en-GB"/>
        </w:rPr>
        <w:t xml:space="preserve"> </w:t>
      </w:r>
      <w:r w:rsidRPr="00946435">
        <w:rPr>
          <w:lang w:val="en-GB"/>
        </w:rPr>
        <w:t xml:space="preserve">The LCBO also offered </w:t>
      </w:r>
      <w:r w:rsidR="00F10583" w:rsidRPr="00946435">
        <w:rPr>
          <w:lang w:val="en-GB"/>
        </w:rPr>
        <w:t xml:space="preserve">companies monthly in-store marketing </w:t>
      </w:r>
      <w:r w:rsidRPr="00946435">
        <w:rPr>
          <w:lang w:val="en-GB"/>
        </w:rPr>
        <w:t>opportunities</w:t>
      </w:r>
      <w:r w:rsidR="00F10583" w:rsidRPr="00946435">
        <w:rPr>
          <w:lang w:val="en-GB"/>
        </w:rPr>
        <w:t>,</w:t>
      </w:r>
      <w:r w:rsidRPr="00946435">
        <w:rPr>
          <w:lang w:val="en-GB"/>
        </w:rPr>
        <w:t xml:space="preserve"> </w:t>
      </w:r>
      <w:r w:rsidR="00F10583" w:rsidRPr="00946435">
        <w:rPr>
          <w:lang w:val="en-GB"/>
        </w:rPr>
        <w:t>such as</w:t>
      </w:r>
      <w:r w:rsidRPr="00946435">
        <w:rPr>
          <w:lang w:val="en-GB"/>
        </w:rPr>
        <w:t xml:space="preserve"> </w:t>
      </w:r>
      <w:r w:rsidR="00F10583" w:rsidRPr="00946435">
        <w:rPr>
          <w:lang w:val="en-GB"/>
        </w:rPr>
        <w:t xml:space="preserve">product </w:t>
      </w:r>
      <w:r w:rsidRPr="00946435">
        <w:rPr>
          <w:lang w:val="en-GB"/>
        </w:rPr>
        <w:t>sampling</w:t>
      </w:r>
      <w:r w:rsidR="00F10583" w:rsidRPr="00946435">
        <w:rPr>
          <w:lang w:val="en-GB"/>
        </w:rPr>
        <w:t xml:space="preserve"> </w:t>
      </w:r>
      <w:r w:rsidRPr="00946435">
        <w:rPr>
          <w:lang w:val="en-GB"/>
        </w:rPr>
        <w:t>s</w:t>
      </w:r>
      <w:r w:rsidR="00F10583" w:rsidRPr="00946435">
        <w:rPr>
          <w:lang w:val="en-GB"/>
        </w:rPr>
        <w:t xml:space="preserve">ervices and </w:t>
      </w:r>
      <w:r w:rsidRPr="00946435">
        <w:rPr>
          <w:lang w:val="en-GB"/>
        </w:rPr>
        <w:t>end</w:t>
      </w:r>
      <w:r w:rsidR="00F10583" w:rsidRPr="00946435">
        <w:rPr>
          <w:lang w:val="en-GB"/>
        </w:rPr>
        <w:t>-of-</w:t>
      </w:r>
      <w:r w:rsidRPr="00946435">
        <w:rPr>
          <w:lang w:val="en-GB"/>
        </w:rPr>
        <w:t>aisle p</w:t>
      </w:r>
      <w:r w:rsidR="00F10583" w:rsidRPr="00946435">
        <w:rPr>
          <w:lang w:val="en-GB"/>
        </w:rPr>
        <w:t>lacement. However</w:t>
      </w:r>
      <w:r w:rsidRPr="00946435">
        <w:rPr>
          <w:lang w:val="en-GB"/>
        </w:rPr>
        <w:t xml:space="preserve">, </w:t>
      </w:r>
      <w:r w:rsidR="00F10583" w:rsidRPr="00946435">
        <w:rPr>
          <w:lang w:val="en-GB"/>
        </w:rPr>
        <w:t>the cost of these promotions was usually too high</w:t>
      </w:r>
      <w:r w:rsidRPr="00946435">
        <w:rPr>
          <w:lang w:val="en-GB"/>
        </w:rPr>
        <w:t xml:space="preserve"> for craft brewer</w:t>
      </w:r>
      <w:r w:rsidR="00D56902" w:rsidRPr="00946435">
        <w:rPr>
          <w:lang w:val="en-GB"/>
        </w:rPr>
        <w:t>ie</w:t>
      </w:r>
      <w:r w:rsidRPr="00946435">
        <w:rPr>
          <w:lang w:val="en-GB"/>
        </w:rPr>
        <w:t xml:space="preserve">s </w:t>
      </w:r>
      <w:r w:rsidR="006C55C5">
        <w:rPr>
          <w:lang w:val="en-GB"/>
        </w:rPr>
        <w:t>such as</w:t>
      </w:r>
      <w:r w:rsidR="006C55C5" w:rsidRPr="00946435">
        <w:rPr>
          <w:lang w:val="en-GB"/>
        </w:rPr>
        <w:t xml:space="preserve"> </w:t>
      </w:r>
      <w:r w:rsidRPr="00946435">
        <w:rPr>
          <w:lang w:val="en-GB"/>
        </w:rPr>
        <w:t>Wellington Brewery</w:t>
      </w:r>
      <w:r w:rsidR="000D49F3" w:rsidRPr="00946435">
        <w:rPr>
          <w:lang w:val="en-GB"/>
        </w:rPr>
        <w:t>, and was th</w:t>
      </w:r>
      <w:r w:rsidR="00273188" w:rsidRPr="00946435">
        <w:rPr>
          <w:lang w:val="en-GB"/>
        </w:rPr>
        <w:t>erefore</w:t>
      </w:r>
      <w:r w:rsidR="000D49F3" w:rsidRPr="00946435">
        <w:rPr>
          <w:lang w:val="en-GB"/>
        </w:rPr>
        <w:t xml:space="preserve"> </w:t>
      </w:r>
      <w:r w:rsidR="006C55C5">
        <w:rPr>
          <w:lang w:val="en-GB"/>
        </w:rPr>
        <w:t>us</w:t>
      </w:r>
      <w:r w:rsidR="006C55C5" w:rsidRPr="00946435">
        <w:rPr>
          <w:lang w:val="en-GB"/>
        </w:rPr>
        <w:t xml:space="preserve">ed </w:t>
      </w:r>
      <w:r w:rsidR="000D49F3" w:rsidRPr="00946435">
        <w:rPr>
          <w:lang w:val="en-GB"/>
        </w:rPr>
        <w:t xml:space="preserve">mainly </w:t>
      </w:r>
      <w:r w:rsidR="006C55C5">
        <w:rPr>
          <w:lang w:val="en-GB"/>
        </w:rPr>
        <w:t>by</w:t>
      </w:r>
      <w:r w:rsidR="006C55C5" w:rsidRPr="00946435">
        <w:rPr>
          <w:lang w:val="en-GB"/>
        </w:rPr>
        <w:t xml:space="preserve"> </w:t>
      </w:r>
      <w:proofErr w:type="spellStart"/>
      <w:r w:rsidR="000D49F3" w:rsidRPr="00946435">
        <w:rPr>
          <w:lang w:val="en-GB"/>
        </w:rPr>
        <w:t>macrobreweries</w:t>
      </w:r>
      <w:proofErr w:type="spellEnd"/>
      <w:r w:rsidRPr="00946435">
        <w:rPr>
          <w:lang w:val="en-GB"/>
        </w:rPr>
        <w:t>.</w:t>
      </w:r>
    </w:p>
    <w:p w14:paraId="65DA702B" w14:textId="77777777" w:rsidR="009424DA" w:rsidRPr="00946435" w:rsidRDefault="009424DA" w:rsidP="009424DA">
      <w:pPr>
        <w:pStyle w:val="Casehead2"/>
        <w:rPr>
          <w:lang w:val="en-GB"/>
        </w:rPr>
      </w:pPr>
      <w:r w:rsidRPr="00946435">
        <w:rPr>
          <w:lang w:val="en-GB"/>
        </w:rPr>
        <w:lastRenderedPageBreak/>
        <w:t>Licensees</w:t>
      </w:r>
    </w:p>
    <w:p w14:paraId="080E1CA8" w14:textId="77777777" w:rsidR="009424DA" w:rsidRPr="00946435" w:rsidRDefault="009424DA" w:rsidP="009424DA">
      <w:pPr>
        <w:pStyle w:val="BodyTextMain"/>
        <w:rPr>
          <w:lang w:val="en-GB"/>
        </w:rPr>
      </w:pPr>
    </w:p>
    <w:p w14:paraId="3FFAAEA8" w14:textId="0459BEFA" w:rsidR="00D216EF" w:rsidRPr="0078134E" w:rsidRDefault="00792617">
      <w:pPr>
        <w:pStyle w:val="BodyTextMain"/>
        <w:rPr>
          <w:spacing w:val="-2"/>
          <w:kern w:val="22"/>
          <w:lang w:val="en-GB"/>
        </w:rPr>
      </w:pPr>
      <w:r w:rsidRPr="0078134E">
        <w:rPr>
          <w:spacing w:val="-2"/>
          <w:kern w:val="22"/>
          <w:lang w:val="en-GB"/>
        </w:rPr>
        <w:t xml:space="preserve">According to </w:t>
      </w:r>
      <w:r w:rsidR="009424DA" w:rsidRPr="0078134E">
        <w:rPr>
          <w:spacing w:val="-2"/>
          <w:kern w:val="22"/>
          <w:lang w:val="en-GB"/>
        </w:rPr>
        <w:t>Davies</w:t>
      </w:r>
      <w:r w:rsidRPr="0078134E">
        <w:rPr>
          <w:spacing w:val="-2"/>
          <w:kern w:val="22"/>
          <w:lang w:val="en-GB"/>
        </w:rPr>
        <w:t>,</w:t>
      </w:r>
      <w:r w:rsidR="009424DA" w:rsidRPr="0078134E">
        <w:rPr>
          <w:spacing w:val="-2"/>
          <w:kern w:val="22"/>
          <w:lang w:val="en-GB"/>
        </w:rPr>
        <w:t xml:space="preserve"> retail </w:t>
      </w:r>
      <w:r w:rsidR="000A452C" w:rsidRPr="0078134E">
        <w:rPr>
          <w:spacing w:val="-2"/>
          <w:kern w:val="22"/>
          <w:lang w:val="en-GB"/>
        </w:rPr>
        <w:t xml:space="preserve">sales </w:t>
      </w:r>
      <w:r w:rsidR="009424DA" w:rsidRPr="0078134E">
        <w:rPr>
          <w:spacing w:val="-2"/>
          <w:kern w:val="22"/>
          <w:lang w:val="en-GB"/>
        </w:rPr>
        <w:t xml:space="preserve">channels tended to </w:t>
      </w:r>
      <w:r w:rsidRPr="0078134E">
        <w:rPr>
          <w:spacing w:val="-2"/>
          <w:kern w:val="22"/>
          <w:lang w:val="en-GB"/>
        </w:rPr>
        <w:t>provide</w:t>
      </w:r>
      <w:r w:rsidR="009424DA" w:rsidRPr="0078134E">
        <w:rPr>
          <w:spacing w:val="-2"/>
          <w:kern w:val="22"/>
          <w:lang w:val="en-GB"/>
        </w:rPr>
        <w:t xml:space="preserve"> higher margins </w:t>
      </w:r>
      <w:r w:rsidR="00D96A84" w:rsidRPr="0078134E">
        <w:rPr>
          <w:spacing w:val="-2"/>
          <w:kern w:val="22"/>
          <w:lang w:val="en-GB"/>
        </w:rPr>
        <w:t xml:space="preserve">for the brewery </w:t>
      </w:r>
      <w:r w:rsidR="009424DA" w:rsidRPr="0078134E">
        <w:rPr>
          <w:spacing w:val="-2"/>
          <w:kern w:val="22"/>
          <w:lang w:val="en-GB"/>
        </w:rPr>
        <w:t>than licensee</w:t>
      </w:r>
      <w:r w:rsidR="000A452C" w:rsidRPr="0078134E">
        <w:rPr>
          <w:spacing w:val="-2"/>
          <w:kern w:val="22"/>
          <w:lang w:val="en-GB"/>
        </w:rPr>
        <w:t xml:space="preserve"> </w:t>
      </w:r>
      <w:r w:rsidR="009424DA" w:rsidRPr="0078134E">
        <w:rPr>
          <w:spacing w:val="-2"/>
          <w:kern w:val="22"/>
          <w:lang w:val="en-GB"/>
        </w:rPr>
        <w:t>s</w:t>
      </w:r>
      <w:r w:rsidR="000A452C" w:rsidRPr="0078134E">
        <w:rPr>
          <w:spacing w:val="-2"/>
          <w:kern w:val="22"/>
          <w:lang w:val="en-GB"/>
        </w:rPr>
        <w:t>ales channels,</w:t>
      </w:r>
      <w:r w:rsidR="00D96A84" w:rsidRPr="0078134E">
        <w:rPr>
          <w:spacing w:val="-2"/>
          <w:kern w:val="22"/>
          <w:lang w:val="en-GB"/>
        </w:rPr>
        <w:t xml:space="preserve"> such as</w:t>
      </w:r>
      <w:r w:rsidR="009424DA" w:rsidRPr="0078134E">
        <w:rPr>
          <w:spacing w:val="-2"/>
          <w:kern w:val="22"/>
          <w:lang w:val="en-GB"/>
        </w:rPr>
        <w:t xml:space="preserve"> </w:t>
      </w:r>
      <w:r w:rsidR="000A452C" w:rsidRPr="0078134E">
        <w:rPr>
          <w:spacing w:val="-2"/>
          <w:kern w:val="22"/>
          <w:lang w:val="en-GB"/>
        </w:rPr>
        <w:t xml:space="preserve">bars and </w:t>
      </w:r>
      <w:r w:rsidR="009424DA" w:rsidRPr="0078134E">
        <w:rPr>
          <w:spacing w:val="-2"/>
          <w:kern w:val="22"/>
          <w:lang w:val="en-GB"/>
        </w:rPr>
        <w:t>restaurants</w:t>
      </w:r>
      <w:r w:rsidR="00D96A84" w:rsidRPr="0078134E">
        <w:rPr>
          <w:spacing w:val="-2"/>
          <w:kern w:val="22"/>
          <w:lang w:val="en-GB"/>
        </w:rPr>
        <w:t>. However</w:t>
      </w:r>
      <w:r w:rsidR="009424DA" w:rsidRPr="0078134E">
        <w:rPr>
          <w:spacing w:val="-2"/>
          <w:kern w:val="22"/>
          <w:lang w:val="en-GB"/>
        </w:rPr>
        <w:t xml:space="preserve">, </w:t>
      </w:r>
      <w:r w:rsidR="000A452C" w:rsidRPr="0078134E">
        <w:rPr>
          <w:spacing w:val="-2"/>
          <w:kern w:val="22"/>
          <w:lang w:val="en-GB"/>
        </w:rPr>
        <w:t>licensees</w:t>
      </w:r>
      <w:r w:rsidR="00D96A84" w:rsidRPr="0078134E">
        <w:rPr>
          <w:spacing w:val="-2"/>
          <w:kern w:val="22"/>
          <w:lang w:val="en-GB"/>
        </w:rPr>
        <w:t xml:space="preserve"> </w:t>
      </w:r>
      <w:r w:rsidR="000A452C" w:rsidRPr="0078134E">
        <w:rPr>
          <w:spacing w:val="-2"/>
          <w:kern w:val="22"/>
          <w:lang w:val="en-GB"/>
        </w:rPr>
        <w:t>also served a critical purpose of</w:t>
      </w:r>
      <w:r w:rsidR="009424DA" w:rsidRPr="0078134E">
        <w:rPr>
          <w:spacing w:val="-2"/>
          <w:kern w:val="22"/>
          <w:lang w:val="en-GB"/>
        </w:rPr>
        <w:t xml:space="preserve"> promot</w:t>
      </w:r>
      <w:r w:rsidR="000A452C" w:rsidRPr="0078134E">
        <w:rPr>
          <w:spacing w:val="-2"/>
          <w:kern w:val="22"/>
          <w:lang w:val="en-GB"/>
        </w:rPr>
        <w:t>ing</w:t>
      </w:r>
      <w:r w:rsidR="009424DA" w:rsidRPr="0078134E">
        <w:rPr>
          <w:spacing w:val="-2"/>
          <w:kern w:val="22"/>
          <w:lang w:val="en-GB"/>
        </w:rPr>
        <w:t xml:space="preserve"> a local presence and collect</w:t>
      </w:r>
      <w:r w:rsidR="000A452C" w:rsidRPr="0078134E">
        <w:rPr>
          <w:spacing w:val="-2"/>
          <w:kern w:val="22"/>
          <w:lang w:val="en-GB"/>
        </w:rPr>
        <w:t>ing</w:t>
      </w:r>
      <w:r w:rsidR="009424DA" w:rsidRPr="0078134E">
        <w:rPr>
          <w:spacing w:val="-2"/>
          <w:kern w:val="22"/>
          <w:lang w:val="en-GB"/>
        </w:rPr>
        <w:t xml:space="preserve"> valuable information about consumer trends, product sales, and competitors. </w:t>
      </w:r>
      <w:r w:rsidR="00D96A84" w:rsidRPr="0078134E">
        <w:rPr>
          <w:spacing w:val="-2"/>
          <w:kern w:val="22"/>
          <w:lang w:val="en-GB"/>
        </w:rPr>
        <w:t xml:space="preserve">Therefore, </w:t>
      </w:r>
      <w:r w:rsidR="009424DA" w:rsidRPr="0078134E">
        <w:rPr>
          <w:spacing w:val="-2"/>
          <w:kern w:val="22"/>
          <w:lang w:val="en-GB"/>
        </w:rPr>
        <w:t>Wellington Brewery</w:t>
      </w:r>
      <w:r w:rsidR="00D96A84" w:rsidRPr="0078134E">
        <w:rPr>
          <w:spacing w:val="-2"/>
          <w:kern w:val="22"/>
          <w:lang w:val="en-GB"/>
        </w:rPr>
        <w:t xml:space="preserve"> opted for a </w:t>
      </w:r>
      <w:r w:rsidR="000A452C" w:rsidRPr="0078134E">
        <w:rPr>
          <w:spacing w:val="-2"/>
          <w:kern w:val="22"/>
          <w:lang w:val="en-GB"/>
        </w:rPr>
        <w:t xml:space="preserve">relatively </w:t>
      </w:r>
      <w:r w:rsidR="00D96A84" w:rsidRPr="0078134E">
        <w:rPr>
          <w:spacing w:val="-2"/>
          <w:kern w:val="22"/>
          <w:lang w:val="en-GB"/>
        </w:rPr>
        <w:t xml:space="preserve">high portion of </w:t>
      </w:r>
      <w:r w:rsidR="00321BBA" w:rsidRPr="0078134E">
        <w:rPr>
          <w:spacing w:val="-2"/>
          <w:kern w:val="22"/>
          <w:lang w:val="en-GB"/>
        </w:rPr>
        <w:t xml:space="preserve">its </w:t>
      </w:r>
      <w:r w:rsidR="000A452C" w:rsidRPr="0078134E">
        <w:rPr>
          <w:spacing w:val="-2"/>
          <w:kern w:val="22"/>
          <w:lang w:val="en-GB"/>
        </w:rPr>
        <w:t xml:space="preserve">product distribution through </w:t>
      </w:r>
      <w:r w:rsidR="00D96A84" w:rsidRPr="0078134E">
        <w:rPr>
          <w:spacing w:val="-2"/>
          <w:kern w:val="22"/>
          <w:lang w:val="en-GB"/>
        </w:rPr>
        <w:t>licensees</w:t>
      </w:r>
      <w:r w:rsidR="000A452C" w:rsidRPr="0078134E">
        <w:rPr>
          <w:spacing w:val="-2"/>
          <w:kern w:val="22"/>
          <w:lang w:val="en-GB"/>
        </w:rPr>
        <w:t xml:space="preserve">, compared </w:t>
      </w:r>
      <w:r w:rsidR="006C55C5" w:rsidRPr="0078134E">
        <w:rPr>
          <w:spacing w:val="-2"/>
          <w:kern w:val="22"/>
          <w:lang w:val="en-GB"/>
        </w:rPr>
        <w:t xml:space="preserve">with </w:t>
      </w:r>
      <w:r w:rsidR="00D96A84" w:rsidRPr="0078134E">
        <w:rPr>
          <w:spacing w:val="-2"/>
          <w:kern w:val="22"/>
          <w:lang w:val="en-GB"/>
        </w:rPr>
        <w:t xml:space="preserve">most </w:t>
      </w:r>
      <w:r w:rsidR="000A452C" w:rsidRPr="0078134E">
        <w:rPr>
          <w:spacing w:val="-2"/>
          <w:kern w:val="22"/>
          <w:lang w:val="en-GB"/>
        </w:rPr>
        <w:t xml:space="preserve">of its </w:t>
      </w:r>
      <w:r w:rsidR="00D96A84" w:rsidRPr="0078134E">
        <w:rPr>
          <w:spacing w:val="-2"/>
          <w:kern w:val="22"/>
          <w:lang w:val="en-GB"/>
        </w:rPr>
        <w:t>competitors</w:t>
      </w:r>
      <w:r w:rsidR="000A452C" w:rsidRPr="0078134E">
        <w:rPr>
          <w:spacing w:val="-2"/>
          <w:kern w:val="22"/>
          <w:lang w:val="en-GB"/>
        </w:rPr>
        <w:t>. Its sales mix was set at</w:t>
      </w:r>
      <w:r w:rsidR="00D96A84" w:rsidRPr="0078134E">
        <w:rPr>
          <w:spacing w:val="-2"/>
          <w:kern w:val="22"/>
          <w:lang w:val="en-GB"/>
        </w:rPr>
        <w:t xml:space="preserve"> approximately</w:t>
      </w:r>
      <w:r w:rsidR="009424DA" w:rsidRPr="0078134E">
        <w:rPr>
          <w:spacing w:val="-2"/>
          <w:kern w:val="22"/>
          <w:lang w:val="en-GB"/>
        </w:rPr>
        <w:t xml:space="preserve"> 60</w:t>
      </w:r>
      <w:r w:rsidR="00D96A84" w:rsidRPr="0078134E">
        <w:rPr>
          <w:spacing w:val="-2"/>
          <w:kern w:val="22"/>
          <w:lang w:val="en-GB"/>
        </w:rPr>
        <w:t xml:space="preserve"> per cent retail and </w:t>
      </w:r>
      <w:r w:rsidR="009424DA" w:rsidRPr="0078134E">
        <w:rPr>
          <w:spacing w:val="-2"/>
          <w:kern w:val="22"/>
          <w:lang w:val="en-GB"/>
        </w:rPr>
        <w:t>40</w:t>
      </w:r>
      <w:r w:rsidR="00D96A84" w:rsidRPr="0078134E">
        <w:rPr>
          <w:spacing w:val="-2"/>
          <w:kern w:val="22"/>
          <w:lang w:val="en-GB"/>
        </w:rPr>
        <w:t xml:space="preserve"> per cent licensees, compared </w:t>
      </w:r>
      <w:r w:rsidR="006C55C5" w:rsidRPr="0078134E">
        <w:rPr>
          <w:spacing w:val="-2"/>
          <w:kern w:val="22"/>
          <w:lang w:val="en-GB"/>
        </w:rPr>
        <w:t xml:space="preserve">with </w:t>
      </w:r>
      <w:r w:rsidR="000A452C" w:rsidRPr="0078134E">
        <w:rPr>
          <w:spacing w:val="-2"/>
          <w:kern w:val="22"/>
          <w:lang w:val="en-GB"/>
        </w:rPr>
        <w:t>the sales mix of most competitors</w:t>
      </w:r>
      <w:r w:rsidR="00D96A84" w:rsidRPr="0078134E">
        <w:rPr>
          <w:spacing w:val="-2"/>
          <w:kern w:val="22"/>
          <w:lang w:val="en-GB"/>
        </w:rPr>
        <w:t xml:space="preserve"> at 80 per cent retai</w:t>
      </w:r>
      <w:r w:rsidR="000A452C" w:rsidRPr="0078134E">
        <w:rPr>
          <w:spacing w:val="-2"/>
          <w:kern w:val="22"/>
          <w:lang w:val="en-GB"/>
        </w:rPr>
        <w:t>l</w:t>
      </w:r>
      <w:r w:rsidR="00D96A84" w:rsidRPr="0078134E">
        <w:rPr>
          <w:spacing w:val="-2"/>
          <w:kern w:val="22"/>
          <w:lang w:val="en-GB"/>
        </w:rPr>
        <w:t xml:space="preserve"> and 20 per cent licensees</w:t>
      </w:r>
      <w:r w:rsidR="009424DA" w:rsidRPr="0078134E">
        <w:rPr>
          <w:spacing w:val="-2"/>
          <w:kern w:val="22"/>
          <w:lang w:val="en-GB"/>
        </w:rPr>
        <w:t xml:space="preserve">. </w:t>
      </w:r>
    </w:p>
    <w:p w14:paraId="3E2DBD0B" w14:textId="77777777" w:rsidR="00D216EF" w:rsidRPr="00946435" w:rsidRDefault="00D216EF">
      <w:pPr>
        <w:pStyle w:val="BodyTextMain"/>
        <w:rPr>
          <w:lang w:val="en-GB"/>
        </w:rPr>
      </w:pPr>
    </w:p>
    <w:p w14:paraId="402230CD" w14:textId="02002942" w:rsidR="009424DA" w:rsidRPr="00946435" w:rsidRDefault="00D96A84" w:rsidP="009424DA">
      <w:pPr>
        <w:pStyle w:val="BodyTextMain"/>
        <w:rPr>
          <w:lang w:val="en-GB"/>
        </w:rPr>
      </w:pPr>
      <w:r w:rsidRPr="00946435">
        <w:rPr>
          <w:lang w:val="en-GB"/>
        </w:rPr>
        <w:t>However,</w:t>
      </w:r>
      <w:r w:rsidR="009424DA" w:rsidRPr="00946435">
        <w:rPr>
          <w:lang w:val="en-GB"/>
        </w:rPr>
        <w:t xml:space="preserve"> </w:t>
      </w:r>
      <w:r w:rsidR="000A452C" w:rsidRPr="00946435">
        <w:rPr>
          <w:lang w:val="en-GB"/>
        </w:rPr>
        <w:t>securing</w:t>
      </w:r>
      <w:r w:rsidR="009424DA" w:rsidRPr="00946435">
        <w:rPr>
          <w:lang w:val="en-GB"/>
        </w:rPr>
        <w:t xml:space="preserve"> permanent </w:t>
      </w:r>
      <w:r w:rsidRPr="00946435">
        <w:rPr>
          <w:lang w:val="en-GB"/>
        </w:rPr>
        <w:t>beer brand placement</w:t>
      </w:r>
      <w:r w:rsidR="009424DA" w:rsidRPr="00946435">
        <w:rPr>
          <w:lang w:val="en-GB"/>
        </w:rPr>
        <w:t xml:space="preserve"> on-tap at a licensee</w:t>
      </w:r>
      <w:r w:rsidRPr="00946435">
        <w:rPr>
          <w:lang w:val="en-GB"/>
        </w:rPr>
        <w:t>,</w:t>
      </w:r>
      <w:r w:rsidR="009424DA" w:rsidRPr="00946435">
        <w:rPr>
          <w:lang w:val="en-GB"/>
        </w:rPr>
        <w:t xml:space="preserve"> </w:t>
      </w:r>
      <w:r w:rsidRPr="00946435">
        <w:rPr>
          <w:lang w:val="en-GB"/>
        </w:rPr>
        <w:t xml:space="preserve">such as a bar or restaurant, was </w:t>
      </w:r>
      <w:r w:rsidR="00D216EF" w:rsidRPr="00946435">
        <w:rPr>
          <w:lang w:val="en-GB"/>
        </w:rPr>
        <w:t xml:space="preserve">becoming increasingly </w:t>
      </w:r>
      <w:r w:rsidRPr="00946435">
        <w:rPr>
          <w:lang w:val="en-GB"/>
        </w:rPr>
        <w:t>difficult</w:t>
      </w:r>
      <w:r w:rsidR="009424DA" w:rsidRPr="00946435">
        <w:rPr>
          <w:lang w:val="en-GB"/>
        </w:rPr>
        <w:t xml:space="preserve">. </w:t>
      </w:r>
      <w:r w:rsidR="00D216EF" w:rsidRPr="00946435">
        <w:rPr>
          <w:lang w:val="en-GB"/>
        </w:rPr>
        <w:t xml:space="preserve">As </w:t>
      </w:r>
      <w:r w:rsidR="009424DA" w:rsidRPr="00946435">
        <w:rPr>
          <w:lang w:val="en-GB"/>
        </w:rPr>
        <w:t xml:space="preserve">Davies </w:t>
      </w:r>
      <w:r w:rsidRPr="00946435">
        <w:rPr>
          <w:lang w:val="en-GB"/>
        </w:rPr>
        <w:t>explained</w:t>
      </w:r>
      <w:r w:rsidR="00D216EF" w:rsidRPr="00946435">
        <w:rPr>
          <w:lang w:val="en-GB"/>
        </w:rPr>
        <w:t>,</w:t>
      </w:r>
      <w:r w:rsidR="009424DA" w:rsidRPr="00946435">
        <w:rPr>
          <w:lang w:val="en-GB"/>
        </w:rPr>
        <w:t xml:space="preserve"> macrobreweries </w:t>
      </w:r>
      <w:r w:rsidRPr="00946435">
        <w:rPr>
          <w:lang w:val="en-GB"/>
        </w:rPr>
        <w:t xml:space="preserve">tended to </w:t>
      </w:r>
      <w:r w:rsidR="009424DA" w:rsidRPr="00946435">
        <w:rPr>
          <w:lang w:val="en-GB"/>
        </w:rPr>
        <w:t>offer financial incentives to</w:t>
      </w:r>
      <w:r w:rsidRPr="00946435">
        <w:rPr>
          <w:lang w:val="en-GB"/>
        </w:rPr>
        <w:t xml:space="preserve"> licensees to </w:t>
      </w:r>
      <w:r w:rsidR="000A452C" w:rsidRPr="00946435">
        <w:rPr>
          <w:lang w:val="en-GB"/>
        </w:rPr>
        <w:t>gain</w:t>
      </w:r>
      <w:r w:rsidR="009424DA" w:rsidRPr="00946435">
        <w:rPr>
          <w:lang w:val="en-GB"/>
        </w:rPr>
        <w:t xml:space="preserve"> on-tap</w:t>
      </w:r>
      <w:r w:rsidRPr="00946435">
        <w:rPr>
          <w:lang w:val="en-GB"/>
        </w:rPr>
        <w:t xml:space="preserve"> brand placement</w:t>
      </w:r>
      <w:r w:rsidR="009424DA" w:rsidRPr="00946435">
        <w:rPr>
          <w:lang w:val="en-GB"/>
        </w:rPr>
        <w:t>, wh</w:t>
      </w:r>
      <w:r w:rsidRPr="00946435">
        <w:rPr>
          <w:lang w:val="en-GB"/>
        </w:rPr>
        <w:t>ich</w:t>
      </w:r>
      <w:r w:rsidR="009424DA" w:rsidRPr="00946435">
        <w:rPr>
          <w:lang w:val="en-GB"/>
        </w:rPr>
        <w:t xml:space="preserve"> craft breweries were </w:t>
      </w:r>
      <w:r w:rsidRPr="00946435">
        <w:rPr>
          <w:lang w:val="en-GB"/>
        </w:rPr>
        <w:t>unable to afford</w:t>
      </w:r>
      <w:r w:rsidR="009424DA" w:rsidRPr="00946435">
        <w:rPr>
          <w:lang w:val="en-GB"/>
        </w:rPr>
        <w:t xml:space="preserve">. </w:t>
      </w:r>
      <w:r w:rsidRPr="00946435">
        <w:rPr>
          <w:lang w:val="en-GB"/>
        </w:rPr>
        <w:t>As well</w:t>
      </w:r>
      <w:r w:rsidR="009424DA" w:rsidRPr="00946435">
        <w:rPr>
          <w:lang w:val="en-GB"/>
        </w:rPr>
        <w:t xml:space="preserve">, </w:t>
      </w:r>
      <w:r w:rsidRPr="00946435">
        <w:rPr>
          <w:lang w:val="en-GB"/>
        </w:rPr>
        <w:t xml:space="preserve">with </w:t>
      </w:r>
      <w:r w:rsidR="009424DA" w:rsidRPr="00946435">
        <w:rPr>
          <w:lang w:val="en-GB"/>
        </w:rPr>
        <w:t xml:space="preserve">licensees </w:t>
      </w:r>
      <w:r w:rsidRPr="00946435">
        <w:rPr>
          <w:lang w:val="en-GB"/>
        </w:rPr>
        <w:t>frequently rotating</w:t>
      </w:r>
      <w:r w:rsidR="009424DA" w:rsidRPr="00946435">
        <w:rPr>
          <w:lang w:val="en-GB"/>
        </w:rPr>
        <w:t xml:space="preserve"> their </w:t>
      </w:r>
      <w:r w:rsidRPr="00946435">
        <w:rPr>
          <w:lang w:val="en-GB"/>
        </w:rPr>
        <w:t xml:space="preserve">beer </w:t>
      </w:r>
      <w:r w:rsidR="009424DA" w:rsidRPr="00946435">
        <w:rPr>
          <w:lang w:val="en-GB"/>
        </w:rPr>
        <w:t>taps</w:t>
      </w:r>
      <w:r w:rsidRPr="00946435">
        <w:rPr>
          <w:lang w:val="en-GB"/>
        </w:rPr>
        <w:t xml:space="preserve"> and</w:t>
      </w:r>
      <w:r w:rsidR="009424DA" w:rsidRPr="00946435">
        <w:rPr>
          <w:lang w:val="en-GB"/>
        </w:rPr>
        <w:t xml:space="preserve"> adding new </w:t>
      </w:r>
      <w:r w:rsidRPr="00946435">
        <w:rPr>
          <w:lang w:val="en-GB"/>
        </w:rPr>
        <w:t xml:space="preserve">product </w:t>
      </w:r>
      <w:r w:rsidR="009424DA" w:rsidRPr="00946435">
        <w:rPr>
          <w:lang w:val="en-GB"/>
        </w:rPr>
        <w:t xml:space="preserve">lines, </w:t>
      </w:r>
      <w:r w:rsidR="003C5278" w:rsidRPr="00946435">
        <w:rPr>
          <w:lang w:val="en-GB"/>
        </w:rPr>
        <w:t>the requ</w:t>
      </w:r>
      <w:r w:rsidR="000A452C" w:rsidRPr="00946435">
        <w:rPr>
          <w:lang w:val="en-GB"/>
        </w:rPr>
        <w:t>ir</w:t>
      </w:r>
      <w:r w:rsidR="003C5278" w:rsidRPr="00946435">
        <w:rPr>
          <w:lang w:val="en-GB"/>
        </w:rPr>
        <w:t xml:space="preserve">ed amount of beer from </w:t>
      </w:r>
      <w:r w:rsidRPr="00946435">
        <w:rPr>
          <w:lang w:val="en-GB"/>
        </w:rPr>
        <w:t xml:space="preserve">each brewery could </w:t>
      </w:r>
      <w:r w:rsidR="003C5278" w:rsidRPr="00946435">
        <w:rPr>
          <w:lang w:val="en-GB"/>
        </w:rPr>
        <w:t>drop significantly</w:t>
      </w:r>
      <w:r w:rsidR="009424DA" w:rsidRPr="00946435">
        <w:rPr>
          <w:lang w:val="en-GB"/>
        </w:rPr>
        <w:t xml:space="preserve">. </w:t>
      </w:r>
      <w:r w:rsidR="00D216EF" w:rsidRPr="00946435">
        <w:rPr>
          <w:lang w:val="en-GB"/>
        </w:rPr>
        <w:t xml:space="preserve">Therefore, although </w:t>
      </w:r>
      <w:r w:rsidR="009424DA" w:rsidRPr="00946435">
        <w:rPr>
          <w:lang w:val="en-GB"/>
        </w:rPr>
        <w:t>Davies deliver</w:t>
      </w:r>
      <w:r w:rsidR="00D216EF" w:rsidRPr="00946435">
        <w:rPr>
          <w:lang w:val="en-GB"/>
        </w:rPr>
        <w:t>ed</w:t>
      </w:r>
      <w:r w:rsidR="009424DA" w:rsidRPr="00946435">
        <w:rPr>
          <w:lang w:val="en-GB"/>
        </w:rPr>
        <w:t xml:space="preserve"> beer kegs to licensees </w:t>
      </w:r>
      <w:r w:rsidR="003C5278" w:rsidRPr="00946435">
        <w:rPr>
          <w:lang w:val="en-GB"/>
        </w:rPr>
        <w:t>in person</w:t>
      </w:r>
      <w:r w:rsidR="009424DA" w:rsidRPr="00946435">
        <w:rPr>
          <w:lang w:val="en-GB"/>
        </w:rPr>
        <w:t xml:space="preserve"> to build connections and gather information</w:t>
      </w:r>
      <w:r w:rsidR="00D216EF" w:rsidRPr="00946435">
        <w:rPr>
          <w:lang w:val="en-GB"/>
        </w:rPr>
        <w:t>, he was also working</w:t>
      </w:r>
      <w:r w:rsidR="003C5278" w:rsidRPr="00946435">
        <w:rPr>
          <w:lang w:val="en-GB"/>
        </w:rPr>
        <w:t xml:space="preserve"> </w:t>
      </w:r>
      <w:r w:rsidR="000A452C" w:rsidRPr="00946435">
        <w:rPr>
          <w:lang w:val="en-GB"/>
        </w:rPr>
        <w:t>diligently</w:t>
      </w:r>
      <w:r w:rsidR="009424DA" w:rsidRPr="00946435">
        <w:rPr>
          <w:lang w:val="en-GB"/>
        </w:rPr>
        <w:t xml:space="preserve"> to grow Wellington Brewery’s retail presence, especially through the LCBO</w:t>
      </w:r>
      <w:r w:rsidR="00D216EF" w:rsidRPr="00946435">
        <w:rPr>
          <w:lang w:val="en-GB"/>
        </w:rPr>
        <w:t>. The aim was to</w:t>
      </w:r>
      <w:r w:rsidR="009424DA" w:rsidRPr="00946435">
        <w:rPr>
          <w:lang w:val="en-GB"/>
        </w:rPr>
        <w:t xml:space="preserve"> gradually </w:t>
      </w:r>
      <w:r w:rsidR="003C5278" w:rsidRPr="00946435">
        <w:rPr>
          <w:lang w:val="en-GB"/>
        </w:rPr>
        <w:t>reduce the company’s dependence on</w:t>
      </w:r>
      <w:r w:rsidR="009424DA" w:rsidRPr="00946435">
        <w:rPr>
          <w:lang w:val="en-GB"/>
        </w:rPr>
        <w:t xml:space="preserve"> licensees and contract brewing. </w:t>
      </w:r>
      <w:r w:rsidR="003C5278" w:rsidRPr="00946435">
        <w:rPr>
          <w:lang w:val="en-GB"/>
        </w:rPr>
        <w:t>To achieve this goal</w:t>
      </w:r>
      <w:r w:rsidR="009424DA" w:rsidRPr="00946435">
        <w:rPr>
          <w:lang w:val="en-GB"/>
        </w:rPr>
        <w:t xml:space="preserve">, the business </w:t>
      </w:r>
      <w:r w:rsidR="006C55C5">
        <w:rPr>
          <w:lang w:val="en-GB"/>
        </w:rPr>
        <w:t>needed</w:t>
      </w:r>
      <w:r w:rsidR="006C55C5" w:rsidRPr="00946435">
        <w:rPr>
          <w:lang w:val="en-GB"/>
        </w:rPr>
        <w:t xml:space="preserve"> </w:t>
      </w:r>
      <w:r w:rsidR="003C5278" w:rsidRPr="00946435">
        <w:rPr>
          <w:lang w:val="en-GB"/>
        </w:rPr>
        <w:t>to find</w:t>
      </w:r>
      <w:r w:rsidR="009424DA" w:rsidRPr="00946435">
        <w:rPr>
          <w:lang w:val="en-GB"/>
        </w:rPr>
        <w:t xml:space="preserve"> ways to make </w:t>
      </w:r>
      <w:r w:rsidR="003C5278" w:rsidRPr="00946435">
        <w:rPr>
          <w:lang w:val="en-GB"/>
        </w:rPr>
        <w:t xml:space="preserve">its </w:t>
      </w:r>
      <w:r w:rsidR="009424DA" w:rsidRPr="00946435">
        <w:rPr>
          <w:lang w:val="en-GB"/>
        </w:rPr>
        <w:t>core brands self-sustainable</w:t>
      </w:r>
      <w:r w:rsidR="00D216EF" w:rsidRPr="00946435">
        <w:rPr>
          <w:lang w:val="en-GB"/>
        </w:rPr>
        <w:t xml:space="preserve"> by</w:t>
      </w:r>
      <w:r w:rsidR="009424DA" w:rsidRPr="00946435">
        <w:rPr>
          <w:lang w:val="en-GB"/>
        </w:rPr>
        <w:t xml:space="preserve"> </w:t>
      </w:r>
      <w:r w:rsidR="003C5278" w:rsidRPr="00946435">
        <w:rPr>
          <w:lang w:val="en-GB"/>
        </w:rPr>
        <w:t>generating</w:t>
      </w:r>
      <w:r w:rsidR="009424DA" w:rsidRPr="00946435">
        <w:rPr>
          <w:lang w:val="en-GB"/>
        </w:rPr>
        <w:t xml:space="preserve"> consistent and long-term revenue through </w:t>
      </w:r>
      <w:r w:rsidR="003C5278" w:rsidRPr="00946435">
        <w:rPr>
          <w:lang w:val="en-GB"/>
        </w:rPr>
        <w:t xml:space="preserve">higher-margin </w:t>
      </w:r>
      <w:r w:rsidR="009424DA" w:rsidRPr="00946435">
        <w:rPr>
          <w:lang w:val="en-GB"/>
        </w:rPr>
        <w:t>retail</w:t>
      </w:r>
      <w:r w:rsidR="003C5278" w:rsidRPr="00946435">
        <w:rPr>
          <w:lang w:val="en-GB"/>
        </w:rPr>
        <w:t xml:space="preserve"> channels</w:t>
      </w:r>
      <w:r w:rsidR="00D216EF" w:rsidRPr="00946435">
        <w:rPr>
          <w:lang w:val="en-GB"/>
        </w:rPr>
        <w:t>,</w:t>
      </w:r>
      <w:r w:rsidR="003C5278" w:rsidRPr="00946435">
        <w:rPr>
          <w:lang w:val="en-GB"/>
        </w:rPr>
        <w:t xml:space="preserve"> while reducing</w:t>
      </w:r>
      <w:r w:rsidR="009424DA" w:rsidRPr="00946435">
        <w:rPr>
          <w:lang w:val="en-GB"/>
        </w:rPr>
        <w:t xml:space="preserve"> rel</w:t>
      </w:r>
      <w:r w:rsidR="003C5278" w:rsidRPr="00946435">
        <w:rPr>
          <w:lang w:val="en-GB"/>
        </w:rPr>
        <w:t>iance</w:t>
      </w:r>
      <w:r w:rsidR="009424DA" w:rsidRPr="00946435">
        <w:rPr>
          <w:lang w:val="en-GB"/>
        </w:rPr>
        <w:t xml:space="preserve"> on lower-margin revenue streams. </w:t>
      </w:r>
    </w:p>
    <w:p w14:paraId="7AB6FB31" w14:textId="65EF5BF1" w:rsidR="009424DA" w:rsidRPr="00946435" w:rsidRDefault="009424DA" w:rsidP="009424DA">
      <w:pPr>
        <w:pStyle w:val="BodyTextMain"/>
        <w:rPr>
          <w:lang w:val="en-GB"/>
        </w:rPr>
      </w:pPr>
    </w:p>
    <w:p w14:paraId="2AA712C1" w14:textId="77777777" w:rsidR="009424DA" w:rsidRPr="00946435" w:rsidRDefault="009424DA" w:rsidP="009424DA">
      <w:pPr>
        <w:pStyle w:val="BodyTextMain"/>
        <w:rPr>
          <w:lang w:val="en-GB"/>
        </w:rPr>
      </w:pPr>
    </w:p>
    <w:p w14:paraId="58CF7505" w14:textId="77777777" w:rsidR="009424DA" w:rsidRPr="00946435" w:rsidRDefault="009424DA" w:rsidP="009424DA">
      <w:pPr>
        <w:pStyle w:val="Casehead2"/>
        <w:rPr>
          <w:lang w:val="en-GB"/>
        </w:rPr>
      </w:pPr>
      <w:r w:rsidRPr="00946435">
        <w:rPr>
          <w:lang w:val="en-GB"/>
        </w:rPr>
        <w:t>Contract Brewing</w:t>
      </w:r>
    </w:p>
    <w:p w14:paraId="29C92226" w14:textId="77777777" w:rsidR="009424DA" w:rsidRPr="00946435" w:rsidRDefault="009424DA" w:rsidP="009424DA">
      <w:pPr>
        <w:pStyle w:val="BodyTextMain"/>
        <w:rPr>
          <w:lang w:val="en-GB"/>
        </w:rPr>
      </w:pPr>
    </w:p>
    <w:p w14:paraId="242FE3C6" w14:textId="567B425A" w:rsidR="009424DA" w:rsidRPr="0078134E" w:rsidRDefault="009424DA" w:rsidP="009424DA">
      <w:pPr>
        <w:pStyle w:val="BodyTextMain"/>
        <w:rPr>
          <w:spacing w:val="-2"/>
          <w:kern w:val="2"/>
          <w:lang w:val="en-GB"/>
        </w:rPr>
      </w:pPr>
      <w:r w:rsidRPr="0078134E">
        <w:rPr>
          <w:spacing w:val="-2"/>
          <w:kern w:val="2"/>
          <w:lang w:val="en-GB"/>
        </w:rPr>
        <w:t xml:space="preserve">Contract brewing provided </w:t>
      </w:r>
      <w:r w:rsidR="004E4C9A" w:rsidRPr="0078134E">
        <w:rPr>
          <w:spacing w:val="-2"/>
          <w:kern w:val="2"/>
          <w:lang w:val="en-GB"/>
        </w:rPr>
        <w:t xml:space="preserve">a </w:t>
      </w:r>
      <w:r w:rsidRPr="0078134E">
        <w:rPr>
          <w:spacing w:val="-2"/>
          <w:kern w:val="2"/>
          <w:lang w:val="en-GB"/>
        </w:rPr>
        <w:t xml:space="preserve">crucial revenue </w:t>
      </w:r>
      <w:r w:rsidR="004E4C9A" w:rsidRPr="0078134E">
        <w:rPr>
          <w:spacing w:val="-2"/>
          <w:kern w:val="2"/>
          <w:lang w:val="en-GB"/>
        </w:rPr>
        <w:t xml:space="preserve">source </w:t>
      </w:r>
      <w:r w:rsidRPr="0078134E">
        <w:rPr>
          <w:spacing w:val="-2"/>
          <w:kern w:val="2"/>
          <w:lang w:val="en-GB"/>
        </w:rPr>
        <w:t>for m</w:t>
      </w:r>
      <w:r w:rsidR="004E4C9A" w:rsidRPr="0078134E">
        <w:rPr>
          <w:spacing w:val="-2"/>
          <w:kern w:val="2"/>
          <w:lang w:val="en-GB"/>
        </w:rPr>
        <w:t xml:space="preserve">any </w:t>
      </w:r>
      <w:r w:rsidRPr="0078134E">
        <w:rPr>
          <w:spacing w:val="-2"/>
          <w:kern w:val="2"/>
          <w:lang w:val="en-GB"/>
        </w:rPr>
        <w:t xml:space="preserve">breweries, </w:t>
      </w:r>
      <w:r w:rsidR="00D05344" w:rsidRPr="0078134E">
        <w:rPr>
          <w:spacing w:val="-2"/>
          <w:kern w:val="2"/>
          <w:lang w:val="en-GB"/>
        </w:rPr>
        <w:t>d</w:t>
      </w:r>
      <w:r w:rsidRPr="0078134E">
        <w:rPr>
          <w:spacing w:val="-2"/>
          <w:kern w:val="2"/>
          <w:lang w:val="en-GB"/>
        </w:rPr>
        <w:t>e</w:t>
      </w:r>
      <w:r w:rsidR="00D05344" w:rsidRPr="0078134E">
        <w:rPr>
          <w:spacing w:val="-2"/>
          <w:kern w:val="2"/>
          <w:lang w:val="en-GB"/>
        </w:rPr>
        <w:t>spite its</w:t>
      </w:r>
      <w:r w:rsidR="004E4C9A" w:rsidRPr="0078134E">
        <w:rPr>
          <w:spacing w:val="-2"/>
          <w:kern w:val="2"/>
          <w:lang w:val="en-GB"/>
        </w:rPr>
        <w:t xml:space="preserve"> low</w:t>
      </w:r>
      <w:r w:rsidRPr="0078134E">
        <w:rPr>
          <w:spacing w:val="-2"/>
          <w:kern w:val="2"/>
          <w:lang w:val="en-GB"/>
        </w:rPr>
        <w:t xml:space="preserve"> margins. </w:t>
      </w:r>
      <w:r w:rsidR="00D05344" w:rsidRPr="0078134E">
        <w:rPr>
          <w:spacing w:val="-2"/>
          <w:kern w:val="2"/>
          <w:lang w:val="en-GB"/>
        </w:rPr>
        <w:t>Wellington B</w:t>
      </w:r>
      <w:r w:rsidRPr="0078134E">
        <w:rPr>
          <w:spacing w:val="-2"/>
          <w:kern w:val="2"/>
          <w:lang w:val="en-GB"/>
        </w:rPr>
        <w:t>rew</w:t>
      </w:r>
      <w:r w:rsidR="00D05344" w:rsidRPr="0078134E">
        <w:rPr>
          <w:spacing w:val="-2"/>
          <w:kern w:val="2"/>
          <w:lang w:val="en-GB"/>
        </w:rPr>
        <w:t>ery</w:t>
      </w:r>
      <w:r w:rsidRPr="0078134E">
        <w:rPr>
          <w:spacing w:val="-2"/>
          <w:kern w:val="2"/>
          <w:lang w:val="en-GB"/>
        </w:rPr>
        <w:t xml:space="preserve"> </w:t>
      </w:r>
      <w:r w:rsidR="004E4C9A" w:rsidRPr="0078134E">
        <w:rPr>
          <w:spacing w:val="-2"/>
          <w:kern w:val="2"/>
          <w:lang w:val="en-GB"/>
        </w:rPr>
        <w:t xml:space="preserve">provided </w:t>
      </w:r>
      <w:r w:rsidR="00D05344" w:rsidRPr="0078134E">
        <w:rPr>
          <w:spacing w:val="-2"/>
          <w:kern w:val="2"/>
          <w:lang w:val="en-GB"/>
        </w:rPr>
        <w:t>its</w:t>
      </w:r>
      <w:r w:rsidR="004E4C9A" w:rsidRPr="0078134E">
        <w:rPr>
          <w:spacing w:val="-2"/>
          <w:kern w:val="2"/>
          <w:lang w:val="en-GB"/>
        </w:rPr>
        <w:t xml:space="preserve"> production facility </w:t>
      </w:r>
      <w:r w:rsidR="00D05344" w:rsidRPr="0078134E">
        <w:rPr>
          <w:spacing w:val="-2"/>
          <w:kern w:val="2"/>
          <w:lang w:val="en-GB"/>
        </w:rPr>
        <w:t>and expertise</w:t>
      </w:r>
      <w:r w:rsidR="006C55C5" w:rsidRPr="0078134E">
        <w:rPr>
          <w:spacing w:val="-2"/>
          <w:kern w:val="2"/>
          <w:lang w:val="en-GB"/>
        </w:rPr>
        <w:t>,</w:t>
      </w:r>
      <w:r w:rsidR="004E4C9A" w:rsidRPr="0078134E">
        <w:rPr>
          <w:spacing w:val="-2"/>
          <w:kern w:val="2"/>
          <w:lang w:val="en-GB"/>
        </w:rPr>
        <w:t xml:space="preserve"> </w:t>
      </w:r>
      <w:r w:rsidR="00D05344" w:rsidRPr="0078134E">
        <w:rPr>
          <w:spacing w:val="-2"/>
          <w:kern w:val="2"/>
          <w:lang w:val="en-GB"/>
        </w:rPr>
        <w:t>at a cost</w:t>
      </w:r>
      <w:r w:rsidR="006C55C5" w:rsidRPr="0078134E">
        <w:rPr>
          <w:spacing w:val="-2"/>
          <w:kern w:val="2"/>
          <w:lang w:val="en-GB"/>
        </w:rPr>
        <w:t>,</w:t>
      </w:r>
      <w:r w:rsidR="00D05344" w:rsidRPr="0078134E">
        <w:rPr>
          <w:spacing w:val="-2"/>
          <w:kern w:val="2"/>
          <w:lang w:val="en-GB"/>
        </w:rPr>
        <w:t xml:space="preserve"> </w:t>
      </w:r>
      <w:r w:rsidR="004E4C9A" w:rsidRPr="0078134E">
        <w:rPr>
          <w:spacing w:val="-2"/>
          <w:kern w:val="2"/>
          <w:lang w:val="en-GB"/>
        </w:rPr>
        <w:t xml:space="preserve">to breweries that did not have their own brewing premises, </w:t>
      </w:r>
      <w:r w:rsidR="00D05344" w:rsidRPr="0078134E">
        <w:rPr>
          <w:spacing w:val="-2"/>
          <w:kern w:val="2"/>
          <w:lang w:val="en-GB"/>
        </w:rPr>
        <w:t>which helped</w:t>
      </w:r>
      <w:r w:rsidRPr="0078134E">
        <w:rPr>
          <w:spacing w:val="-2"/>
          <w:kern w:val="2"/>
          <w:lang w:val="en-GB"/>
        </w:rPr>
        <w:t xml:space="preserve"> counter lower</w:t>
      </w:r>
      <w:r w:rsidR="004E4C9A" w:rsidRPr="0078134E">
        <w:rPr>
          <w:spacing w:val="-2"/>
          <w:kern w:val="2"/>
          <w:lang w:val="en-GB"/>
        </w:rPr>
        <w:t>-</w:t>
      </w:r>
      <w:r w:rsidRPr="0078134E">
        <w:rPr>
          <w:spacing w:val="-2"/>
          <w:kern w:val="2"/>
          <w:lang w:val="en-GB"/>
        </w:rPr>
        <w:t>than</w:t>
      </w:r>
      <w:r w:rsidR="004E4C9A" w:rsidRPr="0078134E">
        <w:rPr>
          <w:spacing w:val="-2"/>
          <w:kern w:val="2"/>
          <w:lang w:val="en-GB"/>
        </w:rPr>
        <w:t>-</w:t>
      </w:r>
      <w:r w:rsidRPr="0078134E">
        <w:rPr>
          <w:spacing w:val="-2"/>
          <w:kern w:val="2"/>
          <w:lang w:val="en-GB"/>
        </w:rPr>
        <w:t xml:space="preserve">expected sales of </w:t>
      </w:r>
      <w:r w:rsidR="004E4C9A" w:rsidRPr="0078134E">
        <w:rPr>
          <w:spacing w:val="-2"/>
          <w:kern w:val="2"/>
          <w:lang w:val="en-GB"/>
        </w:rPr>
        <w:t>its own product. However</w:t>
      </w:r>
      <w:r w:rsidRPr="0078134E">
        <w:rPr>
          <w:spacing w:val="-2"/>
          <w:kern w:val="2"/>
          <w:lang w:val="en-GB"/>
        </w:rPr>
        <w:t xml:space="preserve">, </w:t>
      </w:r>
      <w:r w:rsidR="004E4C9A" w:rsidRPr="0078134E">
        <w:rPr>
          <w:spacing w:val="-2"/>
          <w:kern w:val="2"/>
          <w:lang w:val="en-GB"/>
        </w:rPr>
        <w:t>contract brewing</w:t>
      </w:r>
      <w:r w:rsidRPr="0078134E">
        <w:rPr>
          <w:spacing w:val="-2"/>
          <w:kern w:val="2"/>
          <w:lang w:val="en-GB"/>
        </w:rPr>
        <w:t xml:space="preserve"> did introduce </w:t>
      </w:r>
      <w:r w:rsidR="004E4C9A" w:rsidRPr="0078134E">
        <w:rPr>
          <w:spacing w:val="-2"/>
          <w:kern w:val="2"/>
          <w:lang w:val="en-GB"/>
        </w:rPr>
        <w:t xml:space="preserve">various </w:t>
      </w:r>
      <w:r w:rsidRPr="0078134E">
        <w:rPr>
          <w:spacing w:val="-2"/>
          <w:kern w:val="2"/>
          <w:lang w:val="en-GB"/>
        </w:rPr>
        <w:t>challenges. The process was labour</w:t>
      </w:r>
      <w:r w:rsidR="006C55C5" w:rsidRPr="0078134E">
        <w:rPr>
          <w:spacing w:val="-2"/>
          <w:kern w:val="2"/>
          <w:lang w:val="en-GB"/>
        </w:rPr>
        <w:t>-</w:t>
      </w:r>
      <w:r w:rsidRPr="0078134E">
        <w:rPr>
          <w:spacing w:val="-2"/>
          <w:kern w:val="2"/>
          <w:lang w:val="en-GB"/>
        </w:rPr>
        <w:t xml:space="preserve">intensive and tended to require </w:t>
      </w:r>
      <w:r w:rsidR="004E4C9A" w:rsidRPr="0078134E">
        <w:rPr>
          <w:spacing w:val="-2"/>
          <w:kern w:val="2"/>
          <w:lang w:val="en-GB"/>
        </w:rPr>
        <w:t>extensive</w:t>
      </w:r>
      <w:r w:rsidRPr="0078134E">
        <w:rPr>
          <w:spacing w:val="-2"/>
          <w:kern w:val="2"/>
          <w:lang w:val="en-GB"/>
        </w:rPr>
        <w:t xml:space="preserve"> mentoring</w:t>
      </w:r>
      <w:r w:rsidR="004E4C9A" w:rsidRPr="0078134E">
        <w:rPr>
          <w:spacing w:val="-2"/>
          <w:kern w:val="2"/>
          <w:lang w:val="en-GB"/>
        </w:rPr>
        <w:t>, especially</w:t>
      </w:r>
      <w:r w:rsidRPr="0078134E">
        <w:rPr>
          <w:spacing w:val="-2"/>
          <w:kern w:val="2"/>
          <w:lang w:val="en-GB"/>
        </w:rPr>
        <w:t xml:space="preserve"> for less</w:t>
      </w:r>
      <w:r w:rsidR="00321BBA" w:rsidRPr="0078134E">
        <w:rPr>
          <w:spacing w:val="-2"/>
          <w:kern w:val="2"/>
          <w:lang w:val="en-GB"/>
        </w:rPr>
        <w:t xml:space="preserve"> </w:t>
      </w:r>
      <w:r w:rsidRPr="0078134E">
        <w:rPr>
          <w:spacing w:val="-2"/>
          <w:kern w:val="2"/>
          <w:lang w:val="en-GB"/>
        </w:rPr>
        <w:t xml:space="preserve">established </w:t>
      </w:r>
      <w:r w:rsidR="00ED17F8" w:rsidRPr="0078134E">
        <w:rPr>
          <w:spacing w:val="-2"/>
          <w:kern w:val="2"/>
          <w:lang w:val="en-GB"/>
        </w:rPr>
        <w:t xml:space="preserve">contract </w:t>
      </w:r>
      <w:r w:rsidRPr="0078134E">
        <w:rPr>
          <w:spacing w:val="-2"/>
          <w:kern w:val="2"/>
          <w:lang w:val="en-GB"/>
        </w:rPr>
        <w:t xml:space="preserve">breweries. </w:t>
      </w:r>
      <w:r w:rsidR="00ED17F8" w:rsidRPr="0078134E">
        <w:rPr>
          <w:spacing w:val="-2"/>
          <w:kern w:val="2"/>
          <w:lang w:val="en-GB"/>
        </w:rPr>
        <w:t>There was also a</w:t>
      </w:r>
      <w:r w:rsidRPr="0078134E">
        <w:rPr>
          <w:spacing w:val="-2"/>
          <w:kern w:val="2"/>
          <w:lang w:val="en-GB"/>
        </w:rPr>
        <w:t xml:space="preserve"> potential impact on Wellington Brewery’s financial situation </w:t>
      </w:r>
      <w:r w:rsidR="00ED17F8" w:rsidRPr="0078134E">
        <w:rPr>
          <w:spacing w:val="-2"/>
          <w:kern w:val="2"/>
          <w:lang w:val="en-GB"/>
        </w:rPr>
        <w:t>if a contract brewery was unable to pay</w:t>
      </w:r>
      <w:r w:rsidR="00D05344" w:rsidRPr="0078134E">
        <w:rPr>
          <w:spacing w:val="-2"/>
          <w:kern w:val="2"/>
          <w:lang w:val="en-GB"/>
        </w:rPr>
        <w:t xml:space="preserve"> for the services rendered</w:t>
      </w:r>
      <w:r w:rsidRPr="0078134E">
        <w:rPr>
          <w:spacing w:val="-2"/>
          <w:kern w:val="2"/>
          <w:lang w:val="en-GB"/>
        </w:rPr>
        <w:t xml:space="preserve">. </w:t>
      </w:r>
    </w:p>
    <w:p w14:paraId="5C41DFD8" w14:textId="77777777" w:rsidR="009424DA" w:rsidRPr="00946435" w:rsidRDefault="009424DA" w:rsidP="009424DA">
      <w:pPr>
        <w:pStyle w:val="BodyTextMain"/>
        <w:rPr>
          <w:lang w:val="en-GB"/>
        </w:rPr>
      </w:pPr>
    </w:p>
    <w:p w14:paraId="677DAB6A" w14:textId="0BA1521C" w:rsidR="00ED17F8" w:rsidRPr="00946435" w:rsidRDefault="00ED17F8" w:rsidP="009424DA">
      <w:pPr>
        <w:pStyle w:val="BodyTextMain"/>
        <w:rPr>
          <w:lang w:val="en-GB"/>
        </w:rPr>
      </w:pPr>
      <w:r w:rsidRPr="00946435">
        <w:rPr>
          <w:lang w:val="en-GB"/>
        </w:rPr>
        <w:t xml:space="preserve">From a list of up to eight contract brewery prospects, </w:t>
      </w:r>
      <w:r w:rsidR="009424DA" w:rsidRPr="00946435">
        <w:rPr>
          <w:lang w:val="en-GB"/>
        </w:rPr>
        <w:t xml:space="preserve">Wellington Brewery </w:t>
      </w:r>
      <w:r w:rsidR="00D05344" w:rsidRPr="00946435">
        <w:rPr>
          <w:lang w:val="en-GB"/>
        </w:rPr>
        <w:t>narrowed its</w:t>
      </w:r>
      <w:r w:rsidRPr="00946435">
        <w:rPr>
          <w:lang w:val="en-GB"/>
        </w:rPr>
        <w:t xml:space="preserve"> focus on only </w:t>
      </w:r>
      <w:r w:rsidR="009424DA" w:rsidRPr="00946435">
        <w:rPr>
          <w:lang w:val="en-GB"/>
        </w:rPr>
        <w:t>a couple of well-paying partners</w:t>
      </w:r>
      <w:r w:rsidRPr="00946435">
        <w:rPr>
          <w:lang w:val="en-GB"/>
        </w:rPr>
        <w:t>, which provided both</w:t>
      </w:r>
      <w:r w:rsidR="009424DA" w:rsidRPr="00946435">
        <w:rPr>
          <w:lang w:val="en-GB"/>
        </w:rPr>
        <w:t xml:space="preserve"> significant benefits</w:t>
      </w:r>
      <w:r w:rsidRPr="00946435">
        <w:rPr>
          <w:lang w:val="en-GB"/>
        </w:rPr>
        <w:t xml:space="preserve"> and potential</w:t>
      </w:r>
      <w:r w:rsidR="009424DA" w:rsidRPr="00946435">
        <w:rPr>
          <w:lang w:val="en-GB"/>
        </w:rPr>
        <w:t xml:space="preserve"> risk</w:t>
      </w:r>
      <w:r w:rsidR="00883F09" w:rsidRPr="00946435">
        <w:rPr>
          <w:lang w:val="en-GB"/>
        </w:rPr>
        <w:t>s</w:t>
      </w:r>
      <w:r w:rsidR="009424DA" w:rsidRPr="00946435">
        <w:rPr>
          <w:lang w:val="en-GB"/>
        </w:rPr>
        <w:t>. For e</w:t>
      </w:r>
      <w:r w:rsidRPr="00946435">
        <w:rPr>
          <w:lang w:val="en-GB"/>
        </w:rPr>
        <w:t>xample</w:t>
      </w:r>
      <w:r w:rsidR="009424DA" w:rsidRPr="00946435">
        <w:rPr>
          <w:lang w:val="en-GB"/>
        </w:rPr>
        <w:t xml:space="preserve">, </w:t>
      </w:r>
      <w:r w:rsidRPr="00946435">
        <w:rPr>
          <w:lang w:val="en-GB"/>
        </w:rPr>
        <w:t>despite a favourable working relationship with</w:t>
      </w:r>
      <w:r w:rsidR="009424DA" w:rsidRPr="00946435">
        <w:rPr>
          <w:lang w:val="en-GB"/>
        </w:rPr>
        <w:t xml:space="preserve"> one major contract partner</w:t>
      </w:r>
      <w:r w:rsidRPr="00946435">
        <w:rPr>
          <w:lang w:val="en-GB"/>
        </w:rPr>
        <w:t xml:space="preserve">, </w:t>
      </w:r>
      <w:r w:rsidR="00D05344" w:rsidRPr="00946435">
        <w:rPr>
          <w:lang w:val="en-GB"/>
        </w:rPr>
        <w:t xml:space="preserve">Wellington Brewery suffered </w:t>
      </w:r>
      <w:r w:rsidRPr="00946435">
        <w:rPr>
          <w:lang w:val="en-GB"/>
        </w:rPr>
        <w:t xml:space="preserve">a revenue shortfall when </w:t>
      </w:r>
      <w:r w:rsidR="00D05344" w:rsidRPr="00946435">
        <w:rPr>
          <w:lang w:val="en-GB"/>
        </w:rPr>
        <w:t>the contract brewery’s</w:t>
      </w:r>
      <w:r w:rsidRPr="00946435">
        <w:rPr>
          <w:lang w:val="en-GB"/>
        </w:rPr>
        <w:t xml:space="preserve"> production</w:t>
      </w:r>
      <w:r w:rsidR="009424DA" w:rsidRPr="00946435">
        <w:rPr>
          <w:lang w:val="en-GB"/>
        </w:rPr>
        <w:t xml:space="preserve"> </w:t>
      </w:r>
      <w:r w:rsidRPr="00946435">
        <w:rPr>
          <w:lang w:val="en-GB"/>
        </w:rPr>
        <w:t xml:space="preserve">was </w:t>
      </w:r>
      <w:r w:rsidR="009424DA" w:rsidRPr="00946435">
        <w:rPr>
          <w:lang w:val="en-GB"/>
        </w:rPr>
        <w:t>unexpectedly reduced to 60</w:t>
      </w:r>
      <w:r w:rsidRPr="00946435">
        <w:rPr>
          <w:lang w:val="en-GB"/>
        </w:rPr>
        <w:t xml:space="preserve"> per cent</w:t>
      </w:r>
      <w:r w:rsidR="009424DA" w:rsidRPr="00946435">
        <w:rPr>
          <w:lang w:val="en-GB"/>
        </w:rPr>
        <w:t xml:space="preserve"> of </w:t>
      </w:r>
      <w:r w:rsidRPr="00946435">
        <w:rPr>
          <w:lang w:val="en-GB"/>
        </w:rPr>
        <w:t>its</w:t>
      </w:r>
      <w:r w:rsidR="009424DA" w:rsidRPr="00946435">
        <w:rPr>
          <w:lang w:val="en-GB"/>
        </w:rPr>
        <w:t xml:space="preserve"> </w:t>
      </w:r>
      <w:r w:rsidR="00D05344" w:rsidRPr="00946435">
        <w:rPr>
          <w:lang w:val="en-GB"/>
        </w:rPr>
        <w:t xml:space="preserve">2019 </w:t>
      </w:r>
      <w:r w:rsidR="009424DA" w:rsidRPr="00946435">
        <w:rPr>
          <w:lang w:val="en-GB"/>
        </w:rPr>
        <w:t>forecast</w:t>
      </w:r>
      <w:r w:rsidR="00D05344" w:rsidRPr="00946435">
        <w:rPr>
          <w:lang w:val="en-GB"/>
        </w:rPr>
        <w:t>, as a</w:t>
      </w:r>
      <w:r w:rsidRPr="00946435">
        <w:rPr>
          <w:lang w:val="en-GB"/>
        </w:rPr>
        <w:t xml:space="preserve"> Wellington Brewery</w:t>
      </w:r>
      <w:r w:rsidR="009424DA" w:rsidRPr="00946435">
        <w:rPr>
          <w:lang w:val="en-GB"/>
        </w:rPr>
        <w:t xml:space="preserve"> senior executive</w:t>
      </w:r>
      <w:r w:rsidR="00D05344" w:rsidRPr="00946435">
        <w:rPr>
          <w:lang w:val="en-GB"/>
        </w:rPr>
        <w:t xml:space="preserve"> explained</w:t>
      </w:r>
      <w:r w:rsidR="009424DA" w:rsidRPr="00946435">
        <w:rPr>
          <w:lang w:val="en-GB"/>
        </w:rPr>
        <w:t xml:space="preserve">: </w:t>
      </w:r>
    </w:p>
    <w:p w14:paraId="59A1315E" w14:textId="77777777" w:rsidR="00ED17F8" w:rsidRPr="00946435" w:rsidRDefault="00ED17F8" w:rsidP="009424DA">
      <w:pPr>
        <w:pStyle w:val="BodyTextMain"/>
        <w:rPr>
          <w:lang w:val="en-GB"/>
        </w:rPr>
      </w:pPr>
    </w:p>
    <w:p w14:paraId="0839702D" w14:textId="61A2B561" w:rsidR="00ED17F8" w:rsidRPr="00946435" w:rsidRDefault="009424DA" w:rsidP="0000179D">
      <w:pPr>
        <w:pStyle w:val="BodyTextMain"/>
        <w:ind w:left="720"/>
        <w:rPr>
          <w:lang w:val="en-GB"/>
        </w:rPr>
      </w:pPr>
      <w:r w:rsidRPr="00946435">
        <w:rPr>
          <w:lang w:val="en-GB"/>
        </w:rPr>
        <w:t>We were actually able to negotiate a really good rate. Because they are so big, their beer is cheaper to make per litr</w:t>
      </w:r>
      <w:r w:rsidR="00ED17F8" w:rsidRPr="00946435">
        <w:rPr>
          <w:lang w:val="en-GB"/>
        </w:rPr>
        <w:t>e</w:t>
      </w:r>
      <w:r w:rsidRPr="00946435">
        <w:rPr>
          <w:lang w:val="en-GB"/>
        </w:rPr>
        <w:t xml:space="preserve"> than some of our other contracts in the past, and we actually didn’t have to eat too much on the margin to get this huge sum of volume. The problem is, it leaves us very much exposed</w:t>
      </w:r>
      <w:r w:rsidR="00883F09" w:rsidRPr="00946435">
        <w:rPr>
          <w:lang w:val="en-GB"/>
        </w:rPr>
        <w:t>.</w:t>
      </w:r>
      <w:r w:rsidRPr="00946435">
        <w:rPr>
          <w:lang w:val="en-GB"/>
        </w:rPr>
        <w:t xml:space="preserve"> </w:t>
      </w:r>
      <w:r w:rsidR="00883F09" w:rsidRPr="00946435">
        <w:rPr>
          <w:lang w:val="en-GB"/>
        </w:rPr>
        <w:t>[If]</w:t>
      </w:r>
      <w:r w:rsidRPr="00946435">
        <w:rPr>
          <w:lang w:val="en-GB"/>
        </w:rPr>
        <w:t xml:space="preserve"> they don’t get their forecast right, it has huge implications for your financial forecasting, and that’s basically what happened.</w:t>
      </w:r>
    </w:p>
    <w:p w14:paraId="430D3354" w14:textId="77777777" w:rsidR="00ED17F8" w:rsidRPr="00946435" w:rsidRDefault="00ED17F8" w:rsidP="009424DA">
      <w:pPr>
        <w:pStyle w:val="BodyTextMain"/>
        <w:rPr>
          <w:lang w:val="en-GB"/>
        </w:rPr>
      </w:pPr>
    </w:p>
    <w:p w14:paraId="6EAEA559" w14:textId="77777777" w:rsidR="009424DA" w:rsidRPr="00946435" w:rsidRDefault="009424DA" w:rsidP="009424DA">
      <w:pPr>
        <w:pStyle w:val="BodyTextMain"/>
        <w:rPr>
          <w:lang w:val="en-GB"/>
        </w:rPr>
      </w:pPr>
    </w:p>
    <w:p w14:paraId="4A3F252E" w14:textId="77777777" w:rsidR="009424DA" w:rsidRPr="00946435" w:rsidRDefault="009424DA" w:rsidP="009424DA">
      <w:pPr>
        <w:pStyle w:val="Casehead2"/>
        <w:rPr>
          <w:lang w:val="en-GB"/>
        </w:rPr>
      </w:pPr>
      <w:r w:rsidRPr="00946435">
        <w:rPr>
          <w:lang w:val="en-GB"/>
        </w:rPr>
        <w:t>E-Commerce</w:t>
      </w:r>
    </w:p>
    <w:p w14:paraId="73823218" w14:textId="77777777" w:rsidR="009424DA" w:rsidRPr="00946435" w:rsidRDefault="009424DA" w:rsidP="009424DA">
      <w:pPr>
        <w:pStyle w:val="BodyTextMain"/>
        <w:rPr>
          <w:lang w:val="en-GB"/>
        </w:rPr>
      </w:pPr>
    </w:p>
    <w:p w14:paraId="64C8C17F" w14:textId="2FE6A021" w:rsidR="009424DA" w:rsidRPr="0078134E" w:rsidRDefault="00C72BD0" w:rsidP="009424DA">
      <w:pPr>
        <w:pStyle w:val="BodyTextMain"/>
        <w:rPr>
          <w:spacing w:val="-2"/>
          <w:kern w:val="22"/>
          <w:lang w:val="en-GB"/>
        </w:rPr>
      </w:pPr>
      <w:r w:rsidRPr="0078134E">
        <w:rPr>
          <w:spacing w:val="-2"/>
          <w:kern w:val="22"/>
          <w:lang w:val="en-GB"/>
        </w:rPr>
        <w:t>The introduction of e-commerce a</w:t>
      </w:r>
      <w:r w:rsidR="009424DA" w:rsidRPr="0078134E">
        <w:rPr>
          <w:spacing w:val="-2"/>
          <w:kern w:val="22"/>
          <w:lang w:val="en-GB"/>
        </w:rPr>
        <w:t xml:space="preserve">s a </w:t>
      </w:r>
      <w:r w:rsidRPr="0078134E">
        <w:rPr>
          <w:spacing w:val="-2"/>
          <w:kern w:val="22"/>
          <w:lang w:val="en-GB"/>
        </w:rPr>
        <w:t>new</w:t>
      </w:r>
      <w:r w:rsidR="009424DA" w:rsidRPr="0078134E">
        <w:rPr>
          <w:spacing w:val="-2"/>
          <w:kern w:val="22"/>
          <w:lang w:val="en-GB"/>
        </w:rPr>
        <w:t xml:space="preserve"> off-premise</w:t>
      </w:r>
      <w:r w:rsidRPr="0078134E">
        <w:rPr>
          <w:spacing w:val="-2"/>
          <w:kern w:val="22"/>
          <w:lang w:val="en-GB"/>
        </w:rPr>
        <w:t>s</w:t>
      </w:r>
      <w:r w:rsidR="009424DA" w:rsidRPr="0078134E">
        <w:rPr>
          <w:spacing w:val="-2"/>
          <w:kern w:val="22"/>
          <w:lang w:val="en-GB"/>
        </w:rPr>
        <w:t xml:space="preserve"> </w:t>
      </w:r>
      <w:r w:rsidRPr="0078134E">
        <w:rPr>
          <w:spacing w:val="-2"/>
          <w:kern w:val="22"/>
          <w:lang w:val="en-GB"/>
        </w:rPr>
        <w:t xml:space="preserve">retail </w:t>
      </w:r>
      <w:r w:rsidR="009424DA" w:rsidRPr="0078134E">
        <w:rPr>
          <w:spacing w:val="-2"/>
          <w:kern w:val="22"/>
          <w:lang w:val="en-GB"/>
        </w:rPr>
        <w:t>option</w:t>
      </w:r>
      <w:r w:rsidRPr="0078134E">
        <w:rPr>
          <w:spacing w:val="-2"/>
          <w:kern w:val="22"/>
          <w:lang w:val="en-GB"/>
        </w:rPr>
        <w:t xml:space="preserve"> was both beneficial and</w:t>
      </w:r>
      <w:r w:rsidR="009424DA" w:rsidRPr="0078134E">
        <w:rPr>
          <w:spacing w:val="-2"/>
          <w:kern w:val="22"/>
          <w:lang w:val="en-GB"/>
        </w:rPr>
        <w:t xml:space="preserve"> challeng</w:t>
      </w:r>
      <w:r w:rsidRPr="0078134E">
        <w:rPr>
          <w:spacing w:val="-2"/>
          <w:kern w:val="22"/>
          <w:lang w:val="en-GB"/>
        </w:rPr>
        <w:t>ing</w:t>
      </w:r>
      <w:r w:rsidR="009424DA" w:rsidRPr="0078134E">
        <w:rPr>
          <w:spacing w:val="-2"/>
          <w:kern w:val="22"/>
          <w:lang w:val="en-GB"/>
        </w:rPr>
        <w:t xml:space="preserve"> </w:t>
      </w:r>
      <w:r w:rsidRPr="0078134E">
        <w:rPr>
          <w:spacing w:val="-2"/>
          <w:kern w:val="22"/>
          <w:lang w:val="en-GB"/>
        </w:rPr>
        <w:t>for</w:t>
      </w:r>
      <w:r w:rsidR="009424DA" w:rsidRPr="0078134E">
        <w:rPr>
          <w:spacing w:val="-2"/>
          <w:kern w:val="22"/>
          <w:lang w:val="en-GB"/>
        </w:rPr>
        <w:t xml:space="preserve"> craft brewer</w:t>
      </w:r>
      <w:r w:rsidRPr="0078134E">
        <w:rPr>
          <w:spacing w:val="-2"/>
          <w:kern w:val="22"/>
          <w:lang w:val="en-GB"/>
        </w:rPr>
        <w:t>ies</w:t>
      </w:r>
      <w:r w:rsidR="009424DA" w:rsidRPr="0078134E">
        <w:rPr>
          <w:spacing w:val="-2"/>
          <w:kern w:val="22"/>
          <w:lang w:val="en-GB"/>
        </w:rPr>
        <w:t xml:space="preserve">. </w:t>
      </w:r>
      <w:r w:rsidRPr="0078134E">
        <w:rPr>
          <w:spacing w:val="-2"/>
          <w:kern w:val="22"/>
          <w:lang w:val="en-GB"/>
        </w:rPr>
        <w:t xml:space="preserve">Difficulties </w:t>
      </w:r>
      <w:r w:rsidR="009424DA" w:rsidRPr="0078134E">
        <w:rPr>
          <w:spacing w:val="-2"/>
          <w:kern w:val="22"/>
          <w:lang w:val="en-GB"/>
        </w:rPr>
        <w:t>included regulated mandatory shipping through Canada Post, standard shipping fee</w:t>
      </w:r>
      <w:r w:rsidRPr="0078134E">
        <w:rPr>
          <w:spacing w:val="-2"/>
          <w:kern w:val="22"/>
          <w:lang w:val="en-GB"/>
        </w:rPr>
        <w:t>s</w:t>
      </w:r>
      <w:r w:rsidR="009424DA" w:rsidRPr="0078134E">
        <w:rPr>
          <w:spacing w:val="-2"/>
          <w:kern w:val="22"/>
          <w:lang w:val="en-GB"/>
        </w:rPr>
        <w:t xml:space="preserve"> added to order</w:t>
      </w:r>
      <w:r w:rsidRPr="0078134E">
        <w:rPr>
          <w:spacing w:val="-2"/>
          <w:kern w:val="22"/>
          <w:lang w:val="en-GB"/>
        </w:rPr>
        <w:t>s</w:t>
      </w:r>
      <w:r w:rsidR="009424DA" w:rsidRPr="0078134E">
        <w:rPr>
          <w:spacing w:val="-2"/>
          <w:kern w:val="22"/>
          <w:lang w:val="en-GB"/>
        </w:rPr>
        <w:t xml:space="preserve"> (as opposed to </w:t>
      </w:r>
      <w:r w:rsidR="006C55C5" w:rsidRPr="0078134E">
        <w:rPr>
          <w:spacing w:val="-2"/>
          <w:kern w:val="22"/>
          <w:lang w:val="en-GB"/>
        </w:rPr>
        <w:t xml:space="preserve">being </w:t>
      </w:r>
      <w:r w:rsidR="009424DA" w:rsidRPr="0078134E">
        <w:rPr>
          <w:spacing w:val="-2"/>
          <w:kern w:val="22"/>
          <w:lang w:val="en-GB"/>
        </w:rPr>
        <w:t xml:space="preserve">built into the selling price), </w:t>
      </w:r>
      <w:r w:rsidR="006C55C5" w:rsidRPr="0078134E">
        <w:rPr>
          <w:spacing w:val="-2"/>
          <w:kern w:val="22"/>
          <w:lang w:val="en-GB"/>
        </w:rPr>
        <w:t xml:space="preserve">the </w:t>
      </w:r>
      <w:r w:rsidR="009424DA" w:rsidRPr="0078134E">
        <w:rPr>
          <w:spacing w:val="-2"/>
          <w:kern w:val="22"/>
          <w:lang w:val="en-GB"/>
        </w:rPr>
        <w:t xml:space="preserve">cost of packaging, and </w:t>
      </w:r>
      <w:r w:rsidR="006C55C5" w:rsidRPr="0078134E">
        <w:rPr>
          <w:spacing w:val="-2"/>
          <w:kern w:val="22"/>
          <w:lang w:val="en-GB"/>
        </w:rPr>
        <w:t xml:space="preserve">the </w:t>
      </w:r>
      <w:r w:rsidR="009424DA" w:rsidRPr="0078134E">
        <w:rPr>
          <w:spacing w:val="-2"/>
          <w:kern w:val="22"/>
          <w:lang w:val="en-GB"/>
        </w:rPr>
        <w:t>labour</w:t>
      </w:r>
      <w:r w:rsidR="00523C6B" w:rsidRPr="0078134E">
        <w:rPr>
          <w:spacing w:val="-2"/>
          <w:kern w:val="22"/>
          <w:lang w:val="en-GB"/>
        </w:rPr>
        <w:t>-intensive</w:t>
      </w:r>
      <w:r w:rsidR="009424DA" w:rsidRPr="0078134E">
        <w:rPr>
          <w:spacing w:val="-2"/>
          <w:kern w:val="22"/>
          <w:lang w:val="en-GB"/>
        </w:rPr>
        <w:t xml:space="preserve"> processing </w:t>
      </w:r>
      <w:r w:rsidR="00523C6B" w:rsidRPr="0078134E">
        <w:rPr>
          <w:spacing w:val="-2"/>
          <w:kern w:val="22"/>
          <w:lang w:val="en-GB"/>
        </w:rPr>
        <w:t xml:space="preserve">of </w:t>
      </w:r>
      <w:r w:rsidR="009424DA" w:rsidRPr="0078134E">
        <w:rPr>
          <w:spacing w:val="-2"/>
          <w:kern w:val="22"/>
          <w:lang w:val="en-GB"/>
        </w:rPr>
        <w:t>online orders</w:t>
      </w:r>
      <w:r w:rsidR="00523C6B" w:rsidRPr="0078134E">
        <w:rPr>
          <w:spacing w:val="-2"/>
          <w:kern w:val="22"/>
          <w:lang w:val="en-GB"/>
        </w:rPr>
        <w:t>, which</w:t>
      </w:r>
      <w:r w:rsidR="009424DA" w:rsidRPr="0078134E">
        <w:rPr>
          <w:spacing w:val="-2"/>
          <w:kern w:val="22"/>
          <w:lang w:val="en-GB"/>
        </w:rPr>
        <w:t xml:space="preserve"> requir</w:t>
      </w:r>
      <w:r w:rsidR="00523C6B" w:rsidRPr="0078134E">
        <w:rPr>
          <w:spacing w:val="-2"/>
          <w:kern w:val="22"/>
          <w:lang w:val="en-GB"/>
        </w:rPr>
        <w:t>ed</w:t>
      </w:r>
      <w:r w:rsidR="009424DA" w:rsidRPr="0078134E">
        <w:rPr>
          <w:spacing w:val="-2"/>
          <w:kern w:val="22"/>
          <w:lang w:val="en-GB"/>
        </w:rPr>
        <w:t xml:space="preserve"> </w:t>
      </w:r>
      <w:r w:rsidR="00523C6B" w:rsidRPr="0078134E">
        <w:rPr>
          <w:spacing w:val="-2"/>
          <w:kern w:val="22"/>
          <w:lang w:val="en-GB"/>
        </w:rPr>
        <w:t>different</w:t>
      </w:r>
      <w:r w:rsidR="009424DA" w:rsidRPr="0078134E">
        <w:rPr>
          <w:spacing w:val="-2"/>
          <w:kern w:val="22"/>
          <w:lang w:val="en-GB"/>
        </w:rPr>
        <w:t xml:space="preserve"> packaging and shipping processes than the company</w:t>
      </w:r>
      <w:r w:rsidR="00523C6B" w:rsidRPr="0078134E">
        <w:rPr>
          <w:spacing w:val="-2"/>
          <w:kern w:val="22"/>
          <w:lang w:val="en-GB"/>
        </w:rPr>
        <w:t>’s</w:t>
      </w:r>
      <w:r w:rsidR="009424DA" w:rsidRPr="0078134E">
        <w:rPr>
          <w:spacing w:val="-2"/>
          <w:kern w:val="22"/>
          <w:lang w:val="en-GB"/>
        </w:rPr>
        <w:t xml:space="preserve"> us</w:t>
      </w:r>
      <w:r w:rsidR="00523C6B" w:rsidRPr="0078134E">
        <w:rPr>
          <w:spacing w:val="-2"/>
          <w:kern w:val="22"/>
          <w:lang w:val="en-GB"/>
        </w:rPr>
        <w:t>ual format</w:t>
      </w:r>
      <w:r w:rsidR="009424DA" w:rsidRPr="0078134E">
        <w:rPr>
          <w:spacing w:val="-2"/>
          <w:kern w:val="22"/>
          <w:lang w:val="en-GB"/>
        </w:rPr>
        <w:t xml:space="preserve">. Wellington Brewery </w:t>
      </w:r>
      <w:r w:rsidR="005F4960" w:rsidRPr="0078134E">
        <w:rPr>
          <w:spacing w:val="-2"/>
          <w:kern w:val="22"/>
          <w:lang w:val="en-GB"/>
        </w:rPr>
        <w:t xml:space="preserve">initially chose to </w:t>
      </w:r>
      <w:r w:rsidR="009424DA" w:rsidRPr="0078134E">
        <w:rPr>
          <w:spacing w:val="-2"/>
          <w:kern w:val="22"/>
          <w:lang w:val="en-GB"/>
        </w:rPr>
        <w:t>use Shopify</w:t>
      </w:r>
      <w:r w:rsidR="005F4960" w:rsidRPr="0078134E">
        <w:rPr>
          <w:spacing w:val="-2"/>
          <w:kern w:val="22"/>
          <w:lang w:val="en-GB"/>
        </w:rPr>
        <w:t xml:space="preserve"> Inc.</w:t>
      </w:r>
      <w:r w:rsidR="009424DA" w:rsidRPr="0078134E">
        <w:rPr>
          <w:spacing w:val="-2"/>
          <w:kern w:val="22"/>
          <w:lang w:val="en-GB"/>
        </w:rPr>
        <w:t xml:space="preserve"> </w:t>
      </w:r>
      <w:r w:rsidR="005F4960" w:rsidRPr="0078134E">
        <w:rPr>
          <w:spacing w:val="-2"/>
          <w:kern w:val="22"/>
          <w:lang w:val="en-GB"/>
        </w:rPr>
        <w:t xml:space="preserve">(Shopify) </w:t>
      </w:r>
      <w:r w:rsidR="009424DA" w:rsidRPr="0078134E">
        <w:rPr>
          <w:spacing w:val="-2"/>
          <w:kern w:val="22"/>
          <w:lang w:val="en-GB"/>
        </w:rPr>
        <w:t xml:space="preserve">as </w:t>
      </w:r>
      <w:r w:rsidR="005F4960" w:rsidRPr="0078134E">
        <w:rPr>
          <w:spacing w:val="-2"/>
          <w:kern w:val="22"/>
          <w:lang w:val="en-GB"/>
        </w:rPr>
        <w:t>i</w:t>
      </w:r>
      <w:r w:rsidR="009424DA" w:rsidRPr="0078134E">
        <w:rPr>
          <w:spacing w:val="-2"/>
          <w:kern w:val="22"/>
          <w:lang w:val="en-GB"/>
        </w:rPr>
        <w:t>t</w:t>
      </w:r>
      <w:r w:rsidR="005F4960" w:rsidRPr="0078134E">
        <w:rPr>
          <w:spacing w:val="-2"/>
          <w:kern w:val="22"/>
          <w:lang w:val="en-GB"/>
        </w:rPr>
        <w:t>s</w:t>
      </w:r>
      <w:r w:rsidR="009424DA" w:rsidRPr="0078134E">
        <w:rPr>
          <w:spacing w:val="-2"/>
          <w:kern w:val="22"/>
          <w:lang w:val="en-GB"/>
        </w:rPr>
        <w:t xml:space="preserve"> e-commerce </w:t>
      </w:r>
      <w:r w:rsidR="009424DA" w:rsidRPr="0078134E">
        <w:rPr>
          <w:spacing w:val="-2"/>
          <w:kern w:val="22"/>
          <w:lang w:val="en-GB"/>
        </w:rPr>
        <w:lastRenderedPageBreak/>
        <w:t xml:space="preserve">platform and engaged in benchmark research to generate ideas for the packaging, processing, and shipping of beer. The brewery was still looking for ways to improve the end consumer’s </w:t>
      </w:r>
      <w:r w:rsidR="005F4960" w:rsidRPr="0078134E">
        <w:rPr>
          <w:spacing w:val="-2"/>
          <w:kern w:val="22"/>
          <w:lang w:val="en-GB"/>
        </w:rPr>
        <w:t xml:space="preserve">online ordering </w:t>
      </w:r>
      <w:r w:rsidR="009424DA" w:rsidRPr="0078134E">
        <w:rPr>
          <w:spacing w:val="-2"/>
          <w:kern w:val="22"/>
          <w:lang w:val="en-GB"/>
        </w:rPr>
        <w:t xml:space="preserve">experience when </w:t>
      </w:r>
      <w:r w:rsidR="00034BCF" w:rsidRPr="0078134E">
        <w:rPr>
          <w:spacing w:val="-2"/>
          <w:kern w:val="22"/>
          <w:lang w:val="en-GB"/>
        </w:rPr>
        <w:t xml:space="preserve">customers </w:t>
      </w:r>
      <w:r w:rsidR="005F4960" w:rsidRPr="0078134E">
        <w:rPr>
          <w:spacing w:val="-2"/>
          <w:kern w:val="22"/>
          <w:lang w:val="en-GB"/>
        </w:rPr>
        <w:t>purchas</w:t>
      </w:r>
      <w:r w:rsidR="00034BCF" w:rsidRPr="0078134E">
        <w:rPr>
          <w:spacing w:val="-2"/>
          <w:kern w:val="22"/>
          <w:lang w:val="en-GB"/>
        </w:rPr>
        <w:t>ed</w:t>
      </w:r>
      <w:r w:rsidR="009424DA" w:rsidRPr="0078134E">
        <w:rPr>
          <w:spacing w:val="-2"/>
          <w:kern w:val="22"/>
          <w:lang w:val="en-GB"/>
        </w:rPr>
        <w:t xml:space="preserve"> Wellington Brewery</w:t>
      </w:r>
      <w:r w:rsidR="005F4960" w:rsidRPr="0078134E">
        <w:rPr>
          <w:spacing w:val="-2"/>
          <w:kern w:val="22"/>
          <w:lang w:val="en-GB"/>
        </w:rPr>
        <w:t xml:space="preserve"> products</w:t>
      </w:r>
      <w:r w:rsidR="009424DA" w:rsidRPr="0078134E">
        <w:rPr>
          <w:spacing w:val="-2"/>
          <w:kern w:val="22"/>
          <w:lang w:val="en-GB"/>
        </w:rPr>
        <w:t>. For e</w:t>
      </w:r>
      <w:r w:rsidR="005F4960" w:rsidRPr="0078134E">
        <w:rPr>
          <w:spacing w:val="-2"/>
          <w:kern w:val="22"/>
          <w:lang w:val="en-GB"/>
        </w:rPr>
        <w:t>xample</w:t>
      </w:r>
      <w:r w:rsidR="009424DA" w:rsidRPr="0078134E">
        <w:rPr>
          <w:spacing w:val="-2"/>
          <w:kern w:val="22"/>
          <w:lang w:val="en-GB"/>
        </w:rPr>
        <w:t>, through Shopify’s data analytics</w:t>
      </w:r>
      <w:r w:rsidR="005F4960" w:rsidRPr="0078134E">
        <w:rPr>
          <w:spacing w:val="-2"/>
          <w:kern w:val="22"/>
          <w:lang w:val="en-GB"/>
        </w:rPr>
        <w:t xml:space="preserve"> services</w:t>
      </w:r>
      <w:r w:rsidR="009424DA" w:rsidRPr="0078134E">
        <w:rPr>
          <w:spacing w:val="-2"/>
          <w:kern w:val="22"/>
          <w:lang w:val="en-GB"/>
        </w:rPr>
        <w:t>, Wellington Brewery identif</w:t>
      </w:r>
      <w:r w:rsidR="00964386" w:rsidRPr="0078134E">
        <w:rPr>
          <w:spacing w:val="-2"/>
          <w:kern w:val="22"/>
          <w:lang w:val="en-GB"/>
        </w:rPr>
        <w:t>ied a recurring issue with</w:t>
      </w:r>
      <w:r w:rsidR="009424DA" w:rsidRPr="0078134E">
        <w:rPr>
          <w:spacing w:val="-2"/>
          <w:kern w:val="22"/>
          <w:lang w:val="en-GB"/>
        </w:rPr>
        <w:t xml:space="preserve"> dropped </w:t>
      </w:r>
      <w:r w:rsidR="005F4960" w:rsidRPr="0078134E">
        <w:rPr>
          <w:spacing w:val="-2"/>
          <w:kern w:val="22"/>
          <w:lang w:val="en-GB"/>
        </w:rPr>
        <w:t xml:space="preserve">online shopping </w:t>
      </w:r>
      <w:r w:rsidR="009424DA" w:rsidRPr="0078134E">
        <w:rPr>
          <w:spacing w:val="-2"/>
          <w:kern w:val="22"/>
          <w:lang w:val="en-GB"/>
        </w:rPr>
        <w:t>carts</w:t>
      </w:r>
      <w:r w:rsidR="00964386" w:rsidRPr="0078134E">
        <w:rPr>
          <w:spacing w:val="-2"/>
          <w:kern w:val="22"/>
          <w:lang w:val="en-GB"/>
        </w:rPr>
        <w:t xml:space="preserve"> during the checkout phase. The company assessed the problem and addressed the issue</w:t>
      </w:r>
      <w:r w:rsidR="009424DA" w:rsidRPr="0078134E">
        <w:rPr>
          <w:spacing w:val="-2"/>
          <w:kern w:val="22"/>
          <w:lang w:val="en-GB"/>
        </w:rPr>
        <w:t xml:space="preserve"> by finding a </w:t>
      </w:r>
      <w:r w:rsidR="00964386" w:rsidRPr="0078134E">
        <w:rPr>
          <w:spacing w:val="-2"/>
          <w:kern w:val="22"/>
          <w:lang w:val="en-GB"/>
        </w:rPr>
        <w:t>mutually beneficial</w:t>
      </w:r>
      <w:r w:rsidR="009424DA" w:rsidRPr="0078134E">
        <w:rPr>
          <w:spacing w:val="-2"/>
          <w:kern w:val="22"/>
          <w:lang w:val="en-GB"/>
        </w:rPr>
        <w:t xml:space="preserve"> revenue and costs </w:t>
      </w:r>
      <w:r w:rsidR="00964386" w:rsidRPr="0078134E">
        <w:rPr>
          <w:spacing w:val="-2"/>
          <w:kern w:val="22"/>
          <w:lang w:val="en-GB"/>
        </w:rPr>
        <w:t>solution involving</w:t>
      </w:r>
      <w:r w:rsidR="009424DA" w:rsidRPr="0078134E">
        <w:rPr>
          <w:spacing w:val="-2"/>
          <w:kern w:val="22"/>
          <w:lang w:val="en-GB"/>
        </w:rPr>
        <w:t xml:space="preserve"> shipping and processing fees</w:t>
      </w:r>
      <w:r w:rsidR="00964386" w:rsidRPr="0078134E">
        <w:rPr>
          <w:spacing w:val="-2"/>
          <w:kern w:val="22"/>
          <w:lang w:val="en-GB"/>
        </w:rPr>
        <w:t>, which was passed onto the consumer</w:t>
      </w:r>
      <w:r w:rsidR="009424DA" w:rsidRPr="0078134E">
        <w:rPr>
          <w:spacing w:val="-2"/>
          <w:kern w:val="22"/>
          <w:lang w:val="en-GB"/>
        </w:rPr>
        <w:t xml:space="preserve">. </w:t>
      </w:r>
    </w:p>
    <w:p w14:paraId="04B40BDE" w14:textId="05981CA6" w:rsidR="009424DA" w:rsidRPr="0078134E" w:rsidRDefault="009424DA" w:rsidP="009424DA">
      <w:pPr>
        <w:pStyle w:val="BodyTextMain"/>
        <w:rPr>
          <w:sz w:val="14"/>
          <w:szCs w:val="14"/>
          <w:lang w:val="en-GB"/>
        </w:rPr>
      </w:pPr>
    </w:p>
    <w:p w14:paraId="378FB883" w14:textId="77777777" w:rsidR="009424DA" w:rsidRPr="0078134E" w:rsidRDefault="009424DA" w:rsidP="009424DA">
      <w:pPr>
        <w:pStyle w:val="BodyTextMain"/>
        <w:rPr>
          <w:sz w:val="14"/>
          <w:szCs w:val="14"/>
          <w:lang w:val="en-GB"/>
        </w:rPr>
      </w:pPr>
    </w:p>
    <w:p w14:paraId="0A37F840" w14:textId="77777777" w:rsidR="009424DA" w:rsidRPr="00946435" w:rsidRDefault="009424DA" w:rsidP="009424DA">
      <w:pPr>
        <w:pStyle w:val="Casehead1"/>
        <w:keepNext/>
        <w:rPr>
          <w:lang w:val="en-GB"/>
        </w:rPr>
      </w:pPr>
      <w:r w:rsidRPr="00946435">
        <w:rPr>
          <w:lang w:val="en-GB"/>
        </w:rPr>
        <w:t>MANUAL PROCESSES AND INSIGHTS FROM DATA</w:t>
      </w:r>
    </w:p>
    <w:p w14:paraId="203B765C" w14:textId="77777777" w:rsidR="009424DA" w:rsidRPr="0078134E" w:rsidRDefault="009424DA" w:rsidP="009424DA">
      <w:pPr>
        <w:pStyle w:val="BodyTextMain"/>
        <w:keepNext/>
        <w:rPr>
          <w:sz w:val="14"/>
          <w:szCs w:val="14"/>
          <w:lang w:val="en-GB"/>
        </w:rPr>
      </w:pPr>
    </w:p>
    <w:p w14:paraId="2438695C" w14:textId="2E883107" w:rsidR="009424DA" w:rsidRPr="00946435" w:rsidRDefault="009424DA" w:rsidP="009424DA">
      <w:pPr>
        <w:pStyle w:val="BodyTextMain"/>
        <w:keepNext/>
        <w:rPr>
          <w:lang w:val="en-GB"/>
        </w:rPr>
      </w:pPr>
      <w:r w:rsidRPr="00946435">
        <w:rPr>
          <w:lang w:val="en-GB"/>
        </w:rPr>
        <w:t xml:space="preserve">Wellington Brewery </w:t>
      </w:r>
      <w:r w:rsidR="00AD6C46" w:rsidRPr="00946435">
        <w:rPr>
          <w:lang w:val="en-GB"/>
        </w:rPr>
        <w:t>conducted various</w:t>
      </w:r>
      <w:r w:rsidRPr="00946435">
        <w:rPr>
          <w:lang w:val="en-GB"/>
        </w:rPr>
        <w:t xml:space="preserve"> manual processes to support</w:t>
      </w:r>
      <w:r w:rsidR="00AD6C46" w:rsidRPr="00946435">
        <w:rPr>
          <w:lang w:val="en-GB"/>
        </w:rPr>
        <w:t xml:space="preserve"> routine</w:t>
      </w:r>
      <w:r w:rsidRPr="00946435">
        <w:rPr>
          <w:lang w:val="en-GB"/>
        </w:rPr>
        <w:t xml:space="preserve"> tasks and operations. </w:t>
      </w:r>
      <w:r w:rsidR="006C55C5">
        <w:rPr>
          <w:lang w:val="en-GB"/>
        </w:rPr>
        <w:t>The m</w:t>
      </w:r>
      <w:r w:rsidRPr="00946435">
        <w:rPr>
          <w:lang w:val="en-GB"/>
        </w:rPr>
        <w:t>anual processes included tracking inventory on paper and then physically verifying</w:t>
      </w:r>
      <w:r w:rsidR="003424B5" w:rsidRPr="00946435">
        <w:rPr>
          <w:lang w:val="en-GB"/>
        </w:rPr>
        <w:t xml:space="preserve"> </w:t>
      </w:r>
      <w:r w:rsidR="00321BBA">
        <w:rPr>
          <w:lang w:val="en-GB"/>
        </w:rPr>
        <w:t xml:space="preserve">the </w:t>
      </w:r>
      <w:r w:rsidR="003424B5" w:rsidRPr="00946435">
        <w:rPr>
          <w:lang w:val="en-GB"/>
        </w:rPr>
        <w:t>amounts</w:t>
      </w:r>
      <w:r w:rsidR="00794781" w:rsidRPr="00946435">
        <w:rPr>
          <w:lang w:val="en-GB"/>
        </w:rPr>
        <w:t>,</w:t>
      </w:r>
      <w:r w:rsidRPr="00946435">
        <w:rPr>
          <w:lang w:val="en-GB"/>
        </w:rPr>
        <w:t xml:space="preserve"> forecasting </w:t>
      </w:r>
      <w:r w:rsidR="00794781" w:rsidRPr="00946435">
        <w:rPr>
          <w:lang w:val="en-GB"/>
        </w:rPr>
        <w:t>sales us</w:t>
      </w:r>
      <w:r w:rsidRPr="00946435">
        <w:rPr>
          <w:lang w:val="en-GB"/>
        </w:rPr>
        <w:t>in</w:t>
      </w:r>
      <w:r w:rsidR="00794781" w:rsidRPr="00946435">
        <w:rPr>
          <w:lang w:val="en-GB"/>
        </w:rPr>
        <w:t>g</w:t>
      </w:r>
      <w:r w:rsidRPr="00946435">
        <w:rPr>
          <w:lang w:val="en-GB"/>
        </w:rPr>
        <w:t xml:space="preserve"> </w:t>
      </w:r>
      <w:r w:rsidR="00794781" w:rsidRPr="00946435">
        <w:rPr>
          <w:lang w:val="en-GB"/>
        </w:rPr>
        <w:t xml:space="preserve">Microsoft </w:t>
      </w:r>
      <w:r w:rsidRPr="00946435">
        <w:rPr>
          <w:lang w:val="en-GB"/>
        </w:rPr>
        <w:t>Excel</w:t>
      </w:r>
      <w:r w:rsidR="00794781" w:rsidRPr="00946435">
        <w:rPr>
          <w:lang w:val="en-GB"/>
        </w:rPr>
        <w:t>,</w:t>
      </w:r>
      <w:r w:rsidRPr="00946435">
        <w:rPr>
          <w:lang w:val="en-GB"/>
        </w:rPr>
        <w:t xml:space="preserve"> </w:t>
      </w:r>
      <w:r w:rsidR="00794781" w:rsidRPr="00946435">
        <w:rPr>
          <w:lang w:val="en-GB"/>
        </w:rPr>
        <w:t xml:space="preserve">recording </w:t>
      </w:r>
      <w:r w:rsidRPr="00946435">
        <w:rPr>
          <w:lang w:val="en-GB"/>
        </w:rPr>
        <w:t xml:space="preserve">licensee payments </w:t>
      </w:r>
      <w:r w:rsidR="00794781" w:rsidRPr="00946435">
        <w:rPr>
          <w:lang w:val="en-GB"/>
        </w:rPr>
        <w:t>using</w:t>
      </w:r>
      <w:r w:rsidRPr="00946435">
        <w:rPr>
          <w:lang w:val="en-GB"/>
        </w:rPr>
        <w:t xml:space="preserve"> Excel and </w:t>
      </w:r>
      <w:r w:rsidR="00794781" w:rsidRPr="00946435">
        <w:rPr>
          <w:lang w:val="en-GB"/>
        </w:rPr>
        <w:t>tele</w:t>
      </w:r>
      <w:r w:rsidRPr="00946435">
        <w:rPr>
          <w:lang w:val="en-GB"/>
        </w:rPr>
        <w:t>phone calls</w:t>
      </w:r>
      <w:r w:rsidR="00794781" w:rsidRPr="00946435">
        <w:rPr>
          <w:lang w:val="en-GB"/>
        </w:rPr>
        <w:t>,</w:t>
      </w:r>
      <w:r w:rsidRPr="00946435">
        <w:rPr>
          <w:lang w:val="en-GB"/>
        </w:rPr>
        <w:t xml:space="preserve"> </w:t>
      </w:r>
      <w:r w:rsidR="00794781" w:rsidRPr="00946435">
        <w:rPr>
          <w:lang w:val="en-GB"/>
        </w:rPr>
        <w:t xml:space="preserve">recording </w:t>
      </w:r>
      <w:r w:rsidRPr="00946435">
        <w:rPr>
          <w:lang w:val="en-GB"/>
        </w:rPr>
        <w:t>production</w:t>
      </w:r>
      <w:r w:rsidR="00794781" w:rsidRPr="00946435">
        <w:rPr>
          <w:lang w:val="en-GB"/>
        </w:rPr>
        <w:t xml:space="preserve"> amounts</w:t>
      </w:r>
      <w:r w:rsidRPr="00946435">
        <w:rPr>
          <w:lang w:val="en-GB"/>
        </w:rPr>
        <w:t xml:space="preserve"> on paper and in Excel</w:t>
      </w:r>
      <w:r w:rsidR="00794781" w:rsidRPr="00946435">
        <w:rPr>
          <w:lang w:val="en-GB"/>
        </w:rPr>
        <w:t>,</w:t>
      </w:r>
      <w:r w:rsidRPr="00946435">
        <w:rPr>
          <w:lang w:val="en-GB"/>
        </w:rPr>
        <w:t xml:space="preserve"> and </w:t>
      </w:r>
      <w:r w:rsidR="00794781" w:rsidRPr="00946435">
        <w:rPr>
          <w:lang w:val="en-GB"/>
        </w:rPr>
        <w:t xml:space="preserve">extracting </w:t>
      </w:r>
      <w:r w:rsidRPr="00946435">
        <w:rPr>
          <w:lang w:val="en-GB"/>
        </w:rPr>
        <w:t>sales data from the brewhouse point</w:t>
      </w:r>
      <w:r w:rsidR="00794781" w:rsidRPr="00946435">
        <w:rPr>
          <w:lang w:val="en-GB"/>
        </w:rPr>
        <w:t>-</w:t>
      </w:r>
      <w:r w:rsidRPr="00946435">
        <w:rPr>
          <w:lang w:val="en-GB"/>
        </w:rPr>
        <w:t>of</w:t>
      </w:r>
      <w:r w:rsidR="00794781" w:rsidRPr="00946435">
        <w:rPr>
          <w:lang w:val="en-GB"/>
        </w:rPr>
        <w:t>-</w:t>
      </w:r>
      <w:r w:rsidRPr="00946435">
        <w:rPr>
          <w:lang w:val="en-GB"/>
        </w:rPr>
        <w:t xml:space="preserve">sales system </w:t>
      </w:r>
      <w:r w:rsidR="00794781" w:rsidRPr="00946435">
        <w:rPr>
          <w:lang w:val="en-GB"/>
        </w:rPr>
        <w:t>(</w:t>
      </w:r>
      <w:proofErr w:type="spellStart"/>
      <w:r w:rsidRPr="00946435">
        <w:rPr>
          <w:lang w:val="en-GB"/>
        </w:rPr>
        <w:t>TouchBistro</w:t>
      </w:r>
      <w:proofErr w:type="spellEnd"/>
      <w:r w:rsidR="00794781" w:rsidRPr="00946435">
        <w:rPr>
          <w:lang w:val="en-GB"/>
        </w:rPr>
        <w:t>) and</w:t>
      </w:r>
      <w:r w:rsidRPr="00946435">
        <w:rPr>
          <w:lang w:val="en-GB"/>
        </w:rPr>
        <w:t xml:space="preserve"> inputt</w:t>
      </w:r>
      <w:r w:rsidR="00794781" w:rsidRPr="00946435">
        <w:rPr>
          <w:lang w:val="en-GB"/>
        </w:rPr>
        <w:t>ing it</w:t>
      </w:r>
      <w:r w:rsidRPr="00946435">
        <w:rPr>
          <w:lang w:val="en-GB"/>
        </w:rPr>
        <w:t xml:space="preserve"> into Excel. </w:t>
      </w:r>
      <w:r w:rsidR="00794781" w:rsidRPr="00946435">
        <w:rPr>
          <w:lang w:val="en-GB"/>
        </w:rPr>
        <w:t xml:space="preserve">Wellington Brewery </w:t>
      </w:r>
      <w:r w:rsidR="00CA2DA2" w:rsidRPr="00946435">
        <w:rPr>
          <w:lang w:val="en-GB"/>
        </w:rPr>
        <w:t>deemed</w:t>
      </w:r>
      <w:r w:rsidR="00794781" w:rsidRPr="00946435">
        <w:rPr>
          <w:lang w:val="en-GB"/>
        </w:rPr>
        <w:t xml:space="preserve"> these m</w:t>
      </w:r>
      <w:r w:rsidRPr="00946435">
        <w:rPr>
          <w:lang w:val="en-GB"/>
        </w:rPr>
        <w:t>anual processes</w:t>
      </w:r>
      <w:r w:rsidR="00794781" w:rsidRPr="00946435">
        <w:rPr>
          <w:lang w:val="en-GB"/>
        </w:rPr>
        <w:t xml:space="preserve"> </w:t>
      </w:r>
      <w:r w:rsidRPr="00946435">
        <w:rPr>
          <w:lang w:val="en-GB"/>
        </w:rPr>
        <w:t>suit</w:t>
      </w:r>
      <w:r w:rsidR="00794781" w:rsidRPr="00946435">
        <w:rPr>
          <w:lang w:val="en-GB"/>
        </w:rPr>
        <w:t>able and</w:t>
      </w:r>
      <w:r w:rsidRPr="00946435">
        <w:rPr>
          <w:lang w:val="en-GB"/>
        </w:rPr>
        <w:t xml:space="preserve"> efficient because </w:t>
      </w:r>
      <w:r w:rsidR="00794781" w:rsidRPr="00946435">
        <w:rPr>
          <w:lang w:val="en-GB"/>
        </w:rPr>
        <w:t xml:space="preserve">new beer </w:t>
      </w:r>
      <w:r w:rsidRPr="00946435">
        <w:rPr>
          <w:lang w:val="en-GB"/>
        </w:rPr>
        <w:t xml:space="preserve">recipes were </w:t>
      </w:r>
      <w:r w:rsidR="00794781" w:rsidRPr="00946435">
        <w:rPr>
          <w:lang w:val="en-GB"/>
        </w:rPr>
        <w:t xml:space="preserve">frequently </w:t>
      </w:r>
      <w:r w:rsidRPr="00946435">
        <w:rPr>
          <w:lang w:val="en-GB"/>
        </w:rPr>
        <w:t xml:space="preserve">created and modified, </w:t>
      </w:r>
      <w:r w:rsidR="00794781" w:rsidRPr="00946435">
        <w:rPr>
          <w:lang w:val="en-GB"/>
        </w:rPr>
        <w:t>which was convenient for its current</w:t>
      </w:r>
      <w:r w:rsidRPr="00946435">
        <w:rPr>
          <w:lang w:val="en-GB"/>
        </w:rPr>
        <w:t xml:space="preserve"> legacy systems to create in-depth reports. Additionally, manual processes enabled interaction and </w:t>
      </w:r>
      <w:r w:rsidR="00794781" w:rsidRPr="00946435">
        <w:rPr>
          <w:lang w:val="en-GB"/>
        </w:rPr>
        <w:t>promoted</w:t>
      </w:r>
      <w:r w:rsidRPr="00946435">
        <w:rPr>
          <w:lang w:val="en-GB"/>
        </w:rPr>
        <w:t xml:space="preserve"> data analysis. However, with the organization’s expansion and growth, automate</w:t>
      </w:r>
      <w:r w:rsidR="00794781" w:rsidRPr="00946435">
        <w:rPr>
          <w:lang w:val="en-GB"/>
        </w:rPr>
        <w:t>d</w:t>
      </w:r>
      <w:r w:rsidRPr="00946435">
        <w:rPr>
          <w:lang w:val="en-GB"/>
        </w:rPr>
        <w:t xml:space="preserve"> processes </w:t>
      </w:r>
      <w:r w:rsidR="00794781" w:rsidRPr="00946435">
        <w:rPr>
          <w:lang w:val="en-GB"/>
        </w:rPr>
        <w:t xml:space="preserve">would </w:t>
      </w:r>
      <w:r w:rsidR="00CA2DA2" w:rsidRPr="00946435">
        <w:rPr>
          <w:lang w:val="en-GB"/>
        </w:rPr>
        <w:t xml:space="preserve">inevitably </w:t>
      </w:r>
      <w:r w:rsidR="00794781" w:rsidRPr="00946435">
        <w:rPr>
          <w:lang w:val="en-GB"/>
        </w:rPr>
        <w:t>be</w:t>
      </w:r>
      <w:r w:rsidR="00CA2DA2" w:rsidRPr="00946435">
        <w:rPr>
          <w:lang w:val="en-GB"/>
        </w:rPr>
        <w:t>come critical</w:t>
      </w:r>
      <w:r w:rsidR="00794781" w:rsidRPr="00946435">
        <w:rPr>
          <w:lang w:val="en-GB"/>
        </w:rPr>
        <w:t xml:space="preserve"> to</w:t>
      </w:r>
      <w:r w:rsidRPr="00946435">
        <w:rPr>
          <w:lang w:val="en-GB"/>
        </w:rPr>
        <w:t xml:space="preserve"> improve overall efficiency. </w:t>
      </w:r>
    </w:p>
    <w:p w14:paraId="232EC245" w14:textId="77777777" w:rsidR="009424DA" w:rsidRPr="0078134E" w:rsidRDefault="009424DA" w:rsidP="009424DA">
      <w:pPr>
        <w:pStyle w:val="BodyTextMain"/>
        <w:rPr>
          <w:sz w:val="14"/>
          <w:szCs w:val="14"/>
          <w:lang w:val="en-GB"/>
        </w:rPr>
      </w:pPr>
    </w:p>
    <w:p w14:paraId="53DF8E5B" w14:textId="238CE698" w:rsidR="009424DA" w:rsidRPr="00946435" w:rsidRDefault="009424DA" w:rsidP="009424DA">
      <w:pPr>
        <w:pStyle w:val="BodyTextMain"/>
        <w:rPr>
          <w:lang w:val="en-GB"/>
        </w:rPr>
      </w:pPr>
      <w:r w:rsidRPr="00946435">
        <w:rPr>
          <w:lang w:val="en-GB"/>
        </w:rPr>
        <w:t xml:space="preserve">Davies was </w:t>
      </w:r>
      <w:r w:rsidR="00036182" w:rsidRPr="00946435">
        <w:rPr>
          <w:lang w:val="en-GB"/>
        </w:rPr>
        <w:t>hoping to</w:t>
      </w:r>
      <w:r w:rsidRPr="00946435">
        <w:rPr>
          <w:lang w:val="en-GB"/>
        </w:rPr>
        <w:t xml:space="preserve"> improv</w:t>
      </w:r>
      <w:r w:rsidR="00036182" w:rsidRPr="00946435">
        <w:rPr>
          <w:lang w:val="en-GB"/>
        </w:rPr>
        <w:t>e</w:t>
      </w:r>
      <w:r w:rsidRPr="00946435">
        <w:rPr>
          <w:lang w:val="en-GB"/>
        </w:rPr>
        <w:t xml:space="preserve"> </w:t>
      </w:r>
      <w:r w:rsidR="006C55C5">
        <w:rPr>
          <w:lang w:val="en-GB"/>
        </w:rPr>
        <w:t xml:space="preserve">the </w:t>
      </w:r>
      <w:r w:rsidRPr="00946435">
        <w:rPr>
          <w:lang w:val="en-GB"/>
        </w:rPr>
        <w:t xml:space="preserve">manual processes by leveraging digital technology to increase efficiency, save time, and produce additional data. In </w:t>
      </w:r>
      <w:r w:rsidR="00036182" w:rsidRPr="00946435">
        <w:rPr>
          <w:lang w:val="en-GB"/>
        </w:rPr>
        <w:t>recent</w:t>
      </w:r>
      <w:r w:rsidRPr="00946435">
        <w:rPr>
          <w:lang w:val="en-GB"/>
        </w:rPr>
        <w:t xml:space="preserve"> years, Wellington Brewery had started using data for sales-based tracking and </w:t>
      </w:r>
      <w:r w:rsidR="00036182" w:rsidRPr="00946435">
        <w:rPr>
          <w:lang w:val="en-GB"/>
        </w:rPr>
        <w:t xml:space="preserve">to </w:t>
      </w:r>
      <w:r w:rsidRPr="00946435">
        <w:rPr>
          <w:lang w:val="en-GB"/>
        </w:rPr>
        <w:t xml:space="preserve">identify comparable products </w:t>
      </w:r>
      <w:r w:rsidR="00036182" w:rsidRPr="00946435">
        <w:rPr>
          <w:lang w:val="en-GB"/>
        </w:rPr>
        <w:t>for submission</w:t>
      </w:r>
      <w:r w:rsidRPr="00946435">
        <w:rPr>
          <w:lang w:val="en-GB"/>
        </w:rPr>
        <w:t xml:space="preserve"> to the LCBO. </w:t>
      </w:r>
      <w:r w:rsidR="00036182" w:rsidRPr="00946435">
        <w:rPr>
          <w:lang w:val="en-GB"/>
        </w:rPr>
        <w:t>For</w:t>
      </w:r>
      <w:r w:rsidRPr="00946435">
        <w:rPr>
          <w:lang w:val="en-GB"/>
        </w:rPr>
        <w:t xml:space="preserve"> example</w:t>
      </w:r>
      <w:r w:rsidR="00036182" w:rsidRPr="00946435">
        <w:rPr>
          <w:lang w:val="en-GB"/>
        </w:rPr>
        <w:t>, the company</w:t>
      </w:r>
      <w:r w:rsidRPr="00946435">
        <w:rPr>
          <w:lang w:val="en-GB"/>
        </w:rPr>
        <w:t xml:space="preserve"> was using </w:t>
      </w:r>
      <w:r w:rsidR="00036182" w:rsidRPr="00946435">
        <w:rPr>
          <w:lang w:val="en-GB"/>
        </w:rPr>
        <w:t xml:space="preserve">the </w:t>
      </w:r>
      <w:proofErr w:type="spellStart"/>
      <w:r w:rsidRPr="00946435">
        <w:rPr>
          <w:lang w:val="en-GB"/>
        </w:rPr>
        <w:t>DigThisData</w:t>
      </w:r>
      <w:proofErr w:type="spellEnd"/>
      <w:r w:rsidRPr="00946435">
        <w:rPr>
          <w:lang w:val="en-GB"/>
        </w:rPr>
        <w:t xml:space="preserve"> </w:t>
      </w:r>
      <w:r w:rsidR="00CA2DA2" w:rsidRPr="00946435">
        <w:rPr>
          <w:lang w:val="en-GB"/>
        </w:rPr>
        <w:t xml:space="preserve">platform, a </w:t>
      </w:r>
      <w:r w:rsidRPr="00946435">
        <w:rPr>
          <w:lang w:val="en-GB"/>
        </w:rPr>
        <w:t xml:space="preserve">business </w:t>
      </w:r>
      <w:r w:rsidR="0052432D">
        <w:rPr>
          <w:lang w:val="en-GB"/>
        </w:rPr>
        <w:t>s</w:t>
      </w:r>
      <w:r w:rsidR="00036182" w:rsidRPr="00946435">
        <w:rPr>
          <w:lang w:val="en-GB"/>
        </w:rPr>
        <w:t>oftware-as-a-</w:t>
      </w:r>
      <w:r w:rsidR="0052432D">
        <w:rPr>
          <w:lang w:val="en-GB"/>
        </w:rPr>
        <w:t>s</w:t>
      </w:r>
      <w:r w:rsidR="00036182" w:rsidRPr="00946435">
        <w:rPr>
          <w:lang w:val="en-GB"/>
        </w:rPr>
        <w:t>ervice</w:t>
      </w:r>
      <w:r w:rsidRPr="00946435">
        <w:rPr>
          <w:lang w:val="en-GB"/>
        </w:rPr>
        <w:t xml:space="preserve"> application for alcohol vendors</w:t>
      </w:r>
      <w:r w:rsidR="00CA2DA2" w:rsidRPr="00946435">
        <w:rPr>
          <w:lang w:val="en-GB"/>
        </w:rPr>
        <w:t>,</w:t>
      </w:r>
      <w:r w:rsidR="00036182" w:rsidRPr="00946435">
        <w:rPr>
          <w:lang w:val="en-GB"/>
        </w:rPr>
        <w:t xml:space="preserve"> to regularly monitor</w:t>
      </w:r>
      <w:r w:rsidRPr="00946435">
        <w:rPr>
          <w:lang w:val="en-GB"/>
        </w:rPr>
        <w:t xml:space="preserve"> LCBO and TBS data</w:t>
      </w:r>
      <w:r w:rsidR="00CA2DA2" w:rsidRPr="00946435">
        <w:rPr>
          <w:lang w:val="en-GB"/>
        </w:rPr>
        <w:t>. The software</w:t>
      </w:r>
      <w:r w:rsidR="00036182" w:rsidRPr="00946435">
        <w:rPr>
          <w:lang w:val="en-GB"/>
        </w:rPr>
        <w:t xml:space="preserve"> </w:t>
      </w:r>
      <w:r w:rsidR="00CA2DA2" w:rsidRPr="00946435">
        <w:rPr>
          <w:lang w:val="en-GB"/>
        </w:rPr>
        <w:t>provided</w:t>
      </w:r>
      <w:r w:rsidRPr="00946435">
        <w:rPr>
          <w:lang w:val="en-GB"/>
        </w:rPr>
        <w:t xml:space="preserve"> performance, competition, </w:t>
      </w:r>
      <w:r w:rsidR="00036182" w:rsidRPr="00946435">
        <w:rPr>
          <w:lang w:val="en-GB"/>
        </w:rPr>
        <w:t>and</w:t>
      </w:r>
      <w:r w:rsidRPr="00946435">
        <w:rPr>
          <w:lang w:val="en-GB"/>
        </w:rPr>
        <w:t xml:space="preserve"> product</w:t>
      </w:r>
      <w:r w:rsidR="00036182" w:rsidRPr="00946435">
        <w:rPr>
          <w:lang w:val="en-GB"/>
        </w:rPr>
        <w:t xml:space="preserve"> data</w:t>
      </w:r>
      <w:r w:rsidRPr="00946435">
        <w:rPr>
          <w:lang w:val="en-GB"/>
        </w:rPr>
        <w:t xml:space="preserve"> with a two-week delay. Wellington Brewery </w:t>
      </w:r>
      <w:r w:rsidR="00036182" w:rsidRPr="00946435">
        <w:rPr>
          <w:lang w:val="en-GB"/>
        </w:rPr>
        <w:t>used the data</w:t>
      </w:r>
      <w:r w:rsidRPr="00946435">
        <w:rPr>
          <w:lang w:val="en-GB"/>
        </w:rPr>
        <w:t xml:space="preserve"> to </w:t>
      </w:r>
      <w:r w:rsidR="00036182" w:rsidRPr="00946435">
        <w:rPr>
          <w:lang w:val="en-GB"/>
        </w:rPr>
        <w:t xml:space="preserve">better </w:t>
      </w:r>
      <w:r w:rsidRPr="00946435">
        <w:rPr>
          <w:lang w:val="en-GB"/>
        </w:rPr>
        <w:t xml:space="preserve">position </w:t>
      </w:r>
      <w:r w:rsidR="00036182" w:rsidRPr="00946435">
        <w:rPr>
          <w:lang w:val="en-GB"/>
        </w:rPr>
        <w:t>i</w:t>
      </w:r>
      <w:r w:rsidRPr="00946435">
        <w:rPr>
          <w:lang w:val="en-GB"/>
        </w:rPr>
        <w:t>t</w:t>
      </w:r>
      <w:r w:rsidR="00036182" w:rsidRPr="00946435">
        <w:rPr>
          <w:lang w:val="en-GB"/>
        </w:rPr>
        <w:t>s</w:t>
      </w:r>
      <w:r w:rsidRPr="00946435">
        <w:rPr>
          <w:lang w:val="en-GB"/>
        </w:rPr>
        <w:t xml:space="preserve"> products and improve sales forecasting. </w:t>
      </w:r>
      <w:r w:rsidR="00CA2DA2" w:rsidRPr="00946435">
        <w:rPr>
          <w:lang w:val="en-GB"/>
        </w:rPr>
        <w:t>Wellington Brewery</w:t>
      </w:r>
      <w:r w:rsidRPr="00946435">
        <w:rPr>
          <w:lang w:val="en-GB"/>
        </w:rPr>
        <w:t xml:space="preserve"> also used </w:t>
      </w:r>
      <w:proofErr w:type="spellStart"/>
      <w:r w:rsidRPr="00946435">
        <w:rPr>
          <w:lang w:val="en-GB"/>
        </w:rPr>
        <w:t>Ekos</w:t>
      </w:r>
      <w:proofErr w:type="spellEnd"/>
      <w:r w:rsidRPr="00946435">
        <w:rPr>
          <w:lang w:val="en-GB"/>
        </w:rPr>
        <w:t xml:space="preserve">, an ERP system designed for </w:t>
      </w:r>
      <w:r w:rsidR="00036182" w:rsidRPr="00946435">
        <w:rPr>
          <w:lang w:val="en-GB"/>
        </w:rPr>
        <w:t xml:space="preserve">the </w:t>
      </w:r>
      <w:r w:rsidRPr="00946435">
        <w:rPr>
          <w:lang w:val="en-GB"/>
        </w:rPr>
        <w:t>craft</w:t>
      </w:r>
      <w:r w:rsidR="00036182" w:rsidRPr="00946435">
        <w:rPr>
          <w:lang w:val="en-GB"/>
        </w:rPr>
        <w:t xml:space="preserve"> brewery industry </w:t>
      </w:r>
      <w:r w:rsidR="00DE1ED8" w:rsidRPr="00946435">
        <w:rPr>
          <w:lang w:val="en-GB"/>
        </w:rPr>
        <w:t>that involved</w:t>
      </w:r>
      <w:r w:rsidR="00036182" w:rsidRPr="00946435">
        <w:rPr>
          <w:lang w:val="en-GB"/>
        </w:rPr>
        <w:t xml:space="preserve"> complex</w:t>
      </w:r>
      <w:r w:rsidRPr="00946435">
        <w:rPr>
          <w:lang w:val="en-GB"/>
        </w:rPr>
        <w:t xml:space="preserve"> implementation </w:t>
      </w:r>
      <w:r w:rsidR="00036182" w:rsidRPr="00946435">
        <w:rPr>
          <w:lang w:val="en-GB"/>
        </w:rPr>
        <w:t>and</w:t>
      </w:r>
      <w:r w:rsidRPr="00946435">
        <w:rPr>
          <w:lang w:val="en-GB"/>
        </w:rPr>
        <w:t xml:space="preserve"> time</w:t>
      </w:r>
      <w:r w:rsidR="00036182" w:rsidRPr="00946435">
        <w:rPr>
          <w:lang w:val="en-GB"/>
        </w:rPr>
        <w:t>-consuming</w:t>
      </w:r>
      <w:r w:rsidRPr="00946435">
        <w:rPr>
          <w:lang w:val="en-GB"/>
        </w:rPr>
        <w:t xml:space="preserve"> project</w:t>
      </w:r>
      <w:r w:rsidR="00036182" w:rsidRPr="00946435">
        <w:rPr>
          <w:lang w:val="en-GB"/>
        </w:rPr>
        <w:t xml:space="preserve"> management</w:t>
      </w:r>
      <w:r w:rsidRPr="00946435">
        <w:rPr>
          <w:lang w:val="en-GB"/>
        </w:rPr>
        <w:t xml:space="preserve">. </w:t>
      </w:r>
      <w:r w:rsidR="00CA2DA2" w:rsidRPr="00946435">
        <w:rPr>
          <w:lang w:val="en-GB"/>
        </w:rPr>
        <w:t xml:space="preserve">However, </w:t>
      </w:r>
      <w:r w:rsidRPr="00946435">
        <w:rPr>
          <w:lang w:val="en-GB"/>
        </w:rPr>
        <w:t>Davies w</w:t>
      </w:r>
      <w:r w:rsidR="00DE1ED8" w:rsidRPr="00946435">
        <w:rPr>
          <w:lang w:val="en-GB"/>
        </w:rPr>
        <w:t xml:space="preserve">as not sure </w:t>
      </w:r>
      <w:r w:rsidRPr="00946435">
        <w:rPr>
          <w:lang w:val="en-GB"/>
        </w:rPr>
        <w:t xml:space="preserve">the </w:t>
      </w:r>
      <w:proofErr w:type="spellStart"/>
      <w:r w:rsidRPr="00946435">
        <w:rPr>
          <w:lang w:val="en-GB"/>
        </w:rPr>
        <w:t>Ekos</w:t>
      </w:r>
      <w:proofErr w:type="spellEnd"/>
      <w:r w:rsidRPr="00946435">
        <w:rPr>
          <w:lang w:val="en-GB"/>
        </w:rPr>
        <w:t xml:space="preserve"> </w:t>
      </w:r>
      <w:r w:rsidR="00DE1ED8" w:rsidRPr="00946435">
        <w:rPr>
          <w:lang w:val="en-GB"/>
        </w:rPr>
        <w:t xml:space="preserve">ERP system was the most </w:t>
      </w:r>
      <w:r w:rsidRPr="00946435">
        <w:rPr>
          <w:lang w:val="en-GB"/>
        </w:rPr>
        <w:t>suit</w:t>
      </w:r>
      <w:r w:rsidR="00DE1ED8" w:rsidRPr="00946435">
        <w:rPr>
          <w:lang w:val="en-GB"/>
        </w:rPr>
        <w:t>able choic</w:t>
      </w:r>
      <w:r w:rsidRPr="00946435">
        <w:rPr>
          <w:lang w:val="en-GB"/>
        </w:rPr>
        <w:t>e</w:t>
      </w:r>
      <w:r w:rsidR="00DE1ED8" w:rsidRPr="00946435">
        <w:rPr>
          <w:lang w:val="en-GB"/>
        </w:rPr>
        <w:t xml:space="preserve"> for</w:t>
      </w:r>
      <w:r w:rsidRPr="00946435">
        <w:rPr>
          <w:lang w:val="en-GB"/>
        </w:rPr>
        <w:t xml:space="preserve"> the company’s needs. </w:t>
      </w:r>
    </w:p>
    <w:p w14:paraId="4265293A" w14:textId="11780764" w:rsidR="009424DA" w:rsidRPr="0078134E" w:rsidRDefault="009424DA" w:rsidP="009424DA">
      <w:pPr>
        <w:pStyle w:val="BodyTextMain"/>
        <w:rPr>
          <w:sz w:val="14"/>
          <w:szCs w:val="14"/>
          <w:lang w:val="en-GB"/>
        </w:rPr>
      </w:pPr>
    </w:p>
    <w:p w14:paraId="44C0339C" w14:textId="77777777" w:rsidR="009424DA" w:rsidRPr="0078134E" w:rsidRDefault="009424DA" w:rsidP="009424DA">
      <w:pPr>
        <w:pStyle w:val="BodyTextMain"/>
        <w:rPr>
          <w:sz w:val="14"/>
          <w:szCs w:val="14"/>
          <w:lang w:val="en-GB"/>
        </w:rPr>
      </w:pPr>
    </w:p>
    <w:p w14:paraId="3DEB6CB0" w14:textId="77777777" w:rsidR="009424DA" w:rsidRPr="00946435" w:rsidRDefault="009424DA" w:rsidP="009424DA">
      <w:pPr>
        <w:pStyle w:val="Casehead2"/>
        <w:rPr>
          <w:lang w:val="en-GB"/>
        </w:rPr>
      </w:pPr>
      <w:r w:rsidRPr="00946435">
        <w:rPr>
          <w:lang w:val="en-GB"/>
        </w:rPr>
        <w:t>Marketing Data</w:t>
      </w:r>
    </w:p>
    <w:p w14:paraId="0BB574E2" w14:textId="77777777" w:rsidR="009424DA" w:rsidRPr="0078134E" w:rsidRDefault="009424DA" w:rsidP="009424DA">
      <w:pPr>
        <w:pStyle w:val="BodyTextMain"/>
        <w:rPr>
          <w:sz w:val="14"/>
          <w:szCs w:val="14"/>
          <w:lang w:val="en-GB"/>
        </w:rPr>
      </w:pPr>
    </w:p>
    <w:p w14:paraId="4B51A684" w14:textId="47FC5F26" w:rsidR="009424DA" w:rsidRPr="0078134E" w:rsidRDefault="00321BBA" w:rsidP="009424DA">
      <w:pPr>
        <w:pStyle w:val="BodyTextMain"/>
        <w:rPr>
          <w:spacing w:val="-4"/>
          <w:kern w:val="22"/>
          <w:lang w:val="en-GB"/>
        </w:rPr>
      </w:pPr>
      <w:r w:rsidRPr="0078134E">
        <w:rPr>
          <w:spacing w:val="-4"/>
          <w:kern w:val="22"/>
          <w:lang w:val="en-GB"/>
        </w:rPr>
        <w:t>Wellington Brewery collected m</w:t>
      </w:r>
      <w:r w:rsidR="009424DA" w:rsidRPr="0078134E">
        <w:rPr>
          <w:spacing w:val="-4"/>
          <w:kern w:val="22"/>
          <w:lang w:val="en-GB"/>
        </w:rPr>
        <w:t xml:space="preserve">arketing data through </w:t>
      </w:r>
      <w:r w:rsidR="00CA2DA2" w:rsidRPr="0078134E">
        <w:rPr>
          <w:spacing w:val="-4"/>
          <w:kern w:val="22"/>
          <w:lang w:val="en-GB"/>
        </w:rPr>
        <w:t>its own</w:t>
      </w:r>
      <w:r w:rsidR="009424DA" w:rsidRPr="0078134E">
        <w:rPr>
          <w:spacing w:val="-4"/>
          <w:kern w:val="22"/>
          <w:lang w:val="en-GB"/>
        </w:rPr>
        <w:t xml:space="preserve"> monthly newsletter</w:t>
      </w:r>
      <w:r w:rsidR="00CA2DA2" w:rsidRPr="0078134E">
        <w:rPr>
          <w:spacing w:val="-4"/>
          <w:kern w:val="22"/>
          <w:lang w:val="en-GB"/>
        </w:rPr>
        <w:t xml:space="preserve"> to customers</w:t>
      </w:r>
      <w:r w:rsidR="009424DA" w:rsidRPr="0078134E">
        <w:rPr>
          <w:spacing w:val="-4"/>
          <w:kern w:val="22"/>
          <w:lang w:val="en-GB"/>
        </w:rPr>
        <w:t>, analytic</w:t>
      </w:r>
      <w:r w:rsidR="00DE1ED8" w:rsidRPr="0078134E">
        <w:rPr>
          <w:spacing w:val="-4"/>
          <w:kern w:val="22"/>
          <w:lang w:val="en-GB"/>
        </w:rPr>
        <w:t xml:space="preserve"> data </w:t>
      </w:r>
      <w:r w:rsidR="00CA2DA2" w:rsidRPr="0078134E">
        <w:rPr>
          <w:spacing w:val="-4"/>
          <w:kern w:val="22"/>
          <w:lang w:val="en-GB"/>
        </w:rPr>
        <w:t>provided by</w:t>
      </w:r>
      <w:r w:rsidR="00DE1ED8" w:rsidRPr="0078134E">
        <w:rPr>
          <w:spacing w:val="-4"/>
          <w:kern w:val="22"/>
          <w:lang w:val="en-GB"/>
        </w:rPr>
        <w:t xml:space="preserve"> the Shopify platform</w:t>
      </w:r>
      <w:r w:rsidR="009424DA" w:rsidRPr="0078134E">
        <w:rPr>
          <w:spacing w:val="-4"/>
          <w:kern w:val="22"/>
          <w:lang w:val="en-GB"/>
        </w:rPr>
        <w:t xml:space="preserve">, and Google Analytics. </w:t>
      </w:r>
      <w:r w:rsidR="00DE1ED8" w:rsidRPr="0078134E">
        <w:rPr>
          <w:spacing w:val="-4"/>
          <w:kern w:val="22"/>
          <w:lang w:val="en-GB"/>
        </w:rPr>
        <w:t>T</w:t>
      </w:r>
      <w:r w:rsidR="009424DA" w:rsidRPr="0078134E">
        <w:rPr>
          <w:spacing w:val="-4"/>
          <w:kern w:val="22"/>
          <w:lang w:val="en-GB"/>
        </w:rPr>
        <w:t xml:space="preserve">he </w:t>
      </w:r>
      <w:r w:rsidR="00DE1ED8" w:rsidRPr="0078134E">
        <w:rPr>
          <w:spacing w:val="-4"/>
          <w:kern w:val="22"/>
          <w:lang w:val="en-GB"/>
        </w:rPr>
        <w:t xml:space="preserve">company’s </w:t>
      </w:r>
      <w:r w:rsidR="009424DA" w:rsidRPr="0078134E">
        <w:rPr>
          <w:spacing w:val="-4"/>
          <w:kern w:val="22"/>
          <w:lang w:val="en-GB"/>
        </w:rPr>
        <w:t xml:space="preserve">marketing department </w:t>
      </w:r>
      <w:r w:rsidR="00DE1ED8" w:rsidRPr="0078134E">
        <w:rPr>
          <w:spacing w:val="-4"/>
          <w:kern w:val="22"/>
          <w:lang w:val="en-GB"/>
        </w:rPr>
        <w:t>also remained abreast of new trends by monitoring</w:t>
      </w:r>
      <w:r w:rsidR="009424DA" w:rsidRPr="0078134E">
        <w:rPr>
          <w:spacing w:val="-4"/>
          <w:kern w:val="22"/>
          <w:lang w:val="en-GB"/>
        </w:rPr>
        <w:t xml:space="preserve"> secondary research data</w:t>
      </w:r>
      <w:r w:rsidR="00DE1ED8" w:rsidRPr="0078134E">
        <w:rPr>
          <w:spacing w:val="-4"/>
          <w:kern w:val="22"/>
          <w:lang w:val="en-GB"/>
        </w:rPr>
        <w:t xml:space="preserve"> such as</w:t>
      </w:r>
      <w:r w:rsidR="009424DA" w:rsidRPr="0078134E">
        <w:rPr>
          <w:spacing w:val="-4"/>
          <w:kern w:val="22"/>
          <w:lang w:val="en-GB"/>
        </w:rPr>
        <w:t xml:space="preserve"> Beer Canada reports, US market reports, international trends, and</w:t>
      </w:r>
      <w:r w:rsidR="00DE1ED8" w:rsidRPr="0078134E">
        <w:rPr>
          <w:spacing w:val="-4"/>
          <w:kern w:val="22"/>
          <w:lang w:val="en-GB"/>
        </w:rPr>
        <w:t xml:space="preserve"> relevant</w:t>
      </w:r>
      <w:r w:rsidR="009424DA" w:rsidRPr="0078134E">
        <w:rPr>
          <w:spacing w:val="-4"/>
          <w:kern w:val="22"/>
          <w:lang w:val="en-GB"/>
        </w:rPr>
        <w:t xml:space="preserve"> social media </w:t>
      </w:r>
      <w:r w:rsidR="00DE1ED8" w:rsidRPr="0078134E">
        <w:rPr>
          <w:spacing w:val="-4"/>
          <w:kern w:val="22"/>
          <w:lang w:val="en-GB"/>
        </w:rPr>
        <w:t>activity</w:t>
      </w:r>
      <w:r w:rsidR="009424DA" w:rsidRPr="0078134E">
        <w:rPr>
          <w:spacing w:val="-4"/>
          <w:kern w:val="22"/>
          <w:lang w:val="en-GB"/>
        </w:rPr>
        <w:t>. The objective was to continue expand</w:t>
      </w:r>
      <w:r w:rsidR="00DE1ED8" w:rsidRPr="0078134E">
        <w:rPr>
          <w:spacing w:val="-4"/>
          <w:kern w:val="22"/>
          <w:lang w:val="en-GB"/>
        </w:rPr>
        <w:t>ing</w:t>
      </w:r>
      <w:r w:rsidR="009424DA" w:rsidRPr="0078134E">
        <w:rPr>
          <w:spacing w:val="-4"/>
          <w:kern w:val="22"/>
          <w:lang w:val="en-GB"/>
        </w:rPr>
        <w:t xml:space="preserve"> strategically across the province and build</w:t>
      </w:r>
      <w:r w:rsidR="00DE1ED8" w:rsidRPr="0078134E">
        <w:rPr>
          <w:spacing w:val="-4"/>
          <w:kern w:val="22"/>
          <w:lang w:val="en-GB"/>
        </w:rPr>
        <w:t xml:space="preserve"> the</w:t>
      </w:r>
      <w:r w:rsidR="009424DA" w:rsidRPr="0078134E">
        <w:rPr>
          <w:spacing w:val="-4"/>
          <w:kern w:val="22"/>
          <w:lang w:val="en-GB"/>
        </w:rPr>
        <w:t xml:space="preserve"> brand</w:t>
      </w:r>
      <w:r w:rsidR="00DE1ED8" w:rsidRPr="0078134E">
        <w:rPr>
          <w:spacing w:val="-4"/>
          <w:kern w:val="22"/>
          <w:lang w:val="en-GB"/>
        </w:rPr>
        <w:t>’s</w:t>
      </w:r>
      <w:r w:rsidR="009424DA" w:rsidRPr="0078134E">
        <w:rPr>
          <w:spacing w:val="-4"/>
          <w:kern w:val="22"/>
          <w:lang w:val="en-GB"/>
        </w:rPr>
        <w:t xml:space="preserve"> reputation. Monthly campaign budgets were determined on an ad hoc basis, depending on </w:t>
      </w:r>
      <w:r w:rsidR="00DE1ED8" w:rsidRPr="0078134E">
        <w:rPr>
          <w:spacing w:val="-4"/>
          <w:kern w:val="22"/>
          <w:lang w:val="en-GB"/>
        </w:rPr>
        <w:t>current</w:t>
      </w:r>
      <w:r w:rsidR="009424DA" w:rsidRPr="0078134E">
        <w:rPr>
          <w:spacing w:val="-4"/>
          <w:kern w:val="22"/>
          <w:lang w:val="en-GB"/>
        </w:rPr>
        <w:t xml:space="preserve"> needs. Davies </w:t>
      </w:r>
      <w:r w:rsidR="00DE1ED8" w:rsidRPr="0078134E">
        <w:rPr>
          <w:spacing w:val="-4"/>
          <w:kern w:val="22"/>
          <w:lang w:val="en-GB"/>
        </w:rPr>
        <w:t>hoped</w:t>
      </w:r>
      <w:r w:rsidR="009424DA" w:rsidRPr="0078134E">
        <w:rPr>
          <w:spacing w:val="-4"/>
          <w:kern w:val="22"/>
          <w:lang w:val="en-GB"/>
        </w:rPr>
        <w:t xml:space="preserve"> to</w:t>
      </w:r>
      <w:r w:rsidR="00DE1ED8" w:rsidRPr="0078134E">
        <w:rPr>
          <w:spacing w:val="-4"/>
          <w:kern w:val="22"/>
          <w:lang w:val="en-GB"/>
        </w:rPr>
        <w:t xml:space="preserve"> find</w:t>
      </w:r>
      <w:r w:rsidR="009424DA" w:rsidRPr="0078134E">
        <w:rPr>
          <w:spacing w:val="-4"/>
          <w:kern w:val="22"/>
          <w:lang w:val="en-GB"/>
        </w:rPr>
        <w:t xml:space="preserve"> creative ways to communicate Wellington Brewery’s history and value proposition across the province, without sacrificing </w:t>
      </w:r>
      <w:r w:rsidR="00DE1ED8" w:rsidRPr="0078134E">
        <w:rPr>
          <w:spacing w:val="-4"/>
          <w:kern w:val="22"/>
          <w:lang w:val="en-GB"/>
        </w:rPr>
        <w:t>its</w:t>
      </w:r>
      <w:r w:rsidR="009424DA" w:rsidRPr="0078134E">
        <w:rPr>
          <w:spacing w:val="-4"/>
          <w:kern w:val="22"/>
          <w:lang w:val="en-GB"/>
        </w:rPr>
        <w:t xml:space="preserve"> strong local presence. </w:t>
      </w:r>
    </w:p>
    <w:p w14:paraId="166DFA6F" w14:textId="3F0B3E29" w:rsidR="009424DA" w:rsidRPr="0078134E" w:rsidRDefault="009424DA" w:rsidP="009424DA">
      <w:pPr>
        <w:pStyle w:val="BodyTextMain"/>
        <w:rPr>
          <w:sz w:val="14"/>
          <w:szCs w:val="14"/>
          <w:lang w:val="en-GB"/>
        </w:rPr>
      </w:pPr>
    </w:p>
    <w:p w14:paraId="2D5C6F75" w14:textId="77777777" w:rsidR="009424DA" w:rsidRPr="0078134E" w:rsidRDefault="009424DA" w:rsidP="009424DA">
      <w:pPr>
        <w:pStyle w:val="BodyTextMain"/>
        <w:rPr>
          <w:sz w:val="14"/>
          <w:szCs w:val="14"/>
          <w:lang w:val="en-GB"/>
        </w:rPr>
      </w:pPr>
    </w:p>
    <w:p w14:paraId="142D3E0F" w14:textId="77777777" w:rsidR="009424DA" w:rsidRPr="00946435" w:rsidRDefault="009424DA" w:rsidP="009424DA">
      <w:pPr>
        <w:pStyle w:val="Casehead1"/>
        <w:rPr>
          <w:lang w:val="en-GB"/>
        </w:rPr>
      </w:pPr>
      <w:r w:rsidRPr="00946435">
        <w:rPr>
          <w:lang w:val="en-GB"/>
        </w:rPr>
        <w:t>CONCLUSION</w:t>
      </w:r>
    </w:p>
    <w:p w14:paraId="26B26EBD" w14:textId="77777777" w:rsidR="009424DA" w:rsidRPr="0078134E" w:rsidRDefault="009424DA" w:rsidP="009424DA">
      <w:pPr>
        <w:pStyle w:val="BodyTextMain"/>
        <w:rPr>
          <w:sz w:val="14"/>
          <w:szCs w:val="14"/>
          <w:lang w:val="en-GB"/>
        </w:rPr>
      </w:pPr>
    </w:p>
    <w:p w14:paraId="264EFF5C" w14:textId="350175F8" w:rsidR="009424DA" w:rsidRPr="00946435" w:rsidRDefault="009424DA" w:rsidP="009424DA">
      <w:pPr>
        <w:pStyle w:val="BodyTextMain"/>
        <w:rPr>
          <w:lang w:val="en-GB"/>
        </w:rPr>
      </w:pPr>
      <w:r w:rsidRPr="00946435">
        <w:rPr>
          <w:lang w:val="en-GB"/>
        </w:rPr>
        <w:t xml:space="preserve">Wellington Brewery’s business strategy was fluid. The company was proactive in assessing risk and </w:t>
      </w:r>
      <w:r w:rsidR="004D055C" w:rsidRPr="00946435">
        <w:rPr>
          <w:lang w:val="en-GB"/>
        </w:rPr>
        <w:t>in finding ways</w:t>
      </w:r>
      <w:r w:rsidRPr="00946435">
        <w:rPr>
          <w:lang w:val="en-GB"/>
        </w:rPr>
        <w:t xml:space="preserve"> to improve cash flow. </w:t>
      </w:r>
      <w:r w:rsidR="00FC16BD" w:rsidRPr="00946435">
        <w:rPr>
          <w:lang w:val="en-GB"/>
        </w:rPr>
        <w:t>T</w:t>
      </w:r>
      <w:r w:rsidR="00CA2DA2" w:rsidRPr="00946435">
        <w:rPr>
          <w:lang w:val="en-GB"/>
        </w:rPr>
        <w:t xml:space="preserve">he major recent expansion had been successful, but it had required Wellington Brewery to incur considerable costs. </w:t>
      </w:r>
      <w:r w:rsidRPr="00946435">
        <w:rPr>
          <w:lang w:val="en-GB"/>
        </w:rPr>
        <w:t xml:space="preserve">The </w:t>
      </w:r>
      <w:r w:rsidR="004D055C" w:rsidRPr="00946435">
        <w:rPr>
          <w:lang w:val="en-GB"/>
        </w:rPr>
        <w:t>h</w:t>
      </w:r>
      <w:r w:rsidRPr="00946435">
        <w:rPr>
          <w:lang w:val="en-GB"/>
        </w:rPr>
        <w:t>ig</w:t>
      </w:r>
      <w:r w:rsidR="004D055C" w:rsidRPr="00946435">
        <w:rPr>
          <w:lang w:val="en-GB"/>
        </w:rPr>
        <w:t>h</w:t>
      </w:r>
      <w:r w:rsidRPr="00946435">
        <w:rPr>
          <w:lang w:val="en-GB"/>
        </w:rPr>
        <w:t>est priority</w:t>
      </w:r>
      <w:r w:rsidR="00CA2DA2" w:rsidRPr="00946435">
        <w:rPr>
          <w:lang w:val="en-GB"/>
        </w:rPr>
        <w:t xml:space="preserve"> at this point</w:t>
      </w:r>
      <w:r w:rsidRPr="00946435">
        <w:rPr>
          <w:lang w:val="en-GB"/>
        </w:rPr>
        <w:t xml:space="preserve"> was to rec</w:t>
      </w:r>
      <w:r w:rsidR="00FC16BD" w:rsidRPr="00946435">
        <w:rPr>
          <w:lang w:val="en-GB"/>
        </w:rPr>
        <w:t>uperate those</w:t>
      </w:r>
      <w:r w:rsidRPr="00946435">
        <w:rPr>
          <w:lang w:val="en-GB"/>
        </w:rPr>
        <w:t xml:space="preserve"> investment </w:t>
      </w:r>
      <w:r w:rsidR="00FC16BD" w:rsidRPr="00946435">
        <w:rPr>
          <w:lang w:val="en-GB"/>
        </w:rPr>
        <w:t>expenses</w:t>
      </w:r>
      <w:r w:rsidRPr="00946435">
        <w:rPr>
          <w:lang w:val="en-GB"/>
        </w:rPr>
        <w:t xml:space="preserve">. </w:t>
      </w:r>
      <w:r w:rsidR="00FC16BD" w:rsidRPr="00946435">
        <w:rPr>
          <w:lang w:val="en-GB"/>
        </w:rPr>
        <w:t>Davies was prepared to u</w:t>
      </w:r>
      <w:r w:rsidR="004D055C" w:rsidRPr="00946435">
        <w:rPr>
          <w:lang w:val="en-GB"/>
        </w:rPr>
        <w:t>s</w:t>
      </w:r>
      <w:r w:rsidR="00FC16BD" w:rsidRPr="00946435">
        <w:rPr>
          <w:lang w:val="en-GB"/>
        </w:rPr>
        <w:t>e</w:t>
      </w:r>
      <w:r w:rsidRPr="00946435">
        <w:rPr>
          <w:lang w:val="en-GB"/>
        </w:rPr>
        <w:t xml:space="preserve"> all </w:t>
      </w:r>
      <w:r w:rsidR="004D055C" w:rsidRPr="00946435">
        <w:rPr>
          <w:lang w:val="en-GB"/>
        </w:rPr>
        <w:t>available</w:t>
      </w:r>
      <w:r w:rsidRPr="00946435">
        <w:rPr>
          <w:lang w:val="en-GB"/>
        </w:rPr>
        <w:t xml:space="preserve"> information</w:t>
      </w:r>
      <w:r w:rsidR="004D055C" w:rsidRPr="00946435">
        <w:rPr>
          <w:lang w:val="en-GB"/>
        </w:rPr>
        <w:t xml:space="preserve"> </w:t>
      </w:r>
      <w:r w:rsidRPr="00946435">
        <w:rPr>
          <w:lang w:val="en-GB"/>
        </w:rPr>
        <w:t>to de</w:t>
      </w:r>
      <w:r w:rsidR="00AA72EA" w:rsidRPr="00946435">
        <w:rPr>
          <w:lang w:val="en-GB"/>
        </w:rPr>
        <w:t>v</w:t>
      </w:r>
      <w:r w:rsidRPr="00946435">
        <w:rPr>
          <w:lang w:val="en-GB"/>
        </w:rPr>
        <w:t>i</w:t>
      </w:r>
      <w:r w:rsidR="002C01F9">
        <w:rPr>
          <w:lang w:val="en-GB"/>
        </w:rPr>
        <w:t>s</w:t>
      </w:r>
      <w:r w:rsidRPr="00946435">
        <w:rPr>
          <w:lang w:val="en-GB"/>
        </w:rPr>
        <w:t>e</w:t>
      </w:r>
      <w:r w:rsidR="00AA72EA" w:rsidRPr="00946435">
        <w:rPr>
          <w:lang w:val="en-GB"/>
        </w:rPr>
        <w:t xml:space="preserve"> a</w:t>
      </w:r>
      <w:r w:rsidRPr="00946435">
        <w:rPr>
          <w:lang w:val="en-GB"/>
        </w:rPr>
        <w:t xml:space="preserve"> strategic </w:t>
      </w:r>
      <w:r w:rsidR="00AA72EA" w:rsidRPr="00946435">
        <w:rPr>
          <w:lang w:val="en-GB"/>
        </w:rPr>
        <w:t>path</w:t>
      </w:r>
      <w:r w:rsidR="00FC16BD" w:rsidRPr="00946435">
        <w:rPr>
          <w:lang w:val="en-GB"/>
        </w:rPr>
        <w:t xml:space="preserve"> forward</w:t>
      </w:r>
      <w:r w:rsidR="00AA72EA" w:rsidRPr="00946435">
        <w:rPr>
          <w:lang w:val="en-GB"/>
        </w:rPr>
        <w:t xml:space="preserve"> </w:t>
      </w:r>
      <w:r w:rsidRPr="00946435">
        <w:rPr>
          <w:lang w:val="en-GB"/>
        </w:rPr>
        <w:t>f</w:t>
      </w:r>
      <w:r w:rsidR="00AA72EA" w:rsidRPr="00946435">
        <w:rPr>
          <w:lang w:val="en-GB"/>
        </w:rPr>
        <w:t>or</w:t>
      </w:r>
      <w:r w:rsidRPr="00946435">
        <w:rPr>
          <w:lang w:val="en-GB"/>
        </w:rPr>
        <w:t xml:space="preserve"> </w:t>
      </w:r>
      <w:r w:rsidR="00FC16BD" w:rsidRPr="00946435">
        <w:rPr>
          <w:lang w:val="en-GB"/>
        </w:rPr>
        <w:t>his</w:t>
      </w:r>
      <w:r w:rsidRPr="00946435">
        <w:rPr>
          <w:lang w:val="en-GB"/>
        </w:rPr>
        <w:t xml:space="preserve"> company. </w:t>
      </w:r>
    </w:p>
    <w:p w14:paraId="18812C27" w14:textId="51607F3E" w:rsidR="002406E6" w:rsidRPr="00946435" w:rsidRDefault="00D076E5" w:rsidP="00D076E5">
      <w:pPr>
        <w:pStyle w:val="BodyTextMain"/>
        <w:rPr>
          <w:rStyle w:val="normaltextrun"/>
          <w:rFonts w:ascii="Arial" w:hAnsi="Arial" w:cs="Arial"/>
          <w:b/>
          <w:caps/>
          <w:lang w:val="en-GB"/>
        </w:rPr>
      </w:pPr>
      <w:r w:rsidRPr="00D076E5">
        <w:rPr>
          <w:noProof/>
          <w:lang w:val="en-GB"/>
        </w:rPr>
        <mc:AlternateContent>
          <mc:Choice Requires="wps">
            <w:drawing>
              <wp:anchor distT="45720" distB="45720" distL="114300" distR="114300" simplePos="0" relativeHeight="251659264" behindDoc="0" locked="0" layoutInCell="1" allowOverlap="1" wp14:anchorId="1BA30192" wp14:editId="1FC8F18F">
                <wp:simplePos x="0" y="0"/>
                <wp:positionH relativeFrom="column">
                  <wp:posOffset>152400</wp:posOffset>
                </wp:positionH>
                <wp:positionV relativeFrom="paragraph">
                  <wp:posOffset>227965</wp:posOffset>
                </wp:positionV>
                <wp:extent cx="5734050" cy="1404620"/>
                <wp:effectExtent l="0" t="0" r="19050" b="22860"/>
                <wp:wrapSquare wrapText="bothSides"/>
                <wp:docPr id="217" name="Text Box 2" descr="For the development of this case, the authors gratefully acknowledge the support of the Bob &amp; Raye Briscoe Centre in Business Ownership Studies, John Molson School of Business, Concordia University. The authors’ work was also supported by a Social Sciences and Humanities Research Council of Canada Institutional Grant at the University of Guelph."/>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0A0B239" w14:textId="6FBD5A48" w:rsidR="00D076E5" w:rsidRPr="00D076E5" w:rsidRDefault="00D076E5" w:rsidP="00D076E5">
                            <w:pPr>
                              <w:jc w:val="both"/>
                              <w:rPr>
                                <w:rFonts w:ascii="Arial" w:hAnsi="Arial" w:cs="Arial"/>
                                <w:sz w:val="17"/>
                                <w:szCs w:val="17"/>
                              </w:rPr>
                            </w:pPr>
                            <w:r w:rsidRPr="00D076E5">
                              <w:rPr>
                                <w:rFonts w:ascii="Arial" w:hAnsi="Arial" w:cs="Arial"/>
                                <w:spacing w:val="-4"/>
                                <w:sz w:val="17"/>
                                <w:szCs w:val="17"/>
                                <w:lang w:val="en-GB"/>
                              </w:rPr>
                              <w:t xml:space="preserve">For the development of this case, the authors gratefully acknowledge the support of the Bob &amp; Raye Briscoe Centre in Business Ownership Studies, John Molson School of Business, Concordia University. </w:t>
                            </w:r>
                            <w:r w:rsidRPr="00D076E5">
                              <w:rPr>
                                <w:rFonts w:ascii="Arial" w:hAnsi="Arial" w:cs="Arial"/>
                                <w:spacing w:val="-4"/>
                                <w:sz w:val="17"/>
                                <w:szCs w:val="17"/>
                                <w:lang w:val="en-CA"/>
                              </w:rPr>
                              <w:t>The authors’ work was also supported by a Social Sciences and Humanities Research Council of Canada Institutional Grant at the University of Guelph.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30192" id="_x0000_t202" coordsize="21600,21600" o:spt="202" path="m,l,21600r21600,l21600,xe">
                <v:stroke joinstyle="miter"/>
                <v:path gradientshapeok="t" o:connecttype="rect"/>
              </v:shapetype>
              <v:shape id="Text Box 2" o:spid="_x0000_s1026" type="#_x0000_t202" alt="For the development of this case, the authors gratefully acknowledge the support of the Bob &amp; Raye Briscoe Centre in Business Ownership Studies, John Molson School of Business, Concordia University. The authors’ work was also supported by a Social Sciences and Humanities Research Council of Canada Institutional Grant at the University of Guelph." style="position:absolute;left:0;text-align:left;margin-left:12pt;margin-top:17.95pt;width:45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">
                <v:textbox style="mso-fit-shape-to-text:t">
                  <w:txbxContent>
                    <w:p w14:paraId="10A0B239" w14:textId="6FBD5A48" w:rsidR="00D076E5" w:rsidRPr="00D076E5" w:rsidRDefault="00D076E5" w:rsidP="00D076E5">
                      <w:pPr>
                        <w:jc w:val="both"/>
                        <w:rPr>
                          <w:rFonts w:ascii="Arial" w:hAnsi="Arial" w:cs="Arial"/>
                          <w:sz w:val="17"/>
                          <w:szCs w:val="17"/>
                        </w:rPr>
                      </w:pPr>
                      <w:r w:rsidRPr="00D076E5">
                        <w:rPr>
                          <w:rFonts w:ascii="Arial" w:hAnsi="Arial" w:cs="Arial"/>
                          <w:spacing w:val="-4"/>
                          <w:sz w:val="17"/>
                          <w:szCs w:val="17"/>
                          <w:lang w:val="en-GB"/>
                        </w:rPr>
                        <w:t xml:space="preserve">For the development of this case, the authors gratefully acknowledge the support of the Bob &amp; Raye Briscoe Centre in Business Ownership Studies, John Molson School of Business, Concordia University. </w:t>
                      </w:r>
                      <w:r w:rsidRPr="00D076E5">
                        <w:rPr>
                          <w:rFonts w:ascii="Arial" w:hAnsi="Arial" w:cs="Arial"/>
                          <w:spacing w:val="-4"/>
                          <w:sz w:val="17"/>
                          <w:szCs w:val="17"/>
                          <w:lang w:val="en-CA"/>
                        </w:rPr>
                        <w:t>The authors’ work was also supported by a Social Sciences and Humanities Research Council of Canada Institutional Grant at the University of Guelph.</w:t>
                      </w:r>
                    </w:p>
                  </w:txbxContent>
                </v:textbox>
                <w10:wrap type="square"/>
              </v:shape>
            </w:pict>
          </mc:Fallback>
        </mc:AlternateContent>
      </w:r>
      <w:r w:rsidR="002406E6" w:rsidRPr="00946435">
        <w:rPr>
          <w:rStyle w:val="normaltextrun"/>
          <w:lang w:val="en-GB"/>
        </w:rPr>
        <w:br w:type="page"/>
      </w:r>
    </w:p>
    <w:p w14:paraId="12981F32" w14:textId="07385E2A" w:rsidR="007224C6" w:rsidRPr="00946435" w:rsidRDefault="007224C6" w:rsidP="007224C6">
      <w:pPr>
        <w:pStyle w:val="ExhibitHeading"/>
        <w:rPr>
          <w:rStyle w:val="normaltextrun"/>
          <w:lang w:val="en-GB"/>
        </w:rPr>
      </w:pPr>
      <w:r w:rsidRPr="00946435">
        <w:rPr>
          <w:rStyle w:val="normaltextrun"/>
          <w:lang w:val="en-GB"/>
        </w:rPr>
        <w:lastRenderedPageBreak/>
        <w:t>EXHIBIT 1: DOING BUSInESS in CANADA</w:t>
      </w:r>
    </w:p>
    <w:p w14:paraId="14913A10" w14:textId="77777777" w:rsidR="00511A68" w:rsidRPr="00946435" w:rsidRDefault="00511A68" w:rsidP="007224C6">
      <w:pPr>
        <w:pStyle w:val="ExhibitHeading"/>
        <w:rPr>
          <w:rStyle w:val="normaltextrun"/>
          <w:lang w:val="en-GB"/>
        </w:rPr>
      </w:pPr>
    </w:p>
    <w:p w14:paraId="509A4797" w14:textId="3AD3EBFB"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Canada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a North American country that </w:t>
      </w:r>
      <w:r w:rsidR="00356320" w:rsidRPr="00946435">
        <w:rPr>
          <w:rFonts w:ascii="Arial" w:hAnsi="Arial" w:cs="Arial"/>
          <w:sz w:val="20"/>
          <w:szCs w:val="20"/>
          <w:lang w:val="en-GB"/>
        </w:rPr>
        <w:t>share</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its southern border with the United States. The country’s demographics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diverse. In 2019, it had a population of over 37 million people, of which almost 90 per cent were either immigrants or descendants of immigrants. Canada’s population </w:t>
      </w:r>
      <w:r w:rsidR="00356320" w:rsidRPr="00946435">
        <w:rPr>
          <w:rFonts w:ascii="Arial" w:hAnsi="Arial" w:cs="Arial"/>
          <w:sz w:val="20"/>
          <w:szCs w:val="20"/>
          <w:lang w:val="en-GB"/>
        </w:rPr>
        <w:t>include</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over 100 indigenous tribes comprising approximately 250,000 indigenous Canadians. Canada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democratic country with a parliamentary system in a constitutional monarchy. As </w:t>
      </w:r>
      <w:r w:rsidR="0003706E">
        <w:rPr>
          <w:rFonts w:ascii="Arial" w:hAnsi="Arial" w:cs="Arial"/>
          <w:sz w:val="20"/>
          <w:szCs w:val="20"/>
          <w:lang w:val="en-GB"/>
        </w:rPr>
        <w:t xml:space="preserve">Canada </w:t>
      </w:r>
      <w:r w:rsidR="00356320">
        <w:rPr>
          <w:rFonts w:ascii="Arial" w:hAnsi="Arial" w:cs="Arial"/>
          <w:sz w:val="20"/>
          <w:szCs w:val="20"/>
          <w:lang w:val="en-GB"/>
        </w:rPr>
        <w:t>wa</w:t>
      </w:r>
      <w:r w:rsidR="0003706E">
        <w:rPr>
          <w:rFonts w:ascii="Arial" w:hAnsi="Arial" w:cs="Arial"/>
          <w:sz w:val="20"/>
          <w:szCs w:val="20"/>
          <w:lang w:val="en-GB"/>
        </w:rPr>
        <w:t xml:space="preserve">s </w:t>
      </w:r>
      <w:r w:rsidRPr="00946435">
        <w:rPr>
          <w:rFonts w:ascii="Arial" w:hAnsi="Arial" w:cs="Arial"/>
          <w:sz w:val="20"/>
          <w:szCs w:val="20"/>
          <w:lang w:val="en-GB"/>
        </w:rPr>
        <w:t xml:space="preserve">a member of the British Commonwealth, </w:t>
      </w:r>
      <w:r w:rsidR="0003706E">
        <w:rPr>
          <w:rFonts w:ascii="Arial" w:hAnsi="Arial" w:cs="Arial"/>
          <w:sz w:val="20"/>
          <w:szCs w:val="20"/>
          <w:lang w:val="en-GB"/>
        </w:rPr>
        <w:t>its</w:t>
      </w:r>
      <w:r w:rsidR="0003706E" w:rsidRPr="00946435">
        <w:rPr>
          <w:rFonts w:ascii="Arial" w:hAnsi="Arial" w:cs="Arial"/>
          <w:sz w:val="20"/>
          <w:szCs w:val="20"/>
          <w:lang w:val="en-GB"/>
        </w:rPr>
        <w:t xml:space="preserve"> </w:t>
      </w:r>
      <w:r w:rsidRPr="00946435">
        <w:rPr>
          <w:rFonts w:ascii="Arial" w:hAnsi="Arial" w:cs="Arial"/>
          <w:sz w:val="20"/>
          <w:szCs w:val="20"/>
          <w:lang w:val="en-GB"/>
        </w:rPr>
        <w:t xml:space="preserve">reigning monarch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Queen Elizabeth II, although her role </w:t>
      </w:r>
      <w:r w:rsidR="00356320">
        <w:rPr>
          <w:rFonts w:ascii="Arial" w:hAnsi="Arial" w:cs="Arial"/>
          <w:sz w:val="20"/>
          <w:szCs w:val="20"/>
          <w:lang w:val="en-GB"/>
        </w:rPr>
        <w:t>in terms of Canada 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limited. Canada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organized as a federation, with 10 provinces and three territories, and three government levels: federal, provincial or territorial, and municipal. Canada </w:t>
      </w:r>
      <w:r w:rsidR="00356320" w:rsidRPr="00946435">
        <w:rPr>
          <w:rFonts w:ascii="Arial" w:hAnsi="Arial" w:cs="Arial"/>
          <w:sz w:val="20"/>
          <w:szCs w:val="20"/>
          <w:lang w:val="en-GB"/>
        </w:rPr>
        <w:t>ha</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maintained strong political stability and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considered one of the safest countries in the world. </w:t>
      </w:r>
    </w:p>
    <w:p w14:paraId="49B93DD4" w14:textId="77777777" w:rsidR="002406E6" w:rsidRPr="00946435" w:rsidRDefault="002406E6" w:rsidP="002406E6">
      <w:pPr>
        <w:pStyle w:val="BodyTextMain"/>
        <w:rPr>
          <w:rFonts w:ascii="Arial" w:hAnsi="Arial" w:cs="Arial"/>
          <w:sz w:val="20"/>
          <w:szCs w:val="20"/>
          <w:lang w:val="en-GB"/>
        </w:rPr>
      </w:pPr>
    </w:p>
    <w:p w14:paraId="6285BCEA" w14:textId="0EE78234" w:rsidR="002406E6" w:rsidRPr="00EE1DDF" w:rsidRDefault="002406E6" w:rsidP="002406E6">
      <w:pPr>
        <w:pStyle w:val="BodyTextMain"/>
        <w:rPr>
          <w:rFonts w:ascii="Arial" w:hAnsi="Arial" w:cs="Arial"/>
          <w:spacing w:val="-2"/>
          <w:kern w:val="20"/>
          <w:sz w:val="20"/>
          <w:szCs w:val="20"/>
          <w:lang w:val="en-GB"/>
        </w:rPr>
      </w:pPr>
      <w:r w:rsidRPr="00EE1DDF">
        <w:rPr>
          <w:rFonts w:ascii="Arial" w:hAnsi="Arial" w:cs="Arial"/>
          <w:spacing w:val="-2"/>
          <w:kern w:val="20"/>
          <w:sz w:val="20"/>
          <w:szCs w:val="20"/>
          <w:lang w:val="en-GB"/>
        </w:rPr>
        <w:t xml:space="preserve">Canada </w:t>
      </w:r>
      <w:r w:rsidR="00356320" w:rsidRPr="00EE1DDF">
        <w:rPr>
          <w:rFonts w:ascii="Arial" w:hAnsi="Arial" w:cs="Arial"/>
          <w:spacing w:val="-2"/>
          <w:kern w:val="20"/>
          <w:sz w:val="20"/>
          <w:szCs w:val="20"/>
          <w:lang w:val="en-GB"/>
        </w:rPr>
        <w:t xml:space="preserve">was </w:t>
      </w:r>
      <w:r w:rsidRPr="00EE1DDF">
        <w:rPr>
          <w:rFonts w:ascii="Arial" w:hAnsi="Arial" w:cs="Arial"/>
          <w:spacing w:val="-2"/>
          <w:kern w:val="20"/>
          <w:sz w:val="20"/>
          <w:szCs w:val="20"/>
          <w:lang w:val="en-GB"/>
        </w:rPr>
        <w:t xml:space="preserve">a good place to do business. It </w:t>
      </w:r>
      <w:r w:rsidR="00356320" w:rsidRPr="00EE1DDF">
        <w:rPr>
          <w:rFonts w:ascii="Arial" w:hAnsi="Arial" w:cs="Arial"/>
          <w:spacing w:val="-2"/>
          <w:kern w:val="20"/>
          <w:sz w:val="20"/>
          <w:szCs w:val="20"/>
          <w:lang w:val="en-GB"/>
        </w:rPr>
        <w:t xml:space="preserve">featured </w:t>
      </w:r>
      <w:r w:rsidRPr="00EE1DDF">
        <w:rPr>
          <w:rFonts w:ascii="Arial" w:hAnsi="Arial" w:cs="Arial"/>
          <w:spacing w:val="-2"/>
          <w:kern w:val="20"/>
          <w:sz w:val="20"/>
          <w:szCs w:val="20"/>
          <w:lang w:val="en-GB"/>
        </w:rPr>
        <w:t xml:space="preserve">a growing global trade network that </w:t>
      </w:r>
      <w:r w:rsidR="00356320" w:rsidRPr="00EE1DDF">
        <w:rPr>
          <w:rFonts w:ascii="Arial" w:hAnsi="Arial" w:cs="Arial"/>
          <w:spacing w:val="-2"/>
          <w:kern w:val="20"/>
          <w:sz w:val="20"/>
          <w:szCs w:val="20"/>
          <w:lang w:val="en-GB"/>
        </w:rPr>
        <w:t xml:space="preserve">provided </w:t>
      </w:r>
      <w:r w:rsidRPr="00EE1DDF">
        <w:rPr>
          <w:rFonts w:ascii="Arial" w:hAnsi="Arial" w:cs="Arial"/>
          <w:spacing w:val="-2"/>
          <w:kern w:val="20"/>
          <w:sz w:val="20"/>
          <w:szCs w:val="20"/>
          <w:lang w:val="en-GB"/>
        </w:rPr>
        <w:t xml:space="preserve">Canadians with access to global market opportunities. Specifically, </w:t>
      </w:r>
      <w:r w:rsidR="00356320" w:rsidRPr="00EE1DDF">
        <w:rPr>
          <w:rFonts w:ascii="Arial" w:hAnsi="Arial" w:cs="Arial"/>
          <w:spacing w:val="-2"/>
          <w:kern w:val="20"/>
          <w:sz w:val="20"/>
          <w:szCs w:val="20"/>
          <w:lang w:val="en-GB"/>
        </w:rPr>
        <w:t>Canada had</w:t>
      </w:r>
      <w:r w:rsidRPr="00EE1DDF">
        <w:rPr>
          <w:rFonts w:ascii="Arial" w:hAnsi="Arial" w:cs="Arial"/>
          <w:spacing w:val="-2"/>
          <w:kern w:val="20"/>
          <w:sz w:val="20"/>
          <w:szCs w:val="20"/>
          <w:lang w:val="en-GB"/>
        </w:rPr>
        <w:t xml:space="preserve"> 14 free trade agreements in place with 51 countries, giving </w:t>
      </w:r>
      <w:r w:rsidR="00356320" w:rsidRPr="00EE1DDF">
        <w:rPr>
          <w:rFonts w:ascii="Arial" w:hAnsi="Arial" w:cs="Arial"/>
          <w:spacing w:val="-2"/>
          <w:kern w:val="20"/>
          <w:sz w:val="20"/>
          <w:szCs w:val="20"/>
          <w:lang w:val="en-GB"/>
        </w:rPr>
        <w:t xml:space="preserve">it </w:t>
      </w:r>
      <w:r w:rsidRPr="00EE1DDF">
        <w:rPr>
          <w:rFonts w:ascii="Arial" w:hAnsi="Arial" w:cs="Arial"/>
          <w:spacing w:val="-2"/>
          <w:kern w:val="20"/>
          <w:sz w:val="20"/>
          <w:szCs w:val="20"/>
          <w:lang w:val="en-GB"/>
        </w:rPr>
        <w:t>preferential access to international markets. The Liberal Party</w:t>
      </w:r>
      <w:r w:rsidR="00321BBA" w:rsidRPr="00EE1DDF">
        <w:rPr>
          <w:rFonts w:ascii="Arial" w:hAnsi="Arial" w:cs="Arial"/>
          <w:spacing w:val="-2"/>
          <w:kern w:val="20"/>
          <w:sz w:val="20"/>
          <w:szCs w:val="20"/>
          <w:lang w:val="en-GB"/>
        </w:rPr>
        <w:t xml:space="preserve"> of Canada</w:t>
      </w:r>
      <w:r w:rsidRPr="00EE1DDF">
        <w:rPr>
          <w:rFonts w:ascii="Arial" w:hAnsi="Arial" w:cs="Arial"/>
          <w:spacing w:val="-2"/>
          <w:kern w:val="20"/>
          <w:sz w:val="20"/>
          <w:szCs w:val="20"/>
          <w:lang w:val="en-GB"/>
        </w:rPr>
        <w:t xml:space="preserve">, led by Prime Minister Justin Trudeau, </w:t>
      </w:r>
      <w:r w:rsidR="00356320" w:rsidRPr="00EE1DDF">
        <w:rPr>
          <w:rFonts w:ascii="Arial" w:hAnsi="Arial" w:cs="Arial"/>
          <w:spacing w:val="-2"/>
          <w:kern w:val="20"/>
          <w:sz w:val="20"/>
          <w:szCs w:val="20"/>
          <w:lang w:val="en-GB"/>
        </w:rPr>
        <w:t xml:space="preserve">had </w:t>
      </w:r>
      <w:r w:rsidRPr="00EE1DDF">
        <w:rPr>
          <w:rFonts w:ascii="Arial" w:hAnsi="Arial" w:cs="Arial"/>
          <w:spacing w:val="-2"/>
          <w:kern w:val="20"/>
          <w:sz w:val="20"/>
          <w:szCs w:val="20"/>
          <w:lang w:val="en-GB"/>
        </w:rPr>
        <w:t xml:space="preserve">been in power since October 2015, during which time several major regulatory laws and changes </w:t>
      </w:r>
      <w:r w:rsidR="00356320" w:rsidRPr="00EE1DDF">
        <w:rPr>
          <w:rFonts w:ascii="Arial" w:hAnsi="Arial" w:cs="Arial"/>
          <w:spacing w:val="-2"/>
          <w:kern w:val="20"/>
          <w:sz w:val="20"/>
          <w:szCs w:val="20"/>
          <w:lang w:val="en-GB"/>
        </w:rPr>
        <w:t xml:space="preserve">had </w:t>
      </w:r>
      <w:r w:rsidRPr="00EE1DDF">
        <w:rPr>
          <w:rFonts w:ascii="Arial" w:hAnsi="Arial" w:cs="Arial"/>
          <w:spacing w:val="-2"/>
          <w:kern w:val="20"/>
          <w:sz w:val="20"/>
          <w:szCs w:val="20"/>
          <w:lang w:val="en-GB"/>
        </w:rPr>
        <w:t xml:space="preserve">taken place that impacted the food and beverages industry. Specific to the beer industry, policies governing alcohol availability </w:t>
      </w:r>
      <w:r w:rsidR="00356320" w:rsidRPr="00EE1DDF">
        <w:rPr>
          <w:rFonts w:ascii="Arial" w:hAnsi="Arial" w:cs="Arial"/>
          <w:spacing w:val="-2"/>
          <w:kern w:val="20"/>
          <w:sz w:val="20"/>
          <w:szCs w:val="20"/>
          <w:lang w:val="en-GB"/>
        </w:rPr>
        <w:t xml:space="preserve">were </w:t>
      </w:r>
      <w:r w:rsidRPr="00EE1DDF">
        <w:rPr>
          <w:rFonts w:ascii="Arial" w:hAnsi="Arial" w:cs="Arial"/>
          <w:spacing w:val="-2"/>
          <w:kern w:val="20"/>
          <w:sz w:val="20"/>
          <w:szCs w:val="20"/>
          <w:lang w:val="en-GB"/>
        </w:rPr>
        <w:t xml:space="preserve">set and enforced by provincial liquor control or licensing boards. In all jurisdictions except the province of Alberta, these same provincial boards </w:t>
      </w:r>
      <w:r w:rsidR="00356320" w:rsidRPr="00EE1DDF">
        <w:rPr>
          <w:rFonts w:ascii="Arial" w:hAnsi="Arial" w:cs="Arial"/>
          <w:spacing w:val="-2"/>
          <w:kern w:val="20"/>
          <w:sz w:val="20"/>
          <w:szCs w:val="20"/>
          <w:lang w:val="en-GB"/>
        </w:rPr>
        <w:t xml:space="preserve">were </w:t>
      </w:r>
      <w:r w:rsidRPr="00EE1DDF">
        <w:rPr>
          <w:rFonts w:ascii="Arial" w:hAnsi="Arial" w:cs="Arial"/>
          <w:spacing w:val="-2"/>
          <w:kern w:val="20"/>
          <w:sz w:val="20"/>
          <w:szCs w:val="20"/>
          <w:lang w:val="en-GB"/>
        </w:rPr>
        <w:t xml:space="preserve">responsible for the sale of alcohol through their own network of retail stores. Regulations regarding the sales of beer </w:t>
      </w:r>
      <w:r w:rsidR="00356320" w:rsidRPr="00EE1DDF">
        <w:rPr>
          <w:rFonts w:ascii="Arial" w:hAnsi="Arial" w:cs="Arial"/>
          <w:spacing w:val="-2"/>
          <w:kern w:val="20"/>
          <w:sz w:val="20"/>
          <w:szCs w:val="20"/>
          <w:lang w:val="en-GB"/>
        </w:rPr>
        <w:t>had been</w:t>
      </w:r>
      <w:r w:rsidRPr="00EE1DDF">
        <w:rPr>
          <w:rFonts w:ascii="Arial" w:hAnsi="Arial" w:cs="Arial"/>
          <w:spacing w:val="-2"/>
          <w:kern w:val="20"/>
          <w:sz w:val="20"/>
          <w:szCs w:val="20"/>
          <w:lang w:val="en-GB"/>
        </w:rPr>
        <w:t xml:space="preserve"> revised to allow beer sales in grocery stores and convenience stores in Ontario, starting in late 2015. Alcohol sale regulations </w:t>
      </w:r>
      <w:r w:rsidR="00356320" w:rsidRPr="00EE1DDF">
        <w:rPr>
          <w:rFonts w:ascii="Arial" w:hAnsi="Arial" w:cs="Arial"/>
          <w:spacing w:val="-2"/>
          <w:kern w:val="20"/>
          <w:sz w:val="20"/>
          <w:szCs w:val="20"/>
          <w:lang w:val="en-GB"/>
        </w:rPr>
        <w:t xml:space="preserve">varied </w:t>
      </w:r>
      <w:r w:rsidRPr="00EE1DDF">
        <w:rPr>
          <w:rFonts w:ascii="Arial" w:hAnsi="Arial" w:cs="Arial"/>
          <w:spacing w:val="-2"/>
          <w:kern w:val="20"/>
          <w:sz w:val="20"/>
          <w:szCs w:val="20"/>
          <w:lang w:val="en-GB"/>
        </w:rPr>
        <w:t xml:space="preserve">widely across all Canadian provinces and territories, with Ontario having the most complex system. Therefore, doing business in multiple jurisdictions </w:t>
      </w:r>
      <w:r w:rsidR="00356320" w:rsidRPr="00EE1DDF">
        <w:rPr>
          <w:rFonts w:ascii="Arial" w:hAnsi="Arial" w:cs="Arial"/>
          <w:spacing w:val="-2"/>
          <w:kern w:val="20"/>
          <w:sz w:val="20"/>
          <w:szCs w:val="20"/>
          <w:lang w:val="en-GB"/>
        </w:rPr>
        <w:t xml:space="preserve">was </w:t>
      </w:r>
      <w:r w:rsidRPr="00EE1DDF">
        <w:rPr>
          <w:rFonts w:ascii="Arial" w:hAnsi="Arial" w:cs="Arial"/>
          <w:spacing w:val="-2"/>
          <w:kern w:val="20"/>
          <w:sz w:val="20"/>
          <w:szCs w:val="20"/>
          <w:lang w:val="en-GB"/>
        </w:rPr>
        <w:t>usually limited to larger businesses and smaller craft breweries tend</w:t>
      </w:r>
      <w:r w:rsidR="00356320" w:rsidRPr="00EE1DDF">
        <w:rPr>
          <w:rFonts w:ascii="Arial" w:hAnsi="Arial" w:cs="Arial"/>
          <w:spacing w:val="-2"/>
          <w:kern w:val="20"/>
          <w:sz w:val="20"/>
          <w:szCs w:val="20"/>
          <w:lang w:val="en-GB"/>
        </w:rPr>
        <w:t>ed</w:t>
      </w:r>
      <w:r w:rsidRPr="00EE1DDF">
        <w:rPr>
          <w:rFonts w:ascii="Arial" w:hAnsi="Arial" w:cs="Arial"/>
          <w:spacing w:val="-2"/>
          <w:kern w:val="20"/>
          <w:sz w:val="20"/>
          <w:szCs w:val="20"/>
          <w:lang w:val="en-GB"/>
        </w:rPr>
        <w:t xml:space="preserve"> to sell their products only within their own province.</w:t>
      </w:r>
      <w:r w:rsidR="00946435" w:rsidRPr="00EE1DDF">
        <w:rPr>
          <w:rFonts w:ascii="Arial" w:hAnsi="Arial" w:cs="Arial"/>
          <w:spacing w:val="-2"/>
          <w:kern w:val="20"/>
          <w:sz w:val="20"/>
          <w:szCs w:val="20"/>
          <w:lang w:val="en-GB"/>
        </w:rPr>
        <w:t xml:space="preserve"> </w:t>
      </w:r>
    </w:p>
    <w:p w14:paraId="3FAD411D" w14:textId="77777777" w:rsidR="002406E6" w:rsidRPr="00946435" w:rsidRDefault="002406E6" w:rsidP="002406E6">
      <w:pPr>
        <w:pStyle w:val="BodyTextMain"/>
        <w:rPr>
          <w:rFonts w:ascii="Arial" w:hAnsi="Arial" w:cs="Arial"/>
          <w:b/>
          <w:sz w:val="20"/>
          <w:szCs w:val="20"/>
          <w:lang w:val="en-GB"/>
        </w:rPr>
      </w:pPr>
    </w:p>
    <w:p w14:paraId="74A7C2C9" w14:textId="1BF69DAE"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Canada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one of the top trading nations in the world. Canada’s gross domestic product was expected to increase by 1.8 per cent in 2020 and 1.9 per cent in 2021, consisting of only minor improvements from the 2019 gain of 1.7 per cent. Healthy labour markets and modest increases in consumer spending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likely to benefit Canada’s economy. </w:t>
      </w:r>
    </w:p>
    <w:p w14:paraId="62E87D46" w14:textId="77777777" w:rsidR="002406E6" w:rsidRPr="00946435" w:rsidRDefault="002406E6" w:rsidP="002406E6">
      <w:pPr>
        <w:pStyle w:val="BodyTextMain"/>
        <w:rPr>
          <w:rFonts w:ascii="Arial" w:hAnsi="Arial" w:cs="Arial"/>
          <w:sz w:val="20"/>
          <w:szCs w:val="20"/>
          <w:lang w:val="en-GB"/>
        </w:rPr>
      </w:pPr>
    </w:p>
    <w:p w14:paraId="0C1AC1C5" w14:textId="66C8FAF7"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Labour laws and regulatory changes continue</w:t>
      </w:r>
      <w:r w:rsidR="00356320">
        <w:rPr>
          <w:rFonts w:ascii="Arial" w:hAnsi="Arial" w:cs="Arial"/>
          <w:sz w:val="20"/>
          <w:szCs w:val="20"/>
          <w:lang w:val="en-GB"/>
        </w:rPr>
        <w:t>d</w:t>
      </w:r>
      <w:r w:rsidRPr="00946435">
        <w:rPr>
          <w:rFonts w:ascii="Arial" w:hAnsi="Arial" w:cs="Arial"/>
          <w:sz w:val="20"/>
          <w:szCs w:val="20"/>
          <w:lang w:val="en-GB"/>
        </w:rPr>
        <w:t xml:space="preserve"> to have an impact on Canada’s workforce. The government </w:t>
      </w:r>
      <w:r w:rsidR="00356320" w:rsidRPr="00946435">
        <w:rPr>
          <w:rFonts w:ascii="Arial" w:hAnsi="Arial" w:cs="Arial"/>
          <w:sz w:val="20"/>
          <w:szCs w:val="20"/>
          <w:lang w:val="en-GB"/>
        </w:rPr>
        <w:t>intend</w:t>
      </w:r>
      <w:r w:rsidR="00356320">
        <w:rPr>
          <w:rFonts w:ascii="Arial" w:hAnsi="Arial" w:cs="Arial"/>
          <w:sz w:val="20"/>
          <w:szCs w:val="20"/>
          <w:lang w:val="en-GB"/>
        </w:rPr>
        <w:t>ed</w:t>
      </w:r>
      <w:r w:rsidR="00356320" w:rsidRPr="00946435">
        <w:rPr>
          <w:rFonts w:ascii="Arial" w:hAnsi="Arial" w:cs="Arial"/>
          <w:sz w:val="20"/>
          <w:szCs w:val="20"/>
          <w:lang w:val="en-GB"/>
        </w:rPr>
        <w:t xml:space="preserve"> </w:t>
      </w:r>
      <w:r w:rsidRPr="00946435">
        <w:rPr>
          <w:rFonts w:ascii="Arial" w:hAnsi="Arial" w:cs="Arial"/>
          <w:sz w:val="20"/>
          <w:szCs w:val="20"/>
          <w:lang w:val="en-GB"/>
        </w:rPr>
        <w:t>to modernize federal labour standards to benefit Canadian workers and assist employers. Existing and upcoming changes include</w:t>
      </w:r>
      <w:r w:rsidR="00356320">
        <w:rPr>
          <w:rFonts w:ascii="Arial" w:hAnsi="Arial" w:cs="Arial"/>
          <w:sz w:val="20"/>
          <w:szCs w:val="20"/>
          <w:lang w:val="en-GB"/>
        </w:rPr>
        <w:t>d</w:t>
      </w:r>
      <w:r w:rsidRPr="00946435">
        <w:rPr>
          <w:rFonts w:ascii="Arial" w:hAnsi="Arial" w:cs="Arial"/>
          <w:sz w:val="20"/>
          <w:szCs w:val="20"/>
          <w:lang w:val="en-GB"/>
        </w:rPr>
        <w:t xml:space="preserve"> improving eligibility for entitlements, helping with work</w:t>
      </w:r>
      <w:r w:rsidR="00356320">
        <w:rPr>
          <w:rFonts w:ascii="Arial" w:hAnsi="Arial" w:cs="Arial"/>
          <w:sz w:val="20"/>
          <w:szCs w:val="20"/>
          <w:lang w:val="en-GB"/>
        </w:rPr>
        <w:t>–</w:t>
      </w:r>
      <w:r w:rsidRPr="00946435">
        <w:rPr>
          <w:rFonts w:ascii="Arial" w:hAnsi="Arial" w:cs="Arial"/>
          <w:sz w:val="20"/>
          <w:szCs w:val="20"/>
          <w:lang w:val="en-GB"/>
        </w:rPr>
        <w:t>life balance, providing fair treatment and compensation for unpredictable (e.g., short-term, contract, seasonal) work, ensuring sufficient notice and compensation when jobs are terminated, and improving the administration of labour standards.</w:t>
      </w:r>
    </w:p>
    <w:p w14:paraId="79886626" w14:textId="77777777" w:rsidR="002406E6" w:rsidRPr="00946435" w:rsidRDefault="002406E6" w:rsidP="002406E6">
      <w:pPr>
        <w:pStyle w:val="BodyTextMain"/>
        <w:rPr>
          <w:rFonts w:ascii="Arial" w:hAnsi="Arial" w:cs="Arial"/>
          <w:sz w:val="20"/>
          <w:szCs w:val="20"/>
          <w:lang w:val="en-GB"/>
        </w:rPr>
      </w:pPr>
    </w:p>
    <w:p w14:paraId="00C3B9DE" w14:textId="7FB6AB53"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Business investments in Canada </w:t>
      </w:r>
      <w:r w:rsidR="00356320" w:rsidRPr="00946435">
        <w:rPr>
          <w:rFonts w:ascii="Arial" w:hAnsi="Arial" w:cs="Arial"/>
          <w:sz w:val="20"/>
          <w:szCs w:val="20"/>
          <w:lang w:val="en-GB"/>
        </w:rPr>
        <w:t>ha</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trended downward in recent years, and Canada’s trade sector </w:t>
      </w:r>
      <w:r w:rsidR="00356320" w:rsidRPr="00946435">
        <w:rPr>
          <w:rFonts w:ascii="Arial" w:hAnsi="Arial" w:cs="Arial"/>
          <w:sz w:val="20"/>
          <w:szCs w:val="20"/>
          <w:lang w:val="en-GB"/>
        </w:rPr>
        <w:t>w</w:t>
      </w:r>
      <w:r w:rsidR="00356320">
        <w:rPr>
          <w:rFonts w:ascii="Arial" w:hAnsi="Arial" w:cs="Arial"/>
          <w:sz w:val="20"/>
          <w:szCs w:val="20"/>
          <w:lang w:val="en-GB"/>
        </w:rPr>
        <w:t>ould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continue to be impacted by minimal global growth. In contrast, interest rates were not expected to change in 2020, as global economic conditions stabilized. </w:t>
      </w:r>
    </w:p>
    <w:p w14:paraId="6FBE2913" w14:textId="77777777" w:rsidR="002406E6" w:rsidRPr="00946435" w:rsidRDefault="002406E6" w:rsidP="002406E6">
      <w:pPr>
        <w:pStyle w:val="BodyTextMain"/>
        <w:rPr>
          <w:rFonts w:ascii="Arial" w:hAnsi="Arial" w:cs="Arial"/>
          <w:sz w:val="20"/>
          <w:szCs w:val="20"/>
          <w:lang w:val="en-GB"/>
        </w:rPr>
      </w:pPr>
    </w:p>
    <w:p w14:paraId="6D3ABD47" w14:textId="1BDB5D12"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As one of Canada’s key provinces, Ontario </w:t>
      </w:r>
      <w:r w:rsidR="00356320" w:rsidRPr="00946435">
        <w:rPr>
          <w:rFonts w:ascii="Arial" w:hAnsi="Arial" w:cs="Arial"/>
          <w:sz w:val="20"/>
          <w:szCs w:val="20"/>
          <w:lang w:val="en-GB"/>
        </w:rPr>
        <w:t>produce</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37 per cent of the national gross domestic product and </w:t>
      </w:r>
      <w:r w:rsidR="00356320" w:rsidRPr="00946435">
        <w:rPr>
          <w:rFonts w:ascii="Arial" w:hAnsi="Arial" w:cs="Arial"/>
          <w:sz w:val="20"/>
          <w:szCs w:val="20"/>
          <w:lang w:val="en-GB"/>
        </w:rPr>
        <w:t>feature</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distinctive exports, manufacturing expertise, resources, and innovation trends. Ontario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known for its manufacturing industries, including medical devices, biotechnology, pharmaceuticals, and information and communications technologies. Additionally, the province </w:t>
      </w:r>
      <w:r w:rsidR="00356320">
        <w:rPr>
          <w:rFonts w:ascii="Arial" w:hAnsi="Arial" w:cs="Arial"/>
          <w:sz w:val="20"/>
          <w:szCs w:val="20"/>
          <w:lang w:val="en-GB"/>
        </w:rPr>
        <w:t>was home to</w:t>
      </w:r>
      <w:r w:rsidR="00356320" w:rsidRPr="00946435">
        <w:rPr>
          <w:rFonts w:ascii="Arial" w:hAnsi="Arial" w:cs="Arial"/>
          <w:sz w:val="20"/>
          <w:szCs w:val="20"/>
          <w:lang w:val="en-GB"/>
        </w:rPr>
        <w:t xml:space="preserve"> </w:t>
      </w:r>
      <w:r w:rsidRPr="00946435">
        <w:rPr>
          <w:rFonts w:ascii="Arial" w:hAnsi="Arial" w:cs="Arial"/>
          <w:sz w:val="20"/>
          <w:szCs w:val="20"/>
          <w:lang w:val="en-GB"/>
        </w:rPr>
        <w:t xml:space="preserve">more than half of Canada’s best farmland. It </w:t>
      </w:r>
      <w:r w:rsidR="00356320" w:rsidRPr="00946435">
        <w:rPr>
          <w:rFonts w:ascii="Arial" w:hAnsi="Arial" w:cs="Arial"/>
          <w:sz w:val="20"/>
          <w:szCs w:val="20"/>
          <w:lang w:val="en-GB"/>
        </w:rPr>
        <w:t>feature</w:t>
      </w:r>
      <w:r w:rsidR="00356320">
        <w:rPr>
          <w:rFonts w:ascii="Arial" w:hAnsi="Arial" w:cs="Arial"/>
          <w:sz w:val="20"/>
          <w:szCs w:val="20"/>
          <w:lang w:val="en-GB"/>
        </w:rPr>
        <w:t>d</w:t>
      </w:r>
      <w:r w:rsidR="00356320" w:rsidRPr="00946435">
        <w:rPr>
          <w:rFonts w:ascii="Arial" w:hAnsi="Arial" w:cs="Arial"/>
          <w:sz w:val="20"/>
          <w:szCs w:val="20"/>
          <w:lang w:val="en-GB"/>
        </w:rPr>
        <w:t xml:space="preserve"> </w:t>
      </w:r>
      <w:r w:rsidR="00356320">
        <w:rPr>
          <w:rFonts w:ascii="Arial" w:hAnsi="Arial" w:cs="Arial"/>
          <w:sz w:val="20"/>
          <w:szCs w:val="20"/>
          <w:lang w:val="en-GB"/>
        </w:rPr>
        <w:t xml:space="preserve">more than </w:t>
      </w:r>
      <w:r w:rsidRPr="00946435">
        <w:rPr>
          <w:rFonts w:ascii="Arial" w:hAnsi="Arial" w:cs="Arial"/>
          <w:sz w:val="20"/>
          <w:szCs w:val="20"/>
          <w:lang w:val="en-GB"/>
        </w:rPr>
        <w:t>50,000 farms that produce</w:t>
      </w:r>
      <w:r w:rsidR="00356320">
        <w:rPr>
          <w:rFonts w:ascii="Arial" w:hAnsi="Arial" w:cs="Arial"/>
          <w:sz w:val="20"/>
          <w:szCs w:val="20"/>
          <w:lang w:val="en-GB"/>
        </w:rPr>
        <w:t>d</w:t>
      </w:r>
      <w:r w:rsidRPr="00946435">
        <w:rPr>
          <w:rFonts w:ascii="Arial" w:hAnsi="Arial" w:cs="Arial"/>
          <w:sz w:val="20"/>
          <w:szCs w:val="20"/>
          <w:lang w:val="en-GB"/>
        </w:rPr>
        <w:t xml:space="preserve"> almost 25 per cent of all farm revenue in Canada.</w:t>
      </w:r>
    </w:p>
    <w:p w14:paraId="017C5072" w14:textId="77777777" w:rsidR="002406E6" w:rsidRPr="00946435" w:rsidRDefault="002406E6" w:rsidP="002406E6">
      <w:pPr>
        <w:pStyle w:val="BodyTextMain"/>
        <w:rPr>
          <w:rFonts w:ascii="Arial" w:hAnsi="Arial" w:cs="Arial"/>
          <w:sz w:val="20"/>
          <w:szCs w:val="20"/>
          <w:lang w:val="en-GB"/>
        </w:rPr>
      </w:pPr>
    </w:p>
    <w:p w14:paraId="1926DE70" w14:textId="70356C89" w:rsidR="002406E6" w:rsidRPr="00946435" w:rsidRDefault="002406E6" w:rsidP="002406E6">
      <w:pPr>
        <w:pStyle w:val="BodyTextMain"/>
        <w:rPr>
          <w:rFonts w:ascii="Arial" w:hAnsi="Arial" w:cs="Arial"/>
          <w:sz w:val="20"/>
          <w:szCs w:val="20"/>
          <w:u w:val="single"/>
          <w:lang w:val="en-GB"/>
        </w:rPr>
      </w:pPr>
      <w:r w:rsidRPr="00946435">
        <w:rPr>
          <w:rFonts w:ascii="Arial" w:hAnsi="Arial" w:cs="Arial"/>
          <w:sz w:val="20"/>
          <w:szCs w:val="20"/>
          <w:lang w:val="en-GB"/>
        </w:rPr>
        <w:t xml:space="preserve">Many of Canada’s manufacturing sectors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shifting toward Industry 4.0 digitalization, automation, and data exchange in manufacturing technologies and business systems to drive innovation. It </w:t>
      </w:r>
      <w:r w:rsidR="00356320">
        <w:rPr>
          <w:rFonts w:ascii="Arial" w:hAnsi="Arial" w:cs="Arial"/>
          <w:sz w:val="20"/>
          <w:szCs w:val="20"/>
          <w:lang w:val="en-GB"/>
        </w:rPr>
        <w:t>wa</w:t>
      </w:r>
      <w:r w:rsidR="00356320" w:rsidRPr="00946435">
        <w:rPr>
          <w:rFonts w:ascii="Arial" w:hAnsi="Arial" w:cs="Arial"/>
          <w:sz w:val="20"/>
          <w:szCs w:val="20"/>
          <w:lang w:val="en-GB"/>
        </w:rPr>
        <w:t xml:space="preserve">s </w:t>
      </w:r>
      <w:r w:rsidRPr="00946435">
        <w:rPr>
          <w:rFonts w:ascii="Arial" w:hAnsi="Arial" w:cs="Arial"/>
          <w:sz w:val="20"/>
          <w:szCs w:val="20"/>
          <w:lang w:val="en-GB"/>
        </w:rPr>
        <w:t xml:space="preserve">becoming increasingly affordable for companies to make the digital shift, as consumers become more technology-savvy than ever. </w:t>
      </w:r>
    </w:p>
    <w:p w14:paraId="03302AEF" w14:textId="484CBF4C" w:rsidR="00EE1DDF" w:rsidRDefault="00EE1DDF">
      <w:pPr>
        <w:spacing w:after="200" w:line="276" w:lineRule="auto"/>
        <w:rPr>
          <w:rFonts w:ascii="Arial" w:hAnsi="Arial" w:cs="Arial"/>
          <w:lang w:val="en-GB"/>
        </w:rPr>
      </w:pPr>
      <w:r>
        <w:rPr>
          <w:rFonts w:ascii="Arial" w:hAnsi="Arial" w:cs="Arial"/>
          <w:lang w:val="en-GB"/>
        </w:rPr>
        <w:br w:type="page"/>
      </w:r>
    </w:p>
    <w:p w14:paraId="69F7DC95" w14:textId="7EDB0FCF" w:rsidR="003D598D" w:rsidRPr="00946435" w:rsidRDefault="003D598D" w:rsidP="003D598D">
      <w:pPr>
        <w:pStyle w:val="ExhibitHeading"/>
        <w:rPr>
          <w:lang w:val="en-GB"/>
        </w:rPr>
      </w:pPr>
      <w:r w:rsidRPr="00946435">
        <w:rPr>
          <w:lang w:val="en-GB"/>
        </w:rPr>
        <w:lastRenderedPageBreak/>
        <w:t>Exhibit 1 (Continued)</w:t>
      </w:r>
    </w:p>
    <w:p w14:paraId="0663FD1D" w14:textId="77777777" w:rsidR="003D598D" w:rsidRPr="00946435" w:rsidRDefault="003D598D" w:rsidP="002406E6">
      <w:pPr>
        <w:pStyle w:val="BodyTextMain"/>
        <w:rPr>
          <w:rFonts w:ascii="Arial" w:hAnsi="Arial" w:cs="Arial"/>
          <w:sz w:val="20"/>
          <w:szCs w:val="20"/>
          <w:lang w:val="en-GB"/>
        </w:rPr>
      </w:pPr>
    </w:p>
    <w:p w14:paraId="69EBD34C" w14:textId="3DD660E0"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Canadians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increasingly relying on mobile devices for everyday living—especially shopping. Increasingly, consumers </w:t>
      </w:r>
      <w:r w:rsidR="00356320" w:rsidRPr="00946435">
        <w:rPr>
          <w:rFonts w:ascii="Arial" w:hAnsi="Arial" w:cs="Arial"/>
          <w:sz w:val="20"/>
          <w:szCs w:val="20"/>
          <w:lang w:val="en-GB"/>
        </w:rPr>
        <w:t>rel</w:t>
      </w:r>
      <w:r w:rsidR="00356320">
        <w:rPr>
          <w:rFonts w:ascii="Arial" w:hAnsi="Arial" w:cs="Arial"/>
          <w:sz w:val="20"/>
          <w:szCs w:val="20"/>
          <w:lang w:val="en-GB"/>
        </w:rPr>
        <w:t>ied</w:t>
      </w:r>
      <w:r w:rsidR="00356320" w:rsidRPr="00946435">
        <w:rPr>
          <w:rFonts w:ascii="Arial" w:hAnsi="Arial" w:cs="Arial"/>
          <w:sz w:val="20"/>
          <w:szCs w:val="20"/>
          <w:lang w:val="en-GB"/>
        </w:rPr>
        <w:t xml:space="preserve"> </w:t>
      </w:r>
      <w:r w:rsidRPr="00946435">
        <w:rPr>
          <w:rFonts w:ascii="Arial" w:hAnsi="Arial" w:cs="Arial"/>
          <w:sz w:val="20"/>
          <w:szCs w:val="20"/>
          <w:lang w:val="en-GB"/>
        </w:rPr>
        <w:t>on mobile payments, navigating the Internet on a smart phone, and numerous other mobile platform services. Software-as-a-service technology and data warehouse management solutions provide</w:t>
      </w:r>
      <w:r w:rsidR="00356320">
        <w:rPr>
          <w:rFonts w:ascii="Arial" w:hAnsi="Arial" w:cs="Arial"/>
          <w:sz w:val="20"/>
          <w:szCs w:val="20"/>
          <w:lang w:val="en-GB"/>
        </w:rPr>
        <w:t>d</w:t>
      </w:r>
      <w:r w:rsidRPr="00946435">
        <w:rPr>
          <w:rFonts w:ascii="Arial" w:hAnsi="Arial" w:cs="Arial"/>
          <w:sz w:val="20"/>
          <w:szCs w:val="20"/>
          <w:lang w:val="en-GB"/>
        </w:rPr>
        <w:t xml:space="preserve"> companies with new sources of data and analysis for higher efficiency and trend monitoring. Artificial intelligence and data analytics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key drivers of digital transformation and automation for businesses, both internally and throughout the supply chain. </w:t>
      </w:r>
    </w:p>
    <w:p w14:paraId="17160336" w14:textId="77777777" w:rsidR="002406E6" w:rsidRPr="00946435" w:rsidRDefault="002406E6" w:rsidP="002406E6">
      <w:pPr>
        <w:pStyle w:val="BodyTextMain"/>
        <w:rPr>
          <w:rFonts w:ascii="Arial" w:hAnsi="Arial" w:cs="Arial"/>
          <w:sz w:val="20"/>
          <w:szCs w:val="20"/>
          <w:lang w:val="en-GB"/>
        </w:rPr>
      </w:pPr>
    </w:p>
    <w:p w14:paraId="4285F354" w14:textId="026EC3E1" w:rsidR="002406E6" w:rsidRPr="00946435" w:rsidRDefault="002406E6" w:rsidP="002406E6">
      <w:pPr>
        <w:pStyle w:val="BodyTextMain"/>
        <w:rPr>
          <w:rFonts w:ascii="Arial" w:hAnsi="Arial" w:cs="Arial"/>
          <w:sz w:val="20"/>
          <w:szCs w:val="20"/>
          <w:lang w:val="en-GB"/>
        </w:rPr>
      </w:pPr>
      <w:r w:rsidRPr="00946435">
        <w:rPr>
          <w:rFonts w:ascii="Arial" w:hAnsi="Arial" w:cs="Arial"/>
          <w:sz w:val="20"/>
          <w:szCs w:val="20"/>
          <w:lang w:val="en-GB"/>
        </w:rPr>
        <w:t xml:space="preserve">Several cultural trends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likely to impact future Canadian businesses. First, millennials (people born between 1980 to 2000)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at the forefront of the consumer revolution and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often characterized as being frugal, shrewd, and lacking in brand loyalty. They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most likely to use smart phones, social networking, and online shopping. Increasingly, Canadians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 xml:space="preserve">seeking personalized and immediate interaction with instant access to information and goods, such as Amazon.com Inc.’s promise of next-day delivery on many of its products. Canadians </w:t>
      </w:r>
      <w:r w:rsidR="00356320">
        <w:rPr>
          <w:rFonts w:ascii="Arial" w:hAnsi="Arial" w:cs="Arial"/>
          <w:sz w:val="20"/>
          <w:szCs w:val="20"/>
          <w:lang w:val="en-GB"/>
        </w:rPr>
        <w:t>we</w:t>
      </w:r>
      <w:r w:rsidR="00356320" w:rsidRPr="00946435">
        <w:rPr>
          <w:rFonts w:ascii="Arial" w:hAnsi="Arial" w:cs="Arial"/>
          <w:sz w:val="20"/>
          <w:szCs w:val="20"/>
          <w:lang w:val="en-GB"/>
        </w:rPr>
        <w:t xml:space="preserve">re </w:t>
      </w:r>
      <w:r w:rsidRPr="00946435">
        <w:rPr>
          <w:rFonts w:ascii="Arial" w:hAnsi="Arial" w:cs="Arial"/>
          <w:sz w:val="20"/>
          <w:szCs w:val="20"/>
          <w:lang w:val="en-GB"/>
        </w:rPr>
        <w:t>also exercising more, consuming more natural and organic products, and choosing products based on dietary restrictions.</w:t>
      </w:r>
    </w:p>
    <w:p w14:paraId="27D4A6A6" w14:textId="77777777" w:rsidR="002406E6" w:rsidRPr="00946435" w:rsidRDefault="002406E6" w:rsidP="002406E6">
      <w:pPr>
        <w:pStyle w:val="BodyTextMain"/>
        <w:rPr>
          <w:rFonts w:ascii="Arial" w:hAnsi="Arial" w:cs="Arial"/>
          <w:sz w:val="20"/>
          <w:szCs w:val="20"/>
          <w:lang w:val="en-GB"/>
        </w:rPr>
      </w:pPr>
    </w:p>
    <w:p w14:paraId="51F1F700" w14:textId="3C934A6B" w:rsidR="002406E6" w:rsidRPr="00946435" w:rsidRDefault="002406E6" w:rsidP="002406E6">
      <w:pPr>
        <w:pStyle w:val="Footnote"/>
        <w:rPr>
          <w:rStyle w:val="normaltextrun"/>
          <w:lang w:val="en-GB"/>
        </w:rPr>
      </w:pPr>
      <w:r w:rsidRPr="00946435">
        <w:rPr>
          <w:sz w:val="20"/>
          <w:szCs w:val="20"/>
          <w:lang w:val="en-GB"/>
        </w:rPr>
        <w:t xml:space="preserve">Canada </w:t>
      </w:r>
      <w:r w:rsidR="00356320">
        <w:rPr>
          <w:sz w:val="20"/>
          <w:szCs w:val="20"/>
          <w:lang w:val="en-GB"/>
        </w:rPr>
        <w:t>wa</w:t>
      </w:r>
      <w:r w:rsidR="00356320" w:rsidRPr="00946435">
        <w:rPr>
          <w:sz w:val="20"/>
          <w:szCs w:val="20"/>
          <w:lang w:val="en-GB"/>
        </w:rPr>
        <w:t xml:space="preserve">s </w:t>
      </w:r>
      <w:r w:rsidRPr="00946435">
        <w:rPr>
          <w:sz w:val="20"/>
          <w:szCs w:val="20"/>
          <w:lang w:val="en-GB"/>
        </w:rPr>
        <w:t xml:space="preserve">North America’s largest country by area, with vast natural open spaces. Despite some environmental concerns such as pollution of natural regions and rapidly changing weather patterns, numerous tourists chose Canada for its natural landscape and scenery. Climate change, clean fuels, carbon tax strategy, air quality, environmental testing, and renewable energy developments </w:t>
      </w:r>
      <w:r w:rsidR="00356320">
        <w:rPr>
          <w:sz w:val="20"/>
          <w:szCs w:val="20"/>
          <w:lang w:val="en-GB"/>
        </w:rPr>
        <w:t>we</w:t>
      </w:r>
      <w:r w:rsidR="00356320" w:rsidRPr="00946435">
        <w:rPr>
          <w:sz w:val="20"/>
          <w:szCs w:val="20"/>
          <w:lang w:val="en-GB"/>
        </w:rPr>
        <w:t xml:space="preserve">re </w:t>
      </w:r>
      <w:r w:rsidRPr="00946435">
        <w:rPr>
          <w:sz w:val="20"/>
          <w:szCs w:val="20"/>
          <w:lang w:val="en-GB"/>
        </w:rPr>
        <w:t xml:space="preserve">among its environmental concerns. Businesses in Canada increasingly </w:t>
      </w:r>
      <w:r w:rsidR="00356320">
        <w:rPr>
          <w:sz w:val="20"/>
          <w:szCs w:val="20"/>
          <w:lang w:val="en-GB"/>
        </w:rPr>
        <w:t>sought</w:t>
      </w:r>
      <w:r w:rsidRPr="00946435">
        <w:rPr>
          <w:sz w:val="20"/>
          <w:szCs w:val="20"/>
          <w:lang w:val="en-GB"/>
        </w:rPr>
        <w:t xml:space="preserve"> green options to become more environmentally sustainable with initiatives such as reducing single-use plastics, </w:t>
      </w:r>
      <w:r w:rsidR="000078F4">
        <w:rPr>
          <w:sz w:val="20"/>
          <w:szCs w:val="20"/>
          <w:lang w:val="en-GB"/>
        </w:rPr>
        <w:t xml:space="preserve">improved </w:t>
      </w:r>
      <w:r w:rsidRPr="00946435">
        <w:rPr>
          <w:sz w:val="20"/>
          <w:szCs w:val="20"/>
          <w:lang w:val="en-GB"/>
        </w:rPr>
        <w:t>waste diversion, sustainable food initiatives, use of nuclear power, and electric transportation.</w:t>
      </w:r>
    </w:p>
    <w:p w14:paraId="1A808C7D" w14:textId="77777777" w:rsidR="002406E6" w:rsidRPr="00946435" w:rsidRDefault="002406E6" w:rsidP="00E50F49">
      <w:pPr>
        <w:pStyle w:val="Footnote"/>
        <w:rPr>
          <w:rStyle w:val="normaltextrun"/>
          <w:lang w:val="en-GB"/>
        </w:rPr>
      </w:pPr>
    </w:p>
    <w:p w14:paraId="3D368907" w14:textId="01F2268C" w:rsidR="007224C6" w:rsidRPr="00EE1DDF" w:rsidRDefault="00A86FE2" w:rsidP="00E50F49">
      <w:pPr>
        <w:pStyle w:val="Footnote"/>
        <w:rPr>
          <w:rStyle w:val="normaltextrun"/>
          <w:spacing w:val="-4"/>
          <w:kern w:val="17"/>
          <w:lang w:val="en-GB"/>
        </w:rPr>
      </w:pPr>
      <w:r w:rsidRPr="00EE1DDF">
        <w:rPr>
          <w:rStyle w:val="normaltextrun"/>
          <w:spacing w:val="-4"/>
          <w:kern w:val="17"/>
          <w:lang w:val="en-GB"/>
        </w:rPr>
        <w:t xml:space="preserve">Source: </w:t>
      </w:r>
      <w:r w:rsidR="00DE746F" w:rsidRPr="00EE1DDF">
        <w:rPr>
          <w:rStyle w:val="normaltextrun"/>
          <w:spacing w:val="-4"/>
          <w:kern w:val="17"/>
          <w:lang w:val="en-GB"/>
        </w:rPr>
        <w:t xml:space="preserve">e-Visa, </w:t>
      </w:r>
      <w:r w:rsidRPr="00EE1DDF">
        <w:rPr>
          <w:spacing w:val="-4"/>
          <w:kern w:val="17"/>
          <w:lang w:val="en-GB"/>
        </w:rPr>
        <w:t>“General Information about Canada,” e-Visa.ie, accessed July 14, 2020, https://e-visa.ie/canada/general;</w:t>
      </w:r>
      <w:r w:rsidRPr="00EE1DDF">
        <w:rPr>
          <w:spacing w:val="-4"/>
          <w:kern w:val="17"/>
          <w:vertAlign w:val="superscript"/>
          <w:lang w:val="en-GB"/>
        </w:rPr>
        <w:t xml:space="preserve"> </w:t>
      </w:r>
      <w:r w:rsidR="000078F4" w:rsidRPr="00EE1DDF">
        <w:rPr>
          <w:spacing w:val="-4"/>
          <w:kern w:val="17"/>
          <w:lang w:val="en-GB"/>
        </w:rPr>
        <w:t xml:space="preserve">Government of Canada, </w:t>
      </w:r>
      <w:r w:rsidRPr="00EE1DDF">
        <w:rPr>
          <w:spacing w:val="-4"/>
          <w:kern w:val="17"/>
          <w:lang w:val="en-GB"/>
        </w:rPr>
        <w:t xml:space="preserve">“Spotlight on Market Diversification,” November 20, 2019, accessed July 13, 2020, www.tradecommissioner.gc.ca/guides/spotlight-pleins_feux/spotlight-diversification-pleins-feux-diversification.aspx?lang=eng&amp;utm_source=business&amp;utm_medium=slideshow-en; </w:t>
      </w:r>
      <w:r w:rsidR="000078F4" w:rsidRPr="00EE1DDF">
        <w:rPr>
          <w:spacing w:val="-4"/>
          <w:kern w:val="17"/>
          <w:lang w:val="en-GB"/>
        </w:rPr>
        <w:t xml:space="preserve">Government of Canada, </w:t>
      </w:r>
      <w:r w:rsidRPr="00EE1DDF">
        <w:rPr>
          <w:spacing w:val="-4"/>
          <w:kern w:val="17"/>
          <w:lang w:val="en-GB"/>
        </w:rPr>
        <w:t>“Prime Minister Justin Trudeau,” June 9, 2013, accessed October 20, 2020, https://pm.gc.ca/en/prime-minister-justin-trudeau; “Beer Sales Guide to the Provinces and Territories,” CBC News, April 16, 2015, accessed December 15, 2020, www.cbc.ca/news/business/beer-sales-guide-to-the-provinces-and-territories-1.3036387;</w:t>
      </w:r>
      <w:r w:rsidRPr="00EE1DDF">
        <w:rPr>
          <w:spacing w:val="-4"/>
          <w:kern w:val="17"/>
          <w:vertAlign w:val="superscript"/>
          <w:lang w:val="en-GB"/>
        </w:rPr>
        <w:t xml:space="preserve"> </w:t>
      </w:r>
      <w:r w:rsidR="000078F4" w:rsidRPr="00EE1DDF">
        <w:rPr>
          <w:spacing w:val="-4"/>
          <w:kern w:val="17"/>
          <w:lang w:val="en-GB"/>
        </w:rPr>
        <w:t xml:space="preserve">Conference Board of Canada, </w:t>
      </w:r>
      <w:r w:rsidRPr="00EE1DDF">
        <w:rPr>
          <w:spacing w:val="-4"/>
          <w:kern w:val="17"/>
          <w:lang w:val="en-GB"/>
        </w:rPr>
        <w:t xml:space="preserve">“Canadian Outlook Summary: Winter 2020,” December 17, 2019, accessed July 14, 2020, www.conferenceboard.ca/e-library/abstract.aspx?did=10543; </w:t>
      </w:r>
      <w:r w:rsidR="000078F4" w:rsidRPr="00EE1DDF">
        <w:rPr>
          <w:spacing w:val="-4"/>
          <w:kern w:val="17"/>
          <w:lang w:val="en-GB"/>
        </w:rPr>
        <w:t xml:space="preserve">Government of Canada, Employment and Social Development Canada, </w:t>
      </w:r>
      <w:r w:rsidRPr="00EE1DDF">
        <w:rPr>
          <w:spacing w:val="-4"/>
          <w:kern w:val="17"/>
          <w:lang w:val="en-GB"/>
        </w:rPr>
        <w:t xml:space="preserve">“Labour Program: Changes to the Canada Labour Code and Other Acts to Better Protect Workplaces,” November 7, 2018, accessed July 17, 2020, www.canada.ca/en/employment-social-development/programs/laws-regulations/labour/current-future-legislative.html; </w:t>
      </w:r>
      <w:r w:rsidR="000078F4" w:rsidRPr="00EE1DDF">
        <w:rPr>
          <w:spacing w:val="-4"/>
          <w:kern w:val="17"/>
          <w:lang w:val="en-GB"/>
        </w:rPr>
        <w:t xml:space="preserve">Government of Ontario, </w:t>
      </w:r>
      <w:r w:rsidRPr="00EE1DDF">
        <w:rPr>
          <w:spacing w:val="-4"/>
          <w:kern w:val="17"/>
          <w:lang w:val="en-GB"/>
        </w:rPr>
        <w:t>“About Ontario,” June 5, 2013, accessed July 14, 2020,</w:t>
      </w:r>
      <w:r w:rsidR="00946435" w:rsidRPr="00EE1DDF">
        <w:rPr>
          <w:spacing w:val="-4"/>
          <w:kern w:val="17"/>
          <w:lang w:val="en-GB"/>
        </w:rPr>
        <w:t xml:space="preserve"> </w:t>
      </w:r>
      <w:r w:rsidRPr="00EE1DDF">
        <w:rPr>
          <w:spacing w:val="-4"/>
          <w:kern w:val="17"/>
          <w:lang w:val="en-GB"/>
        </w:rPr>
        <w:t>www.ontario.ca/page/about-ontario;</w:t>
      </w:r>
      <w:r w:rsidRPr="00EE1DDF">
        <w:rPr>
          <w:spacing w:val="-4"/>
          <w:kern w:val="17"/>
          <w:vertAlign w:val="superscript"/>
          <w:lang w:val="en-GB"/>
        </w:rPr>
        <w:t xml:space="preserve"> </w:t>
      </w:r>
      <w:bookmarkStart w:id="1" w:name="_Hlk60844434"/>
      <w:r w:rsidRPr="00EE1DDF">
        <w:rPr>
          <w:spacing w:val="-4"/>
          <w:kern w:val="17"/>
          <w:lang w:val="en-GB"/>
        </w:rPr>
        <w:t xml:space="preserve">Tetra Pak, </w:t>
      </w:r>
      <w:r w:rsidRPr="00EE1DDF">
        <w:rPr>
          <w:i/>
          <w:spacing w:val="-4"/>
          <w:kern w:val="17"/>
          <w:lang w:val="en-GB"/>
        </w:rPr>
        <w:t>INDUSTRY 4.0—Opening a Door to New Opportunities for the Food and Beverage Industry</w:t>
      </w:r>
      <w:r w:rsidRPr="00EE1DDF">
        <w:rPr>
          <w:spacing w:val="-4"/>
          <w:kern w:val="17"/>
          <w:lang w:val="en-GB"/>
        </w:rPr>
        <w:t xml:space="preserve">, 3, accessed </w:t>
      </w:r>
      <w:r w:rsidR="004B6DC0" w:rsidRPr="00EE1DDF">
        <w:rPr>
          <w:spacing w:val="-4"/>
          <w:kern w:val="17"/>
          <w:lang w:val="en-GB"/>
        </w:rPr>
        <w:t>January 3, 29021, www.tetrapak.com/content/dam/tetrapak/publicweb/us/en/automation/tetra-pak-industry4-whitepaper.pdf</w:t>
      </w:r>
      <w:bookmarkEnd w:id="1"/>
      <w:r w:rsidRPr="00EE1DDF">
        <w:rPr>
          <w:spacing w:val="-4"/>
          <w:kern w:val="17"/>
          <w:lang w:val="en-GB"/>
        </w:rPr>
        <w:t xml:space="preserve">; PwC, </w:t>
      </w:r>
      <w:r w:rsidRPr="00EE1DDF">
        <w:rPr>
          <w:i/>
          <w:spacing w:val="-4"/>
          <w:kern w:val="17"/>
          <w:lang w:val="en-GB"/>
        </w:rPr>
        <w:t>Industry 4.0</w:t>
      </w:r>
      <w:r w:rsidR="004B6DC0" w:rsidRPr="00EE1DDF">
        <w:rPr>
          <w:i/>
          <w:spacing w:val="-4"/>
          <w:kern w:val="17"/>
          <w:lang w:val="en-GB"/>
        </w:rPr>
        <w:t>: Building the Digital Enterprise, Industrial Manufacturing</w:t>
      </w:r>
      <w:r w:rsidRPr="00EE1DDF">
        <w:rPr>
          <w:i/>
          <w:spacing w:val="-4"/>
          <w:kern w:val="17"/>
          <w:lang w:val="en-GB"/>
        </w:rPr>
        <w:t xml:space="preserve"> Key Findings</w:t>
      </w:r>
      <w:r w:rsidRPr="00EE1DDF">
        <w:rPr>
          <w:spacing w:val="-4"/>
          <w:kern w:val="17"/>
          <w:lang w:val="en-GB"/>
        </w:rPr>
        <w:t xml:space="preserve">, 5, </w:t>
      </w:r>
      <w:r w:rsidR="004B6DC0" w:rsidRPr="00EE1DDF">
        <w:rPr>
          <w:spacing w:val="-4"/>
          <w:kern w:val="17"/>
          <w:lang w:val="en-GB"/>
        </w:rPr>
        <w:t>accessed January 3, 2021, www.pwc.com/gx/en/industries/industrial-manufacturing/publications/assets/pwc-building-digital-enterprise.pdf</w:t>
      </w:r>
      <w:r w:rsidRPr="00EE1DDF">
        <w:rPr>
          <w:spacing w:val="-4"/>
          <w:kern w:val="17"/>
          <w:lang w:val="en-GB"/>
        </w:rPr>
        <w:t xml:space="preserve">; </w:t>
      </w:r>
      <w:r w:rsidR="000078F4" w:rsidRPr="00EE1DDF">
        <w:rPr>
          <w:spacing w:val="-4"/>
          <w:kern w:val="17"/>
          <w:lang w:val="en-GB"/>
        </w:rPr>
        <w:t xml:space="preserve">Business Development Bank of Canada, </w:t>
      </w:r>
      <w:r w:rsidRPr="00EE1DDF">
        <w:rPr>
          <w:spacing w:val="-4"/>
          <w:kern w:val="17"/>
          <w:lang w:val="en-GB"/>
        </w:rPr>
        <w:t xml:space="preserve">“5 Consumer Trends </w:t>
      </w:r>
      <w:r w:rsidR="00C67E00" w:rsidRPr="00EE1DDF">
        <w:rPr>
          <w:spacing w:val="-4"/>
          <w:kern w:val="17"/>
          <w:lang w:val="en-GB"/>
        </w:rPr>
        <w:t>t</w:t>
      </w:r>
      <w:r w:rsidRPr="00EE1DDF">
        <w:rPr>
          <w:spacing w:val="-4"/>
          <w:kern w:val="17"/>
          <w:lang w:val="en-GB"/>
        </w:rPr>
        <w:t xml:space="preserve">hat Will Transform Your Business,” 2017, accessed July 14, 2020, www.bdc.ca/en/articles-tools/marketing-sales-export/marketing/pages/5-consumer-trends-watch-out-for-2017.aspx; </w:t>
      </w:r>
      <w:r w:rsidR="000078F4" w:rsidRPr="00EE1DDF">
        <w:rPr>
          <w:spacing w:val="-4"/>
          <w:kern w:val="17"/>
          <w:lang w:val="en-GB"/>
        </w:rPr>
        <w:t xml:space="preserve">ECO Canada, </w:t>
      </w:r>
      <w:r w:rsidRPr="00EE1DDF">
        <w:rPr>
          <w:spacing w:val="-4"/>
          <w:kern w:val="17"/>
          <w:lang w:val="en-GB"/>
        </w:rPr>
        <w:t>“Environmental Trends 2020,” blog, January 31, 2020, accessed July 16, 2020, www.eco.ca/blog/environmental-trends-2020.</w:t>
      </w:r>
    </w:p>
    <w:p w14:paraId="314A37A5" w14:textId="77777777" w:rsidR="000A5229" w:rsidRPr="00946435" w:rsidRDefault="000A5229" w:rsidP="000A5229">
      <w:pPr>
        <w:pStyle w:val="BodyTextMain"/>
        <w:rPr>
          <w:lang w:val="en-GB"/>
        </w:rPr>
      </w:pPr>
    </w:p>
    <w:p w14:paraId="0B5CB65A" w14:textId="70339FB1" w:rsidR="007224C6" w:rsidRPr="00946435" w:rsidRDefault="007224C6" w:rsidP="007224C6">
      <w:pPr>
        <w:pStyle w:val="BodyTextMain"/>
        <w:rPr>
          <w:rStyle w:val="normaltextrun"/>
          <w:lang w:val="en-GB"/>
        </w:rPr>
      </w:pPr>
      <w:r w:rsidRPr="00946435">
        <w:rPr>
          <w:rStyle w:val="normaltextrun"/>
          <w:lang w:val="en-GB"/>
        </w:rPr>
        <w:br w:type="page"/>
      </w:r>
    </w:p>
    <w:p w14:paraId="005B92BE" w14:textId="1D748CD0" w:rsidR="009424DA" w:rsidRPr="00946435" w:rsidRDefault="009424DA" w:rsidP="009424DA">
      <w:pPr>
        <w:pStyle w:val="ExhibitHeading"/>
        <w:rPr>
          <w:lang w:val="en-GB"/>
        </w:rPr>
      </w:pPr>
      <w:r w:rsidRPr="00946435">
        <w:rPr>
          <w:rStyle w:val="normaltextrun"/>
          <w:lang w:val="en-GB"/>
        </w:rPr>
        <w:lastRenderedPageBreak/>
        <w:t xml:space="preserve">EXHIBIT </w:t>
      </w:r>
      <w:r w:rsidR="00EF6730" w:rsidRPr="00946435">
        <w:rPr>
          <w:rStyle w:val="normaltextrun"/>
          <w:lang w:val="en-GB"/>
        </w:rPr>
        <w:t>2</w:t>
      </w:r>
      <w:r w:rsidRPr="00946435">
        <w:rPr>
          <w:rStyle w:val="normaltextrun"/>
          <w:lang w:val="en-GB"/>
        </w:rPr>
        <w:t>: WELLINGTON BREWERY’S SALES CHANNELS</w:t>
      </w:r>
    </w:p>
    <w:p w14:paraId="5CE65025" w14:textId="77777777" w:rsidR="009424DA" w:rsidRPr="00946435" w:rsidRDefault="009424DA" w:rsidP="009424DA">
      <w:pPr>
        <w:pStyle w:val="BodyTextMain"/>
        <w:rPr>
          <w:lang w:val="en-GB"/>
        </w:rPr>
      </w:pPr>
    </w:p>
    <w:tbl>
      <w:tblPr>
        <w:tblStyle w:val="TableGrid"/>
        <w:tblW w:w="0" w:type="auto"/>
        <w:tblLayout w:type="fixed"/>
        <w:tblCellMar>
          <w:top w:w="58" w:type="dxa"/>
          <w:left w:w="29" w:type="dxa"/>
          <w:bottom w:w="58" w:type="dxa"/>
          <w:right w:w="29" w:type="dxa"/>
        </w:tblCellMar>
        <w:tblLook w:val="04A0" w:firstRow="1" w:lastRow="0" w:firstColumn="1" w:lastColumn="0" w:noHBand="0" w:noVBand="1"/>
        <w:tblCaption w:val="Exhibit 2"/>
        <w:tblDescription w:val="Wellington Brewery's Sales Channels"/>
      </w:tblPr>
      <w:tblGrid>
        <w:gridCol w:w="1255"/>
        <w:gridCol w:w="1530"/>
        <w:gridCol w:w="1440"/>
        <w:gridCol w:w="1260"/>
        <w:gridCol w:w="1170"/>
        <w:gridCol w:w="1568"/>
        <w:gridCol w:w="1127"/>
      </w:tblGrid>
      <w:tr w:rsidR="006F3545" w:rsidRPr="002C01F9" w14:paraId="003E6218" w14:textId="77777777" w:rsidTr="004E2F8C">
        <w:trPr>
          <w:trHeight w:val="94"/>
          <w:tblHeader/>
        </w:trPr>
        <w:tc>
          <w:tcPr>
            <w:tcW w:w="1255" w:type="dxa"/>
            <w:vAlign w:val="center"/>
          </w:tcPr>
          <w:p w14:paraId="0C1CCDC2" w14:textId="56F2207B" w:rsidR="00FA0313" w:rsidRPr="002C01F9" w:rsidRDefault="00FA0313" w:rsidP="002C01F9">
            <w:pPr>
              <w:spacing w:line="276" w:lineRule="auto"/>
              <w:rPr>
                <w:sz w:val="18"/>
                <w:szCs w:val="18"/>
                <w:lang w:val="en-GB"/>
              </w:rPr>
            </w:pPr>
            <w:bookmarkStart w:id="2" w:name="_GoBack"/>
            <w:r w:rsidRPr="002C01F9">
              <w:rPr>
                <w:rFonts w:ascii="Arial" w:hAnsi="Arial" w:cs="Arial"/>
                <w:b/>
                <w:bCs/>
                <w:sz w:val="18"/>
                <w:szCs w:val="18"/>
                <w:lang w:val="en-GB"/>
              </w:rPr>
              <w:t>Criteria</w:t>
            </w:r>
          </w:p>
        </w:tc>
        <w:tc>
          <w:tcPr>
            <w:tcW w:w="1530" w:type="dxa"/>
            <w:vAlign w:val="center"/>
          </w:tcPr>
          <w:p w14:paraId="480E4267" w14:textId="3EE273A6"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The LCBO</w:t>
            </w:r>
          </w:p>
        </w:tc>
        <w:tc>
          <w:tcPr>
            <w:tcW w:w="1440" w:type="dxa"/>
            <w:vAlign w:val="center"/>
          </w:tcPr>
          <w:p w14:paraId="6616395B" w14:textId="107B71A3"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Licensees</w:t>
            </w:r>
          </w:p>
        </w:tc>
        <w:tc>
          <w:tcPr>
            <w:tcW w:w="1260" w:type="dxa"/>
            <w:vAlign w:val="center"/>
          </w:tcPr>
          <w:p w14:paraId="7DA341B4" w14:textId="6AC334E2"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E-commerce</w:t>
            </w:r>
          </w:p>
        </w:tc>
        <w:tc>
          <w:tcPr>
            <w:tcW w:w="1170" w:type="dxa"/>
            <w:vAlign w:val="center"/>
          </w:tcPr>
          <w:p w14:paraId="7B1C9AEF" w14:textId="5DD0A48E"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The Beer Store</w:t>
            </w:r>
          </w:p>
        </w:tc>
        <w:tc>
          <w:tcPr>
            <w:tcW w:w="1568" w:type="dxa"/>
            <w:vAlign w:val="center"/>
          </w:tcPr>
          <w:p w14:paraId="1370CF78" w14:textId="01871BBC"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On-</w:t>
            </w:r>
            <w:r w:rsidR="006F3545" w:rsidRPr="002C01F9">
              <w:rPr>
                <w:rFonts w:ascii="Arial" w:hAnsi="Arial" w:cs="Arial"/>
                <w:b/>
                <w:bCs/>
                <w:sz w:val="18"/>
                <w:szCs w:val="18"/>
                <w:lang w:val="en-GB"/>
              </w:rPr>
              <w:t>S</w:t>
            </w:r>
            <w:r w:rsidRPr="002C01F9">
              <w:rPr>
                <w:rFonts w:ascii="Arial" w:hAnsi="Arial" w:cs="Arial"/>
                <w:b/>
                <w:bCs/>
                <w:sz w:val="18"/>
                <w:szCs w:val="18"/>
                <w:lang w:val="en-GB"/>
              </w:rPr>
              <w:t>ite (Brewhouse)</w:t>
            </w:r>
          </w:p>
        </w:tc>
        <w:tc>
          <w:tcPr>
            <w:tcW w:w="1127" w:type="dxa"/>
            <w:vAlign w:val="center"/>
          </w:tcPr>
          <w:p w14:paraId="69D3DFD2" w14:textId="373F9C57" w:rsidR="00FA0313" w:rsidRPr="002C01F9" w:rsidRDefault="00FA0313" w:rsidP="002C01F9">
            <w:pPr>
              <w:spacing w:line="276" w:lineRule="auto"/>
              <w:jc w:val="center"/>
              <w:rPr>
                <w:sz w:val="18"/>
                <w:szCs w:val="18"/>
                <w:lang w:val="en-GB"/>
              </w:rPr>
            </w:pPr>
            <w:r w:rsidRPr="002C01F9">
              <w:rPr>
                <w:rFonts w:ascii="Arial" w:hAnsi="Arial" w:cs="Arial"/>
                <w:b/>
                <w:bCs/>
                <w:sz w:val="18"/>
                <w:szCs w:val="18"/>
                <w:lang w:val="en-GB"/>
              </w:rPr>
              <w:t>Contract Brewing</w:t>
            </w:r>
          </w:p>
        </w:tc>
      </w:tr>
      <w:tr w:rsidR="006F3545" w:rsidRPr="002C01F9" w14:paraId="0D6138DE" w14:textId="77777777" w:rsidTr="004E2F8C">
        <w:trPr>
          <w:tblHeader/>
        </w:trPr>
        <w:tc>
          <w:tcPr>
            <w:tcW w:w="1255" w:type="dxa"/>
            <w:vAlign w:val="center"/>
          </w:tcPr>
          <w:p w14:paraId="5EC25D05" w14:textId="31105046" w:rsidR="000078F4" w:rsidRPr="002C01F9" w:rsidRDefault="005C7F85" w:rsidP="002C01F9">
            <w:pPr>
              <w:spacing w:line="276" w:lineRule="auto"/>
              <w:rPr>
                <w:b/>
                <w:bCs/>
                <w:sz w:val="18"/>
                <w:szCs w:val="18"/>
                <w:lang w:val="en-GB"/>
              </w:rPr>
            </w:pPr>
            <w:r w:rsidRPr="002C01F9">
              <w:rPr>
                <w:rFonts w:ascii="Arial" w:hAnsi="Arial" w:cs="Arial"/>
                <w:b/>
                <w:bCs/>
                <w:sz w:val="18"/>
                <w:szCs w:val="18"/>
                <w:lang w:val="en-GB"/>
              </w:rPr>
              <w:t xml:space="preserve">Description </w:t>
            </w:r>
          </w:p>
        </w:tc>
        <w:tc>
          <w:tcPr>
            <w:tcW w:w="1530" w:type="dxa"/>
            <w:vAlign w:val="center"/>
          </w:tcPr>
          <w:p w14:paraId="6177698C" w14:textId="41BD8554"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 xml:space="preserve">Government-regulated retail </w:t>
            </w:r>
            <w:r w:rsidR="000078F4" w:rsidRPr="002C01F9">
              <w:rPr>
                <w:rFonts w:ascii="Arial" w:hAnsi="Arial" w:cs="Arial"/>
                <w:sz w:val="18"/>
                <w:szCs w:val="18"/>
                <w:lang w:val="en-GB"/>
              </w:rPr>
              <w:t xml:space="preserve">outlets </w:t>
            </w:r>
            <w:r w:rsidRPr="002C01F9">
              <w:rPr>
                <w:rFonts w:ascii="Arial" w:hAnsi="Arial" w:cs="Arial"/>
                <w:sz w:val="18"/>
                <w:szCs w:val="18"/>
                <w:lang w:val="en-GB"/>
              </w:rPr>
              <w:t xml:space="preserve">offering wine, beer, </w:t>
            </w:r>
            <w:r w:rsidR="000078F4" w:rsidRPr="002C01F9">
              <w:rPr>
                <w:rFonts w:ascii="Arial" w:hAnsi="Arial" w:cs="Arial"/>
                <w:sz w:val="18"/>
                <w:szCs w:val="18"/>
                <w:lang w:val="en-GB"/>
              </w:rPr>
              <w:t xml:space="preserve">and </w:t>
            </w:r>
            <w:r w:rsidRPr="002C01F9">
              <w:rPr>
                <w:rFonts w:ascii="Arial" w:hAnsi="Arial" w:cs="Arial"/>
                <w:sz w:val="18"/>
                <w:szCs w:val="18"/>
                <w:lang w:val="en-GB"/>
              </w:rPr>
              <w:t>spirits</w:t>
            </w:r>
          </w:p>
        </w:tc>
        <w:tc>
          <w:tcPr>
            <w:tcW w:w="1440" w:type="dxa"/>
            <w:vAlign w:val="center"/>
          </w:tcPr>
          <w:p w14:paraId="3D190CCE" w14:textId="7B926447"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Restaurant</w:t>
            </w:r>
            <w:r w:rsidR="006F3545" w:rsidRPr="002C01F9">
              <w:rPr>
                <w:rFonts w:ascii="Arial" w:hAnsi="Arial" w:cs="Arial"/>
                <w:sz w:val="18"/>
                <w:szCs w:val="18"/>
                <w:lang w:val="en-GB"/>
              </w:rPr>
              <w:t>s</w:t>
            </w:r>
            <w:r w:rsidR="000078F4" w:rsidRPr="002C01F9">
              <w:rPr>
                <w:rFonts w:ascii="Arial" w:hAnsi="Arial" w:cs="Arial"/>
                <w:sz w:val="18"/>
                <w:szCs w:val="18"/>
                <w:lang w:val="en-GB"/>
              </w:rPr>
              <w:t xml:space="preserve"> and</w:t>
            </w:r>
            <w:r w:rsidRPr="002C01F9">
              <w:rPr>
                <w:rFonts w:ascii="Arial" w:hAnsi="Arial" w:cs="Arial"/>
                <w:sz w:val="18"/>
                <w:szCs w:val="18"/>
                <w:lang w:val="en-GB"/>
              </w:rPr>
              <w:t xml:space="preserve"> bars</w:t>
            </w:r>
          </w:p>
        </w:tc>
        <w:tc>
          <w:tcPr>
            <w:tcW w:w="1260" w:type="dxa"/>
            <w:vAlign w:val="center"/>
          </w:tcPr>
          <w:p w14:paraId="050D18BA" w14:textId="64D5414C"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Online distribution</w:t>
            </w:r>
          </w:p>
        </w:tc>
        <w:tc>
          <w:tcPr>
            <w:tcW w:w="1170" w:type="dxa"/>
            <w:vAlign w:val="center"/>
          </w:tcPr>
          <w:p w14:paraId="627A3B89" w14:textId="649DF869"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 xml:space="preserve">Government-regulated retail </w:t>
            </w:r>
            <w:r w:rsidR="000078F4" w:rsidRPr="002C01F9">
              <w:rPr>
                <w:rFonts w:ascii="Arial" w:hAnsi="Arial" w:cs="Arial"/>
                <w:sz w:val="18"/>
                <w:szCs w:val="18"/>
                <w:lang w:val="en-GB"/>
              </w:rPr>
              <w:t xml:space="preserve">outlets </w:t>
            </w:r>
            <w:r w:rsidRPr="002C01F9">
              <w:rPr>
                <w:rFonts w:ascii="Arial" w:hAnsi="Arial" w:cs="Arial"/>
                <w:sz w:val="18"/>
                <w:szCs w:val="18"/>
                <w:lang w:val="en-GB"/>
              </w:rPr>
              <w:t>offering beer</w:t>
            </w:r>
          </w:p>
        </w:tc>
        <w:tc>
          <w:tcPr>
            <w:tcW w:w="1568" w:type="dxa"/>
            <w:vAlign w:val="center"/>
          </w:tcPr>
          <w:p w14:paraId="064AD7CE" w14:textId="2C71E562"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Selling at own brick-and-mortar store</w:t>
            </w:r>
          </w:p>
        </w:tc>
        <w:tc>
          <w:tcPr>
            <w:tcW w:w="1127" w:type="dxa"/>
            <w:vAlign w:val="center"/>
          </w:tcPr>
          <w:p w14:paraId="0045B5EF" w14:textId="2879B114"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Producing beer for other companies</w:t>
            </w:r>
          </w:p>
        </w:tc>
      </w:tr>
      <w:tr w:rsidR="001466F9" w:rsidRPr="002C01F9" w14:paraId="1ED6A121" w14:textId="77777777" w:rsidTr="004E2F8C">
        <w:trPr>
          <w:tblHeader/>
        </w:trPr>
        <w:tc>
          <w:tcPr>
            <w:tcW w:w="1255" w:type="dxa"/>
            <w:vAlign w:val="center"/>
          </w:tcPr>
          <w:p w14:paraId="531B99E3" w14:textId="2E39F327"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Market potential</w:t>
            </w:r>
          </w:p>
        </w:tc>
        <w:tc>
          <w:tcPr>
            <w:tcW w:w="1530" w:type="dxa"/>
            <w:vAlign w:val="center"/>
          </w:tcPr>
          <w:p w14:paraId="64EB6E82" w14:textId="1487BB4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Provincial</w:t>
            </w:r>
          </w:p>
        </w:tc>
        <w:tc>
          <w:tcPr>
            <w:tcW w:w="1440" w:type="dxa"/>
            <w:vAlign w:val="center"/>
          </w:tcPr>
          <w:p w14:paraId="36FB5149" w14:textId="174A5D7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Provincial</w:t>
            </w:r>
          </w:p>
        </w:tc>
        <w:tc>
          <w:tcPr>
            <w:tcW w:w="1260" w:type="dxa"/>
            <w:vAlign w:val="center"/>
          </w:tcPr>
          <w:p w14:paraId="626A321D" w14:textId="1AF145F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Provincial</w:t>
            </w:r>
          </w:p>
        </w:tc>
        <w:tc>
          <w:tcPr>
            <w:tcW w:w="1170" w:type="dxa"/>
            <w:vAlign w:val="center"/>
          </w:tcPr>
          <w:p w14:paraId="1F115F26" w14:textId="362944E0"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Provincial</w:t>
            </w:r>
          </w:p>
        </w:tc>
        <w:tc>
          <w:tcPr>
            <w:tcW w:w="1568" w:type="dxa"/>
            <w:vAlign w:val="center"/>
          </w:tcPr>
          <w:p w14:paraId="787BFBC2" w14:textId="68441F49"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Local</w:t>
            </w:r>
          </w:p>
        </w:tc>
        <w:tc>
          <w:tcPr>
            <w:tcW w:w="1127" w:type="dxa"/>
            <w:vAlign w:val="center"/>
          </w:tcPr>
          <w:p w14:paraId="47764234" w14:textId="09EF19A9"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N/A</w:t>
            </w:r>
          </w:p>
        </w:tc>
      </w:tr>
      <w:tr w:rsidR="001466F9" w:rsidRPr="002C01F9" w14:paraId="4894F981" w14:textId="77777777" w:rsidTr="004E2F8C">
        <w:trPr>
          <w:tblHeader/>
        </w:trPr>
        <w:tc>
          <w:tcPr>
            <w:tcW w:w="1255" w:type="dxa"/>
            <w:vAlign w:val="center"/>
          </w:tcPr>
          <w:p w14:paraId="2AF03978" w14:textId="6E3E43B6"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Percentage of revenues</w:t>
            </w:r>
          </w:p>
        </w:tc>
        <w:tc>
          <w:tcPr>
            <w:tcW w:w="1530" w:type="dxa"/>
            <w:vAlign w:val="center"/>
          </w:tcPr>
          <w:p w14:paraId="5CD97933" w14:textId="65B87D66"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25%</w:t>
            </w:r>
          </w:p>
        </w:tc>
        <w:tc>
          <w:tcPr>
            <w:tcW w:w="1440" w:type="dxa"/>
            <w:vAlign w:val="center"/>
          </w:tcPr>
          <w:p w14:paraId="1E0B73BE" w14:textId="71AF9BA0"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30%</w:t>
            </w:r>
          </w:p>
        </w:tc>
        <w:tc>
          <w:tcPr>
            <w:tcW w:w="1260" w:type="dxa"/>
            <w:vAlign w:val="center"/>
          </w:tcPr>
          <w:p w14:paraId="38640E2D" w14:textId="78F246B4"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Negligible</w:t>
            </w:r>
          </w:p>
        </w:tc>
        <w:tc>
          <w:tcPr>
            <w:tcW w:w="1170" w:type="dxa"/>
            <w:vAlign w:val="center"/>
          </w:tcPr>
          <w:p w14:paraId="71809921" w14:textId="018F51B8"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10%</w:t>
            </w:r>
          </w:p>
        </w:tc>
        <w:tc>
          <w:tcPr>
            <w:tcW w:w="1568" w:type="dxa"/>
            <w:vAlign w:val="center"/>
          </w:tcPr>
          <w:p w14:paraId="6D7F7D73" w14:textId="723EA9B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10%</w:t>
            </w:r>
          </w:p>
        </w:tc>
        <w:tc>
          <w:tcPr>
            <w:tcW w:w="1127" w:type="dxa"/>
            <w:vAlign w:val="center"/>
          </w:tcPr>
          <w:p w14:paraId="4EFC855C" w14:textId="69023303"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25%</w:t>
            </w:r>
          </w:p>
        </w:tc>
      </w:tr>
      <w:tr w:rsidR="001466F9" w:rsidRPr="002C01F9" w14:paraId="0410BF5B" w14:textId="77777777" w:rsidTr="004E2F8C">
        <w:trPr>
          <w:tblHeader/>
        </w:trPr>
        <w:tc>
          <w:tcPr>
            <w:tcW w:w="1255" w:type="dxa"/>
            <w:vAlign w:val="center"/>
          </w:tcPr>
          <w:p w14:paraId="1634B6F6" w14:textId="5F889CB1"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Profit margin</w:t>
            </w:r>
          </w:p>
        </w:tc>
        <w:tc>
          <w:tcPr>
            <w:tcW w:w="1530" w:type="dxa"/>
            <w:vAlign w:val="center"/>
          </w:tcPr>
          <w:p w14:paraId="7F5BC0D2" w14:textId="16F00C5E"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440" w:type="dxa"/>
            <w:vAlign w:val="center"/>
          </w:tcPr>
          <w:p w14:paraId="7E014719" w14:textId="1217325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260" w:type="dxa"/>
            <w:vAlign w:val="center"/>
          </w:tcPr>
          <w:p w14:paraId="12119261" w14:textId="1EF3E6D0"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170" w:type="dxa"/>
            <w:vAlign w:val="center"/>
          </w:tcPr>
          <w:p w14:paraId="4729564D" w14:textId="0DEA88E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568" w:type="dxa"/>
            <w:vAlign w:val="center"/>
          </w:tcPr>
          <w:p w14:paraId="17E09141" w14:textId="79933A31"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127" w:type="dxa"/>
            <w:vAlign w:val="center"/>
          </w:tcPr>
          <w:p w14:paraId="1D3136D1" w14:textId="202C6B0E"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Medium</w:t>
            </w:r>
          </w:p>
        </w:tc>
      </w:tr>
      <w:tr w:rsidR="001466F9" w:rsidRPr="002C01F9" w14:paraId="4D8A42CB" w14:textId="77777777" w:rsidTr="004E2F8C">
        <w:trPr>
          <w:tblHeader/>
        </w:trPr>
        <w:tc>
          <w:tcPr>
            <w:tcW w:w="1255" w:type="dxa"/>
            <w:vAlign w:val="center"/>
          </w:tcPr>
          <w:p w14:paraId="1189A7DB" w14:textId="0C16E592"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Ease of access to market</w:t>
            </w:r>
          </w:p>
        </w:tc>
        <w:tc>
          <w:tcPr>
            <w:tcW w:w="1530" w:type="dxa"/>
            <w:vAlign w:val="center"/>
          </w:tcPr>
          <w:p w14:paraId="68F92CF6" w14:textId="6571CD4E"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Difficult</w:t>
            </w:r>
          </w:p>
        </w:tc>
        <w:tc>
          <w:tcPr>
            <w:tcW w:w="1440" w:type="dxa"/>
            <w:vAlign w:val="center"/>
          </w:tcPr>
          <w:p w14:paraId="3A3EC03F" w14:textId="59DE1D2C"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Difficult</w:t>
            </w:r>
          </w:p>
        </w:tc>
        <w:tc>
          <w:tcPr>
            <w:tcW w:w="1260" w:type="dxa"/>
            <w:vAlign w:val="center"/>
          </w:tcPr>
          <w:p w14:paraId="1461F36D" w14:textId="39121A25"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Easy</w:t>
            </w:r>
          </w:p>
        </w:tc>
        <w:tc>
          <w:tcPr>
            <w:tcW w:w="1170" w:type="dxa"/>
            <w:vAlign w:val="center"/>
          </w:tcPr>
          <w:p w14:paraId="0CC45B77" w14:textId="0681CC45"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Difficult</w:t>
            </w:r>
          </w:p>
        </w:tc>
        <w:tc>
          <w:tcPr>
            <w:tcW w:w="1568" w:type="dxa"/>
            <w:vAlign w:val="center"/>
          </w:tcPr>
          <w:p w14:paraId="63F5A6EA" w14:textId="3C8629D7"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Easy</w:t>
            </w:r>
          </w:p>
        </w:tc>
        <w:tc>
          <w:tcPr>
            <w:tcW w:w="1127" w:type="dxa"/>
            <w:vAlign w:val="center"/>
          </w:tcPr>
          <w:p w14:paraId="6211522C" w14:textId="01FFEE7B"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Medium</w:t>
            </w:r>
          </w:p>
        </w:tc>
      </w:tr>
      <w:tr w:rsidR="001466F9" w:rsidRPr="002C01F9" w14:paraId="078EE766" w14:textId="77777777" w:rsidTr="004E2F8C">
        <w:trPr>
          <w:tblHeader/>
        </w:trPr>
        <w:tc>
          <w:tcPr>
            <w:tcW w:w="1255" w:type="dxa"/>
            <w:vAlign w:val="center"/>
          </w:tcPr>
          <w:p w14:paraId="4688A6A8" w14:textId="77777777" w:rsidR="00FA0313" w:rsidRPr="002C01F9" w:rsidRDefault="00FA0313" w:rsidP="002C01F9">
            <w:pPr>
              <w:spacing w:line="276" w:lineRule="auto"/>
              <w:rPr>
                <w:rFonts w:ascii="Arial" w:hAnsi="Arial" w:cs="Arial"/>
                <w:b/>
                <w:bCs/>
                <w:sz w:val="18"/>
                <w:szCs w:val="18"/>
                <w:lang w:val="en-GB"/>
              </w:rPr>
            </w:pPr>
            <w:r w:rsidRPr="002C01F9">
              <w:rPr>
                <w:rFonts w:ascii="Arial" w:hAnsi="Arial" w:cs="Arial"/>
                <w:b/>
                <w:bCs/>
                <w:sz w:val="18"/>
                <w:szCs w:val="18"/>
                <w:lang w:val="en-GB"/>
              </w:rPr>
              <w:t>Customer insights</w:t>
            </w:r>
          </w:p>
          <w:p w14:paraId="3999632C" w14:textId="77777777" w:rsidR="000078F4" w:rsidRPr="002C01F9" w:rsidRDefault="000078F4" w:rsidP="002C01F9">
            <w:pPr>
              <w:spacing w:line="276" w:lineRule="auto"/>
              <w:rPr>
                <w:rFonts w:ascii="Arial" w:hAnsi="Arial" w:cs="Arial"/>
                <w:b/>
                <w:bCs/>
                <w:sz w:val="18"/>
                <w:szCs w:val="18"/>
                <w:lang w:val="en-GB"/>
              </w:rPr>
            </w:pPr>
          </w:p>
          <w:p w14:paraId="4C31334C" w14:textId="30229420" w:rsidR="000078F4" w:rsidRPr="002C01F9" w:rsidRDefault="000078F4" w:rsidP="002C01F9">
            <w:pPr>
              <w:spacing w:line="276" w:lineRule="auto"/>
              <w:rPr>
                <w:b/>
                <w:bCs/>
                <w:sz w:val="18"/>
                <w:szCs w:val="18"/>
                <w:lang w:val="en-GB"/>
              </w:rPr>
            </w:pPr>
          </w:p>
        </w:tc>
        <w:tc>
          <w:tcPr>
            <w:tcW w:w="1530" w:type="dxa"/>
            <w:vAlign w:val="center"/>
          </w:tcPr>
          <w:p w14:paraId="1689C460" w14:textId="79879D69" w:rsidR="000078F4" w:rsidRPr="002C01F9" w:rsidRDefault="00FA0313" w:rsidP="002C01F9">
            <w:pPr>
              <w:spacing w:line="276" w:lineRule="auto"/>
              <w:jc w:val="center"/>
              <w:rPr>
                <w:sz w:val="18"/>
                <w:szCs w:val="18"/>
                <w:lang w:val="en-GB"/>
              </w:rPr>
            </w:pPr>
            <w:proofErr w:type="spellStart"/>
            <w:r w:rsidRPr="002C01F9">
              <w:rPr>
                <w:rFonts w:ascii="Arial" w:hAnsi="Arial" w:cs="Arial"/>
                <w:sz w:val="18"/>
                <w:szCs w:val="18"/>
                <w:lang w:val="en-GB"/>
              </w:rPr>
              <w:t>DigThisData</w:t>
            </w:r>
            <w:proofErr w:type="spellEnd"/>
            <w:r w:rsidR="00D25DB2" w:rsidRPr="002C01F9">
              <w:rPr>
                <w:rFonts w:ascii="Arial" w:hAnsi="Arial" w:cs="Arial"/>
                <w:sz w:val="18"/>
                <w:szCs w:val="18"/>
                <w:lang w:val="en-GB"/>
              </w:rPr>
              <w:t xml:space="preserve"> online platform analytics</w:t>
            </w:r>
          </w:p>
        </w:tc>
        <w:tc>
          <w:tcPr>
            <w:tcW w:w="1440" w:type="dxa"/>
            <w:vAlign w:val="center"/>
          </w:tcPr>
          <w:p w14:paraId="3E3F6194" w14:textId="62AECA24" w:rsidR="000078F4" w:rsidRPr="002C01F9" w:rsidRDefault="00D25DB2" w:rsidP="002C01F9">
            <w:pPr>
              <w:spacing w:line="276" w:lineRule="auto"/>
              <w:jc w:val="center"/>
              <w:rPr>
                <w:sz w:val="18"/>
                <w:szCs w:val="18"/>
                <w:lang w:val="en-GB"/>
              </w:rPr>
            </w:pPr>
            <w:r w:rsidRPr="002C01F9">
              <w:rPr>
                <w:rFonts w:ascii="Arial" w:hAnsi="Arial" w:cs="Arial"/>
                <w:sz w:val="18"/>
                <w:szCs w:val="18"/>
                <w:lang w:val="en-GB"/>
              </w:rPr>
              <w:t>D</w:t>
            </w:r>
            <w:r w:rsidR="00FA0313" w:rsidRPr="002C01F9">
              <w:rPr>
                <w:rFonts w:ascii="Arial" w:hAnsi="Arial" w:cs="Arial"/>
                <w:sz w:val="18"/>
                <w:szCs w:val="18"/>
                <w:lang w:val="en-GB"/>
              </w:rPr>
              <w:t>elivery and sales rep</w:t>
            </w:r>
            <w:r w:rsidRPr="002C01F9">
              <w:rPr>
                <w:rFonts w:ascii="Arial" w:hAnsi="Arial" w:cs="Arial"/>
                <w:sz w:val="18"/>
                <w:szCs w:val="18"/>
                <w:lang w:val="en-GB"/>
              </w:rPr>
              <w:t>resentatives</w:t>
            </w:r>
          </w:p>
        </w:tc>
        <w:tc>
          <w:tcPr>
            <w:tcW w:w="1260" w:type="dxa"/>
            <w:vAlign w:val="center"/>
          </w:tcPr>
          <w:p w14:paraId="208F4847" w14:textId="42B734FC"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Shopify</w:t>
            </w:r>
            <w:r w:rsidR="00D25DB2" w:rsidRPr="002C01F9">
              <w:rPr>
                <w:rFonts w:ascii="Arial" w:hAnsi="Arial" w:cs="Arial"/>
                <w:sz w:val="18"/>
                <w:szCs w:val="18"/>
                <w:lang w:val="en-GB"/>
              </w:rPr>
              <w:t xml:space="preserve"> online platform </w:t>
            </w:r>
            <w:r w:rsidRPr="002C01F9">
              <w:rPr>
                <w:rFonts w:ascii="Arial" w:hAnsi="Arial" w:cs="Arial"/>
                <w:sz w:val="18"/>
                <w:szCs w:val="18"/>
                <w:lang w:val="en-GB"/>
              </w:rPr>
              <w:t>analytics</w:t>
            </w:r>
          </w:p>
        </w:tc>
        <w:tc>
          <w:tcPr>
            <w:tcW w:w="1170" w:type="dxa"/>
            <w:vAlign w:val="center"/>
          </w:tcPr>
          <w:p w14:paraId="33D499A5" w14:textId="55DAF8A8" w:rsidR="00FA0313" w:rsidRPr="002C01F9" w:rsidRDefault="00FA0313" w:rsidP="002C01F9">
            <w:pPr>
              <w:spacing w:line="276" w:lineRule="auto"/>
              <w:jc w:val="center"/>
              <w:rPr>
                <w:sz w:val="18"/>
                <w:szCs w:val="18"/>
                <w:lang w:val="en-GB"/>
              </w:rPr>
            </w:pPr>
            <w:proofErr w:type="spellStart"/>
            <w:r w:rsidRPr="002C01F9">
              <w:rPr>
                <w:rFonts w:ascii="Arial" w:hAnsi="Arial" w:cs="Arial"/>
                <w:sz w:val="18"/>
                <w:szCs w:val="18"/>
                <w:lang w:val="en-GB"/>
              </w:rPr>
              <w:t>DigThisData</w:t>
            </w:r>
            <w:proofErr w:type="spellEnd"/>
            <w:r w:rsidR="00D25DB2" w:rsidRPr="002C01F9">
              <w:rPr>
                <w:rFonts w:ascii="Arial" w:hAnsi="Arial" w:cs="Arial"/>
                <w:sz w:val="18"/>
                <w:szCs w:val="18"/>
                <w:lang w:val="en-GB"/>
              </w:rPr>
              <w:t xml:space="preserve"> online platform analytics</w:t>
            </w:r>
          </w:p>
        </w:tc>
        <w:tc>
          <w:tcPr>
            <w:tcW w:w="1568" w:type="dxa"/>
            <w:vAlign w:val="center"/>
          </w:tcPr>
          <w:p w14:paraId="7E171E36" w14:textId="0978843D" w:rsidR="00FA0313" w:rsidRPr="002C01F9" w:rsidRDefault="00D25DB2" w:rsidP="002C01F9">
            <w:pPr>
              <w:spacing w:line="276" w:lineRule="auto"/>
              <w:jc w:val="center"/>
              <w:rPr>
                <w:sz w:val="18"/>
                <w:szCs w:val="18"/>
                <w:lang w:val="en-GB"/>
              </w:rPr>
            </w:pPr>
            <w:r w:rsidRPr="002C01F9">
              <w:rPr>
                <w:rFonts w:ascii="Arial" w:hAnsi="Arial" w:cs="Arial"/>
                <w:sz w:val="18"/>
                <w:szCs w:val="18"/>
                <w:lang w:val="en-GB"/>
              </w:rPr>
              <w:t>P</w:t>
            </w:r>
            <w:r w:rsidR="00FA0313" w:rsidRPr="002C01F9">
              <w:rPr>
                <w:rFonts w:ascii="Arial" w:hAnsi="Arial" w:cs="Arial"/>
                <w:sz w:val="18"/>
                <w:szCs w:val="18"/>
                <w:lang w:val="en-GB"/>
              </w:rPr>
              <w:t xml:space="preserve">ersonal contact and </w:t>
            </w:r>
            <w:proofErr w:type="spellStart"/>
            <w:r w:rsidR="006F3545" w:rsidRPr="002C01F9">
              <w:rPr>
                <w:rFonts w:ascii="Arial" w:hAnsi="Arial" w:cs="Arial"/>
                <w:sz w:val="18"/>
                <w:szCs w:val="18"/>
                <w:lang w:val="en-GB"/>
              </w:rPr>
              <w:t>TouchBistro</w:t>
            </w:r>
            <w:proofErr w:type="spellEnd"/>
            <w:r w:rsidR="006F3545" w:rsidRPr="002C01F9">
              <w:rPr>
                <w:rFonts w:ascii="Arial" w:hAnsi="Arial" w:cs="Arial"/>
                <w:sz w:val="18"/>
                <w:szCs w:val="18"/>
                <w:lang w:val="en-GB"/>
              </w:rPr>
              <w:t xml:space="preserve"> </w:t>
            </w:r>
            <w:r w:rsidR="00FA0313" w:rsidRPr="002C01F9">
              <w:rPr>
                <w:rFonts w:ascii="Arial" w:hAnsi="Arial" w:cs="Arial"/>
                <w:sz w:val="18"/>
                <w:szCs w:val="18"/>
                <w:lang w:val="en-GB"/>
              </w:rPr>
              <w:t>point</w:t>
            </w:r>
            <w:r w:rsidRPr="002C01F9">
              <w:rPr>
                <w:rFonts w:ascii="Arial" w:hAnsi="Arial" w:cs="Arial"/>
                <w:sz w:val="18"/>
                <w:szCs w:val="18"/>
                <w:lang w:val="en-GB"/>
              </w:rPr>
              <w:t>-</w:t>
            </w:r>
            <w:r w:rsidR="00FA0313" w:rsidRPr="002C01F9">
              <w:rPr>
                <w:rFonts w:ascii="Arial" w:hAnsi="Arial" w:cs="Arial"/>
                <w:sz w:val="18"/>
                <w:szCs w:val="18"/>
                <w:lang w:val="en-GB"/>
              </w:rPr>
              <w:t>of</w:t>
            </w:r>
            <w:r w:rsidRPr="002C01F9">
              <w:rPr>
                <w:rFonts w:ascii="Arial" w:hAnsi="Arial" w:cs="Arial"/>
                <w:sz w:val="18"/>
                <w:szCs w:val="18"/>
                <w:lang w:val="en-GB"/>
              </w:rPr>
              <w:t>-</w:t>
            </w:r>
            <w:r w:rsidR="00FA0313" w:rsidRPr="002C01F9">
              <w:rPr>
                <w:rFonts w:ascii="Arial" w:hAnsi="Arial" w:cs="Arial"/>
                <w:sz w:val="18"/>
                <w:szCs w:val="18"/>
                <w:lang w:val="en-GB"/>
              </w:rPr>
              <w:t>sale system</w:t>
            </w:r>
          </w:p>
        </w:tc>
        <w:tc>
          <w:tcPr>
            <w:tcW w:w="1127" w:type="dxa"/>
            <w:vAlign w:val="center"/>
          </w:tcPr>
          <w:p w14:paraId="57EF0490" w14:textId="708A0250" w:rsidR="000078F4" w:rsidRPr="002C01F9" w:rsidRDefault="00FA0313" w:rsidP="002C01F9">
            <w:pPr>
              <w:spacing w:line="276" w:lineRule="auto"/>
              <w:jc w:val="center"/>
              <w:rPr>
                <w:sz w:val="18"/>
                <w:szCs w:val="18"/>
                <w:lang w:val="en-GB"/>
              </w:rPr>
            </w:pPr>
            <w:r w:rsidRPr="002C01F9">
              <w:rPr>
                <w:rFonts w:ascii="Arial" w:hAnsi="Arial" w:cs="Arial"/>
                <w:sz w:val="18"/>
                <w:szCs w:val="18"/>
                <w:lang w:val="en-GB"/>
              </w:rPr>
              <w:t>N/A</w:t>
            </w:r>
          </w:p>
        </w:tc>
      </w:tr>
      <w:tr w:rsidR="001466F9" w:rsidRPr="002C01F9" w14:paraId="3FADBCCD" w14:textId="77777777" w:rsidTr="004E2F8C">
        <w:trPr>
          <w:tblHeader/>
        </w:trPr>
        <w:tc>
          <w:tcPr>
            <w:tcW w:w="1255" w:type="dxa"/>
            <w:vAlign w:val="center"/>
          </w:tcPr>
          <w:p w14:paraId="104FFACA" w14:textId="173218B9"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Brand recognition</w:t>
            </w:r>
          </w:p>
        </w:tc>
        <w:tc>
          <w:tcPr>
            <w:tcW w:w="1530" w:type="dxa"/>
            <w:vAlign w:val="center"/>
          </w:tcPr>
          <w:p w14:paraId="6754DCD7" w14:textId="77EB2DD2"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440" w:type="dxa"/>
            <w:vAlign w:val="center"/>
          </w:tcPr>
          <w:p w14:paraId="3DA90C8E" w14:textId="1449CF79"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260" w:type="dxa"/>
            <w:vAlign w:val="center"/>
          </w:tcPr>
          <w:p w14:paraId="1953855F" w14:textId="6EA903EF"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170" w:type="dxa"/>
            <w:vAlign w:val="center"/>
          </w:tcPr>
          <w:p w14:paraId="34304290" w14:textId="6508E3C1"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Medium</w:t>
            </w:r>
          </w:p>
        </w:tc>
        <w:tc>
          <w:tcPr>
            <w:tcW w:w="1568" w:type="dxa"/>
            <w:vAlign w:val="center"/>
          </w:tcPr>
          <w:p w14:paraId="3A7658DE" w14:textId="21164DB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Medium</w:t>
            </w:r>
          </w:p>
        </w:tc>
        <w:tc>
          <w:tcPr>
            <w:tcW w:w="1127" w:type="dxa"/>
            <w:vAlign w:val="center"/>
          </w:tcPr>
          <w:p w14:paraId="693C0C38" w14:textId="6FB11157"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None</w:t>
            </w:r>
          </w:p>
        </w:tc>
      </w:tr>
      <w:tr w:rsidR="001466F9" w:rsidRPr="002C01F9" w14:paraId="47DC1998" w14:textId="77777777" w:rsidTr="004E2F8C">
        <w:trPr>
          <w:tblHeader/>
        </w:trPr>
        <w:tc>
          <w:tcPr>
            <w:tcW w:w="1255" w:type="dxa"/>
            <w:vAlign w:val="center"/>
          </w:tcPr>
          <w:p w14:paraId="0730D300" w14:textId="2C9E0B92"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Dedicated sales team</w:t>
            </w:r>
          </w:p>
        </w:tc>
        <w:tc>
          <w:tcPr>
            <w:tcW w:w="1530" w:type="dxa"/>
            <w:vAlign w:val="center"/>
          </w:tcPr>
          <w:p w14:paraId="771B6842" w14:textId="462EB6BB"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Yes</w:t>
            </w:r>
          </w:p>
        </w:tc>
        <w:tc>
          <w:tcPr>
            <w:tcW w:w="1440" w:type="dxa"/>
            <w:vAlign w:val="center"/>
          </w:tcPr>
          <w:p w14:paraId="717BB432" w14:textId="092503D8"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Yes</w:t>
            </w:r>
          </w:p>
        </w:tc>
        <w:tc>
          <w:tcPr>
            <w:tcW w:w="1260" w:type="dxa"/>
            <w:vAlign w:val="center"/>
          </w:tcPr>
          <w:p w14:paraId="31BCC4B2" w14:textId="6C113C20"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N/A</w:t>
            </w:r>
          </w:p>
        </w:tc>
        <w:tc>
          <w:tcPr>
            <w:tcW w:w="1170" w:type="dxa"/>
            <w:vAlign w:val="center"/>
          </w:tcPr>
          <w:p w14:paraId="31D2B51C" w14:textId="6C3C7C7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Yes</w:t>
            </w:r>
          </w:p>
        </w:tc>
        <w:tc>
          <w:tcPr>
            <w:tcW w:w="1568" w:type="dxa"/>
            <w:vAlign w:val="center"/>
          </w:tcPr>
          <w:p w14:paraId="7B7AC1D8" w14:textId="6780410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N/A</w:t>
            </w:r>
          </w:p>
        </w:tc>
        <w:tc>
          <w:tcPr>
            <w:tcW w:w="1127" w:type="dxa"/>
            <w:vAlign w:val="center"/>
          </w:tcPr>
          <w:p w14:paraId="2F6B7108" w14:textId="3E4C0C0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N/A</w:t>
            </w:r>
          </w:p>
        </w:tc>
      </w:tr>
      <w:tr w:rsidR="001466F9" w:rsidRPr="002C01F9" w14:paraId="38E031D2" w14:textId="77777777" w:rsidTr="004E2F8C">
        <w:trPr>
          <w:tblHeader/>
        </w:trPr>
        <w:tc>
          <w:tcPr>
            <w:tcW w:w="1255" w:type="dxa"/>
            <w:vAlign w:val="center"/>
          </w:tcPr>
          <w:p w14:paraId="61CEC651" w14:textId="322082F1" w:rsidR="00FA0313" w:rsidRPr="002C01F9" w:rsidRDefault="00FA0313" w:rsidP="002C01F9">
            <w:pPr>
              <w:spacing w:line="276" w:lineRule="auto"/>
              <w:rPr>
                <w:b/>
                <w:bCs/>
                <w:sz w:val="18"/>
                <w:szCs w:val="18"/>
                <w:lang w:val="en-GB"/>
              </w:rPr>
            </w:pPr>
            <w:r w:rsidRPr="002C01F9">
              <w:rPr>
                <w:rFonts w:ascii="Arial" w:hAnsi="Arial" w:cs="Arial"/>
                <w:b/>
                <w:bCs/>
                <w:sz w:val="18"/>
                <w:szCs w:val="18"/>
                <w:lang w:val="en-GB"/>
              </w:rPr>
              <w:t>Opportunities for growth</w:t>
            </w:r>
          </w:p>
        </w:tc>
        <w:tc>
          <w:tcPr>
            <w:tcW w:w="1530" w:type="dxa"/>
            <w:vAlign w:val="center"/>
          </w:tcPr>
          <w:p w14:paraId="549AF30E" w14:textId="244C336A"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High</w:t>
            </w:r>
          </w:p>
        </w:tc>
        <w:tc>
          <w:tcPr>
            <w:tcW w:w="1440" w:type="dxa"/>
            <w:vAlign w:val="center"/>
          </w:tcPr>
          <w:p w14:paraId="576B53ED" w14:textId="1A5D3783"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Medium</w:t>
            </w:r>
          </w:p>
        </w:tc>
        <w:tc>
          <w:tcPr>
            <w:tcW w:w="1260" w:type="dxa"/>
            <w:vAlign w:val="center"/>
          </w:tcPr>
          <w:p w14:paraId="4B7F7DE5" w14:textId="05275371"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170" w:type="dxa"/>
            <w:vAlign w:val="center"/>
          </w:tcPr>
          <w:p w14:paraId="750D8903" w14:textId="50B8C807"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568" w:type="dxa"/>
            <w:vAlign w:val="center"/>
          </w:tcPr>
          <w:p w14:paraId="234E3B97" w14:textId="5BDE944D"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c>
          <w:tcPr>
            <w:tcW w:w="1127" w:type="dxa"/>
            <w:vAlign w:val="center"/>
          </w:tcPr>
          <w:p w14:paraId="0B50E14E" w14:textId="04EC2D10" w:rsidR="00FA0313" w:rsidRPr="002C01F9" w:rsidRDefault="00FA0313" w:rsidP="002C01F9">
            <w:pPr>
              <w:spacing w:line="276" w:lineRule="auto"/>
              <w:jc w:val="center"/>
              <w:rPr>
                <w:sz w:val="18"/>
                <w:szCs w:val="18"/>
                <w:lang w:val="en-GB"/>
              </w:rPr>
            </w:pPr>
            <w:r w:rsidRPr="002C01F9">
              <w:rPr>
                <w:rFonts w:ascii="Arial" w:hAnsi="Arial" w:cs="Arial"/>
                <w:sz w:val="18"/>
                <w:szCs w:val="18"/>
                <w:lang w:val="en-GB"/>
              </w:rPr>
              <w:t>Low</w:t>
            </w:r>
          </w:p>
        </w:tc>
      </w:tr>
      <w:bookmarkEnd w:id="2"/>
    </w:tbl>
    <w:p w14:paraId="03C5CC66" w14:textId="77777777" w:rsidR="004E0E5C" w:rsidRPr="00946435" w:rsidRDefault="004E0E5C" w:rsidP="004E0E5C">
      <w:pPr>
        <w:pStyle w:val="Footnote"/>
        <w:rPr>
          <w:rStyle w:val="normaltextrun"/>
          <w:lang w:val="en-GB"/>
        </w:rPr>
      </w:pPr>
    </w:p>
    <w:p w14:paraId="66EE7133" w14:textId="5DED37B6" w:rsidR="000078F4" w:rsidRDefault="000078F4" w:rsidP="003D598D">
      <w:pPr>
        <w:pStyle w:val="Footnote"/>
        <w:rPr>
          <w:rStyle w:val="normaltextrun"/>
          <w:lang w:val="en-GB"/>
        </w:rPr>
      </w:pPr>
      <w:r>
        <w:rPr>
          <w:rStyle w:val="normaltextrun"/>
          <w:lang w:val="en-GB"/>
        </w:rPr>
        <w:t>Note: N/A = not applicable</w:t>
      </w:r>
      <w:r w:rsidR="0055251B">
        <w:rPr>
          <w:rStyle w:val="normaltextrun"/>
          <w:lang w:val="en-GB"/>
        </w:rPr>
        <w:t>.</w:t>
      </w:r>
    </w:p>
    <w:p w14:paraId="1F9E178A" w14:textId="6F7B440C" w:rsidR="009424DA" w:rsidRPr="00946435" w:rsidRDefault="004E0E5C" w:rsidP="003D598D">
      <w:pPr>
        <w:pStyle w:val="Footnote"/>
        <w:rPr>
          <w:b/>
          <w:caps/>
          <w:lang w:val="en-GB"/>
        </w:rPr>
      </w:pPr>
      <w:r w:rsidRPr="00946435">
        <w:rPr>
          <w:rStyle w:val="normaltextrun"/>
          <w:lang w:val="en-GB"/>
        </w:rPr>
        <w:t>Source: Company files.</w:t>
      </w:r>
      <w:r w:rsidRPr="00946435">
        <w:rPr>
          <w:lang w:val="en-GB"/>
        </w:rPr>
        <w:t xml:space="preserve"> </w:t>
      </w:r>
      <w:r w:rsidR="009424DA" w:rsidRPr="00946435">
        <w:rPr>
          <w:lang w:val="en-GB"/>
        </w:rPr>
        <w:br w:type="page"/>
      </w:r>
    </w:p>
    <w:p w14:paraId="6B663832" w14:textId="77777777" w:rsidR="008333EC" w:rsidRPr="00946435" w:rsidRDefault="008333EC" w:rsidP="003D598D">
      <w:pPr>
        <w:pStyle w:val="Footnote"/>
        <w:rPr>
          <w:lang w:val="en-GB"/>
        </w:rPr>
        <w:sectPr w:rsidR="008333EC" w:rsidRPr="00946435" w:rsidSect="0000179D">
          <w:headerReference w:type="default" r:id="rId10"/>
          <w:endnotePr>
            <w:numFmt w:val="decimal"/>
          </w:endnotePr>
          <w:pgSz w:w="12240" w:h="15840" w:code="1"/>
          <w:pgMar w:top="1440" w:right="1440" w:bottom="1440" w:left="1440" w:header="1080" w:footer="720" w:gutter="0"/>
          <w:cols w:space="720"/>
          <w:titlePg/>
          <w:docGrid w:linePitch="360"/>
        </w:sectPr>
      </w:pPr>
    </w:p>
    <w:p w14:paraId="1D556364" w14:textId="6B3BACEF" w:rsidR="009424DA" w:rsidRPr="00946435" w:rsidRDefault="008333EC" w:rsidP="008333EC">
      <w:pPr>
        <w:pStyle w:val="Casehead1"/>
        <w:rPr>
          <w:lang w:val="en-GB"/>
        </w:rPr>
      </w:pPr>
      <w:r w:rsidRPr="00946435">
        <w:rPr>
          <w:lang w:val="en-GB"/>
        </w:rPr>
        <w:lastRenderedPageBreak/>
        <w:t>endnotes</w:t>
      </w:r>
    </w:p>
    <w:sectPr w:rsidR="009424DA" w:rsidRPr="00946435" w:rsidSect="008333EC">
      <w:headerReference w:type="default" r:id="rId11"/>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F0A42" w16cex:dateUtc="2021-03-19T15:32:00Z"/>
  <w16cex:commentExtensible w16cex:durableId="2430E7F2" w16cex:dateUtc="2021-04-26T11:19:00Z"/>
  <w16cex:commentExtensible w16cex:durableId="2430E89F" w16cex:dateUtc="2021-04-26T11:22:00Z"/>
  <w16cex:commentExtensible w16cex:durableId="2430E8C9" w16cex:dateUtc="2021-04-26T11:22:00Z"/>
  <w16cex:commentExtensible w16cex:durableId="240C4811" w16cex:dateUtc="2021-03-29T16:35:00Z"/>
  <w16cex:commentExtensible w16cex:durableId="2430E8EF" w16cex:dateUtc="2021-04-26T11:23:00Z"/>
  <w16cex:commentExtensible w16cex:durableId="2430E90C" w16cex:dateUtc="2021-04-26T11: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497AF" w14:textId="77777777" w:rsidR="00670E73" w:rsidRDefault="00670E73" w:rsidP="00D75295">
      <w:r>
        <w:separator/>
      </w:r>
    </w:p>
  </w:endnote>
  <w:endnote w:type="continuationSeparator" w:id="0">
    <w:p w14:paraId="61EC97F6" w14:textId="77777777" w:rsidR="00670E73" w:rsidRDefault="00670E73" w:rsidP="00D75295">
      <w:r>
        <w:continuationSeparator/>
      </w:r>
    </w:p>
  </w:endnote>
  <w:endnote w:id="1">
    <w:p w14:paraId="73EE1156" w14:textId="0E0F0B34" w:rsidR="00356320" w:rsidRPr="002C01F9" w:rsidRDefault="00356320">
      <w:pPr>
        <w:pStyle w:val="EndnoteText"/>
        <w:rPr>
          <w:rFonts w:ascii="Arial" w:hAnsi="Arial" w:cs="Arial"/>
          <w:sz w:val="15"/>
          <w:szCs w:val="15"/>
          <w:lang w:val="en-CA"/>
        </w:rPr>
      </w:pPr>
      <w:r w:rsidRPr="002C01F9">
        <w:rPr>
          <w:rStyle w:val="EndnoteReference"/>
          <w:rFonts w:ascii="Arial" w:hAnsi="Arial" w:cs="Arial"/>
          <w:sz w:val="15"/>
          <w:szCs w:val="15"/>
        </w:rPr>
        <w:endnoteRef/>
      </w:r>
      <w:r w:rsidRPr="002C01F9">
        <w:rPr>
          <w:rFonts w:ascii="Arial" w:hAnsi="Arial" w:cs="Arial"/>
          <w:sz w:val="15"/>
          <w:szCs w:val="15"/>
        </w:rPr>
        <w:t xml:space="preserve"> </w:t>
      </w:r>
      <w:r w:rsidRPr="002C01F9">
        <w:rPr>
          <w:rFonts w:ascii="Arial" w:hAnsi="Arial" w:cs="Arial"/>
          <w:sz w:val="15"/>
          <w:szCs w:val="15"/>
          <w:lang w:val="en-CA"/>
        </w:rPr>
        <w:t>All currency amounts are in CA$ unless otherwise specified.</w:t>
      </w:r>
    </w:p>
  </w:endnote>
  <w:endnote w:id="2">
    <w:p w14:paraId="3FA736D3" w14:textId="28A35BB3"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Government of Canada, Agriculture and Agri-Food Canada, “Customized Report Service—The Beer Market in Canada and Craft Beer Trends,” January 8, 2020, accessed May 10, 2020, www.agr.gc.ca/eng/international-trade/market-intelligence/reports/customized-report-service-the-beer-market-in-canada-and-craft-beer-trends/?id=1577715795738.</w:t>
      </w:r>
    </w:p>
  </w:endnote>
  <w:endnote w:id="3">
    <w:p w14:paraId="0CEF24A8" w14:textId="649D5319" w:rsidR="00356320" w:rsidRPr="002C01F9" w:rsidRDefault="00356320" w:rsidP="008333EC">
      <w:pPr>
        <w:pStyle w:val="Footnote"/>
        <w:rPr>
          <w:spacing w:val="-4"/>
          <w:kern w:val="17"/>
          <w:sz w:val="15"/>
          <w:szCs w:val="15"/>
        </w:rPr>
      </w:pPr>
      <w:r w:rsidRPr="002C01F9">
        <w:rPr>
          <w:rStyle w:val="EndnoteReference"/>
          <w:spacing w:val="-4"/>
          <w:kern w:val="17"/>
          <w:sz w:val="15"/>
          <w:szCs w:val="15"/>
        </w:rPr>
        <w:endnoteRef/>
      </w:r>
      <w:r w:rsidRPr="002C01F9">
        <w:rPr>
          <w:spacing w:val="-4"/>
          <w:kern w:val="17"/>
          <w:sz w:val="15"/>
          <w:szCs w:val="15"/>
          <w:vertAlign w:val="superscript"/>
        </w:rPr>
        <w:t xml:space="preserve"> </w:t>
      </w:r>
      <w:r w:rsidRPr="002C01F9">
        <w:rPr>
          <w:spacing w:val="-4"/>
          <w:kern w:val="17"/>
          <w:sz w:val="15"/>
          <w:szCs w:val="15"/>
        </w:rPr>
        <w:t>Stephen Beaumont, “How the Post-COVID-19 Beer Industry Will Look,” MarketLine, April 2020, accessed May 10, 2020, https://advantage-marketline-com.subzero.lib.uoguelph.ca/News/how-the-post-covid-19-beer-industry-will-look-comment_6285.</w:t>
      </w:r>
    </w:p>
  </w:endnote>
  <w:endnote w:id="4">
    <w:p w14:paraId="4D5DF901" w14:textId="2FEB26CA"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Agriculture and Agri-Food Canada, op. cit. </w:t>
      </w:r>
    </w:p>
  </w:endnote>
  <w:endnote w:id="5">
    <w:p w14:paraId="29266924" w14:textId="7EBC9A25" w:rsidR="00356320" w:rsidRPr="002C01F9" w:rsidRDefault="00356320" w:rsidP="008333EC">
      <w:pPr>
        <w:pStyle w:val="Footnote"/>
        <w:rPr>
          <w:sz w:val="15"/>
          <w:szCs w:val="15"/>
        </w:rPr>
      </w:pPr>
      <w:r w:rsidRPr="002C01F9">
        <w:rPr>
          <w:rStyle w:val="EndnoteReference"/>
          <w:sz w:val="15"/>
          <w:szCs w:val="15"/>
        </w:rPr>
        <w:endnoteRef/>
      </w:r>
      <w:r w:rsidR="00EE1DDF" w:rsidRPr="002C01F9">
        <w:rPr>
          <w:sz w:val="15"/>
          <w:szCs w:val="15"/>
        </w:rPr>
        <w:t> </w:t>
      </w:r>
      <w:r w:rsidRPr="002C01F9">
        <w:rPr>
          <w:sz w:val="15"/>
          <w:szCs w:val="15"/>
        </w:rPr>
        <w:t>Liquor Control Board of Ontario</w:t>
      </w:r>
      <w:r w:rsidR="001067BD" w:rsidRPr="002C01F9">
        <w:rPr>
          <w:sz w:val="15"/>
          <w:szCs w:val="15"/>
        </w:rPr>
        <w:t xml:space="preserve"> (LCBO)</w:t>
      </w:r>
      <w:r w:rsidRPr="002C01F9">
        <w:rPr>
          <w:sz w:val="15"/>
          <w:szCs w:val="15"/>
        </w:rPr>
        <w:t xml:space="preserve">, </w:t>
      </w:r>
      <w:r w:rsidRPr="002C01F9">
        <w:rPr>
          <w:i/>
          <w:sz w:val="15"/>
          <w:szCs w:val="15"/>
        </w:rPr>
        <w:t>LCBO Annual Report 2018–19</w:t>
      </w:r>
      <w:r w:rsidRPr="002C01F9">
        <w:rPr>
          <w:sz w:val="15"/>
          <w:szCs w:val="15"/>
        </w:rPr>
        <w:t xml:space="preserve">, accessed January 3, 2021, www.lcbo.com/content/dam/lcbo/corporate-pages/about/pdf/LCBO%20ANNUAL%20REPORT%202018-19.pdf; Euromonitor International, </w:t>
      </w:r>
      <w:r w:rsidRPr="002C01F9">
        <w:rPr>
          <w:i/>
          <w:sz w:val="15"/>
          <w:szCs w:val="15"/>
        </w:rPr>
        <w:t>Beer in Canada</w:t>
      </w:r>
      <w:r w:rsidRPr="002C01F9">
        <w:rPr>
          <w:sz w:val="15"/>
          <w:szCs w:val="15"/>
        </w:rPr>
        <w:t>, 1–2, country report, July 2019.</w:t>
      </w:r>
    </w:p>
  </w:endnote>
  <w:endnote w:id="6">
    <w:p w14:paraId="25115E4F" w14:textId="37C0F620"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MarketLine, </w:t>
      </w:r>
      <w:r w:rsidRPr="002C01F9">
        <w:rPr>
          <w:i/>
          <w:sz w:val="15"/>
          <w:szCs w:val="15"/>
        </w:rPr>
        <w:t>Key Trends in Alcoholic Beverages: Powerful Changes Shaping the Wine, Beer, Spirits and Alcohol-Free Beverages Industry</w:t>
      </w:r>
      <w:r w:rsidRPr="002C01F9">
        <w:rPr>
          <w:sz w:val="15"/>
          <w:szCs w:val="15"/>
        </w:rPr>
        <w:t>, 2, theme report, September 2018.</w:t>
      </w:r>
    </w:p>
  </w:endnote>
  <w:endnote w:id="7">
    <w:p w14:paraId="265BB4F9" w14:textId="083A48F6"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Euromonitor International, op. cit., 1. </w:t>
      </w:r>
    </w:p>
  </w:endnote>
  <w:endnote w:id="8">
    <w:p w14:paraId="273A77BF" w14:textId="3ACF971E"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The Liquor Control Board of Ontario (LCBO) was created in 1927 as a regulated enterprise owned by the Government of Ontario. The LCBO sold alcoholic beverages (e.g., wine, spirits, beer) in over 660 locations in Ontario, in addition to later acting as a wholesaler to nearly 450 grocery stores. Until regulation changes took place, the LCBO was one of few options available for purchasing wine, spirits, and beer in Ontario. The Beer Store was the other primary retailer of beer and offered a selection of macrobrewery products and some craft products. Before 2016, only very few grocery stores sold beer and wine. These factors contributed to the LCBO’s market share majority of alcoholic beverages in Ontario. “About LCBO,” Liquor Control Board of Ontario, accessed January 3, 2021, www.lcbo.com/content/lcbo/en/corporate-pages/about.html.</w:t>
      </w:r>
    </w:p>
  </w:endnote>
  <w:endnote w:id="9">
    <w:p w14:paraId="09109236" w14:textId="5A12C450"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Liquor Control Board of Ontario, op. cit. </w:t>
      </w:r>
    </w:p>
  </w:endnote>
  <w:endnote w:id="10">
    <w:p w14:paraId="5BC5E174" w14:textId="1D020E5A"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Government of Ontario, “Alcohol Sales in Retail Stores,” September 22, 2015, accessed November 3, 2020, www.ontario.ca/page/alcohol-sales-in-retail-stores.</w:t>
      </w:r>
    </w:p>
  </w:endnote>
  <w:endnote w:id="11">
    <w:p w14:paraId="5167160D" w14:textId="17F4F9E2"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Liquor Control Board of Ontario, op. cit. </w:t>
      </w:r>
    </w:p>
  </w:endnote>
  <w:endnote w:id="12">
    <w:p w14:paraId="7AC5D4AC" w14:textId="431B4866"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Agriculture and Agri-Food Canada, op. cit.</w:t>
      </w:r>
    </w:p>
  </w:endnote>
  <w:endnote w:id="13">
    <w:p w14:paraId="127CD687" w14:textId="5E7188C8"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Ibid.</w:t>
      </w:r>
    </w:p>
  </w:endnote>
  <w:endnote w:id="14">
    <w:p w14:paraId="5A3EBF40" w14:textId="44993CE5"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Ontario Beverage Network, “Ontario Beverage Network FAQ,” accessed June 23, 2020, https://ontariobev.net/faq.</w:t>
      </w:r>
    </w:p>
  </w:endnote>
  <w:endnote w:id="15">
    <w:p w14:paraId="343BDBA8" w14:textId="3AE17A17"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Agriculture and Agri-Food Canada, “Customized Report Service—The Beer Market in Canada and Craft Beer Trends,” op. cit. </w:t>
      </w:r>
    </w:p>
  </w:endnote>
  <w:endnote w:id="16">
    <w:p w14:paraId="77669AF6" w14:textId="1ABD40C2"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Hailey Salvian, “‘Really in the Consumer’s Favour:’ Ontario Craft Brewers Switch to Cans,” CBC News, January 11, 2018, accessed June 25, 2020, www.cbc.ca/news/canada/kitchener-waterloo/craft-brewers-switch-to-cans-1.4483138.</w:t>
      </w:r>
    </w:p>
  </w:endnote>
  <w:endnote w:id="17">
    <w:p w14:paraId="3653D4E4" w14:textId="3007870D"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Agriculture and Agri-Food Canada, op. cit. </w:t>
      </w:r>
    </w:p>
  </w:endnote>
  <w:endnote w:id="18">
    <w:p w14:paraId="491AFCAE" w14:textId="25B2E033" w:rsidR="00356320" w:rsidRPr="002C01F9" w:rsidRDefault="00356320" w:rsidP="008333EC">
      <w:pPr>
        <w:pStyle w:val="Footnote"/>
        <w:rPr>
          <w:sz w:val="15"/>
          <w:szCs w:val="15"/>
        </w:rPr>
      </w:pPr>
      <w:r w:rsidRPr="002C01F9">
        <w:rPr>
          <w:rStyle w:val="EndnoteReference"/>
          <w:sz w:val="15"/>
          <w:szCs w:val="15"/>
        </w:rPr>
        <w:endnoteRef/>
      </w:r>
      <w:r w:rsidR="00EE1DDF" w:rsidRPr="002C01F9">
        <w:rPr>
          <w:sz w:val="15"/>
          <w:szCs w:val="15"/>
        </w:rPr>
        <w:t> </w:t>
      </w:r>
      <w:r w:rsidRPr="002C01F9">
        <w:rPr>
          <w:sz w:val="15"/>
          <w:szCs w:val="15"/>
        </w:rPr>
        <w:t>Ontario Craft Brewers, “Ontario Craft Beer Facts and Figures,” accessed November 3, 2020, www.ontariocraftbrewers.com/FactsAndFigures.html.</w:t>
      </w:r>
    </w:p>
  </w:endnote>
  <w:endnote w:id="19">
    <w:p w14:paraId="2B11B974" w14:textId="2BF17AD1" w:rsidR="00356320" w:rsidRPr="002C01F9" w:rsidRDefault="00356320">
      <w:pPr>
        <w:pStyle w:val="EndnoteText"/>
        <w:rPr>
          <w:rFonts w:ascii="Arial" w:hAnsi="Arial" w:cs="Arial"/>
          <w:sz w:val="15"/>
          <w:szCs w:val="15"/>
          <w:lang w:val="en-CA"/>
        </w:rPr>
      </w:pPr>
      <w:r w:rsidRPr="002C01F9">
        <w:rPr>
          <w:rStyle w:val="EndnoteReference"/>
          <w:rFonts w:ascii="Arial" w:hAnsi="Arial" w:cs="Arial"/>
          <w:sz w:val="15"/>
          <w:szCs w:val="15"/>
        </w:rPr>
        <w:endnoteRef/>
      </w:r>
      <w:r w:rsidRPr="002C01F9">
        <w:rPr>
          <w:rFonts w:ascii="Arial" w:hAnsi="Arial" w:cs="Arial"/>
          <w:sz w:val="15"/>
          <w:szCs w:val="15"/>
        </w:rPr>
        <w:t xml:space="preserve"> Brette Warshaw, </w:t>
      </w:r>
      <w:r w:rsidRPr="002C01F9">
        <w:rPr>
          <w:rFonts w:ascii="Arial" w:hAnsi="Arial" w:cs="Arial"/>
          <w:sz w:val="15"/>
          <w:szCs w:val="15"/>
          <w:lang w:val="en-CA"/>
        </w:rPr>
        <w:t>“</w:t>
      </w:r>
      <w:r w:rsidRPr="002C01F9">
        <w:rPr>
          <w:rFonts w:ascii="Arial" w:hAnsi="Arial" w:cs="Arial"/>
          <w:sz w:val="15"/>
          <w:szCs w:val="15"/>
        </w:rPr>
        <w:t xml:space="preserve">What’s the Difference Between Ale and Lager? It </w:t>
      </w:r>
      <w:r w:rsidRPr="002C01F9">
        <w:rPr>
          <w:rFonts w:ascii="Arial" w:hAnsi="Arial" w:cs="Arial"/>
          <w:sz w:val="15"/>
          <w:szCs w:val="15"/>
          <w:lang w:val="en-CA"/>
        </w:rPr>
        <w:t>A</w:t>
      </w:r>
      <w:r w:rsidRPr="002C01F9">
        <w:rPr>
          <w:rFonts w:ascii="Arial" w:hAnsi="Arial" w:cs="Arial"/>
          <w:sz w:val="15"/>
          <w:szCs w:val="15"/>
        </w:rPr>
        <w:t xml:space="preserve">ll </w:t>
      </w:r>
      <w:r w:rsidRPr="002C01F9">
        <w:rPr>
          <w:rFonts w:ascii="Arial" w:hAnsi="Arial" w:cs="Arial"/>
          <w:sz w:val="15"/>
          <w:szCs w:val="15"/>
          <w:lang w:val="en-CA"/>
        </w:rPr>
        <w:t>D</w:t>
      </w:r>
      <w:r w:rsidRPr="002C01F9">
        <w:rPr>
          <w:rFonts w:ascii="Arial" w:hAnsi="Arial" w:cs="Arial"/>
          <w:sz w:val="15"/>
          <w:szCs w:val="15"/>
        </w:rPr>
        <w:t xml:space="preserve">epends on </w:t>
      </w:r>
      <w:r w:rsidRPr="002C01F9">
        <w:rPr>
          <w:rFonts w:ascii="Arial" w:hAnsi="Arial" w:cs="Arial"/>
          <w:sz w:val="15"/>
          <w:szCs w:val="15"/>
          <w:lang w:val="en-CA"/>
        </w:rPr>
        <w:t>Y</w:t>
      </w:r>
      <w:r w:rsidRPr="002C01F9">
        <w:rPr>
          <w:rFonts w:ascii="Arial" w:hAnsi="Arial" w:cs="Arial"/>
          <w:sz w:val="15"/>
          <w:szCs w:val="15"/>
        </w:rPr>
        <w:t>east,</w:t>
      </w:r>
      <w:r w:rsidRPr="002C01F9">
        <w:rPr>
          <w:rFonts w:ascii="Arial" w:hAnsi="Arial" w:cs="Arial"/>
          <w:sz w:val="15"/>
          <w:szCs w:val="15"/>
          <w:lang w:val="en-CA"/>
        </w:rPr>
        <w:t>”</w:t>
      </w:r>
      <w:r w:rsidRPr="002C01F9">
        <w:rPr>
          <w:rFonts w:ascii="Arial" w:hAnsi="Arial" w:cs="Arial"/>
          <w:sz w:val="15"/>
          <w:szCs w:val="15"/>
        </w:rPr>
        <w:t xml:space="preserve"> Eater, Sep</w:t>
      </w:r>
      <w:r w:rsidRPr="002C01F9">
        <w:rPr>
          <w:rFonts w:ascii="Arial" w:hAnsi="Arial" w:cs="Arial"/>
          <w:sz w:val="15"/>
          <w:szCs w:val="15"/>
          <w:lang w:val="en-CA"/>
        </w:rPr>
        <w:t>tember</w:t>
      </w:r>
      <w:r w:rsidRPr="002C01F9">
        <w:rPr>
          <w:rFonts w:ascii="Arial" w:hAnsi="Arial" w:cs="Arial"/>
          <w:sz w:val="15"/>
          <w:szCs w:val="15"/>
        </w:rPr>
        <w:t xml:space="preserve"> 13, 2019,</w:t>
      </w:r>
      <w:r w:rsidRPr="002C01F9">
        <w:rPr>
          <w:rFonts w:ascii="Arial" w:hAnsi="Arial" w:cs="Arial"/>
          <w:sz w:val="15"/>
          <w:szCs w:val="15"/>
          <w:lang w:val="en-CA"/>
        </w:rPr>
        <w:t xml:space="preserve"> </w:t>
      </w:r>
      <w:r w:rsidRPr="002C01F9">
        <w:rPr>
          <w:rFonts w:ascii="Arial" w:hAnsi="Arial" w:cs="Arial"/>
          <w:sz w:val="15"/>
          <w:szCs w:val="15"/>
        </w:rPr>
        <w:t>accessed January 3, 2021, www.eater.com/2019/9/13/20863787/whats-the-difference-ale-lager.</w:t>
      </w:r>
    </w:p>
  </w:endnote>
  <w:endnote w:id="20">
    <w:p w14:paraId="2B5C6E7D" w14:textId="1721C951"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Agriculture and Agri-Food Canada, op. cit. </w:t>
      </w:r>
    </w:p>
  </w:endnote>
  <w:endnote w:id="21">
    <w:p w14:paraId="14076BA2" w14:textId="11E73DDA"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Nitrogenated beer used nitrogen, rather than carbon dioxide, in the carbonation process. Nitrogen was mostly insoluble in liquid, which produced a creamier consistency and more stable flavour compared to carbon dioxide, which was </w:t>
      </w:r>
      <w:r w:rsidR="00611DBF" w:rsidRPr="002C01F9">
        <w:rPr>
          <w:sz w:val="15"/>
          <w:szCs w:val="15"/>
        </w:rPr>
        <w:t>“pricklier”</w:t>
      </w:r>
      <w:r w:rsidRPr="002C01F9">
        <w:rPr>
          <w:sz w:val="15"/>
          <w:szCs w:val="15"/>
        </w:rPr>
        <w:t xml:space="preserve"> on the tongue; “Good Beer Gas: Nitro Beers Explained,” CraftBeer.com, accessed January 3, 2021, www.craftbeer.com/craft-beer-muses/good-beer-gas-nitro-beers-explained.</w:t>
      </w:r>
    </w:p>
  </w:endnote>
  <w:endnote w:id="22">
    <w:p w14:paraId="7BB8DE7E" w14:textId="7578A6DB"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Euromonitor International, op. cit., 1. </w:t>
      </w:r>
    </w:p>
  </w:endnote>
  <w:endnote w:id="23">
    <w:p w14:paraId="7E3C9443" w14:textId="445A9619" w:rsidR="00356320" w:rsidRPr="002C01F9" w:rsidRDefault="00356320" w:rsidP="008333EC">
      <w:pPr>
        <w:pStyle w:val="Footnote"/>
        <w:rPr>
          <w:sz w:val="15"/>
          <w:szCs w:val="15"/>
        </w:rPr>
      </w:pPr>
      <w:r w:rsidRPr="002C01F9">
        <w:rPr>
          <w:rStyle w:val="EndnoteReference"/>
          <w:sz w:val="15"/>
          <w:szCs w:val="15"/>
        </w:rPr>
        <w:endnoteRef/>
      </w:r>
      <w:r w:rsidR="00EE1DDF" w:rsidRPr="002C01F9">
        <w:rPr>
          <w:sz w:val="15"/>
          <w:szCs w:val="15"/>
          <w:vertAlign w:val="superscript"/>
        </w:rPr>
        <w:t> </w:t>
      </w:r>
      <w:r w:rsidRPr="002C01F9">
        <w:rPr>
          <w:sz w:val="15"/>
          <w:szCs w:val="15"/>
        </w:rPr>
        <w:t>“Wellington Brewery—Overview, News &amp; Competitors,” ZoomInfo, accessed October 23, 2020, www.zoominfo.com/c/wellington-brewery/127467671.</w:t>
      </w:r>
    </w:p>
  </w:endnote>
  <w:endnote w:id="24">
    <w:p w14:paraId="7510BE5B" w14:textId="767723BC"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vertAlign w:val="superscript"/>
        </w:rPr>
        <w:t xml:space="preserve"> </w:t>
      </w:r>
      <w:r w:rsidRPr="002C01F9">
        <w:rPr>
          <w:sz w:val="15"/>
          <w:szCs w:val="15"/>
        </w:rPr>
        <w:t xml:space="preserve">Wellington Brewery, “Our Vision,” </w:t>
      </w:r>
      <w:r w:rsidRPr="002C01F9">
        <w:rPr>
          <w:rStyle w:val="Hyperlink"/>
          <w:color w:val="auto"/>
          <w:sz w:val="15"/>
          <w:szCs w:val="15"/>
          <w:u w:val="none"/>
        </w:rPr>
        <w:t>accessed January 3, 2021, www.wellingtonbrewery.ca/about.</w:t>
      </w:r>
    </w:p>
  </w:endnote>
  <w:endnote w:id="25">
    <w:p w14:paraId="1E63982E" w14:textId="299A0749" w:rsidR="00356320" w:rsidRPr="002C01F9" w:rsidRDefault="00356320" w:rsidP="008333EC">
      <w:pPr>
        <w:pStyle w:val="Footnote"/>
        <w:rPr>
          <w:b/>
          <w:bCs/>
          <w:sz w:val="15"/>
          <w:szCs w:val="15"/>
        </w:rPr>
      </w:pPr>
      <w:r w:rsidRPr="002C01F9">
        <w:rPr>
          <w:rStyle w:val="EndnoteReference"/>
          <w:sz w:val="15"/>
          <w:szCs w:val="15"/>
        </w:rPr>
        <w:endnoteRef/>
      </w:r>
      <w:r w:rsidRPr="002C01F9">
        <w:rPr>
          <w:sz w:val="15"/>
          <w:szCs w:val="15"/>
        </w:rPr>
        <w:t xml:space="preserve"> Statista, “Beer Market in Canada,” www.statista.com/study/24622/canadian-beer-market-statista-dossier. </w:t>
      </w:r>
    </w:p>
  </w:endnote>
  <w:endnote w:id="26">
    <w:p w14:paraId="6DD1DE92" w14:textId="08B82A73"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“Brick Brewing Officially Changes Its Name to Waterloo Brewing Ltd. (TSX: WBR),” GlobeNewswire, June 12, 2019, accessed June 30, 2020, www.globenewswire.com/news-release/2019/06/12/1867428/0/en/Brick-Brewing-officially-changes-its-name-to-Waterloo-Brewing-Ltd-TSX-WBR.html.</w:t>
      </w:r>
    </w:p>
  </w:endnote>
  <w:endnote w:id="27">
    <w:p w14:paraId="27547A48" w14:textId="31082B3D"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Statista, op. cit.</w:t>
      </w:r>
    </w:p>
  </w:endnote>
  <w:endnote w:id="28">
    <w:p w14:paraId="36BDB336" w14:textId="5BDBF675" w:rsidR="00356320" w:rsidRPr="002C01F9" w:rsidRDefault="00356320" w:rsidP="008333EC">
      <w:pPr>
        <w:pStyle w:val="Footnote"/>
        <w:rPr>
          <w:spacing w:val="-6"/>
          <w:kern w:val="16"/>
          <w:sz w:val="15"/>
          <w:szCs w:val="15"/>
        </w:rPr>
      </w:pPr>
      <w:r w:rsidRPr="002C01F9">
        <w:rPr>
          <w:rStyle w:val="EndnoteReference"/>
          <w:spacing w:val="-6"/>
          <w:kern w:val="16"/>
          <w:sz w:val="15"/>
          <w:szCs w:val="15"/>
        </w:rPr>
        <w:endnoteRef/>
      </w:r>
      <w:r w:rsidR="00EE1DDF" w:rsidRPr="002C01F9">
        <w:rPr>
          <w:spacing w:val="-6"/>
          <w:kern w:val="16"/>
          <w:sz w:val="15"/>
          <w:szCs w:val="15"/>
        </w:rPr>
        <w:t> </w:t>
      </w:r>
      <w:r w:rsidRPr="002C01F9">
        <w:rPr>
          <w:spacing w:val="-6"/>
          <w:kern w:val="16"/>
          <w:sz w:val="15"/>
          <w:szCs w:val="15"/>
        </w:rPr>
        <w:t xml:space="preserve">Waterloo Brewing Ltd., </w:t>
      </w:r>
      <w:r w:rsidRPr="002C01F9">
        <w:rPr>
          <w:i/>
          <w:spacing w:val="-6"/>
          <w:kern w:val="16"/>
          <w:sz w:val="15"/>
          <w:szCs w:val="15"/>
        </w:rPr>
        <w:t>2019 Annual Report</w:t>
      </w:r>
      <w:r w:rsidRPr="002C01F9">
        <w:rPr>
          <w:spacing w:val="-6"/>
          <w:kern w:val="16"/>
          <w:sz w:val="15"/>
          <w:szCs w:val="15"/>
        </w:rPr>
        <w:t>, accessed January 3, 2021, https://investorrelations.waterloobrewing.com/financial-results.</w:t>
      </w:r>
    </w:p>
  </w:endnote>
  <w:endnote w:id="29">
    <w:p w14:paraId="216D7FA1" w14:textId="216FA29F" w:rsidR="00356320" w:rsidRPr="002C01F9" w:rsidRDefault="00356320" w:rsidP="008333EC">
      <w:pPr>
        <w:pStyle w:val="Footnote"/>
        <w:rPr>
          <w:spacing w:val="-6"/>
          <w:kern w:val="16"/>
          <w:sz w:val="15"/>
          <w:szCs w:val="15"/>
        </w:rPr>
      </w:pPr>
      <w:r w:rsidRPr="002C01F9">
        <w:rPr>
          <w:rStyle w:val="EndnoteReference"/>
          <w:spacing w:val="-6"/>
          <w:kern w:val="16"/>
          <w:sz w:val="15"/>
          <w:szCs w:val="15"/>
        </w:rPr>
        <w:endnoteRef/>
      </w:r>
      <w:r w:rsidRPr="002C01F9">
        <w:rPr>
          <w:spacing w:val="-6"/>
          <w:kern w:val="16"/>
          <w:sz w:val="15"/>
          <w:szCs w:val="15"/>
        </w:rPr>
        <w:t xml:space="preserve"> Beer Canada, “A Brief History of Beer in Canada,” accessed June 18, 2020, www.beercanada.com/beer-101/brief-history-beer-canada.</w:t>
      </w:r>
    </w:p>
  </w:endnote>
  <w:endnote w:id="30">
    <w:p w14:paraId="00C5FD1D" w14:textId="0A6F07D8"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Salvian, op. cit. </w:t>
      </w:r>
    </w:p>
  </w:endnote>
  <w:endnote w:id="31">
    <w:p w14:paraId="468BE8CC" w14:textId="608CABA1"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Canada, “EDRATES Excise Duty Rates,” September 21, 2017, accessed October 20, 2020, www.canada.ca/en/revenue-agency/services/forms-publications/publications/edrates/excise-duty-rates.html#_Toc527013624.</w:t>
      </w:r>
    </w:p>
  </w:endnote>
  <w:endnote w:id="32">
    <w:p w14:paraId="3302C284" w14:textId="34918374"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CBC News, “Timeline: How Marijuana Became Legalized in Canada,” October 18, 2018, accessed July 2, 2020, www.cbc.ca/kidsnews/post/timeline-how-marijuana-became-legalized-in-Canada; Bryce Hoye, “Cannabis Drinks Have Been Legal for over 2 Months in Canada—So Why Aren’t They on the Shelves?,” CBC News, March 1, 2020, accessed July 2, 2020, www.cbc.ca/news/canada/manitoba/cannabis-infused-drinks-canada-1.5480117.</w:t>
      </w:r>
    </w:p>
  </w:endnote>
  <w:endnote w:id="33">
    <w:p w14:paraId="0BED17D3" w14:textId="4D6CC412"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Government of Ontario, “Ontario Announces First 58 Grocery Store Locations to Sell Beer,” December 2015, accessed July 2, 2020, https://news.ontario.ca/opo/en/2015/12/ontario-announces-first-58-grocery-store-locations-to-sell-beer.html.</w:t>
      </w:r>
    </w:p>
  </w:endnote>
  <w:endnote w:id="34">
    <w:p w14:paraId="21B7BEC7" w14:textId="60AAB297" w:rsidR="00356320" w:rsidRPr="002C01F9" w:rsidRDefault="00356320" w:rsidP="008333EC">
      <w:pPr>
        <w:pStyle w:val="Footnote"/>
        <w:rPr>
          <w:spacing w:val="-4"/>
          <w:kern w:val="17"/>
          <w:sz w:val="15"/>
          <w:szCs w:val="15"/>
        </w:rPr>
      </w:pPr>
      <w:r w:rsidRPr="002C01F9">
        <w:rPr>
          <w:rStyle w:val="EndnoteReference"/>
          <w:spacing w:val="-4"/>
          <w:kern w:val="17"/>
          <w:sz w:val="15"/>
          <w:szCs w:val="15"/>
        </w:rPr>
        <w:endnoteRef/>
      </w:r>
      <w:r w:rsidRPr="002C01F9">
        <w:rPr>
          <w:spacing w:val="-4"/>
          <w:kern w:val="17"/>
          <w:sz w:val="15"/>
          <w:szCs w:val="15"/>
        </w:rPr>
        <w:t xml:space="preserve"> Government of Ontario, “Beverage Alcohol to Be Sold in Hundreds of Additional Stores Across Ontario,” June 2019, accessed July 2, 2020, https://news.ontario.ca/mof/en/2019/06/beverage-alcohol-to-be-sold-in-hundreds-of-additional-stores-across-ontario.html.</w:t>
      </w:r>
    </w:p>
  </w:endnote>
  <w:endnote w:id="35">
    <w:p w14:paraId="211E8E35" w14:textId="0F9232B6"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CBC News, “Ontario to Sell Alcohol Online, Deliver It via Canada Post,” July 26, 2016, accessed October 20, 2020, www.cbc.ca/news/canada/toronto/ontario-lcbo-online-ordering-1.3695271.</w:t>
      </w:r>
    </w:p>
  </w:endnote>
  <w:endnote w:id="36">
    <w:p w14:paraId="2C424209" w14:textId="4C38F760"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LCBO, “NISS Frequently Asked Questions,” Doing Business with LCBO, accessed October 20, 2020, www.doingbusinesswithlcbo.com/tro/Web-Systems/NISS-FAQ.shtml.</w:t>
      </w:r>
    </w:p>
  </w:endnote>
  <w:endnote w:id="37">
    <w:p w14:paraId="04EC2D00" w14:textId="5463931F" w:rsidR="00356320" w:rsidRPr="002C01F9" w:rsidRDefault="00356320" w:rsidP="008333EC">
      <w:pPr>
        <w:pStyle w:val="Footnote"/>
        <w:rPr>
          <w:sz w:val="15"/>
          <w:szCs w:val="15"/>
        </w:rPr>
      </w:pPr>
      <w:r w:rsidRPr="002C01F9">
        <w:rPr>
          <w:rStyle w:val="EndnoteReference"/>
          <w:sz w:val="15"/>
          <w:szCs w:val="15"/>
        </w:rPr>
        <w:endnoteRef/>
      </w:r>
      <w:r w:rsidRPr="002C01F9">
        <w:rPr>
          <w:sz w:val="15"/>
          <w:szCs w:val="15"/>
        </w:rPr>
        <w:t xml:space="preserve"> LCBO, “Ongoing Product Testing &amp; Packaging Evaluation,” Doing Business with LCBO, accessed October 20, 2020, www.doingbusinesswithlcbo.com/tro/Packaging-Quality/Ongoing-Product-Testing-Packaging-Evaluation/index.shtml.</w:t>
      </w:r>
    </w:p>
  </w:endnote>
  <w:endnote w:id="38">
    <w:p w14:paraId="73870D09" w14:textId="1A253406" w:rsidR="00356320" w:rsidRPr="000C1053" w:rsidRDefault="00356320" w:rsidP="008333EC">
      <w:pPr>
        <w:pStyle w:val="Footnote"/>
      </w:pPr>
      <w:r w:rsidRPr="002C01F9">
        <w:rPr>
          <w:rStyle w:val="EndnoteReference"/>
          <w:sz w:val="15"/>
          <w:szCs w:val="15"/>
        </w:rPr>
        <w:endnoteRef/>
      </w:r>
      <w:r w:rsidRPr="002C01F9">
        <w:rPr>
          <w:sz w:val="15"/>
          <w:szCs w:val="15"/>
        </w:rPr>
        <w:t xml:space="preserve"> LCBO, “NISS Frequently Asked Questions,” op. cit.</w:t>
      </w:r>
      <w:r w:rsidRPr="000C105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69D89" w14:textId="77777777" w:rsidR="00670E73" w:rsidRDefault="00670E73" w:rsidP="00D75295">
      <w:r>
        <w:separator/>
      </w:r>
    </w:p>
  </w:footnote>
  <w:footnote w:type="continuationSeparator" w:id="0">
    <w:p w14:paraId="28FEF8EE" w14:textId="77777777" w:rsidR="00670E73" w:rsidRDefault="00670E7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ECD0" w14:textId="1B65AE0C" w:rsidR="00356320" w:rsidRPr="00C92CC4" w:rsidRDefault="00356320" w:rsidP="009424D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6605A">
      <w:rPr>
        <w:rFonts w:ascii="Arial" w:hAnsi="Arial"/>
        <w:b/>
      </w:rPr>
      <w:t>9B21M04</w:t>
    </w:r>
    <w:r w:rsidR="004E2F8C">
      <w:rPr>
        <w:rFonts w:ascii="Arial" w:hAnsi="Arial"/>
        <w:b/>
      </w:rPr>
      <w:t>3</w:t>
    </w:r>
  </w:p>
  <w:p w14:paraId="06F3D5DC" w14:textId="77777777" w:rsidR="00356320" w:rsidRDefault="00356320" w:rsidP="009424DA">
    <w:pPr>
      <w:pStyle w:val="Header"/>
      <w:tabs>
        <w:tab w:val="clear" w:pos="4680"/>
        <w:tab w:val="clear" w:pos="9360"/>
        <w:tab w:val="right" w:pos="12960"/>
      </w:tabs>
      <w:rPr>
        <w:sz w:val="18"/>
        <w:szCs w:val="18"/>
      </w:rPr>
    </w:pPr>
  </w:p>
  <w:p w14:paraId="53601AC8" w14:textId="77777777" w:rsidR="00356320" w:rsidRPr="00C92CC4" w:rsidRDefault="00356320" w:rsidP="009424DA">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1796" w14:textId="77777777" w:rsidR="00356320" w:rsidRPr="00C92CC4" w:rsidRDefault="00356320" w:rsidP="008333E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w:t>
    </w:r>
  </w:p>
  <w:p w14:paraId="0204D2C7" w14:textId="77777777" w:rsidR="00356320" w:rsidRDefault="00356320" w:rsidP="008333EC">
    <w:pPr>
      <w:pStyle w:val="Header"/>
      <w:tabs>
        <w:tab w:val="clear" w:pos="4680"/>
      </w:tabs>
      <w:rPr>
        <w:sz w:val="18"/>
        <w:szCs w:val="18"/>
      </w:rPr>
    </w:pPr>
  </w:p>
  <w:p w14:paraId="0E16C462" w14:textId="77777777" w:rsidR="00356320" w:rsidRPr="00C92CC4" w:rsidRDefault="00356320" w:rsidP="008333E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13AD1"/>
    <w:multiLevelType w:val="hybridMultilevel"/>
    <w:tmpl w:val="810C3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8B18D8"/>
    <w:multiLevelType w:val="hybridMultilevel"/>
    <w:tmpl w:val="79927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4"/>
  </w:num>
  <w:num w:numId="6">
    <w:abstractNumId w:val="9"/>
  </w:num>
  <w:num w:numId="7">
    <w:abstractNumId w:val="0"/>
  </w:num>
  <w:num w:numId="8">
    <w:abstractNumId w:val="13"/>
  </w:num>
  <w:num w:numId="9">
    <w:abstractNumId w:val="10"/>
  </w:num>
  <w:num w:numId="10">
    <w:abstractNumId w:val="2"/>
  </w:num>
  <w:num w:numId="11">
    <w:abstractNumId w:val="7"/>
  </w:num>
  <w:num w:numId="12">
    <w:abstractNumId w:val="8"/>
  </w:num>
  <w:num w:numId="13">
    <w:abstractNumId w:val="5"/>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MzA0MDU1sDA3NjZW0lEKTi0uzszPAykwqgUApTLotSwAAAA="/>
  </w:docVars>
  <w:rsids>
    <w:rsidRoot w:val="008A4DC4"/>
    <w:rsid w:val="0000085A"/>
    <w:rsid w:val="0000179D"/>
    <w:rsid w:val="00001B6D"/>
    <w:rsid w:val="000078F4"/>
    <w:rsid w:val="00013360"/>
    <w:rsid w:val="000160B2"/>
    <w:rsid w:val="00016759"/>
    <w:rsid w:val="000216CE"/>
    <w:rsid w:val="00024ED4"/>
    <w:rsid w:val="00025DC7"/>
    <w:rsid w:val="000271D1"/>
    <w:rsid w:val="00034BCF"/>
    <w:rsid w:val="00035F09"/>
    <w:rsid w:val="00036182"/>
    <w:rsid w:val="0003706E"/>
    <w:rsid w:val="000372E8"/>
    <w:rsid w:val="00044ECC"/>
    <w:rsid w:val="000531D3"/>
    <w:rsid w:val="0005646B"/>
    <w:rsid w:val="000567F3"/>
    <w:rsid w:val="000615D1"/>
    <w:rsid w:val="000633DC"/>
    <w:rsid w:val="00064936"/>
    <w:rsid w:val="0008102D"/>
    <w:rsid w:val="00086B26"/>
    <w:rsid w:val="00094C0E"/>
    <w:rsid w:val="000A0163"/>
    <w:rsid w:val="000A0E79"/>
    <w:rsid w:val="000A146D"/>
    <w:rsid w:val="000A30FD"/>
    <w:rsid w:val="000A452C"/>
    <w:rsid w:val="000A5229"/>
    <w:rsid w:val="000C1053"/>
    <w:rsid w:val="000C3D87"/>
    <w:rsid w:val="000C5F20"/>
    <w:rsid w:val="000D2A2F"/>
    <w:rsid w:val="000D49F3"/>
    <w:rsid w:val="000D7091"/>
    <w:rsid w:val="000F0C22"/>
    <w:rsid w:val="000F3746"/>
    <w:rsid w:val="000F6B09"/>
    <w:rsid w:val="000F6FDC"/>
    <w:rsid w:val="00101088"/>
    <w:rsid w:val="00104567"/>
    <w:rsid w:val="00104916"/>
    <w:rsid w:val="00104AA7"/>
    <w:rsid w:val="001067BD"/>
    <w:rsid w:val="00124A9E"/>
    <w:rsid w:val="00126A5E"/>
    <w:rsid w:val="0012732D"/>
    <w:rsid w:val="001306F7"/>
    <w:rsid w:val="001421EC"/>
    <w:rsid w:val="00143F25"/>
    <w:rsid w:val="001466F9"/>
    <w:rsid w:val="00146F81"/>
    <w:rsid w:val="00152682"/>
    <w:rsid w:val="00154FC9"/>
    <w:rsid w:val="00162D30"/>
    <w:rsid w:val="001722AB"/>
    <w:rsid w:val="00172550"/>
    <w:rsid w:val="00185104"/>
    <w:rsid w:val="00185FF6"/>
    <w:rsid w:val="001901C0"/>
    <w:rsid w:val="0019241A"/>
    <w:rsid w:val="00192A18"/>
    <w:rsid w:val="001A22D1"/>
    <w:rsid w:val="001A752D"/>
    <w:rsid w:val="001A757E"/>
    <w:rsid w:val="001B087A"/>
    <w:rsid w:val="001B0884"/>
    <w:rsid w:val="001B1F4D"/>
    <w:rsid w:val="001B5032"/>
    <w:rsid w:val="001C7777"/>
    <w:rsid w:val="001C7F9D"/>
    <w:rsid w:val="001D344B"/>
    <w:rsid w:val="001E2864"/>
    <w:rsid w:val="001E364F"/>
    <w:rsid w:val="001F4222"/>
    <w:rsid w:val="001F6D92"/>
    <w:rsid w:val="00203AA1"/>
    <w:rsid w:val="0021008A"/>
    <w:rsid w:val="00212654"/>
    <w:rsid w:val="00213E98"/>
    <w:rsid w:val="00217AD1"/>
    <w:rsid w:val="00230150"/>
    <w:rsid w:val="0023081A"/>
    <w:rsid w:val="00233111"/>
    <w:rsid w:val="002406E6"/>
    <w:rsid w:val="0025306E"/>
    <w:rsid w:val="002578A1"/>
    <w:rsid w:val="00265FA8"/>
    <w:rsid w:val="00273188"/>
    <w:rsid w:val="0028101C"/>
    <w:rsid w:val="00290BB5"/>
    <w:rsid w:val="002976D0"/>
    <w:rsid w:val="002A3B9F"/>
    <w:rsid w:val="002A4CC8"/>
    <w:rsid w:val="002B40FF"/>
    <w:rsid w:val="002C01F9"/>
    <w:rsid w:val="002C4E29"/>
    <w:rsid w:val="002E254B"/>
    <w:rsid w:val="002E7286"/>
    <w:rsid w:val="002F460C"/>
    <w:rsid w:val="002F48D6"/>
    <w:rsid w:val="00306CD0"/>
    <w:rsid w:val="00307D86"/>
    <w:rsid w:val="0031456C"/>
    <w:rsid w:val="00317391"/>
    <w:rsid w:val="00321BBA"/>
    <w:rsid w:val="00326216"/>
    <w:rsid w:val="00330EC1"/>
    <w:rsid w:val="00336580"/>
    <w:rsid w:val="00341F6F"/>
    <w:rsid w:val="003424B5"/>
    <w:rsid w:val="00342C70"/>
    <w:rsid w:val="00351F7A"/>
    <w:rsid w:val="00352677"/>
    <w:rsid w:val="00354899"/>
    <w:rsid w:val="00355DA4"/>
    <w:rsid w:val="00355FD6"/>
    <w:rsid w:val="00356320"/>
    <w:rsid w:val="00362CD1"/>
    <w:rsid w:val="00364A5C"/>
    <w:rsid w:val="00373FB1"/>
    <w:rsid w:val="00383C8B"/>
    <w:rsid w:val="00396C76"/>
    <w:rsid w:val="003A78A8"/>
    <w:rsid w:val="003B30D8"/>
    <w:rsid w:val="003B7EF2"/>
    <w:rsid w:val="003C300E"/>
    <w:rsid w:val="003C3FA4"/>
    <w:rsid w:val="003C5278"/>
    <w:rsid w:val="003C5AB3"/>
    <w:rsid w:val="003D0BA1"/>
    <w:rsid w:val="003D0DEF"/>
    <w:rsid w:val="003D598D"/>
    <w:rsid w:val="003F2B0C"/>
    <w:rsid w:val="00404C27"/>
    <w:rsid w:val="004105B2"/>
    <w:rsid w:val="0041145A"/>
    <w:rsid w:val="00412900"/>
    <w:rsid w:val="0041685C"/>
    <w:rsid w:val="004221E4"/>
    <w:rsid w:val="004231D3"/>
    <w:rsid w:val="00425F72"/>
    <w:rsid w:val="004273F8"/>
    <w:rsid w:val="004355A3"/>
    <w:rsid w:val="004451A8"/>
    <w:rsid w:val="00445F18"/>
    <w:rsid w:val="00446546"/>
    <w:rsid w:val="00452769"/>
    <w:rsid w:val="00454FA7"/>
    <w:rsid w:val="00464E7A"/>
    <w:rsid w:val="00465348"/>
    <w:rsid w:val="0046605A"/>
    <w:rsid w:val="004979A5"/>
    <w:rsid w:val="004A25E0"/>
    <w:rsid w:val="004A49E1"/>
    <w:rsid w:val="004B064B"/>
    <w:rsid w:val="004B1CCB"/>
    <w:rsid w:val="004B32DA"/>
    <w:rsid w:val="004B632F"/>
    <w:rsid w:val="004B6DC0"/>
    <w:rsid w:val="004C54FB"/>
    <w:rsid w:val="004D055C"/>
    <w:rsid w:val="004D070D"/>
    <w:rsid w:val="004D3FB1"/>
    <w:rsid w:val="004D6F21"/>
    <w:rsid w:val="004D73A5"/>
    <w:rsid w:val="004E0E5C"/>
    <w:rsid w:val="004E2F8C"/>
    <w:rsid w:val="004E4C9A"/>
    <w:rsid w:val="00511A68"/>
    <w:rsid w:val="005126E9"/>
    <w:rsid w:val="005160F1"/>
    <w:rsid w:val="0051732F"/>
    <w:rsid w:val="00520A4C"/>
    <w:rsid w:val="00523716"/>
    <w:rsid w:val="00523C6B"/>
    <w:rsid w:val="0052432D"/>
    <w:rsid w:val="00524F2F"/>
    <w:rsid w:val="00527E5C"/>
    <w:rsid w:val="00532854"/>
    <w:rsid w:val="00532CF5"/>
    <w:rsid w:val="005454A0"/>
    <w:rsid w:val="0055251B"/>
    <w:rsid w:val="005528CB"/>
    <w:rsid w:val="00553C16"/>
    <w:rsid w:val="005559C3"/>
    <w:rsid w:val="00562196"/>
    <w:rsid w:val="00566771"/>
    <w:rsid w:val="00566C85"/>
    <w:rsid w:val="005673CF"/>
    <w:rsid w:val="00581E2E"/>
    <w:rsid w:val="00584F15"/>
    <w:rsid w:val="0059514B"/>
    <w:rsid w:val="005961C8"/>
    <w:rsid w:val="005A1B0F"/>
    <w:rsid w:val="005B0D6D"/>
    <w:rsid w:val="005B203E"/>
    <w:rsid w:val="005B4CE6"/>
    <w:rsid w:val="005B5EFE"/>
    <w:rsid w:val="005C0197"/>
    <w:rsid w:val="005C0851"/>
    <w:rsid w:val="005C47F1"/>
    <w:rsid w:val="005C670B"/>
    <w:rsid w:val="005C7F85"/>
    <w:rsid w:val="005E439E"/>
    <w:rsid w:val="005E7A5D"/>
    <w:rsid w:val="005F4960"/>
    <w:rsid w:val="00602EC7"/>
    <w:rsid w:val="00602FDF"/>
    <w:rsid w:val="00611410"/>
    <w:rsid w:val="00611DBF"/>
    <w:rsid w:val="00613390"/>
    <w:rsid w:val="006163F7"/>
    <w:rsid w:val="00617300"/>
    <w:rsid w:val="00627C63"/>
    <w:rsid w:val="00630ADD"/>
    <w:rsid w:val="0063350B"/>
    <w:rsid w:val="00652606"/>
    <w:rsid w:val="006532AF"/>
    <w:rsid w:val="006554DF"/>
    <w:rsid w:val="00670E73"/>
    <w:rsid w:val="006733CE"/>
    <w:rsid w:val="006775CD"/>
    <w:rsid w:val="006946EE"/>
    <w:rsid w:val="006A39F6"/>
    <w:rsid w:val="006A58A9"/>
    <w:rsid w:val="006A5D3B"/>
    <w:rsid w:val="006A606D"/>
    <w:rsid w:val="006C0371"/>
    <w:rsid w:val="006C08B6"/>
    <w:rsid w:val="006C09A0"/>
    <w:rsid w:val="006C0B1A"/>
    <w:rsid w:val="006C42F3"/>
    <w:rsid w:val="006C55C5"/>
    <w:rsid w:val="006C5899"/>
    <w:rsid w:val="006C6065"/>
    <w:rsid w:val="006C7F9F"/>
    <w:rsid w:val="006E2F6D"/>
    <w:rsid w:val="006E58F6"/>
    <w:rsid w:val="006E77E1"/>
    <w:rsid w:val="006F0F11"/>
    <w:rsid w:val="006F131D"/>
    <w:rsid w:val="006F3545"/>
    <w:rsid w:val="007047CD"/>
    <w:rsid w:val="00711642"/>
    <w:rsid w:val="007224C6"/>
    <w:rsid w:val="00723C64"/>
    <w:rsid w:val="0072408C"/>
    <w:rsid w:val="00736F84"/>
    <w:rsid w:val="0073722C"/>
    <w:rsid w:val="007507C6"/>
    <w:rsid w:val="00751E0B"/>
    <w:rsid w:val="00752BCD"/>
    <w:rsid w:val="00766DA1"/>
    <w:rsid w:val="00780D94"/>
    <w:rsid w:val="0078134E"/>
    <w:rsid w:val="007866A6"/>
    <w:rsid w:val="00792617"/>
    <w:rsid w:val="00793126"/>
    <w:rsid w:val="00794781"/>
    <w:rsid w:val="00794E26"/>
    <w:rsid w:val="007A0A52"/>
    <w:rsid w:val="007A130D"/>
    <w:rsid w:val="007A6E11"/>
    <w:rsid w:val="007B7FF1"/>
    <w:rsid w:val="007D1A2D"/>
    <w:rsid w:val="007D32E6"/>
    <w:rsid w:val="007D4102"/>
    <w:rsid w:val="007D5080"/>
    <w:rsid w:val="007E54A7"/>
    <w:rsid w:val="007F43B7"/>
    <w:rsid w:val="007F45E4"/>
    <w:rsid w:val="007F5AC0"/>
    <w:rsid w:val="00821FFC"/>
    <w:rsid w:val="008271CA"/>
    <w:rsid w:val="00830B61"/>
    <w:rsid w:val="008333EC"/>
    <w:rsid w:val="008405F7"/>
    <w:rsid w:val="008465D4"/>
    <w:rsid w:val="008467D5"/>
    <w:rsid w:val="00881CCF"/>
    <w:rsid w:val="00883F09"/>
    <w:rsid w:val="008A4DC4"/>
    <w:rsid w:val="008A5777"/>
    <w:rsid w:val="008B438C"/>
    <w:rsid w:val="008D06CA"/>
    <w:rsid w:val="008D3A46"/>
    <w:rsid w:val="008E1B56"/>
    <w:rsid w:val="008F2385"/>
    <w:rsid w:val="009067A4"/>
    <w:rsid w:val="00921EE4"/>
    <w:rsid w:val="00924C79"/>
    <w:rsid w:val="00930885"/>
    <w:rsid w:val="00932C76"/>
    <w:rsid w:val="00933D68"/>
    <w:rsid w:val="009340DB"/>
    <w:rsid w:val="009424DA"/>
    <w:rsid w:val="0094618C"/>
    <w:rsid w:val="00946435"/>
    <w:rsid w:val="0095684B"/>
    <w:rsid w:val="009571F8"/>
    <w:rsid w:val="00962428"/>
    <w:rsid w:val="00962BEB"/>
    <w:rsid w:val="00964386"/>
    <w:rsid w:val="00964C80"/>
    <w:rsid w:val="00964FEC"/>
    <w:rsid w:val="00972498"/>
    <w:rsid w:val="0097481F"/>
    <w:rsid w:val="00974CC6"/>
    <w:rsid w:val="00975510"/>
    <w:rsid w:val="00976AD4"/>
    <w:rsid w:val="00982299"/>
    <w:rsid w:val="0099111F"/>
    <w:rsid w:val="0099419C"/>
    <w:rsid w:val="00995547"/>
    <w:rsid w:val="009A312F"/>
    <w:rsid w:val="009A5348"/>
    <w:rsid w:val="009B0AB7"/>
    <w:rsid w:val="009C0E15"/>
    <w:rsid w:val="009C4BD4"/>
    <w:rsid w:val="009C76D5"/>
    <w:rsid w:val="009D7BA8"/>
    <w:rsid w:val="009E40F1"/>
    <w:rsid w:val="009E4766"/>
    <w:rsid w:val="009E5EDF"/>
    <w:rsid w:val="009F3A4A"/>
    <w:rsid w:val="009F7AA4"/>
    <w:rsid w:val="00A006CA"/>
    <w:rsid w:val="00A03412"/>
    <w:rsid w:val="00A10AD7"/>
    <w:rsid w:val="00A13685"/>
    <w:rsid w:val="00A23613"/>
    <w:rsid w:val="00A323B0"/>
    <w:rsid w:val="00A51910"/>
    <w:rsid w:val="00A529A3"/>
    <w:rsid w:val="00A559DB"/>
    <w:rsid w:val="00A569EA"/>
    <w:rsid w:val="00A64329"/>
    <w:rsid w:val="00A676A0"/>
    <w:rsid w:val="00A678B6"/>
    <w:rsid w:val="00A73DDD"/>
    <w:rsid w:val="00A771CB"/>
    <w:rsid w:val="00A86FE2"/>
    <w:rsid w:val="00AA5F99"/>
    <w:rsid w:val="00AA72EA"/>
    <w:rsid w:val="00AD4502"/>
    <w:rsid w:val="00AD6C46"/>
    <w:rsid w:val="00AE4F3C"/>
    <w:rsid w:val="00AF0208"/>
    <w:rsid w:val="00AF35FC"/>
    <w:rsid w:val="00AF5556"/>
    <w:rsid w:val="00B03639"/>
    <w:rsid w:val="00B03DFC"/>
    <w:rsid w:val="00B0652A"/>
    <w:rsid w:val="00B106F4"/>
    <w:rsid w:val="00B269A8"/>
    <w:rsid w:val="00B40937"/>
    <w:rsid w:val="00B423EF"/>
    <w:rsid w:val="00B42A82"/>
    <w:rsid w:val="00B453DE"/>
    <w:rsid w:val="00B46747"/>
    <w:rsid w:val="00B50440"/>
    <w:rsid w:val="00B61F7C"/>
    <w:rsid w:val="00B62497"/>
    <w:rsid w:val="00B72597"/>
    <w:rsid w:val="00B8681D"/>
    <w:rsid w:val="00B87DC0"/>
    <w:rsid w:val="00B901F9"/>
    <w:rsid w:val="00B91702"/>
    <w:rsid w:val="00BB421A"/>
    <w:rsid w:val="00BB4C1B"/>
    <w:rsid w:val="00BB5DBD"/>
    <w:rsid w:val="00BB694C"/>
    <w:rsid w:val="00BC186F"/>
    <w:rsid w:val="00BC4D98"/>
    <w:rsid w:val="00BC5F8C"/>
    <w:rsid w:val="00BD55E3"/>
    <w:rsid w:val="00BD6EFB"/>
    <w:rsid w:val="00BE3DF5"/>
    <w:rsid w:val="00BF5EAB"/>
    <w:rsid w:val="00C01B32"/>
    <w:rsid w:val="00C02410"/>
    <w:rsid w:val="00C13A7B"/>
    <w:rsid w:val="00C1584D"/>
    <w:rsid w:val="00C15BE2"/>
    <w:rsid w:val="00C17E98"/>
    <w:rsid w:val="00C215D9"/>
    <w:rsid w:val="00C24D6A"/>
    <w:rsid w:val="00C270A0"/>
    <w:rsid w:val="00C3447F"/>
    <w:rsid w:val="00C37E98"/>
    <w:rsid w:val="00C44714"/>
    <w:rsid w:val="00C56AEA"/>
    <w:rsid w:val="00C61DF4"/>
    <w:rsid w:val="00C67102"/>
    <w:rsid w:val="00C67A44"/>
    <w:rsid w:val="00C67E00"/>
    <w:rsid w:val="00C72BD0"/>
    <w:rsid w:val="00C73F3D"/>
    <w:rsid w:val="00C81491"/>
    <w:rsid w:val="00C81676"/>
    <w:rsid w:val="00C85C5D"/>
    <w:rsid w:val="00C86FA8"/>
    <w:rsid w:val="00C92CC4"/>
    <w:rsid w:val="00CA0AFB"/>
    <w:rsid w:val="00CA2CE1"/>
    <w:rsid w:val="00CA2DA2"/>
    <w:rsid w:val="00CA3976"/>
    <w:rsid w:val="00CA50E3"/>
    <w:rsid w:val="00CA757B"/>
    <w:rsid w:val="00CB27A2"/>
    <w:rsid w:val="00CB44F6"/>
    <w:rsid w:val="00CC1787"/>
    <w:rsid w:val="00CC1820"/>
    <w:rsid w:val="00CC182C"/>
    <w:rsid w:val="00CD0824"/>
    <w:rsid w:val="00CD2908"/>
    <w:rsid w:val="00CD6D55"/>
    <w:rsid w:val="00CE210F"/>
    <w:rsid w:val="00CE7E2D"/>
    <w:rsid w:val="00D03A82"/>
    <w:rsid w:val="00D05344"/>
    <w:rsid w:val="00D076E5"/>
    <w:rsid w:val="00D1147F"/>
    <w:rsid w:val="00D13667"/>
    <w:rsid w:val="00D143F2"/>
    <w:rsid w:val="00D1500C"/>
    <w:rsid w:val="00D15344"/>
    <w:rsid w:val="00D216EF"/>
    <w:rsid w:val="00D23F57"/>
    <w:rsid w:val="00D25DB2"/>
    <w:rsid w:val="00D31BEC"/>
    <w:rsid w:val="00D32164"/>
    <w:rsid w:val="00D32EB0"/>
    <w:rsid w:val="00D51A36"/>
    <w:rsid w:val="00D51CB9"/>
    <w:rsid w:val="00D56902"/>
    <w:rsid w:val="00D60CA0"/>
    <w:rsid w:val="00D63150"/>
    <w:rsid w:val="00D636BA"/>
    <w:rsid w:val="00D64A32"/>
    <w:rsid w:val="00D64EFC"/>
    <w:rsid w:val="00D75295"/>
    <w:rsid w:val="00D769BB"/>
    <w:rsid w:val="00D76CE9"/>
    <w:rsid w:val="00D8444B"/>
    <w:rsid w:val="00D919FA"/>
    <w:rsid w:val="00D953C7"/>
    <w:rsid w:val="00D96A84"/>
    <w:rsid w:val="00D97DD5"/>
    <w:rsid w:val="00D97F12"/>
    <w:rsid w:val="00DA4017"/>
    <w:rsid w:val="00DA6095"/>
    <w:rsid w:val="00DB42E7"/>
    <w:rsid w:val="00DC09D8"/>
    <w:rsid w:val="00DC10BB"/>
    <w:rsid w:val="00DC1726"/>
    <w:rsid w:val="00DD37DD"/>
    <w:rsid w:val="00DE01A6"/>
    <w:rsid w:val="00DE1ED8"/>
    <w:rsid w:val="00DE746F"/>
    <w:rsid w:val="00DE7A98"/>
    <w:rsid w:val="00DF32C2"/>
    <w:rsid w:val="00E13A54"/>
    <w:rsid w:val="00E244CD"/>
    <w:rsid w:val="00E34145"/>
    <w:rsid w:val="00E430F0"/>
    <w:rsid w:val="00E45F80"/>
    <w:rsid w:val="00E471A7"/>
    <w:rsid w:val="00E50F49"/>
    <w:rsid w:val="00E54BD7"/>
    <w:rsid w:val="00E61F98"/>
    <w:rsid w:val="00E620D0"/>
    <w:rsid w:val="00E635CF"/>
    <w:rsid w:val="00E71EAC"/>
    <w:rsid w:val="00E85960"/>
    <w:rsid w:val="00EA29B8"/>
    <w:rsid w:val="00EA3F1A"/>
    <w:rsid w:val="00EA4E7D"/>
    <w:rsid w:val="00EB1876"/>
    <w:rsid w:val="00EB1E3B"/>
    <w:rsid w:val="00EB5760"/>
    <w:rsid w:val="00EB6D6A"/>
    <w:rsid w:val="00EC6E0A"/>
    <w:rsid w:val="00ED17F8"/>
    <w:rsid w:val="00ED2257"/>
    <w:rsid w:val="00ED4E18"/>
    <w:rsid w:val="00ED7922"/>
    <w:rsid w:val="00EE02C4"/>
    <w:rsid w:val="00EE1DDF"/>
    <w:rsid w:val="00EE1F37"/>
    <w:rsid w:val="00EF6730"/>
    <w:rsid w:val="00EF6D0F"/>
    <w:rsid w:val="00EF7FE4"/>
    <w:rsid w:val="00F01161"/>
    <w:rsid w:val="00F0159C"/>
    <w:rsid w:val="00F10583"/>
    <w:rsid w:val="00F105B7"/>
    <w:rsid w:val="00F11E9F"/>
    <w:rsid w:val="00F13220"/>
    <w:rsid w:val="00F14761"/>
    <w:rsid w:val="00F17A21"/>
    <w:rsid w:val="00F3092E"/>
    <w:rsid w:val="00F36FC2"/>
    <w:rsid w:val="00F37B27"/>
    <w:rsid w:val="00F46556"/>
    <w:rsid w:val="00F47654"/>
    <w:rsid w:val="00F50E91"/>
    <w:rsid w:val="00F56799"/>
    <w:rsid w:val="00F57D29"/>
    <w:rsid w:val="00F60786"/>
    <w:rsid w:val="00F63F0D"/>
    <w:rsid w:val="00F91BC7"/>
    <w:rsid w:val="00F920A4"/>
    <w:rsid w:val="00F954FA"/>
    <w:rsid w:val="00F95628"/>
    <w:rsid w:val="00F96201"/>
    <w:rsid w:val="00FA0313"/>
    <w:rsid w:val="00FA1BBC"/>
    <w:rsid w:val="00FB7EC8"/>
    <w:rsid w:val="00FC14D5"/>
    <w:rsid w:val="00FC16BD"/>
    <w:rsid w:val="00FC2D11"/>
    <w:rsid w:val="00FD0B18"/>
    <w:rsid w:val="00FD2FAD"/>
    <w:rsid w:val="00FE1F7C"/>
    <w:rsid w:val="00FE714F"/>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Footnotes">
    <w:name w:val="Footnotes"/>
    <w:basedOn w:val="FootnoteText"/>
    <w:link w:val="FootnotesChar"/>
    <w:qFormat/>
    <w:rsid w:val="009424DA"/>
    <w:pPr>
      <w:spacing w:after="60"/>
    </w:pPr>
    <w:rPr>
      <w:sz w:val="18"/>
      <w:szCs w:val="18"/>
      <w:lang w:val="en-CA"/>
    </w:rPr>
  </w:style>
  <w:style w:type="character" w:customStyle="1" w:styleId="FootnotesChar">
    <w:name w:val="Footnotes Char"/>
    <w:basedOn w:val="FootnoteTextChar"/>
    <w:link w:val="Footnotes"/>
    <w:rsid w:val="009424DA"/>
    <w:rPr>
      <w:rFonts w:ascii="Times New Roman" w:eastAsia="Times New Roman" w:hAnsi="Times New Roman" w:cs="Times New Roman"/>
      <w:sz w:val="18"/>
      <w:szCs w:val="18"/>
      <w:lang w:val="en-CA"/>
    </w:rPr>
  </w:style>
  <w:style w:type="character" w:customStyle="1" w:styleId="normaltextrun">
    <w:name w:val="normaltextrun"/>
    <w:basedOn w:val="DefaultParagraphFont"/>
    <w:rsid w:val="009424DA"/>
  </w:style>
  <w:style w:type="character" w:styleId="UnresolvedMention">
    <w:name w:val="Unresolved Mention"/>
    <w:basedOn w:val="DefaultParagraphFont"/>
    <w:uiPriority w:val="99"/>
    <w:semiHidden/>
    <w:unhideWhenUsed/>
    <w:rsid w:val="00A64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09322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AD92D-8C2F-4039-A574-8037FE4B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6737</Words>
  <Characters>38402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2021-04-26T12:57:00Z</dcterms:created>
  <dcterms:modified xsi:type="dcterms:W3CDTF">2021-04-26T16:40:00Z</dcterms:modified>
</cp:coreProperties>
</file>