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7E9DC" w14:textId="77777777" w:rsidR="00902897" w:rsidRDefault="00902897" w:rsidP="00902897">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5DB597B3" wp14:editId="030B098F">
            <wp:extent cx="2613804" cy="551245"/>
            <wp:effectExtent l="0" t="0" r="0" b="1270"/>
            <wp:docPr id="5" name="Picture 5"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8938080" w14:textId="2E8D655F" w:rsidR="00902897" w:rsidRDefault="00902897" w:rsidP="00902897">
      <w:pPr>
        <w:pStyle w:val="ProductNumber"/>
      </w:pPr>
      <w:r>
        <w:t>9B21M044</w:t>
      </w:r>
    </w:p>
    <w:p w14:paraId="4E057522" w14:textId="7A113CB1" w:rsidR="00D75295" w:rsidRPr="00433C05" w:rsidRDefault="00D75295" w:rsidP="00D75295">
      <w:pPr>
        <w:jc w:val="right"/>
        <w:rPr>
          <w:rFonts w:ascii="Arial" w:hAnsi="Arial"/>
          <w:b/>
          <w:lang w:val="en-GB"/>
        </w:rPr>
      </w:pPr>
    </w:p>
    <w:p w14:paraId="02524312" w14:textId="77777777" w:rsidR="001901C0" w:rsidRPr="00433C05" w:rsidRDefault="001901C0" w:rsidP="00D75295">
      <w:pPr>
        <w:jc w:val="right"/>
        <w:rPr>
          <w:rFonts w:ascii="Arial" w:hAnsi="Arial"/>
          <w:b/>
          <w:lang w:val="en-GB"/>
        </w:rPr>
      </w:pPr>
    </w:p>
    <w:p w14:paraId="2F03D26A" w14:textId="045050CC" w:rsidR="00013360" w:rsidRPr="00433C05" w:rsidRDefault="00A36B54" w:rsidP="00013360">
      <w:pPr>
        <w:pStyle w:val="CaseTitle"/>
        <w:spacing w:after="0" w:line="240" w:lineRule="auto"/>
        <w:rPr>
          <w:sz w:val="20"/>
          <w:szCs w:val="20"/>
          <w:lang w:val="en-GB"/>
        </w:rPr>
      </w:pPr>
      <w:r w:rsidRPr="00433C05">
        <w:rPr>
          <w:color w:val="000000" w:themeColor="text1"/>
          <w:lang w:val="en-GB"/>
        </w:rPr>
        <w:t>GOOGLE</w:t>
      </w:r>
      <w:r w:rsidR="00AB508F" w:rsidRPr="00433C05">
        <w:rPr>
          <w:color w:val="000000" w:themeColor="text1"/>
          <w:lang w:val="en-GB"/>
        </w:rPr>
        <w:t xml:space="preserve"> PLAY </w:t>
      </w:r>
      <w:r w:rsidR="00692981" w:rsidRPr="00433C05">
        <w:rPr>
          <w:color w:val="000000" w:themeColor="text1"/>
          <w:lang w:val="en-GB"/>
        </w:rPr>
        <w:t>IN INDIA</w:t>
      </w:r>
      <w:r w:rsidRPr="00433C05">
        <w:rPr>
          <w:color w:val="000000" w:themeColor="text1"/>
          <w:lang w:val="en-GB"/>
        </w:rPr>
        <w:t xml:space="preserve">: </w:t>
      </w:r>
      <w:r w:rsidR="0026280E" w:rsidRPr="00433C05">
        <w:rPr>
          <w:color w:val="000000" w:themeColor="text1"/>
          <w:lang w:val="en-GB"/>
        </w:rPr>
        <w:t xml:space="preserve">PLAYING </w:t>
      </w:r>
      <w:r w:rsidR="00EE6658" w:rsidRPr="00433C05">
        <w:rPr>
          <w:color w:val="000000" w:themeColor="text1"/>
          <w:lang w:val="en-GB"/>
        </w:rPr>
        <w:t>WITH NETWORKS</w:t>
      </w:r>
      <w:r w:rsidRPr="00433C05">
        <w:rPr>
          <w:rStyle w:val="EndnoteReference"/>
          <w:b w:val="0"/>
          <w:bCs w:val="0"/>
          <w:color w:val="000000" w:themeColor="text1"/>
          <w:lang w:val="en-GB"/>
        </w:rPr>
        <w:endnoteReference w:id="1"/>
      </w:r>
    </w:p>
    <w:p w14:paraId="40ABF6FD" w14:textId="77777777" w:rsidR="00CA3976" w:rsidRPr="00433C05" w:rsidRDefault="00CA3976" w:rsidP="00013360">
      <w:pPr>
        <w:pStyle w:val="CaseTitle"/>
        <w:spacing w:after="0" w:line="240" w:lineRule="auto"/>
        <w:rPr>
          <w:sz w:val="20"/>
          <w:szCs w:val="20"/>
          <w:lang w:val="en-GB"/>
        </w:rPr>
      </w:pPr>
    </w:p>
    <w:p w14:paraId="202F1085" w14:textId="77777777" w:rsidR="00013360" w:rsidRPr="00433C05" w:rsidRDefault="00013360" w:rsidP="00013360">
      <w:pPr>
        <w:pStyle w:val="CaseTitle"/>
        <w:spacing w:after="0" w:line="240" w:lineRule="auto"/>
        <w:rPr>
          <w:sz w:val="20"/>
          <w:szCs w:val="20"/>
          <w:lang w:val="en-GB"/>
        </w:rPr>
      </w:pPr>
    </w:p>
    <w:p w14:paraId="58B0C73F" w14:textId="319D577C" w:rsidR="00086B26" w:rsidRPr="00433C05" w:rsidRDefault="00A36B54" w:rsidP="00086B26">
      <w:pPr>
        <w:pStyle w:val="StyleCopyrightStatementAfter0ptBottomSinglesolidline1"/>
        <w:rPr>
          <w:lang w:val="en-GB"/>
        </w:rPr>
      </w:pPr>
      <w:r w:rsidRPr="00433C05">
        <w:rPr>
          <w:lang w:val="en-GB"/>
        </w:rPr>
        <w:t>Tulsi Jayakumar</w:t>
      </w:r>
      <w:r w:rsidR="00ED7922" w:rsidRPr="00433C05">
        <w:rPr>
          <w:rFonts w:cs="Arial"/>
          <w:szCs w:val="16"/>
          <w:lang w:val="en-GB"/>
        </w:rPr>
        <w:t xml:space="preserve"> </w:t>
      </w:r>
      <w:r w:rsidR="00086B26" w:rsidRPr="00433C05">
        <w:rPr>
          <w:lang w:val="en-GB"/>
        </w:rPr>
        <w:t>wrote this case solely to provide material for class discussion. The author do</w:t>
      </w:r>
      <w:r w:rsidR="00461833">
        <w:rPr>
          <w:lang w:val="en-GB"/>
        </w:rPr>
        <w:t>es</w:t>
      </w:r>
      <w:r w:rsidR="00086B26" w:rsidRPr="00433C05">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433C05" w:rsidRDefault="00086B26" w:rsidP="00086B26">
      <w:pPr>
        <w:pStyle w:val="StyleCopyrightStatementAfter0ptBottomSinglesolidline1"/>
        <w:rPr>
          <w:lang w:val="en-GB"/>
        </w:rPr>
      </w:pPr>
    </w:p>
    <w:p w14:paraId="79E1EFB1" w14:textId="77777777" w:rsidR="00902897" w:rsidRPr="00A323B0" w:rsidRDefault="00902897" w:rsidP="00902897">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BB54C9D" w14:textId="77777777" w:rsidR="00902897" w:rsidRPr="00A323B0" w:rsidRDefault="00902897" w:rsidP="00902897">
      <w:pPr>
        <w:pStyle w:val="StyleStyleCopyrightStatementAfter0ptBottomSinglesolid"/>
        <w:rPr>
          <w:rFonts w:cs="Arial"/>
          <w:szCs w:val="16"/>
        </w:rPr>
      </w:pPr>
    </w:p>
    <w:p w14:paraId="3922E14F" w14:textId="4A97F9DA" w:rsidR="00751E0B" w:rsidRPr="00433C05" w:rsidRDefault="00902897" w:rsidP="00902897">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 xml:space="preserve">Version: </w:t>
      </w:r>
      <w:r>
        <w:rPr>
          <w:rFonts w:cs="Arial"/>
          <w:iCs w:val="0"/>
          <w:color w:val="auto"/>
          <w:szCs w:val="16"/>
        </w:rPr>
        <w:t>2021-04-28</w:t>
      </w:r>
    </w:p>
    <w:p w14:paraId="0A2A54E4" w14:textId="77777777" w:rsidR="00751E0B" w:rsidRPr="00433C05" w:rsidRDefault="00751E0B" w:rsidP="00751E0B">
      <w:pPr>
        <w:pStyle w:val="StyleCopyrightStatementAfter0ptBottomSinglesolidline1"/>
        <w:rPr>
          <w:rFonts w:ascii="Times New Roman" w:hAnsi="Times New Roman"/>
          <w:sz w:val="20"/>
          <w:lang w:val="en-GB"/>
        </w:rPr>
      </w:pPr>
    </w:p>
    <w:p w14:paraId="2C183161" w14:textId="6D53EA85" w:rsidR="00B87DC0" w:rsidRPr="00433C05" w:rsidRDefault="00B87DC0" w:rsidP="002B40FF">
      <w:pPr>
        <w:pStyle w:val="Casehead1"/>
        <w:rPr>
          <w:lang w:val="en-GB"/>
        </w:rPr>
      </w:pPr>
    </w:p>
    <w:p w14:paraId="36723DA5" w14:textId="36A94F49" w:rsidR="00CC31FC" w:rsidRDefault="00A36B54" w:rsidP="00A36B54">
      <w:pPr>
        <w:jc w:val="both"/>
        <w:rPr>
          <w:sz w:val="22"/>
          <w:szCs w:val="22"/>
          <w:lang w:val="en-GB" w:eastAsia="en-GB"/>
        </w:rPr>
      </w:pPr>
      <w:r w:rsidRPr="00433C05">
        <w:rPr>
          <w:sz w:val="22"/>
          <w:szCs w:val="22"/>
          <w:lang w:val="en-GB" w:eastAsia="en-GB"/>
        </w:rPr>
        <w:t xml:space="preserve">In October 2020, Google LLC (Google) </w:t>
      </w:r>
      <w:r w:rsidR="0006665D">
        <w:rPr>
          <w:sz w:val="22"/>
          <w:szCs w:val="22"/>
          <w:lang w:val="en-GB" w:eastAsia="en-GB"/>
        </w:rPr>
        <w:t>found itself involved</w:t>
      </w:r>
      <w:r w:rsidR="00D630CC" w:rsidRPr="00433C05">
        <w:rPr>
          <w:sz w:val="22"/>
          <w:szCs w:val="22"/>
          <w:lang w:val="en-GB" w:eastAsia="en-GB"/>
        </w:rPr>
        <w:t xml:space="preserve"> in a</w:t>
      </w:r>
      <w:r w:rsidR="009E3DEF" w:rsidRPr="00433C05">
        <w:rPr>
          <w:sz w:val="22"/>
          <w:szCs w:val="22"/>
          <w:lang w:val="en-GB" w:eastAsia="en-GB"/>
        </w:rPr>
        <w:t xml:space="preserve"> </w:t>
      </w:r>
      <w:r w:rsidRPr="00433C05">
        <w:rPr>
          <w:sz w:val="22"/>
          <w:szCs w:val="22"/>
          <w:lang w:val="en-GB" w:eastAsia="en-GB"/>
        </w:rPr>
        <w:t>controversy</w:t>
      </w:r>
      <w:r w:rsidR="0094040B" w:rsidRPr="00433C05">
        <w:rPr>
          <w:sz w:val="22"/>
          <w:szCs w:val="22"/>
          <w:lang w:val="en-GB" w:eastAsia="en-GB"/>
        </w:rPr>
        <w:t xml:space="preserve"> </w:t>
      </w:r>
      <w:r w:rsidR="00D630CC" w:rsidRPr="00433C05">
        <w:rPr>
          <w:sz w:val="22"/>
          <w:szCs w:val="22"/>
          <w:lang w:val="en-GB" w:eastAsia="en-GB"/>
        </w:rPr>
        <w:t xml:space="preserve">with </w:t>
      </w:r>
      <w:r w:rsidR="0006665D">
        <w:rPr>
          <w:sz w:val="22"/>
          <w:szCs w:val="22"/>
          <w:lang w:val="en-GB" w:eastAsia="en-GB"/>
        </w:rPr>
        <w:t xml:space="preserve">both </w:t>
      </w:r>
      <w:r w:rsidR="0094040B" w:rsidRPr="00433C05">
        <w:rPr>
          <w:sz w:val="22"/>
          <w:szCs w:val="22"/>
          <w:lang w:val="en-GB" w:eastAsia="en-GB"/>
        </w:rPr>
        <w:t>India</w:t>
      </w:r>
      <w:r w:rsidR="0006665D">
        <w:rPr>
          <w:sz w:val="22"/>
          <w:szCs w:val="22"/>
          <w:lang w:val="en-GB" w:eastAsia="en-GB"/>
        </w:rPr>
        <w:t>’s government and the country’s</w:t>
      </w:r>
      <w:r w:rsidR="0094040B" w:rsidRPr="00433C05">
        <w:rPr>
          <w:sz w:val="22"/>
          <w:szCs w:val="22"/>
          <w:lang w:val="en-GB" w:eastAsia="en-GB"/>
        </w:rPr>
        <w:t xml:space="preserve"> </w:t>
      </w:r>
      <w:r w:rsidR="001959FF" w:rsidRPr="00433C05">
        <w:rPr>
          <w:sz w:val="22"/>
          <w:szCs w:val="22"/>
          <w:lang w:val="en-GB" w:eastAsia="en-GB"/>
        </w:rPr>
        <w:t>developers</w:t>
      </w:r>
      <w:r w:rsidR="0094040B" w:rsidRPr="00433C05">
        <w:rPr>
          <w:sz w:val="22"/>
          <w:szCs w:val="22"/>
          <w:lang w:val="en-GB" w:eastAsia="en-GB"/>
        </w:rPr>
        <w:t xml:space="preserve"> </w:t>
      </w:r>
      <w:r w:rsidR="0006665D">
        <w:rPr>
          <w:sz w:val="22"/>
          <w:szCs w:val="22"/>
          <w:lang w:val="en-GB" w:eastAsia="en-GB"/>
        </w:rPr>
        <w:t>of mobile applications (apps). Google</w:t>
      </w:r>
      <w:r w:rsidRPr="00433C05">
        <w:rPr>
          <w:sz w:val="22"/>
          <w:szCs w:val="22"/>
          <w:lang w:val="en-GB" w:eastAsia="en-GB"/>
        </w:rPr>
        <w:t xml:space="preserve"> announce</w:t>
      </w:r>
      <w:r w:rsidR="0006665D">
        <w:rPr>
          <w:sz w:val="22"/>
          <w:szCs w:val="22"/>
          <w:lang w:val="en-GB" w:eastAsia="en-GB"/>
        </w:rPr>
        <w:t>d</w:t>
      </w:r>
      <w:r w:rsidRPr="00433C05">
        <w:rPr>
          <w:sz w:val="22"/>
          <w:szCs w:val="22"/>
          <w:lang w:val="en-GB" w:eastAsia="en-GB"/>
        </w:rPr>
        <w:t xml:space="preserve"> </w:t>
      </w:r>
      <w:r w:rsidR="000635A6">
        <w:rPr>
          <w:sz w:val="22"/>
          <w:szCs w:val="22"/>
          <w:lang w:val="en-GB" w:eastAsia="en-GB"/>
        </w:rPr>
        <w:t xml:space="preserve">that it would be enforcing </w:t>
      </w:r>
      <w:r w:rsidRPr="00433C05">
        <w:rPr>
          <w:sz w:val="22"/>
          <w:szCs w:val="22"/>
          <w:lang w:val="en-GB" w:eastAsia="en-GB"/>
        </w:rPr>
        <w:t xml:space="preserve">its </w:t>
      </w:r>
      <w:r w:rsidR="0006665D">
        <w:rPr>
          <w:sz w:val="22"/>
          <w:szCs w:val="22"/>
          <w:lang w:val="en-GB" w:eastAsia="en-GB"/>
        </w:rPr>
        <w:t xml:space="preserve">global </w:t>
      </w:r>
      <w:r w:rsidR="000635A6">
        <w:rPr>
          <w:sz w:val="22"/>
          <w:szCs w:val="22"/>
          <w:lang w:val="en-GB" w:eastAsia="en-GB"/>
        </w:rPr>
        <w:t xml:space="preserve">payment </w:t>
      </w:r>
      <w:r w:rsidRPr="00433C05">
        <w:rPr>
          <w:sz w:val="22"/>
          <w:szCs w:val="22"/>
          <w:lang w:val="en-GB" w:eastAsia="en-GB"/>
        </w:rPr>
        <w:t xml:space="preserve">policy </w:t>
      </w:r>
      <w:r w:rsidR="000635A6">
        <w:rPr>
          <w:sz w:val="22"/>
          <w:szCs w:val="22"/>
          <w:lang w:val="en-GB" w:eastAsia="en-GB"/>
        </w:rPr>
        <w:t xml:space="preserve">for </w:t>
      </w:r>
      <w:r w:rsidRPr="00433C05">
        <w:rPr>
          <w:sz w:val="22"/>
          <w:szCs w:val="22"/>
          <w:lang w:val="en-GB" w:eastAsia="en-GB"/>
        </w:rPr>
        <w:t>Google Play</w:t>
      </w:r>
      <w:r w:rsidR="0006665D">
        <w:rPr>
          <w:sz w:val="22"/>
          <w:szCs w:val="22"/>
          <w:lang w:val="en-GB" w:eastAsia="en-GB"/>
        </w:rPr>
        <w:t>,</w:t>
      </w:r>
      <w:r w:rsidRPr="00433C05">
        <w:rPr>
          <w:sz w:val="22"/>
          <w:szCs w:val="22"/>
          <w:lang w:val="en-GB" w:eastAsia="en-GB"/>
        </w:rPr>
        <w:t xml:space="preserve"> </w:t>
      </w:r>
      <w:r w:rsidR="0006665D">
        <w:rPr>
          <w:sz w:val="22"/>
          <w:szCs w:val="22"/>
          <w:lang w:val="en-GB" w:eastAsia="en-GB"/>
        </w:rPr>
        <w:t>the company’s</w:t>
      </w:r>
      <w:r w:rsidRPr="00433C05">
        <w:rPr>
          <w:sz w:val="22"/>
          <w:szCs w:val="22"/>
          <w:lang w:val="en-GB" w:eastAsia="en-GB"/>
        </w:rPr>
        <w:t xml:space="preserve"> digital distribution platform for apps and digital media</w:t>
      </w:r>
      <w:r w:rsidR="0042788C">
        <w:rPr>
          <w:sz w:val="22"/>
          <w:szCs w:val="22"/>
          <w:lang w:val="en-GB" w:eastAsia="en-GB"/>
        </w:rPr>
        <w:t>,</w:t>
      </w:r>
      <w:r w:rsidRPr="00433C05">
        <w:rPr>
          <w:sz w:val="22"/>
          <w:szCs w:val="22"/>
          <w:lang w:val="en-GB" w:eastAsia="en-GB"/>
        </w:rPr>
        <w:t xml:space="preserve"> including books, movies, magazines, music</w:t>
      </w:r>
      <w:r w:rsidR="0042788C">
        <w:rPr>
          <w:sz w:val="22"/>
          <w:szCs w:val="22"/>
          <w:lang w:val="en-GB" w:eastAsia="en-GB"/>
        </w:rPr>
        <w:t>,</w:t>
      </w:r>
      <w:r w:rsidRPr="00433C05">
        <w:rPr>
          <w:sz w:val="22"/>
          <w:szCs w:val="22"/>
          <w:lang w:val="en-GB" w:eastAsia="en-GB"/>
        </w:rPr>
        <w:t xml:space="preserve"> and </w:t>
      </w:r>
      <w:r w:rsidR="0042788C">
        <w:rPr>
          <w:sz w:val="22"/>
          <w:szCs w:val="22"/>
          <w:lang w:val="en-GB" w:eastAsia="en-GB"/>
        </w:rPr>
        <w:t>television programs</w:t>
      </w:r>
      <w:r w:rsidRPr="00433C05">
        <w:rPr>
          <w:sz w:val="22"/>
          <w:szCs w:val="22"/>
          <w:lang w:val="en-GB" w:eastAsia="en-GB"/>
        </w:rPr>
        <w:t>.</w:t>
      </w:r>
      <w:r w:rsidR="000635A6" w:rsidRPr="00433C05">
        <w:rPr>
          <w:sz w:val="22"/>
          <w:szCs w:val="22"/>
          <w:vertAlign w:val="superscript"/>
          <w:lang w:val="en-GB" w:eastAsia="en-GB"/>
        </w:rPr>
        <w:endnoteReference w:id="2"/>
      </w:r>
      <w:r w:rsidR="000635A6">
        <w:rPr>
          <w:sz w:val="22"/>
          <w:szCs w:val="22"/>
          <w:lang w:val="en-GB" w:eastAsia="en-GB"/>
        </w:rPr>
        <w:t xml:space="preserve"> The policy required app developers to pay</w:t>
      </w:r>
      <w:r w:rsidR="000635A6" w:rsidRPr="00433C05">
        <w:rPr>
          <w:sz w:val="22"/>
          <w:szCs w:val="22"/>
          <w:lang w:val="en-GB" w:eastAsia="en-GB"/>
        </w:rPr>
        <w:t xml:space="preserve"> a 30 per cent commission on all in-app purchases of digital goods </w:t>
      </w:r>
      <w:r w:rsidR="000635A6">
        <w:rPr>
          <w:sz w:val="22"/>
          <w:szCs w:val="22"/>
          <w:lang w:val="en-GB" w:eastAsia="en-GB"/>
        </w:rPr>
        <w:t>bought</w:t>
      </w:r>
      <w:r w:rsidR="000635A6" w:rsidRPr="00433C05">
        <w:rPr>
          <w:sz w:val="22"/>
          <w:szCs w:val="22"/>
          <w:lang w:val="en-GB" w:eastAsia="en-GB"/>
        </w:rPr>
        <w:t xml:space="preserve"> on</w:t>
      </w:r>
      <w:r w:rsidR="000635A6">
        <w:rPr>
          <w:sz w:val="22"/>
          <w:szCs w:val="22"/>
          <w:lang w:val="en-GB" w:eastAsia="en-GB"/>
        </w:rPr>
        <w:t xml:space="preserve"> </w:t>
      </w:r>
      <w:r w:rsidR="00CC31FC">
        <w:rPr>
          <w:sz w:val="22"/>
          <w:szCs w:val="22"/>
          <w:lang w:val="en-GB" w:eastAsia="en-GB"/>
        </w:rPr>
        <w:t>Google Play.</w:t>
      </w:r>
      <w:r w:rsidR="000635A6" w:rsidRPr="00433C05">
        <w:rPr>
          <w:sz w:val="22"/>
          <w:szCs w:val="22"/>
          <w:vertAlign w:val="superscript"/>
          <w:lang w:val="en-GB" w:eastAsia="en-GB"/>
        </w:rPr>
        <w:endnoteReference w:id="3"/>
      </w:r>
      <w:r w:rsidRPr="00433C05">
        <w:rPr>
          <w:sz w:val="22"/>
          <w:szCs w:val="22"/>
          <w:lang w:val="en-GB" w:eastAsia="en-GB"/>
        </w:rPr>
        <w:t xml:space="preserve"> </w:t>
      </w:r>
      <w:r w:rsidR="0042788C">
        <w:rPr>
          <w:sz w:val="22"/>
          <w:szCs w:val="22"/>
          <w:lang w:val="en-GB" w:eastAsia="en-GB"/>
        </w:rPr>
        <w:t>Google’s</w:t>
      </w:r>
      <w:r w:rsidRPr="00433C05">
        <w:rPr>
          <w:sz w:val="22"/>
          <w:szCs w:val="22"/>
          <w:lang w:val="en-GB" w:eastAsia="en-GB"/>
        </w:rPr>
        <w:t xml:space="preserve"> policy</w:t>
      </w:r>
      <w:r w:rsidR="0042788C">
        <w:rPr>
          <w:sz w:val="22"/>
          <w:szCs w:val="22"/>
          <w:lang w:val="en-GB" w:eastAsia="en-GB"/>
        </w:rPr>
        <w:t xml:space="preserve"> w</w:t>
      </w:r>
      <w:r w:rsidR="00CC31FC">
        <w:rPr>
          <w:sz w:val="22"/>
          <w:szCs w:val="22"/>
          <w:lang w:val="en-GB" w:eastAsia="en-GB"/>
        </w:rPr>
        <w:t>ould become</w:t>
      </w:r>
      <w:r w:rsidRPr="00433C05">
        <w:rPr>
          <w:sz w:val="22"/>
          <w:szCs w:val="22"/>
          <w:lang w:val="en-GB" w:eastAsia="en-GB"/>
        </w:rPr>
        <w:t xml:space="preserve"> effective </w:t>
      </w:r>
      <w:r w:rsidR="0094040B" w:rsidRPr="00433C05">
        <w:rPr>
          <w:sz w:val="22"/>
          <w:szCs w:val="22"/>
          <w:lang w:val="en-GB" w:eastAsia="en-GB"/>
        </w:rPr>
        <w:t xml:space="preserve">worldwide </w:t>
      </w:r>
      <w:r w:rsidR="00CC31FC">
        <w:rPr>
          <w:sz w:val="22"/>
          <w:szCs w:val="22"/>
          <w:lang w:val="en-GB" w:eastAsia="en-GB"/>
        </w:rPr>
        <w:t>starting in</w:t>
      </w:r>
      <w:r w:rsidRPr="00433C05">
        <w:rPr>
          <w:sz w:val="22"/>
          <w:szCs w:val="22"/>
          <w:lang w:val="en-GB" w:eastAsia="en-GB"/>
        </w:rPr>
        <w:t xml:space="preserve"> September 2021</w:t>
      </w:r>
      <w:r w:rsidR="00CC31FC">
        <w:rPr>
          <w:sz w:val="22"/>
          <w:szCs w:val="22"/>
          <w:lang w:val="en-GB" w:eastAsia="en-GB"/>
        </w:rPr>
        <w:t>, when</w:t>
      </w:r>
      <w:r w:rsidRPr="00433C05">
        <w:rPr>
          <w:sz w:val="22"/>
          <w:szCs w:val="22"/>
          <w:lang w:val="en-GB" w:eastAsia="en-GB"/>
        </w:rPr>
        <w:t xml:space="preserve"> </w:t>
      </w:r>
      <w:r w:rsidR="00CC31FC">
        <w:rPr>
          <w:sz w:val="22"/>
          <w:szCs w:val="22"/>
          <w:lang w:val="en-GB" w:eastAsia="en-GB"/>
        </w:rPr>
        <w:t xml:space="preserve">all </w:t>
      </w:r>
      <w:r w:rsidRPr="00433C05">
        <w:rPr>
          <w:sz w:val="22"/>
          <w:szCs w:val="22"/>
          <w:lang w:val="en-GB" w:eastAsia="en-GB"/>
        </w:rPr>
        <w:t xml:space="preserve">developers </w:t>
      </w:r>
      <w:r w:rsidR="0042788C">
        <w:rPr>
          <w:sz w:val="22"/>
          <w:szCs w:val="22"/>
          <w:lang w:val="en-GB" w:eastAsia="en-GB"/>
        </w:rPr>
        <w:t xml:space="preserve">who </w:t>
      </w:r>
      <w:r w:rsidRPr="00433C05">
        <w:rPr>
          <w:sz w:val="22"/>
          <w:szCs w:val="22"/>
          <w:lang w:val="en-GB" w:eastAsia="en-GB"/>
        </w:rPr>
        <w:t>s</w:t>
      </w:r>
      <w:r w:rsidR="0042788C">
        <w:rPr>
          <w:sz w:val="22"/>
          <w:szCs w:val="22"/>
          <w:lang w:val="en-GB" w:eastAsia="en-GB"/>
        </w:rPr>
        <w:t>old</w:t>
      </w:r>
      <w:r w:rsidRPr="00433C05">
        <w:rPr>
          <w:sz w:val="22"/>
          <w:szCs w:val="22"/>
          <w:lang w:val="en-GB" w:eastAsia="en-GB"/>
        </w:rPr>
        <w:t xml:space="preserve"> digital goods on their apps would </w:t>
      </w:r>
      <w:r w:rsidR="0042788C">
        <w:rPr>
          <w:sz w:val="22"/>
          <w:szCs w:val="22"/>
          <w:lang w:val="en-GB" w:eastAsia="en-GB"/>
        </w:rPr>
        <w:t>have</w:t>
      </w:r>
      <w:r w:rsidRPr="00433C05">
        <w:rPr>
          <w:sz w:val="22"/>
          <w:szCs w:val="22"/>
          <w:lang w:val="en-GB" w:eastAsia="en-GB"/>
        </w:rPr>
        <w:t xml:space="preserve"> to use Google’s billing system and pay Google </w:t>
      </w:r>
      <w:r w:rsidR="0042788C">
        <w:rPr>
          <w:sz w:val="22"/>
          <w:szCs w:val="22"/>
          <w:lang w:val="en-GB" w:eastAsia="en-GB"/>
        </w:rPr>
        <w:t>a</w:t>
      </w:r>
      <w:r w:rsidRPr="00433C05">
        <w:rPr>
          <w:sz w:val="22"/>
          <w:szCs w:val="22"/>
          <w:lang w:val="en-GB" w:eastAsia="en-GB"/>
        </w:rPr>
        <w:t xml:space="preserve"> 30 per cent commission on </w:t>
      </w:r>
      <w:r w:rsidR="0042788C">
        <w:rPr>
          <w:sz w:val="22"/>
          <w:szCs w:val="22"/>
          <w:lang w:val="en-GB" w:eastAsia="en-GB"/>
        </w:rPr>
        <w:t>all “</w:t>
      </w:r>
      <w:r w:rsidRPr="00433C05">
        <w:rPr>
          <w:sz w:val="22"/>
          <w:szCs w:val="22"/>
          <w:lang w:val="en-GB" w:eastAsia="en-GB"/>
        </w:rPr>
        <w:t>app sales, in-app purchases and subscriptions made within apps.</w:t>
      </w:r>
      <w:r w:rsidR="0042788C">
        <w:rPr>
          <w:sz w:val="22"/>
          <w:szCs w:val="22"/>
          <w:lang w:val="en-GB" w:eastAsia="en-GB"/>
        </w:rPr>
        <w:t>”</w:t>
      </w:r>
      <w:r w:rsidRPr="00433C05">
        <w:rPr>
          <w:sz w:val="22"/>
          <w:szCs w:val="22"/>
          <w:vertAlign w:val="superscript"/>
          <w:lang w:val="en-GB" w:eastAsia="en-GB"/>
        </w:rPr>
        <w:endnoteReference w:id="4"/>
      </w:r>
      <w:r w:rsidRPr="00433C05">
        <w:rPr>
          <w:sz w:val="22"/>
          <w:szCs w:val="22"/>
          <w:lang w:val="en-GB" w:eastAsia="en-GB"/>
        </w:rPr>
        <w:t xml:space="preserve"> </w:t>
      </w:r>
    </w:p>
    <w:p w14:paraId="251079D2" w14:textId="77777777" w:rsidR="00CC31FC" w:rsidRDefault="00CC31FC" w:rsidP="00A36B54">
      <w:pPr>
        <w:jc w:val="both"/>
        <w:rPr>
          <w:sz w:val="22"/>
          <w:szCs w:val="22"/>
          <w:lang w:val="en-GB" w:eastAsia="en-GB"/>
        </w:rPr>
      </w:pPr>
    </w:p>
    <w:p w14:paraId="40741C9F" w14:textId="20E9A4F8" w:rsidR="00C122BF" w:rsidRPr="00433C05" w:rsidRDefault="00A36B54" w:rsidP="00A36B54">
      <w:pPr>
        <w:jc w:val="both"/>
        <w:rPr>
          <w:sz w:val="22"/>
          <w:szCs w:val="22"/>
          <w:lang w:val="en-GB" w:eastAsia="en-GB"/>
        </w:rPr>
      </w:pPr>
      <w:r w:rsidRPr="00433C05">
        <w:rPr>
          <w:sz w:val="22"/>
          <w:szCs w:val="22"/>
          <w:lang w:val="en-GB" w:eastAsia="en-GB"/>
        </w:rPr>
        <w:t xml:space="preserve">Google justified this commission as </w:t>
      </w:r>
      <w:r w:rsidR="0042788C">
        <w:rPr>
          <w:sz w:val="22"/>
          <w:szCs w:val="22"/>
          <w:lang w:val="en-GB" w:eastAsia="en-GB"/>
        </w:rPr>
        <w:t xml:space="preserve">the price </w:t>
      </w:r>
      <w:r w:rsidRPr="00433C05">
        <w:rPr>
          <w:sz w:val="22"/>
          <w:szCs w:val="22"/>
          <w:lang w:val="en-GB" w:eastAsia="en-GB"/>
        </w:rPr>
        <w:t xml:space="preserve">for providing consumers the benefits of a </w:t>
      </w:r>
      <w:r w:rsidR="0042788C">
        <w:rPr>
          <w:sz w:val="22"/>
          <w:szCs w:val="22"/>
          <w:lang w:val="en-GB" w:eastAsia="en-GB"/>
        </w:rPr>
        <w:t>“</w:t>
      </w:r>
      <w:r w:rsidRPr="00433C05">
        <w:rPr>
          <w:sz w:val="22"/>
          <w:szCs w:val="22"/>
          <w:lang w:val="en-GB" w:eastAsia="en-GB"/>
        </w:rPr>
        <w:t>trusted system</w:t>
      </w:r>
      <w:r w:rsidR="0042788C">
        <w:rPr>
          <w:sz w:val="22"/>
          <w:szCs w:val="22"/>
          <w:lang w:val="en-GB" w:eastAsia="en-GB"/>
        </w:rPr>
        <w:t>”</w:t>
      </w:r>
      <w:r w:rsidRPr="00433C05">
        <w:rPr>
          <w:sz w:val="22"/>
          <w:szCs w:val="22"/>
          <w:lang w:val="en-GB" w:eastAsia="en-GB"/>
        </w:rPr>
        <w:t xml:space="preserve"> that allowed them to </w:t>
      </w:r>
      <w:r w:rsidR="0042788C">
        <w:rPr>
          <w:sz w:val="22"/>
          <w:szCs w:val="22"/>
          <w:lang w:val="en-GB" w:eastAsia="en-GB"/>
        </w:rPr>
        <w:t>“</w:t>
      </w:r>
      <w:r w:rsidRPr="00433C05">
        <w:rPr>
          <w:sz w:val="22"/>
          <w:szCs w:val="22"/>
          <w:lang w:val="en-GB" w:eastAsia="en-GB"/>
        </w:rPr>
        <w:t>safely, securely, and seamlessly buy from developers worldwide.</w:t>
      </w:r>
      <w:r w:rsidR="0042788C">
        <w:rPr>
          <w:sz w:val="22"/>
          <w:szCs w:val="22"/>
          <w:lang w:val="en-GB" w:eastAsia="en-GB"/>
        </w:rPr>
        <w:t>”</w:t>
      </w:r>
      <w:r w:rsidRPr="00433C05">
        <w:rPr>
          <w:sz w:val="22"/>
          <w:szCs w:val="22"/>
          <w:vertAlign w:val="superscript"/>
          <w:lang w:val="en-GB" w:eastAsia="en-GB"/>
        </w:rPr>
        <w:endnoteReference w:id="5"/>
      </w:r>
      <w:r w:rsidRPr="00433C05">
        <w:rPr>
          <w:sz w:val="22"/>
          <w:szCs w:val="22"/>
          <w:lang w:val="en-GB" w:eastAsia="en-GB"/>
        </w:rPr>
        <w:t xml:space="preserve"> </w:t>
      </w:r>
      <w:r w:rsidR="000B405A" w:rsidRPr="00433C05">
        <w:rPr>
          <w:sz w:val="22"/>
          <w:szCs w:val="22"/>
          <w:lang w:val="en-GB" w:eastAsia="en-GB"/>
        </w:rPr>
        <w:t>Google clarified that</w:t>
      </w:r>
      <w:r w:rsidR="0042788C">
        <w:rPr>
          <w:sz w:val="22"/>
          <w:szCs w:val="22"/>
          <w:lang w:val="en-GB" w:eastAsia="en-GB"/>
        </w:rPr>
        <w:t xml:space="preserve"> the</w:t>
      </w:r>
      <w:r w:rsidR="000B405A" w:rsidRPr="00433C05">
        <w:rPr>
          <w:sz w:val="22"/>
          <w:szCs w:val="22"/>
          <w:lang w:val="en-GB" w:eastAsia="en-GB"/>
        </w:rPr>
        <w:t xml:space="preserve"> commission would not be charged on in-app advertising or purchases of physical goods</w:t>
      </w:r>
      <w:r w:rsidR="00CC31FC">
        <w:rPr>
          <w:sz w:val="22"/>
          <w:szCs w:val="22"/>
          <w:lang w:val="en-GB" w:eastAsia="en-GB"/>
        </w:rPr>
        <w:t xml:space="preserve"> made</w:t>
      </w:r>
      <w:r w:rsidR="000B405A" w:rsidRPr="00433C05">
        <w:rPr>
          <w:sz w:val="22"/>
          <w:szCs w:val="22"/>
          <w:lang w:val="en-GB" w:eastAsia="en-GB"/>
        </w:rPr>
        <w:t xml:space="preserve"> through an app.</w:t>
      </w:r>
      <w:r w:rsidR="000B405A" w:rsidRPr="00433C05">
        <w:rPr>
          <w:sz w:val="22"/>
          <w:szCs w:val="22"/>
          <w:vertAlign w:val="superscript"/>
          <w:lang w:val="en-GB" w:eastAsia="en-GB"/>
        </w:rPr>
        <w:endnoteReference w:id="6"/>
      </w:r>
    </w:p>
    <w:p w14:paraId="20E0DBC9" w14:textId="77777777" w:rsidR="00C122BF" w:rsidRPr="00433C05" w:rsidRDefault="00C122BF" w:rsidP="00A36B54">
      <w:pPr>
        <w:jc w:val="both"/>
        <w:rPr>
          <w:sz w:val="22"/>
          <w:szCs w:val="22"/>
          <w:lang w:val="en-GB" w:eastAsia="en-GB"/>
        </w:rPr>
      </w:pPr>
    </w:p>
    <w:p w14:paraId="0F7F1CF9" w14:textId="7CC8AA8F" w:rsidR="005D7388" w:rsidRPr="00433C05" w:rsidRDefault="009D3D68" w:rsidP="00A36B54">
      <w:pPr>
        <w:jc w:val="both"/>
        <w:rPr>
          <w:sz w:val="22"/>
          <w:szCs w:val="22"/>
          <w:lang w:val="en-GB" w:eastAsia="en-GB"/>
        </w:rPr>
      </w:pPr>
      <w:r>
        <w:rPr>
          <w:sz w:val="22"/>
          <w:szCs w:val="22"/>
          <w:lang w:val="en-GB" w:eastAsia="en-GB"/>
        </w:rPr>
        <w:t>Google’s</w:t>
      </w:r>
      <w:r w:rsidR="00A36B54" w:rsidRPr="00433C05">
        <w:rPr>
          <w:sz w:val="22"/>
          <w:szCs w:val="22"/>
          <w:lang w:val="en-GB" w:eastAsia="en-GB"/>
        </w:rPr>
        <w:t xml:space="preserve"> announcement drew particular </w:t>
      </w:r>
      <w:r>
        <w:rPr>
          <w:sz w:val="22"/>
          <w:szCs w:val="22"/>
          <w:lang w:val="en-GB" w:eastAsia="en-GB"/>
        </w:rPr>
        <w:t>opposition</w:t>
      </w:r>
      <w:r w:rsidR="00A36B54" w:rsidRPr="00433C05">
        <w:rPr>
          <w:sz w:val="22"/>
          <w:szCs w:val="22"/>
          <w:lang w:val="en-GB" w:eastAsia="en-GB"/>
        </w:rPr>
        <w:t xml:space="preserve"> in India</w:t>
      </w:r>
      <w:r>
        <w:rPr>
          <w:sz w:val="22"/>
          <w:szCs w:val="22"/>
          <w:lang w:val="en-GB" w:eastAsia="en-GB"/>
        </w:rPr>
        <w:t>. T</w:t>
      </w:r>
      <w:r w:rsidR="00A36B54" w:rsidRPr="00433C05">
        <w:rPr>
          <w:sz w:val="22"/>
          <w:szCs w:val="22"/>
          <w:lang w:val="en-GB" w:eastAsia="en-GB"/>
        </w:rPr>
        <w:t>ech</w:t>
      </w:r>
      <w:r>
        <w:rPr>
          <w:sz w:val="22"/>
          <w:szCs w:val="22"/>
          <w:lang w:val="en-GB" w:eastAsia="en-GB"/>
        </w:rPr>
        <w:t>nology</w:t>
      </w:r>
      <w:r w:rsidR="00A36B54" w:rsidRPr="00433C05">
        <w:rPr>
          <w:sz w:val="22"/>
          <w:szCs w:val="22"/>
          <w:lang w:val="en-GB" w:eastAsia="en-GB"/>
        </w:rPr>
        <w:t xml:space="preserve"> start-up companies</w:t>
      </w:r>
      <w:r>
        <w:rPr>
          <w:sz w:val="22"/>
          <w:szCs w:val="22"/>
          <w:lang w:val="en-GB" w:eastAsia="en-GB"/>
        </w:rPr>
        <w:t xml:space="preserve"> that</w:t>
      </w:r>
      <w:r w:rsidR="00A36B54" w:rsidRPr="00433C05">
        <w:rPr>
          <w:sz w:val="22"/>
          <w:szCs w:val="22"/>
          <w:lang w:val="en-GB" w:eastAsia="en-GB"/>
        </w:rPr>
        <w:t xml:space="preserve"> used </w:t>
      </w:r>
      <w:r>
        <w:rPr>
          <w:sz w:val="22"/>
          <w:szCs w:val="22"/>
          <w:lang w:val="en-GB" w:eastAsia="en-GB"/>
        </w:rPr>
        <w:t xml:space="preserve">Google </w:t>
      </w:r>
      <w:r w:rsidR="00A36B54" w:rsidRPr="00433C05">
        <w:rPr>
          <w:sz w:val="22"/>
          <w:szCs w:val="22"/>
          <w:lang w:val="en-GB" w:eastAsia="en-GB"/>
        </w:rPr>
        <w:t xml:space="preserve">Play to distribute their products </w:t>
      </w:r>
      <w:r>
        <w:rPr>
          <w:sz w:val="22"/>
          <w:szCs w:val="22"/>
          <w:lang w:val="en-GB" w:eastAsia="en-GB"/>
        </w:rPr>
        <w:t>strongly objected to</w:t>
      </w:r>
      <w:r w:rsidR="00A36B54" w:rsidRPr="00433C05">
        <w:rPr>
          <w:sz w:val="22"/>
          <w:szCs w:val="22"/>
          <w:lang w:val="en-GB" w:eastAsia="en-GB"/>
        </w:rPr>
        <w:t xml:space="preserve"> </w:t>
      </w:r>
      <w:r>
        <w:rPr>
          <w:sz w:val="22"/>
          <w:szCs w:val="22"/>
          <w:lang w:val="en-GB" w:eastAsia="en-GB"/>
        </w:rPr>
        <w:t>paying the</w:t>
      </w:r>
      <w:r w:rsidR="00A36B54" w:rsidRPr="00433C05">
        <w:rPr>
          <w:sz w:val="22"/>
          <w:szCs w:val="22"/>
          <w:lang w:val="en-GB" w:eastAsia="en-GB"/>
        </w:rPr>
        <w:t xml:space="preserve"> </w:t>
      </w:r>
      <w:r>
        <w:rPr>
          <w:sz w:val="22"/>
          <w:szCs w:val="22"/>
          <w:lang w:val="en-GB" w:eastAsia="en-GB"/>
        </w:rPr>
        <w:t>30 per cent commission</w:t>
      </w:r>
      <w:r w:rsidR="00A36B54" w:rsidRPr="00433C05">
        <w:rPr>
          <w:sz w:val="22"/>
          <w:szCs w:val="22"/>
          <w:lang w:val="en-GB" w:eastAsia="en-GB"/>
        </w:rPr>
        <w:t xml:space="preserve">, </w:t>
      </w:r>
      <w:r>
        <w:rPr>
          <w:sz w:val="22"/>
          <w:szCs w:val="22"/>
          <w:lang w:val="en-GB" w:eastAsia="en-GB"/>
        </w:rPr>
        <w:t>which they referred to</w:t>
      </w:r>
      <w:r w:rsidR="00A36B54" w:rsidRPr="00433C05">
        <w:rPr>
          <w:sz w:val="22"/>
          <w:szCs w:val="22"/>
          <w:lang w:val="en-GB" w:eastAsia="en-GB"/>
        </w:rPr>
        <w:t xml:space="preserve"> as </w:t>
      </w:r>
      <w:r>
        <w:rPr>
          <w:sz w:val="22"/>
          <w:szCs w:val="22"/>
          <w:lang w:val="en-GB" w:eastAsia="en-GB"/>
        </w:rPr>
        <w:t>a “</w:t>
      </w:r>
      <w:r w:rsidR="00A36B54" w:rsidRPr="00433C05">
        <w:rPr>
          <w:sz w:val="22"/>
          <w:szCs w:val="22"/>
          <w:lang w:val="en-GB" w:eastAsia="en-GB"/>
        </w:rPr>
        <w:t>Google tax.</w:t>
      </w:r>
      <w:r>
        <w:rPr>
          <w:sz w:val="22"/>
          <w:szCs w:val="22"/>
          <w:lang w:val="en-GB" w:eastAsia="en-GB"/>
        </w:rPr>
        <w:t>”</w:t>
      </w:r>
      <w:r w:rsidR="00A36B54" w:rsidRPr="00433C05">
        <w:rPr>
          <w:sz w:val="22"/>
          <w:szCs w:val="22"/>
          <w:vertAlign w:val="superscript"/>
          <w:lang w:val="en-GB" w:eastAsia="en-GB"/>
        </w:rPr>
        <w:endnoteReference w:id="7"/>
      </w:r>
      <w:r w:rsidR="00A36B54" w:rsidRPr="00433C05">
        <w:rPr>
          <w:sz w:val="22"/>
          <w:szCs w:val="22"/>
          <w:lang w:val="en-GB" w:eastAsia="en-GB"/>
        </w:rPr>
        <w:t xml:space="preserve"> </w:t>
      </w:r>
      <w:r w:rsidR="000E23B2" w:rsidRPr="00433C05">
        <w:rPr>
          <w:sz w:val="22"/>
          <w:szCs w:val="22"/>
          <w:lang w:val="en-GB" w:eastAsia="en-GB"/>
        </w:rPr>
        <w:t>They</w:t>
      </w:r>
      <w:r w:rsidR="00A36B54" w:rsidRPr="00433C05">
        <w:rPr>
          <w:sz w:val="22"/>
          <w:szCs w:val="22"/>
          <w:lang w:val="en-GB" w:eastAsia="en-GB"/>
        </w:rPr>
        <w:t xml:space="preserve"> challenged Google</w:t>
      </w:r>
      <w:r>
        <w:rPr>
          <w:sz w:val="22"/>
          <w:szCs w:val="22"/>
          <w:lang w:val="en-GB" w:eastAsia="en-GB"/>
        </w:rPr>
        <w:t>’s</w:t>
      </w:r>
      <w:r w:rsidR="00A36B54" w:rsidRPr="00433C05">
        <w:rPr>
          <w:sz w:val="22"/>
          <w:szCs w:val="22"/>
          <w:lang w:val="en-GB" w:eastAsia="en-GB"/>
        </w:rPr>
        <w:t xml:space="preserve"> imposition of the commission and threatened to file </w:t>
      </w:r>
      <w:r>
        <w:rPr>
          <w:sz w:val="22"/>
          <w:szCs w:val="22"/>
          <w:lang w:val="en-GB" w:eastAsia="en-GB"/>
        </w:rPr>
        <w:t xml:space="preserve">an </w:t>
      </w:r>
      <w:r w:rsidR="00A36B54" w:rsidRPr="00433C05">
        <w:rPr>
          <w:sz w:val="22"/>
          <w:szCs w:val="22"/>
          <w:lang w:val="en-GB" w:eastAsia="en-GB"/>
        </w:rPr>
        <w:t>antitrust complaint against the company</w:t>
      </w:r>
      <w:r>
        <w:rPr>
          <w:sz w:val="22"/>
          <w:szCs w:val="22"/>
          <w:lang w:val="en-GB" w:eastAsia="en-GB"/>
        </w:rPr>
        <w:t xml:space="preserve">. India’s technology </w:t>
      </w:r>
      <w:r w:rsidR="009431D8">
        <w:rPr>
          <w:sz w:val="22"/>
          <w:szCs w:val="22"/>
          <w:lang w:val="en-GB" w:eastAsia="en-GB"/>
        </w:rPr>
        <w:t xml:space="preserve">companies began </w:t>
      </w:r>
      <w:r w:rsidR="00CC31FC">
        <w:rPr>
          <w:sz w:val="22"/>
          <w:szCs w:val="22"/>
          <w:lang w:val="en-GB" w:eastAsia="en-GB"/>
        </w:rPr>
        <w:t>discussions on building</w:t>
      </w:r>
      <w:r w:rsidR="00A36B54" w:rsidRPr="00433C05">
        <w:rPr>
          <w:sz w:val="22"/>
          <w:szCs w:val="22"/>
          <w:lang w:val="en-GB" w:eastAsia="en-GB"/>
        </w:rPr>
        <w:t xml:space="preserve"> a</w:t>
      </w:r>
      <w:r w:rsidR="00CC31FC">
        <w:rPr>
          <w:sz w:val="22"/>
          <w:szCs w:val="22"/>
          <w:lang w:val="en-GB" w:eastAsia="en-GB"/>
        </w:rPr>
        <w:t>n alternative</w:t>
      </w:r>
      <w:r w:rsidR="00A36B54" w:rsidRPr="00433C05">
        <w:rPr>
          <w:sz w:val="22"/>
          <w:szCs w:val="22"/>
          <w:lang w:val="en-GB" w:eastAsia="en-GB"/>
        </w:rPr>
        <w:t xml:space="preserve"> local </w:t>
      </w:r>
      <w:r>
        <w:rPr>
          <w:sz w:val="22"/>
          <w:szCs w:val="22"/>
          <w:lang w:val="en-GB" w:eastAsia="en-GB"/>
        </w:rPr>
        <w:t>version of Google Play</w:t>
      </w:r>
      <w:r w:rsidR="00CC31FC">
        <w:rPr>
          <w:sz w:val="22"/>
          <w:szCs w:val="22"/>
          <w:lang w:val="en-GB" w:eastAsia="en-GB"/>
        </w:rPr>
        <w:t xml:space="preserve"> that would make </w:t>
      </w:r>
      <w:r>
        <w:rPr>
          <w:sz w:val="22"/>
          <w:szCs w:val="22"/>
          <w:lang w:val="en-GB" w:eastAsia="en-GB"/>
        </w:rPr>
        <w:t>Indian</w:t>
      </w:r>
      <w:r w:rsidR="00A36B54" w:rsidRPr="00433C05">
        <w:rPr>
          <w:sz w:val="22"/>
          <w:szCs w:val="22"/>
          <w:lang w:val="en-GB" w:eastAsia="en-GB"/>
        </w:rPr>
        <w:t xml:space="preserve"> apps</w:t>
      </w:r>
      <w:r w:rsidR="0038556B">
        <w:rPr>
          <w:sz w:val="22"/>
          <w:szCs w:val="22"/>
          <w:lang w:val="en-GB" w:eastAsia="en-GB"/>
        </w:rPr>
        <w:t xml:space="preserve"> available</w:t>
      </w:r>
      <w:r w:rsidR="00A36B54" w:rsidRPr="00433C05">
        <w:rPr>
          <w:sz w:val="22"/>
          <w:szCs w:val="22"/>
          <w:lang w:val="en-GB" w:eastAsia="en-GB"/>
        </w:rPr>
        <w:t>.</w:t>
      </w:r>
      <w:r w:rsidR="00A36B54" w:rsidRPr="00433C05">
        <w:rPr>
          <w:sz w:val="22"/>
          <w:szCs w:val="22"/>
          <w:vertAlign w:val="superscript"/>
          <w:lang w:val="en-GB" w:eastAsia="en-GB"/>
        </w:rPr>
        <w:endnoteReference w:id="8"/>
      </w:r>
      <w:r w:rsidR="00A36B54" w:rsidRPr="00433C05">
        <w:rPr>
          <w:sz w:val="22"/>
          <w:szCs w:val="22"/>
          <w:lang w:val="en-GB" w:eastAsia="en-GB"/>
        </w:rPr>
        <w:t xml:space="preserve"> </w:t>
      </w:r>
      <w:r w:rsidR="00CC31FC">
        <w:rPr>
          <w:sz w:val="22"/>
          <w:szCs w:val="22"/>
          <w:lang w:val="en-GB" w:eastAsia="en-GB"/>
        </w:rPr>
        <w:t>In addition, t</w:t>
      </w:r>
      <w:r w:rsidR="005D7388" w:rsidRPr="00433C05">
        <w:rPr>
          <w:sz w:val="22"/>
          <w:szCs w:val="22"/>
          <w:lang w:val="en-GB" w:eastAsia="en-GB"/>
        </w:rPr>
        <w:t xml:space="preserve">he Indian government </w:t>
      </w:r>
      <w:r w:rsidR="00CC31FC">
        <w:rPr>
          <w:sz w:val="22"/>
          <w:szCs w:val="22"/>
          <w:lang w:val="en-GB" w:eastAsia="en-GB"/>
        </w:rPr>
        <w:t>suggested that it was prepared to</w:t>
      </w:r>
      <w:r w:rsidR="005D7388" w:rsidRPr="00433C05">
        <w:rPr>
          <w:sz w:val="22"/>
          <w:szCs w:val="22"/>
          <w:lang w:val="en-GB" w:eastAsia="en-GB"/>
        </w:rPr>
        <w:t xml:space="preserve"> launch its own </w:t>
      </w:r>
      <w:r w:rsidR="009431D8">
        <w:rPr>
          <w:sz w:val="22"/>
          <w:szCs w:val="22"/>
          <w:lang w:val="en-GB" w:eastAsia="en-GB"/>
        </w:rPr>
        <w:t xml:space="preserve">version of an </w:t>
      </w:r>
      <w:r w:rsidR="005D7388" w:rsidRPr="00433C05">
        <w:rPr>
          <w:sz w:val="22"/>
          <w:szCs w:val="22"/>
          <w:lang w:val="en-GB" w:eastAsia="en-GB"/>
        </w:rPr>
        <w:t>app store</w:t>
      </w:r>
      <w:r w:rsidR="009431D8">
        <w:rPr>
          <w:sz w:val="22"/>
          <w:szCs w:val="22"/>
          <w:lang w:val="en-GB" w:eastAsia="en-GB"/>
        </w:rPr>
        <w:t xml:space="preserve"> in</w:t>
      </w:r>
      <w:r w:rsidR="005D7388" w:rsidRPr="00433C05">
        <w:rPr>
          <w:sz w:val="22"/>
          <w:szCs w:val="22"/>
          <w:lang w:val="en-GB" w:eastAsia="en-GB"/>
        </w:rPr>
        <w:t xml:space="preserve"> support </w:t>
      </w:r>
      <w:r w:rsidR="009431D8">
        <w:rPr>
          <w:sz w:val="22"/>
          <w:szCs w:val="22"/>
          <w:lang w:val="en-GB" w:eastAsia="en-GB"/>
        </w:rPr>
        <w:t>of the country’s</w:t>
      </w:r>
      <w:r w:rsidR="005D7388" w:rsidRPr="00433C05">
        <w:rPr>
          <w:sz w:val="22"/>
          <w:szCs w:val="22"/>
          <w:lang w:val="en-GB" w:eastAsia="en-GB"/>
        </w:rPr>
        <w:t xml:space="preserve"> start</w:t>
      </w:r>
      <w:r w:rsidR="009431D8">
        <w:rPr>
          <w:sz w:val="22"/>
          <w:szCs w:val="22"/>
          <w:lang w:val="en-GB" w:eastAsia="en-GB"/>
        </w:rPr>
        <w:t>-</w:t>
      </w:r>
      <w:r w:rsidR="005D7388" w:rsidRPr="00433C05">
        <w:rPr>
          <w:sz w:val="22"/>
          <w:szCs w:val="22"/>
          <w:lang w:val="en-GB" w:eastAsia="en-GB"/>
        </w:rPr>
        <w:t xml:space="preserve">ups and </w:t>
      </w:r>
      <w:r w:rsidR="009431D8">
        <w:rPr>
          <w:sz w:val="22"/>
          <w:szCs w:val="22"/>
          <w:lang w:val="en-GB" w:eastAsia="en-GB"/>
        </w:rPr>
        <w:t xml:space="preserve">technology </w:t>
      </w:r>
      <w:r w:rsidR="005D7388" w:rsidRPr="00433C05">
        <w:rPr>
          <w:sz w:val="22"/>
          <w:szCs w:val="22"/>
          <w:lang w:val="en-GB" w:eastAsia="en-GB"/>
        </w:rPr>
        <w:t>entrepreneurs.</w:t>
      </w:r>
      <w:r w:rsidR="00C122BF" w:rsidRPr="00433C05">
        <w:rPr>
          <w:rStyle w:val="EndnoteReference"/>
          <w:sz w:val="22"/>
          <w:szCs w:val="22"/>
          <w:lang w:val="en-GB" w:eastAsia="en-GB"/>
        </w:rPr>
        <w:endnoteReference w:id="9"/>
      </w:r>
    </w:p>
    <w:p w14:paraId="4F9CF19E" w14:textId="77777777" w:rsidR="005D7388" w:rsidRPr="00433C05" w:rsidRDefault="005D7388" w:rsidP="00A36B54">
      <w:pPr>
        <w:jc w:val="both"/>
        <w:rPr>
          <w:sz w:val="22"/>
          <w:szCs w:val="22"/>
          <w:lang w:val="en-GB" w:eastAsia="en-GB"/>
        </w:rPr>
      </w:pPr>
    </w:p>
    <w:p w14:paraId="36BB544B" w14:textId="59449FD0" w:rsidR="00FF448C" w:rsidRPr="00A36B54" w:rsidRDefault="00CC31FC" w:rsidP="00FF448C">
      <w:pPr>
        <w:jc w:val="both"/>
        <w:rPr>
          <w:sz w:val="22"/>
          <w:szCs w:val="22"/>
          <w:lang w:val="en-IN" w:eastAsia="en-GB"/>
        </w:rPr>
      </w:pPr>
      <w:r>
        <w:rPr>
          <w:sz w:val="22"/>
          <w:szCs w:val="22"/>
          <w:lang w:val="en-GB"/>
        </w:rPr>
        <w:t>As the market leader in</w:t>
      </w:r>
      <w:r w:rsidR="00DA24CF" w:rsidRPr="006E2A11">
        <w:rPr>
          <w:sz w:val="22"/>
          <w:szCs w:val="22"/>
          <w:lang w:val="en-GB"/>
        </w:rPr>
        <w:t xml:space="preserve"> India</w:t>
      </w:r>
      <w:r>
        <w:rPr>
          <w:sz w:val="22"/>
          <w:szCs w:val="22"/>
          <w:lang w:val="en-GB"/>
        </w:rPr>
        <w:t>’s</w:t>
      </w:r>
      <w:r w:rsidR="00DA24CF" w:rsidRPr="006E2A11">
        <w:rPr>
          <w:sz w:val="22"/>
          <w:szCs w:val="22"/>
          <w:lang w:val="en-GB"/>
        </w:rPr>
        <w:t xml:space="preserve"> app </w:t>
      </w:r>
      <w:r>
        <w:rPr>
          <w:sz w:val="22"/>
          <w:szCs w:val="22"/>
          <w:lang w:val="en-GB"/>
        </w:rPr>
        <w:t>distribution industry</w:t>
      </w:r>
      <w:r w:rsidR="00DA24CF" w:rsidRPr="006E2A11">
        <w:rPr>
          <w:sz w:val="22"/>
          <w:szCs w:val="22"/>
          <w:lang w:val="en-GB"/>
        </w:rPr>
        <w:t xml:space="preserve">, Google had to resolve </w:t>
      </w:r>
      <w:r>
        <w:rPr>
          <w:sz w:val="22"/>
          <w:szCs w:val="22"/>
          <w:lang w:val="en-GB"/>
        </w:rPr>
        <w:t>these issues to retain its top position</w:t>
      </w:r>
      <w:r w:rsidR="00DA24CF" w:rsidRPr="006E2A11">
        <w:rPr>
          <w:sz w:val="22"/>
          <w:szCs w:val="22"/>
          <w:lang w:val="en-GB"/>
        </w:rPr>
        <w:t xml:space="preserve">. </w:t>
      </w:r>
      <w:r w:rsidR="00FF448C">
        <w:rPr>
          <w:sz w:val="22"/>
          <w:szCs w:val="22"/>
          <w:lang w:val="en-IN" w:eastAsia="en-GB"/>
        </w:rPr>
        <w:t xml:space="preserve">What was the basis of Google’s advantage </w:t>
      </w:r>
      <w:r w:rsidR="0038556B">
        <w:rPr>
          <w:sz w:val="22"/>
          <w:szCs w:val="22"/>
          <w:lang w:val="en-IN" w:eastAsia="en-GB"/>
        </w:rPr>
        <w:t>that</w:t>
      </w:r>
      <w:r w:rsidR="00FF448C">
        <w:rPr>
          <w:sz w:val="22"/>
          <w:szCs w:val="22"/>
          <w:lang w:val="en-IN" w:eastAsia="en-GB"/>
        </w:rPr>
        <w:t xml:space="preserve"> allowed it to impose a </w:t>
      </w:r>
      <w:r w:rsidR="0038556B">
        <w:rPr>
          <w:sz w:val="22"/>
          <w:szCs w:val="22"/>
          <w:lang w:val="en-IN" w:eastAsia="en-GB"/>
        </w:rPr>
        <w:t>“</w:t>
      </w:r>
      <w:r w:rsidR="00FF448C">
        <w:rPr>
          <w:sz w:val="22"/>
          <w:szCs w:val="22"/>
          <w:lang w:val="en-IN" w:eastAsia="en-GB"/>
        </w:rPr>
        <w:t>Google tax</w:t>
      </w:r>
      <w:r w:rsidR="0038556B">
        <w:rPr>
          <w:sz w:val="22"/>
          <w:szCs w:val="22"/>
          <w:lang w:val="en-IN" w:eastAsia="en-GB"/>
        </w:rPr>
        <w:t>”</w:t>
      </w:r>
      <w:r w:rsidR="00FF448C">
        <w:rPr>
          <w:sz w:val="22"/>
          <w:szCs w:val="22"/>
          <w:lang w:val="en-IN" w:eastAsia="en-GB"/>
        </w:rPr>
        <w:t xml:space="preserve"> for use of the Google Play Store as alleged by the Indian start-ups and app developers? </w:t>
      </w:r>
      <w:r w:rsidR="00FF448C" w:rsidRPr="00A36B54">
        <w:rPr>
          <w:sz w:val="22"/>
          <w:szCs w:val="22"/>
          <w:lang w:val="en-IN" w:eastAsia="en-GB"/>
        </w:rPr>
        <w:t xml:space="preserve">Could </w:t>
      </w:r>
      <w:r w:rsidR="00FF448C">
        <w:rPr>
          <w:sz w:val="22"/>
          <w:szCs w:val="22"/>
          <w:lang w:val="en-IN" w:eastAsia="en-GB"/>
        </w:rPr>
        <w:t xml:space="preserve">such an advantage be replicated by </w:t>
      </w:r>
      <w:r w:rsidR="00B41BAB">
        <w:rPr>
          <w:sz w:val="22"/>
          <w:szCs w:val="22"/>
          <w:lang w:val="en-IN" w:eastAsia="en-GB"/>
        </w:rPr>
        <w:t>the</w:t>
      </w:r>
      <w:r w:rsidR="00FF448C" w:rsidRPr="00A36B54">
        <w:rPr>
          <w:sz w:val="22"/>
          <w:szCs w:val="22"/>
          <w:lang w:val="en-IN" w:eastAsia="en-GB"/>
        </w:rPr>
        <w:t xml:space="preserve"> alternative platform envisaged by Indian start</w:t>
      </w:r>
      <w:r w:rsidR="00FF448C">
        <w:rPr>
          <w:sz w:val="22"/>
          <w:szCs w:val="22"/>
          <w:lang w:val="en-IN" w:eastAsia="en-GB"/>
        </w:rPr>
        <w:t>-</w:t>
      </w:r>
      <w:r w:rsidR="00FF448C" w:rsidRPr="00A36B54">
        <w:rPr>
          <w:sz w:val="22"/>
          <w:szCs w:val="22"/>
          <w:lang w:val="en-IN" w:eastAsia="en-GB"/>
        </w:rPr>
        <w:t xml:space="preserve">ups </w:t>
      </w:r>
      <w:r w:rsidR="00FF448C">
        <w:rPr>
          <w:sz w:val="22"/>
          <w:szCs w:val="22"/>
          <w:lang w:val="en-IN" w:eastAsia="en-GB"/>
        </w:rPr>
        <w:t xml:space="preserve">or by the Indian government? </w:t>
      </w:r>
      <w:r w:rsidR="00FF448C" w:rsidRPr="00A36B54">
        <w:rPr>
          <w:sz w:val="22"/>
          <w:szCs w:val="22"/>
          <w:lang w:val="en-IN" w:eastAsia="en-GB"/>
        </w:rPr>
        <w:t>How should Google respond to the</w:t>
      </w:r>
      <w:r w:rsidR="00B41BAB">
        <w:rPr>
          <w:sz w:val="22"/>
          <w:szCs w:val="22"/>
          <w:lang w:val="en-IN" w:eastAsia="en-GB"/>
        </w:rPr>
        <w:t>se</w:t>
      </w:r>
      <w:r w:rsidR="00FF448C" w:rsidRPr="00A36B54">
        <w:rPr>
          <w:sz w:val="22"/>
          <w:szCs w:val="22"/>
          <w:lang w:val="en-IN" w:eastAsia="en-GB"/>
        </w:rPr>
        <w:t xml:space="preserve"> start</w:t>
      </w:r>
      <w:r w:rsidR="00FF448C">
        <w:rPr>
          <w:sz w:val="22"/>
          <w:szCs w:val="22"/>
          <w:lang w:val="en-IN" w:eastAsia="en-GB"/>
        </w:rPr>
        <w:t>-</w:t>
      </w:r>
      <w:r w:rsidR="00FF448C" w:rsidRPr="00A36B54">
        <w:rPr>
          <w:sz w:val="22"/>
          <w:szCs w:val="22"/>
          <w:lang w:val="en-IN" w:eastAsia="en-GB"/>
        </w:rPr>
        <w:t>up</w:t>
      </w:r>
      <w:r w:rsidR="00FF448C">
        <w:rPr>
          <w:sz w:val="22"/>
          <w:szCs w:val="22"/>
          <w:lang w:val="en-IN" w:eastAsia="en-GB"/>
        </w:rPr>
        <w:t xml:space="preserve">s’ complaints </w:t>
      </w:r>
      <w:r w:rsidR="00FF448C" w:rsidRPr="00A36B54">
        <w:rPr>
          <w:sz w:val="22"/>
          <w:szCs w:val="22"/>
          <w:lang w:val="en-IN" w:eastAsia="en-GB"/>
        </w:rPr>
        <w:t>and their threats to initiate antitrust complaints?</w:t>
      </w:r>
    </w:p>
    <w:p w14:paraId="1C032A65" w14:textId="38B3D2E4" w:rsidR="00A36B54" w:rsidRPr="006E2A11" w:rsidRDefault="00A36B54" w:rsidP="00A36B54">
      <w:pPr>
        <w:jc w:val="both"/>
        <w:rPr>
          <w:sz w:val="22"/>
          <w:szCs w:val="22"/>
          <w:lang w:val="en-GB" w:eastAsia="en-GB"/>
        </w:rPr>
      </w:pPr>
    </w:p>
    <w:p w14:paraId="7634FE5C" w14:textId="77777777" w:rsidR="00EC5961" w:rsidRPr="00433C05" w:rsidRDefault="00EC5961" w:rsidP="00A36B54">
      <w:pPr>
        <w:jc w:val="both"/>
        <w:rPr>
          <w:sz w:val="22"/>
          <w:szCs w:val="22"/>
          <w:lang w:val="en-GB" w:eastAsia="en-GB"/>
        </w:rPr>
      </w:pPr>
    </w:p>
    <w:p w14:paraId="407E2DE6" w14:textId="5F8602CD" w:rsidR="00A36B54" w:rsidRPr="00433C05" w:rsidRDefault="00A36B54" w:rsidP="00A36B54">
      <w:pPr>
        <w:pStyle w:val="BodyTextMain"/>
        <w:rPr>
          <w:lang w:val="en-GB" w:eastAsia="en-GB"/>
        </w:rPr>
      </w:pPr>
    </w:p>
    <w:p w14:paraId="43B395CA" w14:textId="00F7CACF" w:rsidR="00A36B54" w:rsidRPr="00433C05" w:rsidRDefault="00A36B54" w:rsidP="00A36B54">
      <w:pPr>
        <w:pStyle w:val="Casehead1"/>
        <w:keepNext/>
        <w:rPr>
          <w:lang w:val="en-GB" w:eastAsia="en-GB"/>
        </w:rPr>
      </w:pPr>
      <w:r w:rsidRPr="00433C05">
        <w:rPr>
          <w:lang w:val="en-GB" w:eastAsia="en-GB"/>
        </w:rPr>
        <w:lastRenderedPageBreak/>
        <w:t>GOOGLE</w:t>
      </w:r>
    </w:p>
    <w:p w14:paraId="5B8639ED" w14:textId="77777777" w:rsidR="00A36B54" w:rsidRPr="00433C05" w:rsidRDefault="00A36B54" w:rsidP="00A36B54">
      <w:pPr>
        <w:keepNext/>
        <w:jc w:val="both"/>
        <w:rPr>
          <w:sz w:val="24"/>
          <w:szCs w:val="24"/>
          <w:lang w:val="en-GB" w:eastAsia="en-GB"/>
        </w:rPr>
      </w:pPr>
    </w:p>
    <w:p w14:paraId="4769273E" w14:textId="2A84B7CD" w:rsidR="00A36B54" w:rsidRDefault="00A36B54" w:rsidP="00A36B54">
      <w:pPr>
        <w:keepNext/>
        <w:jc w:val="both"/>
        <w:rPr>
          <w:sz w:val="22"/>
          <w:szCs w:val="22"/>
          <w:lang w:val="en-GB" w:eastAsia="en-GB"/>
        </w:rPr>
      </w:pPr>
      <w:r w:rsidRPr="00433C05">
        <w:rPr>
          <w:sz w:val="22"/>
          <w:szCs w:val="22"/>
          <w:lang w:val="en-GB" w:eastAsia="en-GB"/>
        </w:rPr>
        <w:t xml:space="preserve">Google was founded in </w:t>
      </w:r>
      <w:r w:rsidR="00A817B1">
        <w:rPr>
          <w:sz w:val="22"/>
          <w:szCs w:val="22"/>
          <w:lang w:val="en-GB" w:eastAsia="en-GB"/>
        </w:rPr>
        <w:t xml:space="preserve">the United States in </w:t>
      </w:r>
      <w:r w:rsidRPr="00433C05">
        <w:rPr>
          <w:sz w:val="22"/>
          <w:szCs w:val="22"/>
          <w:lang w:val="en-GB" w:eastAsia="en-GB"/>
        </w:rPr>
        <w:t xml:space="preserve">1998 by Larry Page and Sergey Brin with a mission </w:t>
      </w:r>
      <w:r w:rsidR="00A817B1">
        <w:rPr>
          <w:sz w:val="22"/>
          <w:szCs w:val="22"/>
          <w:lang w:val="en-GB" w:eastAsia="en-GB"/>
        </w:rPr>
        <w:t>“</w:t>
      </w:r>
      <w:r w:rsidRPr="00433C05">
        <w:rPr>
          <w:sz w:val="22"/>
          <w:szCs w:val="22"/>
          <w:lang w:val="en-GB" w:eastAsia="en-GB"/>
        </w:rPr>
        <w:t>to organise the world’s information and make it universally accessible and useful.</w:t>
      </w:r>
      <w:r w:rsidR="00A817B1">
        <w:rPr>
          <w:sz w:val="22"/>
          <w:szCs w:val="22"/>
          <w:lang w:val="en-GB" w:eastAsia="en-GB"/>
        </w:rPr>
        <w:t>”</w:t>
      </w:r>
      <w:r w:rsidRPr="00433C05">
        <w:rPr>
          <w:sz w:val="22"/>
          <w:szCs w:val="22"/>
          <w:vertAlign w:val="superscript"/>
          <w:lang w:val="en-GB" w:eastAsia="en-GB"/>
        </w:rPr>
        <w:endnoteReference w:id="10"/>
      </w:r>
      <w:r w:rsidRPr="00433C05">
        <w:rPr>
          <w:sz w:val="22"/>
          <w:szCs w:val="22"/>
          <w:lang w:val="en-GB" w:eastAsia="en-GB"/>
        </w:rPr>
        <w:t xml:space="preserve"> Google’s core business was </w:t>
      </w:r>
      <w:r w:rsidR="00A817B1">
        <w:rPr>
          <w:sz w:val="22"/>
          <w:szCs w:val="22"/>
          <w:lang w:val="en-GB" w:eastAsia="en-GB"/>
        </w:rPr>
        <w:t>w</w:t>
      </w:r>
      <w:r w:rsidRPr="00433C05">
        <w:rPr>
          <w:sz w:val="22"/>
          <w:szCs w:val="22"/>
          <w:lang w:val="en-GB" w:eastAsia="en-GB"/>
        </w:rPr>
        <w:t xml:space="preserve">eb </w:t>
      </w:r>
      <w:r w:rsidR="00A817B1">
        <w:rPr>
          <w:sz w:val="22"/>
          <w:szCs w:val="22"/>
          <w:lang w:val="en-GB" w:eastAsia="en-GB"/>
        </w:rPr>
        <w:t>s</w:t>
      </w:r>
      <w:r w:rsidRPr="00433C05">
        <w:rPr>
          <w:sz w:val="22"/>
          <w:szCs w:val="22"/>
          <w:lang w:val="en-GB" w:eastAsia="en-GB"/>
        </w:rPr>
        <w:t>earch</w:t>
      </w:r>
      <w:r w:rsidR="00A817B1">
        <w:rPr>
          <w:sz w:val="22"/>
          <w:szCs w:val="22"/>
          <w:lang w:val="en-GB" w:eastAsia="en-GB"/>
        </w:rPr>
        <w:t xml:space="preserve"> services</w:t>
      </w:r>
      <w:r w:rsidRPr="00433C05">
        <w:rPr>
          <w:sz w:val="22"/>
          <w:szCs w:val="22"/>
          <w:lang w:val="en-GB" w:eastAsia="en-GB"/>
        </w:rPr>
        <w:t xml:space="preserve">, and many of its products and </w:t>
      </w:r>
      <w:r w:rsidR="00A817B1">
        <w:rPr>
          <w:sz w:val="22"/>
          <w:szCs w:val="22"/>
          <w:lang w:val="en-GB" w:eastAsia="en-GB"/>
        </w:rPr>
        <w:t xml:space="preserve">other </w:t>
      </w:r>
      <w:r w:rsidRPr="00433C05">
        <w:rPr>
          <w:sz w:val="22"/>
          <w:szCs w:val="22"/>
          <w:lang w:val="en-GB" w:eastAsia="en-GB"/>
        </w:rPr>
        <w:t>services were related to its core business.</w:t>
      </w:r>
      <w:r w:rsidRPr="00433C05">
        <w:rPr>
          <w:sz w:val="22"/>
          <w:szCs w:val="22"/>
          <w:vertAlign w:val="superscript"/>
          <w:lang w:val="en-GB" w:eastAsia="en-GB"/>
        </w:rPr>
        <w:endnoteReference w:id="11"/>
      </w:r>
      <w:r w:rsidRPr="00433C05">
        <w:rPr>
          <w:sz w:val="22"/>
          <w:szCs w:val="22"/>
          <w:lang w:val="en-GB" w:eastAsia="en-GB"/>
        </w:rPr>
        <w:t xml:space="preserve"> Google’s revenues in 2019 </w:t>
      </w:r>
      <w:r w:rsidR="00A817B1">
        <w:rPr>
          <w:sz w:val="22"/>
          <w:szCs w:val="22"/>
          <w:lang w:val="en-GB" w:eastAsia="en-GB"/>
        </w:rPr>
        <w:t>reached</w:t>
      </w:r>
      <w:r w:rsidRPr="00433C05">
        <w:rPr>
          <w:sz w:val="22"/>
          <w:szCs w:val="22"/>
          <w:lang w:val="en-GB" w:eastAsia="en-GB"/>
        </w:rPr>
        <w:t xml:space="preserve"> US</w:t>
      </w:r>
      <w:r w:rsidR="00A817B1">
        <w:rPr>
          <w:sz w:val="22"/>
          <w:szCs w:val="22"/>
          <w:lang w:val="en-GB" w:eastAsia="en-GB"/>
        </w:rPr>
        <w:t>$</w:t>
      </w:r>
      <w:r w:rsidRPr="00433C05">
        <w:rPr>
          <w:sz w:val="22"/>
          <w:szCs w:val="22"/>
          <w:lang w:val="en-GB" w:eastAsia="en-GB"/>
        </w:rPr>
        <w:t>160.74 billion,</w:t>
      </w:r>
      <w:r w:rsidR="00A817B1">
        <w:rPr>
          <w:rStyle w:val="EndnoteReference"/>
          <w:sz w:val="22"/>
          <w:szCs w:val="22"/>
          <w:lang w:val="en-GB" w:eastAsia="en-GB"/>
        </w:rPr>
        <w:endnoteReference w:id="12"/>
      </w:r>
      <w:r w:rsidRPr="00433C05">
        <w:rPr>
          <w:sz w:val="22"/>
          <w:szCs w:val="22"/>
          <w:lang w:val="en-GB" w:eastAsia="en-GB"/>
        </w:rPr>
        <w:t xml:space="preserve"> </w:t>
      </w:r>
      <w:r w:rsidR="00A817B1">
        <w:rPr>
          <w:sz w:val="22"/>
          <w:szCs w:val="22"/>
          <w:lang w:val="en-GB" w:eastAsia="en-GB"/>
        </w:rPr>
        <w:t xml:space="preserve">after exponential </w:t>
      </w:r>
      <w:r w:rsidRPr="00433C05">
        <w:rPr>
          <w:sz w:val="22"/>
          <w:szCs w:val="22"/>
          <w:lang w:val="en-GB" w:eastAsia="en-GB"/>
        </w:rPr>
        <w:t>grow</w:t>
      </w:r>
      <w:r w:rsidR="00A817B1">
        <w:rPr>
          <w:sz w:val="22"/>
          <w:szCs w:val="22"/>
          <w:lang w:val="en-GB" w:eastAsia="en-GB"/>
        </w:rPr>
        <w:t>th</w:t>
      </w:r>
      <w:r w:rsidRPr="00433C05">
        <w:rPr>
          <w:sz w:val="22"/>
          <w:szCs w:val="22"/>
          <w:lang w:val="en-GB" w:eastAsia="en-GB"/>
        </w:rPr>
        <w:t xml:space="preserve"> from </w:t>
      </w:r>
      <w:r w:rsidR="00A817B1">
        <w:rPr>
          <w:sz w:val="22"/>
          <w:szCs w:val="22"/>
          <w:lang w:val="en-GB" w:eastAsia="en-GB"/>
        </w:rPr>
        <w:t>only</w:t>
      </w:r>
      <w:r w:rsidRPr="00433C05">
        <w:rPr>
          <w:sz w:val="22"/>
          <w:szCs w:val="22"/>
          <w:lang w:val="en-GB" w:eastAsia="en-GB"/>
        </w:rPr>
        <w:t xml:space="preserve"> </w:t>
      </w:r>
      <w:r w:rsidR="00A817B1">
        <w:rPr>
          <w:sz w:val="22"/>
          <w:szCs w:val="22"/>
          <w:lang w:val="en-GB" w:eastAsia="en-GB"/>
        </w:rPr>
        <w:t>$</w:t>
      </w:r>
      <w:r w:rsidRPr="00433C05">
        <w:rPr>
          <w:sz w:val="22"/>
          <w:szCs w:val="22"/>
          <w:lang w:val="en-GB" w:eastAsia="en-GB"/>
        </w:rPr>
        <w:t>0.4 billion in 2002.</w:t>
      </w:r>
      <w:r w:rsidRPr="00433C05">
        <w:rPr>
          <w:sz w:val="22"/>
          <w:szCs w:val="22"/>
          <w:vertAlign w:val="superscript"/>
          <w:lang w:val="en-GB" w:eastAsia="en-GB"/>
        </w:rPr>
        <w:endnoteReference w:id="13"/>
      </w:r>
      <w:r w:rsidRPr="00433C05">
        <w:rPr>
          <w:sz w:val="22"/>
          <w:szCs w:val="22"/>
          <w:lang w:val="en-GB" w:eastAsia="en-GB"/>
        </w:rPr>
        <w:t xml:space="preserve"> Google’s search</w:t>
      </w:r>
      <w:r w:rsidR="00A817B1">
        <w:rPr>
          <w:sz w:val="22"/>
          <w:szCs w:val="22"/>
          <w:lang w:val="en-GB" w:eastAsia="en-GB"/>
        </w:rPr>
        <w:t>-based</w:t>
      </w:r>
      <w:r w:rsidRPr="00433C05">
        <w:rPr>
          <w:sz w:val="22"/>
          <w:szCs w:val="22"/>
          <w:lang w:val="en-GB" w:eastAsia="en-GB"/>
        </w:rPr>
        <w:t xml:space="preserve"> advertising provided one of the most lucrative business models in the world</w:t>
      </w:r>
      <w:r w:rsidR="00EB3EA1">
        <w:rPr>
          <w:sz w:val="22"/>
          <w:szCs w:val="22"/>
          <w:lang w:val="en-GB" w:eastAsia="en-GB"/>
        </w:rPr>
        <w:t>. The model was</w:t>
      </w:r>
      <w:r w:rsidRPr="00433C05">
        <w:rPr>
          <w:sz w:val="22"/>
          <w:szCs w:val="22"/>
          <w:lang w:val="en-GB" w:eastAsia="en-GB"/>
        </w:rPr>
        <w:t xml:space="preserve"> based on </w:t>
      </w:r>
      <w:r w:rsidR="00EB3EA1">
        <w:rPr>
          <w:sz w:val="22"/>
          <w:szCs w:val="22"/>
          <w:lang w:val="en-GB" w:eastAsia="en-GB"/>
        </w:rPr>
        <w:t xml:space="preserve">consumer </w:t>
      </w:r>
      <w:r w:rsidRPr="00433C05">
        <w:rPr>
          <w:sz w:val="22"/>
          <w:szCs w:val="22"/>
          <w:lang w:val="en-GB" w:eastAsia="en-GB"/>
        </w:rPr>
        <w:t xml:space="preserve">access and use of the </w:t>
      </w:r>
      <w:r w:rsidR="00A817B1">
        <w:rPr>
          <w:sz w:val="22"/>
          <w:szCs w:val="22"/>
          <w:lang w:val="en-GB" w:eastAsia="en-GB"/>
        </w:rPr>
        <w:t>I</w:t>
      </w:r>
      <w:r w:rsidRPr="00433C05">
        <w:rPr>
          <w:sz w:val="22"/>
          <w:szCs w:val="22"/>
          <w:lang w:val="en-GB" w:eastAsia="en-GB"/>
        </w:rPr>
        <w:t>nternet</w:t>
      </w:r>
      <w:r w:rsidR="00A817B1">
        <w:rPr>
          <w:sz w:val="22"/>
          <w:szCs w:val="22"/>
          <w:lang w:val="en-GB" w:eastAsia="en-GB"/>
        </w:rPr>
        <w:t>. However</w:t>
      </w:r>
      <w:r w:rsidRPr="00433C05">
        <w:rPr>
          <w:sz w:val="22"/>
          <w:szCs w:val="22"/>
          <w:lang w:val="en-GB" w:eastAsia="en-GB"/>
        </w:rPr>
        <w:t>, the way people access</w:t>
      </w:r>
      <w:r w:rsidR="00A817B1">
        <w:rPr>
          <w:sz w:val="22"/>
          <w:szCs w:val="22"/>
          <w:lang w:val="en-GB" w:eastAsia="en-GB"/>
        </w:rPr>
        <w:t>ed</w:t>
      </w:r>
      <w:r w:rsidRPr="00433C05">
        <w:rPr>
          <w:sz w:val="22"/>
          <w:szCs w:val="22"/>
          <w:lang w:val="en-GB" w:eastAsia="en-GB"/>
        </w:rPr>
        <w:t xml:space="preserve"> the </w:t>
      </w:r>
      <w:r w:rsidR="00A817B1">
        <w:rPr>
          <w:sz w:val="22"/>
          <w:szCs w:val="22"/>
          <w:lang w:val="en-GB" w:eastAsia="en-GB"/>
        </w:rPr>
        <w:t>I</w:t>
      </w:r>
      <w:r w:rsidRPr="00433C05">
        <w:rPr>
          <w:sz w:val="22"/>
          <w:szCs w:val="22"/>
          <w:lang w:val="en-GB" w:eastAsia="en-GB"/>
        </w:rPr>
        <w:t>nternet was changing</w:t>
      </w:r>
      <w:r w:rsidR="00A817B1">
        <w:rPr>
          <w:sz w:val="22"/>
          <w:szCs w:val="22"/>
          <w:lang w:val="en-GB" w:eastAsia="en-GB"/>
        </w:rPr>
        <w:t>. More and more</w:t>
      </w:r>
      <w:r w:rsidRPr="00433C05">
        <w:rPr>
          <w:sz w:val="22"/>
          <w:szCs w:val="22"/>
          <w:lang w:val="en-GB" w:eastAsia="en-GB"/>
        </w:rPr>
        <w:t xml:space="preserve"> people </w:t>
      </w:r>
      <w:r w:rsidR="00A817B1">
        <w:rPr>
          <w:sz w:val="22"/>
          <w:szCs w:val="22"/>
          <w:lang w:val="en-GB" w:eastAsia="en-GB"/>
        </w:rPr>
        <w:t xml:space="preserve">were </w:t>
      </w:r>
      <w:r w:rsidRPr="00433C05">
        <w:rPr>
          <w:sz w:val="22"/>
          <w:szCs w:val="22"/>
          <w:lang w:val="en-GB" w:eastAsia="en-GB"/>
        </w:rPr>
        <w:t xml:space="preserve">using </w:t>
      </w:r>
      <w:r w:rsidR="00A817B1">
        <w:rPr>
          <w:sz w:val="22"/>
          <w:szCs w:val="22"/>
          <w:lang w:val="en-GB" w:eastAsia="en-GB"/>
        </w:rPr>
        <w:t xml:space="preserve">cell </w:t>
      </w:r>
      <w:r w:rsidRPr="00433C05">
        <w:rPr>
          <w:sz w:val="22"/>
          <w:szCs w:val="22"/>
          <w:lang w:val="en-GB" w:eastAsia="en-GB"/>
        </w:rPr>
        <w:t xml:space="preserve">phones (especially smartphones) rather than computers to access the </w:t>
      </w:r>
      <w:r w:rsidR="00A817B1">
        <w:rPr>
          <w:sz w:val="22"/>
          <w:szCs w:val="22"/>
          <w:lang w:val="en-GB" w:eastAsia="en-GB"/>
        </w:rPr>
        <w:t>I</w:t>
      </w:r>
      <w:r w:rsidRPr="00433C05">
        <w:rPr>
          <w:sz w:val="22"/>
          <w:szCs w:val="22"/>
          <w:lang w:val="en-GB" w:eastAsia="en-GB"/>
        </w:rPr>
        <w:t>nternet</w:t>
      </w:r>
      <w:r w:rsidR="00A817B1">
        <w:rPr>
          <w:sz w:val="22"/>
          <w:szCs w:val="22"/>
          <w:lang w:val="en-GB" w:eastAsia="en-GB"/>
        </w:rPr>
        <w:t xml:space="preserve">, which made </w:t>
      </w:r>
      <w:r w:rsidRPr="00433C05">
        <w:rPr>
          <w:sz w:val="22"/>
          <w:szCs w:val="22"/>
          <w:lang w:val="en-GB" w:eastAsia="en-GB"/>
        </w:rPr>
        <w:t xml:space="preserve">apps </w:t>
      </w:r>
      <w:r w:rsidR="00A817B1">
        <w:rPr>
          <w:sz w:val="22"/>
          <w:szCs w:val="22"/>
          <w:lang w:val="en-GB" w:eastAsia="en-GB"/>
        </w:rPr>
        <w:t xml:space="preserve">far </w:t>
      </w:r>
      <w:r w:rsidRPr="00433C05">
        <w:rPr>
          <w:sz w:val="22"/>
          <w:szCs w:val="22"/>
          <w:lang w:val="en-GB" w:eastAsia="en-GB"/>
        </w:rPr>
        <w:t xml:space="preserve">more </w:t>
      </w:r>
      <w:r w:rsidR="00A817B1">
        <w:rPr>
          <w:sz w:val="22"/>
          <w:szCs w:val="22"/>
          <w:lang w:val="en-GB" w:eastAsia="en-GB"/>
        </w:rPr>
        <w:t xml:space="preserve">popular </w:t>
      </w:r>
      <w:r w:rsidRPr="00433C05">
        <w:rPr>
          <w:sz w:val="22"/>
          <w:szCs w:val="22"/>
          <w:lang w:val="en-GB" w:eastAsia="en-GB"/>
        </w:rPr>
        <w:t>than web</w:t>
      </w:r>
      <w:r w:rsidR="00A817B1">
        <w:rPr>
          <w:sz w:val="22"/>
          <w:szCs w:val="22"/>
          <w:lang w:val="en-GB" w:eastAsia="en-GB"/>
        </w:rPr>
        <w:t>sites</w:t>
      </w:r>
      <w:r w:rsidRPr="00433C05">
        <w:rPr>
          <w:sz w:val="22"/>
          <w:szCs w:val="22"/>
          <w:lang w:val="en-GB" w:eastAsia="en-GB"/>
        </w:rPr>
        <w:t>.</w:t>
      </w:r>
      <w:r w:rsidRPr="00433C05">
        <w:rPr>
          <w:sz w:val="22"/>
          <w:szCs w:val="22"/>
          <w:vertAlign w:val="superscript"/>
          <w:lang w:val="en-GB" w:eastAsia="en-GB"/>
        </w:rPr>
        <w:endnoteReference w:id="14"/>
      </w:r>
      <w:r w:rsidRPr="00433C05">
        <w:rPr>
          <w:sz w:val="22"/>
          <w:szCs w:val="22"/>
          <w:lang w:val="en-GB" w:eastAsia="en-GB"/>
        </w:rPr>
        <w:t xml:space="preserve"> </w:t>
      </w:r>
      <w:r w:rsidR="00A817B1">
        <w:rPr>
          <w:sz w:val="22"/>
          <w:szCs w:val="22"/>
          <w:lang w:val="en-GB" w:eastAsia="en-GB"/>
        </w:rPr>
        <w:t>Therefore,</w:t>
      </w:r>
      <w:r w:rsidRPr="00433C05">
        <w:rPr>
          <w:sz w:val="22"/>
          <w:szCs w:val="22"/>
          <w:lang w:val="en-GB" w:eastAsia="en-GB"/>
        </w:rPr>
        <w:t xml:space="preserve"> </w:t>
      </w:r>
      <w:r w:rsidR="00A817B1">
        <w:rPr>
          <w:sz w:val="22"/>
          <w:szCs w:val="22"/>
          <w:lang w:val="en-GB" w:eastAsia="en-GB"/>
        </w:rPr>
        <w:t>the company’s most important tool became</w:t>
      </w:r>
      <w:r w:rsidRPr="00433C05">
        <w:rPr>
          <w:sz w:val="22"/>
          <w:szCs w:val="22"/>
          <w:lang w:val="en-GB" w:eastAsia="en-GB"/>
        </w:rPr>
        <w:t xml:space="preserve"> Google Play</w:t>
      </w:r>
      <w:r w:rsidR="00A817B1">
        <w:rPr>
          <w:sz w:val="22"/>
          <w:szCs w:val="22"/>
          <w:lang w:val="en-GB" w:eastAsia="en-GB"/>
        </w:rPr>
        <w:t>, its distribution service for apps</w:t>
      </w:r>
      <w:r w:rsidRPr="00433C05">
        <w:rPr>
          <w:sz w:val="22"/>
          <w:szCs w:val="22"/>
          <w:lang w:val="en-GB" w:eastAsia="en-GB"/>
        </w:rPr>
        <w:t>.</w:t>
      </w:r>
    </w:p>
    <w:p w14:paraId="5D5BABBE" w14:textId="77777777" w:rsidR="00A96D24" w:rsidRPr="00433C05" w:rsidRDefault="00A96D24" w:rsidP="00A36B54">
      <w:pPr>
        <w:keepNext/>
        <w:jc w:val="both"/>
        <w:rPr>
          <w:sz w:val="22"/>
          <w:szCs w:val="22"/>
          <w:lang w:val="en-GB" w:eastAsia="en-GB"/>
        </w:rPr>
      </w:pPr>
    </w:p>
    <w:p w14:paraId="0378F9B1" w14:textId="77777777" w:rsidR="00A36B54" w:rsidRPr="00433C05" w:rsidRDefault="00A36B54" w:rsidP="00A36B54">
      <w:pPr>
        <w:pStyle w:val="BodyTextMain"/>
        <w:rPr>
          <w:lang w:val="en-GB" w:eastAsia="en-GB"/>
        </w:rPr>
      </w:pPr>
    </w:p>
    <w:p w14:paraId="07E9B3AF" w14:textId="1B4C3D01" w:rsidR="00A36B54" w:rsidRPr="00433C05" w:rsidRDefault="00A36B54" w:rsidP="00A36B54">
      <w:pPr>
        <w:pStyle w:val="Casehead2"/>
        <w:rPr>
          <w:lang w:val="en-GB" w:eastAsia="en-GB"/>
        </w:rPr>
      </w:pPr>
      <w:r w:rsidRPr="00433C05">
        <w:rPr>
          <w:lang w:val="en-GB" w:eastAsia="en-GB"/>
        </w:rPr>
        <w:t>Google Play</w:t>
      </w:r>
      <w:r w:rsidR="00C56B53" w:rsidRPr="00433C05">
        <w:rPr>
          <w:lang w:val="en-GB" w:eastAsia="en-GB"/>
        </w:rPr>
        <w:t xml:space="preserve"> and the App </w:t>
      </w:r>
      <w:r w:rsidR="009A1DD4">
        <w:rPr>
          <w:lang w:val="en-GB" w:eastAsia="en-GB"/>
        </w:rPr>
        <w:t>M</w:t>
      </w:r>
      <w:r w:rsidR="00C56B53" w:rsidRPr="00433C05">
        <w:rPr>
          <w:lang w:val="en-GB" w:eastAsia="en-GB"/>
        </w:rPr>
        <w:t>arket</w:t>
      </w:r>
    </w:p>
    <w:p w14:paraId="2B9F013D" w14:textId="77777777" w:rsidR="00A36B54" w:rsidRPr="00433C05" w:rsidRDefault="00A36B54" w:rsidP="00A36B54">
      <w:pPr>
        <w:jc w:val="both"/>
        <w:rPr>
          <w:sz w:val="24"/>
          <w:szCs w:val="24"/>
          <w:lang w:val="en-GB" w:eastAsia="en-GB"/>
        </w:rPr>
      </w:pPr>
    </w:p>
    <w:p w14:paraId="0DFF51A3" w14:textId="299055BE" w:rsidR="00A36B54" w:rsidRPr="00433C05" w:rsidRDefault="00A96D24" w:rsidP="00A36B54">
      <w:pPr>
        <w:jc w:val="both"/>
        <w:rPr>
          <w:sz w:val="22"/>
          <w:szCs w:val="22"/>
          <w:lang w:val="en-GB" w:eastAsia="en-GB"/>
        </w:rPr>
      </w:pPr>
      <w:r>
        <w:rPr>
          <w:sz w:val="22"/>
          <w:szCs w:val="22"/>
          <w:lang w:val="en-GB" w:eastAsia="en-GB"/>
        </w:rPr>
        <w:t>I</w:t>
      </w:r>
      <w:r w:rsidR="00A36B54" w:rsidRPr="00433C05">
        <w:rPr>
          <w:sz w:val="22"/>
          <w:szCs w:val="22"/>
          <w:lang w:val="en-GB" w:eastAsia="en-GB"/>
        </w:rPr>
        <w:t>n October 2008</w:t>
      </w:r>
      <w:r>
        <w:rPr>
          <w:sz w:val="22"/>
          <w:szCs w:val="22"/>
          <w:lang w:val="en-GB" w:eastAsia="en-GB"/>
        </w:rPr>
        <w:t>, Google launched a service</w:t>
      </w:r>
      <w:r w:rsidR="00A36B54" w:rsidRPr="00433C05">
        <w:rPr>
          <w:sz w:val="22"/>
          <w:szCs w:val="22"/>
          <w:lang w:val="en-GB" w:eastAsia="en-GB"/>
        </w:rPr>
        <w:t xml:space="preserve"> name</w:t>
      </w:r>
      <w:r>
        <w:rPr>
          <w:sz w:val="22"/>
          <w:szCs w:val="22"/>
          <w:lang w:val="en-GB" w:eastAsia="en-GB"/>
        </w:rPr>
        <w:t>d</w:t>
      </w:r>
      <w:r w:rsidR="00A36B54" w:rsidRPr="00433C05">
        <w:rPr>
          <w:sz w:val="22"/>
          <w:szCs w:val="22"/>
          <w:lang w:val="en-GB" w:eastAsia="en-GB"/>
        </w:rPr>
        <w:t xml:space="preserve"> </w:t>
      </w:r>
      <w:r w:rsidR="00A36B54" w:rsidRPr="00F65F10">
        <w:rPr>
          <w:sz w:val="22"/>
          <w:szCs w:val="22"/>
          <w:lang w:val="en-GB" w:eastAsia="en-GB"/>
        </w:rPr>
        <w:t>Android Market</w:t>
      </w:r>
      <w:r>
        <w:rPr>
          <w:sz w:val="22"/>
          <w:szCs w:val="22"/>
          <w:lang w:val="en-GB" w:eastAsia="en-GB"/>
        </w:rPr>
        <w:t xml:space="preserve"> that</w:t>
      </w:r>
      <w:r w:rsidR="00572F1F" w:rsidRPr="00F65F10">
        <w:rPr>
          <w:sz w:val="22"/>
          <w:szCs w:val="22"/>
          <w:lang w:val="en-GB" w:eastAsia="en-GB"/>
        </w:rPr>
        <w:t xml:space="preserve"> </w:t>
      </w:r>
      <w:r w:rsidR="00A36B54" w:rsidRPr="00433C05">
        <w:rPr>
          <w:sz w:val="22"/>
          <w:szCs w:val="22"/>
          <w:lang w:val="en-GB" w:eastAsia="en-GB"/>
        </w:rPr>
        <w:t>offer</w:t>
      </w:r>
      <w:r>
        <w:rPr>
          <w:sz w:val="22"/>
          <w:szCs w:val="22"/>
          <w:lang w:val="en-GB" w:eastAsia="en-GB"/>
        </w:rPr>
        <w:t>ed</w:t>
      </w:r>
      <w:r w:rsidR="00A36B54" w:rsidRPr="00433C05">
        <w:rPr>
          <w:sz w:val="22"/>
          <w:szCs w:val="22"/>
          <w:lang w:val="en-GB" w:eastAsia="en-GB"/>
        </w:rPr>
        <w:t xml:space="preserve"> apps and games written specifically for the Android </w:t>
      </w:r>
      <w:r>
        <w:rPr>
          <w:sz w:val="22"/>
          <w:szCs w:val="22"/>
          <w:lang w:val="en-GB" w:eastAsia="en-GB"/>
        </w:rPr>
        <w:t>o</w:t>
      </w:r>
      <w:r w:rsidR="00A36B54" w:rsidRPr="00433C05">
        <w:rPr>
          <w:sz w:val="22"/>
          <w:szCs w:val="22"/>
          <w:lang w:val="en-GB" w:eastAsia="en-GB"/>
        </w:rPr>
        <w:t xml:space="preserve">perating </w:t>
      </w:r>
      <w:r>
        <w:rPr>
          <w:sz w:val="22"/>
          <w:szCs w:val="22"/>
          <w:lang w:val="en-GB" w:eastAsia="en-GB"/>
        </w:rPr>
        <w:t>s</w:t>
      </w:r>
      <w:r w:rsidR="00A36B54" w:rsidRPr="00433C05">
        <w:rPr>
          <w:sz w:val="22"/>
          <w:szCs w:val="22"/>
          <w:lang w:val="en-GB" w:eastAsia="en-GB"/>
        </w:rPr>
        <w:t>ystem (OS). In 2012, Google add</w:t>
      </w:r>
      <w:r w:rsidR="009912AB" w:rsidRPr="00433C05">
        <w:rPr>
          <w:sz w:val="22"/>
          <w:szCs w:val="22"/>
          <w:lang w:val="en-GB" w:eastAsia="en-GB"/>
        </w:rPr>
        <w:t>ed</w:t>
      </w:r>
      <w:r w:rsidR="00A36B54" w:rsidRPr="00433C05">
        <w:rPr>
          <w:sz w:val="22"/>
          <w:szCs w:val="22"/>
          <w:lang w:val="en-GB" w:eastAsia="en-GB"/>
        </w:rPr>
        <w:t xml:space="preserve"> books, movies</w:t>
      </w:r>
      <w:r>
        <w:rPr>
          <w:sz w:val="22"/>
          <w:szCs w:val="22"/>
          <w:lang w:val="en-GB" w:eastAsia="en-GB"/>
        </w:rPr>
        <w:t>,</w:t>
      </w:r>
      <w:r w:rsidR="00A36B54" w:rsidRPr="00433C05">
        <w:rPr>
          <w:sz w:val="22"/>
          <w:szCs w:val="22"/>
          <w:lang w:val="en-GB" w:eastAsia="en-GB"/>
        </w:rPr>
        <w:t xml:space="preserve"> and music on th</w:t>
      </w:r>
      <w:r>
        <w:rPr>
          <w:sz w:val="22"/>
          <w:szCs w:val="22"/>
          <w:lang w:val="en-GB" w:eastAsia="en-GB"/>
        </w:rPr>
        <w:t>e</w:t>
      </w:r>
      <w:r w:rsidR="00A36B54" w:rsidRPr="00433C05">
        <w:rPr>
          <w:sz w:val="22"/>
          <w:szCs w:val="22"/>
          <w:lang w:val="en-GB" w:eastAsia="en-GB"/>
        </w:rPr>
        <w:t xml:space="preserve"> platform and renamed it Google Play.</w:t>
      </w:r>
      <w:r w:rsidR="00A36B54" w:rsidRPr="00433C05">
        <w:rPr>
          <w:sz w:val="22"/>
          <w:szCs w:val="22"/>
          <w:vertAlign w:val="superscript"/>
          <w:lang w:val="en-GB" w:eastAsia="en-GB"/>
        </w:rPr>
        <w:endnoteReference w:id="15"/>
      </w:r>
      <w:r w:rsidR="00A36B54" w:rsidRPr="00433C05">
        <w:rPr>
          <w:sz w:val="22"/>
          <w:szCs w:val="22"/>
          <w:lang w:val="en-GB" w:eastAsia="en-GB"/>
        </w:rPr>
        <w:t xml:space="preserve"> </w:t>
      </w:r>
      <w:r>
        <w:rPr>
          <w:sz w:val="22"/>
          <w:szCs w:val="22"/>
          <w:lang w:val="en-GB" w:eastAsia="en-GB"/>
        </w:rPr>
        <w:t>All devices that were powered by the Android OS had the</w:t>
      </w:r>
      <w:r w:rsidR="00A36B54" w:rsidRPr="00433C05">
        <w:rPr>
          <w:sz w:val="22"/>
          <w:szCs w:val="22"/>
          <w:lang w:val="en-GB" w:eastAsia="en-GB"/>
        </w:rPr>
        <w:t xml:space="preserve"> Google Play app pre-installed </w:t>
      </w:r>
      <w:r>
        <w:rPr>
          <w:sz w:val="22"/>
          <w:szCs w:val="22"/>
          <w:lang w:val="en-GB" w:eastAsia="en-GB"/>
        </w:rPr>
        <w:t xml:space="preserve">on them to </w:t>
      </w:r>
      <w:r w:rsidR="00B41BAB">
        <w:rPr>
          <w:sz w:val="22"/>
          <w:szCs w:val="22"/>
          <w:lang w:val="en-GB" w:eastAsia="en-GB"/>
        </w:rPr>
        <w:t xml:space="preserve">allow users to </w:t>
      </w:r>
      <w:r>
        <w:rPr>
          <w:sz w:val="22"/>
          <w:szCs w:val="22"/>
          <w:lang w:val="en-GB" w:eastAsia="en-GB"/>
        </w:rPr>
        <w:t>easily access</w:t>
      </w:r>
      <w:r w:rsidR="00A36B54" w:rsidRPr="00433C05">
        <w:rPr>
          <w:sz w:val="22"/>
          <w:szCs w:val="22"/>
          <w:lang w:val="en-GB" w:eastAsia="en-GB"/>
        </w:rPr>
        <w:t xml:space="preserve"> apps, games</w:t>
      </w:r>
      <w:r>
        <w:rPr>
          <w:sz w:val="22"/>
          <w:szCs w:val="22"/>
          <w:lang w:val="en-GB" w:eastAsia="en-GB"/>
        </w:rPr>
        <w:t>,</w:t>
      </w:r>
      <w:r w:rsidR="00A36B54" w:rsidRPr="00433C05">
        <w:rPr>
          <w:sz w:val="22"/>
          <w:szCs w:val="22"/>
          <w:lang w:val="en-GB" w:eastAsia="en-GB"/>
        </w:rPr>
        <w:t xml:space="preserve"> and digital content.</w:t>
      </w:r>
      <w:r w:rsidR="00A36B54" w:rsidRPr="00433C05">
        <w:rPr>
          <w:sz w:val="22"/>
          <w:szCs w:val="22"/>
          <w:vertAlign w:val="superscript"/>
          <w:lang w:val="en-GB" w:eastAsia="en-GB"/>
        </w:rPr>
        <w:endnoteReference w:id="16"/>
      </w:r>
      <w:r w:rsidR="00A36B54" w:rsidRPr="00433C05">
        <w:rPr>
          <w:sz w:val="22"/>
          <w:szCs w:val="22"/>
          <w:lang w:val="en-GB" w:eastAsia="en-GB"/>
        </w:rPr>
        <w:t xml:space="preserve"> </w:t>
      </w:r>
    </w:p>
    <w:p w14:paraId="16EB90D7" w14:textId="77777777" w:rsidR="00A36B54" w:rsidRPr="00433C05" w:rsidRDefault="00A36B54" w:rsidP="00A36B54">
      <w:pPr>
        <w:jc w:val="both"/>
        <w:rPr>
          <w:sz w:val="22"/>
          <w:szCs w:val="22"/>
          <w:lang w:val="en-GB" w:eastAsia="en-GB"/>
        </w:rPr>
      </w:pPr>
    </w:p>
    <w:p w14:paraId="6EE17092" w14:textId="34E17A00" w:rsidR="00A36B54" w:rsidRPr="00433C05" w:rsidRDefault="00A96D24" w:rsidP="00A36B54">
      <w:pPr>
        <w:jc w:val="both"/>
        <w:rPr>
          <w:sz w:val="22"/>
          <w:szCs w:val="22"/>
          <w:lang w:val="en-GB" w:eastAsia="en-GB"/>
        </w:rPr>
      </w:pPr>
      <w:r>
        <w:rPr>
          <w:sz w:val="22"/>
          <w:szCs w:val="22"/>
          <w:lang w:val="en-GB" w:eastAsia="en-GB"/>
        </w:rPr>
        <w:t xml:space="preserve">By 2020, the market for apps included </w:t>
      </w:r>
      <w:r w:rsidR="00A36B54" w:rsidRPr="00433C05">
        <w:rPr>
          <w:sz w:val="22"/>
          <w:szCs w:val="22"/>
          <w:lang w:val="en-GB" w:eastAsia="en-GB"/>
        </w:rPr>
        <w:t xml:space="preserve">3.5 billion smartphone users </w:t>
      </w:r>
      <w:r>
        <w:rPr>
          <w:sz w:val="22"/>
          <w:szCs w:val="22"/>
          <w:lang w:val="en-GB" w:eastAsia="en-GB"/>
        </w:rPr>
        <w:t>around</w:t>
      </w:r>
      <w:r w:rsidR="00A36B54" w:rsidRPr="00433C05">
        <w:rPr>
          <w:sz w:val="22"/>
          <w:szCs w:val="22"/>
          <w:lang w:val="en-GB" w:eastAsia="en-GB"/>
        </w:rPr>
        <w:t xml:space="preserve"> the world. </w:t>
      </w:r>
      <w:r>
        <w:rPr>
          <w:sz w:val="22"/>
          <w:szCs w:val="22"/>
          <w:lang w:val="en-GB" w:eastAsia="en-GB"/>
        </w:rPr>
        <w:t xml:space="preserve">In </w:t>
      </w:r>
      <w:r w:rsidR="00A36B54" w:rsidRPr="00433C05">
        <w:rPr>
          <w:sz w:val="22"/>
          <w:szCs w:val="22"/>
          <w:lang w:val="en-GB" w:eastAsia="en-GB"/>
        </w:rPr>
        <w:t xml:space="preserve">India, 36 per cent of </w:t>
      </w:r>
      <w:r>
        <w:rPr>
          <w:sz w:val="22"/>
          <w:szCs w:val="22"/>
          <w:lang w:val="en-GB" w:eastAsia="en-GB"/>
        </w:rPr>
        <w:t xml:space="preserve">the </w:t>
      </w:r>
      <w:r w:rsidR="00A36B54" w:rsidRPr="00433C05">
        <w:rPr>
          <w:sz w:val="22"/>
          <w:szCs w:val="22"/>
          <w:lang w:val="en-GB" w:eastAsia="en-GB"/>
        </w:rPr>
        <w:t>population own</w:t>
      </w:r>
      <w:r>
        <w:rPr>
          <w:sz w:val="22"/>
          <w:szCs w:val="22"/>
          <w:lang w:val="en-GB" w:eastAsia="en-GB"/>
        </w:rPr>
        <w:t>ed</w:t>
      </w:r>
      <w:r w:rsidR="00A36B54" w:rsidRPr="00433C05">
        <w:rPr>
          <w:sz w:val="22"/>
          <w:szCs w:val="22"/>
          <w:lang w:val="en-GB" w:eastAsia="en-GB"/>
        </w:rPr>
        <w:t xml:space="preserve"> mobile devices, represent</w:t>
      </w:r>
      <w:r>
        <w:rPr>
          <w:sz w:val="22"/>
          <w:szCs w:val="22"/>
          <w:lang w:val="en-GB" w:eastAsia="en-GB"/>
        </w:rPr>
        <w:t>ing</w:t>
      </w:r>
      <w:r w:rsidR="00A36B54" w:rsidRPr="00433C05">
        <w:rPr>
          <w:sz w:val="22"/>
          <w:szCs w:val="22"/>
          <w:lang w:val="en-GB" w:eastAsia="en-GB"/>
        </w:rPr>
        <w:t xml:space="preserve"> a user base of 500 million.</w:t>
      </w:r>
      <w:r w:rsidR="00A36B54" w:rsidRPr="00433C05">
        <w:rPr>
          <w:sz w:val="22"/>
          <w:szCs w:val="22"/>
          <w:vertAlign w:val="superscript"/>
          <w:lang w:val="en-GB" w:eastAsia="en-GB"/>
        </w:rPr>
        <w:endnoteReference w:id="17"/>
      </w:r>
      <w:r w:rsidR="00A36B54" w:rsidRPr="00433C05">
        <w:rPr>
          <w:sz w:val="22"/>
          <w:szCs w:val="22"/>
          <w:lang w:val="en-GB" w:eastAsia="en-GB"/>
        </w:rPr>
        <w:t xml:space="preserve"> </w:t>
      </w:r>
      <w:r w:rsidR="00A17BFC">
        <w:rPr>
          <w:sz w:val="22"/>
          <w:szCs w:val="22"/>
          <w:lang w:val="en-GB" w:eastAsia="en-GB"/>
        </w:rPr>
        <w:t xml:space="preserve">In 2019, </w:t>
      </w:r>
      <w:r w:rsidR="00A36B54" w:rsidRPr="00433C05">
        <w:rPr>
          <w:sz w:val="22"/>
          <w:szCs w:val="22"/>
          <w:lang w:val="en-GB" w:eastAsia="en-GB"/>
        </w:rPr>
        <w:t>I</w:t>
      </w:r>
      <w:r w:rsidR="00760FF7">
        <w:rPr>
          <w:sz w:val="22"/>
          <w:szCs w:val="22"/>
          <w:lang w:val="en-GB" w:eastAsia="en-GB"/>
        </w:rPr>
        <w:t>ndia</w:t>
      </w:r>
      <w:r w:rsidR="00A36B54" w:rsidRPr="00433C05">
        <w:rPr>
          <w:sz w:val="22"/>
          <w:szCs w:val="22"/>
          <w:lang w:val="en-GB" w:eastAsia="en-GB"/>
        </w:rPr>
        <w:t xml:space="preserve"> </w:t>
      </w:r>
      <w:r w:rsidR="00FB221E" w:rsidRPr="00433C05">
        <w:rPr>
          <w:sz w:val="22"/>
          <w:szCs w:val="22"/>
          <w:lang w:val="en-GB" w:eastAsia="en-GB"/>
        </w:rPr>
        <w:t>was</w:t>
      </w:r>
      <w:r w:rsidR="00A36B54" w:rsidRPr="00433C05">
        <w:rPr>
          <w:sz w:val="22"/>
          <w:szCs w:val="22"/>
          <w:lang w:val="en-GB" w:eastAsia="en-GB"/>
        </w:rPr>
        <w:t xml:space="preserve"> the second</w:t>
      </w:r>
      <w:r w:rsidR="00760FF7">
        <w:rPr>
          <w:sz w:val="22"/>
          <w:szCs w:val="22"/>
          <w:lang w:val="en-GB" w:eastAsia="en-GB"/>
        </w:rPr>
        <w:t>-</w:t>
      </w:r>
      <w:r w:rsidR="00A36B54" w:rsidRPr="00433C05">
        <w:rPr>
          <w:sz w:val="22"/>
          <w:szCs w:val="22"/>
          <w:lang w:val="en-GB" w:eastAsia="en-GB"/>
        </w:rPr>
        <w:t xml:space="preserve">largest smartphone market in the world, </w:t>
      </w:r>
      <w:r w:rsidR="00760FF7">
        <w:rPr>
          <w:sz w:val="22"/>
          <w:szCs w:val="22"/>
          <w:lang w:val="en-GB" w:eastAsia="en-GB"/>
        </w:rPr>
        <w:t>after</w:t>
      </w:r>
      <w:r w:rsidR="00A36B54" w:rsidRPr="00433C05">
        <w:rPr>
          <w:sz w:val="22"/>
          <w:szCs w:val="22"/>
          <w:lang w:val="en-GB" w:eastAsia="en-GB"/>
        </w:rPr>
        <w:t xml:space="preserve"> China.</w:t>
      </w:r>
      <w:r w:rsidR="00A36B54" w:rsidRPr="00433C05">
        <w:rPr>
          <w:sz w:val="22"/>
          <w:szCs w:val="22"/>
          <w:vertAlign w:val="superscript"/>
          <w:lang w:val="en-GB" w:eastAsia="en-GB"/>
        </w:rPr>
        <w:endnoteReference w:id="18"/>
      </w:r>
      <w:r w:rsidR="00C275E6" w:rsidRPr="00433C05">
        <w:rPr>
          <w:sz w:val="22"/>
          <w:szCs w:val="22"/>
          <w:lang w:val="en-GB" w:eastAsia="en-GB"/>
        </w:rPr>
        <w:t xml:space="preserve"> In August 2020,</w:t>
      </w:r>
      <w:r w:rsidR="00A36B54" w:rsidRPr="00433C05">
        <w:rPr>
          <w:sz w:val="22"/>
          <w:szCs w:val="22"/>
          <w:lang w:val="en-GB" w:eastAsia="en-GB"/>
        </w:rPr>
        <w:t xml:space="preserve"> </w:t>
      </w:r>
      <w:r w:rsidR="00C275E6" w:rsidRPr="00433C05">
        <w:rPr>
          <w:sz w:val="22"/>
          <w:szCs w:val="22"/>
          <w:lang w:val="en-GB" w:eastAsia="en-GB"/>
        </w:rPr>
        <w:t xml:space="preserve">74.25 per cent </w:t>
      </w:r>
      <w:r w:rsidR="00A36B54" w:rsidRPr="00433C05">
        <w:rPr>
          <w:sz w:val="22"/>
          <w:szCs w:val="22"/>
          <w:lang w:val="en-GB" w:eastAsia="en-GB"/>
        </w:rPr>
        <w:t>of mobile devices</w:t>
      </w:r>
      <w:r w:rsidR="00C275E6" w:rsidRPr="00433C05">
        <w:rPr>
          <w:sz w:val="22"/>
          <w:szCs w:val="22"/>
          <w:lang w:val="en-GB" w:eastAsia="en-GB"/>
        </w:rPr>
        <w:t xml:space="preserve"> </w:t>
      </w:r>
      <w:r w:rsidR="00A36B54" w:rsidRPr="00433C05">
        <w:rPr>
          <w:sz w:val="22"/>
          <w:szCs w:val="22"/>
          <w:lang w:val="en-GB" w:eastAsia="en-GB"/>
        </w:rPr>
        <w:t xml:space="preserve">across the world </w:t>
      </w:r>
      <w:r w:rsidR="00C275E6" w:rsidRPr="00433C05">
        <w:rPr>
          <w:sz w:val="22"/>
          <w:szCs w:val="22"/>
          <w:lang w:val="en-GB" w:eastAsia="en-GB"/>
        </w:rPr>
        <w:t xml:space="preserve">were </w:t>
      </w:r>
      <w:r w:rsidR="00760FF7">
        <w:rPr>
          <w:sz w:val="22"/>
          <w:szCs w:val="22"/>
          <w:lang w:val="en-GB" w:eastAsia="en-GB"/>
        </w:rPr>
        <w:t xml:space="preserve">powered by the </w:t>
      </w:r>
      <w:r w:rsidR="00C275E6" w:rsidRPr="00433C05">
        <w:rPr>
          <w:sz w:val="22"/>
          <w:szCs w:val="22"/>
          <w:lang w:val="en-GB" w:eastAsia="en-GB"/>
        </w:rPr>
        <w:t xml:space="preserve">Android </w:t>
      </w:r>
      <w:r w:rsidR="00760FF7">
        <w:rPr>
          <w:sz w:val="22"/>
          <w:szCs w:val="22"/>
          <w:lang w:val="en-GB" w:eastAsia="en-GB"/>
        </w:rPr>
        <w:t>OS</w:t>
      </w:r>
      <w:r w:rsidR="00254760" w:rsidRPr="00433C05">
        <w:rPr>
          <w:sz w:val="22"/>
          <w:szCs w:val="22"/>
          <w:lang w:val="en-GB" w:eastAsia="en-GB"/>
        </w:rPr>
        <w:t xml:space="preserve">. </w:t>
      </w:r>
      <w:r w:rsidR="00760FF7">
        <w:rPr>
          <w:sz w:val="22"/>
          <w:szCs w:val="22"/>
          <w:lang w:val="en-GB" w:eastAsia="en-GB"/>
        </w:rPr>
        <w:t>Its main competi</w:t>
      </w:r>
      <w:r w:rsidR="00A17BFC">
        <w:rPr>
          <w:sz w:val="22"/>
          <w:szCs w:val="22"/>
          <w:lang w:val="en-GB" w:eastAsia="en-GB"/>
        </w:rPr>
        <w:t>tor</w:t>
      </w:r>
      <w:r w:rsidR="00760FF7">
        <w:rPr>
          <w:sz w:val="22"/>
          <w:szCs w:val="22"/>
          <w:lang w:val="en-GB" w:eastAsia="en-GB"/>
        </w:rPr>
        <w:t xml:space="preserve">, </w:t>
      </w:r>
      <w:r w:rsidR="00502499">
        <w:rPr>
          <w:sz w:val="22"/>
          <w:szCs w:val="22"/>
          <w:lang w:val="en-GB" w:eastAsia="en-GB"/>
        </w:rPr>
        <w:t>the</w:t>
      </w:r>
      <w:r w:rsidR="00A36B54" w:rsidRPr="00433C05">
        <w:rPr>
          <w:sz w:val="22"/>
          <w:szCs w:val="22"/>
          <w:lang w:val="en-GB" w:eastAsia="en-GB"/>
        </w:rPr>
        <w:t xml:space="preserve"> iOS</w:t>
      </w:r>
      <w:r w:rsidR="00502499">
        <w:rPr>
          <w:sz w:val="22"/>
          <w:szCs w:val="22"/>
          <w:lang w:val="en-GB" w:eastAsia="en-GB"/>
        </w:rPr>
        <w:t xml:space="preserve"> by Apple Inc. (Apple)</w:t>
      </w:r>
      <w:r w:rsidR="00760FF7">
        <w:rPr>
          <w:sz w:val="22"/>
          <w:szCs w:val="22"/>
          <w:lang w:val="en-GB" w:eastAsia="en-GB"/>
        </w:rPr>
        <w:t>,</w:t>
      </w:r>
      <w:r w:rsidR="00A36B54" w:rsidRPr="00433C05">
        <w:rPr>
          <w:sz w:val="22"/>
          <w:szCs w:val="22"/>
          <w:lang w:val="en-GB" w:eastAsia="en-GB"/>
        </w:rPr>
        <w:t xml:space="preserve"> </w:t>
      </w:r>
      <w:r w:rsidR="00A17BFC">
        <w:rPr>
          <w:sz w:val="22"/>
          <w:szCs w:val="22"/>
          <w:lang w:val="en-GB" w:eastAsia="en-GB"/>
        </w:rPr>
        <w:t>had the</w:t>
      </w:r>
      <w:r w:rsidR="00A36B54" w:rsidRPr="00433C05">
        <w:rPr>
          <w:sz w:val="22"/>
          <w:szCs w:val="22"/>
          <w:lang w:val="en-GB" w:eastAsia="en-GB"/>
        </w:rPr>
        <w:t xml:space="preserve"> second</w:t>
      </w:r>
      <w:r w:rsidR="00760FF7">
        <w:rPr>
          <w:sz w:val="22"/>
          <w:szCs w:val="22"/>
          <w:lang w:val="en-GB" w:eastAsia="en-GB"/>
        </w:rPr>
        <w:t>-</w:t>
      </w:r>
      <w:r w:rsidR="00A36B54" w:rsidRPr="00433C05">
        <w:rPr>
          <w:sz w:val="22"/>
          <w:szCs w:val="22"/>
          <w:lang w:val="en-GB" w:eastAsia="en-GB"/>
        </w:rPr>
        <w:t xml:space="preserve">largest </w:t>
      </w:r>
      <w:r w:rsidR="00760FF7">
        <w:rPr>
          <w:sz w:val="22"/>
          <w:szCs w:val="22"/>
          <w:lang w:val="en-GB" w:eastAsia="en-GB"/>
        </w:rPr>
        <w:t>OS</w:t>
      </w:r>
      <w:r w:rsidR="00A36B54" w:rsidRPr="00433C05">
        <w:rPr>
          <w:sz w:val="22"/>
          <w:szCs w:val="22"/>
          <w:lang w:val="en-GB" w:eastAsia="en-GB"/>
        </w:rPr>
        <w:t xml:space="preserve"> </w:t>
      </w:r>
      <w:r w:rsidR="00A17BFC">
        <w:rPr>
          <w:sz w:val="22"/>
          <w:szCs w:val="22"/>
          <w:lang w:val="en-GB" w:eastAsia="en-GB"/>
        </w:rPr>
        <w:t xml:space="preserve">user base </w:t>
      </w:r>
      <w:r w:rsidR="00A36B54" w:rsidRPr="00433C05">
        <w:rPr>
          <w:sz w:val="22"/>
          <w:szCs w:val="22"/>
          <w:lang w:val="en-GB" w:eastAsia="en-GB"/>
        </w:rPr>
        <w:t>in the world</w:t>
      </w:r>
      <w:r w:rsidR="00A17BFC">
        <w:rPr>
          <w:sz w:val="22"/>
          <w:szCs w:val="22"/>
          <w:lang w:val="en-GB" w:eastAsia="en-GB"/>
        </w:rPr>
        <w:t>, with</w:t>
      </w:r>
      <w:r w:rsidR="00A36B54" w:rsidRPr="00433C05">
        <w:rPr>
          <w:sz w:val="22"/>
          <w:szCs w:val="22"/>
          <w:lang w:val="en-GB" w:eastAsia="en-GB"/>
        </w:rPr>
        <w:t xml:space="preserve"> 25.15 per cent</w:t>
      </w:r>
      <w:r w:rsidR="00C275E6" w:rsidRPr="00433C05">
        <w:rPr>
          <w:sz w:val="22"/>
          <w:szCs w:val="22"/>
          <w:lang w:val="en-GB" w:eastAsia="en-GB"/>
        </w:rPr>
        <w:t xml:space="preserve"> of </w:t>
      </w:r>
      <w:r w:rsidR="00760FF7">
        <w:rPr>
          <w:sz w:val="22"/>
          <w:szCs w:val="22"/>
          <w:lang w:val="en-GB" w:eastAsia="en-GB"/>
        </w:rPr>
        <w:t xml:space="preserve">all </w:t>
      </w:r>
      <w:r w:rsidR="00C275E6" w:rsidRPr="00433C05">
        <w:rPr>
          <w:sz w:val="22"/>
          <w:szCs w:val="22"/>
          <w:lang w:val="en-GB" w:eastAsia="en-GB"/>
        </w:rPr>
        <w:t>mobile devices</w:t>
      </w:r>
      <w:r w:rsidR="00A17BFC">
        <w:rPr>
          <w:sz w:val="22"/>
          <w:szCs w:val="22"/>
          <w:lang w:val="en-GB" w:eastAsia="en-GB"/>
        </w:rPr>
        <w:t xml:space="preserve"> being Apple products</w:t>
      </w:r>
      <w:r w:rsidR="00760FF7">
        <w:rPr>
          <w:sz w:val="22"/>
          <w:szCs w:val="22"/>
          <w:lang w:val="en-GB" w:eastAsia="en-GB"/>
        </w:rPr>
        <w:t>. O</w:t>
      </w:r>
      <w:r w:rsidR="00254760" w:rsidRPr="00433C05">
        <w:rPr>
          <w:sz w:val="22"/>
          <w:szCs w:val="22"/>
          <w:lang w:val="en-GB" w:eastAsia="en-GB"/>
        </w:rPr>
        <w:t>ther p</w:t>
      </w:r>
      <w:r w:rsidR="00A36B54" w:rsidRPr="00433C05">
        <w:rPr>
          <w:sz w:val="22"/>
          <w:szCs w:val="22"/>
          <w:lang w:val="en-GB" w:eastAsia="en-GB"/>
        </w:rPr>
        <w:t>latforms</w:t>
      </w:r>
      <w:r w:rsidR="00254760" w:rsidRPr="00433C05">
        <w:rPr>
          <w:sz w:val="22"/>
          <w:szCs w:val="22"/>
          <w:lang w:val="en-GB" w:eastAsia="en-GB"/>
        </w:rPr>
        <w:t xml:space="preserve"> </w:t>
      </w:r>
      <w:r w:rsidR="00A36B54" w:rsidRPr="00433C05">
        <w:rPr>
          <w:sz w:val="22"/>
          <w:szCs w:val="22"/>
          <w:lang w:val="en-GB" w:eastAsia="en-GB"/>
        </w:rPr>
        <w:t xml:space="preserve">held miniscule shares </w:t>
      </w:r>
      <w:r w:rsidR="00760FF7">
        <w:rPr>
          <w:sz w:val="22"/>
          <w:szCs w:val="22"/>
          <w:lang w:val="en-GB" w:eastAsia="en-GB"/>
        </w:rPr>
        <w:t>of the market</w:t>
      </w:r>
      <w:r w:rsidR="00A36B54" w:rsidRPr="00433C05">
        <w:rPr>
          <w:sz w:val="22"/>
          <w:szCs w:val="22"/>
          <w:lang w:val="en-GB" w:eastAsia="en-GB"/>
        </w:rPr>
        <w:t xml:space="preserve"> </w:t>
      </w:r>
      <w:r w:rsidR="00254760" w:rsidRPr="00433C05">
        <w:rPr>
          <w:sz w:val="22"/>
          <w:szCs w:val="22"/>
          <w:lang w:val="en-GB" w:eastAsia="en-GB"/>
        </w:rPr>
        <w:t>(</w:t>
      </w:r>
      <w:r w:rsidR="00760FF7">
        <w:rPr>
          <w:sz w:val="22"/>
          <w:szCs w:val="22"/>
          <w:lang w:val="en-GB" w:eastAsia="en-GB"/>
        </w:rPr>
        <w:t xml:space="preserve">see </w:t>
      </w:r>
      <w:r w:rsidR="00A36B54" w:rsidRPr="00433C05">
        <w:rPr>
          <w:sz w:val="22"/>
          <w:szCs w:val="22"/>
          <w:lang w:val="en-GB" w:eastAsia="en-GB"/>
        </w:rPr>
        <w:t xml:space="preserve">Exhibit 1). </w:t>
      </w:r>
      <w:r w:rsidR="00760FF7">
        <w:rPr>
          <w:sz w:val="22"/>
          <w:szCs w:val="22"/>
          <w:lang w:val="en-GB" w:eastAsia="en-GB"/>
        </w:rPr>
        <w:t>In India, t</w:t>
      </w:r>
      <w:r w:rsidR="009912AB" w:rsidRPr="00433C05">
        <w:rPr>
          <w:sz w:val="22"/>
          <w:szCs w:val="22"/>
          <w:lang w:val="en-GB" w:eastAsia="en-GB"/>
        </w:rPr>
        <w:t>he</w:t>
      </w:r>
      <w:r w:rsidR="00A36B54" w:rsidRPr="00433C05">
        <w:rPr>
          <w:sz w:val="22"/>
          <w:szCs w:val="22"/>
          <w:lang w:val="en-GB" w:eastAsia="en-GB"/>
        </w:rPr>
        <w:t xml:space="preserve"> </w:t>
      </w:r>
      <w:r w:rsidR="00760FF7">
        <w:rPr>
          <w:sz w:val="22"/>
          <w:szCs w:val="22"/>
          <w:lang w:val="en-GB" w:eastAsia="en-GB"/>
        </w:rPr>
        <w:t xml:space="preserve">mobile devices </w:t>
      </w:r>
      <w:r w:rsidR="00585184" w:rsidRPr="00433C05">
        <w:rPr>
          <w:sz w:val="22"/>
          <w:szCs w:val="22"/>
          <w:lang w:val="en-GB" w:eastAsia="en-GB"/>
        </w:rPr>
        <w:t>market</w:t>
      </w:r>
      <w:r w:rsidR="009912AB" w:rsidRPr="00433C05">
        <w:rPr>
          <w:sz w:val="22"/>
          <w:szCs w:val="22"/>
          <w:lang w:val="en-GB" w:eastAsia="en-GB"/>
        </w:rPr>
        <w:t xml:space="preserve"> </w:t>
      </w:r>
      <w:r w:rsidR="00A36B54" w:rsidRPr="00433C05">
        <w:rPr>
          <w:sz w:val="22"/>
          <w:szCs w:val="22"/>
          <w:lang w:val="en-GB" w:eastAsia="en-GB"/>
        </w:rPr>
        <w:t>was even more skewed</w:t>
      </w:r>
      <w:r w:rsidR="00B41581">
        <w:rPr>
          <w:sz w:val="22"/>
          <w:szCs w:val="22"/>
          <w:lang w:val="en-GB" w:eastAsia="en-GB"/>
        </w:rPr>
        <w:t>. In September 2020</w:t>
      </w:r>
      <w:r w:rsidR="00A36B54" w:rsidRPr="00433C05">
        <w:rPr>
          <w:sz w:val="22"/>
          <w:szCs w:val="22"/>
          <w:lang w:val="en-GB" w:eastAsia="en-GB"/>
        </w:rPr>
        <w:t>, 95.85 per cent of mobile</w:t>
      </w:r>
      <w:r w:rsidR="00B41581">
        <w:rPr>
          <w:sz w:val="22"/>
          <w:szCs w:val="22"/>
          <w:lang w:val="en-GB" w:eastAsia="en-GB"/>
        </w:rPr>
        <w:t xml:space="preserve"> device</w:t>
      </w:r>
      <w:r w:rsidR="00A36B54" w:rsidRPr="00433C05">
        <w:rPr>
          <w:sz w:val="22"/>
          <w:szCs w:val="22"/>
          <w:lang w:val="en-GB" w:eastAsia="en-GB"/>
        </w:rPr>
        <w:t xml:space="preserve">s in </w:t>
      </w:r>
      <w:r w:rsidR="00B41581">
        <w:rPr>
          <w:sz w:val="22"/>
          <w:szCs w:val="22"/>
          <w:lang w:val="en-GB" w:eastAsia="en-GB"/>
        </w:rPr>
        <w:t>India were powered by</w:t>
      </w:r>
      <w:r w:rsidR="00A36B54" w:rsidRPr="00433C05">
        <w:rPr>
          <w:sz w:val="22"/>
          <w:szCs w:val="22"/>
          <w:lang w:val="en-GB" w:eastAsia="en-GB"/>
        </w:rPr>
        <w:t xml:space="preserve"> the Android OS</w:t>
      </w:r>
      <w:r w:rsidR="00B41581">
        <w:rPr>
          <w:sz w:val="22"/>
          <w:szCs w:val="22"/>
          <w:lang w:val="en-GB" w:eastAsia="en-GB"/>
        </w:rPr>
        <w:t>,</w:t>
      </w:r>
      <w:r w:rsidR="009912AB" w:rsidRPr="00433C05">
        <w:rPr>
          <w:sz w:val="22"/>
          <w:szCs w:val="22"/>
          <w:lang w:val="en-GB" w:eastAsia="en-GB"/>
        </w:rPr>
        <w:t xml:space="preserve"> </w:t>
      </w:r>
      <w:r w:rsidR="00B41581">
        <w:rPr>
          <w:sz w:val="22"/>
          <w:szCs w:val="22"/>
          <w:lang w:val="en-GB" w:eastAsia="en-GB"/>
        </w:rPr>
        <w:t>while the</w:t>
      </w:r>
      <w:r w:rsidR="00A36B54" w:rsidRPr="00433C05">
        <w:rPr>
          <w:sz w:val="22"/>
          <w:szCs w:val="22"/>
          <w:lang w:val="en-GB" w:eastAsia="en-GB"/>
        </w:rPr>
        <w:t xml:space="preserve"> iOS account</w:t>
      </w:r>
      <w:r w:rsidR="009912AB" w:rsidRPr="00433C05">
        <w:rPr>
          <w:sz w:val="22"/>
          <w:szCs w:val="22"/>
          <w:lang w:val="en-GB" w:eastAsia="en-GB"/>
        </w:rPr>
        <w:t>ed</w:t>
      </w:r>
      <w:r w:rsidR="00A36B54" w:rsidRPr="00433C05">
        <w:rPr>
          <w:sz w:val="22"/>
          <w:szCs w:val="22"/>
          <w:lang w:val="en-GB" w:eastAsia="en-GB"/>
        </w:rPr>
        <w:t xml:space="preserve"> for a miniscule 0.54 per cent (</w:t>
      </w:r>
      <w:r w:rsidR="00B41581">
        <w:rPr>
          <w:sz w:val="22"/>
          <w:szCs w:val="22"/>
          <w:lang w:val="en-GB" w:eastAsia="en-GB"/>
        </w:rPr>
        <w:t xml:space="preserve">see </w:t>
      </w:r>
      <w:r w:rsidR="00A36B54" w:rsidRPr="00433C05">
        <w:rPr>
          <w:sz w:val="22"/>
          <w:szCs w:val="22"/>
          <w:lang w:val="en-GB" w:eastAsia="en-GB"/>
        </w:rPr>
        <w:t>Exhibit 1).</w:t>
      </w:r>
      <w:r w:rsidR="00585184" w:rsidRPr="00433C05">
        <w:rPr>
          <w:sz w:val="22"/>
          <w:szCs w:val="22"/>
          <w:lang w:val="en-GB" w:eastAsia="en-GB"/>
        </w:rPr>
        <w:t xml:space="preserve"> Google Play</w:t>
      </w:r>
      <w:r w:rsidR="00B41581">
        <w:rPr>
          <w:sz w:val="22"/>
          <w:szCs w:val="22"/>
          <w:lang w:val="en-GB" w:eastAsia="en-GB"/>
        </w:rPr>
        <w:t>, which</w:t>
      </w:r>
      <w:r w:rsidR="00585184" w:rsidRPr="00433C05">
        <w:rPr>
          <w:sz w:val="22"/>
          <w:szCs w:val="22"/>
          <w:lang w:val="en-GB" w:eastAsia="en-GB"/>
        </w:rPr>
        <w:t xml:space="preserve"> dominated </w:t>
      </w:r>
      <w:r w:rsidR="00B41581">
        <w:rPr>
          <w:sz w:val="22"/>
          <w:szCs w:val="22"/>
          <w:lang w:val="en-GB" w:eastAsia="en-GB"/>
        </w:rPr>
        <w:t xml:space="preserve">the </w:t>
      </w:r>
      <w:r w:rsidR="00585184" w:rsidRPr="00433C05">
        <w:rPr>
          <w:sz w:val="22"/>
          <w:szCs w:val="22"/>
          <w:lang w:val="en-GB" w:eastAsia="en-GB"/>
        </w:rPr>
        <w:t xml:space="preserve">app </w:t>
      </w:r>
      <w:r w:rsidR="00B41581">
        <w:rPr>
          <w:sz w:val="22"/>
          <w:szCs w:val="22"/>
          <w:lang w:val="en-GB" w:eastAsia="en-GB"/>
        </w:rPr>
        <w:t>market</w:t>
      </w:r>
      <w:r w:rsidR="00585184" w:rsidRPr="00433C05">
        <w:rPr>
          <w:sz w:val="22"/>
          <w:szCs w:val="22"/>
          <w:lang w:val="en-GB" w:eastAsia="en-GB"/>
        </w:rPr>
        <w:t xml:space="preserve">, </w:t>
      </w:r>
      <w:r w:rsidR="00B41581">
        <w:rPr>
          <w:sz w:val="22"/>
          <w:szCs w:val="22"/>
          <w:lang w:val="en-GB" w:eastAsia="en-GB"/>
        </w:rPr>
        <w:t>listed</w:t>
      </w:r>
      <w:r w:rsidR="00A36B54" w:rsidRPr="00433C05">
        <w:rPr>
          <w:sz w:val="22"/>
          <w:szCs w:val="22"/>
          <w:lang w:val="en-GB" w:eastAsia="en-GB"/>
        </w:rPr>
        <w:t xml:space="preserve"> over 2.7 million apps </w:t>
      </w:r>
      <w:r w:rsidR="00A17BFC">
        <w:rPr>
          <w:sz w:val="22"/>
          <w:szCs w:val="22"/>
          <w:lang w:val="en-GB" w:eastAsia="en-GB"/>
        </w:rPr>
        <w:t>that were</w:t>
      </w:r>
      <w:r w:rsidR="00B41581">
        <w:rPr>
          <w:sz w:val="22"/>
          <w:szCs w:val="22"/>
          <w:lang w:val="en-GB" w:eastAsia="en-GB"/>
        </w:rPr>
        <w:t xml:space="preserve"> </w:t>
      </w:r>
      <w:r w:rsidR="00A36B54" w:rsidRPr="00433C05">
        <w:rPr>
          <w:sz w:val="22"/>
          <w:szCs w:val="22"/>
          <w:lang w:val="en-GB" w:eastAsia="en-GB"/>
        </w:rPr>
        <w:t>available</w:t>
      </w:r>
      <w:r w:rsidR="00585184" w:rsidRPr="00433C05">
        <w:rPr>
          <w:sz w:val="22"/>
          <w:szCs w:val="22"/>
          <w:lang w:val="en-GB" w:eastAsia="en-GB"/>
        </w:rPr>
        <w:t xml:space="preserve"> </w:t>
      </w:r>
      <w:r w:rsidR="00A36B54" w:rsidRPr="00433C05">
        <w:rPr>
          <w:sz w:val="22"/>
          <w:szCs w:val="22"/>
          <w:lang w:val="en-GB" w:eastAsia="en-GB"/>
        </w:rPr>
        <w:t xml:space="preserve">for </w:t>
      </w:r>
      <w:r w:rsidR="00A17BFC">
        <w:rPr>
          <w:sz w:val="22"/>
          <w:szCs w:val="22"/>
          <w:lang w:val="en-GB" w:eastAsia="en-GB"/>
        </w:rPr>
        <w:t xml:space="preserve">downloading on </w:t>
      </w:r>
      <w:r w:rsidR="00A36B54" w:rsidRPr="00433C05">
        <w:rPr>
          <w:sz w:val="22"/>
          <w:szCs w:val="22"/>
          <w:lang w:val="en-GB" w:eastAsia="en-GB"/>
        </w:rPr>
        <w:t xml:space="preserve">Android </w:t>
      </w:r>
      <w:r w:rsidR="00B41581">
        <w:rPr>
          <w:sz w:val="22"/>
          <w:szCs w:val="22"/>
          <w:lang w:val="en-GB" w:eastAsia="en-GB"/>
        </w:rPr>
        <w:t>device</w:t>
      </w:r>
      <w:r w:rsidR="00A36B54" w:rsidRPr="00433C05">
        <w:rPr>
          <w:sz w:val="22"/>
          <w:szCs w:val="22"/>
          <w:lang w:val="en-GB" w:eastAsia="en-GB"/>
        </w:rPr>
        <w:t>s.</w:t>
      </w:r>
      <w:r w:rsidR="00A36B54" w:rsidRPr="00433C05">
        <w:rPr>
          <w:sz w:val="22"/>
          <w:szCs w:val="22"/>
          <w:vertAlign w:val="superscript"/>
          <w:lang w:val="en-GB" w:eastAsia="en-GB"/>
        </w:rPr>
        <w:endnoteReference w:id="19"/>
      </w:r>
      <w:r w:rsidR="00A36B54" w:rsidRPr="00433C05">
        <w:rPr>
          <w:sz w:val="22"/>
          <w:szCs w:val="22"/>
          <w:lang w:val="en-GB" w:eastAsia="en-GB"/>
        </w:rPr>
        <w:t xml:space="preserve"> </w:t>
      </w:r>
    </w:p>
    <w:p w14:paraId="59A888D9" w14:textId="77777777" w:rsidR="00A36B54" w:rsidRPr="00433C05" w:rsidRDefault="00A36B54" w:rsidP="00A36B54">
      <w:pPr>
        <w:jc w:val="both"/>
        <w:rPr>
          <w:sz w:val="22"/>
          <w:szCs w:val="22"/>
          <w:lang w:val="en-GB" w:eastAsia="en-GB"/>
        </w:rPr>
      </w:pPr>
    </w:p>
    <w:p w14:paraId="06F88326" w14:textId="49122372" w:rsidR="00792028" w:rsidRDefault="001279F4" w:rsidP="00A36B54">
      <w:pPr>
        <w:jc w:val="both"/>
        <w:rPr>
          <w:sz w:val="22"/>
          <w:szCs w:val="22"/>
          <w:lang w:val="en-GB" w:eastAsia="en-GB"/>
        </w:rPr>
      </w:pPr>
      <w:r w:rsidRPr="00433C05">
        <w:rPr>
          <w:sz w:val="22"/>
          <w:szCs w:val="22"/>
          <w:lang w:val="en-GB" w:eastAsia="en-GB"/>
        </w:rPr>
        <w:t>G</w:t>
      </w:r>
      <w:r w:rsidR="00A36B54" w:rsidRPr="00433C05">
        <w:rPr>
          <w:sz w:val="22"/>
          <w:szCs w:val="22"/>
          <w:lang w:val="en-GB" w:eastAsia="en-GB"/>
        </w:rPr>
        <w:t>lobal</w:t>
      </w:r>
      <w:r w:rsidR="008B6F6A">
        <w:rPr>
          <w:sz w:val="22"/>
          <w:szCs w:val="22"/>
          <w:lang w:val="en-GB" w:eastAsia="en-GB"/>
        </w:rPr>
        <w:t>ly,</w:t>
      </w:r>
      <w:r w:rsidR="00A36B54" w:rsidRPr="00433C05">
        <w:rPr>
          <w:sz w:val="22"/>
          <w:szCs w:val="22"/>
          <w:lang w:val="en-GB" w:eastAsia="en-GB"/>
        </w:rPr>
        <w:t xml:space="preserve"> </w:t>
      </w:r>
      <w:r w:rsidR="008B6F6A">
        <w:rPr>
          <w:sz w:val="22"/>
          <w:szCs w:val="22"/>
          <w:lang w:val="en-GB" w:eastAsia="en-GB"/>
        </w:rPr>
        <w:t xml:space="preserve">the number of </w:t>
      </w:r>
      <w:r w:rsidR="00A36B54" w:rsidRPr="00433C05">
        <w:rPr>
          <w:sz w:val="22"/>
          <w:szCs w:val="22"/>
          <w:lang w:val="en-GB" w:eastAsia="en-GB"/>
        </w:rPr>
        <w:t>app</w:t>
      </w:r>
      <w:r w:rsidR="008B6F6A">
        <w:rPr>
          <w:sz w:val="22"/>
          <w:szCs w:val="22"/>
          <w:lang w:val="en-GB" w:eastAsia="en-GB"/>
        </w:rPr>
        <w:t>s</w:t>
      </w:r>
      <w:r w:rsidR="00A36B54" w:rsidRPr="00433C05">
        <w:rPr>
          <w:sz w:val="22"/>
          <w:szCs w:val="22"/>
          <w:lang w:val="en-GB" w:eastAsia="en-GB"/>
        </w:rPr>
        <w:t xml:space="preserve"> download</w:t>
      </w:r>
      <w:r w:rsidR="008B6F6A">
        <w:rPr>
          <w:sz w:val="22"/>
          <w:szCs w:val="22"/>
          <w:lang w:val="en-GB" w:eastAsia="en-GB"/>
        </w:rPr>
        <w:t>ed</w:t>
      </w:r>
      <w:r w:rsidRPr="00433C05">
        <w:rPr>
          <w:sz w:val="22"/>
          <w:szCs w:val="22"/>
          <w:lang w:val="en-GB" w:eastAsia="en-GB"/>
        </w:rPr>
        <w:t xml:space="preserve"> </w:t>
      </w:r>
      <w:r w:rsidR="00792028">
        <w:rPr>
          <w:sz w:val="22"/>
          <w:szCs w:val="22"/>
          <w:lang w:val="en-GB" w:eastAsia="en-GB"/>
        </w:rPr>
        <w:t>increased</w:t>
      </w:r>
      <w:r w:rsidR="00A36B54" w:rsidRPr="00433C05">
        <w:rPr>
          <w:sz w:val="22"/>
          <w:szCs w:val="22"/>
          <w:lang w:val="en-GB" w:eastAsia="en-GB"/>
        </w:rPr>
        <w:t xml:space="preserve"> by 45 per cent </w:t>
      </w:r>
      <w:r w:rsidR="008B6F6A">
        <w:rPr>
          <w:sz w:val="22"/>
          <w:szCs w:val="22"/>
          <w:lang w:val="en-GB" w:eastAsia="en-GB"/>
        </w:rPr>
        <w:t>from</w:t>
      </w:r>
      <w:r w:rsidR="00A36B54" w:rsidRPr="00433C05">
        <w:rPr>
          <w:sz w:val="22"/>
          <w:szCs w:val="22"/>
          <w:lang w:val="en-GB" w:eastAsia="en-GB"/>
        </w:rPr>
        <w:t xml:space="preserve"> 2016</w:t>
      </w:r>
      <w:r w:rsidR="008B6F6A">
        <w:rPr>
          <w:sz w:val="22"/>
          <w:szCs w:val="22"/>
          <w:lang w:val="en-GB" w:eastAsia="en-GB"/>
        </w:rPr>
        <w:t xml:space="preserve"> to </w:t>
      </w:r>
      <w:r w:rsidR="00A36B54" w:rsidRPr="00433C05">
        <w:rPr>
          <w:sz w:val="22"/>
          <w:szCs w:val="22"/>
          <w:lang w:val="en-GB" w:eastAsia="en-GB"/>
        </w:rPr>
        <w:t xml:space="preserve">2019. </w:t>
      </w:r>
      <w:r w:rsidR="008B6F6A">
        <w:rPr>
          <w:sz w:val="22"/>
          <w:szCs w:val="22"/>
          <w:lang w:val="en-GB" w:eastAsia="en-GB"/>
        </w:rPr>
        <w:t xml:space="preserve">In </w:t>
      </w:r>
      <w:r w:rsidR="00A36B54" w:rsidRPr="00433C05">
        <w:rPr>
          <w:sz w:val="22"/>
          <w:szCs w:val="22"/>
          <w:lang w:val="en-GB" w:eastAsia="en-GB"/>
        </w:rPr>
        <w:t>India</w:t>
      </w:r>
      <w:r w:rsidR="008B6F6A">
        <w:rPr>
          <w:sz w:val="22"/>
          <w:szCs w:val="22"/>
          <w:lang w:val="en-GB" w:eastAsia="en-GB"/>
        </w:rPr>
        <w:t>, the rate over that same period was</w:t>
      </w:r>
      <w:r w:rsidR="00A36B54" w:rsidRPr="00433C05">
        <w:rPr>
          <w:sz w:val="22"/>
          <w:szCs w:val="22"/>
          <w:lang w:val="en-GB" w:eastAsia="en-GB"/>
        </w:rPr>
        <w:t xml:space="preserve"> 190 per cent</w:t>
      </w:r>
      <w:r w:rsidR="00585184" w:rsidRPr="00433C05">
        <w:rPr>
          <w:sz w:val="22"/>
          <w:szCs w:val="22"/>
          <w:lang w:val="en-GB" w:eastAsia="en-GB"/>
        </w:rPr>
        <w:t xml:space="preserve">. </w:t>
      </w:r>
      <w:r w:rsidR="00EF7F79" w:rsidRPr="00433C05">
        <w:rPr>
          <w:sz w:val="22"/>
          <w:szCs w:val="22"/>
          <w:lang w:val="en-GB" w:eastAsia="en-GB"/>
        </w:rPr>
        <w:t xml:space="preserve">With </w:t>
      </w:r>
      <w:r w:rsidR="00417EE6">
        <w:rPr>
          <w:sz w:val="22"/>
          <w:szCs w:val="22"/>
          <w:lang w:val="en-GB" w:eastAsia="en-GB"/>
        </w:rPr>
        <w:t>7</w:t>
      </w:r>
      <w:r w:rsidR="00EF7F79" w:rsidRPr="00433C05">
        <w:rPr>
          <w:sz w:val="22"/>
          <w:szCs w:val="22"/>
          <w:lang w:val="en-GB" w:eastAsia="en-GB"/>
        </w:rPr>
        <w:t xml:space="preserve"> billion app downloads</w:t>
      </w:r>
      <w:r w:rsidR="00572F1F" w:rsidRPr="00433C05">
        <w:rPr>
          <w:sz w:val="22"/>
          <w:szCs w:val="22"/>
          <w:lang w:val="en-GB" w:eastAsia="en-GB"/>
        </w:rPr>
        <w:t xml:space="preserve"> in the second quarter of 2020</w:t>
      </w:r>
      <w:r w:rsidR="008B6F6A">
        <w:rPr>
          <w:sz w:val="22"/>
          <w:szCs w:val="22"/>
          <w:lang w:val="en-GB" w:eastAsia="en-GB"/>
        </w:rPr>
        <w:t>, it was also the global leader</w:t>
      </w:r>
      <w:r w:rsidR="00A36B54" w:rsidRPr="00433C05">
        <w:rPr>
          <w:sz w:val="22"/>
          <w:szCs w:val="22"/>
          <w:lang w:val="en-GB" w:eastAsia="en-GB"/>
        </w:rPr>
        <w:t>.</w:t>
      </w:r>
      <w:r w:rsidR="00A36B54" w:rsidRPr="00433C05">
        <w:rPr>
          <w:sz w:val="22"/>
          <w:szCs w:val="22"/>
          <w:vertAlign w:val="superscript"/>
          <w:lang w:val="en-GB" w:eastAsia="en-GB"/>
        </w:rPr>
        <w:endnoteReference w:id="20"/>
      </w:r>
      <w:r w:rsidR="00EC324B" w:rsidRPr="00433C05">
        <w:rPr>
          <w:sz w:val="22"/>
          <w:szCs w:val="22"/>
          <w:lang w:val="en-GB" w:eastAsia="en-GB"/>
        </w:rPr>
        <w:t xml:space="preserve"> </w:t>
      </w:r>
      <w:r w:rsidR="000A67FB">
        <w:rPr>
          <w:sz w:val="22"/>
          <w:szCs w:val="22"/>
          <w:lang w:val="en-GB" w:eastAsia="en-GB"/>
        </w:rPr>
        <w:t xml:space="preserve">Across the world </w:t>
      </w:r>
      <w:r w:rsidR="009E4254">
        <w:rPr>
          <w:sz w:val="22"/>
          <w:szCs w:val="22"/>
          <w:lang w:val="en-GB" w:eastAsia="en-GB"/>
        </w:rPr>
        <w:t>(</w:t>
      </w:r>
      <w:r w:rsidR="000A67FB">
        <w:rPr>
          <w:sz w:val="22"/>
          <w:szCs w:val="22"/>
          <w:lang w:val="en-GB" w:eastAsia="en-GB"/>
        </w:rPr>
        <w:t>other than</w:t>
      </w:r>
      <w:r w:rsidR="00FB221E" w:rsidRPr="00433C05">
        <w:rPr>
          <w:sz w:val="22"/>
          <w:szCs w:val="22"/>
          <w:lang w:val="en-GB" w:eastAsia="en-GB"/>
        </w:rPr>
        <w:t xml:space="preserve"> in China</w:t>
      </w:r>
      <w:r w:rsidR="009E4254">
        <w:rPr>
          <w:sz w:val="22"/>
          <w:szCs w:val="22"/>
          <w:lang w:val="en-GB" w:eastAsia="en-GB"/>
        </w:rPr>
        <w:t>)</w:t>
      </w:r>
      <w:r w:rsidR="00FB221E" w:rsidRPr="00433C05">
        <w:rPr>
          <w:sz w:val="22"/>
          <w:szCs w:val="22"/>
          <w:lang w:val="en-GB" w:eastAsia="en-GB"/>
        </w:rPr>
        <w:t>,</w:t>
      </w:r>
      <w:r w:rsidR="00FB221E" w:rsidRPr="00433C05">
        <w:rPr>
          <w:sz w:val="22"/>
          <w:szCs w:val="22"/>
          <w:vertAlign w:val="superscript"/>
          <w:lang w:val="en-GB" w:eastAsia="en-GB"/>
        </w:rPr>
        <w:endnoteReference w:id="21"/>
      </w:r>
      <w:r w:rsidR="000A67FB">
        <w:rPr>
          <w:sz w:val="22"/>
          <w:szCs w:val="22"/>
          <w:lang w:val="en-GB" w:eastAsia="en-GB"/>
        </w:rPr>
        <w:t xml:space="preserve"> most app downloads came</w:t>
      </w:r>
      <w:r w:rsidR="00A36B54" w:rsidRPr="00433C05">
        <w:rPr>
          <w:sz w:val="22"/>
          <w:szCs w:val="22"/>
          <w:lang w:val="en-GB" w:eastAsia="en-GB"/>
        </w:rPr>
        <w:t xml:space="preserve"> from Google Play (</w:t>
      </w:r>
      <w:r w:rsidR="000A67FB">
        <w:rPr>
          <w:sz w:val="22"/>
          <w:szCs w:val="22"/>
          <w:lang w:val="en-GB" w:eastAsia="en-GB"/>
        </w:rPr>
        <w:t xml:space="preserve">see </w:t>
      </w:r>
      <w:r w:rsidR="00A36B54" w:rsidRPr="00433C05">
        <w:rPr>
          <w:sz w:val="22"/>
          <w:szCs w:val="22"/>
          <w:lang w:val="en-GB" w:eastAsia="en-GB"/>
        </w:rPr>
        <w:t>Exhibit 2).</w:t>
      </w:r>
      <w:r w:rsidR="00FB221E" w:rsidRPr="00433C05">
        <w:rPr>
          <w:sz w:val="22"/>
          <w:szCs w:val="22"/>
          <w:lang w:val="en-GB" w:eastAsia="en-GB"/>
        </w:rPr>
        <w:t xml:space="preserve"> </w:t>
      </w:r>
      <w:r w:rsidR="009E4254">
        <w:rPr>
          <w:sz w:val="22"/>
          <w:szCs w:val="22"/>
          <w:lang w:val="en-GB" w:eastAsia="en-GB"/>
        </w:rPr>
        <w:t>From</w:t>
      </w:r>
      <w:r w:rsidR="009E4254" w:rsidRPr="00433C05">
        <w:rPr>
          <w:sz w:val="22"/>
          <w:szCs w:val="22"/>
          <w:lang w:val="en-GB" w:eastAsia="en-GB"/>
        </w:rPr>
        <w:t xml:space="preserve"> 2016</w:t>
      </w:r>
      <w:r w:rsidR="009E4254">
        <w:rPr>
          <w:sz w:val="22"/>
          <w:szCs w:val="22"/>
          <w:lang w:val="en-GB" w:eastAsia="en-GB"/>
        </w:rPr>
        <w:t xml:space="preserve"> to 20</w:t>
      </w:r>
      <w:r w:rsidR="009E4254" w:rsidRPr="00433C05">
        <w:rPr>
          <w:sz w:val="22"/>
          <w:szCs w:val="22"/>
          <w:lang w:val="en-GB" w:eastAsia="en-GB"/>
        </w:rPr>
        <w:t>19</w:t>
      </w:r>
      <w:r w:rsidR="009E4254">
        <w:rPr>
          <w:sz w:val="22"/>
          <w:szCs w:val="22"/>
          <w:lang w:val="en-GB" w:eastAsia="en-GB"/>
        </w:rPr>
        <w:t>,</w:t>
      </w:r>
      <w:r w:rsidR="00FB221E" w:rsidRPr="00433C05">
        <w:rPr>
          <w:sz w:val="22"/>
          <w:szCs w:val="22"/>
          <w:lang w:val="en-GB" w:eastAsia="en-GB"/>
        </w:rPr>
        <w:t xml:space="preserve"> </w:t>
      </w:r>
      <w:r w:rsidR="00A36B54" w:rsidRPr="00433C05">
        <w:rPr>
          <w:sz w:val="22"/>
          <w:szCs w:val="22"/>
          <w:lang w:val="en-GB" w:eastAsia="en-GB"/>
        </w:rPr>
        <w:t xml:space="preserve">Google Play </w:t>
      </w:r>
      <w:r w:rsidR="000A67FB">
        <w:rPr>
          <w:sz w:val="22"/>
          <w:szCs w:val="22"/>
          <w:lang w:val="en-GB" w:eastAsia="en-GB"/>
        </w:rPr>
        <w:t>app downloads</w:t>
      </w:r>
      <w:r w:rsidR="00A36B54" w:rsidRPr="00433C05">
        <w:rPr>
          <w:sz w:val="22"/>
          <w:szCs w:val="22"/>
          <w:lang w:val="en-GB" w:eastAsia="en-GB"/>
        </w:rPr>
        <w:t xml:space="preserve"> increased </w:t>
      </w:r>
      <w:r w:rsidR="009E4254">
        <w:rPr>
          <w:sz w:val="22"/>
          <w:szCs w:val="22"/>
          <w:lang w:val="en-GB" w:eastAsia="en-GB"/>
        </w:rPr>
        <w:t xml:space="preserve">at a </w:t>
      </w:r>
      <w:r w:rsidR="00A36B54" w:rsidRPr="00433C05">
        <w:rPr>
          <w:sz w:val="22"/>
          <w:szCs w:val="22"/>
          <w:lang w:val="en-GB" w:eastAsia="en-GB"/>
        </w:rPr>
        <w:t xml:space="preserve">significantly </w:t>
      </w:r>
      <w:r w:rsidR="009E4254">
        <w:rPr>
          <w:sz w:val="22"/>
          <w:szCs w:val="22"/>
          <w:lang w:val="en-GB" w:eastAsia="en-GB"/>
        </w:rPr>
        <w:t>higher rate than</w:t>
      </w:r>
      <w:r w:rsidR="00A36B54" w:rsidRPr="00433C05">
        <w:rPr>
          <w:sz w:val="22"/>
          <w:szCs w:val="22"/>
          <w:lang w:val="en-GB" w:eastAsia="en-GB"/>
        </w:rPr>
        <w:t xml:space="preserve"> iOS </w:t>
      </w:r>
      <w:r w:rsidR="000A67FB">
        <w:rPr>
          <w:sz w:val="22"/>
          <w:szCs w:val="22"/>
          <w:lang w:val="en-GB" w:eastAsia="en-GB"/>
        </w:rPr>
        <w:t xml:space="preserve">app </w:t>
      </w:r>
      <w:r w:rsidR="00A36B54" w:rsidRPr="00433C05">
        <w:rPr>
          <w:sz w:val="22"/>
          <w:szCs w:val="22"/>
          <w:lang w:val="en-GB" w:eastAsia="en-GB"/>
        </w:rPr>
        <w:t>downloads</w:t>
      </w:r>
      <w:r w:rsidR="000A67FB">
        <w:rPr>
          <w:sz w:val="22"/>
          <w:szCs w:val="22"/>
          <w:lang w:val="en-GB" w:eastAsia="en-GB"/>
        </w:rPr>
        <w:t>,</w:t>
      </w:r>
      <w:r w:rsidR="00A36B54" w:rsidRPr="00433C05">
        <w:rPr>
          <w:sz w:val="22"/>
          <w:szCs w:val="22"/>
          <w:vertAlign w:val="superscript"/>
          <w:lang w:val="en-GB" w:eastAsia="en-GB"/>
        </w:rPr>
        <w:endnoteReference w:id="22"/>
      </w:r>
      <w:r w:rsidR="000A67FB">
        <w:rPr>
          <w:sz w:val="22"/>
          <w:szCs w:val="22"/>
          <w:lang w:val="en-GB" w:eastAsia="en-GB"/>
        </w:rPr>
        <w:t xml:space="preserve"> </w:t>
      </w:r>
      <w:r w:rsidR="009E4254">
        <w:rPr>
          <w:sz w:val="22"/>
          <w:szCs w:val="22"/>
          <w:lang w:val="en-GB" w:eastAsia="en-GB"/>
        </w:rPr>
        <w:t>es</w:t>
      </w:r>
      <w:r w:rsidR="000A67FB">
        <w:rPr>
          <w:sz w:val="22"/>
          <w:szCs w:val="22"/>
          <w:lang w:val="en-GB" w:eastAsia="en-GB"/>
        </w:rPr>
        <w:t>pecially for</w:t>
      </w:r>
      <w:r w:rsidR="00A36B54" w:rsidRPr="00433C05">
        <w:rPr>
          <w:sz w:val="22"/>
          <w:szCs w:val="22"/>
          <w:lang w:val="en-GB" w:eastAsia="en-GB"/>
        </w:rPr>
        <w:t xml:space="preserve"> </w:t>
      </w:r>
      <w:r w:rsidR="00FB221E" w:rsidRPr="00433C05">
        <w:rPr>
          <w:sz w:val="22"/>
          <w:szCs w:val="22"/>
          <w:lang w:val="en-GB" w:eastAsia="en-GB"/>
        </w:rPr>
        <w:t>v</w:t>
      </w:r>
      <w:r w:rsidR="00A36B54" w:rsidRPr="00433C05">
        <w:rPr>
          <w:sz w:val="22"/>
          <w:szCs w:val="22"/>
          <w:lang w:val="en-GB" w:eastAsia="en-GB"/>
        </w:rPr>
        <w:t xml:space="preserve">ideos and </w:t>
      </w:r>
      <w:r w:rsidR="00FB221E" w:rsidRPr="00433C05">
        <w:rPr>
          <w:sz w:val="22"/>
          <w:szCs w:val="22"/>
          <w:lang w:val="en-GB" w:eastAsia="en-GB"/>
        </w:rPr>
        <w:t>g</w:t>
      </w:r>
      <w:r w:rsidR="00A36B54" w:rsidRPr="00433C05">
        <w:rPr>
          <w:sz w:val="22"/>
          <w:szCs w:val="22"/>
          <w:lang w:val="en-GB" w:eastAsia="en-GB"/>
        </w:rPr>
        <w:t xml:space="preserve">ames, </w:t>
      </w:r>
      <w:r w:rsidR="000A67FB">
        <w:rPr>
          <w:sz w:val="22"/>
          <w:szCs w:val="22"/>
          <w:lang w:val="en-GB" w:eastAsia="en-GB"/>
        </w:rPr>
        <w:t>although</w:t>
      </w:r>
      <w:r w:rsidR="00202F83">
        <w:rPr>
          <w:sz w:val="22"/>
          <w:szCs w:val="22"/>
          <w:lang w:val="en-GB" w:eastAsia="en-GB"/>
        </w:rPr>
        <w:t xml:space="preserve"> the rate for</w:t>
      </w:r>
      <w:r w:rsidR="00A36B54" w:rsidRPr="00433C05">
        <w:rPr>
          <w:sz w:val="22"/>
          <w:szCs w:val="22"/>
          <w:lang w:val="en-GB" w:eastAsia="en-GB"/>
        </w:rPr>
        <w:t xml:space="preserve"> social </w:t>
      </w:r>
      <w:r w:rsidR="000A67FB">
        <w:rPr>
          <w:sz w:val="22"/>
          <w:szCs w:val="22"/>
          <w:lang w:val="en-GB" w:eastAsia="en-GB"/>
        </w:rPr>
        <w:t>media</w:t>
      </w:r>
      <w:r w:rsidR="00A36B54" w:rsidRPr="00433C05">
        <w:rPr>
          <w:sz w:val="22"/>
          <w:szCs w:val="22"/>
          <w:lang w:val="en-GB" w:eastAsia="en-GB"/>
        </w:rPr>
        <w:t xml:space="preserve"> and entertainment apps also increase</w:t>
      </w:r>
      <w:r w:rsidR="00202F83">
        <w:rPr>
          <w:sz w:val="22"/>
          <w:szCs w:val="22"/>
          <w:lang w:val="en-GB" w:eastAsia="en-GB"/>
        </w:rPr>
        <w:t>d considerably</w:t>
      </w:r>
      <w:r w:rsidR="00A36B54" w:rsidRPr="00433C05">
        <w:rPr>
          <w:sz w:val="22"/>
          <w:szCs w:val="22"/>
          <w:lang w:val="en-GB" w:eastAsia="en-GB"/>
        </w:rPr>
        <w:t xml:space="preserve"> (</w:t>
      </w:r>
      <w:r w:rsidR="000A67FB">
        <w:rPr>
          <w:sz w:val="22"/>
          <w:szCs w:val="22"/>
          <w:lang w:val="en-GB" w:eastAsia="en-GB"/>
        </w:rPr>
        <w:t xml:space="preserve">see </w:t>
      </w:r>
      <w:r w:rsidR="00A36B54" w:rsidRPr="00433C05">
        <w:rPr>
          <w:sz w:val="22"/>
          <w:szCs w:val="22"/>
          <w:lang w:val="en-GB" w:eastAsia="en-GB"/>
        </w:rPr>
        <w:t>Exhibit 3).</w:t>
      </w:r>
    </w:p>
    <w:p w14:paraId="5A130DE8" w14:textId="77777777" w:rsidR="00792028" w:rsidRDefault="00792028" w:rsidP="00A36B54">
      <w:pPr>
        <w:jc w:val="both"/>
        <w:rPr>
          <w:sz w:val="22"/>
          <w:szCs w:val="22"/>
          <w:lang w:val="en-GB" w:eastAsia="en-GB"/>
        </w:rPr>
      </w:pPr>
    </w:p>
    <w:p w14:paraId="791B9C40" w14:textId="1FE0EB60" w:rsidR="00A36B54" w:rsidRPr="00433C05" w:rsidRDefault="00A36B54" w:rsidP="00A36B54">
      <w:pPr>
        <w:jc w:val="both"/>
        <w:rPr>
          <w:sz w:val="22"/>
          <w:szCs w:val="22"/>
          <w:lang w:val="en-GB" w:eastAsia="en-GB"/>
        </w:rPr>
      </w:pPr>
      <w:r w:rsidRPr="00433C05">
        <w:rPr>
          <w:sz w:val="22"/>
          <w:szCs w:val="22"/>
          <w:lang w:val="en-GB" w:eastAsia="en-GB"/>
        </w:rPr>
        <w:t>App use a</w:t>
      </w:r>
      <w:r w:rsidR="00792028">
        <w:rPr>
          <w:sz w:val="22"/>
          <w:szCs w:val="22"/>
          <w:lang w:val="en-GB" w:eastAsia="en-GB"/>
        </w:rPr>
        <w:t>round the world</w:t>
      </w:r>
      <w:r w:rsidRPr="00433C05">
        <w:rPr>
          <w:sz w:val="22"/>
          <w:szCs w:val="22"/>
          <w:lang w:val="en-GB" w:eastAsia="en-GB"/>
        </w:rPr>
        <w:t xml:space="preserve"> also </w:t>
      </w:r>
      <w:r w:rsidR="00792028">
        <w:rPr>
          <w:sz w:val="22"/>
          <w:szCs w:val="22"/>
          <w:lang w:val="en-GB" w:eastAsia="en-GB"/>
        </w:rPr>
        <w:t>increased</w:t>
      </w:r>
      <w:r w:rsidRPr="00433C05">
        <w:rPr>
          <w:sz w:val="22"/>
          <w:szCs w:val="22"/>
          <w:lang w:val="en-GB" w:eastAsia="en-GB"/>
        </w:rPr>
        <w:t xml:space="preserve"> significantly</w:t>
      </w:r>
      <w:r w:rsidR="00792028">
        <w:rPr>
          <w:sz w:val="22"/>
          <w:szCs w:val="22"/>
          <w:lang w:val="en-GB" w:eastAsia="en-GB"/>
        </w:rPr>
        <w:t>. From 2017 to 2019</w:t>
      </w:r>
      <w:r w:rsidRPr="00433C05">
        <w:rPr>
          <w:sz w:val="22"/>
          <w:szCs w:val="22"/>
          <w:lang w:val="en-GB" w:eastAsia="en-GB"/>
        </w:rPr>
        <w:t>, th</w:t>
      </w:r>
      <w:r w:rsidR="00792028">
        <w:rPr>
          <w:sz w:val="22"/>
          <w:szCs w:val="22"/>
          <w:lang w:val="en-GB" w:eastAsia="en-GB"/>
        </w:rPr>
        <w:t>e</w:t>
      </w:r>
      <w:r w:rsidRPr="00433C05">
        <w:rPr>
          <w:sz w:val="22"/>
          <w:szCs w:val="22"/>
          <w:lang w:val="en-GB" w:eastAsia="en-GB"/>
        </w:rPr>
        <w:t xml:space="preserve"> average </w:t>
      </w:r>
      <w:r w:rsidR="00792028">
        <w:rPr>
          <w:sz w:val="22"/>
          <w:szCs w:val="22"/>
          <w:lang w:val="en-GB" w:eastAsia="en-GB"/>
        </w:rPr>
        <w:t>time spent using</w:t>
      </w:r>
      <w:r w:rsidRPr="00433C05">
        <w:rPr>
          <w:sz w:val="22"/>
          <w:szCs w:val="22"/>
          <w:lang w:val="en-GB" w:eastAsia="en-GB"/>
        </w:rPr>
        <w:t xml:space="preserve"> app</w:t>
      </w:r>
      <w:r w:rsidR="00792028">
        <w:rPr>
          <w:sz w:val="22"/>
          <w:szCs w:val="22"/>
          <w:lang w:val="en-GB" w:eastAsia="en-GB"/>
        </w:rPr>
        <w:t>s</w:t>
      </w:r>
      <w:r w:rsidRPr="00433C05">
        <w:rPr>
          <w:sz w:val="22"/>
          <w:szCs w:val="22"/>
          <w:lang w:val="en-GB" w:eastAsia="en-GB"/>
        </w:rPr>
        <w:t xml:space="preserve"> on Android devices </w:t>
      </w:r>
      <w:r w:rsidR="00202F83">
        <w:rPr>
          <w:sz w:val="22"/>
          <w:szCs w:val="22"/>
          <w:lang w:val="en-GB" w:eastAsia="en-GB"/>
        </w:rPr>
        <w:t xml:space="preserve">globally </w:t>
      </w:r>
      <w:r w:rsidRPr="00433C05">
        <w:rPr>
          <w:sz w:val="22"/>
          <w:szCs w:val="22"/>
          <w:lang w:val="en-GB" w:eastAsia="en-GB"/>
        </w:rPr>
        <w:t>increas</w:t>
      </w:r>
      <w:r w:rsidR="00792028">
        <w:rPr>
          <w:sz w:val="22"/>
          <w:szCs w:val="22"/>
          <w:lang w:val="en-GB" w:eastAsia="en-GB"/>
        </w:rPr>
        <w:t>ed</w:t>
      </w:r>
      <w:r w:rsidRPr="00433C05">
        <w:rPr>
          <w:sz w:val="22"/>
          <w:szCs w:val="22"/>
          <w:lang w:val="en-GB" w:eastAsia="en-GB"/>
        </w:rPr>
        <w:t xml:space="preserve"> by a</w:t>
      </w:r>
      <w:r w:rsidR="00792028">
        <w:rPr>
          <w:sz w:val="22"/>
          <w:szCs w:val="22"/>
          <w:lang w:val="en-GB" w:eastAsia="en-GB"/>
        </w:rPr>
        <w:t>pproximately</w:t>
      </w:r>
      <w:r w:rsidRPr="00433C05">
        <w:rPr>
          <w:sz w:val="22"/>
          <w:szCs w:val="22"/>
          <w:lang w:val="en-GB" w:eastAsia="en-GB"/>
        </w:rPr>
        <w:t xml:space="preserve"> 35 per cent to 3 hours 40 minutes. In </w:t>
      </w:r>
      <w:r w:rsidR="00792028">
        <w:rPr>
          <w:sz w:val="22"/>
          <w:szCs w:val="22"/>
          <w:lang w:val="en-GB" w:eastAsia="en-GB"/>
        </w:rPr>
        <w:t>the first half of</w:t>
      </w:r>
      <w:r w:rsidRPr="00433C05">
        <w:rPr>
          <w:sz w:val="22"/>
          <w:szCs w:val="22"/>
          <w:lang w:val="en-GB" w:eastAsia="en-GB"/>
        </w:rPr>
        <w:t xml:space="preserve"> 2020, </w:t>
      </w:r>
      <w:r w:rsidR="00792028">
        <w:rPr>
          <w:sz w:val="22"/>
          <w:szCs w:val="22"/>
          <w:lang w:val="en-GB" w:eastAsia="en-GB"/>
        </w:rPr>
        <w:t xml:space="preserve">usage time on </w:t>
      </w:r>
      <w:r w:rsidRPr="00433C05">
        <w:rPr>
          <w:sz w:val="22"/>
          <w:szCs w:val="22"/>
          <w:lang w:val="en-GB" w:eastAsia="en-GB"/>
        </w:rPr>
        <w:t xml:space="preserve">Android devices </w:t>
      </w:r>
      <w:r w:rsidR="00792028">
        <w:rPr>
          <w:sz w:val="22"/>
          <w:szCs w:val="22"/>
          <w:lang w:val="en-GB" w:eastAsia="en-GB"/>
        </w:rPr>
        <w:t xml:space="preserve">was </w:t>
      </w:r>
      <w:r w:rsidRPr="00433C05">
        <w:rPr>
          <w:sz w:val="22"/>
          <w:szCs w:val="22"/>
          <w:lang w:val="en-GB" w:eastAsia="en-GB"/>
        </w:rPr>
        <w:t>registered a</w:t>
      </w:r>
      <w:r w:rsidR="00792028">
        <w:rPr>
          <w:sz w:val="22"/>
          <w:szCs w:val="22"/>
          <w:lang w:val="en-GB" w:eastAsia="en-GB"/>
        </w:rPr>
        <w:t>t a</w:t>
      </w:r>
      <w:r w:rsidRPr="00433C05">
        <w:rPr>
          <w:sz w:val="22"/>
          <w:szCs w:val="22"/>
          <w:lang w:val="en-GB" w:eastAsia="en-GB"/>
        </w:rPr>
        <w:t xml:space="preserve"> total of 1.6 trillion hours. India </w:t>
      </w:r>
      <w:r w:rsidR="00792028">
        <w:rPr>
          <w:sz w:val="22"/>
          <w:szCs w:val="22"/>
          <w:lang w:val="en-GB" w:eastAsia="en-GB"/>
        </w:rPr>
        <w:t>experienced similar increases in app use</w:t>
      </w:r>
      <w:r w:rsidR="00202F83">
        <w:rPr>
          <w:sz w:val="22"/>
          <w:szCs w:val="22"/>
          <w:lang w:val="en-GB" w:eastAsia="en-GB"/>
        </w:rPr>
        <w:t>. Its d</w:t>
      </w:r>
      <w:r w:rsidRPr="00433C05">
        <w:rPr>
          <w:sz w:val="22"/>
          <w:szCs w:val="22"/>
          <w:lang w:val="en-GB" w:eastAsia="en-GB"/>
        </w:rPr>
        <w:t xml:space="preserve">aily mobile </w:t>
      </w:r>
      <w:r w:rsidR="00202F83">
        <w:rPr>
          <w:sz w:val="22"/>
          <w:szCs w:val="22"/>
          <w:lang w:val="en-GB" w:eastAsia="en-GB"/>
        </w:rPr>
        <w:t xml:space="preserve">usage </w:t>
      </w:r>
      <w:r w:rsidRPr="00433C05">
        <w:rPr>
          <w:sz w:val="22"/>
          <w:szCs w:val="22"/>
          <w:lang w:val="en-GB" w:eastAsia="en-GB"/>
        </w:rPr>
        <w:t xml:space="preserve">hours </w:t>
      </w:r>
      <w:r w:rsidR="00202F83">
        <w:rPr>
          <w:sz w:val="22"/>
          <w:szCs w:val="22"/>
          <w:lang w:val="en-GB" w:eastAsia="en-GB"/>
        </w:rPr>
        <w:t>grew by</w:t>
      </w:r>
      <w:r w:rsidR="00792028">
        <w:rPr>
          <w:sz w:val="22"/>
          <w:szCs w:val="22"/>
          <w:lang w:val="en-GB" w:eastAsia="en-GB"/>
        </w:rPr>
        <w:t xml:space="preserve"> 25 per cent from</w:t>
      </w:r>
      <w:r w:rsidRPr="00433C05">
        <w:rPr>
          <w:sz w:val="22"/>
          <w:szCs w:val="22"/>
          <w:lang w:val="en-GB" w:eastAsia="en-GB"/>
        </w:rPr>
        <w:t xml:space="preserve"> 2017 </w:t>
      </w:r>
      <w:r w:rsidR="00792028">
        <w:rPr>
          <w:sz w:val="22"/>
          <w:szCs w:val="22"/>
          <w:lang w:val="en-GB" w:eastAsia="en-GB"/>
        </w:rPr>
        <w:t>to</w:t>
      </w:r>
      <w:r w:rsidRPr="00433C05">
        <w:rPr>
          <w:sz w:val="22"/>
          <w:szCs w:val="22"/>
          <w:lang w:val="en-GB" w:eastAsia="en-GB"/>
        </w:rPr>
        <w:t xml:space="preserve"> 2019 and </w:t>
      </w:r>
      <w:r w:rsidR="00202F83">
        <w:rPr>
          <w:sz w:val="22"/>
          <w:szCs w:val="22"/>
          <w:lang w:val="en-GB" w:eastAsia="en-GB"/>
        </w:rPr>
        <w:t xml:space="preserve">by </w:t>
      </w:r>
      <w:r w:rsidRPr="00433C05">
        <w:rPr>
          <w:sz w:val="22"/>
          <w:szCs w:val="22"/>
          <w:lang w:val="en-GB" w:eastAsia="en-GB"/>
        </w:rPr>
        <w:t xml:space="preserve">37 per cent between 2019 and </w:t>
      </w:r>
      <w:r w:rsidR="00792028">
        <w:rPr>
          <w:sz w:val="22"/>
          <w:szCs w:val="22"/>
          <w:lang w:val="en-GB" w:eastAsia="en-GB"/>
        </w:rPr>
        <w:t>the second quarter of</w:t>
      </w:r>
      <w:r w:rsidRPr="00433C05">
        <w:rPr>
          <w:sz w:val="22"/>
          <w:szCs w:val="22"/>
          <w:lang w:val="en-GB" w:eastAsia="en-GB"/>
        </w:rPr>
        <w:t xml:space="preserve"> 2020. </w:t>
      </w:r>
      <w:r w:rsidR="00792028">
        <w:rPr>
          <w:sz w:val="22"/>
          <w:szCs w:val="22"/>
          <w:lang w:val="en-GB" w:eastAsia="en-GB"/>
        </w:rPr>
        <w:t>Only</w:t>
      </w:r>
      <w:r w:rsidR="00792028" w:rsidRPr="00433C05">
        <w:rPr>
          <w:sz w:val="22"/>
          <w:szCs w:val="22"/>
          <w:lang w:val="en-GB" w:eastAsia="en-GB"/>
        </w:rPr>
        <w:t xml:space="preserve"> Canada</w:t>
      </w:r>
      <w:r w:rsidR="00792028">
        <w:rPr>
          <w:sz w:val="22"/>
          <w:szCs w:val="22"/>
          <w:lang w:val="en-GB" w:eastAsia="en-GB"/>
        </w:rPr>
        <w:t xml:space="preserve"> saw higher growth during this time.</w:t>
      </w:r>
      <w:r w:rsidRPr="00433C05">
        <w:rPr>
          <w:sz w:val="22"/>
          <w:szCs w:val="22"/>
          <w:vertAlign w:val="superscript"/>
          <w:lang w:val="en-GB" w:eastAsia="en-GB"/>
        </w:rPr>
        <w:endnoteReference w:id="23"/>
      </w:r>
    </w:p>
    <w:p w14:paraId="37165B7F" w14:textId="2809588C" w:rsidR="00A36B54" w:rsidRDefault="00A36B54" w:rsidP="00A36B54">
      <w:pPr>
        <w:jc w:val="both"/>
        <w:rPr>
          <w:rFonts w:ascii="Arial" w:hAnsi="Arial" w:cs="Arial"/>
          <w:i/>
          <w:iCs/>
          <w:lang w:val="en-GB" w:eastAsia="en-GB"/>
        </w:rPr>
      </w:pPr>
    </w:p>
    <w:p w14:paraId="0996AF7B" w14:textId="77777777" w:rsidR="00792028" w:rsidRPr="00433C05" w:rsidRDefault="00792028" w:rsidP="00A36B54">
      <w:pPr>
        <w:jc w:val="both"/>
        <w:rPr>
          <w:rFonts w:ascii="Arial" w:hAnsi="Arial" w:cs="Arial"/>
          <w:i/>
          <w:iCs/>
          <w:lang w:val="en-GB" w:eastAsia="en-GB"/>
        </w:rPr>
      </w:pPr>
    </w:p>
    <w:p w14:paraId="29404EC5" w14:textId="77777777" w:rsidR="00A36B54" w:rsidRPr="00433C05" w:rsidRDefault="00A36B54" w:rsidP="00A36B54">
      <w:pPr>
        <w:pStyle w:val="Casehead3"/>
        <w:rPr>
          <w:lang w:val="en-GB" w:eastAsia="en-GB"/>
        </w:rPr>
      </w:pPr>
      <w:r w:rsidRPr="00433C05">
        <w:rPr>
          <w:lang w:val="en-GB" w:eastAsia="en-GB"/>
        </w:rPr>
        <w:t>App Revenues</w:t>
      </w:r>
    </w:p>
    <w:p w14:paraId="58DF3D79" w14:textId="77777777" w:rsidR="00A36B54" w:rsidRPr="00433C05" w:rsidRDefault="00A36B54" w:rsidP="00A36B54">
      <w:pPr>
        <w:jc w:val="both"/>
        <w:rPr>
          <w:sz w:val="22"/>
          <w:szCs w:val="22"/>
          <w:lang w:val="en-GB" w:eastAsia="en-GB"/>
        </w:rPr>
      </w:pPr>
    </w:p>
    <w:p w14:paraId="231A9E1B" w14:textId="7F9495D7" w:rsidR="00A36B54" w:rsidRPr="00433C05" w:rsidRDefault="00502499" w:rsidP="00A36B54">
      <w:pPr>
        <w:jc w:val="both"/>
        <w:rPr>
          <w:sz w:val="22"/>
          <w:szCs w:val="22"/>
          <w:lang w:val="en-GB" w:eastAsia="en-GB"/>
        </w:rPr>
      </w:pPr>
      <w:r>
        <w:rPr>
          <w:sz w:val="22"/>
          <w:szCs w:val="22"/>
          <w:lang w:val="en-GB" w:eastAsia="en-GB"/>
        </w:rPr>
        <w:t xml:space="preserve">During the period </w:t>
      </w:r>
      <w:r w:rsidR="00202F83">
        <w:rPr>
          <w:sz w:val="22"/>
          <w:szCs w:val="22"/>
          <w:lang w:val="en-GB" w:eastAsia="en-GB"/>
        </w:rPr>
        <w:t xml:space="preserve">of </w:t>
      </w:r>
      <w:r>
        <w:rPr>
          <w:sz w:val="22"/>
          <w:szCs w:val="22"/>
          <w:lang w:val="en-GB" w:eastAsia="en-GB"/>
        </w:rPr>
        <w:t>2017</w:t>
      </w:r>
      <w:r>
        <w:rPr>
          <w:rFonts w:ascii="Arial" w:hAnsi="Arial" w:cs="Arial"/>
          <w:sz w:val="22"/>
          <w:szCs w:val="22"/>
          <w:lang w:val="en-GB" w:eastAsia="en-GB"/>
        </w:rPr>
        <w:t>–</w:t>
      </w:r>
      <w:r>
        <w:rPr>
          <w:sz w:val="22"/>
          <w:szCs w:val="22"/>
          <w:lang w:val="en-GB" w:eastAsia="en-GB"/>
        </w:rPr>
        <w:t>18, a</w:t>
      </w:r>
      <w:r w:rsidR="00A36B54" w:rsidRPr="00433C05">
        <w:rPr>
          <w:sz w:val="22"/>
          <w:szCs w:val="22"/>
          <w:lang w:val="en-GB" w:eastAsia="en-GB"/>
        </w:rPr>
        <w:t xml:space="preserve">pp revenues </w:t>
      </w:r>
      <w:r>
        <w:rPr>
          <w:sz w:val="22"/>
          <w:szCs w:val="22"/>
          <w:lang w:val="en-GB" w:eastAsia="en-GB"/>
        </w:rPr>
        <w:t xml:space="preserve">grew steadily </w:t>
      </w:r>
      <w:r w:rsidR="00A36B54" w:rsidRPr="00433C05">
        <w:rPr>
          <w:sz w:val="22"/>
          <w:szCs w:val="22"/>
          <w:lang w:val="en-GB" w:eastAsia="en-GB"/>
        </w:rPr>
        <w:t>for both Google and Apple (</w:t>
      </w:r>
      <w:r>
        <w:rPr>
          <w:sz w:val="22"/>
          <w:szCs w:val="22"/>
          <w:lang w:val="en-GB" w:eastAsia="en-GB"/>
        </w:rPr>
        <w:t xml:space="preserve">see </w:t>
      </w:r>
      <w:r w:rsidR="00A36B54" w:rsidRPr="00433C05">
        <w:rPr>
          <w:sz w:val="22"/>
          <w:szCs w:val="22"/>
          <w:lang w:val="en-GB" w:eastAsia="en-GB"/>
        </w:rPr>
        <w:t xml:space="preserve">Exhibit 4). Industry analysts projected </w:t>
      </w:r>
      <w:r>
        <w:rPr>
          <w:sz w:val="22"/>
          <w:szCs w:val="22"/>
          <w:lang w:val="en-GB" w:eastAsia="en-GB"/>
        </w:rPr>
        <w:t>combined</w:t>
      </w:r>
      <w:r w:rsidR="00A36B54" w:rsidRPr="00433C05">
        <w:rPr>
          <w:sz w:val="22"/>
          <w:szCs w:val="22"/>
          <w:lang w:val="en-GB" w:eastAsia="en-GB"/>
        </w:rPr>
        <w:t xml:space="preserve"> Google and Apple </w:t>
      </w:r>
      <w:r>
        <w:rPr>
          <w:sz w:val="22"/>
          <w:szCs w:val="22"/>
          <w:lang w:val="en-GB" w:eastAsia="en-GB"/>
        </w:rPr>
        <w:t xml:space="preserve">app revenues </w:t>
      </w:r>
      <w:r w:rsidR="00A36B54" w:rsidRPr="00433C05">
        <w:rPr>
          <w:sz w:val="22"/>
          <w:szCs w:val="22"/>
          <w:lang w:val="en-GB" w:eastAsia="en-GB"/>
        </w:rPr>
        <w:t xml:space="preserve">to reach </w:t>
      </w:r>
      <w:r>
        <w:rPr>
          <w:sz w:val="22"/>
          <w:szCs w:val="22"/>
          <w:lang w:val="en-GB" w:eastAsia="en-GB"/>
        </w:rPr>
        <w:t>$</w:t>
      </w:r>
      <w:r w:rsidR="00A36B54" w:rsidRPr="00433C05">
        <w:rPr>
          <w:sz w:val="22"/>
          <w:szCs w:val="22"/>
          <w:lang w:val="en-GB" w:eastAsia="en-GB"/>
        </w:rPr>
        <w:t xml:space="preserve">156 billion by 2023, </w:t>
      </w:r>
      <w:r>
        <w:rPr>
          <w:sz w:val="22"/>
          <w:szCs w:val="22"/>
          <w:lang w:val="en-GB" w:eastAsia="en-GB"/>
        </w:rPr>
        <w:t xml:space="preserve">based </w:t>
      </w:r>
      <w:r w:rsidR="00A36B54" w:rsidRPr="00433C05">
        <w:rPr>
          <w:sz w:val="22"/>
          <w:szCs w:val="22"/>
          <w:lang w:val="en-GB" w:eastAsia="en-GB"/>
        </w:rPr>
        <w:t xml:space="preserve">on </w:t>
      </w:r>
      <w:r w:rsidR="00202F83">
        <w:rPr>
          <w:sz w:val="22"/>
          <w:szCs w:val="22"/>
          <w:lang w:val="en-GB" w:eastAsia="en-GB"/>
        </w:rPr>
        <w:t>an</w:t>
      </w:r>
      <w:r w:rsidR="00A36B54" w:rsidRPr="00433C05">
        <w:rPr>
          <w:sz w:val="22"/>
          <w:szCs w:val="22"/>
          <w:lang w:val="en-GB" w:eastAsia="en-GB"/>
        </w:rPr>
        <w:t xml:space="preserve"> assum</w:t>
      </w:r>
      <w:r w:rsidR="00202F83">
        <w:rPr>
          <w:sz w:val="22"/>
          <w:szCs w:val="22"/>
          <w:lang w:val="en-GB" w:eastAsia="en-GB"/>
        </w:rPr>
        <w:t>ed</w:t>
      </w:r>
      <w:r w:rsidR="00A36B54" w:rsidRPr="00433C05">
        <w:rPr>
          <w:sz w:val="22"/>
          <w:szCs w:val="22"/>
          <w:lang w:val="en-GB" w:eastAsia="en-GB"/>
        </w:rPr>
        <w:t xml:space="preserve"> </w:t>
      </w:r>
      <w:r>
        <w:rPr>
          <w:sz w:val="22"/>
          <w:szCs w:val="22"/>
          <w:lang w:val="en-GB" w:eastAsia="en-GB"/>
        </w:rPr>
        <w:t>compound annual growth rate</w:t>
      </w:r>
      <w:r w:rsidR="00A36B54" w:rsidRPr="00433C05">
        <w:rPr>
          <w:sz w:val="22"/>
          <w:szCs w:val="22"/>
          <w:lang w:val="en-GB" w:eastAsia="en-GB"/>
        </w:rPr>
        <w:t xml:space="preserve"> of 16.8 per cent. In July 2020, Google Play </w:t>
      </w:r>
      <w:r w:rsidR="00430C00">
        <w:rPr>
          <w:sz w:val="22"/>
          <w:szCs w:val="22"/>
          <w:lang w:val="en-GB" w:eastAsia="en-GB"/>
        </w:rPr>
        <w:t>reported</w:t>
      </w:r>
      <w:r w:rsidR="00A36B54" w:rsidRPr="00433C05">
        <w:rPr>
          <w:sz w:val="22"/>
          <w:szCs w:val="22"/>
          <w:lang w:val="en-GB" w:eastAsia="en-GB"/>
        </w:rPr>
        <w:t xml:space="preserve"> $17.3 </w:t>
      </w:r>
      <w:r w:rsidR="00A36B54" w:rsidRPr="00433C05">
        <w:rPr>
          <w:sz w:val="22"/>
          <w:szCs w:val="22"/>
          <w:lang w:val="en-GB" w:eastAsia="en-GB"/>
        </w:rPr>
        <w:lastRenderedPageBreak/>
        <w:t>billion</w:t>
      </w:r>
      <w:r w:rsidR="00430C00">
        <w:rPr>
          <w:sz w:val="22"/>
          <w:szCs w:val="22"/>
          <w:lang w:val="en-GB" w:eastAsia="en-GB"/>
        </w:rPr>
        <w:t xml:space="preserve"> in app revenues</w:t>
      </w:r>
      <w:r>
        <w:rPr>
          <w:sz w:val="22"/>
          <w:szCs w:val="22"/>
          <w:lang w:val="en-GB" w:eastAsia="en-GB"/>
        </w:rPr>
        <w:t>,</w:t>
      </w:r>
      <w:r w:rsidR="00A36B54" w:rsidRPr="00433C05">
        <w:rPr>
          <w:sz w:val="22"/>
          <w:szCs w:val="22"/>
          <w:lang w:val="en-GB" w:eastAsia="en-GB"/>
        </w:rPr>
        <w:t xml:space="preserve"> growing at</w:t>
      </w:r>
      <w:r w:rsidR="00E608B0">
        <w:rPr>
          <w:sz w:val="22"/>
          <w:szCs w:val="22"/>
          <w:lang w:val="en-GB" w:eastAsia="en-GB"/>
        </w:rPr>
        <w:t xml:space="preserve"> a</w:t>
      </w:r>
      <w:r w:rsidR="00A36B54" w:rsidRPr="00433C05">
        <w:rPr>
          <w:sz w:val="22"/>
          <w:szCs w:val="22"/>
          <w:lang w:val="en-GB" w:eastAsia="en-GB"/>
        </w:rPr>
        <w:t xml:space="preserve"> </w:t>
      </w:r>
      <w:r>
        <w:rPr>
          <w:sz w:val="22"/>
          <w:szCs w:val="22"/>
          <w:lang w:val="en-GB" w:eastAsia="en-GB"/>
        </w:rPr>
        <w:t xml:space="preserve">rate of </w:t>
      </w:r>
      <w:r w:rsidR="00A36B54" w:rsidRPr="00433C05">
        <w:rPr>
          <w:sz w:val="22"/>
          <w:szCs w:val="22"/>
          <w:lang w:val="en-GB" w:eastAsia="en-GB"/>
        </w:rPr>
        <w:t>20 per cent year</w:t>
      </w:r>
      <w:r w:rsidR="00430C00">
        <w:rPr>
          <w:sz w:val="22"/>
          <w:szCs w:val="22"/>
          <w:lang w:val="en-GB" w:eastAsia="en-GB"/>
        </w:rPr>
        <w:t xml:space="preserve"> </w:t>
      </w:r>
      <w:r w:rsidR="00A36B54" w:rsidRPr="00433C05">
        <w:rPr>
          <w:sz w:val="22"/>
          <w:szCs w:val="22"/>
          <w:lang w:val="en-GB" w:eastAsia="en-GB"/>
        </w:rPr>
        <w:t>on</w:t>
      </w:r>
      <w:r w:rsidR="00430C00">
        <w:rPr>
          <w:sz w:val="22"/>
          <w:szCs w:val="22"/>
          <w:lang w:val="en-GB" w:eastAsia="en-GB"/>
        </w:rPr>
        <w:t xml:space="preserve"> </w:t>
      </w:r>
      <w:r w:rsidR="00A36B54" w:rsidRPr="00433C05">
        <w:rPr>
          <w:sz w:val="22"/>
          <w:szCs w:val="22"/>
          <w:lang w:val="en-GB" w:eastAsia="en-GB"/>
        </w:rPr>
        <w:t>year</w:t>
      </w:r>
      <w:r>
        <w:rPr>
          <w:sz w:val="22"/>
          <w:szCs w:val="22"/>
          <w:lang w:val="en-GB" w:eastAsia="en-GB"/>
        </w:rPr>
        <w:t>, while Apple’s App Store</w:t>
      </w:r>
      <w:r w:rsidR="00A36B54" w:rsidRPr="00433C05">
        <w:rPr>
          <w:sz w:val="22"/>
          <w:szCs w:val="22"/>
          <w:lang w:val="en-GB" w:eastAsia="en-GB"/>
        </w:rPr>
        <w:t xml:space="preserve"> </w:t>
      </w:r>
      <w:r w:rsidR="00430C00">
        <w:rPr>
          <w:sz w:val="22"/>
          <w:szCs w:val="22"/>
          <w:lang w:val="en-GB" w:eastAsia="en-GB"/>
        </w:rPr>
        <w:t>reported app revenues of</w:t>
      </w:r>
      <w:r w:rsidR="00A36B54" w:rsidRPr="00433C05">
        <w:rPr>
          <w:sz w:val="22"/>
          <w:szCs w:val="22"/>
          <w:lang w:val="en-GB" w:eastAsia="en-GB"/>
        </w:rPr>
        <w:t xml:space="preserve"> $32.8 billion</w:t>
      </w:r>
      <w:r w:rsidR="00430C00">
        <w:rPr>
          <w:sz w:val="22"/>
          <w:szCs w:val="22"/>
          <w:lang w:val="en-GB" w:eastAsia="en-GB"/>
        </w:rPr>
        <w:t>,</w:t>
      </w:r>
      <w:r w:rsidR="00A36B54" w:rsidRPr="00433C05">
        <w:rPr>
          <w:sz w:val="22"/>
          <w:szCs w:val="22"/>
          <w:lang w:val="en-GB" w:eastAsia="en-GB"/>
        </w:rPr>
        <w:t xml:space="preserve"> growing at </w:t>
      </w:r>
      <w:r w:rsidR="00430C00">
        <w:rPr>
          <w:sz w:val="22"/>
          <w:szCs w:val="22"/>
          <w:lang w:val="en-GB" w:eastAsia="en-GB"/>
        </w:rPr>
        <w:t xml:space="preserve">a rate of </w:t>
      </w:r>
      <w:r w:rsidR="00A36B54" w:rsidRPr="00433C05">
        <w:rPr>
          <w:sz w:val="22"/>
          <w:szCs w:val="22"/>
          <w:lang w:val="en-GB" w:eastAsia="en-GB"/>
        </w:rPr>
        <w:t>24.7 per cent y</w:t>
      </w:r>
      <w:r w:rsidR="00430C00">
        <w:rPr>
          <w:sz w:val="22"/>
          <w:szCs w:val="22"/>
          <w:lang w:val="en-GB" w:eastAsia="en-GB"/>
        </w:rPr>
        <w:t xml:space="preserve">ear </w:t>
      </w:r>
      <w:r w:rsidR="00A36B54" w:rsidRPr="00433C05">
        <w:rPr>
          <w:sz w:val="22"/>
          <w:szCs w:val="22"/>
          <w:lang w:val="en-GB" w:eastAsia="en-GB"/>
        </w:rPr>
        <w:t>o</w:t>
      </w:r>
      <w:r w:rsidR="00430C00">
        <w:rPr>
          <w:sz w:val="22"/>
          <w:szCs w:val="22"/>
          <w:lang w:val="en-GB" w:eastAsia="en-GB"/>
        </w:rPr>
        <w:t xml:space="preserve">n </w:t>
      </w:r>
      <w:r w:rsidR="00A36B54" w:rsidRPr="00433C05">
        <w:rPr>
          <w:sz w:val="22"/>
          <w:szCs w:val="22"/>
          <w:lang w:val="en-GB" w:eastAsia="en-GB"/>
        </w:rPr>
        <w:t>y</w:t>
      </w:r>
      <w:r w:rsidR="00430C00">
        <w:rPr>
          <w:sz w:val="22"/>
          <w:szCs w:val="22"/>
          <w:lang w:val="en-GB" w:eastAsia="en-GB"/>
        </w:rPr>
        <w:t>ear</w:t>
      </w:r>
      <w:r w:rsidR="00A36B54" w:rsidRPr="00433C05">
        <w:rPr>
          <w:sz w:val="22"/>
          <w:szCs w:val="22"/>
          <w:lang w:val="en-GB" w:eastAsia="en-GB"/>
        </w:rPr>
        <w:t xml:space="preserve">. </w:t>
      </w:r>
      <w:r w:rsidR="00430C00">
        <w:rPr>
          <w:sz w:val="22"/>
          <w:szCs w:val="22"/>
          <w:lang w:val="en-GB" w:eastAsia="en-GB"/>
        </w:rPr>
        <w:t>G</w:t>
      </w:r>
      <w:r w:rsidR="00A36B54" w:rsidRPr="00433C05">
        <w:rPr>
          <w:sz w:val="22"/>
          <w:szCs w:val="22"/>
          <w:lang w:val="en-GB" w:eastAsia="en-GB"/>
        </w:rPr>
        <w:t>lobal</w:t>
      </w:r>
      <w:r w:rsidR="00430C00">
        <w:rPr>
          <w:sz w:val="22"/>
          <w:szCs w:val="22"/>
          <w:lang w:val="en-GB" w:eastAsia="en-GB"/>
        </w:rPr>
        <w:t>ly, the</w:t>
      </w:r>
      <w:r w:rsidR="00A36B54" w:rsidRPr="00433C05">
        <w:rPr>
          <w:sz w:val="22"/>
          <w:szCs w:val="22"/>
          <w:lang w:val="en-GB" w:eastAsia="en-GB"/>
        </w:rPr>
        <w:t xml:space="preserve"> app ecosystem </w:t>
      </w:r>
      <w:r w:rsidR="00430C00">
        <w:rPr>
          <w:sz w:val="22"/>
          <w:szCs w:val="22"/>
          <w:lang w:val="en-GB" w:eastAsia="en-GB"/>
        </w:rPr>
        <w:t xml:space="preserve">had </w:t>
      </w:r>
      <w:r w:rsidR="00A36B54" w:rsidRPr="00433C05">
        <w:rPr>
          <w:sz w:val="22"/>
          <w:szCs w:val="22"/>
          <w:lang w:val="en-GB" w:eastAsia="en-GB"/>
        </w:rPr>
        <w:t>generat</w:t>
      </w:r>
      <w:r w:rsidR="00430C00">
        <w:rPr>
          <w:sz w:val="22"/>
          <w:szCs w:val="22"/>
          <w:lang w:val="en-GB" w:eastAsia="en-GB"/>
        </w:rPr>
        <w:t>ed</w:t>
      </w:r>
      <w:r w:rsidR="00A36B54" w:rsidRPr="00433C05">
        <w:rPr>
          <w:sz w:val="22"/>
          <w:szCs w:val="22"/>
          <w:lang w:val="en-GB" w:eastAsia="en-GB"/>
        </w:rPr>
        <w:t xml:space="preserve"> revenue</w:t>
      </w:r>
      <w:r w:rsidR="00430C00">
        <w:rPr>
          <w:sz w:val="22"/>
          <w:szCs w:val="22"/>
          <w:lang w:val="en-GB" w:eastAsia="en-GB"/>
        </w:rPr>
        <w:t>s</w:t>
      </w:r>
      <w:r w:rsidR="00A36B54" w:rsidRPr="00433C05">
        <w:rPr>
          <w:sz w:val="22"/>
          <w:szCs w:val="22"/>
          <w:lang w:val="en-GB" w:eastAsia="en-GB"/>
        </w:rPr>
        <w:t xml:space="preserve"> of $50 billion, representing 23 per cent growth over the previous year</w:t>
      </w:r>
      <w:r w:rsidR="00430C00">
        <w:rPr>
          <w:sz w:val="22"/>
          <w:szCs w:val="22"/>
          <w:lang w:val="en-GB" w:eastAsia="en-GB"/>
        </w:rPr>
        <w:t xml:space="preserve">’s figure of </w:t>
      </w:r>
      <w:r w:rsidR="00430C00" w:rsidRPr="00433C05">
        <w:rPr>
          <w:sz w:val="22"/>
          <w:szCs w:val="22"/>
          <w:lang w:val="en-GB" w:eastAsia="en-GB"/>
        </w:rPr>
        <w:t>$40.6 billion</w:t>
      </w:r>
      <w:r w:rsidR="00430C00">
        <w:rPr>
          <w:sz w:val="22"/>
          <w:szCs w:val="22"/>
          <w:lang w:val="en-GB" w:eastAsia="en-GB"/>
        </w:rPr>
        <w:t xml:space="preserve"> for the same period</w:t>
      </w:r>
      <w:r w:rsidR="00A36B54" w:rsidRPr="00433C05">
        <w:rPr>
          <w:sz w:val="22"/>
          <w:szCs w:val="22"/>
          <w:lang w:val="en-GB" w:eastAsia="en-GB"/>
        </w:rPr>
        <w:t>.</w:t>
      </w:r>
      <w:r w:rsidR="00A36B54" w:rsidRPr="00433C05">
        <w:rPr>
          <w:sz w:val="22"/>
          <w:szCs w:val="22"/>
          <w:vertAlign w:val="superscript"/>
          <w:lang w:val="en-GB" w:eastAsia="en-GB"/>
        </w:rPr>
        <w:endnoteReference w:id="24"/>
      </w:r>
    </w:p>
    <w:p w14:paraId="2868FE82" w14:textId="77777777" w:rsidR="00A36B54" w:rsidRPr="00433C05" w:rsidRDefault="00A36B54" w:rsidP="00A36B54">
      <w:pPr>
        <w:jc w:val="both"/>
        <w:rPr>
          <w:sz w:val="22"/>
          <w:szCs w:val="22"/>
          <w:lang w:val="en-GB" w:eastAsia="en-GB"/>
        </w:rPr>
      </w:pPr>
    </w:p>
    <w:p w14:paraId="643D7BA8" w14:textId="2A43B7C4" w:rsidR="00456853" w:rsidRDefault="00CD6310" w:rsidP="00A36B54">
      <w:pPr>
        <w:jc w:val="both"/>
        <w:rPr>
          <w:sz w:val="22"/>
          <w:szCs w:val="22"/>
          <w:lang w:val="en-GB" w:eastAsia="en-GB"/>
        </w:rPr>
      </w:pPr>
      <w:r>
        <w:rPr>
          <w:sz w:val="22"/>
          <w:szCs w:val="22"/>
          <w:lang w:val="en-GB" w:eastAsia="en-GB"/>
        </w:rPr>
        <w:t xml:space="preserve">Although </w:t>
      </w:r>
      <w:r w:rsidR="00A36B54" w:rsidRPr="00433C05">
        <w:rPr>
          <w:sz w:val="22"/>
          <w:szCs w:val="22"/>
          <w:lang w:val="en-GB" w:eastAsia="en-GB"/>
        </w:rPr>
        <w:t>Google Play revenues gr</w:t>
      </w:r>
      <w:r w:rsidR="00202F83">
        <w:rPr>
          <w:sz w:val="22"/>
          <w:szCs w:val="22"/>
          <w:lang w:val="en-GB" w:eastAsia="en-GB"/>
        </w:rPr>
        <w:t>e</w:t>
      </w:r>
      <w:r w:rsidR="00A36B54" w:rsidRPr="00433C05">
        <w:rPr>
          <w:sz w:val="22"/>
          <w:szCs w:val="22"/>
          <w:lang w:val="en-GB" w:eastAsia="en-GB"/>
        </w:rPr>
        <w:t>w</w:t>
      </w:r>
      <w:r>
        <w:rPr>
          <w:sz w:val="22"/>
          <w:szCs w:val="22"/>
          <w:lang w:val="en-GB" w:eastAsia="en-GB"/>
        </w:rPr>
        <w:t xml:space="preserve"> at high rate</w:t>
      </w:r>
      <w:r w:rsidR="00202F83">
        <w:rPr>
          <w:sz w:val="22"/>
          <w:szCs w:val="22"/>
          <w:lang w:val="en-GB" w:eastAsia="en-GB"/>
        </w:rPr>
        <w:t>s</w:t>
      </w:r>
      <w:r w:rsidR="00A36B54" w:rsidRPr="00433C05">
        <w:rPr>
          <w:sz w:val="22"/>
          <w:szCs w:val="22"/>
          <w:lang w:val="en-GB" w:eastAsia="en-GB"/>
        </w:rPr>
        <w:t xml:space="preserve">, most apps were </w:t>
      </w:r>
      <w:r>
        <w:rPr>
          <w:sz w:val="22"/>
          <w:szCs w:val="22"/>
          <w:lang w:val="en-GB" w:eastAsia="en-GB"/>
        </w:rPr>
        <w:t>available to users for</w:t>
      </w:r>
      <w:r w:rsidR="00A36B54" w:rsidRPr="00433C05">
        <w:rPr>
          <w:sz w:val="22"/>
          <w:szCs w:val="22"/>
          <w:lang w:val="en-GB" w:eastAsia="en-GB"/>
        </w:rPr>
        <w:t xml:space="preserve"> free</w:t>
      </w:r>
      <w:r w:rsidR="009110A4" w:rsidRPr="00433C05">
        <w:rPr>
          <w:sz w:val="22"/>
          <w:szCs w:val="22"/>
          <w:lang w:val="en-GB" w:eastAsia="en-GB"/>
        </w:rPr>
        <w:t>.</w:t>
      </w:r>
      <w:r w:rsidR="00A36B54" w:rsidRPr="00433C05">
        <w:rPr>
          <w:sz w:val="22"/>
          <w:szCs w:val="22"/>
          <w:lang w:val="en-GB" w:eastAsia="en-GB"/>
        </w:rPr>
        <w:t xml:space="preserve"> In fact, the proportion of free apps on Google Play had actually grown between 2019 and September 2020</w:t>
      </w:r>
      <w:r w:rsidR="00202F83">
        <w:rPr>
          <w:sz w:val="22"/>
          <w:szCs w:val="22"/>
          <w:lang w:val="en-GB" w:eastAsia="en-GB"/>
        </w:rPr>
        <w:t xml:space="preserve"> to a high</w:t>
      </w:r>
      <w:r>
        <w:rPr>
          <w:sz w:val="22"/>
          <w:szCs w:val="22"/>
          <w:lang w:val="en-GB" w:eastAsia="en-GB"/>
        </w:rPr>
        <w:t xml:space="preserve"> of</w:t>
      </w:r>
      <w:r w:rsidR="00A36B54" w:rsidRPr="00433C05">
        <w:rPr>
          <w:sz w:val="22"/>
          <w:szCs w:val="22"/>
          <w:lang w:val="en-GB" w:eastAsia="en-GB"/>
        </w:rPr>
        <w:t xml:space="preserve"> 96.5 per cent</w:t>
      </w:r>
      <w:r w:rsidR="009110A4" w:rsidRPr="00433C05">
        <w:rPr>
          <w:sz w:val="22"/>
          <w:szCs w:val="22"/>
          <w:lang w:val="en-GB" w:eastAsia="en-GB"/>
        </w:rPr>
        <w:t xml:space="preserve"> (</w:t>
      </w:r>
      <w:r>
        <w:rPr>
          <w:sz w:val="22"/>
          <w:szCs w:val="22"/>
          <w:lang w:val="en-GB" w:eastAsia="en-GB"/>
        </w:rPr>
        <w:t xml:space="preserve">see </w:t>
      </w:r>
      <w:r w:rsidR="009110A4" w:rsidRPr="00433C05">
        <w:rPr>
          <w:sz w:val="22"/>
          <w:szCs w:val="22"/>
          <w:lang w:val="en-GB" w:eastAsia="en-GB"/>
        </w:rPr>
        <w:t>Exhibit 5).</w:t>
      </w:r>
      <w:r w:rsidR="00A36B54" w:rsidRPr="00433C05">
        <w:rPr>
          <w:sz w:val="22"/>
          <w:szCs w:val="22"/>
          <w:vertAlign w:val="superscript"/>
          <w:lang w:val="en-GB" w:eastAsia="en-GB"/>
        </w:rPr>
        <w:endnoteReference w:id="25"/>
      </w:r>
      <w:r w:rsidR="00A36B54" w:rsidRPr="00433C05">
        <w:rPr>
          <w:sz w:val="22"/>
          <w:szCs w:val="22"/>
          <w:lang w:val="en-GB" w:eastAsia="en-GB"/>
        </w:rPr>
        <w:t xml:space="preserve"> </w:t>
      </w:r>
      <w:r>
        <w:rPr>
          <w:sz w:val="22"/>
          <w:szCs w:val="22"/>
          <w:lang w:val="en-GB" w:eastAsia="en-GB"/>
        </w:rPr>
        <w:t>To generate revenue from their products, a</w:t>
      </w:r>
      <w:r w:rsidR="00A36B54" w:rsidRPr="00433C05">
        <w:rPr>
          <w:sz w:val="22"/>
          <w:szCs w:val="22"/>
          <w:lang w:val="en-GB" w:eastAsia="en-GB"/>
        </w:rPr>
        <w:t xml:space="preserve">pp developers could choose </w:t>
      </w:r>
      <w:r>
        <w:rPr>
          <w:sz w:val="22"/>
          <w:szCs w:val="22"/>
          <w:lang w:val="en-GB" w:eastAsia="en-GB"/>
        </w:rPr>
        <w:t>from</w:t>
      </w:r>
      <w:r w:rsidR="00A36B54" w:rsidRPr="00433C05">
        <w:rPr>
          <w:sz w:val="22"/>
          <w:szCs w:val="22"/>
          <w:lang w:val="en-GB" w:eastAsia="en-GB"/>
        </w:rPr>
        <w:t xml:space="preserve"> </w:t>
      </w:r>
      <w:r w:rsidR="00202F83">
        <w:rPr>
          <w:sz w:val="22"/>
          <w:szCs w:val="22"/>
          <w:lang w:val="en-GB" w:eastAsia="en-GB"/>
        </w:rPr>
        <w:t>various</w:t>
      </w:r>
      <w:r>
        <w:rPr>
          <w:sz w:val="22"/>
          <w:szCs w:val="22"/>
          <w:lang w:val="en-GB" w:eastAsia="en-GB"/>
        </w:rPr>
        <w:t xml:space="preserve"> </w:t>
      </w:r>
      <w:r w:rsidR="00A36B54" w:rsidRPr="00433C05">
        <w:rPr>
          <w:sz w:val="22"/>
          <w:szCs w:val="22"/>
          <w:lang w:val="en-GB" w:eastAsia="en-GB"/>
        </w:rPr>
        <w:t>business models (</w:t>
      </w:r>
      <w:r>
        <w:rPr>
          <w:sz w:val="22"/>
          <w:szCs w:val="22"/>
          <w:lang w:val="en-GB" w:eastAsia="en-GB"/>
        </w:rPr>
        <w:t xml:space="preserve">see </w:t>
      </w:r>
      <w:r w:rsidR="00A36B54" w:rsidRPr="00433C05">
        <w:rPr>
          <w:sz w:val="22"/>
          <w:szCs w:val="22"/>
          <w:lang w:val="en-GB" w:eastAsia="en-GB"/>
        </w:rPr>
        <w:t xml:space="preserve">Exhibit 6). </w:t>
      </w:r>
      <w:r>
        <w:rPr>
          <w:sz w:val="22"/>
          <w:szCs w:val="22"/>
          <w:lang w:val="en-GB" w:eastAsia="en-GB"/>
        </w:rPr>
        <w:t>Interesting</w:t>
      </w:r>
      <w:r w:rsidR="00A36B54" w:rsidRPr="00433C05">
        <w:rPr>
          <w:sz w:val="22"/>
          <w:szCs w:val="22"/>
          <w:lang w:val="en-GB" w:eastAsia="en-GB"/>
        </w:rPr>
        <w:t xml:space="preserve">ly, </w:t>
      </w:r>
      <w:r>
        <w:rPr>
          <w:sz w:val="22"/>
          <w:szCs w:val="22"/>
          <w:lang w:val="en-GB" w:eastAsia="en-GB"/>
        </w:rPr>
        <w:t>the business</w:t>
      </w:r>
      <w:r w:rsidR="00A36B54" w:rsidRPr="00433C05">
        <w:rPr>
          <w:sz w:val="22"/>
          <w:szCs w:val="22"/>
          <w:lang w:val="en-GB" w:eastAsia="en-GB"/>
        </w:rPr>
        <w:t xml:space="preserve"> model </w:t>
      </w:r>
      <w:r>
        <w:rPr>
          <w:sz w:val="22"/>
          <w:szCs w:val="22"/>
          <w:lang w:val="en-GB" w:eastAsia="en-GB"/>
        </w:rPr>
        <w:t>that</w:t>
      </w:r>
      <w:r w:rsidR="00A36B54" w:rsidRPr="00433C05">
        <w:rPr>
          <w:sz w:val="22"/>
          <w:szCs w:val="22"/>
          <w:lang w:val="en-GB" w:eastAsia="en-GB"/>
        </w:rPr>
        <w:t xml:space="preserve"> contributed </w:t>
      </w:r>
      <w:r>
        <w:rPr>
          <w:sz w:val="22"/>
          <w:szCs w:val="22"/>
          <w:lang w:val="en-GB" w:eastAsia="en-GB"/>
        </w:rPr>
        <w:t xml:space="preserve">the highest amount of Google Play global revenue </w:t>
      </w:r>
      <w:r w:rsidR="00202F83">
        <w:rPr>
          <w:sz w:val="22"/>
          <w:szCs w:val="22"/>
          <w:lang w:val="en-GB" w:eastAsia="en-GB"/>
        </w:rPr>
        <w:t>(</w:t>
      </w:r>
      <w:r>
        <w:rPr>
          <w:sz w:val="22"/>
          <w:szCs w:val="22"/>
          <w:lang w:val="en-GB" w:eastAsia="en-GB"/>
        </w:rPr>
        <w:t>a</w:t>
      </w:r>
      <w:r w:rsidR="00A36B54" w:rsidRPr="00433C05">
        <w:rPr>
          <w:sz w:val="22"/>
          <w:szCs w:val="22"/>
          <w:lang w:val="en-GB" w:eastAsia="en-GB"/>
        </w:rPr>
        <w:t>t 98 per cent</w:t>
      </w:r>
      <w:r w:rsidR="00202F83">
        <w:rPr>
          <w:sz w:val="22"/>
          <w:szCs w:val="22"/>
          <w:lang w:val="en-GB" w:eastAsia="en-GB"/>
        </w:rPr>
        <w:t>)</w:t>
      </w:r>
      <w:r>
        <w:rPr>
          <w:sz w:val="22"/>
          <w:szCs w:val="22"/>
          <w:lang w:val="en-GB" w:eastAsia="en-GB"/>
        </w:rPr>
        <w:t xml:space="preserve"> was the </w:t>
      </w:r>
      <w:r w:rsidR="00456853">
        <w:rPr>
          <w:sz w:val="22"/>
          <w:szCs w:val="22"/>
          <w:lang w:val="en-GB" w:eastAsia="en-GB"/>
        </w:rPr>
        <w:t>“freemium” model</w:t>
      </w:r>
      <w:r w:rsidR="00202F83">
        <w:rPr>
          <w:sz w:val="22"/>
          <w:szCs w:val="22"/>
          <w:lang w:val="en-GB" w:eastAsia="en-GB"/>
        </w:rPr>
        <w:t>,</w:t>
      </w:r>
      <w:r w:rsidR="00456853">
        <w:rPr>
          <w:rStyle w:val="EndnoteReference"/>
          <w:sz w:val="22"/>
          <w:szCs w:val="22"/>
          <w:lang w:val="en-GB" w:eastAsia="en-GB"/>
        </w:rPr>
        <w:endnoteReference w:id="26"/>
      </w:r>
      <w:r w:rsidR="00456853">
        <w:rPr>
          <w:sz w:val="22"/>
          <w:szCs w:val="22"/>
          <w:lang w:val="en-GB" w:eastAsia="en-GB"/>
        </w:rPr>
        <w:t xml:space="preserve"> which</w:t>
      </w:r>
      <w:r w:rsidR="00456853" w:rsidRPr="00456853">
        <w:rPr>
          <w:sz w:val="22"/>
          <w:szCs w:val="22"/>
          <w:lang w:val="en-GB" w:eastAsia="en-GB"/>
        </w:rPr>
        <w:t xml:space="preserve"> </w:t>
      </w:r>
      <w:r w:rsidR="00202F83">
        <w:rPr>
          <w:sz w:val="22"/>
          <w:szCs w:val="22"/>
          <w:lang w:val="en-GB" w:eastAsia="en-GB"/>
        </w:rPr>
        <w:t>made available a</w:t>
      </w:r>
      <w:r w:rsidR="00456853" w:rsidRPr="00456853">
        <w:rPr>
          <w:sz w:val="22"/>
          <w:szCs w:val="22"/>
          <w:lang w:val="en-GB" w:eastAsia="en-GB"/>
        </w:rPr>
        <w:t xml:space="preserve"> basic </w:t>
      </w:r>
      <w:r w:rsidR="00202F83">
        <w:rPr>
          <w:sz w:val="22"/>
          <w:szCs w:val="22"/>
          <w:lang w:val="en-GB" w:eastAsia="en-GB"/>
        </w:rPr>
        <w:t>version</w:t>
      </w:r>
      <w:r w:rsidR="00456853" w:rsidRPr="00456853">
        <w:rPr>
          <w:sz w:val="22"/>
          <w:szCs w:val="22"/>
          <w:lang w:val="en-GB" w:eastAsia="en-GB"/>
        </w:rPr>
        <w:t xml:space="preserve"> of </w:t>
      </w:r>
      <w:r w:rsidR="00456853">
        <w:rPr>
          <w:sz w:val="22"/>
          <w:szCs w:val="22"/>
          <w:lang w:val="en-GB" w:eastAsia="en-GB"/>
        </w:rPr>
        <w:t>the app for</w:t>
      </w:r>
      <w:r w:rsidR="00456853" w:rsidRPr="00456853">
        <w:rPr>
          <w:sz w:val="22"/>
          <w:szCs w:val="22"/>
          <w:lang w:val="en-GB" w:eastAsia="en-GB"/>
        </w:rPr>
        <w:t xml:space="preserve"> free</w:t>
      </w:r>
      <w:r w:rsidR="00456853">
        <w:rPr>
          <w:sz w:val="22"/>
          <w:szCs w:val="22"/>
          <w:lang w:val="en-GB" w:eastAsia="en-GB"/>
        </w:rPr>
        <w:t xml:space="preserve"> </w:t>
      </w:r>
      <w:r w:rsidR="00202F83">
        <w:rPr>
          <w:sz w:val="22"/>
          <w:szCs w:val="22"/>
          <w:lang w:val="en-GB" w:eastAsia="en-GB"/>
        </w:rPr>
        <w:t>to users, who could pay to get</w:t>
      </w:r>
      <w:r w:rsidR="00456853" w:rsidRPr="00456853">
        <w:rPr>
          <w:sz w:val="22"/>
          <w:szCs w:val="22"/>
          <w:lang w:val="en-GB" w:eastAsia="en-GB"/>
        </w:rPr>
        <w:t xml:space="preserve"> </w:t>
      </w:r>
      <w:r w:rsidR="00456853">
        <w:rPr>
          <w:sz w:val="22"/>
          <w:szCs w:val="22"/>
          <w:lang w:val="en-GB" w:eastAsia="en-GB"/>
        </w:rPr>
        <w:t>premium features</w:t>
      </w:r>
      <w:r w:rsidR="00A36B54" w:rsidRPr="00433C05">
        <w:rPr>
          <w:sz w:val="22"/>
          <w:szCs w:val="22"/>
          <w:lang w:val="en-GB" w:eastAsia="en-GB"/>
        </w:rPr>
        <w:t>.</w:t>
      </w:r>
      <w:r w:rsidR="00A36B54" w:rsidRPr="00433C05">
        <w:rPr>
          <w:sz w:val="22"/>
          <w:szCs w:val="22"/>
          <w:vertAlign w:val="superscript"/>
          <w:lang w:val="en-GB" w:eastAsia="en-GB"/>
        </w:rPr>
        <w:endnoteReference w:id="27"/>
      </w:r>
      <w:r w:rsidR="00A36B54" w:rsidRPr="00433C05">
        <w:rPr>
          <w:sz w:val="22"/>
          <w:szCs w:val="22"/>
          <w:lang w:val="en-GB" w:eastAsia="en-GB"/>
        </w:rPr>
        <w:t xml:space="preserve"> </w:t>
      </w:r>
    </w:p>
    <w:p w14:paraId="7F18A294" w14:textId="77777777" w:rsidR="00456853" w:rsidRDefault="00456853" w:rsidP="00A36B54">
      <w:pPr>
        <w:jc w:val="both"/>
        <w:rPr>
          <w:sz w:val="22"/>
          <w:szCs w:val="22"/>
          <w:lang w:val="en-GB" w:eastAsia="en-GB"/>
        </w:rPr>
      </w:pPr>
    </w:p>
    <w:p w14:paraId="466E9792" w14:textId="57E6B743" w:rsidR="00A36B54" w:rsidRPr="00433C05" w:rsidRDefault="00672781" w:rsidP="00A36B54">
      <w:pPr>
        <w:jc w:val="both"/>
        <w:rPr>
          <w:sz w:val="22"/>
          <w:szCs w:val="22"/>
          <w:lang w:val="en-GB" w:eastAsia="en-GB"/>
        </w:rPr>
      </w:pPr>
      <w:r>
        <w:rPr>
          <w:sz w:val="22"/>
          <w:szCs w:val="22"/>
          <w:lang w:val="en-GB" w:eastAsia="en-GB"/>
        </w:rPr>
        <w:t>For</w:t>
      </w:r>
      <w:r w:rsidR="00A36B54" w:rsidRPr="00433C05">
        <w:rPr>
          <w:sz w:val="22"/>
          <w:szCs w:val="22"/>
          <w:lang w:val="en-GB" w:eastAsia="en-GB"/>
        </w:rPr>
        <w:t xml:space="preserve"> moneti</w:t>
      </w:r>
      <w:r>
        <w:rPr>
          <w:sz w:val="22"/>
          <w:szCs w:val="22"/>
          <w:lang w:val="en-GB" w:eastAsia="en-GB"/>
        </w:rPr>
        <w:t>z</w:t>
      </w:r>
      <w:r w:rsidR="00A36B54" w:rsidRPr="00433C05">
        <w:rPr>
          <w:sz w:val="22"/>
          <w:szCs w:val="22"/>
          <w:lang w:val="en-GB" w:eastAsia="en-GB"/>
        </w:rPr>
        <w:t xml:space="preserve">ation </w:t>
      </w:r>
      <w:r>
        <w:rPr>
          <w:sz w:val="22"/>
          <w:szCs w:val="22"/>
          <w:lang w:val="en-GB" w:eastAsia="en-GB"/>
        </w:rPr>
        <w:t>of their apps,</w:t>
      </w:r>
      <w:r w:rsidR="00A36B54" w:rsidRPr="00433C05">
        <w:rPr>
          <w:sz w:val="22"/>
          <w:szCs w:val="22"/>
          <w:lang w:val="en-GB" w:eastAsia="en-GB"/>
        </w:rPr>
        <w:t xml:space="preserve"> developers </w:t>
      </w:r>
      <w:r w:rsidR="00202F83">
        <w:rPr>
          <w:sz w:val="22"/>
          <w:szCs w:val="22"/>
          <w:lang w:val="en-GB" w:eastAsia="en-GB"/>
        </w:rPr>
        <w:t>again had several</w:t>
      </w:r>
      <w:r w:rsidR="00127041">
        <w:rPr>
          <w:sz w:val="22"/>
          <w:szCs w:val="22"/>
          <w:lang w:val="en-GB" w:eastAsia="en-GB"/>
        </w:rPr>
        <w:t xml:space="preserve"> different</w:t>
      </w:r>
      <w:r>
        <w:rPr>
          <w:sz w:val="22"/>
          <w:szCs w:val="22"/>
          <w:lang w:val="en-GB" w:eastAsia="en-GB"/>
        </w:rPr>
        <w:t xml:space="preserve"> </w:t>
      </w:r>
      <w:r w:rsidR="00202F83">
        <w:rPr>
          <w:sz w:val="22"/>
          <w:szCs w:val="22"/>
          <w:lang w:val="en-GB" w:eastAsia="en-GB"/>
        </w:rPr>
        <w:t xml:space="preserve">options for </w:t>
      </w:r>
      <w:r>
        <w:rPr>
          <w:sz w:val="22"/>
          <w:szCs w:val="22"/>
          <w:lang w:val="en-GB" w:eastAsia="en-GB"/>
        </w:rPr>
        <w:t xml:space="preserve">pricing models </w:t>
      </w:r>
      <w:r w:rsidR="00A36B54" w:rsidRPr="00433C05">
        <w:rPr>
          <w:sz w:val="22"/>
          <w:szCs w:val="22"/>
          <w:lang w:val="en-GB" w:eastAsia="en-GB"/>
        </w:rPr>
        <w:t>includ</w:t>
      </w:r>
      <w:r w:rsidR="00127041">
        <w:rPr>
          <w:sz w:val="22"/>
          <w:szCs w:val="22"/>
          <w:lang w:val="en-GB" w:eastAsia="en-GB"/>
        </w:rPr>
        <w:t>ing</w:t>
      </w:r>
      <w:r w:rsidR="00A36B54" w:rsidRPr="00433C05">
        <w:rPr>
          <w:sz w:val="22"/>
          <w:szCs w:val="22"/>
          <w:lang w:val="en-GB" w:eastAsia="en-GB"/>
        </w:rPr>
        <w:t xml:space="preserve"> in-app purchases</w:t>
      </w:r>
      <w:r w:rsidR="00127041">
        <w:rPr>
          <w:sz w:val="22"/>
          <w:szCs w:val="22"/>
          <w:lang w:val="en-GB" w:eastAsia="en-GB"/>
        </w:rPr>
        <w:t>;</w:t>
      </w:r>
      <w:r w:rsidR="00A36B54" w:rsidRPr="00433C05">
        <w:rPr>
          <w:sz w:val="22"/>
          <w:szCs w:val="22"/>
          <w:lang w:val="en-GB" w:eastAsia="en-GB"/>
        </w:rPr>
        <w:t xml:space="preserve"> paid </w:t>
      </w:r>
      <w:r>
        <w:rPr>
          <w:sz w:val="22"/>
          <w:szCs w:val="22"/>
          <w:lang w:val="en-GB" w:eastAsia="en-GB"/>
        </w:rPr>
        <w:t xml:space="preserve">app </w:t>
      </w:r>
      <w:r w:rsidR="00A36B54" w:rsidRPr="00433C05">
        <w:rPr>
          <w:sz w:val="22"/>
          <w:szCs w:val="22"/>
          <w:lang w:val="en-GB" w:eastAsia="en-GB"/>
        </w:rPr>
        <w:t>downloads</w:t>
      </w:r>
      <w:r w:rsidR="00127041">
        <w:rPr>
          <w:sz w:val="22"/>
          <w:szCs w:val="22"/>
          <w:lang w:val="en-GB" w:eastAsia="en-GB"/>
        </w:rPr>
        <w:t>;</w:t>
      </w:r>
      <w:r w:rsidR="00A36B54" w:rsidRPr="00433C05">
        <w:rPr>
          <w:sz w:val="22"/>
          <w:szCs w:val="22"/>
          <w:lang w:val="en-GB" w:eastAsia="en-GB"/>
        </w:rPr>
        <w:t xml:space="preserve"> in-app advertising</w:t>
      </w:r>
      <w:r w:rsidR="00127041">
        <w:rPr>
          <w:sz w:val="22"/>
          <w:szCs w:val="22"/>
          <w:lang w:val="en-GB" w:eastAsia="en-GB"/>
        </w:rPr>
        <w:t>;</w:t>
      </w:r>
      <w:r>
        <w:rPr>
          <w:sz w:val="22"/>
          <w:szCs w:val="22"/>
          <w:lang w:val="en-GB" w:eastAsia="en-GB"/>
        </w:rPr>
        <w:t xml:space="preserve"> subscriptions</w:t>
      </w:r>
      <w:r w:rsidR="00127041">
        <w:rPr>
          <w:sz w:val="22"/>
          <w:szCs w:val="22"/>
          <w:lang w:val="en-GB" w:eastAsia="en-GB"/>
        </w:rPr>
        <w:t>;</w:t>
      </w:r>
      <w:r>
        <w:rPr>
          <w:sz w:val="22"/>
          <w:szCs w:val="22"/>
          <w:lang w:val="en-GB" w:eastAsia="en-GB"/>
        </w:rPr>
        <w:t xml:space="preserve"> r</w:t>
      </w:r>
      <w:r w:rsidR="00A36B54" w:rsidRPr="00433C05">
        <w:rPr>
          <w:sz w:val="22"/>
          <w:szCs w:val="22"/>
          <w:lang w:val="en-GB" w:eastAsia="en-GB"/>
        </w:rPr>
        <w:t xml:space="preserve">ewarded </w:t>
      </w:r>
      <w:r>
        <w:rPr>
          <w:sz w:val="22"/>
          <w:szCs w:val="22"/>
          <w:lang w:val="en-GB" w:eastAsia="en-GB"/>
        </w:rPr>
        <w:t>v</w:t>
      </w:r>
      <w:r w:rsidR="00A36B54" w:rsidRPr="00433C05">
        <w:rPr>
          <w:sz w:val="22"/>
          <w:szCs w:val="22"/>
          <w:lang w:val="en-GB" w:eastAsia="en-GB"/>
        </w:rPr>
        <w:t xml:space="preserve">ideo </w:t>
      </w:r>
      <w:r>
        <w:rPr>
          <w:sz w:val="22"/>
          <w:szCs w:val="22"/>
          <w:lang w:val="en-GB" w:eastAsia="en-GB"/>
        </w:rPr>
        <w:t>a</w:t>
      </w:r>
      <w:r w:rsidR="00A36B54" w:rsidRPr="00433C05">
        <w:rPr>
          <w:sz w:val="22"/>
          <w:szCs w:val="22"/>
          <w:lang w:val="en-GB" w:eastAsia="en-GB"/>
        </w:rPr>
        <w:t>d</w:t>
      </w:r>
      <w:r>
        <w:rPr>
          <w:sz w:val="22"/>
          <w:szCs w:val="22"/>
          <w:lang w:val="en-GB" w:eastAsia="en-GB"/>
        </w:rPr>
        <w:t>vertisement</w:t>
      </w:r>
      <w:r w:rsidR="00A36B54" w:rsidRPr="00433C05">
        <w:rPr>
          <w:sz w:val="22"/>
          <w:szCs w:val="22"/>
          <w:lang w:val="en-GB" w:eastAsia="en-GB"/>
        </w:rPr>
        <w:t>s</w:t>
      </w:r>
      <w:r w:rsidR="00127041">
        <w:rPr>
          <w:sz w:val="22"/>
          <w:szCs w:val="22"/>
          <w:lang w:val="en-GB" w:eastAsia="en-GB"/>
        </w:rPr>
        <w:t>,</w:t>
      </w:r>
      <w:r>
        <w:rPr>
          <w:sz w:val="22"/>
          <w:szCs w:val="22"/>
          <w:lang w:val="en-GB" w:eastAsia="en-GB"/>
        </w:rPr>
        <w:t xml:space="preserve"> where users were required to watch a short video to receive a reward</w:t>
      </w:r>
      <w:r w:rsidR="00127041">
        <w:rPr>
          <w:sz w:val="22"/>
          <w:szCs w:val="22"/>
          <w:lang w:val="en-GB" w:eastAsia="en-GB"/>
        </w:rPr>
        <w:t>;</w:t>
      </w:r>
      <w:r w:rsidR="00A36B54" w:rsidRPr="00433C05">
        <w:rPr>
          <w:sz w:val="22"/>
          <w:szCs w:val="22"/>
          <w:vertAlign w:val="superscript"/>
          <w:lang w:val="en-GB" w:eastAsia="en-GB"/>
        </w:rPr>
        <w:endnoteReference w:id="28"/>
      </w:r>
      <w:r w:rsidR="00A36B54" w:rsidRPr="00433C05">
        <w:rPr>
          <w:sz w:val="22"/>
          <w:szCs w:val="22"/>
          <w:lang w:val="en-GB" w:eastAsia="en-GB"/>
        </w:rPr>
        <w:t xml:space="preserve"> and </w:t>
      </w:r>
      <w:r w:rsidR="00127041">
        <w:rPr>
          <w:sz w:val="22"/>
          <w:szCs w:val="22"/>
          <w:lang w:val="en-GB" w:eastAsia="en-GB"/>
        </w:rPr>
        <w:t>i</w:t>
      </w:r>
      <w:r w:rsidR="00A36B54" w:rsidRPr="00433C05">
        <w:rPr>
          <w:sz w:val="22"/>
          <w:szCs w:val="22"/>
          <w:lang w:val="en-GB" w:eastAsia="en-GB"/>
        </w:rPr>
        <w:t xml:space="preserve">nterstitial </w:t>
      </w:r>
      <w:r w:rsidR="00127041">
        <w:rPr>
          <w:sz w:val="22"/>
          <w:szCs w:val="22"/>
          <w:lang w:val="en-GB" w:eastAsia="en-GB"/>
        </w:rPr>
        <w:t>v</w:t>
      </w:r>
      <w:r w:rsidR="00A36B54" w:rsidRPr="00433C05">
        <w:rPr>
          <w:sz w:val="22"/>
          <w:szCs w:val="22"/>
          <w:lang w:val="en-GB" w:eastAsia="en-GB"/>
        </w:rPr>
        <w:t xml:space="preserve">ideo </w:t>
      </w:r>
      <w:r w:rsidR="00127041">
        <w:rPr>
          <w:sz w:val="22"/>
          <w:szCs w:val="22"/>
          <w:lang w:val="en-GB" w:eastAsia="en-GB"/>
        </w:rPr>
        <w:t>a</w:t>
      </w:r>
      <w:r w:rsidR="00A36B54" w:rsidRPr="00433C05">
        <w:rPr>
          <w:sz w:val="22"/>
          <w:szCs w:val="22"/>
          <w:lang w:val="en-GB" w:eastAsia="en-GB"/>
        </w:rPr>
        <w:t>d</w:t>
      </w:r>
      <w:r>
        <w:rPr>
          <w:sz w:val="22"/>
          <w:szCs w:val="22"/>
          <w:lang w:val="en-GB" w:eastAsia="en-GB"/>
        </w:rPr>
        <w:t>vertisement</w:t>
      </w:r>
      <w:r w:rsidR="00A36B54" w:rsidRPr="00433C05">
        <w:rPr>
          <w:sz w:val="22"/>
          <w:szCs w:val="22"/>
          <w:lang w:val="en-GB" w:eastAsia="en-GB"/>
        </w:rPr>
        <w:t>s</w:t>
      </w:r>
      <w:r w:rsidR="00127041">
        <w:rPr>
          <w:sz w:val="22"/>
          <w:szCs w:val="22"/>
          <w:lang w:val="en-GB" w:eastAsia="en-GB"/>
        </w:rPr>
        <w:t>,</w:t>
      </w:r>
      <w:r>
        <w:rPr>
          <w:sz w:val="22"/>
          <w:szCs w:val="22"/>
          <w:lang w:val="en-GB" w:eastAsia="en-GB"/>
        </w:rPr>
        <w:t xml:space="preserve"> where users had to wait for full-screen </w:t>
      </w:r>
      <w:r w:rsidR="00127041">
        <w:rPr>
          <w:sz w:val="22"/>
          <w:szCs w:val="22"/>
          <w:lang w:val="en-GB" w:eastAsia="en-GB"/>
        </w:rPr>
        <w:t>(</w:t>
      </w:r>
      <w:r>
        <w:rPr>
          <w:sz w:val="22"/>
          <w:szCs w:val="22"/>
          <w:lang w:val="en-GB" w:eastAsia="en-GB"/>
        </w:rPr>
        <w:t xml:space="preserve">rather than </w:t>
      </w:r>
      <w:r w:rsidR="00127041">
        <w:rPr>
          <w:sz w:val="22"/>
          <w:szCs w:val="22"/>
          <w:lang w:val="en-GB" w:eastAsia="en-GB"/>
        </w:rPr>
        <w:t xml:space="preserve">banner or </w:t>
      </w:r>
      <w:r>
        <w:rPr>
          <w:sz w:val="22"/>
          <w:szCs w:val="22"/>
          <w:lang w:val="en-GB" w:eastAsia="en-GB"/>
        </w:rPr>
        <w:t>pop-up</w:t>
      </w:r>
      <w:r w:rsidR="00127041">
        <w:rPr>
          <w:sz w:val="22"/>
          <w:szCs w:val="22"/>
          <w:lang w:val="en-GB" w:eastAsia="en-GB"/>
        </w:rPr>
        <w:t>)</w:t>
      </w:r>
      <w:r>
        <w:rPr>
          <w:sz w:val="22"/>
          <w:szCs w:val="22"/>
          <w:lang w:val="en-GB" w:eastAsia="en-GB"/>
        </w:rPr>
        <w:t xml:space="preserve"> advertisement</w:t>
      </w:r>
      <w:r w:rsidR="00127041">
        <w:rPr>
          <w:sz w:val="22"/>
          <w:szCs w:val="22"/>
          <w:lang w:val="en-GB" w:eastAsia="en-GB"/>
        </w:rPr>
        <w:t>s</w:t>
      </w:r>
      <w:r>
        <w:rPr>
          <w:sz w:val="22"/>
          <w:szCs w:val="22"/>
          <w:lang w:val="en-GB" w:eastAsia="en-GB"/>
        </w:rPr>
        <w:t xml:space="preserve"> to complete before they could resume the use of the app.</w:t>
      </w:r>
      <w:r w:rsidR="00A36B54" w:rsidRPr="00433C05">
        <w:rPr>
          <w:sz w:val="22"/>
          <w:szCs w:val="22"/>
          <w:vertAlign w:val="superscript"/>
          <w:lang w:val="en-GB" w:eastAsia="en-GB"/>
        </w:rPr>
        <w:endnoteReference w:id="29"/>
      </w:r>
      <w:r w:rsidR="00A36B54" w:rsidRPr="00433C05">
        <w:rPr>
          <w:sz w:val="22"/>
          <w:szCs w:val="22"/>
          <w:lang w:val="en-GB" w:eastAsia="en-GB"/>
        </w:rPr>
        <w:t xml:space="preserve"> </w:t>
      </w:r>
      <w:r>
        <w:rPr>
          <w:sz w:val="22"/>
          <w:szCs w:val="22"/>
          <w:lang w:val="en-GB" w:eastAsia="en-GB"/>
        </w:rPr>
        <w:t xml:space="preserve">Of all monetization models, in-app purchases and interstitial video advertisements </w:t>
      </w:r>
      <w:r w:rsidR="00E97335" w:rsidRPr="00433C05">
        <w:rPr>
          <w:sz w:val="22"/>
          <w:szCs w:val="22"/>
          <w:lang w:val="en-GB" w:eastAsia="en-GB"/>
        </w:rPr>
        <w:t>were considered</w:t>
      </w:r>
      <w:r w:rsidR="00A36B54" w:rsidRPr="00433C05">
        <w:rPr>
          <w:sz w:val="22"/>
          <w:szCs w:val="22"/>
          <w:lang w:val="en-GB" w:eastAsia="en-GB"/>
        </w:rPr>
        <w:t xml:space="preserve"> </w:t>
      </w:r>
      <w:r w:rsidR="00202F83">
        <w:rPr>
          <w:sz w:val="22"/>
          <w:szCs w:val="22"/>
          <w:lang w:val="en-GB" w:eastAsia="en-GB"/>
        </w:rPr>
        <w:t xml:space="preserve">most </w:t>
      </w:r>
      <w:r w:rsidR="00A36B54" w:rsidRPr="00433C05">
        <w:rPr>
          <w:sz w:val="22"/>
          <w:szCs w:val="22"/>
          <w:lang w:val="en-GB" w:eastAsia="en-GB"/>
        </w:rPr>
        <w:t xml:space="preserve">effective </w:t>
      </w:r>
      <w:r w:rsidR="00E97335" w:rsidRPr="00433C05">
        <w:rPr>
          <w:sz w:val="22"/>
          <w:szCs w:val="22"/>
          <w:lang w:val="en-GB" w:eastAsia="en-GB"/>
        </w:rPr>
        <w:t>by developers</w:t>
      </w:r>
      <w:r w:rsidR="00A36B54" w:rsidRPr="00433C05">
        <w:rPr>
          <w:sz w:val="22"/>
          <w:szCs w:val="22"/>
          <w:lang w:val="en-GB" w:eastAsia="en-GB"/>
        </w:rPr>
        <w:t xml:space="preserve">, </w:t>
      </w:r>
      <w:r w:rsidR="00EC324B" w:rsidRPr="00433C05">
        <w:rPr>
          <w:sz w:val="22"/>
          <w:szCs w:val="22"/>
          <w:lang w:val="en-GB" w:eastAsia="en-GB"/>
        </w:rPr>
        <w:t>whe</w:t>
      </w:r>
      <w:r>
        <w:rPr>
          <w:sz w:val="22"/>
          <w:szCs w:val="22"/>
          <w:lang w:val="en-GB" w:eastAsia="en-GB"/>
        </w:rPr>
        <w:t>reas</w:t>
      </w:r>
      <w:r w:rsidR="00EC324B" w:rsidRPr="00433C05">
        <w:rPr>
          <w:sz w:val="22"/>
          <w:szCs w:val="22"/>
          <w:lang w:val="en-GB" w:eastAsia="en-GB"/>
        </w:rPr>
        <w:t xml:space="preserve"> </w:t>
      </w:r>
      <w:r>
        <w:rPr>
          <w:sz w:val="22"/>
          <w:szCs w:val="22"/>
          <w:lang w:val="en-GB" w:eastAsia="en-GB"/>
        </w:rPr>
        <w:t>p</w:t>
      </w:r>
      <w:r w:rsidR="00A36B54" w:rsidRPr="00433C05">
        <w:rPr>
          <w:sz w:val="22"/>
          <w:szCs w:val="22"/>
          <w:lang w:val="en-GB" w:eastAsia="en-GB"/>
        </w:rPr>
        <w:t xml:space="preserve">aid </w:t>
      </w:r>
      <w:r>
        <w:rPr>
          <w:sz w:val="22"/>
          <w:szCs w:val="22"/>
          <w:lang w:val="en-GB" w:eastAsia="en-GB"/>
        </w:rPr>
        <w:t>a</w:t>
      </w:r>
      <w:r w:rsidR="00A36B54" w:rsidRPr="00433C05">
        <w:rPr>
          <w:sz w:val="22"/>
          <w:szCs w:val="22"/>
          <w:lang w:val="en-GB" w:eastAsia="en-GB"/>
        </w:rPr>
        <w:t xml:space="preserve">pp </w:t>
      </w:r>
      <w:r>
        <w:rPr>
          <w:sz w:val="22"/>
          <w:szCs w:val="22"/>
          <w:lang w:val="en-GB" w:eastAsia="en-GB"/>
        </w:rPr>
        <w:t>d</w:t>
      </w:r>
      <w:r w:rsidR="00A36B54" w:rsidRPr="00433C05">
        <w:rPr>
          <w:sz w:val="22"/>
          <w:szCs w:val="22"/>
          <w:lang w:val="en-GB" w:eastAsia="en-GB"/>
        </w:rPr>
        <w:t xml:space="preserve">ownloads and </w:t>
      </w:r>
      <w:r>
        <w:rPr>
          <w:sz w:val="22"/>
          <w:szCs w:val="22"/>
          <w:lang w:val="en-GB" w:eastAsia="en-GB"/>
        </w:rPr>
        <w:t>s</w:t>
      </w:r>
      <w:r w:rsidR="00A36B54" w:rsidRPr="00433C05">
        <w:rPr>
          <w:sz w:val="22"/>
          <w:szCs w:val="22"/>
          <w:lang w:val="en-GB" w:eastAsia="en-GB"/>
        </w:rPr>
        <w:t xml:space="preserve">ubscriptions scored low on </w:t>
      </w:r>
      <w:r w:rsidR="00202F83">
        <w:rPr>
          <w:sz w:val="22"/>
          <w:szCs w:val="22"/>
          <w:lang w:val="en-GB" w:eastAsia="en-GB"/>
        </w:rPr>
        <w:t xml:space="preserve">their </w:t>
      </w:r>
      <w:r w:rsidR="00A36B54" w:rsidRPr="00433C05">
        <w:rPr>
          <w:sz w:val="22"/>
          <w:szCs w:val="22"/>
          <w:lang w:val="en-GB" w:eastAsia="en-GB"/>
        </w:rPr>
        <w:t>perceived monetization effectiveness</w:t>
      </w:r>
      <w:r w:rsidR="00A36B54" w:rsidRPr="00433C05">
        <w:rPr>
          <w:sz w:val="22"/>
          <w:szCs w:val="22"/>
          <w:vertAlign w:val="superscript"/>
          <w:lang w:val="en-GB" w:eastAsia="en-GB"/>
        </w:rPr>
        <w:endnoteReference w:id="30"/>
      </w:r>
      <w:r w:rsidR="00A36B54" w:rsidRPr="00433C05">
        <w:rPr>
          <w:sz w:val="22"/>
          <w:szCs w:val="22"/>
          <w:lang w:val="en-GB" w:eastAsia="en-GB"/>
        </w:rPr>
        <w:t xml:space="preserve"> (</w:t>
      </w:r>
      <w:r>
        <w:rPr>
          <w:sz w:val="22"/>
          <w:szCs w:val="22"/>
          <w:lang w:val="en-GB" w:eastAsia="en-GB"/>
        </w:rPr>
        <w:t xml:space="preserve">see </w:t>
      </w:r>
      <w:r w:rsidR="00A36B54" w:rsidRPr="00433C05">
        <w:rPr>
          <w:sz w:val="22"/>
          <w:szCs w:val="22"/>
          <w:lang w:val="en-GB" w:eastAsia="en-GB"/>
        </w:rPr>
        <w:t>Exhibit 7).</w:t>
      </w:r>
    </w:p>
    <w:p w14:paraId="3C642E87" w14:textId="6F2203FF" w:rsidR="00A71B6E" w:rsidRDefault="00A71B6E" w:rsidP="00A36B54">
      <w:pPr>
        <w:jc w:val="both"/>
        <w:rPr>
          <w:sz w:val="22"/>
          <w:szCs w:val="22"/>
          <w:lang w:val="en-GB" w:eastAsia="en-GB"/>
        </w:rPr>
      </w:pPr>
    </w:p>
    <w:p w14:paraId="07002DC6" w14:textId="77777777" w:rsidR="00456853" w:rsidRPr="00433C05" w:rsidRDefault="00456853" w:rsidP="00A36B54">
      <w:pPr>
        <w:jc w:val="both"/>
        <w:rPr>
          <w:sz w:val="22"/>
          <w:szCs w:val="22"/>
          <w:lang w:val="en-GB" w:eastAsia="en-GB"/>
        </w:rPr>
      </w:pPr>
    </w:p>
    <w:p w14:paraId="35E1B672" w14:textId="4CDD30C3" w:rsidR="00A71B6E" w:rsidRPr="00433C05" w:rsidRDefault="00A71B6E" w:rsidP="00A36B54">
      <w:pPr>
        <w:jc w:val="both"/>
        <w:rPr>
          <w:rFonts w:ascii="Arial" w:hAnsi="Arial" w:cs="Arial"/>
          <w:b/>
          <w:bCs/>
          <w:lang w:val="en-GB" w:eastAsia="en-GB"/>
        </w:rPr>
      </w:pPr>
      <w:r w:rsidRPr="00433C05">
        <w:rPr>
          <w:rFonts w:ascii="Arial" w:hAnsi="Arial" w:cs="Arial"/>
          <w:b/>
          <w:bCs/>
          <w:lang w:val="en-GB" w:eastAsia="en-GB"/>
        </w:rPr>
        <w:t xml:space="preserve">Revenue Model for Google and </w:t>
      </w:r>
      <w:r w:rsidR="00C77670">
        <w:rPr>
          <w:rFonts w:ascii="Arial" w:hAnsi="Arial" w:cs="Arial"/>
          <w:b/>
          <w:bCs/>
          <w:lang w:val="en-GB" w:eastAsia="en-GB"/>
        </w:rPr>
        <w:t>I</w:t>
      </w:r>
      <w:r w:rsidRPr="00433C05">
        <w:rPr>
          <w:rFonts w:ascii="Arial" w:hAnsi="Arial" w:cs="Arial"/>
          <w:b/>
          <w:bCs/>
          <w:lang w:val="en-GB" w:eastAsia="en-GB"/>
        </w:rPr>
        <w:t xml:space="preserve">ts </w:t>
      </w:r>
      <w:r w:rsidR="00C77670">
        <w:rPr>
          <w:rFonts w:ascii="Arial" w:hAnsi="Arial" w:cs="Arial"/>
          <w:b/>
          <w:bCs/>
          <w:lang w:val="en-GB" w:eastAsia="en-GB"/>
        </w:rPr>
        <w:t>C</w:t>
      </w:r>
      <w:r w:rsidRPr="00433C05">
        <w:rPr>
          <w:rFonts w:ascii="Arial" w:hAnsi="Arial" w:cs="Arial"/>
          <w:b/>
          <w:bCs/>
          <w:lang w:val="en-GB" w:eastAsia="en-GB"/>
        </w:rPr>
        <w:t>ompetitors</w:t>
      </w:r>
    </w:p>
    <w:p w14:paraId="1BB99CD9" w14:textId="77777777" w:rsidR="00A36B54" w:rsidRPr="00433C05" w:rsidRDefault="00A36B54" w:rsidP="00A36B54">
      <w:pPr>
        <w:jc w:val="both"/>
        <w:rPr>
          <w:sz w:val="22"/>
          <w:szCs w:val="22"/>
          <w:lang w:val="en-GB" w:eastAsia="en-GB"/>
        </w:rPr>
      </w:pPr>
    </w:p>
    <w:p w14:paraId="3AC2FE62" w14:textId="11C52988" w:rsidR="00A36B54" w:rsidRPr="00433C05" w:rsidRDefault="00A36B54" w:rsidP="00A36B54">
      <w:pPr>
        <w:jc w:val="both"/>
        <w:rPr>
          <w:sz w:val="22"/>
          <w:szCs w:val="22"/>
          <w:lang w:val="en-GB" w:eastAsia="en-GB"/>
        </w:rPr>
      </w:pPr>
      <w:r w:rsidRPr="00433C05">
        <w:rPr>
          <w:sz w:val="22"/>
          <w:szCs w:val="22"/>
          <w:lang w:val="en-GB" w:eastAsia="en-GB"/>
        </w:rPr>
        <w:t>Google and Apple</w:t>
      </w:r>
      <w:r w:rsidR="00E97335" w:rsidRPr="00433C05">
        <w:rPr>
          <w:sz w:val="22"/>
          <w:szCs w:val="22"/>
          <w:lang w:val="en-GB" w:eastAsia="en-GB"/>
        </w:rPr>
        <w:t xml:space="preserve"> </w:t>
      </w:r>
      <w:r w:rsidR="00C77670">
        <w:rPr>
          <w:sz w:val="22"/>
          <w:szCs w:val="22"/>
          <w:lang w:val="en-GB" w:eastAsia="en-GB"/>
        </w:rPr>
        <w:t>used similar</w:t>
      </w:r>
      <w:r w:rsidR="00E97335" w:rsidRPr="00433C05">
        <w:rPr>
          <w:sz w:val="22"/>
          <w:szCs w:val="22"/>
          <w:lang w:val="en-GB" w:eastAsia="en-GB"/>
        </w:rPr>
        <w:t xml:space="preserve"> revenue models.</w:t>
      </w:r>
      <w:r w:rsidRPr="00433C05">
        <w:rPr>
          <w:sz w:val="22"/>
          <w:szCs w:val="22"/>
          <w:lang w:val="en-GB" w:eastAsia="en-GB"/>
        </w:rPr>
        <w:t xml:space="preserve"> The share</w:t>
      </w:r>
      <w:r w:rsidR="00C77670">
        <w:rPr>
          <w:sz w:val="22"/>
          <w:szCs w:val="22"/>
          <w:lang w:val="en-GB" w:eastAsia="en-GB"/>
        </w:rPr>
        <w:t xml:space="preserve"> of revenue generated by</w:t>
      </w:r>
      <w:r w:rsidRPr="00433C05">
        <w:rPr>
          <w:sz w:val="22"/>
          <w:szCs w:val="22"/>
          <w:lang w:val="en-GB" w:eastAsia="en-GB"/>
        </w:rPr>
        <w:t xml:space="preserve"> paid app</w:t>
      </w:r>
      <w:r w:rsidR="00C77670">
        <w:rPr>
          <w:sz w:val="22"/>
          <w:szCs w:val="22"/>
          <w:lang w:val="en-GB" w:eastAsia="en-GB"/>
        </w:rPr>
        <w:t xml:space="preserve"> download</w:t>
      </w:r>
      <w:r w:rsidRPr="00433C05">
        <w:rPr>
          <w:sz w:val="22"/>
          <w:szCs w:val="22"/>
          <w:lang w:val="en-GB" w:eastAsia="en-GB"/>
        </w:rPr>
        <w:t>s and in-app purchases was 70 per cent</w:t>
      </w:r>
      <w:r w:rsidR="00C77670">
        <w:rPr>
          <w:sz w:val="22"/>
          <w:szCs w:val="22"/>
          <w:lang w:val="en-GB" w:eastAsia="en-GB"/>
        </w:rPr>
        <w:t xml:space="preserve"> for the developer and 30 per cent </w:t>
      </w:r>
      <w:r w:rsidR="00417EE6">
        <w:rPr>
          <w:sz w:val="22"/>
          <w:szCs w:val="22"/>
          <w:lang w:val="en-GB" w:eastAsia="en-GB"/>
        </w:rPr>
        <w:t>for</w:t>
      </w:r>
      <w:r w:rsidRPr="00433C05">
        <w:rPr>
          <w:sz w:val="22"/>
          <w:szCs w:val="22"/>
          <w:lang w:val="en-GB" w:eastAsia="en-GB"/>
        </w:rPr>
        <w:t xml:space="preserve"> Google</w:t>
      </w:r>
      <w:r w:rsidR="00C77670">
        <w:rPr>
          <w:sz w:val="22"/>
          <w:szCs w:val="22"/>
          <w:lang w:val="en-GB" w:eastAsia="en-GB"/>
        </w:rPr>
        <w:t xml:space="preserve"> or </w:t>
      </w:r>
      <w:r w:rsidRPr="00433C05">
        <w:rPr>
          <w:sz w:val="22"/>
          <w:szCs w:val="22"/>
          <w:lang w:val="en-GB" w:eastAsia="en-GB"/>
        </w:rPr>
        <w:t>Apple.</w:t>
      </w:r>
      <w:r w:rsidR="00A71B6E" w:rsidRPr="00433C05">
        <w:rPr>
          <w:sz w:val="22"/>
          <w:szCs w:val="22"/>
          <w:lang w:val="en-GB" w:eastAsia="en-GB"/>
        </w:rPr>
        <w:t xml:space="preserve"> For</w:t>
      </w:r>
      <w:r w:rsidRPr="00433C05">
        <w:rPr>
          <w:sz w:val="22"/>
          <w:szCs w:val="22"/>
          <w:lang w:val="en-GB" w:eastAsia="en-GB"/>
        </w:rPr>
        <w:t xml:space="preserve"> in-app subscriptions, </w:t>
      </w:r>
      <w:r w:rsidR="00C77670">
        <w:rPr>
          <w:sz w:val="22"/>
          <w:szCs w:val="22"/>
          <w:lang w:val="en-GB" w:eastAsia="en-GB"/>
        </w:rPr>
        <w:t xml:space="preserve">the share that </w:t>
      </w:r>
      <w:r w:rsidRPr="00433C05">
        <w:rPr>
          <w:sz w:val="22"/>
          <w:szCs w:val="22"/>
          <w:lang w:val="en-GB" w:eastAsia="en-GB"/>
        </w:rPr>
        <w:t>Google</w:t>
      </w:r>
      <w:r w:rsidR="00C77670">
        <w:rPr>
          <w:sz w:val="22"/>
          <w:szCs w:val="22"/>
          <w:lang w:val="en-GB" w:eastAsia="en-GB"/>
        </w:rPr>
        <w:t xml:space="preserve"> or </w:t>
      </w:r>
      <w:r w:rsidRPr="00433C05">
        <w:rPr>
          <w:sz w:val="22"/>
          <w:szCs w:val="22"/>
          <w:lang w:val="en-GB" w:eastAsia="en-GB"/>
        </w:rPr>
        <w:t xml:space="preserve">Apple charged </w:t>
      </w:r>
      <w:r w:rsidR="00C77670">
        <w:rPr>
          <w:sz w:val="22"/>
          <w:szCs w:val="22"/>
          <w:lang w:val="en-GB" w:eastAsia="en-GB"/>
        </w:rPr>
        <w:t>was</w:t>
      </w:r>
      <w:r w:rsidRPr="00433C05">
        <w:rPr>
          <w:sz w:val="22"/>
          <w:szCs w:val="22"/>
          <w:lang w:val="en-GB" w:eastAsia="en-GB"/>
        </w:rPr>
        <w:t xml:space="preserve"> 30 per cent in the first year</w:t>
      </w:r>
      <w:r w:rsidR="00C77670">
        <w:rPr>
          <w:sz w:val="22"/>
          <w:szCs w:val="22"/>
          <w:lang w:val="en-GB" w:eastAsia="en-GB"/>
        </w:rPr>
        <w:t xml:space="preserve"> and</w:t>
      </w:r>
      <w:r w:rsidRPr="00433C05">
        <w:rPr>
          <w:sz w:val="22"/>
          <w:szCs w:val="22"/>
          <w:lang w:val="en-GB" w:eastAsia="en-GB"/>
        </w:rPr>
        <w:t xml:space="preserve"> 15 per cent in successive years. </w:t>
      </w:r>
      <w:r w:rsidR="00C77670">
        <w:rPr>
          <w:sz w:val="22"/>
          <w:szCs w:val="22"/>
          <w:lang w:val="en-GB" w:eastAsia="en-GB"/>
        </w:rPr>
        <w:t>However</w:t>
      </w:r>
      <w:r w:rsidR="0012191D">
        <w:rPr>
          <w:sz w:val="22"/>
          <w:szCs w:val="22"/>
          <w:lang w:val="en-GB" w:eastAsia="en-GB"/>
        </w:rPr>
        <w:t>,</w:t>
      </w:r>
      <w:r w:rsidR="00C77670">
        <w:rPr>
          <w:sz w:val="22"/>
          <w:szCs w:val="22"/>
          <w:lang w:val="en-GB" w:eastAsia="en-GB"/>
        </w:rPr>
        <w:t xml:space="preserve"> for</w:t>
      </w:r>
      <w:r w:rsidRPr="00433C05">
        <w:rPr>
          <w:sz w:val="22"/>
          <w:szCs w:val="22"/>
          <w:lang w:val="en-GB" w:eastAsia="en-GB"/>
        </w:rPr>
        <w:t xml:space="preserve"> in-app advertising and in-app sale</w:t>
      </w:r>
      <w:r w:rsidR="00C77670">
        <w:rPr>
          <w:sz w:val="22"/>
          <w:szCs w:val="22"/>
          <w:lang w:val="en-GB" w:eastAsia="en-GB"/>
        </w:rPr>
        <w:t>s</w:t>
      </w:r>
      <w:r w:rsidRPr="00433C05">
        <w:rPr>
          <w:sz w:val="22"/>
          <w:szCs w:val="22"/>
          <w:lang w:val="en-GB" w:eastAsia="en-GB"/>
        </w:rPr>
        <w:t xml:space="preserve"> of physical goods</w:t>
      </w:r>
      <w:r w:rsidR="00C77670">
        <w:rPr>
          <w:sz w:val="22"/>
          <w:szCs w:val="22"/>
          <w:lang w:val="en-GB" w:eastAsia="en-GB"/>
        </w:rPr>
        <w:t xml:space="preserve">, the developers kept all </w:t>
      </w:r>
      <w:r w:rsidR="00CD4768">
        <w:rPr>
          <w:sz w:val="22"/>
          <w:szCs w:val="22"/>
          <w:lang w:val="en-GB" w:eastAsia="en-GB"/>
        </w:rPr>
        <w:t>revenue (</w:t>
      </w:r>
      <w:r w:rsidR="00C77670">
        <w:rPr>
          <w:sz w:val="22"/>
          <w:szCs w:val="22"/>
          <w:lang w:val="en-GB" w:eastAsia="en-GB"/>
        </w:rPr>
        <w:t>100 per cent</w:t>
      </w:r>
      <w:r w:rsidR="00CD4768">
        <w:rPr>
          <w:sz w:val="22"/>
          <w:szCs w:val="22"/>
          <w:lang w:val="en-GB" w:eastAsia="en-GB"/>
        </w:rPr>
        <w:t>)</w:t>
      </w:r>
      <w:r w:rsidRPr="00433C05">
        <w:rPr>
          <w:sz w:val="22"/>
          <w:szCs w:val="22"/>
          <w:lang w:val="en-GB" w:eastAsia="en-GB"/>
        </w:rPr>
        <w:t>.</w:t>
      </w:r>
      <w:r w:rsidRPr="00433C05">
        <w:rPr>
          <w:sz w:val="22"/>
          <w:szCs w:val="22"/>
          <w:vertAlign w:val="superscript"/>
          <w:lang w:val="en-GB" w:eastAsia="en-GB"/>
        </w:rPr>
        <w:endnoteReference w:id="31"/>
      </w:r>
      <w:r w:rsidRPr="00433C05">
        <w:rPr>
          <w:sz w:val="22"/>
          <w:szCs w:val="22"/>
          <w:lang w:val="en-GB" w:eastAsia="en-GB"/>
        </w:rPr>
        <w:t xml:space="preserve"> </w:t>
      </w:r>
      <w:r w:rsidR="00C77670">
        <w:rPr>
          <w:sz w:val="22"/>
          <w:szCs w:val="22"/>
          <w:lang w:val="en-GB" w:eastAsia="en-GB"/>
        </w:rPr>
        <w:t xml:space="preserve">The </w:t>
      </w:r>
      <w:r w:rsidR="00CD4768">
        <w:rPr>
          <w:sz w:val="22"/>
          <w:szCs w:val="22"/>
          <w:lang w:val="en-GB" w:eastAsia="en-GB"/>
        </w:rPr>
        <w:t xml:space="preserve">pricing model of </w:t>
      </w:r>
      <w:r w:rsidR="00BD7E88">
        <w:rPr>
          <w:sz w:val="22"/>
          <w:szCs w:val="22"/>
          <w:lang w:val="en-GB" w:eastAsia="en-GB"/>
        </w:rPr>
        <w:t xml:space="preserve">30 per cent </w:t>
      </w:r>
      <w:r w:rsidR="00CD4768">
        <w:rPr>
          <w:sz w:val="22"/>
          <w:szCs w:val="22"/>
          <w:lang w:val="en-GB" w:eastAsia="en-GB"/>
        </w:rPr>
        <w:t>commission</w:t>
      </w:r>
      <w:r w:rsidR="00C77670">
        <w:rPr>
          <w:sz w:val="22"/>
          <w:szCs w:val="22"/>
          <w:lang w:val="en-GB" w:eastAsia="en-GB"/>
        </w:rPr>
        <w:t xml:space="preserve"> that Google and Apple charged was also adopted by many smaller app distributors including</w:t>
      </w:r>
      <w:r w:rsidRPr="00433C05">
        <w:rPr>
          <w:sz w:val="22"/>
          <w:szCs w:val="22"/>
          <w:lang w:val="en-GB" w:eastAsia="en-GB"/>
        </w:rPr>
        <w:t xml:space="preserve"> </w:t>
      </w:r>
      <w:r w:rsidR="00C77670">
        <w:rPr>
          <w:sz w:val="22"/>
          <w:szCs w:val="22"/>
          <w:lang w:val="en-GB" w:eastAsia="en-GB"/>
        </w:rPr>
        <w:t>the</w:t>
      </w:r>
      <w:r w:rsidRPr="00433C05">
        <w:rPr>
          <w:sz w:val="22"/>
          <w:szCs w:val="22"/>
          <w:lang w:val="en-GB" w:eastAsia="en-GB"/>
        </w:rPr>
        <w:t xml:space="preserve"> Galaxy Store</w:t>
      </w:r>
      <w:r w:rsidR="00E97F6E">
        <w:rPr>
          <w:sz w:val="22"/>
          <w:szCs w:val="22"/>
          <w:lang w:val="en-GB" w:eastAsia="en-GB"/>
        </w:rPr>
        <w:t>,</w:t>
      </w:r>
      <w:r w:rsidR="00C77670">
        <w:rPr>
          <w:sz w:val="22"/>
          <w:szCs w:val="22"/>
          <w:lang w:val="en-GB" w:eastAsia="en-GB"/>
        </w:rPr>
        <w:t xml:space="preserve"> by </w:t>
      </w:r>
      <w:r w:rsidR="00C77670" w:rsidRPr="00433C05">
        <w:rPr>
          <w:sz w:val="22"/>
          <w:szCs w:val="22"/>
          <w:lang w:val="en-GB" w:eastAsia="en-GB"/>
        </w:rPr>
        <w:t>Samsung</w:t>
      </w:r>
      <w:r w:rsidR="00C77670" w:rsidRPr="00C77670">
        <w:rPr>
          <w:sz w:val="22"/>
          <w:szCs w:val="22"/>
          <w:lang w:val="en-GB" w:eastAsia="en-GB"/>
        </w:rPr>
        <w:t xml:space="preserve"> Electronics Co. Ltd</w:t>
      </w:r>
      <w:r w:rsidR="00C77670">
        <w:rPr>
          <w:sz w:val="22"/>
          <w:szCs w:val="22"/>
          <w:lang w:val="en-GB" w:eastAsia="en-GB"/>
        </w:rPr>
        <w:t>.</w:t>
      </w:r>
      <w:r w:rsidR="00E97F6E">
        <w:rPr>
          <w:sz w:val="22"/>
          <w:szCs w:val="22"/>
          <w:lang w:val="en-GB" w:eastAsia="en-GB"/>
        </w:rPr>
        <w:t xml:space="preserve"> (Samsung</w:t>
      </w:r>
      <w:r w:rsidR="00BD7E88">
        <w:rPr>
          <w:sz w:val="22"/>
          <w:szCs w:val="22"/>
          <w:lang w:val="en-GB" w:eastAsia="en-GB"/>
        </w:rPr>
        <w:t>)</w:t>
      </w:r>
      <w:r w:rsidR="00417EE6">
        <w:rPr>
          <w:sz w:val="22"/>
          <w:szCs w:val="22"/>
          <w:lang w:val="en-GB" w:eastAsia="en-GB"/>
        </w:rPr>
        <w:t>;</w:t>
      </w:r>
      <w:r w:rsidRPr="00433C05">
        <w:rPr>
          <w:sz w:val="22"/>
          <w:szCs w:val="22"/>
          <w:lang w:val="en-GB" w:eastAsia="en-GB"/>
        </w:rPr>
        <w:t xml:space="preserve"> </w:t>
      </w:r>
      <w:r w:rsidR="00BD7E88">
        <w:rPr>
          <w:sz w:val="22"/>
          <w:szCs w:val="22"/>
          <w:lang w:val="en-GB" w:eastAsia="en-GB"/>
        </w:rPr>
        <w:t xml:space="preserve">the </w:t>
      </w:r>
      <w:r w:rsidRPr="00433C05">
        <w:rPr>
          <w:sz w:val="22"/>
          <w:szCs w:val="22"/>
          <w:lang w:val="en-GB" w:eastAsia="en-GB"/>
        </w:rPr>
        <w:t>Amazon Appstore</w:t>
      </w:r>
      <w:r w:rsidR="00417EE6">
        <w:rPr>
          <w:sz w:val="22"/>
          <w:szCs w:val="22"/>
          <w:lang w:val="en-GB" w:eastAsia="en-GB"/>
        </w:rPr>
        <w:t>;</w:t>
      </w:r>
      <w:r w:rsidRPr="00433C05">
        <w:rPr>
          <w:sz w:val="22"/>
          <w:szCs w:val="22"/>
          <w:lang w:val="en-GB" w:eastAsia="en-GB"/>
        </w:rPr>
        <w:t xml:space="preserve"> </w:t>
      </w:r>
      <w:r w:rsidR="00E74FDB" w:rsidRPr="00433C05">
        <w:rPr>
          <w:sz w:val="22"/>
          <w:szCs w:val="22"/>
          <w:lang w:val="en-GB" w:eastAsia="en-GB"/>
        </w:rPr>
        <w:t xml:space="preserve">and </w:t>
      </w:r>
      <w:r w:rsidR="00BD7E88">
        <w:rPr>
          <w:sz w:val="22"/>
          <w:szCs w:val="22"/>
          <w:lang w:val="en-GB" w:eastAsia="en-GB"/>
        </w:rPr>
        <w:t>the</w:t>
      </w:r>
      <w:r w:rsidR="00E74FDB" w:rsidRPr="00433C05">
        <w:rPr>
          <w:sz w:val="22"/>
          <w:szCs w:val="22"/>
          <w:lang w:val="en-GB" w:eastAsia="en-GB"/>
        </w:rPr>
        <w:t xml:space="preserve"> Microsoft Store</w:t>
      </w:r>
      <w:r w:rsidRPr="00433C05">
        <w:rPr>
          <w:sz w:val="22"/>
          <w:szCs w:val="22"/>
          <w:lang w:val="en-GB" w:eastAsia="en-GB"/>
        </w:rPr>
        <w:t>.</w:t>
      </w:r>
      <w:r w:rsidRPr="00433C05">
        <w:rPr>
          <w:sz w:val="22"/>
          <w:szCs w:val="22"/>
          <w:vertAlign w:val="superscript"/>
          <w:lang w:val="en-GB" w:eastAsia="en-GB"/>
        </w:rPr>
        <w:endnoteReference w:id="32"/>
      </w:r>
    </w:p>
    <w:p w14:paraId="2D2A237C" w14:textId="77777777" w:rsidR="00E74FDB" w:rsidRPr="00433C05" w:rsidRDefault="00E74FDB" w:rsidP="00A36B54">
      <w:pPr>
        <w:pStyle w:val="BodyTextMain"/>
        <w:rPr>
          <w:lang w:val="en-GB" w:eastAsia="en-GB"/>
        </w:rPr>
      </w:pPr>
    </w:p>
    <w:p w14:paraId="7FEF0909" w14:textId="77777777" w:rsidR="00A36B54" w:rsidRPr="00433C05" w:rsidRDefault="00A36B54" w:rsidP="00A36B54">
      <w:pPr>
        <w:pStyle w:val="BodyTextMain"/>
        <w:rPr>
          <w:lang w:val="en-GB" w:eastAsia="en-GB"/>
        </w:rPr>
      </w:pPr>
    </w:p>
    <w:p w14:paraId="251113DB" w14:textId="77777777" w:rsidR="00A36B54" w:rsidRPr="00433C05" w:rsidRDefault="00A36B54" w:rsidP="00A36B54">
      <w:pPr>
        <w:pStyle w:val="Casehead2"/>
        <w:rPr>
          <w:lang w:val="en-GB" w:eastAsia="en-GB"/>
        </w:rPr>
      </w:pPr>
      <w:r w:rsidRPr="00433C05">
        <w:rPr>
          <w:lang w:val="en-GB" w:eastAsia="en-GB"/>
        </w:rPr>
        <w:t>Google’s Android OS and Google Play</w:t>
      </w:r>
    </w:p>
    <w:p w14:paraId="1B336FB5" w14:textId="77777777" w:rsidR="00A36B54" w:rsidRPr="00433C05" w:rsidRDefault="00A36B54" w:rsidP="00A36B54">
      <w:pPr>
        <w:jc w:val="both"/>
        <w:rPr>
          <w:sz w:val="24"/>
          <w:szCs w:val="24"/>
          <w:lang w:val="en-GB" w:eastAsia="en-GB"/>
        </w:rPr>
      </w:pPr>
    </w:p>
    <w:p w14:paraId="1F51409B" w14:textId="306E117D" w:rsidR="00A36B54" w:rsidRPr="00433C05" w:rsidRDefault="00A36B54" w:rsidP="00A36B54">
      <w:pPr>
        <w:jc w:val="both"/>
        <w:rPr>
          <w:sz w:val="22"/>
          <w:szCs w:val="22"/>
          <w:lang w:val="en-GB" w:eastAsia="en-GB"/>
        </w:rPr>
      </w:pPr>
      <w:r w:rsidRPr="00433C05">
        <w:rPr>
          <w:sz w:val="22"/>
          <w:szCs w:val="22"/>
          <w:lang w:val="en-GB" w:eastAsia="en-GB"/>
        </w:rPr>
        <w:t xml:space="preserve">Google claimed that its </w:t>
      </w:r>
      <w:r w:rsidR="005E2BE1">
        <w:rPr>
          <w:sz w:val="22"/>
          <w:szCs w:val="22"/>
          <w:lang w:val="en-GB" w:eastAsia="en-GB"/>
        </w:rPr>
        <w:t>OS</w:t>
      </w:r>
      <w:r w:rsidRPr="00433C05">
        <w:rPr>
          <w:sz w:val="22"/>
          <w:szCs w:val="22"/>
          <w:lang w:val="en-GB" w:eastAsia="en-GB"/>
        </w:rPr>
        <w:t xml:space="preserve"> Android was </w:t>
      </w:r>
      <w:r w:rsidR="00CD4768">
        <w:rPr>
          <w:sz w:val="22"/>
          <w:szCs w:val="22"/>
          <w:lang w:val="en-GB" w:eastAsia="en-GB"/>
        </w:rPr>
        <w:t>o</w:t>
      </w:r>
      <w:r w:rsidRPr="00433C05">
        <w:rPr>
          <w:sz w:val="22"/>
          <w:szCs w:val="22"/>
          <w:lang w:val="en-GB" w:eastAsia="en-GB"/>
        </w:rPr>
        <w:t xml:space="preserve">pen </w:t>
      </w:r>
      <w:r w:rsidR="00CD4768">
        <w:rPr>
          <w:sz w:val="22"/>
          <w:szCs w:val="22"/>
          <w:lang w:val="en-GB" w:eastAsia="en-GB"/>
        </w:rPr>
        <w:t>s</w:t>
      </w:r>
      <w:r w:rsidRPr="00433C05">
        <w:rPr>
          <w:sz w:val="22"/>
          <w:szCs w:val="22"/>
          <w:lang w:val="en-GB" w:eastAsia="en-GB"/>
        </w:rPr>
        <w:t>ource</w:t>
      </w:r>
      <w:r w:rsidR="00CD4768">
        <w:rPr>
          <w:sz w:val="22"/>
          <w:szCs w:val="22"/>
          <w:lang w:val="en-GB" w:eastAsia="en-GB"/>
        </w:rPr>
        <w:t xml:space="preserve"> software that was</w:t>
      </w:r>
      <w:r w:rsidRPr="00433C05">
        <w:rPr>
          <w:sz w:val="22"/>
          <w:szCs w:val="22"/>
          <w:lang w:val="en-GB" w:eastAsia="en-GB"/>
        </w:rPr>
        <w:t xml:space="preserve"> free for anyone</w:t>
      </w:r>
      <w:r w:rsidR="005E2BE1">
        <w:rPr>
          <w:sz w:val="22"/>
          <w:szCs w:val="22"/>
          <w:lang w:val="en-GB" w:eastAsia="en-GB"/>
        </w:rPr>
        <w:t>’s use without</w:t>
      </w:r>
      <w:r w:rsidR="00CD4768">
        <w:rPr>
          <w:sz w:val="22"/>
          <w:szCs w:val="22"/>
          <w:lang w:val="en-GB" w:eastAsia="en-GB"/>
        </w:rPr>
        <w:t xml:space="preserve"> any</w:t>
      </w:r>
      <w:r w:rsidRPr="00433C05">
        <w:rPr>
          <w:sz w:val="22"/>
          <w:szCs w:val="22"/>
          <w:lang w:val="en-GB" w:eastAsia="en-GB"/>
        </w:rPr>
        <w:t xml:space="preserve"> licensing fees. Analysts</w:t>
      </w:r>
      <w:r w:rsidR="00CD4768">
        <w:rPr>
          <w:sz w:val="22"/>
          <w:szCs w:val="22"/>
          <w:lang w:val="en-GB" w:eastAsia="en-GB"/>
        </w:rPr>
        <w:t>,</w:t>
      </w:r>
      <w:r w:rsidRPr="00433C05">
        <w:rPr>
          <w:sz w:val="22"/>
          <w:szCs w:val="22"/>
          <w:lang w:val="en-GB" w:eastAsia="en-GB"/>
        </w:rPr>
        <w:t xml:space="preserve"> however</w:t>
      </w:r>
      <w:r w:rsidR="00CD4768">
        <w:rPr>
          <w:sz w:val="22"/>
          <w:szCs w:val="22"/>
          <w:lang w:val="en-GB" w:eastAsia="en-GB"/>
        </w:rPr>
        <w:t>,</w:t>
      </w:r>
      <w:r w:rsidRPr="00433C05">
        <w:rPr>
          <w:sz w:val="22"/>
          <w:szCs w:val="22"/>
          <w:lang w:val="en-GB" w:eastAsia="en-GB"/>
        </w:rPr>
        <w:t xml:space="preserve"> </w:t>
      </w:r>
      <w:r w:rsidR="005E2BE1">
        <w:rPr>
          <w:sz w:val="22"/>
          <w:szCs w:val="22"/>
          <w:lang w:val="en-GB" w:eastAsia="en-GB"/>
        </w:rPr>
        <w:t>noted that</w:t>
      </w:r>
      <w:r w:rsidRPr="00433C05">
        <w:rPr>
          <w:sz w:val="22"/>
          <w:szCs w:val="22"/>
          <w:lang w:val="en-GB" w:eastAsia="en-GB"/>
        </w:rPr>
        <w:t xml:space="preserve"> Google had moneti</w:t>
      </w:r>
      <w:r w:rsidR="005E2BE1">
        <w:rPr>
          <w:sz w:val="22"/>
          <w:szCs w:val="22"/>
          <w:lang w:val="en-GB" w:eastAsia="en-GB"/>
        </w:rPr>
        <w:t>z</w:t>
      </w:r>
      <w:r w:rsidRPr="00433C05">
        <w:rPr>
          <w:sz w:val="22"/>
          <w:szCs w:val="22"/>
          <w:lang w:val="en-GB" w:eastAsia="en-GB"/>
        </w:rPr>
        <w:t>ed the Android OS</w:t>
      </w:r>
      <w:r w:rsidR="005E2BE1">
        <w:rPr>
          <w:sz w:val="22"/>
          <w:szCs w:val="22"/>
          <w:lang w:val="en-GB" w:eastAsia="en-GB"/>
        </w:rPr>
        <w:t xml:space="preserve"> by</w:t>
      </w:r>
      <w:r w:rsidR="008C7FFE" w:rsidRPr="00433C05">
        <w:rPr>
          <w:sz w:val="22"/>
          <w:szCs w:val="22"/>
          <w:lang w:val="en-GB" w:eastAsia="en-GB"/>
        </w:rPr>
        <w:t xml:space="preserve"> </w:t>
      </w:r>
      <w:r w:rsidR="00CD4768">
        <w:rPr>
          <w:sz w:val="22"/>
          <w:szCs w:val="22"/>
          <w:lang w:val="en-GB" w:eastAsia="en-GB"/>
        </w:rPr>
        <w:t>combining</w:t>
      </w:r>
      <w:r w:rsidR="008C7FFE" w:rsidRPr="00433C05">
        <w:rPr>
          <w:sz w:val="22"/>
          <w:szCs w:val="22"/>
          <w:lang w:val="en-GB" w:eastAsia="en-GB"/>
        </w:rPr>
        <w:t xml:space="preserve"> it with </w:t>
      </w:r>
      <w:r w:rsidR="005E2BE1">
        <w:rPr>
          <w:sz w:val="22"/>
          <w:szCs w:val="22"/>
          <w:lang w:val="en-GB" w:eastAsia="en-GB"/>
        </w:rPr>
        <w:t>f</w:t>
      </w:r>
      <w:r w:rsidR="008C7FFE" w:rsidRPr="00433C05">
        <w:rPr>
          <w:sz w:val="22"/>
          <w:szCs w:val="22"/>
          <w:lang w:val="en-GB" w:eastAsia="en-GB"/>
        </w:rPr>
        <w:t>irm</w:t>
      </w:r>
      <w:r w:rsidR="005E2BE1">
        <w:rPr>
          <w:sz w:val="22"/>
          <w:szCs w:val="22"/>
          <w:lang w:val="en-GB" w:eastAsia="en-GB"/>
        </w:rPr>
        <w:t>-s</w:t>
      </w:r>
      <w:r w:rsidR="008C7FFE" w:rsidRPr="00433C05">
        <w:rPr>
          <w:sz w:val="22"/>
          <w:szCs w:val="22"/>
          <w:lang w:val="en-GB" w:eastAsia="en-GB"/>
        </w:rPr>
        <w:t xml:space="preserve">pecific </w:t>
      </w:r>
      <w:r w:rsidR="005E2BE1">
        <w:rPr>
          <w:sz w:val="22"/>
          <w:szCs w:val="22"/>
          <w:lang w:val="en-GB" w:eastAsia="en-GB"/>
        </w:rPr>
        <w:t>a</w:t>
      </w:r>
      <w:r w:rsidR="008C7FFE" w:rsidRPr="00433C05">
        <w:rPr>
          <w:sz w:val="22"/>
          <w:szCs w:val="22"/>
          <w:lang w:val="en-GB" w:eastAsia="en-GB"/>
        </w:rPr>
        <w:t>dvantages</w:t>
      </w:r>
      <w:r w:rsidR="00CD4768">
        <w:rPr>
          <w:sz w:val="22"/>
          <w:szCs w:val="22"/>
          <w:lang w:val="en-GB" w:eastAsia="en-GB"/>
        </w:rPr>
        <w:t>. The OS was</w:t>
      </w:r>
      <w:r w:rsidR="005E2BE1">
        <w:rPr>
          <w:sz w:val="22"/>
          <w:szCs w:val="22"/>
          <w:lang w:val="en-GB" w:eastAsia="en-GB"/>
        </w:rPr>
        <w:t xml:space="preserve"> thereby</w:t>
      </w:r>
      <w:r w:rsidRPr="00433C05">
        <w:rPr>
          <w:sz w:val="22"/>
          <w:szCs w:val="22"/>
          <w:lang w:val="en-GB" w:eastAsia="en-GB"/>
        </w:rPr>
        <w:t xml:space="preserve"> </w:t>
      </w:r>
      <w:r w:rsidR="00CD4768">
        <w:rPr>
          <w:sz w:val="22"/>
          <w:szCs w:val="22"/>
          <w:lang w:val="en-GB" w:eastAsia="en-GB"/>
        </w:rPr>
        <w:t xml:space="preserve">able to </w:t>
      </w:r>
      <w:r w:rsidRPr="00433C05">
        <w:rPr>
          <w:sz w:val="22"/>
          <w:szCs w:val="22"/>
          <w:lang w:val="en-GB" w:eastAsia="en-GB"/>
        </w:rPr>
        <w:t xml:space="preserve">earn </w:t>
      </w:r>
      <w:r w:rsidR="00CD4768">
        <w:rPr>
          <w:sz w:val="22"/>
          <w:szCs w:val="22"/>
          <w:lang w:val="en-GB" w:eastAsia="en-GB"/>
        </w:rPr>
        <w:t xml:space="preserve">the company </w:t>
      </w:r>
      <w:r w:rsidR="005E2BE1">
        <w:rPr>
          <w:sz w:val="22"/>
          <w:szCs w:val="22"/>
          <w:lang w:val="en-GB" w:eastAsia="en-GB"/>
        </w:rPr>
        <w:t xml:space="preserve">estimated </w:t>
      </w:r>
      <w:r w:rsidRPr="00433C05">
        <w:rPr>
          <w:sz w:val="22"/>
          <w:szCs w:val="22"/>
          <w:lang w:val="en-GB" w:eastAsia="en-GB"/>
        </w:rPr>
        <w:t>revenue</w:t>
      </w:r>
      <w:r w:rsidR="005E2BE1">
        <w:rPr>
          <w:sz w:val="22"/>
          <w:szCs w:val="22"/>
          <w:lang w:val="en-GB" w:eastAsia="en-GB"/>
        </w:rPr>
        <w:t>s</w:t>
      </w:r>
      <w:r w:rsidRPr="00433C05">
        <w:rPr>
          <w:sz w:val="22"/>
          <w:szCs w:val="22"/>
          <w:lang w:val="en-GB" w:eastAsia="en-GB"/>
        </w:rPr>
        <w:t xml:space="preserve"> </w:t>
      </w:r>
      <w:r w:rsidR="005E2BE1">
        <w:rPr>
          <w:sz w:val="22"/>
          <w:szCs w:val="22"/>
          <w:lang w:val="en-GB" w:eastAsia="en-GB"/>
        </w:rPr>
        <w:t>of $</w:t>
      </w:r>
      <w:r w:rsidRPr="00433C05">
        <w:rPr>
          <w:sz w:val="22"/>
          <w:szCs w:val="22"/>
          <w:lang w:val="en-GB" w:eastAsia="en-GB"/>
        </w:rPr>
        <w:t xml:space="preserve">9.1 billion </w:t>
      </w:r>
      <w:r w:rsidR="005E2BE1">
        <w:rPr>
          <w:sz w:val="22"/>
          <w:szCs w:val="22"/>
          <w:lang w:val="en-GB" w:eastAsia="en-GB"/>
        </w:rPr>
        <w:t>in</w:t>
      </w:r>
      <w:r w:rsidR="005E2BE1" w:rsidRPr="00433C05">
        <w:rPr>
          <w:sz w:val="22"/>
          <w:szCs w:val="22"/>
          <w:lang w:val="en-GB" w:eastAsia="en-GB"/>
        </w:rPr>
        <w:t xml:space="preserve"> 2019</w:t>
      </w:r>
      <w:r w:rsidRPr="00433C05">
        <w:rPr>
          <w:sz w:val="22"/>
          <w:szCs w:val="22"/>
          <w:lang w:val="en-GB" w:eastAsia="en-GB"/>
        </w:rPr>
        <w:t xml:space="preserve"> through Google Play</w:t>
      </w:r>
      <w:r w:rsidR="00CD4768">
        <w:rPr>
          <w:sz w:val="22"/>
          <w:szCs w:val="22"/>
          <w:lang w:val="en-GB" w:eastAsia="en-GB"/>
        </w:rPr>
        <w:t xml:space="preserve">, broken down into </w:t>
      </w:r>
      <w:r w:rsidR="005E2BE1" w:rsidRPr="005E2BE1">
        <w:rPr>
          <w:sz w:val="22"/>
          <w:szCs w:val="22"/>
          <w:lang w:val="en-GB" w:eastAsia="en-GB"/>
        </w:rPr>
        <w:t>$</w:t>
      </w:r>
      <w:r w:rsidRPr="00433C05">
        <w:rPr>
          <w:sz w:val="22"/>
          <w:szCs w:val="22"/>
          <w:lang w:val="en-GB" w:eastAsia="en-GB"/>
        </w:rPr>
        <w:t>7.3 billion</w:t>
      </w:r>
      <w:r w:rsidR="005E2BE1">
        <w:rPr>
          <w:sz w:val="22"/>
          <w:szCs w:val="22"/>
          <w:lang w:val="en-GB" w:eastAsia="en-GB"/>
        </w:rPr>
        <w:t xml:space="preserve"> from</w:t>
      </w:r>
      <w:r w:rsidRPr="00433C05">
        <w:rPr>
          <w:sz w:val="22"/>
          <w:szCs w:val="22"/>
          <w:lang w:val="en-GB" w:eastAsia="en-GB"/>
        </w:rPr>
        <w:t xml:space="preserve"> app</w:t>
      </w:r>
      <w:r w:rsidR="005E2BE1">
        <w:rPr>
          <w:sz w:val="22"/>
          <w:szCs w:val="22"/>
          <w:lang w:val="en-GB" w:eastAsia="en-GB"/>
        </w:rPr>
        <w:t>s and $</w:t>
      </w:r>
      <w:r w:rsidRPr="00433C05">
        <w:rPr>
          <w:sz w:val="22"/>
          <w:szCs w:val="22"/>
          <w:lang w:val="en-GB" w:eastAsia="en-GB"/>
        </w:rPr>
        <w:t>1.8 billion from music, books</w:t>
      </w:r>
      <w:r w:rsidR="005E2BE1">
        <w:rPr>
          <w:sz w:val="22"/>
          <w:szCs w:val="22"/>
          <w:lang w:val="en-GB" w:eastAsia="en-GB"/>
        </w:rPr>
        <w:t>,</w:t>
      </w:r>
      <w:r w:rsidRPr="00433C05">
        <w:rPr>
          <w:sz w:val="22"/>
          <w:szCs w:val="22"/>
          <w:lang w:val="en-GB" w:eastAsia="en-GB"/>
        </w:rPr>
        <w:t xml:space="preserve"> and videos</w:t>
      </w:r>
      <w:r w:rsidR="005E2BE1">
        <w:rPr>
          <w:sz w:val="22"/>
          <w:szCs w:val="22"/>
          <w:lang w:val="en-GB" w:eastAsia="en-GB"/>
        </w:rPr>
        <w:t>. This revenue</w:t>
      </w:r>
      <w:r w:rsidRPr="00433C05">
        <w:rPr>
          <w:sz w:val="22"/>
          <w:szCs w:val="22"/>
          <w:lang w:val="en-GB" w:eastAsia="en-GB"/>
        </w:rPr>
        <w:t xml:space="preserve"> could </w:t>
      </w:r>
      <w:r w:rsidR="005E2BE1">
        <w:rPr>
          <w:sz w:val="22"/>
          <w:szCs w:val="22"/>
          <w:lang w:val="en-GB" w:eastAsia="en-GB"/>
        </w:rPr>
        <w:t xml:space="preserve">not </w:t>
      </w:r>
      <w:r w:rsidRPr="00433C05">
        <w:rPr>
          <w:sz w:val="22"/>
          <w:szCs w:val="22"/>
          <w:lang w:val="en-GB" w:eastAsia="en-GB"/>
        </w:rPr>
        <w:t>have been possible without the Android OS.</w:t>
      </w:r>
      <w:r w:rsidRPr="00433C05">
        <w:rPr>
          <w:sz w:val="22"/>
          <w:szCs w:val="22"/>
          <w:vertAlign w:val="superscript"/>
          <w:lang w:val="en-GB" w:eastAsia="en-GB"/>
        </w:rPr>
        <w:endnoteReference w:id="33"/>
      </w:r>
    </w:p>
    <w:p w14:paraId="0B284996" w14:textId="77777777" w:rsidR="00A36B54" w:rsidRPr="00433C05" w:rsidRDefault="00A36B54" w:rsidP="00A36B54">
      <w:pPr>
        <w:jc w:val="both"/>
        <w:rPr>
          <w:sz w:val="22"/>
          <w:szCs w:val="22"/>
          <w:lang w:val="en-GB" w:eastAsia="en-GB"/>
        </w:rPr>
      </w:pPr>
    </w:p>
    <w:p w14:paraId="239BB9B7" w14:textId="53D6EEF1" w:rsidR="00A36B54" w:rsidRPr="00433C05" w:rsidRDefault="00A36B54" w:rsidP="00A36B54">
      <w:pPr>
        <w:jc w:val="both"/>
        <w:rPr>
          <w:sz w:val="22"/>
          <w:szCs w:val="22"/>
          <w:lang w:val="en-GB" w:eastAsia="en-GB"/>
        </w:rPr>
      </w:pPr>
      <w:r w:rsidRPr="00433C05">
        <w:rPr>
          <w:sz w:val="22"/>
          <w:szCs w:val="22"/>
          <w:lang w:val="en-GB" w:eastAsia="en-GB"/>
        </w:rPr>
        <w:t xml:space="preserve">In reality, only </w:t>
      </w:r>
      <w:r w:rsidR="00CD4768">
        <w:rPr>
          <w:sz w:val="22"/>
          <w:szCs w:val="22"/>
          <w:lang w:val="en-GB" w:eastAsia="en-GB"/>
        </w:rPr>
        <w:t>a</w:t>
      </w:r>
      <w:r w:rsidRPr="00433C05">
        <w:rPr>
          <w:sz w:val="22"/>
          <w:szCs w:val="22"/>
          <w:lang w:val="en-GB" w:eastAsia="en-GB"/>
        </w:rPr>
        <w:t xml:space="preserve"> </w:t>
      </w:r>
      <w:r w:rsidR="00CD4768">
        <w:rPr>
          <w:sz w:val="22"/>
          <w:szCs w:val="22"/>
          <w:lang w:val="en-GB" w:eastAsia="en-GB"/>
        </w:rPr>
        <w:t xml:space="preserve">stripped down or </w:t>
      </w:r>
      <w:r w:rsidRPr="00433C05">
        <w:rPr>
          <w:sz w:val="22"/>
          <w:szCs w:val="22"/>
          <w:lang w:val="en-GB" w:eastAsia="en-GB"/>
        </w:rPr>
        <w:t>bare</w:t>
      </w:r>
      <w:r w:rsidR="00CD4768">
        <w:rPr>
          <w:sz w:val="22"/>
          <w:szCs w:val="22"/>
          <w:lang w:val="en-GB" w:eastAsia="en-GB"/>
        </w:rPr>
        <w:t xml:space="preserve"> version of the</w:t>
      </w:r>
      <w:r w:rsidRPr="00433C05">
        <w:rPr>
          <w:sz w:val="22"/>
          <w:szCs w:val="22"/>
          <w:lang w:val="en-GB" w:eastAsia="en-GB"/>
        </w:rPr>
        <w:t xml:space="preserve"> Android </w:t>
      </w:r>
      <w:r w:rsidR="00CD4768">
        <w:rPr>
          <w:sz w:val="22"/>
          <w:szCs w:val="22"/>
          <w:lang w:val="en-GB" w:eastAsia="en-GB"/>
        </w:rPr>
        <w:t>OS (</w:t>
      </w:r>
      <w:r w:rsidRPr="00433C05">
        <w:rPr>
          <w:sz w:val="22"/>
          <w:szCs w:val="22"/>
          <w:lang w:val="en-GB" w:eastAsia="en-GB"/>
        </w:rPr>
        <w:t>without Google Play and other core Google services</w:t>
      </w:r>
      <w:r w:rsidR="00CD4768">
        <w:rPr>
          <w:sz w:val="22"/>
          <w:szCs w:val="22"/>
          <w:lang w:val="en-GB" w:eastAsia="en-GB"/>
        </w:rPr>
        <w:t xml:space="preserve">) </w:t>
      </w:r>
      <w:r w:rsidRPr="00433C05">
        <w:rPr>
          <w:sz w:val="22"/>
          <w:szCs w:val="22"/>
          <w:lang w:val="en-GB" w:eastAsia="en-GB"/>
        </w:rPr>
        <w:t xml:space="preserve">was free </w:t>
      </w:r>
      <w:r w:rsidR="002475E3">
        <w:rPr>
          <w:sz w:val="22"/>
          <w:szCs w:val="22"/>
          <w:lang w:val="en-GB" w:eastAsia="en-GB"/>
        </w:rPr>
        <w:t>to use</w:t>
      </w:r>
      <w:r w:rsidRPr="00433C05">
        <w:rPr>
          <w:sz w:val="22"/>
          <w:szCs w:val="22"/>
          <w:lang w:val="en-GB" w:eastAsia="en-GB"/>
        </w:rPr>
        <w:t xml:space="preserve"> </w:t>
      </w:r>
      <w:r w:rsidR="00CD4768">
        <w:rPr>
          <w:sz w:val="22"/>
          <w:szCs w:val="22"/>
          <w:lang w:val="en-GB" w:eastAsia="en-GB"/>
        </w:rPr>
        <w:t xml:space="preserve">as </w:t>
      </w:r>
      <w:r w:rsidRPr="00433C05">
        <w:rPr>
          <w:sz w:val="22"/>
          <w:szCs w:val="22"/>
          <w:lang w:val="en-GB" w:eastAsia="en-GB"/>
        </w:rPr>
        <w:t xml:space="preserve">open source. </w:t>
      </w:r>
      <w:r w:rsidR="00CD4768">
        <w:rPr>
          <w:sz w:val="22"/>
          <w:szCs w:val="22"/>
          <w:lang w:val="en-GB" w:eastAsia="en-GB"/>
        </w:rPr>
        <w:t>However, s</w:t>
      </w:r>
      <w:r w:rsidR="002475E3">
        <w:rPr>
          <w:sz w:val="22"/>
          <w:szCs w:val="22"/>
          <w:lang w:val="en-GB" w:eastAsia="en-GB"/>
        </w:rPr>
        <w:t>martp</w:t>
      </w:r>
      <w:r w:rsidRPr="00433C05">
        <w:rPr>
          <w:sz w:val="22"/>
          <w:szCs w:val="22"/>
          <w:lang w:val="en-GB" w:eastAsia="en-GB"/>
        </w:rPr>
        <w:t xml:space="preserve">hone manufacturers </w:t>
      </w:r>
      <w:r w:rsidR="002475E3">
        <w:rPr>
          <w:sz w:val="22"/>
          <w:szCs w:val="22"/>
          <w:lang w:val="en-GB" w:eastAsia="en-GB"/>
        </w:rPr>
        <w:t>were reluctant</w:t>
      </w:r>
      <w:r w:rsidRPr="00433C05">
        <w:rPr>
          <w:sz w:val="22"/>
          <w:szCs w:val="22"/>
          <w:lang w:val="en-GB" w:eastAsia="en-GB"/>
        </w:rPr>
        <w:t xml:space="preserve"> to </w:t>
      </w:r>
      <w:r w:rsidR="002475E3">
        <w:rPr>
          <w:sz w:val="22"/>
          <w:szCs w:val="22"/>
          <w:lang w:val="en-GB" w:eastAsia="en-GB"/>
        </w:rPr>
        <w:t>use the</w:t>
      </w:r>
      <w:r w:rsidRPr="00433C05">
        <w:rPr>
          <w:sz w:val="22"/>
          <w:szCs w:val="22"/>
          <w:lang w:val="en-GB" w:eastAsia="en-GB"/>
        </w:rPr>
        <w:t xml:space="preserve"> </w:t>
      </w:r>
      <w:r w:rsidR="00CD4768">
        <w:rPr>
          <w:sz w:val="22"/>
          <w:szCs w:val="22"/>
          <w:lang w:val="en-GB" w:eastAsia="en-GB"/>
        </w:rPr>
        <w:t xml:space="preserve">bare version of the </w:t>
      </w:r>
      <w:r w:rsidRPr="00433C05">
        <w:rPr>
          <w:sz w:val="22"/>
          <w:szCs w:val="22"/>
          <w:lang w:val="en-GB" w:eastAsia="en-GB"/>
        </w:rPr>
        <w:t>Android OS</w:t>
      </w:r>
      <w:r w:rsidR="00CD4768">
        <w:rPr>
          <w:sz w:val="22"/>
          <w:szCs w:val="22"/>
          <w:lang w:val="en-GB" w:eastAsia="en-GB"/>
        </w:rPr>
        <w:t>. Most consumers considered</w:t>
      </w:r>
      <w:r w:rsidRPr="00433C05">
        <w:rPr>
          <w:sz w:val="22"/>
          <w:szCs w:val="22"/>
          <w:lang w:val="en-GB" w:eastAsia="en-GB"/>
        </w:rPr>
        <w:t xml:space="preserve"> Google Play </w:t>
      </w:r>
      <w:r w:rsidR="00CD4768">
        <w:rPr>
          <w:sz w:val="22"/>
          <w:szCs w:val="22"/>
          <w:lang w:val="en-GB" w:eastAsia="en-GB"/>
        </w:rPr>
        <w:t>and other Google system services</w:t>
      </w:r>
      <w:r w:rsidR="002475E3">
        <w:rPr>
          <w:sz w:val="22"/>
          <w:szCs w:val="22"/>
          <w:lang w:val="en-GB" w:eastAsia="en-GB"/>
        </w:rPr>
        <w:t xml:space="preserve"> essential </w:t>
      </w:r>
      <w:r w:rsidR="00CD4768">
        <w:rPr>
          <w:sz w:val="22"/>
          <w:szCs w:val="22"/>
          <w:lang w:val="en-GB" w:eastAsia="en-GB"/>
        </w:rPr>
        <w:t>for the full operation of their mobile device</w:t>
      </w:r>
      <w:r w:rsidRPr="00433C05">
        <w:rPr>
          <w:sz w:val="22"/>
          <w:szCs w:val="22"/>
          <w:lang w:val="en-GB" w:eastAsia="en-GB"/>
        </w:rPr>
        <w:t xml:space="preserve">. </w:t>
      </w:r>
      <w:r w:rsidR="002475E3">
        <w:rPr>
          <w:sz w:val="22"/>
          <w:szCs w:val="22"/>
          <w:lang w:val="en-GB" w:eastAsia="en-GB"/>
        </w:rPr>
        <w:t>As</w:t>
      </w:r>
      <w:r w:rsidRPr="00433C05">
        <w:rPr>
          <w:sz w:val="22"/>
          <w:szCs w:val="22"/>
          <w:lang w:val="en-GB" w:eastAsia="en-GB"/>
        </w:rPr>
        <w:t xml:space="preserve"> manufacturers </w:t>
      </w:r>
      <w:r w:rsidR="002475E3">
        <w:rPr>
          <w:sz w:val="22"/>
          <w:szCs w:val="22"/>
          <w:lang w:val="en-GB" w:eastAsia="en-GB"/>
        </w:rPr>
        <w:t>soon</w:t>
      </w:r>
      <w:r w:rsidRPr="00433C05">
        <w:rPr>
          <w:sz w:val="22"/>
          <w:szCs w:val="22"/>
          <w:lang w:val="en-GB" w:eastAsia="en-GB"/>
        </w:rPr>
        <w:t xml:space="preserve"> realized</w:t>
      </w:r>
      <w:r w:rsidR="002475E3">
        <w:rPr>
          <w:sz w:val="22"/>
          <w:szCs w:val="22"/>
          <w:lang w:val="en-GB" w:eastAsia="en-GB"/>
        </w:rPr>
        <w:t>,</w:t>
      </w:r>
      <w:r w:rsidRPr="00433C05">
        <w:rPr>
          <w:sz w:val="22"/>
          <w:szCs w:val="22"/>
          <w:lang w:val="en-GB" w:eastAsia="en-GB"/>
        </w:rPr>
        <w:t xml:space="preserve"> Google Play and Google Play Services</w:t>
      </w:r>
      <w:r w:rsidR="002475E3">
        <w:rPr>
          <w:sz w:val="22"/>
          <w:szCs w:val="22"/>
          <w:lang w:val="en-GB" w:eastAsia="en-GB"/>
        </w:rPr>
        <w:t>—an integral background technological service—</w:t>
      </w:r>
      <w:r w:rsidRPr="00433C05">
        <w:rPr>
          <w:sz w:val="22"/>
          <w:szCs w:val="22"/>
          <w:lang w:val="en-GB" w:eastAsia="en-GB"/>
        </w:rPr>
        <w:t xml:space="preserve">were core components of the </w:t>
      </w:r>
      <w:r w:rsidR="002475E3">
        <w:rPr>
          <w:sz w:val="22"/>
          <w:szCs w:val="22"/>
          <w:lang w:val="en-GB" w:eastAsia="en-GB"/>
        </w:rPr>
        <w:t xml:space="preserve">overall </w:t>
      </w:r>
      <w:r w:rsidRPr="00433C05">
        <w:rPr>
          <w:sz w:val="22"/>
          <w:szCs w:val="22"/>
          <w:lang w:val="en-GB" w:eastAsia="en-GB"/>
        </w:rPr>
        <w:t>Android ecosystem</w:t>
      </w:r>
      <w:r w:rsidR="002475E3">
        <w:rPr>
          <w:sz w:val="22"/>
          <w:szCs w:val="22"/>
          <w:lang w:val="en-GB" w:eastAsia="en-GB"/>
        </w:rPr>
        <w:t>. They were critical to the proper</w:t>
      </w:r>
      <w:r w:rsidRPr="00433C05">
        <w:rPr>
          <w:sz w:val="22"/>
          <w:szCs w:val="22"/>
          <w:lang w:val="en-GB" w:eastAsia="en-GB"/>
        </w:rPr>
        <w:t xml:space="preserve"> function </w:t>
      </w:r>
      <w:r w:rsidR="002475E3">
        <w:rPr>
          <w:sz w:val="22"/>
          <w:szCs w:val="22"/>
          <w:lang w:val="en-GB" w:eastAsia="en-GB"/>
        </w:rPr>
        <w:t>of all</w:t>
      </w:r>
      <w:r w:rsidRPr="00433C05">
        <w:rPr>
          <w:sz w:val="22"/>
          <w:szCs w:val="22"/>
          <w:lang w:val="en-GB" w:eastAsia="en-GB"/>
        </w:rPr>
        <w:t xml:space="preserve"> Android phones.</w:t>
      </w:r>
      <w:r w:rsidRPr="00433C05">
        <w:rPr>
          <w:sz w:val="22"/>
          <w:szCs w:val="22"/>
          <w:vertAlign w:val="superscript"/>
          <w:lang w:val="en-GB" w:eastAsia="en-GB"/>
        </w:rPr>
        <w:endnoteReference w:id="34"/>
      </w:r>
      <w:r w:rsidRPr="00433C05">
        <w:rPr>
          <w:sz w:val="22"/>
          <w:szCs w:val="22"/>
          <w:lang w:val="en-GB" w:eastAsia="en-GB"/>
        </w:rPr>
        <w:t xml:space="preserve"> </w:t>
      </w:r>
    </w:p>
    <w:p w14:paraId="28305A21" w14:textId="77777777" w:rsidR="00A36B54" w:rsidRPr="00433C05" w:rsidRDefault="00A36B54" w:rsidP="00A36B54">
      <w:pPr>
        <w:jc w:val="both"/>
        <w:rPr>
          <w:sz w:val="22"/>
          <w:szCs w:val="22"/>
          <w:lang w:val="en-GB" w:eastAsia="en-GB"/>
        </w:rPr>
      </w:pPr>
    </w:p>
    <w:p w14:paraId="61FE63C0" w14:textId="289D77A3" w:rsidR="00A36B54" w:rsidRPr="00433C05" w:rsidRDefault="00E97F6E" w:rsidP="00A36B54">
      <w:pPr>
        <w:jc w:val="both"/>
        <w:rPr>
          <w:sz w:val="22"/>
          <w:szCs w:val="22"/>
          <w:lang w:val="en-GB" w:eastAsia="en-GB"/>
        </w:rPr>
      </w:pPr>
      <w:r>
        <w:rPr>
          <w:sz w:val="22"/>
          <w:szCs w:val="22"/>
          <w:lang w:val="en-GB" w:eastAsia="en-GB"/>
        </w:rPr>
        <w:t>Google and Apple</w:t>
      </w:r>
      <w:r w:rsidR="00CD4768">
        <w:rPr>
          <w:sz w:val="22"/>
          <w:szCs w:val="22"/>
          <w:lang w:val="en-GB" w:eastAsia="en-GB"/>
        </w:rPr>
        <w:t xml:space="preserve"> enjoyed nearly</w:t>
      </w:r>
      <w:r>
        <w:rPr>
          <w:sz w:val="22"/>
          <w:szCs w:val="22"/>
          <w:lang w:val="en-GB" w:eastAsia="en-GB"/>
        </w:rPr>
        <w:t xml:space="preserve"> total</w:t>
      </w:r>
      <w:r w:rsidR="002475E3">
        <w:rPr>
          <w:sz w:val="22"/>
          <w:szCs w:val="22"/>
          <w:lang w:val="en-GB" w:eastAsia="en-GB"/>
        </w:rPr>
        <w:t xml:space="preserve"> </w:t>
      </w:r>
      <w:r>
        <w:rPr>
          <w:sz w:val="22"/>
          <w:szCs w:val="22"/>
          <w:lang w:val="en-GB" w:eastAsia="en-GB"/>
        </w:rPr>
        <w:t xml:space="preserve">domination of the </w:t>
      </w:r>
      <w:r w:rsidR="002475E3">
        <w:rPr>
          <w:sz w:val="22"/>
          <w:szCs w:val="22"/>
          <w:lang w:val="en-GB" w:eastAsia="en-GB"/>
        </w:rPr>
        <w:t>global</w:t>
      </w:r>
      <w:r>
        <w:rPr>
          <w:sz w:val="22"/>
          <w:szCs w:val="22"/>
          <w:lang w:val="en-GB" w:eastAsia="en-GB"/>
        </w:rPr>
        <w:t xml:space="preserve"> smartphone market</w:t>
      </w:r>
      <w:r w:rsidR="00CD4768">
        <w:rPr>
          <w:sz w:val="22"/>
          <w:szCs w:val="22"/>
          <w:lang w:val="en-GB" w:eastAsia="en-GB"/>
        </w:rPr>
        <w:t>. S</w:t>
      </w:r>
      <w:r>
        <w:rPr>
          <w:sz w:val="22"/>
          <w:szCs w:val="22"/>
          <w:lang w:val="en-GB" w:eastAsia="en-GB"/>
        </w:rPr>
        <w:t>martphone manufacturers</w:t>
      </w:r>
      <w:r w:rsidR="006E7FAE">
        <w:rPr>
          <w:sz w:val="22"/>
          <w:szCs w:val="22"/>
          <w:lang w:val="en-GB" w:eastAsia="en-GB"/>
        </w:rPr>
        <w:t xml:space="preserve"> </w:t>
      </w:r>
      <w:r w:rsidR="00CD4768">
        <w:rPr>
          <w:sz w:val="22"/>
          <w:szCs w:val="22"/>
          <w:lang w:val="en-GB" w:eastAsia="en-GB"/>
        </w:rPr>
        <w:t xml:space="preserve">around the world </w:t>
      </w:r>
      <w:r w:rsidR="006E7FAE">
        <w:rPr>
          <w:sz w:val="22"/>
          <w:szCs w:val="22"/>
          <w:lang w:val="en-GB" w:eastAsia="en-GB"/>
        </w:rPr>
        <w:t>(other than</w:t>
      </w:r>
      <w:r w:rsidR="00A36B54" w:rsidRPr="00433C05">
        <w:rPr>
          <w:sz w:val="22"/>
          <w:szCs w:val="22"/>
          <w:lang w:val="en-GB" w:eastAsia="en-GB"/>
        </w:rPr>
        <w:t xml:space="preserve"> Chin</w:t>
      </w:r>
      <w:r w:rsidR="006E7FAE">
        <w:rPr>
          <w:sz w:val="22"/>
          <w:szCs w:val="22"/>
          <w:lang w:val="en-GB" w:eastAsia="en-GB"/>
        </w:rPr>
        <w:t xml:space="preserve">ese companies) </w:t>
      </w:r>
      <w:r w:rsidR="00A36B54" w:rsidRPr="00433C05">
        <w:rPr>
          <w:sz w:val="22"/>
          <w:szCs w:val="22"/>
          <w:lang w:val="en-GB" w:eastAsia="en-GB"/>
        </w:rPr>
        <w:t xml:space="preserve">who </w:t>
      </w:r>
      <w:r w:rsidR="006E7FAE">
        <w:rPr>
          <w:sz w:val="22"/>
          <w:szCs w:val="22"/>
          <w:lang w:val="en-GB" w:eastAsia="en-GB"/>
        </w:rPr>
        <w:t>rejected Go</w:t>
      </w:r>
      <w:r w:rsidR="00786F18">
        <w:rPr>
          <w:sz w:val="22"/>
          <w:szCs w:val="22"/>
          <w:lang w:val="en-GB" w:eastAsia="en-GB"/>
        </w:rPr>
        <w:t>o</w:t>
      </w:r>
      <w:r w:rsidR="006E7FAE">
        <w:rPr>
          <w:sz w:val="22"/>
          <w:szCs w:val="22"/>
          <w:lang w:val="en-GB" w:eastAsia="en-GB"/>
        </w:rPr>
        <w:t xml:space="preserve">gle’s Android and </w:t>
      </w:r>
      <w:r w:rsidR="00A36B54" w:rsidRPr="00433C05">
        <w:rPr>
          <w:sz w:val="22"/>
          <w:szCs w:val="22"/>
          <w:lang w:val="en-GB" w:eastAsia="en-GB"/>
        </w:rPr>
        <w:t>tried</w:t>
      </w:r>
      <w:r w:rsidR="002475E3">
        <w:rPr>
          <w:sz w:val="22"/>
          <w:szCs w:val="22"/>
          <w:lang w:val="en-GB" w:eastAsia="en-GB"/>
        </w:rPr>
        <w:t xml:space="preserve"> </w:t>
      </w:r>
      <w:r w:rsidR="002475E3">
        <w:rPr>
          <w:sz w:val="22"/>
          <w:szCs w:val="22"/>
          <w:lang w:val="en-GB" w:eastAsia="en-GB"/>
        </w:rPr>
        <w:lastRenderedPageBreak/>
        <w:t>to</w:t>
      </w:r>
      <w:r w:rsidR="00A36B54" w:rsidRPr="00433C05">
        <w:rPr>
          <w:sz w:val="22"/>
          <w:szCs w:val="22"/>
          <w:lang w:val="en-GB" w:eastAsia="en-GB"/>
        </w:rPr>
        <w:t xml:space="preserve"> creat</w:t>
      </w:r>
      <w:r w:rsidR="002475E3">
        <w:rPr>
          <w:sz w:val="22"/>
          <w:szCs w:val="22"/>
          <w:lang w:val="en-GB" w:eastAsia="en-GB"/>
        </w:rPr>
        <w:t>e</w:t>
      </w:r>
      <w:r w:rsidR="00A36B54" w:rsidRPr="00433C05">
        <w:rPr>
          <w:sz w:val="22"/>
          <w:szCs w:val="22"/>
          <w:lang w:val="en-GB" w:eastAsia="en-GB"/>
        </w:rPr>
        <w:t xml:space="preserve"> their own OS</w:t>
      </w:r>
      <w:r>
        <w:rPr>
          <w:sz w:val="22"/>
          <w:szCs w:val="22"/>
          <w:lang w:val="en-GB" w:eastAsia="en-GB"/>
        </w:rPr>
        <w:t xml:space="preserve"> </w:t>
      </w:r>
      <w:r w:rsidR="00CD4768">
        <w:rPr>
          <w:sz w:val="22"/>
          <w:szCs w:val="22"/>
          <w:lang w:val="en-GB" w:eastAsia="en-GB"/>
        </w:rPr>
        <w:t>were doomed to</w:t>
      </w:r>
      <w:r>
        <w:rPr>
          <w:sz w:val="22"/>
          <w:szCs w:val="22"/>
          <w:lang w:val="en-GB" w:eastAsia="en-GB"/>
        </w:rPr>
        <w:t xml:space="preserve"> fail,</w:t>
      </w:r>
      <w:r w:rsidR="00A36B54" w:rsidRPr="00433C05">
        <w:rPr>
          <w:sz w:val="22"/>
          <w:szCs w:val="22"/>
          <w:lang w:val="en-GB" w:eastAsia="en-GB"/>
        </w:rPr>
        <w:t xml:space="preserve"> </w:t>
      </w:r>
      <w:r w:rsidR="00CD4768">
        <w:rPr>
          <w:sz w:val="22"/>
          <w:szCs w:val="22"/>
          <w:lang w:val="en-GB" w:eastAsia="en-GB"/>
        </w:rPr>
        <w:t>as proven by</w:t>
      </w:r>
      <w:r w:rsidR="00A36B54" w:rsidRPr="00433C05">
        <w:rPr>
          <w:sz w:val="22"/>
          <w:szCs w:val="22"/>
          <w:lang w:val="en-GB" w:eastAsia="en-GB"/>
        </w:rPr>
        <w:t xml:space="preserve"> Mozilla </w:t>
      </w:r>
      <w:r>
        <w:rPr>
          <w:sz w:val="22"/>
          <w:szCs w:val="22"/>
          <w:lang w:val="en-GB" w:eastAsia="en-GB"/>
        </w:rPr>
        <w:t>Corporation (</w:t>
      </w:r>
      <w:r w:rsidR="00A36B54" w:rsidRPr="00433C05">
        <w:rPr>
          <w:sz w:val="22"/>
          <w:szCs w:val="22"/>
          <w:lang w:val="en-GB" w:eastAsia="en-GB"/>
        </w:rPr>
        <w:t>Fire</w:t>
      </w:r>
      <w:r>
        <w:rPr>
          <w:sz w:val="22"/>
          <w:szCs w:val="22"/>
          <w:lang w:val="en-GB" w:eastAsia="en-GB"/>
        </w:rPr>
        <w:t>f</w:t>
      </w:r>
      <w:r w:rsidR="00A36B54" w:rsidRPr="00433C05">
        <w:rPr>
          <w:sz w:val="22"/>
          <w:szCs w:val="22"/>
          <w:lang w:val="en-GB" w:eastAsia="en-GB"/>
        </w:rPr>
        <w:t>ox OS</w:t>
      </w:r>
      <w:r>
        <w:rPr>
          <w:sz w:val="22"/>
          <w:szCs w:val="22"/>
          <w:lang w:val="en-GB" w:eastAsia="en-GB"/>
        </w:rPr>
        <w:t>)</w:t>
      </w:r>
      <w:r w:rsidR="00A36B54" w:rsidRPr="00433C05">
        <w:rPr>
          <w:sz w:val="22"/>
          <w:szCs w:val="22"/>
          <w:lang w:val="en-GB" w:eastAsia="en-GB"/>
        </w:rPr>
        <w:t>, Canonical</w:t>
      </w:r>
      <w:r>
        <w:rPr>
          <w:sz w:val="22"/>
          <w:szCs w:val="22"/>
          <w:lang w:val="en-GB" w:eastAsia="en-GB"/>
        </w:rPr>
        <w:t xml:space="preserve"> Ltd.</w:t>
      </w:r>
      <w:r w:rsidR="00A36B54" w:rsidRPr="00433C05">
        <w:rPr>
          <w:sz w:val="22"/>
          <w:szCs w:val="22"/>
          <w:lang w:val="en-GB" w:eastAsia="en-GB"/>
        </w:rPr>
        <w:t xml:space="preserve"> </w:t>
      </w:r>
      <w:r>
        <w:rPr>
          <w:sz w:val="22"/>
          <w:szCs w:val="22"/>
          <w:lang w:val="en-GB" w:eastAsia="en-GB"/>
        </w:rPr>
        <w:t>(</w:t>
      </w:r>
      <w:proofErr w:type="spellStart"/>
      <w:r w:rsidR="00A36B54" w:rsidRPr="00433C05">
        <w:rPr>
          <w:sz w:val="22"/>
          <w:szCs w:val="22"/>
          <w:lang w:val="en-GB" w:eastAsia="en-GB"/>
        </w:rPr>
        <w:t>Ubantu</w:t>
      </w:r>
      <w:proofErr w:type="spellEnd"/>
      <w:r w:rsidR="00A36B54" w:rsidRPr="00433C05">
        <w:rPr>
          <w:sz w:val="22"/>
          <w:szCs w:val="22"/>
          <w:lang w:val="en-GB" w:eastAsia="en-GB"/>
        </w:rPr>
        <w:t xml:space="preserve"> Phone</w:t>
      </w:r>
      <w:r>
        <w:rPr>
          <w:sz w:val="22"/>
          <w:szCs w:val="22"/>
          <w:lang w:val="en-GB" w:eastAsia="en-GB"/>
        </w:rPr>
        <w:t>)</w:t>
      </w:r>
      <w:r w:rsidR="00A36B54" w:rsidRPr="00433C05">
        <w:rPr>
          <w:sz w:val="22"/>
          <w:szCs w:val="22"/>
          <w:lang w:val="en-GB" w:eastAsia="en-GB"/>
        </w:rPr>
        <w:t xml:space="preserve">, Microsoft </w:t>
      </w:r>
      <w:r>
        <w:rPr>
          <w:sz w:val="22"/>
          <w:szCs w:val="22"/>
          <w:lang w:val="en-GB" w:eastAsia="en-GB"/>
        </w:rPr>
        <w:t>Corporation (</w:t>
      </w:r>
      <w:r w:rsidR="00A36B54" w:rsidRPr="00433C05">
        <w:rPr>
          <w:sz w:val="22"/>
          <w:szCs w:val="22"/>
          <w:lang w:val="en-GB" w:eastAsia="en-GB"/>
        </w:rPr>
        <w:t>Windows phone</w:t>
      </w:r>
      <w:r>
        <w:rPr>
          <w:sz w:val="22"/>
          <w:szCs w:val="22"/>
          <w:lang w:val="en-GB" w:eastAsia="en-GB"/>
        </w:rPr>
        <w:t>)</w:t>
      </w:r>
      <w:r w:rsidR="00A36B54" w:rsidRPr="00433C05">
        <w:rPr>
          <w:sz w:val="22"/>
          <w:szCs w:val="22"/>
          <w:lang w:val="en-GB" w:eastAsia="en-GB"/>
        </w:rPr>
        <w:t xml:space="preserve">, Samsung </w:t>
      </w:r>
      <w:r>
        <w:rPr>
          <w:sz w:val="22"/>
          <w:szCs w:val="22"/>
          <w:lang w:val="en-GB" w:eastAsia="en-GB"/>
        </w:rPr>
        <w:t>(</w:t>
      </w:r>
      <w:r w:rsidR="00A36B54" w:rsidRPr="00433C05">
        <w:rPr>
          <w:sz w:val="22"/>
          <w:szCs w:val="22"/>
          <w:lang w:val="en-GB" w:eastAsia="en-GB"/>
        </w:rPr>
        <w:t>Tizen OS</w:t>
      </w:r>
      <w:r>
        <w:rPr>
          <w:sz w:val="22"/>
          <w:szCs w:val="22"/>
          <w:lang w:val="en-GB" w:eastAsia="en-GB"/>
        </w:rPr>
        <w:t>),</w:t>
      </w:r>
      <w:r w:rsidR="00A36B54" w:rsidRPr="00433C05">
        <w:rPr>
          <w:sz w:val="22"/>
          <w:szCs w:val="22"/>
          <w:lang w:val="en-GB" w:eastAsia="en-GB"/>
        </w:rPr>
        <w:t xml:space="preserve"> and Black</w:t>
      </w:r>
      <w:r>
        <w:rPr>
          <w:sz w:val="22"/>
          <w:szCs w:val="22"/>
          <w:lang w:val="en-GB" w:eastAsia="en-GB"/>
        </w:rPr>
        <w:t>B</w:t>
      </w:r>
      <w:r w:rsidR="00A36B54" w:rsidRPr="00433C05">
        <w:rPr>
          <w:sz w:val="22"/>
          <w:szCs w:val="22"/>
          <w:lang w:val="en-GB" w:eastAsia="en-GB"/>
        </w:rPr>
        <w:t xml:space="preserve">erry </w:t>
      </w:r>
      <w:r>
        <w:rPr>
          <w:sz w:val="22"/>
          <w:szCs w:val="22"/>
          <w:lang w:val="en-GB" w:eastAsia="en-GB"/>
        </w:rPr>
        <w:t>Limited</w:t>
      </w:r>
      <w:r w:rsidR="00A36B54" w:rsidRPr="00433C05">
        <w:rPr>
          <w:sz w:val="22"/>
          <w:szCs w:val="22"/>
          <w:lang w:val="en-GB" w:eastAsia="en-GB"/>
        </w:rPr>
        <w:t xml:space="preserve"> </w:t>
      </w:r>
      <w:r>
        <w:rPr>
          <w:sz w:val="22"/>
          <w:szCs w:val="22"/>
          <w:lang w:val="en-GB" w:eastAsia="en-GB"/>
        </w:rPr>
        <w:t>(</w:t>
      </w:r>
      <w:r w:rsidR="00A36B54" w:rsidRPr="00433C05">
        <w:rPr>
          <w:sz w:val="22"/>
          <w:szCs w:val="22"/>
          <w:lang w:val="en-GB" w:eastAsia="en-GB"/>
        </w:rPr>
        <w:t>Black</w:t>
      </w:r>
      <w:r>
        <w:rPr>
          <w:sz w:val="22"/>
          <w:szCs w:val="22"/>
          <w:lang w:val="en-GB" w:eastAsia="en-GB"/>
        </w:rPr>
        <w:t>B</w:t>
      </w:r>
      <w:r w:rsidR="00A36B54" w:rsidRPr="00433C05">
        <w:rPr>
          <w:sz w:val="22"/>
          <w:szCs w:val="22"/>
          <w:lang w:val="en-GB" w:eastAsia="en-GB"/>
        </w:rPr>
        <w:t>erry OS</w:t>
      </w:r>
      <w:r>
        <w:rPr>
          <w:sz w:val="22"/>
          <w:szCs w:val="22"/>
          <w:lang w:val="en-GB" w:eastAsia="en-GB"/>
        </w:rPr>
        <w:t>)</w:t>
      </w:r>
      <w:r w:rsidR="00A36B54" w:rsidRPr="00433C05">
        <w:rPr>
          <w:sz w:val="22"/>
          <w:szCs w:val="22"/>
          <w:lang w:val="en-GB" w:eastAsia="en-GB"/>
        </w:rPr>
        <w:t>.</w:t>
      </w:r>
      <w:r w:rsidR="00A36B54" w:rsidRPr="00433C05">
        <w:rPr>
          <w:sz w:val="22"/>
          <w:szCs w:val="22"/>
          <w:vertAlign w:val="superscript"/>
          <w:lang w:val="en-GB" w:eastAsia="en-GB"/>
        </w:rPr>
        <w:endnoteReference w:id="35"/>
      </w:r>
      <w:r w:rsidR="00A36B54" w:rsidRPr="00433C05">
        <w:rPr>
          <w:sz w:val="22"/>
          <w:szCs w:val="22"/>
          <w:lang w:val="en-GB" w:eastAsia="en-GB"/>
        </w:rPr>
        <w:t xml:space="preserve"> </w:t>
      </w:r>
    </w:p>
    <w:p w14:paraId="7745ACB1" w14:textId="77777777" w:rsidR="00A36B54" w:rsidRPr="00433C05" w:rsidRDefault="00A36B54" w:rsidP="00A36B54">
      <w:pPr>
        <w:jc w:val="both"/>
        <w:rPr>
          <w:sz w:val="22"/>
          <w:szCs w:val="22"/>
          <w:lang w:val="en-GB" w:eastAsia="en-GB"/>
        </w:rPr>
      </w:pPr>
    </w:p>
    <w:p w14:paraId="09969E77" w14:textId="387384C8" w:rsidR="003E2BC4" w:rsidRDefault="00A36B54" w:rsidP="00A36B54">
      <w:pPr>
        <w:jc w:val="both"/>
        <w:rPr>
          <w:sz w:val="22"/>
          <w:szCs w:val="22"/>
          <w:lang w:val="en-GB" w:eastAsia="en-GB"/>
        </w:rPr>
      </w:pPr>
      <w:r w:rsidRPr="00433C05">
        <w:rPr>
          <w:sz w:val="22"/>
          <w:szCs w:val="22"/>
          <w:lang w:val="en-GB" w:eastAsia="en-GB"/>
        </w:rPr>
        <w:t>Amazon</w:t>
      </w:r>
      <w:r w:rsidR="00BB7510">
        <w:rPr>
          <w:sz w:val="22"/>
          <w:szCs w:val="22"/>
          <w:lang w:val="en-GB" w:eastAsia="en-GB"/>
        </w:rPr>
        <w:t>.com Inc. also attempted to enter the smartphone market with</w:t>
      </w:r>
      <w:r w:rsidRPr="00433C05">
        <w:rPr>
          <w:sz w:val="22"/>
          <w:szCs w:val="22"/>
          <w:lang w:val="en-GB" w:eastAsia="en-GB"/>
        </w:rPr>
        <w:t xml:space="preserve"> its Fire </w:t>
      </w:r>
      <w:r w:rsidR="00BB7510">
        <w:rPr>
          <w:sz w:val="22"/>
          <w:szCs w:val="22"/>
          <w:lang w:val="en-GB" w:eastAsia="en-GB"/>
        </w:rPr>
        <w:t>P</w:t>
      </w:r>
      <w:r w:rsidRPr="00433C05">
        <w:rPr>
          <w:sz w:val="22"/>
          <w:szCs w:val="22"/>
          <w:lang w:val="en-GB" w:eastAsia="en-GB"/>
        </w:rPr>
        <w:t>hone in June 2014</w:t>
      </w:r>
      <w:r w:rsidR="00BB7510">
        <w:rPr>
          <w:sz w:val="22"/>
          <w:szCs w:val="22"/>
          <w:lang w:val="en-GB" w:eastAsia="en-GB"/>
        </w:rPr>
        <w:t>,</w:t>
      </w:r>
      <w:r w:rsidRPr="00433C05">
        <w:rPr>
          <w:sz w:val="22"/>
          <w:szCs w:val="22"/>
          <w:lang w:val="en-GB" w:eastAsia="en-GB"/>
        </w:rPr>
        <w:t xml:space="preserve"> as a rival to Apple and Samsung</w:t>
      </w:r>
      <w:r w:rsidR="009E0B0C" w:rsidRPr="00433C05">
        <w:rPr>
          <w:sz w:val="22"/>
          <w:szCs w:val="22"/>
          <w:lang w:val="en-GB" w:eastAsia="en-GB"/>
        </w:rPr>
        <w:t>.</w:t>
      </w:r>
      <w:r w:rsidRPr="00433C05">
        <w:rPr>
          <w:sz w:val="22"/>
          <w:szCs w:val="22"/>
          <w:vertAlign w:val="superscript"/>
          <w:lang w:val="en-GB" w:eastAsia="en-GB"/>
        </w:rPr>
        <w:endnoteReference w:id="36"/>
      </w:r>
      <w:r w:rsidRPr="00433C05">
        <w:rPr>
          <w:sz w:val="22"/>
          <w:szCs w:val="22"/>
          <w:lang w:val="en-GB" w:eastAsia="en-GB"/>
        </w:rPr>
        <w:t xml:space="preserve"> </w:t>
      </w:r>
      <w:r w:rsidR="00BB7510">
        <w:rPr>
          <w:sz w:val="22"/>
          <w:szCs w:val="22"/>
          <w:lang w:val="en-GB" w:eastAsia="en-GB"/>
        </w:rPr>
        <w:t>H</w:t>
      </w:r>
      <w:r w:rsidRPr="00433C05">
        <w:rPr>
          <w:sz w:val="22"/>
          <w:szCs w:val="22"/>
          <w:lang w:val="en-GB" w:eastAsia="en-GB"/>
        </w:rPr>
        <w:t>owever</w:t>
      </w:r>
      <w:r w:rsidR="00BB7510">
        <w:rPr>
          <w:sz w:val="22"/>
          <w:szCs w:val="22"/>
          <w:lang w:val="en-GB" w:eastAsia="en-GB"/>
        </w:rPr>
        <w:t>, the product</w:t>
      </w:r>
      <w:r w:rsidRPr="00433C05">
        <w:rPr>
          <w:sz w:val="22"/>
          <w:szCs w:val="22"/>
          <w:lang w:val="en-GB" w:eastAsia="en-GB"/>
        </w:rPr>
        <w:t xml:space="preserve"> failed</w:t>
      </w:r>
      <w:r w:rsidR="00BB7510">
        <w:rPr>
          <w:sz w:val="22"/>
          <w:szCs w:val="22"/>
          <w:lang w:val="en-GB" w:eastAsia="en-GB"/>
        </w:rPr>
        <w:t xml:space="preserve"> to capture enough market share</w:t>
      </w:r>
      <w:r w:rsidRPr="00433C05">
        <w:rPr>
          <w:sz w:val="22"/>
          <w:szCs w:val="22"/>
          <w:vertAlign w:val="superscript"/>
          <w:lang w:val="en-GB" w:eastAsia="en-GB"/>
        </w:rPr>
        <w:endnoteReference w:id="37"/>
      </w:r>
      <w:r w:rsidRPr="00433C05">
        <w:rPr>
          <w:sz w:val="22"/>
          <w:szCs w:val="22"/>
          <w:lang w:val="en-GB" w:eastAsia="en-GB"/>
        </w:rPr>
        <w:t xml:space="preserve"> </w:t>
      </w:r>
      <w:r w:rsidR="001E03F4" w:rsidRPr="00433C05">
        <w:rPr>
          <w:sz w:val="22"/>
          <w:szCs w:val="22"/>
          <w:lang w:val="en-GB" w:eastAsia="en-GB"/>
        </w:rPr>
        <w:t>and</w:t>
      </w:r>
      <w:r w:rsidRPr="00433C05">
        <w:rPr>
          <w:sz w:val="22"/>
          <w:szCs w:val="22"/>
          <w:lang w:val="en-GB" w:eastAsia="en-GB"/>
        </w:rPr>
        <w:t xml:space="preserve"> </w:t>
      </w:r>
      <w:r w:rsidR="00231EA0">
        <w:rPr>
          <w:sz w:val="22"/>
          <w:szCs w:val="22"/>
          <w:lang w:val="en-GB" w:eastAsia="en-GB"/>
        </w:rPr>
        <w:t>was</w:t>
      </w:r>
      <w:r w:rsidR="00BB7510">
        <w:rPr>
          <w:sz w:val="22"/>
          <w:szCs w:val="22"/>
          <w:lang w:val="en-GB" w:eastAsia="en-GB"/>
        </w:rPr>
        <w:t xml:space="preserve"> discontinued </w:t>
      </w:r>
      <w:r w:rsidRPr="00433C05">
        <w:rPr>
          <w:sz w:val="22"/>
          <w:szCs w:val="22"/>
          <w:lang w:val="en-GB" w:eastAsia="en-GB"/>
        </w:rPr>
        <w:t>in 2015.</w:t>
      </w:r>
      <w:r w:rsidRPr="00433C05">
        <w:rPr>
          <w:sz w:val="22"/>
          <w:szCs w:val="22"/>
          <w:vertAlign w:val="superscript"/>
          <w:lang w:val="en-GB" w:eastAsia="en-GB"/>
        </w:rPr>
        <w:endnoteReference w:id="38"/>
      </w:r>
      <w:r w:rsidR="008C7FFE" w:rsidRPr="00433C05">
        <w:rPr>
          <w:sz w:val="22"/>
          <w:szCs w:val="22"/>
          <w:lang w:val="en-GB" w:eastAsia="en-GB"/>
        </w:rPr>
        <w:t xml:space="preserve"> </w:t>
      </w:r>
      <w:r w:rsidRPr="00433C05">
        <w:rPr>
          <w:sz w:val="22"/>
          <w:szCs w:val="22"/>
          <w:lang w:val="en-GB" w:eastAsia="en-GB"/>
        </w:rPr>
        <w:t xml:space="preserve">Huawei </w:t>
      </w:r>
      <w:r w:rsidR="00BB7510" w:rsidRPr="00BB7510">
        <w:rPr>
          <w:sz w:val="22"/>
          <w:szCs w:val="22"/>
          <w:lang w:val="en-GB" w:eastAsia="en-GB"/>
        </w:rPr>
        <w:t>Technologies Co. Ltd.</w:t>
      </w:r>
      <w:r w:rsidR="00BB7510">
        <w:rPr>
          <w:sz w:val="22"/>
          <w:szCs w:val="22"/>
          <w:lang w:val="en-GB" w:eastAsia="en-GB"/>
        </w:rPr>
        <w:t xml:space="preserve"> </w:t>
      </w:r>
      <w:r w:rsidRPr="00433C05">
        <w:rPr>
          <w:sz w:val="22"/>
          <w:szCs w:val="22"/>
          <w:lang w:val="en-GB" w:eastAsia="en-GB"/>
        </w:rPr>
        <w:t xml:space="preserve">met a similar fate </w:t>
      </w:r>
      <w:r w:rsidR="00BB7510">
        <w:rPr>
          <w:sz w:val="22"/>
          <w:szCs w:val="22"/>
          <w:lang w:val="en-GB" w:eastAsia="en-GB"/>
        </w:rPr>
        <w:t xml:space="preserve">to </w:t>
      </w:r>
      <w:r w:rsidRPr="00433C05">
        <w:rPr>
          <w:sz w:val="22"/>
          <w:szCs w:val="22"/>
          <w:lang w:val="en-GB" w:eastAsia="en-GB"/>
        </w:rPr>
        <w:t xml:space="preserve">when it </w:t>
      </w:r>
      <w:r w:rsidR="00BB7510">
        <w:rPr>
          <w:sz w:val="22"/>
          <w:szCs w:val="22"/>
          <w:lang w:val="en-GB" w:eastAsia="en-GB"/>
        </w:rPr>
        <w:t>attempted</w:t>
      </w:r>
      <w:r w:rsidRPr="00433C05">
        <w:rPr>
          <w:sz w:val="22"/>
          <w:szCs w:val="22"/>
          <w:lang w:val="en-GB" w:eastAsia="en-GB"/>
        </w:rPr>
        <w:t xml:space="preserve"> to </w:t>
      </w:r>
      <w:r w:rsidR="00BB7510">
        <w:rPr>
          <w:sz w:val="22"/>
          <w:szCs w:val="22"/>
          <w:lang w:val="en-GB" w:eastAsia="en-GB"/>
        </w:rPr>
        <w:t>adopt</w:t>
      </w:r>
      <w:r w:rsidRPr="00433C05">
        <w:rPr>
          <w:sz w:val="22"/>
          <w:szCs w:val="22"/>
          <w:lang w:val="en-GB" w:eastAsia="en-GB"/>
        </w:rPr>
        <w:t xml:space="preserve"> a bare</w:t>
      </w:r>
      <w:r w:rsidR="00BB7510">
        <w:rPr>
          <w:sz w:val="22"/>
          <w:szCs w:val="22"/>
          <w:lang w:val="en-GB" w:eastAsia="en-GB"/>
        </w:rPr>
        <w:t xml:space="preserve"> version of the</w:t>
      </w:r>
      <w:r w:rsidRPr="00433C05">
        <w:rPr>
          <w:sz w:val="22"/>
          <w:szCs w:val="22"/>
          <w:lang w:val="en-GB" w:eastAsia="en-GB"/>
        </w:rPr>
        <w:t xml:space="preserve"> Android </w:t>
      </w:r>
      <w:r w:rsidR="00BB7510">
        <w:rPr>
          <w:sz w:val="22"/>
          <w:szCs w:val="22"/>
          <w:lang w:val="en-GB" w:eastAsia="en-GB"/>
        </w:rPr>
        <w:t>OS</w:t>
      </w:r>
      <w:r w:rsidR="00417EE6">
        <w:rPr>
          <w:sz w:val="22"/>
          <w:szCs w:val="22"/>
          <w:lang w:val="en-GB" w:eastAsia="en-GB"/>
        </w:rPr>
        <w:sym w:font="Symbol" w:char="F0BE"/>
      </w:r>
      <w:r w:rsidRPr="00433C05">
        <w:rPr>
          <w:sz w:val="22"/>
          <w:szCs w:val="22"/>
          <w:lang w:val="en-GB" w:eastAsia="en-GB"/>
        </w:rPr>
        <w:t>in the wake of trade hostilities</w:t>
      </w:r>
      <w:r w:rsidR="00BB7510">
        <w:rPr>
          <w:sz w:val="22"/>
          <w:szCs w:val="22"/>
          <w:lang w:val="en-GB" w:eastAsia="en-GB"/>
        </w:rPr>
        <w:t xml:space="preserve"> between China and the United States</w:t>
      </w:r>
      <w:r w:rsidR="00417EE6">
        <w:rPr>
          <w:sz w:val="22"/>
          <w:szCs w:val="22"/>
          <w:lang w:val="en-GB" w:eastAsia="en-GB"/>
        </w:rPr>
        <w:sym w:font="Symbol" w:char="F0BE"/>
      </w:r>
      <w:r w:rsidRPr="00433C05">
        <w:rPr>
          <w:sz w:val="22"/>
          <w:szCs w:val="22"/>
          <w:lang w:val="en-GB" w:eastAsia="en-GB"/>
        </w:rPr>
        <w:t>and creat</w:t>
      </w:r>
      <w:r w:rsidR="00BB7510">
        <w:rPr>
          <w:sz w:val="22"/>
          <w:szCs w:val="22"/>
          <w:lang w:val="en-GB" w:eastAsia="en-GB"/>
        </w:rPr>
        <w:t>e</w:t>
      </w:r>
      <w:r w:rsidRPr="00433C05">
        <w:rPr>
          <w:sz w:val="22"/>
          <w:szCs w:val="22"/>
          <w:lang w:val="en-GB" w:eastAsia="en-GB"/>
        </w:rPr>
        <w:t xml:space="preserve"> its own app store </w:t>
      </w:r>
      <w:r w:rsidR="00BB7510">
        <w:rPr>
          <w:sz w:val="22"/>
          <w:szCs w:val="22"/>
          <w:lang w:val="en-GB" w:eastAsia="en-GB"/>
        </w:rPr>
        <w:t>to compete against</w:t>
      </w:r>
      <w:r w:rsidRPr="00433C05">
        <w:rPr>
          <w:sz w:val="22"/>
          <w:szCs w:val="22"/>
          <w:lang w:val="en-GB" w:eastAsia="en-GB"/>
        </w:rPr>
        <w:t xml:space="preserve"> Google Play.</w:t>
      </w:r>
      <w:r w:rsidRPr="00433C05">
        <w:rPr>
          <w:sz w:val="22"/>
          <w:szCs w:val="22"/>
          <w:vertAlign w:val="superscript"/>
          <w:lang w:val="en-GB" w:eastAsia="en-GB"/>
        </w:rPr>
        <w:endnoteReference w:id="39"/>
      </w:r>
      <w:r w:rsidR="00BB7510">
        <w:rPr>
          <w:sz w:val="22"/>
          <w:szCs w:val="22"/>
          <w:lang w:val="en-GB" w:eastAsia="en-GB"/>
        </w:rPr>
        <w:t xml:space="preserve"> </w:t>
      </w:r>
      <w:r w:rsidR="003E2BC4">
        <w:rPr>
          <w:sz w:val="22"/>
          <w:szCs w:val="22"/>
          <w:lang w:val="en-GB" w:eastAsia="en-GB"/>
        </w:rPr>
        <w:t>O</w:t>
      </w:r>
      <w:r w:rsidR="00BB7510">
        <w:rPr>
          <w:sz w:val="22"/>
          <w:szCs w:val="22"/>
          <w:lang w:val="en-GB" w:eastAsia="en-GB"/>
        </w:rPr>
        <w:t>ne</w:t>
      </w:r>
      <w:r w:rsidRPr="00433C05">
        <w:rPr>
          <w:sz w:val="22"/>
          <w:szCs w:val="22"/>
          <w:lang w:val="en-GB" w:eastAsia="en-GB"/>
        </w:rPr>
        <w:t xml:space="preserve"> analyst </w:t>
      </w:r>
      <w:r w:rsidR="003E2BC4">
        <w:rPr>
          <w:sz w:val="22"/>
          <w:szCs w:val="22"/>
          <w:lang w:val="en-GB" w:eastAsia="en-GB"/>
        </w:rPr>
        <w:t xml:space="preserve">made the following </w:t>
      </w:r>
      <w:r w:rsidR="00231EA0">
        <w:rPr>
          <w:sz w:val="22"/>
          <w:szCs w:val="22"/>
          <w:lang w:val="en-GB" w:eastAsia="en-GB"/>
        </w:rPr>
        <w:t>observation</w:t>
      </w:r>
      <w:r w:rsidR="003E2BC4">
        <w:rPr>
          <w:sz w:val="22"/>
          <w:szCs w:val="22"/>
          <w:lang w:val="en-GB" w:eastAsia="en-GB"/>
        </w:rPr>
        <w:t>:</w:t>
      </w:r>
    </w:p>
    <w:p w14:paraId="1C87C2B3" w14:textId="77777777" w:rsidR="003E2BC4" w:rsidRDefault="003E2BC4" w:rsidP="00A36B54">
      <w:pPr>
        <w:jc w:val="both"/>
        <w:rPr>
          <w:sz w:val="22"/>
          <w:szCs w:val="22"/>
          <w:lang w:val="en-GB" w:eastAsia="en-GB"/>
        </w:rPr>
      </w:pPr>
    </w:p>
    <w:p w14:paraId="032BB869" w14:textId="6F92BE15" w:rsidR="003E2BC4" w:rsidRDefault="00A36B54" w:rsidP="00AA3E6F">
      <w:pPr>
        <w:ind w:left="720"/>
        <w:jc w:val="both"/>
        <w:rPr>
          <w:sz w:val="22"/>
          <w:szCs w:val="22"/>
          <w:lang w:val="en-GB" w:eastAsia="en-GB"/>
        </w:rPr>
      </w:pPr>
      <w:r w:rsidRPr="00433C05">
        <w:rPr>
          <w:sz w:val="22"/>
          <w:szCs w:val="22"/>
          <w:lang w:val="en-GB" w:eastAsia="en-GB"/>
        </w:rPr>
        <w:t>If we disregard this “bare” Android version than</w:t>
      </w:r>
      <w:r w:rsidR="00BB7510">
        <w:rPr>
          <w:sz w:val="22"/>
          <w:szCs w:val="22"/>
          <w:lang w:val="en-GB" w:eastAsia="en-GB"/>
        </w:rPr>
        <w:t xml:space="preserve"> [sic]</w:t>
      </w:r>
      <w:r w:rsidRPr="00433C05">
        <w:rPr>
          <w:sz w:val="22"/>
          <w:szCs w:val="22"/>
          <w:lang w:val="en-GB" w:eastAsia="en-GB"/>
        </w:rPr>
        <w:t xml:space="preserve"> we can clearly say that </w:t>
      </w:r>
      <w:r w:rsidRPr="00433C05">
        <w:rPr>
          <w:i/>
          <w:iCs/>
          <w:sz w:val="22"/>
          <w:szCs w:val="22"/>
          <w:lang w:val="en-GB" w:eastAsia="en-GB"/>
        </w:rPr>
        <w:t>Android is not open source but Google’s proprietary software.</w:t>
      </w:r>
      <w:r w:rsidR="00BB7510">
        <w:rPr>
          <w:sz w:val="22"/>
          <w:szCs w:val="22"/>
          <w:lang w:val="en-GB" w:eastAsia="en-GB"/>
        </w:rPr>
        <w:t xml:space="preserve"> [emphasis in the original] </w:t>
      </w:r>
      <w:r w:rsidRPr="00433C05">
        <w:rPr>
          <w:sz w:val="22"/>
          <w:szCs w:val="22"/>
          <w:lang w:val="en-GB" w:eastAsia="en-GB"/>
        </w:rPr>
        <w:t xml:space="preserve">To use it, the manufacturer does not need to pay anything, but they need to comply with many of Google’s conditions to be able to use the full version of Android with </w:t>
      </w:r>
      <w:r w:rsidR="003E2BC4">
        <w:rPr>
          <w:sz w:val="22"/>
          <w:szCs w:val="22"/>
          <w:lang w:val="en-GB" w:eastAsia="en-GB"/>
        </w:rPr>
        <w:t xml:space="preserve">[Google] </w:t>
      </w:r>
      <w:r w:rsidRPr="00433C05">
        <w:rPr>
          <w:sz w:val="22"/>
          <w:szCs w:val="22"/>
          <w:lang w:val="en-GB" w:eastAsia="en-GB"/>
        </w:rPr>
        <w:t>Play and other Google’s apps.</w:t>
      </w:r>
      <w:r w:rsidRPr="00433C05">
        <w:rPr>
          <w:sz w:val="22"/>
          <w:szCs w:val="22"/>
          <w:vertAlign w:val="superscript"/>
          <w:lang w:val="en-GB" w:eastAsia="en-GB"/>
        </w:rPr>
        <w:endnoteReference w:id="40"/>
      </w:r>
    </w:p>
    <w:p w14:paraId="385AF93B" w14:textId="77777777" w:rsidR="003E2BC4" w:rsidRDefault="003E2BC4" w:rsidP="00A36B54">
      <w:pPr>
        <w:jc w:val="both"/>
        <w:rPr>
          <w:sz w:val="22"/>
          <w:szCs w:val="22"/>
          <w:lang w:val="en-GB" w:eastAsia="en-GB"/>
        </w:rPr>
      </w:pPr>
    </w:p>
    <w:p w14:paraId="0797703D" w14:textId="0530FCB8" w:rsidR="00A36B54" w:rsidRPr="00433C05" w:rsidRDefault="00A36B54" w:rsidP="00A36B54">
      <w:pPr>
        <w:jc w:val="both"/>
        <w:rPr>
          <w:color w:val="000000"/>
          <w:sz w:val="22"/>
          <w:szCs w:val="22"/>
          <w:shd w:val="clear" w:color="auto" w:fill="FFFFFF"/>
          <w:lang w:val="en-GB" w:eastAsia="en-GB"/>
        </w:rPr>
      </w:pPr>
      <w:r w:rsidRPr="00433C05">
        <w:rPr>
          <w:sz w:val="22"/>
          <w:szCs w:val="22"/>
          <w:lang w:val="en-GB" w:eastAsia="en-GB"/>
        </w:rPr>
        <w:t>With a search market share of about 90 per cent worldwide, Google had managed to create and control “</w:t>
      </w:r>
      <w:r w:rsidRPr="00433C05">
        <w:rPr>
          <w:color w:val="000000"/>
          <w:sz w:val="22"/>
          <w:szCs w:val="22"/>
          <w:shd w:val="clear" w:color="auto" w:fill="FFFFFF"/>
          <w:lang w:val="en-GB" w:eastAsia="en-GB"/>
        </w:rPr>
        <w:t>a suite of apps like Chrome, Gmail, YouTube, Google Maps, Google Docs, and many other popular web services</w:t>
      </w:r>
      <w:r w:rsidR="00AE2B66">
        <w:rPr>
          <w:color w:val="000000"/>
          <w:sz w:val="22"/>
          <w:szCs w:val="22"/>
          <w:shd w:val="clear" w:color="auto" w:fill="FFFFFF"/>
          <w:lang w:val="en-GB" w:eastAsia="en-GB"/>
        </w:rPr>
        <w:t>.</w:t>
      </w:r>
      <w:r w:rsidRPr="00433C05">
        <w:rPr>
          <w:color w:val="000000"/>
          <w:sz w:val="22"/>
          <w:szCs w:val="22"/>
          <w:shd w:val="clear" w:color="auto" w:fill="FFFFFF"/>
          <w:lang w:val="en-GB" w:eastAsia="en-GB"/>
        </w:rPr>
        <w:t>”</w:t>
      </w:r>
      <w:r w:rsidRPr="00433C05">
        <w:rPr>
          <w:color w:val="000000"/>
          <w:sz w:val="22"/>
          <w:szCs w:val="22"/>
          <w:shd w:val="clear" w:color="auto" w:fill="FFFFFF"/>
          <w:vertAlign w:val="superscript"/>
          <w:lang w:val="en-GB" w:eastAsia="en-GB"/>
        </w:rPr>
        <w:endnoteReference w:id="41"/>
      </w:r>
      <w:r w:rsidRPr="00433C05">
        <w:rPr>
          <w:color w:val="000000"/>
          <w:sz w:val="22"/>
          <w:szCs w:val="22"/>
          <w:shd w:val="clear" w:color="auto" w:fill="FFFFFF"/>
          <w:lang w:val="en-GB" w:eastAsia="en-GB"/>
        </w:rPr>
        <w:t xml:space="preserve"> In fact, it had been accused of using its dominance to force partners to bundle Google’s apps, </w:t>
      </w:r>
      <w:r w:rsidR="00AE2B66">
        <w:rPr>
          <w:color w:val="000000"/>
          <w:sz w:val="22"/>
          <w:szCs w:val="22"/>
          <w:shd w:val="clear" w:color="auto" w:fill="FFFFFF"/>
          <w:lang w:val="en-GB" w:eastAsia="en-GB"/>
        </w:rPr>
        <w:t>including</w:t>
      </w:r>
      <w:r w:rsidRPr="00433C05">
        <w:rPr>
          <w:color w:val="000000"/>
          <w:sz w:val="22"/>
          <w:szCs w:val="22"/>
          <w:shd w:val="clear" w:color="auto" w:fill="FFFFFF"/>
          <w:lang w:val="en-GB" w:eastAsia="en-GB"/>
        </w:rPr>
        <w:t xml:space="preserve"> </w:t>
      </w:r>
      <w:r w:rsidR="00AE2B66">
        <w:rPr>
          <w:color w:val="000000"/>
          <w:sz w:val="22"/>
          <w:szCs w:val="22"/>
          <w:shd w:val="clear" w:color="auto" w:fill="FFFFFF"/>
          <w:lang w:val="en-GB" w:eastAsia="en-GB"/>
        </w:rPr>
        <w:t xml:space="preserve">Google </w:t>
      </w:r>
      <w:r w:rsidRPr="00433C05">
        <w:rPr>
          <w:color w:val="000000"/>
          <w:sz w:val="22"/>
          <w:szCs w:val="22"/>
          <w:shd w:val="clear" w:color="auto" w:fill="FFFFFF"/>
          <w:lang w:val="en-GB" w:eastAsia="en-GB"/>
        </w:rPr>
        <w:t xml:space="preserve">Search and </w:t>
      </w:r>
      <w:r w:rsidR="00AE2B66">
        <w:rPr>
          <w:color w:val="000000"/>
          <w:sz w:val="22"/>
          <w:szCs w:val="22"/>
          <w:shd w:val="clear" w:color="auto" w:fill="FFFFFF"/>
          <w:lang w:val="en-GB" w:eastAsia="en-GB"/>
        </w:rPr>
        <w:t xml:space="preserve">Google </w:t>
      </w:r>
      <w:r w:rsidRPr="00433C05">
        <w:rPr>
          <w:color w:val="000000"/>
          <w:sz w:val="22"/>
          <w:szCs w:val="22"/>
          <w:shd w:val="clear" w:color="auto" w:fill="FFFFFF"/>
          <w:lang w:val="en-GB" w:eastAsia="en-GB"/>
        </w:rPr>
        <w:t>Maps, into their offerings.</w:t>
      </w:r>
      <w:r w:rsidRPr="00433C05">
        <w:rPr>
          <w:color w:val="000000"/>
          <w:sz w:val="22"/>
          <w:szCs w:val="22"/>
          <w:shd w:val="clear" w:color="auto" w:fill="FFFFFF"/>
          <w:vertAlign w:val="superscript"/>
          <w:lang w:val="en-GB" w:eastAsia="en-GB"/>
        </w:rPr>
        <w:endnoteReference w:id="42"/>
      </w:r>
      <w:r w:rsidRPr="00433C05">
        <w:rPr>
          <w:color w:val="000000"/>
          <w:sz w:val="22"/>
          <w:szCs w:val="22"/>
          <w:shd w:val="clear" w:color="auto" w:fill="FFFFFF"/>
          <w:lang w:val="en-GB" w:eastAsia="en-GB"/>
        </w:rPr>
        <w:t> </w:t>
      </w:r>
    </w:p>
    <w:p w14:paraId="57B998B8" w14:textId="103AAE0F" w:rsidR="00A36B54" w:rsidRPr="00433C05" w:rsidRDefault="00A36B54" w:rsidP="00A36B54">
      <w:pPr>
        <w:jc w:val="both"/>
        <w:rPr>
          <w:color w:val="000000"/>
          <w:sz w:val="22"/>
          <w:szCs w:val="22"/>
          <w:shd w:val="clear" w:color="auto" w:fill="FFFFFF"/>
          <w:lang w:val="en-GB" w:eastAsia="en-GB"/>
        </w:rPr>
      </w:pPr>
    </w:p>
    <w:p w14:paraId="36343ECE" w14:textId="77777777" w:rsidR="00A36B54" w:rsidRPr="00433C05" w:rsidRDefault="00A36B54" w:rsidP="00A36B54">
      <w:pPr>
        <w:jc w:val="both"/>
        <w:rPr>
          <w:color w:val="000000"/>
          <w:sz w:val="22"/>
          <w:szCs w:val="22"/>
          <w:shd w:val="clear" w:color="auto" w:fill="FFFFFF"/>
          <w:lang w:val="en-GB" w:eastAsia="en-GB"/>
        </w:rPr>
      </w:pPr>
    </w:p>
    <w:p w14:paraId="0624AC67" w14:textId="77777777" w:rsidR="00A36B54" w:rsidRPr="00433C05" w:rsidRDefault="00A36B54" w:rsidP="00A36B54">
      <w:pPr>
        <w:pStyle w:val="Casehead1"/>
        <w:rPr>
          <w:lang w:val="en-GB" w:eastAsia="en-GB"/>
        </w:rPr>
      </w:pPr>
      <w:r w:rsidRPr="00433C05">
        <w:rPr>
          <w:lang w:val="en-GB" w:eastAsia="en-GB"/>
        </w:rPr>
        <w:t xml:space="preserve">THE CONTROVERSY </w:t>
      </w:r>
    </w:p>
    <w:p w14:paraId="47F6B1ED" w14:textId="77777777" w:rsidR="00A36B54" w:rsidRPr="00433C05" w:rsidRDefault="00A36B54" w:rsidP="00A36B54">
      <w:pPr>
        <w:jc w:val="both"/>
        <w:rPr>
          <w:i/>
          <w:iCs/>
          <w:sz w:val="22"/>
          <w:szCs w:val="22"/>
          <w:lang w:val="en-GB" w:eastAsia="en-GB"/>
        </w:rPr>
      </w:pPr>
    </w:p>
    <w:p w14:paraId="5E14A803" w14:textId="257A4DF0" w:rsidR="00A36B54" w:rsidRPr="00433C05" w:rsidRDefault="00A36B54" w:rsidP="00A36B54">
      <w:pPr>
        <w:pStyle w:val="Casehead2"/>
        <w:rPr>
          <w:lang w:val="en-GB" w:eastAsia="en-GB"/>
        </w:rPr>
      </w:pPr>
      <w:r w:rsidRPr="00433C05">
        <w:rPr>
          <w:lang w:val="en-GB" w:eastAsia="en-GB"/>
        </w:rPr>
        <w:t xml:space="preserve">Google’s </w:t>
      </w:r>
      <w:r w:rsidR="00AE2B66">
        <w:rPr>
          <w:lang w:val="en-GB" w:eastAsia="en-GB"/>
        </w:rPr>
        <w:t>S</w:t>
      </w:r>
      <w:r w:rsidRPr="00433C05">
        <w:rPr>
          <w:lang w:val="en-GB" w:eastAsia="en-GB"/>
        </w:rPr>
        <w:t>tance</w:t>
      </w:r>
    </w:p>
    <w:p w14:paraId="597E6FE7" w14:textId="77777777" w:rsidR="00A36B54" w:rsidRPr="00433C05" w:rsidRDefault="00A36B54" w:rsidP="00A36B54">
      <w:pPr>
        <w:jc w:val="both"/>
        <w:rPr>
          <w:sz w:val="22"/>
          <w:szCs w:val="22"/>
          <w:lang w:val="en-GB" w:eastAsia="en-GB"/>
        </w:rPr>
      </w:pPr>
    </w:p>
    <w:p w14:paraId="6297D193" w14:textId="0BEC40CD" w:rsidR="00A36B54" w:rsidRPr="00433C05" w:rsidRDefault="00A36B54" w:rsidP="00A36B54">
      <w:pPr>
        <w:jc w:val="both"/>
        <w:rPr>
          <w:sz w:val="22"/>
          <w:szCs w:val="22"/>
          <w:lang w:val="en-GB" w:eastAsia="en-GB"/>
        </w:rPr>
      </w:pPr>
      <w:r w:rsidRPr="00433C05">
        <w:rPr>
          <w:sz w:val="22"/>
          <w:szCs w:val="22"/>
          <w:lang w:val="en-GB" w:eastAsia="en-GB"/>
        </w:rPr>
        <w:t>Google announced on a blog post in September 2020 that it would enforce its policy of levying a 30 per cent commission on all in-app purchases of digital goods bought on Google Play.</w:t>
      </w:r>
      <w:r w:rsidRPr="00433C05">
        <w:rPr>
          <w:sz w:val="22"/>
          <w:szCs w:val="22"/>
          <w:vertAlign w:val="superscript"/>
          <w:lang w:val="en-GB" w:eastAsia="en-GB"/>
        </w:rPr>
        <w:endnoteReference w:id="43"/>
      </w:r>
      <w:r w:rsidRPr="00433C05">
        <w:rPr>
          <w:sz w:val="22"/>
          <w:szCs w:val="22"/>
          <w:lang w:val="en-GB" w:eastAsia="en-GB"/>
        </w:rPr>
        <w:t xml:space="preserve"> The blog </w:t>
      </w:r>
      <w:r w:rsidR="00966595">
        <w:rPr>
          <w:sz w:val="22"/>
          <w:szCs w:val="22"/>
          <w:lang w:val="en-GB" w:eastAsia="en-GB"/>
        </w:rPr>
        <w:t xml:space="preserve">post </w:t>
      </w:r>
      <w:r w:rsidRPr="00433C05">
        <w:rPr>
          <w:sz w:val="22"/>
          <w:szCs w:val="22"/>
          <w:lang w:val="en-GB" w:eastAsia="en-GB"/>
        </w:rPr>
        <w:t xml:space="preserve">was </w:t>
      </w:r>
      <w:r w:rsidR="008E6CC1">
        <w:rPr>
          <w:sz w:val="22"/>
          <w:szCs w:val="22"/>
          <w:lang w:val="en-GB" w:eastAsia="en-GB"/>
        </w:rPr>
        <w:t>intended</w:t>
      </w:r>
      <w:r w:rsidRPr="00433C05">
        <w:rPr>
          <w:sz w:val="22"/>
          <w:szCs w:val="22"/>
          <w:lang w:val="en-GB" w:eastAsia="en-GB"/>
        </w:rPr>
        <w:t xml:space="preserve"> to provide </w:t>
      </w:r>
      <w:r w:rsidR="008E6CC1">
        <w:rPr>
          <w:sz w:val="22"/>
          <w:szCs w:val="22"/>
          <w:lang w:val="en-GB" w:eastAsia="en-GB"/>
        </w:rPr>
        <w:t>“</w:t>
      </w:r>
      <w:r w:rsidRPr="00433C05">
        <w:rPr>
          <w:sz w:val="22"/>
          <w:szCs w:val="22"/>
          <w:lang w:val="en-GB" w:eastAsia="en-GB"/>
        </w:rPr>
        <w:t>clarity</w:t>
      </w:r>
      <w:r w:rsidR="008E6CC1">
        <w:rPr>
          <w:sz w:val="22"/>
          <w:szCs w:val="22"/>
          <w:lang w:val="en-GB" w:eastAsia="en-GB"/>
        </w:rPr>
        <w:t>”</w:t>
      </w:r>
      <w:r w:rsidRPr="00433C05">
        <w:rPr>
          <w:sz w:val="22"/>
          <w:szCs w:val="22"/>
          <w:lang w:val="en-GB" w:eastAsia="en-GB"/>
        </w:rPr>
        <w:t xml:space="preserve"> on billing policies among app developers on the types of transactions </w:t>
      </w:r>
      <w:r w:rsidR="008E6CC1">
        <w:rPr>
          <w:sz w:val="22"/>
          <w:szCs w:val="22"/>
          <w:lang w:val="en-GB" w:eastAsia="en-GB"/>
        </w:rPr>
        <w:t xml:space="preserve">that </w:t>
      </w:r>
      <w:r w:rsidRPr="00433C05">
        <w:rPr>
          <w:sz w:val="22"/>
          <w:szCs w:val="22"/>
          <w:lang w:val="en-GB" w:eastAsia="en-GB"/>
        </w:rPr>
        <w:t>requir</w:t>
      </w:r>
      <w:r w:rsidR="008E6CC1">
        <w:rPr>
          <w:sz w:val="22"/>
          <w:szCs w:val="22"/>
          <w:lang w:val="en-GB" w:eastAsia="en-GB"/>
        </w:rPr>
        <w:t>ed the</w:t>
      </w:r>
      <w:r w:rsidRPr="00433C05">
        <w:rPr>
          <w:sz w:val="22"/>
          <w:szCs w:val="22"/>
          <w:lang w:val="en-GB" w:eastAsia="en-GB"/>
        </w:rPr>
        <w:t xml:space="preserve"> use of its app store’s billing system.</w:t>
      </w:r>
      <w:r w:rsidRPr="00433C05">
        <w:rPr>
          <w:sz w:val="22"/>
          <w:szCs w:val="22"/>
          <w:vertAlign w:val="superscript"/>
          <w:lang w:val="en-GB" w:eastAsia="en-GB"/>
        </w:rPr>
        <w:endnoteReference w:id="44"/>
      </w:r>
      <w:r w:rsidRPr="00433C05">
        <w:rPr>
          <w:sz w:val="22"/>
          <w:szCs w:val="22"/>
          <w:lang w:val="en-GB" w:eastAsia="en-GB"/>
        </w:rPr>
        <w:t xml:space="preserve"> It also address</w:t>
      </w:r>
      <w:r w:rsidR="00F07405">
        <w:rPr>
          <w:sz w:val="22"/>
          <w:szCs w:val="22"/>
          <w:lang w:val="en-GB" w:eastAsia="en-GB"/>
        </w:rPr>
        <w:t>ed</w:t>
      </w:r>
      <w:r w:rsidRPr="00433C05">
        <w:rPr>
          <w:sz w:val="22"/>
          <w:szCs w:val="22"/>
          <w:lang w:val="en-GB" w:eastAsia="en-GB"/>
        </w:rPr>
        <w:t xml:space="preserve"> Google’s concerns regarding developers </w:t>
      </w:r>
      <w:r w:rsidR="008E6CC1">
        <w:rPr>
          <w:sz w:val="22"/>
          <w:szCs w:val="22"/>
          <w:lang w:val="en-GB" w:eastAsia="en-GB"/>
        </w:rPr>
        <w:t>such as</w:t>
      </w:r>
      <w:r w:rsidRPr="00433C05">
        <w:rPr>
          <w:sz w:val="22"/>
          <w:szCs w:val="22"/>
          <w:lang w:val="en-GB" w:eastAsia="en-GB"/>
        </w:rPr>
        <w:t xml:space="preserve"> Netflix and Spotify, who had been bypassing the billing system requirement by prompting users to pay</w:t>
      </w:r>
      <w:r w:rsidR="008E6CC1">
        <w:rPr>
          <w:sz w:val="22"/>
          <w:szCs w:val="22"/>
          <w:lang w:val="en-GB" w:eastAsia="en-GB"/>
        </w:rPr>
        <w:t xml:space="preserve"> directly using</w:t>
      </w:r>
      <w:r w:rsidRPr="00433C05">
        <w:rPr>
          <w:sz w:val="22"/>
          <w:szCs w:val="22"/>
          <w:lang w:val="en-GB" w:eastAsia="en-GB"/>
        </w:rPr>
        <w:t xml:space="preserve"> a credit card.</w:t>
      </w:r>
      <w:r w:rsidRPr="00433C05">
        <w:rPr>
          <w:sz w:val="22"/>
          <w:szCs w:val="22"/>
          <w:vertAlign w:val="superscript"/>
          <w:lang w:val="en-GB" w:eastAsia="en-GB"/>
        </w:rPr>
        <w:endnoteReference w:id="45"/>
      </w:r>
    </w:p>
    <w:p w14:paraId="754FDA60" w14:textId="77777777" w:rsidR="00A36B54" w:rsidRPr="00433C05" w:rsidRDefault="00A36B54" w:rsidP="00A36B54">
      <w:pPr>
        <w:jc w:val="both"/>
        <w:rPr>
          <w:sz w:val="22"/>
          <w:szCs w:val="22"/>
          <w:lang w:val="en-GB" w:eastAsia="en-GB"/>
        </w:rPr>
      </w:pPr>
    </w:p>
    <w:p w14:paraId="13799D3F" w14:textId="04FA4410" w:rsidR="00A36B54" w:rsidRPr="00433C05" w:rsidRDefault="00A36B54" w:rsidP="00A36B54">
      <w:pPr>
        <w:jc w:val="both"/>
        <w:rPr>
          <w:sz w:val="22"/>
          <w:szCs w:val="22"/>
          <w:lang w:val="en-GB" w:eastAsia="en-GB"/>
        </w:rPr>
      </w:pPr>
      <w:r w:rsidRPr="00433C05">
        <w:rPr>
          <w:sz w:val="22"/>
          <w:szCs w:val="22"/>
          <w:lang w:val="en-GB" w:eastAsia="en-GB"/>
        </w:rPr>
        <w:t>Google stated</w:t>
      </w:r>
      <w:r w:rsidR="00417EE6">
        <w:rPr>
          <w:sz w:val="22"/>
          <w:szCs w:val="22"/>
          <w:lang w:val="en-GB" w:eastAsia="en-GB"/>
        </w:rPr>
        <w:t>:</w:t>
      </w:r>
      <w:r w:rsidRPr="00433C05">
        <w:rPr>
          <w:sz w:val="22"/>
          <w:szCs w:val="22"/>
          <w:lang w:val="en-GB" w:eastAsia="en-GB"/>
        </w:rPr>
        <w:t xml:space="preserve"> “We’ve always required developers who distribute their apps on Play to use Google Play’s billing system if they offer in-app purchases of digital goods, and pay a service fee from a percentage of the purchase</w:t>
      </w:r>
      <w:r w:rsidR="008E6CC1">
        <w:rPr>
          <w:sz w:val="22"/>
          <w:szCs w:val="22"/>
          <w:lang w:val="en-GB" w:eastAsia="en-GB"/>
        </w:rPr>
        <w:t>.</w:t>
      </w:r>
      <w:r w:rsidRPr="00433C05">
        <w:rPr>
          <w:sz w:val="22"/>
          <w:szCs w:val="22"/>
          <w:lang w:val="en-GB" w:eastAsia="en-GB"/>
        </w:rPr>
        <w:t>”</w:t>
      </w:r>
      <w:r w:rsidR="003E6A40">
        <w:rPr>
          <w:rStyle w:val="EndnoteReference"/>
          <w:sz w:val="22"/>
          <w:szCs w:val="22"/>
          <w:lang w:val="en-GB" w:eastAsia="en-GB"/>
        </w:rPr>
        <w:endnoteReference w:id="46"/>
      </w:r>
      <w:r w:rsidRPr="00433C05">
        <w:rPr>
          <w:sz w:val="22"/>
          <w:szCs w:val="22"/>
          <w:lang w:val="en-GB" w:eastAsia="en-GB"/>
        </w:rPr>
        <w:t xml:space="preserve"> Go</w:t>
      </w:r>
      <w:r w:rsidR="003E6A40">
        <w:rPr>
          <w:sz w:val="22"/>
          <w:szCs w:val="22"/>
          <w:lang w:val="en-GB" w:eastAsia="en-GB"/>
        </w:rPr>
        <w:t>og</w:t>
      </w:r>
      <w:r w:rsidRPr="00433C05">
        <w:rPr>
          <w:sz w:val="22"/>
          <w:szCs w:val="22"/>
          <w:lang w:val="en-GB" w:eastAsia="en-GB"/>
        </w:rPr>
        <w:t>l</w:t>
      </w:r>
      <w:r w:rsidR="003E6A40">
        <w:rPr>
          <w:sz w:val="22"/>
          <w:szCs w:val="22"/>
          <w:lang w:val="en-GB" w:eastAsia="en-GB"/>
        </w:rPr>
        <w:t>e Play Console Help</w:t>
      </w:r>
      <w:r w:rsidRPr="00433C05">
        <w:rPr>
          <w:sz w:val="22"/>
          <w:szCs w:val="22"/>
          <w:lang w:val="en-GB" w:eastAsia="en-GB"/>
        </w:rPr>
        <w:t xml:space="preserve"> sought to clarify the language and make the requirements of using Google Play’s billing system more explicit for app developers selling digital goods in their apps.</w:t>
      </w:r>
      <w:r w:rsidR="00912CA3" w:rsidRPr="00433C05">
        <w:rPr>
          <w:sz w:val="22"/>
          <w:szCs w:val="22"/>
          <w:vertAlign w:val="superscript"/>
          <w:lang w:val="en-GB" w:eastAsia="en-GB"/>
        </w:rPr>
        <w:endnoteReference w:id="47"/>
      </w:r>
      <w:r w:rsidRPr="00433C05">
        <w:rPr>
          <w:sz w:val="22"/>
          <w:szCs w:val="22"/>
          <w:lang w:val="en-GB" w:eastAsia="en-GB"/>
        </w:rPr>
        <w:t xml:space="preserve"> </w:t>
      </w:r>
    </w:p>
    <w:p w14:paraId="3B9243D7" w14:textId="77777777" w:rsidR="00A36B54" w:rsidRPr="00433C05" w:rsidRDefault="00A36B54" w:rsidP="00A36B54">
      <w:pPr>
        <w:jc w:val="both"/>
        <w:rPr>
          <w:sz w:val="22"/>
          <w:szCs w:val="22"/>
          <w:lang w:val="en-GB" w:eastAsia="en-GB"/>
        </w:rPr>
      </w:pPr>
    </w:p>
    <w:p w14:paraId="754173A8" w14:textId="2C11CFFB" w:rsidR="00A36B54" w:rsidRPr="00433C05" w:rsidRDefault="00A36B54" w:rsidP="00A36B54">
      <w:pPr>
        <w:jc w:val="both"/>
        <w:rPr>
          <w:sz w:val="22"/>
          <w:szCs w:val="22"/>
          <w:lang w:val="en-GB" w:eastAsia="en-GB"/>
        </w:rPr>
      </w:pPr>
      <w:r w:rsidRPr="00433C05">
        <w:rPr>
          <w:sz w:val="22"/>
          <w:szCs w:val="22"/>
          <w:lang w:val="en-GB" w:eastAsia="en-GB"/>
        </w:rPr>
        <w:t xml:space="preserve">Google pre-empted any criticism of its announcement by stating </w:t>
      </w:r>
      <w:r w:rsidR="003E6A40">
        <w:rPr>
          <w:sz w:val="22"/>
          <w:szCs w:val="22"/>
          <w:lang w:val="en-GB" w:eastAsia="en-GB"/>
        </w:rPr>
        <w:t>t</w:t>
      </w:r>
      <w:r w:rsidRPr="00433C05">
        <w:rPr>
          <w:sz w:val="22"/>
          <w:szCs w:val="22"/>
          <w:lang w:val="en-GB" w:eastAsia="en-GB"/>
        </w:rPr>
        <w:t>h</w:t>
      </w:r>
      <w:r w:rsidR="003E6A40">
        <w:rPr>
          <w:sz w:val="22"/>
          <w:szCs w:val="22"/>
          <w:lang w:val="en-GB" w:eastAsia="en-GB"/>
        </w:rPr>
        <w:t>at</w:t>
      </w:r>
      <w:r w:rsidRPr="00433C05">
        <w:rPr>
          <w:sz w:val="22"/>
          <w:szCs w:val="22"/>
          <w:lang w:val="en-GB" w:eastAsia="en-GB"/>
        </w:rPr>
        <w:t xml:space="preserve"> choice had been a core tenet of </w:t>
      </w:r>
      <w:r w:rsidR="003E6A40">
        <w:rPr>
          <w:sz w:val="22"/>
          <w:szCs w:val="22"/>
          <w:lang w:val="en-GB" w:eastAsia="en-GB"/>
        </w:rPr>
        <w:t>its pol</w:t>
      </w:r>
      <w:r w:rsidR="00912CA3">
        <w:rPr>
          <w:sz w:val="22"/>
          <w:szCs w:val="22"/>
          <w:lang w:val="en-GB" w:eastAsia="en-GB"/>
        </w:rPr>
        <w:t>i</w:t>
      </w:r>
      <w:r w:rsidR="003E6A40">
        <w:rPr>
          <w:sz w:val="22"/>
          <w:szCs w:val="22"/>
          <w:lang w:val="en-GB" w:eastAsia="en-GB"/>
        </w:rPr>
        <w:t>cy</w:t>
      </w:r>
      <w:r w:rsidRPr="00433C05">
        <w:rPr>
          <w:sz w:val="22"/>
          <w:szCs w:val="22"/>
          <w:lang w:val="en-GB" w:eastAsia="en-GB"/>
        </w:rPr>
        <w:t>, allow</w:t>
      </w:r>
      <w:r w:rsidR="003E6A40">
        <w:rPr>
          <w:sz w:val="22"/>
          <w:szCs w:val="22"/>
          <w:lang w:val="en-GB" w:eastAsia="en-GB"/>
        </w:rPr>
        <w:t>ing</w:t>
      </w:r>
      <w:r w:rsidRPr="00433C05">
        <w:rPr>
          <w:sz w:val="22"/>
          <w:szCs w:val="22"/>
          <w:lang w:val="en-GB" w:eastAsia="en-GB"/>
        </w:rPr>
        <w:t xml:space="preserve"> developers who failed to come to an agreement with Google on business terms </w:t>
      </w:r>
      <w:r w:rsidR="00C40212">
        <w:rPr>
          <w:sz w:val="22"/>
          <w:szCs w:val="22"/>
          <w:lang w:val="en-GB" w:eastAsia="en-GB"/>
        </w:rPr>
        <w:t>to operate their own app stores and</w:t>
      </w:r>
      <w:r w:rsidRPr="00433C05">
        <w:rPr>
          <w:sz w:val="22"/>
          <w:szCs w:val="22"/>
          <w:lang w:val="en-GB" w:eastAsia="en-GB"/>
        </w:rPr>
        <w:t xml:space="preserve"> distribute </w:t>
      </w:r>
      <w:r w:rsidR="00C40212">
        <w:rPr>
          <w:sz w:val="22"/>
          <w:szCs w:val="22"/>
          <w:lang w:val="en-GB" w:eastAsia="en-GB"/>
        </w:rPr>
        <w:t xml:space="preserve">their apps on </w:t>
      </w:r>
      <w:r w:rsidRPr="00433C05">
        <w:rPr>
          <w:sz w:val="22"/>
          <w:szCs w:val="22"/>
          <w:lang w:val="en-GB" w:eastAsia="en-GB"/>
        </w:rPr>
        <w:t>the Android</w:t>
      </w:r>
      <w:r w:rsidR="003E6A40">
        <w:rPr>
          <w:sz w:val="22"/>
          <w:szCs w:val="22"/>
          <w:lang w:val="en-GB" w:eastAsia="en-GB"/>
        </w:rPr>
        <w:t xml:space="preserve"> OS</w:t>
      </w:r>
      <w:r w:rsidRPr="00433C05">
        <w:rPr>
          <w:sz w:val="22"/>
          <w:szCs w:val="22"/>
          <w:lang w:val="en-GB" w:eastAsia="en-GB"/>
        </w:rPr>
        <w:t>.</w:t>
      </w:r>
      <w:r w:rsidRPr="00433C05">
        <w:rPr>
          <w:sz w:val="22"/>
          <w:szCs w:val="22"/>
          <w:vertAlign w:val="superscript"/>
          <w:lang w:val="en-GB" w:eastAsia="en-GB"/>
        </w:rPr>
        <w:endnoteReference w:id="48"/>
      </w:r>
      <w:r w:rsidRPr="00433C05">
        <w:rPr>
          <w:sz w:val="22"/>
          <w:szCs w:val="22"/>
          <w:lang w:val="en-GB" w:eastAsia="en-GB"/>
        </w:rPr>
        <w:t xml:space="preserve"> It </w:t>
      </w:r>
      <w:r w:rsidR="003E6A40">
        <w:rPr>
          <w:sz w:val="22"/>
          <w:szCs w:val="22"/>
          <w:lang w:val="en-GB" w:eastAsia="en-GB"/>
        </w:rPr>
        <w:t xml:space="preserve">provided </w:t>
      </w:r>
      <w:r w:rsidR="006302AC">
        <w:rPr>
          <w:sz w:val="22"/>
          <w:szCs w:val="22"/>
          <w:lang w:val="en-GB" w:eastAsia="en-GB"/>
        </w:rPr>
        <w:t>the</w:t>
      </w:r>
      <w:r w:rsidRPr="00433C05">
        <w:rPr>
          <w:sz w:val="22"/>
          <w:szCs w:val="22"/>
          <w:lang w:val="en-GB" w:eastAsia="en-GB"/>
        </w:rPr>
        <w:t xml:space="preserve"> example of app developer Epic</w:t>
      </w:r>
      <w:r w:rsidR="00D416FB">
        <w:rPr>
          <w:sz w:val="22"/>
          <w:szCs w:val="22"/>
          <w:lang w:val="en-GB" w:eastAsia="en-GB"/>
        </w:rPr>
        <w:t xml:space="preserve"> Games</w:t>
      </w:r>
      <w:r w:rsidRPr="00433C05">
        <w:rPr>
          <w:sz w:val="22"/>
          <w:szCs w:val="22"/>
          <w:lang w:val="en-GB" w:eastAsia="en-GB"/>
        </w:rPr>
        <w:t>, which had benefited from Android’s third-party app store</w:t>
      </w:r>
      <w:r w:rsidR="00C40212">
        <w:rPr>
          <w:sz w:val="22"/>
          <w:szCs w:val="22"/>
          <w:lang w:val="en-GB" w:eastAsia="en-GB"/>
        </w:rPr>
        <w:t xml:space="preserve"> policy</w:t>
      </w:r>
      <w:r w:rsidR="003E6A40">
        <w:rPr>
          <w:sz w:val="22"/>
          <w:szCs w:val="22"/>
          <w:lang w:val="en-GB" w:eastAsia="en-GB"/>
        </w:rPr>
        <w:t xml:space="preserve"> by</w:t>
      </w:r>
      <w:r w:rsidRPr="00433C05">
        <w:rPr>
          <w:sz w:val="22"/>
          <w:szCs w:val="22"/>
          <w:lang w:val="en-GB" w:eastAsia="en-GB"/>
        </w:rPr>
        <w:t xml:space="preserve"> distribut</w:t>
      </w:r>
      <w:r w:rsidR="003E6A40">
        <w:rPr>
          <w:sz w:val="22"/>
          <w:szCs w:val="22"/>
          <w:lang w:val="en-GB" w:eastAsia="en-GB"/>
        </w:rPr>
        <w:t>ing</w:t>
      </w:r>
      <w:r w:rsidRPr="00433C05">
        <w:rPr>
          <w:sz w:val="22"/>
          <w:szCs w:val="22"/>
          <w:lang w:val="en-GB" w:eastAsia="en-GB"/>
        </w:rPr>
        <w:t xml:space="preserve"> its popular game Fortnite directly from its own </w:t>
      </w:r>
      <w:r w:rsidR="00C40212">
        <w:rPr>
          <w:sz w:val="22"/>
          <w:szCs w:val="22"/>
          <w:lang w:val="en-GB" w:eastAsia="en-GB"/>
        </w:rPr>
        <w:t xml:space="preserve">app </w:t>
      </w:r>
      <w:r w:rsidRPr="00433C05">
        <w:rPr>
          <w:sz w:val="22"/>
          <w:szCs w:val="22"/>
          <w:lang w:val="en-GB" w:eastAsia="en-GB"/>
        </w:rPr>
        <w:t>store</w:t>
      </w:r>
      <w:r w:rsidR="00C40212">
        <w:rPr>
          <w:sz w:val="22"/>
          <w:szCs w:val="22"/>
          <w:lang w:val="en-GB" w:eastAsia="en-GB"/>
        </w:rPr>
        <w:t>,</w:t>
      </w:r>
      <w:r w:rsidRPr="00433C05">
        <w:rPr>
          <w:sz w:val="22"/>
          <w:szCs w:val="22"/>
          <w:lang w:val="en-GB" w:eastAsia="en-GB"/>
        </w:rPr>
        <w:t xml:space="preserve"> as well as from other </w:t>
      </w:r>
      <w:r w:rsidR="00C40212">
        <w:rPr>
          <w:sz w:val="22"/>
          <w:szCs w:val="22"/>
          <w:lang w:val="en-GB" w:eastAsia="en-GB"/>
        </w:rPr>
        <w:t xml:space="preserve">companies’ </w:t>
      </w:r>
      <w:r w:rsidRPr="00433C05">
        <w:rPr>
          <w:sz w:val="22"/>
          <w:szCs w:val="22"/>
          <w:lang w:val="en-GB" w:eastAsia="en-GB"/>
        </w:rPr>
        <w:t>app stores</w:t>
      </w:r>
      <w:r w:rsidR="00C40212">
        <w:rPr>
          <w:sz w:val="22"/>
          <w:szCs w:val="22"/>
          <w:lang w:val="en-GB" w:eastAsia="en-GB"/>
        </w:rPr>
        <w:t>,</w:t>
      </w:r>
      <w:r w:rsidRPr="00433C05">
        <w:rPr>
          <w:sz w:val="22"/>
          <w:szCs w:val="22"/>
          <w:lang w:val="en-GB" w:eastAsia="en-GB"/>
        </w:rPr>
        <w:t xml:space="preserve"> including Samsung</w:t>
      </w:r>
      <w:r w:rsidR="00C40212">
        <w:rPr>
          <w:sz w:val="22"/>
          <w:szCs w:val="22"/>
          <w:lang w:val="en-GB" w:eastAsia="en-GB"/>
        </w:rPr>
        <w:t>’</w:t>
      </w:r>
      <w:r w:rsidRPr="00433C05">
        <w:rPr>
          <w:sz w:val="22"/>
          <w:szCs w:val="22"/>
          <w:lang w:val="en-GB" w:eastAsia="en-GB"/>
        </w:rPr>
        <w:t xml:space="preserve">s Galaxy </w:t>
      </w:r>
      <w:r w:rsidR="00C40212">
        <w:rPr>
          <w:sz w:val="22"/>
          <w:szCs w:val="22"/>
          <w:lang w:val="en-GB" w:eastAsia="en-GB"/>
        </w:rPr>
        <w:t>S</w:t>
      </w:r>
      <w:r w:rsidRPr="00433C05">
        <w:rPr>
          <w:sz w:val="22"/>
          <w:szCs w:val="22"/>
          <w:lang w:val="en-GB" w:eastAsia="en-GB"/>
        </w:rPr>
        <w:t>tore.</w:t>
      </w:r>
      <w:r w:rsidR="00912CA3">
        <w:rPr>
          <w:rStyle w:val="EndnoteReference"/>
          <w:lang w:val="en-GB" w:eastAsia="en-GB"/>
        </w:rPr>
        <w:endnoteReference w:id="49"/>
      </w:r>
    </w:p>
    <w:p w14:paraId="6AFEEB17" w14:textId="77777777" w:rsidR="00A36B54" w:rsidRPr="00433C05" w:rsidRDefault="00A36B54" w:rsidP="00A36B54">
      <w:pPr>
        <w:pStyle w:val="BodyTextMain"/>
        <w:rPr>
          <w:lang w:val="en-GB" w:eastAsia="en-GB"/>
        </w:rPr>
      </w:pPr>
    </w:p>
    <w:p w14:paraId="508DC352" w14:textId="3FFFF0D5" w:rsidR="00A36B54" w:rsidRPr="00433C05" w:rsidRDefault="005A5989" w:rsidP="00A36B54">
      <w:pPr>
        <w:pStyle w:val="BodyTextMain"/>
        <w:rPr>
          <w:lang w:val="en-GB" w:eastAsia="en-GB"/>
        </w:rPr>
      </w:pPr>
      <w:r>
        <w:rPr>
          <w:lang w:val="en-GB" w:eastAsia="en-GB"/>
        </w:rPr>
        <w:t>Google insisted that its</w:t>
      </w:r>
      <w:r w:rsidR="00A36B54" w:rsidRPr="00433C05">
        <w:rPr>
          <w:lang w:val="en-GB" w:eastAsia="en-GB"/>
        </w:rPr>
        <w:t xml:space="preserve"> 30 per cent commission was part of the commitment to honour consumer trust and provide consumers with security benefits:</w:t>
      </w:r>
    </w:p>
    <w:p w14:paraId="698B0544" w14:textId="77777777" w:rsidR="00A36B54" w:rsidRPr="00433C05" w:rsidRDefault="00A36B54" w:rsidP="00A36B54">
      <w:pPr>
        <w:pStyle w:val="BodyTextMain"/>
        <w:rPr>
          <w:lang w:val="en-GB" w:eastAsia="en-GB"/>
        </w:rPr>
      </w:pPr>
    </w:p>
    <w:p w14:paraId="1555F1CC" w14:textId="28D90F8E" w:rsidR="00A36B54" w:rsidRPr="00433C05" w:rsidRDefault="00A36B54" w:rsidP="00AA3E6F">
      <w:pPr>
        <w:pStyle w:val="BodyTextMain"/>
        <w:ind w:left="720"/>
        <w:rPr>
          <w:lang w:val="en-GB" w:eastAsia="en-GB"/>
        </w:rPr>
      </w:pPr>
      <w:r w:rsidRPr="00433C05">
        <w:rPr>
          <w:lang w:val="en-GB" w:eastAsia="en-GB"/>
        </w:rPr>
        <w:lastRenderedPageBreak/>
        <w:t>Consumers get the benefit of a trusted system that allows them to safely, securely, and seamlessly buy from developers worldwide. Google protects consumers’ payment info with multiple layers of security, using one of the world’s most advanced security infrastructures.</w:t>
      </w:r>
      <w:r w:rsidR="005A5989">
        <w:rPr>
          <w:rStyle w:val="EndnoteReference"/>
          <w:lang w:val="en-GB" w:eastAsia="en-GB"/>
        </w:rPr>
        <w:endnoteReference w:id="50"/>
      </w:r>
    </w:p>
    <w:p w14:paraId="2034B90D" w14:textId="77777777" w:rsidR="006302AC" w:rsidRDefault="006302AC" w:rsidP="00A36B54">
      <w:pPr>
        <w:pStyle w:val="BodyTextMain"/>
        <w:rPr>
          <w:lang w:val="en-GB" w:eastAsia="en-GB"/>
        </w:rPr>
      </w:pPr>
    </w:p>
    <w:p w14:paraId="063B54D9" w14:textId="21ABE16B" w:rsidR="00A36B54" w:rsidRDefault="00AC04D8" w:rsidP="00A36B54">
      <w:pPr>
        <w:pStyle w:val="BodyTextMain"/>
        <w:rPr>
          <w:lang w:val="en-GB" w:eastAsia="en-GB"/>
        </w:rPr>
      </w:pPr>
      <w:r>
        <w:rPr>
          <w:lang w:val="en-GB" w:eastAsia="en-GB"/>
        </w:rPr>
        <w:t>Google claimed that t</w:t>
      </w:r>
      <w:r w:rsidR="00A36B54" w:rsidRPr="00433C05">
        <w:rPr>
          <w:lang w:val="en-GB" w:eastAsia="en-GB"/>
        </w:rPr>
        <w:t>he commission also sought to fulfil</w:t>
      </w:r>
      <w:r w:rsidR="006302AC">
        <w:rPr>
          <w:lang w:val="en-GB" w:eastAsia="en-GB"/>
        </w:rPr>
        <w:t>l</w:t>
      </w:r>
      <w:r w:rsidR="00A36B54" w:rsidRPr="00433C05">
        <w:rPr>
          <w:lang w:val="en-GB" w:eastAsia="en-GB"/>
        </w:rPr>
        <w:t xml:space="preserve"> developer expectations f</w:t>
      </w:r>
      <w:r>
        <w:rPr>
          <w:lang w:val="en-GB" w:eastAsia="en-GB"/>
        </w:rPr>
        <w:t>or</w:t>
      </w:r>
      <w:r w:rsidR="00A36B54" w:rsidRPr="00433C05">
        <w:rPr>
          <w:lang w:val="en-GB" w:eastAsia="en-GB"/>
        </w:rPr>
        <w:t xml:space="preserve"> powerful tools and devices needed to grow their business</w:t>
      </w:r>
      <w:r>
        <w:rPr>
          <w:lang w:val="en-GB" w:eastAsia="en-GB"/>
        </w:rPr>
        <w:t>es,</w:t>
      </w:r>
      <w:r w:rsidR="00A36B54" w:rsidRPr="00433C05">
        <w:rPr>
          <w:lang w:val="en-GB" w:eastAsia="en-GB"/>
        </w:rPr>
        <w:t xml:space="preserve"> thus </w:t>
      </w:r>
      <w:r>
        <w:rPr>
          <w:lang w:val="en-GB" w:eastAsia="en-GB"/>
        </w:rPr>
        <w:t xml:space="preserve">providing them with </w:t>
      </w:r>
      <w:r w:rsidR="00A36B54" w:rsidRPr="00433C05">
        <w:rPr>
          <w:lang w:val="en-GB" w:eastAsia="en-GB"/>
        </w:rPr>
        <w:t>marketing benefits:</w:t>
      </w:r>
      <w:r>
        <w:rPr>
          <w:lang w:val="en-GB" w:eastAsia="en-GB"/>
        </w:rPr>
        <w:t xml:space="preserve"> “</w:t>
      </w:r>
      <w:r w:rsidR="00A36B54" w:rsidRPr="00433C05">
        <w:rPr>
          <w:lang w:val="en-GB" w:eastAsia="en-GB"/>
        </w:rPr>
        <w:t>For developers, Google Play’s billing system provides an easy way for billions of Android users to transact with them using their local, preferred method of payment.”</w:t>
      </w:r>
      <w:r>
        <w:rPr>
          <w:rStyle w:val="EndnoteReference"/>
          <w:lang w:val="en-GB" w:eastAsia="en-GB"/>
        </w:rPr>
        <w:endnoteReference w:id="51"/>
      </w:r>
    </w:p>
    <w:p w14:paraId="5AD218AA" w14:textId="77777777" w:rsidR="00AC04D8" w:rsidRPr="00433C05" w:rsidRDefault="00AC04D8" w:rsidP="00A36B54">
      <w:pPr>
        <w:pStyle w:val="BodyTextMain"/>
        <w:rPr>
          <w:lang w:val="en-GB" w:eastAsia="en-GB"/>
        </w:rPr>
      </w:pPr>
    </w:p>
    <w:p w14:paraId="1026C096" w14:textId="4264AAEC" w:rsidR="00A36B54" w:rsidRPr="00433C05" w:rsidRDefault="00A36B54" w:rsidP="00A36B54">
      <w:pPr>
        <w:pStyle w:val="BodyTextMain"/>
        <w:rPr>
          <w:lang w:val="en-GB" w:eastAsia="en-GB"/>
        </w:rPr>
      </w:pPr>
      <w:r w:rsidRPr="00433C05">
        <w:rPr>
          <w:lang w:val="en-GB" w:eastAsia="en-GB"/>
        </w:rPr>
        <w:t xml:space="preserve">Google expected the enforcement of its billing policy to </w:t>
      </w:r>
      <w:r w:rsidR="00AC04D8">
        <w:rPr>
          <w:lang w:val="en-GB" w:eastAsia="en-GB"/>
        </w:rPr>
        <w:t>affect</w:t>
      </w:r>
      <w:r w:rsidRPr="00433C05">
        <w:rPr>
          <w:lang w:val="en-GB" w:eastAsia="en-GB"/>
        </w:rPr>
        <w:t xml:space="preserve"> </w:t>
      </w:r>
      <w:r w:rsidR="00AC04D8">
        <w:rPr>
          <w:lang w:val="en-GB" w:eastAsia="en-GB"/>
        </w:rPr>
        <w:t>a small proportion</w:t>
      </w:r>
      <w:r w:rsidR="006302AC">
        <w:rPr>
          <w:lang w:val="en-GB" w:eastAsia="en-GB"/>
        </w:rPr>
        <w:t>,</w:t>
      </w:r>
      <w:r w:rsidR="00AC04D8">
        <w:rPr>
          <w:lang w:val="en-GB" w:eastAsia="en-GB"/>
        </w:rPr>
        <w:t xml:space="preserve"> </w:t>
      </w:r>
      <w:r w:rsidRPr="00433C05">
        <w:rPr>
          <w:lang w:val="en-GB" w:eastAsia="en-GB"/>
        </w:rPr>
        <w:t>less than 3 per cent</w:t>
      </w:r>
      <w:r w:rsidR="006302AC">
        <w:rPr>
          <w:lang w:val="en-GB" w:eastAsia="en-GB"/>
        </w:rPr>
        <w:t>,</w:t>
      </w:r>
      <w:r w:rsidRPr="00433C05">
        <w:rPr>
          <w:lang w:val="en-GB" w:eastAsia="en-GB"/>
        </w:rPr>
        <w:t xml:space="preserve"> of app developers</w:t>
      </w:r>
      <w:r w:rsidR="00AC04D8">
        <w:rPr>
          <w:lang w:val="en-GB" w:eastAsia="en-GB"/>
        </w:rPr>
        <w:t xml:space="preserve"> who</w:t>
      </w:r>
      <w:r w:rsidRPr="00433C05">
        <w:rPr>
          <w:lang w:val="en-GB" w:eastAsia="en-GB"/>
        </w:rPr>
        <w:t xml:space="preserve"> had sold digital goods over the past year. </w:t>
      </w:r>
      <w:r w:rsidR="00AC04D8">
        <w:rPr>
          <w:lang w:val="en-GB" w:eastAsia="en-GB"/>
        </w:rPr>
        <w:t>W</w:t>
      </w:r>
      <w:r w:rsidRPr="00433C05">
        <w:rPr>
          <w:lang w:val="en-GB" w:eastAsia="en-GB"/>
        </w:rPr>
        <w:t xml:space="preserve">ithin this </w:t>
      </w:r>
      <w:r w:rsidR="00AC04D8">
        <w:rPr>
          <w:lang w:val="en-GB" w:eastAsia="en-GB"/>
        </w:rPr>
        <w:t xml:space="preserve">small </w:t>
      </w:r>
      <w:r w:rsidRPr="00433C05">
        <w:rPr>
          <w:lang w:val="en-GB" w:eastAsia="en-GB"/>
        </w:rPr>
        <w:t xml:space="preserve">group, </w:t>
      </w:r>
      <w:r w:rsidR="00AC04D8">
        <w:rPr>
          <w:lang w:val="en-GB" w:eastAsia="en-GB"/>
        </w:rPr>
        <w:t>the vast majority (97 per cent)</w:t>
      </w:r>
      <w:r w:rsidRPr="00433C05">
        <w:rPr>
          <w:lang w:val="en-GB" w:eastAsia="en-GB"/>
        </w:rPr>
        <w:t xml:space="preserve"> were </w:t>
      </w:r>
      <w:r w:rsidR="00AC04D8">
        <w:rPr>
          <w:lang w:val="en-GB" w:eastAsia="en-GB"/>
        </w:rPr>
        <w:t>already</w:t>
      </w:r>
      <w:r w:rsidRPr="00433C05">
        <w:rPr>
          <w:lang w:val="en-GB" w:eastAsia="en-GB"/>
        </w:rPr>
        <w:t xml:space="preserve"> using Google’s billing system. Google also spoke of equal treatment </w:t>
      </w:r>
      <w:r w:rsidR="00AC04D8">
        <w:rPr>
          <w:lang w:val="en-GB" w:eastAsia="en-GB"/>
        </w:rPr>
        <w:t>among all</w:t>
      </w:r>
      <w:r w:rsidRPr="00433C05">
        <w:rPr>
          <w:lang w:val="en-GB" w:eastAsia="en-GB"/>
        </w:rPr>
        <w:t xml:space="preserve"> </w:t>
      </w:r>
      <w:r w:rsidR="006302AC">
        <w:rPr>
          <w:lang w:val="en-GB" w:eastAsia="en-GB"/>
        </w:rPr>
        <w:t xml:space="preserve">of </w:t>
      </w:r>
      <w:r w:rsidRPr="00433C05">
        <w:rPr>
          <w:lang w:val="en-GB" w:eastAsia="en-GB"/>
        </w:rPr>
        <w:t xml:space="preserve">its own </w:t>
      </w:r>
      <w:r w:rsidR="00AC04D8">
        <w:rPr>
          <w:lang w:val="en-GB" w:eastAsia="en-GB"/>
        </w:rPr>
        <w:t>apps and</w:t>
      </w:r>
      <w:r w:rsidRPr="00433C05">
        <w:rPr>
          <w:lang w:val="en-GB" w:eastAsia="en-GB"/>
        </w:rPr>
        <w:t xml:space="preserve"> third-party apps</w:t>
      </w:r>
      <w:r w:rsidR="00AC04D8">
        <w:rPr>
          <w:lang w:val="en-GB" w:eastAsia="en-GB"/>
        </w:rPr>
        <w:t>, including</w:t>
      </w:r>
      <w:r w:rsidRPr="00433C05">
        <w:rPr>
          <w:lang w:val="en-GB" w:eastAsia="en-GB"/>
        </w:rPr>
        <w:t xml:space="preserve"> competitor apps </w:t>
      </w:r>
      <w:r w:rsidR="00AC04D8">
        <w:rPr>
          <w:lang w:val="en-GB" w:eastAsia="en-GB"/>
        </w:rPr>
        <w:t>that</w:t>
      </w:r>
      <w:r w:rsidRPr="00433C05">
        <w:rPr>
          <w:lang w:val="en-GB" w:eastAsia="en-GB"/>
        </w:rPr>
        <w:t xml:space="preserve"> were featured in its Editor’s Choice picks for providing a great user experience.</w:t>
      </w:r>
      <w:r w:rsidRPr="00433C05">
        <w:rPr>
          <w:vertAlign w:val="superscript"/>
          <w:lang w:val="en-GB" w:eastAsia="en-GB"/>
        </w:rPr>
        <w:endnoteReference w:id="52"/>
      </w:r>
    </w:p>
    <w:p w14:paraId="39B7032C" w14:textId="0D5A3802" w:rsidR="00A36B54" w:rsidRPr="00321026" w:rsidRDefault="00A36B54" w:rsidP="00A36B54">
      <w:pPr>
        <w:pStyle w:val="BodyTextMain"/>
        <w:rPr>
          <w:lang w:val="en-GB" w:eastAsia="en-GB"/>
        </w:rPr>
      </w:pPr>
    </w:p>
    <w:p w14:paraId="59237007" w14:textId="77777777" w:rsidR="00A36B54" w:rsidRPr="00321026" w:rsidRDefault="00A36B54" w:rsidP="00A36B54">
      <w:pPr>
        <w:pStyle w:val="BodyTextMain"/>
        <w:rPr>
          <w:lang w:val="en-GB" w:eastAsia="en-GB"/>
        </w:rPr>
      </w:pPr>
    </w:p>
    <w:p w14:paraId="3D01902B" w14:textId="77777777" w:rsidR="00A36B54" w:rsidRPr="00433C05" w:rsidRDefault="00A36B54" w:rsidP="00A36B54">
      <w:pPr>
        <w:pStyle w:val="Casehead2"/>
        <w:rPr>
          <w:lang w:val="en-GB" w:eastAsia="en-GB"/>
        </w:rPr>
      </w:pPr>
      <w:r w:rsidRPr="00433C05">
        <w:rPr>
          <w:lang w:val="en-GB" w:eastAsia="en-GB"/>
        </w:rPr>
        <w:t>Contention of Indian Start-Ups</w:t>
      </w:r>
    </w:p>
    <w:p w14:paraId="00048BA8" w14:textId="77777777" w:rsidR="00A36B54" w:rsidRPr="00433C05" w:rsidRDefault="00A36B54" w:rsidP="00A36B54">
      <w:pPr>
        <w:jc w:val="both"/>
        <w:rPr>
          <w:sz w:val="22"/>
          <w:szCs w:val="22"/>
          <w:lang w:val="en-GB" w:eastAsia="en-GB"/>
        </w:rPr>
      </w:pPr>
    </w:p>
    <w:p w14:paraId="496E4AD4" w14:textId="597F0026" w:rsidR="00A36B54" w:rsidRPr="00433C05" w:rsidRDefault="00321026" w:rsidP="00A36B54">
      <w:pPr>
        <w:jc w:val="both"/>
        <w:rPr>
          <w:sz w:val="22"/>
          <w:szCs w:val="22"/>
          <w:lang w:val="en-GB" w:eastAsia="en-GB"/>
        </w:rPr>
      </w:pPr>
      <w:r>
        <w:rPr>
          <w:sz w:val="22"/>
          <w:szCs w:val="22"/>
          <w:lang w:val="en-GB" w:eastAsia="en-GB"/>
        </w:rPr>
        <w:t>A</w:t>
      </w:r>
      <w:r w:rsidR="00A36B54" w:rsidRPr="00433C05">
        <w:rPr>
          <w:sz w:val="22"/>
          <w:szCs w:val="22"/>
          <w:lang w:val="en-GB" w:eastAsia="en-GB"/>
        </w:rPr>
        <w:t xml:space="preserve">pp developers </w:t>
      </w:r>
      <w:r>
        <w:rPr>
          <w:sz w:val="22"/>
          <w:szCs w:val="22"/>
          <w:lang w:val="en-GB" w:eastAsia="en-GB"/>
        </w:rPr>
        <w:t xml:space="preserve">across the world </w:t>
      </w:r>
      <w:r w:rsidR="00A36B54" w:rsidRPr="00433C05">
        <w:rPr>
          <w:sz w:val="22"/>
          <w:szCs w:val="22"/>
          <w:lang w:val="en-GB" w:eastAsia="en-GB"/>
        </w:rPr>
        <w:t xml:space="preserve">challenged </w:t>
      </w:r>
      <w:r w:rsidR="002831EB">
        <w:rPr>
          <w:sz w:val="22"/>
          <w:szCs w:val="22"/>
          <w:lang w:val="en-GB" w:eastAsia="en-GB"/>
        </w:rPr>
        <w:t>Google’s</w:t>
      </w:r>
      <w:r w:rsidR="00A36B54" w:rsidRPr="00433C05">
        <w:rPr>
          <w:sz w:val="22"/>
          <w:szCs w:val="22"/>
          <w:lang w:val="en-GB" w:eastAsia="en-GB"/>
        </w:rPr>
        <w:t xml:space="preserve"> 30 per cent </w:t>
      </w:r>
      <w:r w:rsidR="00805143">
        <w:rPr>
          <w:sz w:val="22"/>
          <w:szCs w:val="22"/>
          <w:lang w:val="en-GB" w:eastAsia="en-GB"/>
        </w:rPr>
        <w:t>commission</w:t>
      </w:r>
      <w:r w:rsidR="00A36B54" w:rsidRPr="00433C05">
        <w:rPr>
          <w:sz w:val="22"/>
          <w:szCs w:val="22"/>
          <w:lang w:val="en-GB" w:eastAsia="en-GB"/>
        </w:rPr>
        <w:t xml:space="preserve"> as </w:t>
      </w:r>
      <w:r w:rsidR="00805143">
        <w:rPr>
          <w:sz w:val="22"/>
          <w:szCs w:val="22"/>
          <w:lang w:val="en-GB" w:eastAsia="en-GB"/>
        </w:rPr>
        <w:t xml:space="preserve">an </w:t>
      </w:r>
      <w:r w:rsidR="00A36B54" w:rsidRPr="00433C05">
        <w:rPr>
          <w:sz w:val="22"/>
          <w:szCs w:val="22"/>
          <w:lang w:val="en-GB" w:eastAsia="en-GB"/>
        </w:rPr>
        <w:t>excessive</w:t>
      </w:r>
      <w:r w:rsidR="00805143">
        <w:rPr>
          <w:sz w:val="22"/>
          <w:szCs w:val="22"/>
          <w:lang w:val="en-GB" w:eastAsia="en-GB"/>
        </w:rPr>
        <w:t>ly high fee</w:t>
      </w:r>
      <w:r w:rsidR="00A36B54" w:rsidRPr="00433C05">
        <w:rPr>
          <w:sz w:val="22"/>
          <w:szCs w:val="22"/>
          <w:lang w:val="en-GB" w:eastAsia="en-GB"/>
        </w:rPr>
        <w:t>, c</w:t>
      </w:r>
      <w:r w:rsidR="00805143">
        <w:rPr>
          <w:sz w:val="22"/>
          <w:szCs w:val="22"/>
          <w:lang w:val="en-GB" w:eastAsia="en-GB"/>
        </w:rPr>
        <w:t xml:space="preserve">ompared to the standard credit card </w:t>
      </w:r>
      <w:r w:rsidR="00A36B54" w:rsidRPr="00433C05">
        <w:rPr>
          <w:sz w:val="22"/>
          <w:szCs w:val="22"/>
          <w:lang w:val="en-GB" w:eastAsia="en-GB"/>
        </w:rPr>
        <w:t xml:space="preserve">fee of </w:t>
      </w:r>
      <w:r w:rsidR="00805143">
        <w:rPr>
          <w:sz w:val="22"/>
          <w:szCs w:val="22"/>
          <w:lang w:val="en-GB" w:eastAsia="en-GB"/>
        </w:rPr>
        <w:t xml:space="preserve">approximately </w:t>
      </w:r>
      <w:r w:rsidR="00A36B54" w:rsidRPr="00433C05">
        <w:rPr>
          <w:sz w:val="22"/>
          <w:szCs w:val="22"/>
          <w:lang w:val="en-GB" w:eastAsia="en-GB"/>
        </w:rPr>
        <w:t>2 per cent</w:t>
      </w:r>
      <w:r>
        <w:rPr>
          <w:sz w:val="22"/>
          <w:szCs w:val="22"/>
          <w:lang w:val="en-GB" w:eastAsia="en-GB"/>
        </w:rPr>
        <w:t>, for example</w:t>
      </w:r>
      <w:r w:rsidR="00A36B54" w:rsidRPr="00433C05">
        <w:rPr>
          <w:sz w:val="22"/>
          <w:szCs w:val="22"/>
          <w:lang w:val="en-GB" w:eastAsia="en-GB"/>
        </w:rPr>
        <w:t>.</w:t>
      </w:r>
      <w:r w:rsidR="00A36B54" w:rsidRPr="00433C05">
        <w:rPr>
          <w:sz w:val="22"/>
          <w:szCs w:val="22"/>
          <w:vertAlign w:val="superscript"/>
          <w:lang w:val="en-GB" w:eastAsia="en-GB"/>
        </w:rPr>
        <w:endnoteReference w:id="53"/>
      </w:r>
      <w:r w:rsidR="00A36B54" w:rsidRPr="00433C05">
        <w:rPr>
          <w:sz w:val="22"/>
          <w:szCs w:val="22"/>
          <w:lang w:val="en-GB" w:eastAsia="en-GB"/>
        </w:rPr>
        <w:t xml:space="preserve"> Indian start-ups who</w:t>
      </w:r>
      <w:r w:rsidR="00805143">
        <w:rPr>
          <w:sz w:val="22"/>
          <w:szCs w:val="22"/>
          <w:lang w:val="en-GB" w:eastAsia="en-GB"/>
        </w:rPr>
        <w:t xml:space="preserve"> had</w:t>
      </w:r>
      <w:r w:rsidR="00A36B54" w:rsidRPr="00433C05">
        <w:rPr>
          <w:sz w:val="22"/>
          <w:szCs w:val="22"/>
          <w:lang w:val="en-GB" w:eastAsia="en-GB"/>
        </w:rPr>
        <w:t xml:space="preserve"> apps hosted on Google Play</w:t>
      </w:r>
      <w:r w:rsidR="00805143">
        <w:rPr>
          <w:sz w:val="22"/>
          <w:szCs w:val="22"/>
          <w:lang w:val="en-GB" w:eastAsia="en-GB"/>
        </w:rPr>
        <w:t xml:space="preserve"> claimed</w:t>
      </w:r>
      <w:r w:rsidR="00A36B54" w:rsidRPr="00433C05">
        <w:rPr>
          <w:sz w:val="22"/>
          <w:szCs w:val="22"/>
          <w:lang w:val="en-GB" w:eastAsia="en-GB"/>
        </w:rPr>
        <w:t xml:space="preserve"> that </w:t>
      </w:r>
      <w:r w:rsidR="00805143">
        <w:rPr>
          <w:sz w:val="22"/>
          <w:szCs w:val="22"/>
          <w:lang w:val="en-GB" w:eastAsia="en-GB"/>
        </w:rPr>
        <w:t>because</w:t>
      </w:r>
      <w:r w:rsidR="00A36B54" w:rsidRPr="00433C05">
        <w:rPr>
          <w:sz w:val="22"/>
          <w:szCs w:val="22"/>
          <w:lang w:val="en-GB" w:eastAsia="en-GB"/>
        </w:rPr>
        <w:t xml:space="preserve"> 99 per cent of </w:t>
      </w:r>
      <w:r w:rsidR="00805143">
        <w:rPr>
          <w:sz w:val="22"/>
          <w:szCs w:val="22"/>
          <w:lang w:val="en-GB" w:eastAsia="en-GB"/>
        </w:rPr>
        <w:t xml:space="preserve">the country’s </w:t>
      </w:r>
      <w:r w:rsidR="00A36B54" w:rsidRPr="00433C05">
        <w:rPr>
          <w:sz w:val="22"/>
          <w:szCs w:val="22"/>
          <w:lang w:val="en-GB" w:eastAsia="en-GB"/>
        </w:rPr>
        <w:t xml:space="preserve">500 million users </w:t>
      </w:r>
      <w:r w:rsidR="00DF7184">
        <w:rPr>
          <w:sz w:val="22"/>
          <w:szCs w:val="22"/>
          <w:lang w:val="en-GB" w:eastAsia="en-GB"/>
        </w:rPr>
        <w:t xml:space="preserve">were </w:t>
      </w:r>
      <w:r w:rsidR="00A36B54" w:rsidRPr="00433C05">
        <w:rPr>
          <w:sz w:val="22"/>
          <w:szCs w:val="22"/>
          <w:lang w:val="en-GB" w:eastAsia="en-GB"/>
        </w:rPr>
        <w:t xml:space="preserve">running </w:t>
      </w:r>
      <w:r w:rsidR="00805143">
        <w:rPr>
          <w:sz w:val="22"/>
          <w:szCs w:val="22"/>
          <w:lang w:val="en-GB" w:eastAsia="en-GB"/>
        </w:rPr>
        <w:t xml:space="preserve">smartphones </w:t>
      </w:r>
      <w:r w:rsidR="00A36B54" w:rsidRPr="00433C05">
        <w:rPr>
          <w:sz w:val="22"/>
          <w:szCs w:val="22"/>
          <w:lang w:val="en-GB" w:eastAsia="en-GB"/>
        </w:rPr>
        <w:t xml:space="preserve">on </w:t>
      </w:r>
      <w:r w:rsidR="002831EB">
        <w:rPr>
          <w:sz w:val="22"/>
          <w:szCs w:val="22"/>
          <w:lang w:val="en-GB" w:eastAsia="en-GB"/>
        </w:rPr>
        <w:t xml:space="preserve">the </w:t>
      </w:r>
      <w:r w:rsidR="00A36B54" w:rsidRPr="00433C05">
        <w:rPr>
          <w:sz w:val="22"/>
          <w:szCs w:val="22"/>
          <w:lang w:val="en-GB" w:eastAsia="en-GB"/>
        </w:rPr>
        <w:t>Android</w:t>
      </w:r>
      <w:r w:rsidR="002831EB">
        <w:rPr>
          <w:sz w:val="22"/>
          <w:szCs w:val="22"/>
          <w:lang w:val="en-GB" w:eastAsia="en-GB"/>
        </w:rPr>
        <w:t xml:space="preserve"> OS</w:t>
      </w:r>
      <w:r w:rsidR="00A36B54" w:rsidRPr="00433C05">
        <w:rPr>
          <w:sz w:val="22"/>
          <w:szCs w:val="22"/>
          <w:lang w:val="en-GB" w:eastAsia="en-GB"/>
        </w:rPr>
        <w:t xml:space="preserve">, Google could exert excessive control over the types of apps and other services they could offer. Vijay Shekhar Sharma, the founder of India’s largest mobile payments company, Paytm, called Google the “big daddy” that controlled the </w:t>
      </w:r>
      <w:r w:rsidR="002831EB">
        <w:rPr>
          <w:sz w:val="22"/>
          <w:szCs w:val="22"/>
          <w:lang w:val="en-GB" w:eastAsia="en-GB"/>
        </w:rPr>
        <w:t>“</w:t>
      </w:r>
      <w:r w:rsidR="00A36B54" w:rsidRPr="00433C05">
        <w:rPr>
          <w:sz w:val="22"/>
          <w:szCs w:val="22"/>
          <w:lang w:val="en-GB" w:eastAsia="en-GB"/>
        </w:rPr>
        <w:t>oxygen supply of (app) distribution</w:t>
      </w:r>
      <w:r w:rsidR="002831EB">
        <w:rPr>
          <w:sz w:val="22"/>
          <w:szCs w:val="22"/>
          <w:lang w:val="en-GB" w:eastAsia="en-GB"/>
        </w:rPr>
        <w:t>”</w:t>
      </w:r>
      <w:r w:rsidR="00A36B54" w:rsidRPr="00433C05">
        <w:rPr>
          <w:sz w:val="22"/>
          <w:szCs w:val="22"/>
          <w:lang w:val="en-GB" w:eastAsia="en-GB"/>
        </w:rPr>
        <w:t xml:space="preserve"> on Android phones.</w:t>
      </w:r>
      <w:r w:rsidR="00A36B54" w:rsidRPr="00433C05">
        <w:rPr>
          <w:sz w:val="22"/>
          <w:szCs w:val="22"/>
          <w:vertAlign w:val="superscript"/>
          <w:lang w:val="en-GB" w:eastAsia="en-GB"/>
        </w:rPr>
        <w:endnoteReference w:id="54"/>
      </w:r>
      <w:r w:rsidR="00A36B54" w:rsidRPr="00433C05">
        <w:rPr>
          <w:sz w:val="22"/>
          <w:szCs w:val="22"/>
          <w:lang w:val="en-GB" w:eastAsia="en-GB"/>
        </w:rPr>
        <w:t xml:space="preserve"> His anger and frustration was not surprising, given that Google had removed Paytm from its </w:t>
      </w:r>
      <w:r w:rsidR="002831EB">
        <w:rPr>
          <w:sz w:val="22"/>
          <w:szCs w:val="22"/>
          <w:lang w:val="en-GB" w:eastAsia="en-GB"/>
        </w:rPr>
        <w:t>app</w:t>
      </w:r>
      <w:r w:rsidR="00A36B54" w:rsidRPr="00433C05">
        <w:rPr>
          <w:sz w:val="22"/>
          <w:szCs w:val="22"/>
          <w:lang w:val="en-GB" w:eastAsia="en-GB"/>
        </w:rPr>
        <w:t xml:space="preserve"> </w:t>
      </w:r>
      <w:r w:rsidR="002831EB">
        <w:rPr>
          <w:sz w:val="22"/>
          <w:szCs w:val="22"/>
          <w:lang w:val="en-GB" w:eastAsia="en-GB"/>
        </w:rPr>
        <w:t>s</w:t>
      </w:r>
      <w:r w:rsidR="00A36B54" w:rsidRPr="00433C05">
        <w:rPr>
          <w:sz w:val="22"/>
          <w:szCs w:val="22"/>
          <w:lang w:val="en-GB" w:eastAsia="en-GB"/>
        </w:rPr>
        <w:t>tore</w:t>
      </w:r>
      <w:r w:rsidR="00226A90">
        <w:rPr>
          <w:sz w:val="22"/>
          <w:szCs w:val="22"/>
          <w:lang w:val="en-GB" w:eastAsia="en-GB"/>
        </w:rPr>
        <w:t xml:space="preserve"> in September 2020,</w:t>
      </w:r>
      <w:r w:rsidR="00A36B54" w:rsidRPr="00433C05">
        <w:rPr>
          <w:sz w:val="22"/>
          <w:szCs w:val="22"/>
          <w:lang w:val="en-GB" w:eastAsia="en-GB"/>
        </w:rPr>
        <w:t xml:space="preserve"> citing policy violations. Paytm had been forced to make certain changes before it </w:t>
      </w:r>
      <w:r w:rsidR="002831EB">
        <w:rPr>
          <w:sz w:val="22"/>
          <w:szCs w:val="22"/>
          <w:lang w:val="en-GB" w:eastAsia="en-GB"/>
        </w:rPr>
        <w:t>could be</w:t>
      </w:r>
      <w:r w:rsidR="00A36B54" w:rsidRPr="00433C05">
        <w:rPr>
          <w:sz w:val="22"/>
          <w:szCs w:val="22"/>
          <w:lang w:val="en-GB" w:eastAsia="en-GB"/>
        </w:rPr>
        <w:t xml:space="preserve"> re</w:t>
      </w:r>
      <w:r>
        <w:rPr>
          <w:sz w:val="22"/>
          <w:szCs w:val="22"/>
          <w:lang w:val="en-GB" w:eastAsia="en-GB"/>
        </w:rPr>
        <w:t>l</w:t>
      </w:r>
      <w:r w:rsidR="00A36B54" w:rsidRPr="00433C05">
        <w:rPr>
          <w:sz w:val="22"/>
          <w:szCs w:val="22"/>
          <w:lang w:val="en-GB" w:eastAsia="en-GB"/>
        </w:rPr>
        <w:t>isted on Google Play.</w:t>
      </w:r>
      <w:r w:rsidR="00A36B54" w:rsidRPr="00433C05">
        <w:rPr>
          <w:sz w:val="22"/>
          <w:szCs w:val="22"/>
          <w:vertAlign w:val="superscript"/>
          <w:lang w:val="en-GB" w:eastAsia="en-GB"/>
        </w:rPr>
        <w:endnoteReference w:id="55"/>
      </w:r>
    </w:p>
    <w:p w14:paraId="27397398" w14:textId="77777777" w:rsidR="00A36B54" w:rsidRPr="00433C05" w:rsidRDefault="00A36B54" w:rsidP="00A36B54">
      <w:pPr>
        <w:jc w:val="both"/>
        <w:rPr>
          <w:sz w:val="22"/>
          <w:szCs w:val="22"/>
          <w:lang w:val="en-GB" w:eastAsia="en-GB"/>
        </w:rPr>
      </w:pPr>
    </w:p>
    <w:p w14:paraId="621467FB" w14:textId="770BBBD7" w:rsidR="00A36B54" w:rsidRPr="00433C05" w:rsidRDefault="00321026" w:rsidP="00A36B54">
      <w:pPr>
        <w:pStyle w:val="BodyTextMain"/>
        <w:rPr>
          <w:lang w:val="en-GB" w:eastAsia="en-GB"/>
        </w:rPr>
      </w:pPr>
      <w:r>
        <w:rPr>
          <w:lang w:val="en-GB" w:eastAsia="en-GB"/>
        </w:rPr>
        <w:t>I</w:t>
      </w:r>
      <w:r w:rsidRPr="00433C05">
        <w:rPr>
          <w:lang w:val="en-GB" w:eastAsia="en-GB"/>
        </w:rPr>
        <w:t>n October 2020</w:t>
      </w:r>
      <w:r>
        <w:rPr>
          <w:lang w:val="en-GB" w:eastAsia="en-GB"/>
        </w:rPr>
        <w:t xml:space="preserve">, </w:t>
      </w:r>
      <w:r w:rsidR="00A36B54" w:rsidRPr="00433C05">
        <w:rPr>
          <w:lang w:val="en-GB" w:eastAsia="en-GB"/>
        </w:rPr>
        <w:t xml:space="preserve">Indian start-up founders and venture capitalists </w:t>
      </w:r>
      <w:r>
        <w:rPr>
          <w:lang w:val="en-GB" w:eastAsia="en-GB"/>
        </w:rPr>
        <w:t xml:space="preserve">decided to </w:t>
      </w:r>
      <w:r w:rsidR="00A36B54" w:rsidRPr="00433C05">
        <w:rPr>
          <w:lang w:val="en-GB" w:eastAsia="en-GB"/>
        </w:rPr>
        <w:t>m</w:t>
      </w:r>
      <w:r>
        <w:rPr>
          <w:lang w:val="en-GB" w:eastAsia="en-GB"/>
        </w:rPr>
        <w:t>e</w:t>
      </w:r>
      <w:r w:rsidR="00A36B54" w:rsidRPr="00433C05">
        <w:rPr>
          <w:lang w:val="en-GB" w:eastAsia="en-GB"/>
        </w:rPr>
        <w:t>et to discuss filing antitrust complaints against Google.</w:t>
      </w:r>
      <w:r w:rsidR="00A36B54" w:rsidRPr="00433C05">
        <w:rPr>
          <w:vertAlign w:val="superscript"/>
          <w:lang w:val="en-GB" w:eastAsia="en-GB"/>
        </w:rPr>
        <w:endnoteReference w:id="56"/>
      </w:r>
      <w:r w:rsidR="00A36B54" w:rsidRPr="00433C05">
        <w:rPr>
          <w:lang w:val="en-GB" w:eastAsia="en-GB"/>
        </w:rPr>
        <w:t xml:space="preserve"> </w:t>
      </w:r>
      <w:r>
        <w:rPr>
          <w:lang w:val="en-GB" w:eastAsia="en-GB"/>
        </w:rPr>
        <w:t>However, s</w:t>
      </w:r>
      <w:r w:rsidR="00A36B54" w:rsidRPr="00433C05">
        <w:rPr>
          <w:lang w:val="en-GB" w:eastAsia="en-GB"/>
        </w:rPr>
        <w:t xml:space="preserve">ome were </w:t>
      </w:r>
      <w:proofErr w:type="spellStart"/>
      <w:r w:rsidR="00A36B54" w:rsidRPr="00433C05">
        <w:rPr>
          <w:lang w:val="en-GB" w:eastAsia="en-GB"/>
        </w:rPr>
        <w:t>s</w:t>
      </w:r>
      <w:r w:rsidR="002831EB">
        <w:rPr>
          <w:lang w:val="en-GB" w:eastAsia="en-GB"/>
        </w:rPr>
        <w:t>k</w:t>
      </w:r>
      <w:r w:rsidR="00A36B54" w:rsidRPr="00433C05">
        <w:rPr>
          <w:lang w:val="en-GB" w:eastAsia="en-GB"/>
        </w:rPr>
        <w:t>eptical</w:t>
      </w:r>
      <w:proofErr w:type="spellEnd"/>
      <w:r w:rsidR="00A36B54" w:rsidRPr="00433C05">
        <w:rPr>
          <w:lang w:val="en-GB" w:eastAsia="en-GB"/>
        </w:rPr>
        <w:t xml:space="preserve"> about the ability of Indian app developers to take </w:t>
      </w:r>
      <w:r w:rsidR="002831EB">
        <w:rPr>
          <w:lang w:val="en-GB" w:eastAsia="en-GB"/>
        </w:rPr>
        <w:t xml:space="preserve">on </w:t>
      </w:r>
      <w:r w:rsidR="00A36B54" w:rsidRPr="00433C05">
        <w:rPr>
          <w:lang w:val="en-GB" w:eastAsia="en-GB"/>
        </w:rPr>
        <w:t xml:space="preserve">Google, </w:t>
      </w:r>
      <w:r w:rsidR="002831EB">
        <w:rPr>
          <w:lang w:val="en-GB" w:eastAsia="en-GB"/>
        </w:rPr>
        <w:t>especially with</w:t>
      </w:r>
      <w:r w:rsidR="00A36B54" w:rsidRPr="00433C05">
        <w:rPr>
          <w:lang w:val="en-GB" w:eastAsia="en-GB"/>
        </w:rPr>
        <w:t xml:space="preserve"> </w:t>
      </w:r>
      <w:r w:rsidR="002831EB">
        <w:rPr>
          <w:lang w:val="en-GB" w:eastAsia="en-GB"/>
        </w:rPr>
        <w:t>US</w:t>
      </w:r>
      <w:r w:rsidR="00A36B54" w:rsidRPr="00433C05">
        <w:rPr>
          <w:lang w:val="en-GB" w:eastAsia="en-GB"/>
        </w:rPr>
        <w:t xml:space="preserve"> standards for legal disputes</w:t>
      </w:r>
      <w:r w:rsidR="00F53699">
        <w:rPr>
          <w:lang w:val="en-GB" w:eastAsia="en-GB"/>
        </w:rPr>
        <w:t>, as</w:t>
      </w:r>
      <w:r w:rsidR="00226A90">
        <w:rPr>
          <w:lang w:val="en-GB" w:eastAsia="en-GB"/>
        </w:rPr>
        <w:t xml:space="preserve"> </w:t>
      </w:r>
      <w:r w:rsidR="00F53699">
        <w:rPr>
          <w:lang w:val="en-GB" w:eastAsia="en-GB"/>
        </w:rPr>
        <w:t>o</w:t>
      </w:r>
      <w:r w:rsidR="00226A90">
        <w:rPr>
          <w:lang w:val="en-GB" w:eastAsia="en-GB"/>
        </w:rPr>
        <w:t>ne start-up founder exp</w:t>
      </w:r>
      <w:r w:rsidR="00F53699">
        <w:rPr>
          <w:lang w:val="en-GB" w:eastAsia="en-GB"/>
        </w:rPr>
        <w:t>ressed</w:t>
      </w:r>
      <w:r w:rsidR="002831EB">
        <w:rPr>
          <w:lang w:val="en-GB" w:eastAsia="en-GB"/>
        </w:rPr>
        <w:t>:</w:t>
      </w:r>
    </w:p>
    <w:p w14:paraId="43E5F940" w14:textId="77777777" w:rsidR="00A36B54" w:rsidRPr="00433C05" w:rsidRDefault="00A36B54" w:rsidP="00A36B54">
      <w:pPr>
        <w:pStyle w:val="BodyTextMain"/>
        <w:rPr>
          <w:sz w:val="24"/>
          <w:szCs w:val="24"/>
          <w:lang w:val="en-GB" w:eastAsia="en-GB"/>
        </w:rPr>
      </w:pPr>
    </w:p>
    <w:p w14:paraId="6897E9C2" w14:textId="05ABC68A" w:rsidR="00A36B54" w:rsidRPr="00433C05" w:rsidRDefault="00A36B54" w:rsidP="00AA3E6F">
      <w:pPr>
        <w:pStyle w:val="BodyTextMain"/>
        <w:ind w:left="720"/>
        <w:rPr>
          <w:lang w:val="en-GB" w:eastAsia="en-GB"/>
        </w:rPr>
      </w:pPr>
      <w:r w:rsidRPr="00433C05">
        <w:rPr>
          <w:lang w:val="en-GB" w:eastAsia="en-GB"/>
        </w:rPr>
        <w:t>Taking on a giant like Google in the Indian courts involves the hefty court and legal fees, and the battle will be incredibly long drawn</w:t>
      </w:r>
      <w:r w:rsidR="002831EB">
        <w:rPr>
          <w:lang w:val="en-GB" w:eastAsia="en-GB"/>
        </w:rPr>
        <w:t xml:space="preserve"> </w:t>
      </w:r>
      <w:r w:rsidRPr="00433C05">
        <w:rPr>
          <w:lang w:val="en-GB" w:eastAsia="en-GB"/>
        </w:rPr>
        <w:t>.</w:t>
      </w:r>
      <w:r w:rsidR="002831EB">
        <w:rPr>
          <w:lang w:val="en-GB" w:eastAsia="en-GB"/>
        </w:rPr>
        <w:t xml:space="preserve"> </w:t>
      </w:r>
      <w:r w:rsidRPr="00433C05">
        <w:rPr>
          <w:lang w:val="en-GB" w:eastAsia="en-GB"/>
        </w:rPr>
        <w:t>.</w:t>
      </w:r>
      <w:r w:rsidR="002831EB">
        <w:rPr>
          <w:lang w:val="en-GB" w:eastAsia="en-GB"/>
        </w:rPr>
        <w:t xml:space="preserve"> </w:t>
      </w:r>
      <w:r w:rsidRPr="00433C05">
        <w:rPr>
          <w:lang w:val="en-GB" w:eastAsia="en-GB"/>
        </w:rPr>
        <w:t>.</w:t>
      </w:r>
      <w:r w:rsidR="002831EB">
        <w:rPr>
          <w:lang w:val="en-GB" w:eastAsia="en-GB"/>
        </w:rPr>
        <w:t xml:space="preserve"> </w:t>
      </w:r>
      <w:r w:rsidRPr="00433C05">
        <w:rPr>
          <w:lang w:val="en-GB" w:eastAsia="en-GB"/>
        </w:rPr>
        <w:t>because these big Internet firms do not fully follow the rules and regulations in India and a developer might have to fight a concurrent case in the US court as well.</w:t>
      </w:r>
      <w:r w:rsidRPr="00433C05">
        <w:rPr>
          <w:vertAlign w:val="superscript"/>
          <w:lang w:val="en-GB" w:eastAsia="en-GB"/>
        </w:rPr>
        <w:endnoteReference w:id="57"/>
      </w:r>
    </w:p>
    <w:p w14:paraId="26EFABB1" w14:textId="77777777" w:rsidR="00A36B54" w:rsidRPr="00433C05" w:rsidRDefault="00A36B54" w:rsidP="00A36B54">
      <w:pPr>
        <w:pStyle w:val="BodyTextMain"/>
        <w:rPr>
          <w:lang w:val="en-GB" w:eastAsia="en-GB"/>
        </w:rPr>
      </w:pPr>
    </w:p>
    <w:p w14:paraId="507CDCFB" w14:textId="53E384D5" w:rsidR="00A36B54" w:rsidRPr="00433C05" w:rsidRDefault="002831EB">
      <w:pPr>
        <w:pStyle w:val="BodyTextMain"/>
        <w:rPr>
          <w:lang w:val="en-GB" w:eastAsia="en-GB"/>
        </w:rPr>
      </w:pPr>
      <w:r>
        <w:rPr>
          <w:lang w:val="en-GB" w:eastAsia="en-GB"/>
        </w:rPr>
        <w:t>App developers were highly d</w:t>
      </w:r>
      <w:r w:rsidR="00A36B54" w:rsidRPr="00433C05">
        <w:rPr>
          <w:lang w:val="en-GB" w:eastAsia="en-GB"/>
        </w:rPr>
        <w:t>ependen</w:t>
      </w:r>
      <w:r>
        <w:rPr>
          <w:lang w:val="en-GB" w:eastAsia="en-GB"/>
        </w:rPr>
        <w:t>t</w:t>
      </w:r>
      <w:r w:rsidR="00A36B54" w:rsidRPr="00433C05">
        <w:rPr>
          <w:lang w:val="en-GB" w:eastAsia="en-GB"/>
        </w:rPr>
        <w:t xml:space="preserve"> on Google Play</w:t>
      </w:r>
      <w:r>
        <w:rPr>
          <w:lang w:val="en-GB" w:eastAsia="en-GB"/>
        </w:rPr>
        <w:t>, a</w:t>
      </w:r>
      <w:r w:rsidR="00A36B54" w:rsidRPr="00433C05">
        <w:rPr>
          <w:lang w:val="en-GB" w:eastAsia="en-GB"/>
        </w:rPr>
        <w:t xml:space="preserve">s Gaurav Garg, </w:t>
      </w:r>
      <w:r w:rsidR="00AB6EC8">
        <w:rPr>
          <w:lang w:val="en-GB" w:eastAsia="en-GB"/>
        </w:rPr>
        <w:t xml:space="preserve">a </w:t>
      </w:r>
      <w:r w:rsidR="00A36B54" w:rsidRPr="00433C05">
        <w:rPr>
          <w:lang w:val="en-GB" w:eastAsia="en-GB"/>
        </w:rPr>
        <w:t>co</w:t>
      </w:r>
      <w:r w:rsidR="00CD6E33">
        <w:rPr>
          <w:lang w:val="en-GB" w:eastAsia="en-GB"/>
        </w:rPr>
        <w:t>-</w:t>
      </w:r>
      <w:r w:rsidR="00A36B54" w:rsidRPr="00433C05">
        <w:rPr>
          <w:lang w:val="en-GB" w:eastAsia="en-GB"/>
        </w:rPr>
        <w:t xml:space="preserve">founder of </w:t>
      </w:r>
      <w:r w:rsidR="00CD6E33">
        <w:rPr>
          <w:lang w:val="en-GB" w:eastAsia="en-GB"/>
        </w:rPr>
        <w:t xml:space="preserve">the </w:t>
      </w:r>
      <w:r w:rsidR="00A36B54" w:rsidRPr="00433C05">
        <w:rPr>
          <w:lang w:val="en-GB" w:eastAsia="en-GB"/>
        </w:rPr>
        <w:t>ed</w:t>
      </w:r>
      <w:r w:rsidR="00CD6E33">
        <w:rPr>
          <w:lang w:val="en-GB" w:eastAsia="en-GB"/>
        </w:rPr>
        <w:t xml:space="preserve">ucational </w:t>
      </w:r>
      <w:r w:rsidR="00A36B54" w:rsidRPr="00433C05">
        <w:rPr>
          <w:lang w:val="en-GB" w:eastAsia="en-GB"/>
        </w:rPr>
        <w:t>tech</w:t>
      </w:r>
      <w:r w:rsidR="00CD6E33">
        <w:rPr>
          <w:lang w:val="en-GB" w:eastAsia="en-GB"/>
        </w:rPr>
        <w:t>nology</w:t>
      </w:r>
      <w:r w:rsidR="00A36B54" w:rsidRPr="00433C05">
        <w:rPr>
          <w:lang w:val="en-GB" w:eastAsia="en-GB"/>
        </w:rPr>
        <w:t xml:space="preserve"> start</w:t>
      </w:r>
      <w:r w:rsidR="00CD6E33">
        <w:rPr>
          <w:lang w:val="en-GB" w:eastAsia="en-GB"/>
        </w:rPr>
        <w:t>-</w:t>
      </w:r>
      <w:r w:rsidR="00A36B54" w:rsidRPr="00433C05">
        <w:rPr>
          <w:lang w:val="en-GB" w:eastAsia="en-GB"/>
        </w:rPr>
        <w:t>up</w:t>
      </w:r>
      <w:r w:rsidR="00C56B53" w:rsidRPr="00433C05">
        <w:rPr>
          <w:lang w:val="en-GB" w:eastAsia="en-GB"/>
        </w:rPr>
        <w:t xml:space="preserve"> </w:t>
      </w:r>
      <w:r w:rsidR="00A36B54" w:rsidRPr="00433C05">
        <w:rPr>
          <w:lang w:val="en-GB" w:eastAsia="en-GB"/>
        </w:rPr>
        <w:t>Study</w:t>
      </w:r>
      <w:r w:rsidR="00CD6E33">
        <w:rPr>
          <w:lang w:val="en-GB" w:eastAsia="en-GB"/>
        </w:rPr>
        <w:t xml:space="preserve"> </w:t>
      </w:r>
      <w:r w:rsidR="00A36B54" w:rsidRPr="00433C05">
        <w:rPr>
          <w:lang w:val="en-GB" w:eastAsia="en-GB"/>
        </w:rPr>
        <w:t>IQ</w:t>
      </w:r>
      <w:r w:rsidR="00AB6EC8">
        <w:rPr>
          <w:lang w:val="en-GB" w:eastAsia="en-GB"/>
        </w:rPr>
        <w:t>,</w:t>
      </w:r>
      <w:r w:rsidR="00A36B54" w:rsidRPr="00433C05">
        <w:rPr>
          <w:lang w:val="en-GB" w:eastAsia="en-GB"/>
        </w:rPr>
        <w:t xml:space="preserve"> stated: “I think it is impossible for a digital company to move out from the Play Store. I don’t think we will do that, we have 1.5 Mn </w:t>
      </w:r>
      <w:r w:rsidR="00226A90">
        <w:rPr>
          <w:lang w:val="en-GB" w:eastAsia="en-GB"/>
        </w:rPr>
        <w:t xml:space="preserve">[million] </w:t>
      </w:r>
      <w:r w:rsidR="00A36B54" w:rsidRPr="00433C05">
        <w:rPr>
          <w:lang w:val="en-GB" w:eastAsia="en-GB"/>
        </w:rPr>
        <w:t>subscribers on our Android app.”</w:t>
      </w:r>
      <w:r w:rsidR="00A36B54" w:rsidRPr="00433C05">
        <w:rPr>
          <w:vertAlign w:val="superscript"/>
          <w:lang w:val="en-GB" w:eastAsia="en-GB"/>
        </w:rPr>
        <w:endnoteReference w:id="58"/>
      </w:r>
      <w:r w:rsidR="00321026">
        <w:rPr>
          <w:lang w:val="en-GB" w:eastAsia="en-GB"/>
        </w:rPr>
        <w:t xml:space="preserve"> But the</w:t>
      </w:r>
      <w:r w:rsidR="00CD6E33" w:rsidRPr="00433C05">
        <w:rPr>
          <w:lang w:val="en-GB" w:eastAsia="en-GB"/>
        </w:rPr>
        <w:t xml:space="preserve"> </w:t>
      </w:r>
      <w:r w:rsidR="00A36B54" w:rsidRPr="00433C05">
        <w:rPr>
          <w:lang w:val="en-GB" w:eastAsia="en-GB"/>
        </w:rPr>
        <w:t xml:space="preserve">30 per cent commission was </w:t>
      </w:r>
      <w:r w:rsidR="00CD6E33">
        <w:rPr>
          <w:lang w:val="en-GB" w:eastAsia="en-GB"/>
        </w:rPr>
        <w:t>an extreme amount</w:t>
      </w:r>
      <w:r w:rsidR="00A36B54" w:rsidRPr="00433C05">
        <w:rPr>
          <w:lang w:val="en-GB" w:eastAsia="en-GB"/>
        </w:rPr>
        <w:t xml:space="preserve"> </w:t>
      </w:r>
      <w:r w:rsidR="00CD6E33">
        <w:rPr>
          <w:lang w:val="en-GB" w:eastAsia="en-GB"/>
        </w:rPr>
        <w:t xml:space="preserve">to </w:t>
      </w:r>
      <w:r w:rsidR="00321026">
        <w:rPr>
          <w:lang w:val="en-GB" w:eastAsia="en-GB"/>
        </w:rPr>
        <w:t>pay</w:t>
      </w:r>
      <w:r w:rsidR="00CD6E33">
        <w:rPr>
          <w:lang w:val="en-GB" w:eastAsia="en-GB"/>
        </w:rPr>
        <w:t xml:space="preserve"> </w:t>
      </w:r>
      <w:r w:rsidR="00A36B54" w:rsidRPr="00433C05">
        <w:rPr>
          <w:lang w:val="en-GB" w:eastAsia="en-GB"/>
        </w:rPr>
        <w:t xml:space="preserve">for </w:t>
      </w:r>
      <w:r w:rsidR="00321026">
        <w:rPr>
          <w:lang w:val="en-GB" w:eastAsia="en-GB"/>
        </w:rPr>
        <w:t xml:space="preserve">many app </w:t>
      </w:r>
      <w:r w:rsidR="00A36B54" w:rsidRPr="00433C05">
        <w:rPr>
          <w:lang w:val="en-GB" w:eastAsia="en-GB"/>
        </w:rPr>
        <w:t xml:space="preserve">developers, </w:t>
      </w:r>
      <w:r w:rsidR="00CD6E33">
        <w:rPr>
          <w:lang w:val="en-GB" w:eastAsia="en-GB"/>
        </w:rPr>
        <w:t>especially small companies. F</w:t>
      </w:r>
      <w:r w:rsidR="00A36B54" w:rsidRPr="00433C05">
        <w:rPr>
          <w:lang w:val="en-GB" w:eastAsia="en-GB"/>
        </w:rPr>
        <w:t xml:space="preserve">or </w:t>
      </w:r>
      <w:r w:rsidR="00CD6E33">
        <w:rPr>
          <w:lang w:val="en-GB" w:eastAsia="en-GB"/>
        </w:rPr>
        <w:t>some of them, the commission would</w:t>
      </w:r>
      <w:r w:rsidR="00A36B54" w:rsidRPr="00433C05">
        <w:rPr>
          <w:lang w:val="en-GB" w:eastAsia="en-GB"/>
        </w:rPr>
        <w:t xml:space="preserve"> mean </w:t>
      </w:r>
      <w:r w:rsidR="00CD6E33">
        <w:rPr>
          <w:lang w:val="en-GB" w:eastAsia="en-GB"/>
        </w:rPr>
        <w:t xml:space="preserve">absorbing </w:t>
      </w:r>
      <w:r w:rsidR="00A36B54" w:rsidRPr="00433C05">
        <w:rPr>
          <w:lang w:val="en-GB" w:eastAsia="en-GB"/>
        </w:rPr>
        <w:t xml:space="preserve">a 30 per cent </w:t>
      </w:r>
      <w:r w:rsidR="00CD6E33">
        <w:rPr>
          <w:lang w:val="en-GB" w:eastAsia="en-GB"/>
        </w:rPr>
        <w:t>loss</w:t>
      </w:r>
      <w:r w:rsidR="00A36B54" w:rsidRPr="00433C05">
        <w:rPr>
          <w:lang w:val="en-GB" w:eastAsia="en-GB"/>
        </w:rPr>
        <w:t xml:space="preserve"> on their</w:t>
      </w:r>
      <w:r w:rsidR="00C23B03">
        <w:rPr>
          <w:lang w:val="en-GB" w:eastAsia="en-GB"/>
        </w:rPr>
        <w:t xml:space="preserve"> calculation of</w:t>
      </w:r>
      <w:r w:rsidR="00A36B54" w:rsidRPr="00433C05">
        <w:rPr>
          <w:lang w:val="en-GB" w:eastAsia="en-GB"/>
        </w:rPr>
        <w:t xml:space="preserve"> </w:t>
      </w:r>
      <w:r w:rsidR="00CD6E33">
        <w:rPr>
          <w:lang w:val="en-GB" w:eastAsia="en-GB"/>
        </w:rPr>
        <w:t>e</w:t>
      </w:r>
      <w:r w:rsidR="00A36B54" w:rsidRPr="00433C05">
        <w:rPr>
          <w:lang w:val="en-GB" w:eastAsia="en-GB"/>
        </w:rPr>
        <w:t xml:space="preserve">arnings before </w:t>
      </w:r>
      <w:r w:rsidR="00CD6E33">
        <w:rPr>
          <w:lang w:val="en-GB" w:eastAsia="en-GB"/>
        </w:rPr>
        <w:t>i</w:t>
      </w:r>
      <w:r w:rsidR="00A36B54" w:rsidRPr="00433C05">
        <w:rPr>
          <w:lang w:val="en-GB" w:eastAsia="en-GB"/>
        </w:rPr>
        <w:t xml:space="preserve">nterest, </w:t>
      </w:r>
      <w:r w:rsidR="00CD6E33">
        <w:rPr>
          <w:lang w:val="en-GB" w:eastAsia="en-GB"/>
        </w:rPr>
        <w:t>d</w:t>
      </w:r>
      <w:r w:rsidR="00A36B54" w:rsidRPr="00433C05">
        <w:rPr>
          <w:lang w:val="en-GB" w:eastAsia="en-GB"/>
        </w:rPr>
        <w:t>epreciation</w:t>
      </w:r>
      <w:r w:rsidR="00CD6E33">
        <w:rPr>
          <w:lang w:val="en-GB" w:eastAsia="en-GB"/>
        </w:rPr>
        <w:t>,</w:t>
      </w:r>
      <w:r w:rsidR="00A36B54" w:rsidRPr="00433C05">
        <w:rPr>
          <w:lang w:val="en-GB" w:eastAsia="en-GB"/>
        </w:rPr>
        <w:t xml:space="preserve"> and </w:t>
      </w:r>
      <w:r w:rsidR="00CD6E33">
        <w:rPr>
          <w:lang w:val="en-GB" w:eastAsia="en-GB"/>
        </w:rPr>
        <w:t>a</w:t>
      </w:r>
      <w:r w:rsidR="00A36B54" w:rsidRPr="00433C05">
        <w:rPr>
          <w:lang w:val="en-GB" w:eastAsia="en-GB"/>
        </w:rPr>
        <w:t>mortization.</w:t>
      </w:r>
      <w:r w:rsidR="00A36B54" w:rsidRPr="00433C05">
        <w:rPr>
          <w:vertAlign w:val="superscript"/>
          <w:lang w:val="en-GB" w:eastAsia="en-GB"/>
        </w:rPr>
        <w:endnoteReference w:id="59"/>
      </w:r>
      <w:r w:rsidR="00A36B54" w:rsidRPr="00433C05">
        <w:rPr>
          <w:lang w:val="en-GB" w:eastAsia="en-GB"/>
        </w:rPr>
        <w:t xml:space="preserve"> </w:t>
      </w:r>
      <w:r w:rsidR="00CD6E33">
        <w:rPr>
          <w:lang w:val="en-GB" w:eastAsia="en-GB"/>
        </w:rPr>
        <w:t>T</w:t>
      </w:r>
      <w:r w:rsidR="00C23B03">
        <w:rPr>
          <w:lang w:val="en-GB" w:eastAsia="en-GB"/>
        </w:rPr>
        <w:t>herefore, t</w:t>
      </w:r>
      <w:r w:rsidR="00A36B54" w:rsidRPr="00433C05">
        <w:rPr>
          <w:lang w:val="en-GB" w:eastAsia="en-GB"/>
        </w:rPr>
        <w:t xml:space="preserve">o reduce </w:t>
      </w:r>
      <w:r w:rsidR="00CD6E33">
        <w:rPr>
          <w:lang w:val="en-GB" w:eastAsia="en-GB"/>
        </w:rPr>
        <w:t xml:space="preserve">their </w:t>
      </w:r>
      <w:r w:rsidR="00A36B54" w:rsidRPr="00433C05">
        <w:rPr>
          <w:lang w:val="en-GB" w:eastAsia="en-GB"/>
        </w:rPr>
        <w:t xml:space="preserve">dependence on Google, </w:t>
      </w:r>
      <w:r w:rsidR="00C23B03">
        <w:rPr>
          <w:lang w:val="en-GB" w:eastAsia="en-GB"/>
        </w:rPr>
        <w:t xml:space="preserve">some </w:t>
      </w:r>
      <w:r w:rsidR="00A36B54" w:rsidRPr="00433C05">
        <w:rPr>
          <w:lang w:val="en-GB" w:eastAsia="en-GB"/>
        </w:rPr>
        <w:t>Indian start</w:t>
      </w:r>
      <w:r w:rsidR="00CD6E33">
        <w:rPr>
          <w:lang w:val="en-GB" w:eastAsia="en-GB"/>
        </w:rPr>
        <w:t>-</w:t>
      </w:r>
      <w:r w:rsidR="00A36B54" w:rsidRPr="00433C05">
        <w:rPr>
          <w:lang w:val="en-GB" w:eastAsia="en-GB"/>
        </w:rPr>
        <w:t xml:space="preserve">ups </w:t>
      </w:r>
      <w:r w:rsidR="00C23B03">
        <w:rPr>
          <w:lang w:val="en-GB" w:eastAsia="en-GB"/>
        </w:rPr>
        <w:t xml:space="preserve">were </w:t>
      </w:r>
      <w:r w:rsidR="00CD6E33">
        <w:rPr>
          <w:lang w:val="en-GB" w:eastAsia="en-GB"/>
        </w:rPr>
        <w:t>consider</w:t>
      </w:r>
      <w:r w:rsidR="00C23B03">
        <w:rPr>
          <w:lang w:val="en-GB" w:eastAsia="en-GB"/>
        </w:rPr>
        <w:t>ing building</w:t>
      </w:r>
      <w:r w:rsidR="00A36B54" w:rsidRPr="00433C05">
        <w:rPr>
          <w:lang w:val="en-GB" w:eastAsia="en-GB"/>
        </w:rPr>
        <w:t xml:space="preserve"> a local</w:t>
      </w:r>
      <w:r w:rsidR="00CD6E33">
        <w:rPr>
          <w:lang w:val="en-GB" w:eastAsia="en-GB"/>
        </w:rPr>
        <w:t xml:space="preserve"> </w:t>
      </w:r>
      <w:r w:rsidR="00A36B54" w:rsidRPr="00433C05">
        <w:rPr>
          <w:lang w:val="en-GB" w:eastAsia="en-GB"/>
        </w:rPr>
        <w:t>app</w:t>
      </w:r>
      <w:r w:rsidR="00C23B03">
        <w:rPr>
          <w:lang w:val="en-GB" w:eastAsia="en-GB"/>
        </w:rPr>
        <w:t xml:space="preserve"> distribution service</w:t>
      </w:r>
      <w:r w:rsidR="00A36B54" w:rsidRPr="00433C05">
        <w:rPr>
          <w:lang w:val="en-GB" w:eastAsia="en-GB"/>
        </w:rPr>
        <w:t xml:space="preserve"> </w:t>
      </w:r>
      <w:r w:rsidR="00CD6E33">
        <w:rPr>
          <w:lang w:val="en-GB" w:eastAsia="en-GB"/>
        </w:rPr>
        <w:t>that</w:t>
      </w:r>
      <w:r w:rsidR="00A36B54" w:rsidRPr="00433C05">
        <w:rPr>
          <w:lang w:val="en-GB" w:eastAsia="en-GB"/>
        </w:rPr>
        <w:t xml:space="preserve"> charge</w:t>
      </w:r>
      <w:r w:rsidR="00C23B03">
        <w:rPr>
          <w:lang w:val="en-GB" w:eastAsia="en-GB"/>
        </w:rPr>
        <w:t>d</w:t>
      </w:r>
      <w:r w:rsidR="00A36B54" w:rsidRPr="00433C05">
        <w:rPr>
          <w:lang w:val="en-GB" w:eastAsia="en-GB"/>
        </w:rPr>
        <w:t xml:space="preserve"> </w:t>
      </w:r>
      <w:r w:rsidR="00C23B03">
        <w:rPr>
          <w:lang w:val="en-GB" w:eastAsia="en-GB"/>
        </w:rPr>
        <w:t>only a reasonable</w:t>
      </w:r>
      <w:r w:rsidR="00A36B54" w:rsidRPr="00433C05">
        <w:rPr>
          <w:lang w:val="en-GB" w:eastAsia="en-GB"/>
        </w:rPr>
        <w:t xml:space="preserve"> service fee.</w:t>
      </w:r>
      <w:r w:rsidR="00A36B54" w:rsidRPr="00433C05">
        <w:rPr>
          <w:vertAlign w:val="superscript"/>
          <w:lang w:val="en-GB" w:eastAsia="en-GB"/>
        </w:rPr>
        <w:endnoteReference w:id="60"/>
      </w:r>
      <w:r w:rsidR="00A36B54" w:rsidRPr="00433C05">
        <w:rPr>
          <w:lang w:val="en-GB" w:eastAsia="en-GB"/>
        </w:rPr>
        <w:t xml:space="preserve"> A</w:t>
      </w:r>
      <w:r w:rsidR="00C23B03">
        <w:rPr>
          <w:lang w:val="en-GB" w:eastAsia="en-GB"/>
        </w:rPr>
        <w:t>ccording to</w:t>
      </w:r>
      <w:r w:rsidR="00A36B54" w:rsidRPr="00433C05">
        <w:rPr>
          <w:lang w:val="en-GB" w:eastAsia="en-GB"/>
        </w:rPr>
        <w:t xml:space="preserve"> Vishal </w:t>
      </w:r>
      <w:proofErr w:type="spellStart"/>
      <w:r w:rsidR="00A36B54" w:rsidRPr="00433C05">
        <w:rPr>
          <w:lang w:val="en-GB" w:eastAsia="en-GB"/>
        </w:rPr>
        <w:t>Gondal</w:t>
      </w:r>
      <w:proofErr w:type="spellEnd"/>
      <w:r w:rsidR="00A36B54" w:rsidRPr="00433C05">
        <w:rPr>
          <w:lang w:val="en-GB" w:eastAsia="en-GB"/>
        </w:rPr>
        <w:t>, co-founder of</w:t>
      </w:r>
      <w:r w:rsidR="00CD6E33">
        <w:rPr>
          <w:lang w:val="en-GB" w:eastAsia="en-GB"/>
        </w:rPr>
        <w:t xml:space="preserve"> the</w:t>
      </w:r>
      <w:r w:rsidR="00A36B54" w:rsidRPr="00433C05">
        <w:rPr>
          <w:lang w:val="en-GB" w:eastAsia="en-GB"/>
        </w:rPr>
        <w:t xml:space="preserve"> Bengaluru gaming firm </w:t>
      </w:r>
      <w:proofErr w:type="spellStart"/>
      <w:r w:rsidR="00A36B54" w:rsidRPr="00433C05">
        <w:rPr>
          <w:lang w:val="en-GB" w:eastAsia="en-GB"/>
        </w:rPr>
        <w:t>nCore</w:t>
      </w:r>
      <w:proofErr w:type="spellEnd"/>
      <w:r w:rsidR="00A36B54" w:rsidRPr="00433C05">
        <w:rPr>
          <w:lang w:val="en-GB" w:eastAsia="en-GB"/>
        </w:rPr>
        <w:t xml:space="preserve"> Games</w:t>
      </w:r>
      <w:r w:rsidR="00CD6E33">
        <w:rPr>
          <w:lang w:val="en-GB" w:eastAsia="en-GB"/>
        </w:rPr>
        <w:t xml:space="preserve">, </w:t>
      </w:r>
      <w:r w:rsidR="00A36B54" w:rsidRPr="00433C05">
        <w:rPr>
          <w:lang w:val="en-GB" w:eastAsia="en-GB"/>
        </w:rPr>
        <w:t>“If we have to give 30</w:t>
      </w:r>
      <w:r w:rsidR="00226A90">
        <w:rPr>
          <w:lang w:val="en-GB" w:eastAsia="en-GB"/>
        </w:rPr>
        <w:t xml:space="preserve"> per cent</w:t>
      </w:r>
      <w:r w:rsidR="00A36B54" w:rsidRPr="00433C05">
        <w:rPr>
          <w:lang w:val="en-GB" w:eastAsia="en-GB"/>
        </w:rPr>
        <w:t xml:space="preserve"> fees to Google and also pay for customer acquisition, how will our budding businesses survive?”</w:t>
      </w:r>
      <w:r w:rsidR="00A36B54" w:rsidRPr="00433C05">
        <w:rPr>
          <w:vertAlign w:val="superscript"/>
          <w:lang w:val="en-GB" w:eastAsia="en-GB"/>
        </w:rPr>
        <w:endnoteReference w:id="61"/>
      </w:r>
    </w:p>
    <w:p w14:paraId="61367933" w14:textId="77777777" w:rsidR="00A36B54" w:rsidRPr="00433C05" w:rsidRDefault="00A36B54" w:rsidP="00A36B54">
      <w:pPr>
        <w:pStyle w:val="BodyTextMain"/>
        <w:rPr>
          <w:lang w:val="en-GB" w:eastAsia="en-GB"/>
        </w:rPr>
      </w:pPr>
    </w:p>
    <w:p w14:paraId="01D48893" w14:textId="77777777" w:rsidR="00A36B54" w:rsidRPr="00433C05" w:rsidRDefault="00A36B54" w:rsidP="00A36B54">
      <w:pPr>
        <w:jc w:val="both"/>
        <w:rPr>
          <w:rFonts w:ascii="Arial" w:hAnsi="Arial" w:cs="Arial"/>
          <w:b/>
          <w:bCs/>
          <w:lang w:val="en-GB" w:eastAsia="en-GB"/>
        </w:rPr>
      </w:pPr>
    </w:p>
    <w:p w14:paraId="5BE40E09" w14:textId="77777777" w:rsidR="00226A90" w:rsidRDefault="00226A90" w:rsidP="00A36B54">
      <w:pPr>
        <w:pStyle w:val="Casehead1"/>
        <w:rPr>
          <w:lang w:val="en-GB" w:eastAsia="en-GB"/>
        </w:rPr>
      </w:pPr>
    </w:p>
    <w:p w14:paraId="51882A38" w14:textId="77777777" w:rsidR="00A36B54" w:rsidRPr="00433C05" w:rsidRDefault="00A36B54" w:rsidP="00A36B54">
      <w:pPr>
        <w:pStyle w:val="Casehead1"/>
        <w:rPr>
          <w:lang w:val="en-GB" w:eastAsia="en-GB"/>
        </w:rPr>
      </w:pPr>
      <w:r w:rsidRPr="00433C05">
        <w:rPr>
          <w:lang w:val="en-GB" w:eastAsia="en-GB"/>
        </w:rPr>
        <w:lastRenderedPageBreak/>
        <w:t>DOMINANCE AND ABUSE OF DOMINANCE</w:t>
      </w:r>
    </w:p>
    <w:p w14:paraId="5799D72F" w14:textId="43E10469" w:rsidR="00C56B53" w:rsidRPr="00433C05" w:rsidRDefault="00C56B53" w:rsidP="00A36B54">
      <w:pPr>
        <w:jc w:val="both"/>
        <w:rPr>
          <w:sz w:val="22"/>
          <w:szCs w:val="22"/>
          <w:lang w:val="en-GB" w:eastAsia="en-GB"/>
        </w:rPr>
      </w:pPr>
    </w:p>
    <w:p w14:paraId="2A72FDEC" w14:textId="55694CEF" w:rsidR="00C56B53" w:rsidRPr="00433C05" w:rsidRDefault="0030325B" w:rsidP="00A36B54">
      <w:pPr>
        <w:jc w:val="both"/>
        <w:rPr>
          <w:sz w:val="22"/>
          <w:szCs w:val="22"/>
          <w:lang w:val="en-GB" w:eastAsia="en-GB"/>
        </w:rPr>
      </w:pPr>
      <w:r>
        <w:rPr>
          <w:sz w:val="22"/>
          <w:szCs w:val="22"/>
          <w:lang w:val="en-GB" w:eastAsia="en-GB"/>
        </w:rPr>
        <w:t>To</w:t>
      </w:r>
      <w:r w:rsidR="00C56B53" w:rsidRPr="00433C05">
        <w:rPr>
          <w:sz w:val="22"/>
          <w:szCs w:val="22"/>
          <w:lang w:val="en-GB" w:eastAsia="en-GB"/>
        </w:rPr>
        <w:t xml:space="preserve"> gain a dominant position</w:t>
      </w:r>
      <w:r>
        <w:rPr>
          <w:sz w:val="22"/>
          <w:szCs w:val="22"/>
          <w:lang w:val="en-GB" w:eastAsia="en-GB"/>
        </w:rPr>
        <w:t>, companies could consider using</w:t>
      </w:r>
      <w:r w:rsidR="00C56B53" w:rsidRPr="00433C05">
        <w:rPr>
          <w:sz w:val="22"/>
          <w:szCs w:val="22"/>
          <w:lang w:val="en-GB" w:eastAsia="en-GB"/>
        </w:rPr>
        <w:t xml:space="preserve"> barriers of entry </w:t>
      </w:r>
      <w:r>
        <w:rPr>
          <w:sz w:val="22"/>
          <w:szCs w:val="22"/>
          <w:lang w:val="en-GB" w:eastAsia="en-GB"/>
        </w:rPr>
        <w:t>in</w:t>
      </w:r>
      <w:r w:rsidR="00966595">
        <w:rPr>
          <w:sz w:val="22"/>
          <w:szCs w:val="22"/>
          <w:lang w:val="en-GB" w:eastAsia="en-GB"/>
        </w:rPr>
        <w:t>to</w:t>
      </w:r>
      <w:r>
        <w:rPr>
          <w:sz w:val="22"/>
          <w:szCs w:val="22"/>
          <w:lang w:val="en-GB" w:eastAsia="en-GB"/>
        </w:rPr>
        <w:t xml:space="preserve"> their market by controlling</w:t>
      </w:r>
      <w:r w:rsidR="00C56B53" w:rsidRPr="00433C05">
        <w:rPr>
          <w:sz w:val="22"/>
          <w:szCs w:val="22"/>
          <w:lang w:val="en-GB" w:eastAsia="en-GB"/>
        </w:rPr>
        <w:t xml:space="preserve"> access </w:t>
      </w:r>
      <w:r w:rsidR="00F53699">
        <w:rPr>
          <w:sz w:val="22"/>
          <w:szCs w:val="22"/>
          <w:lang w:val="en-GB" w:eastAsia="en-GB"/>
        </w:rPr>
        <w:t>to</w:t>
      </w:r>
      <w:r w:rsidR="00C56B53" w:rsidRPr="00433C05">
        <w:rPr>
          <w:sz w:val="22"/>
          <w:szCs w:val="22"/>
          <w:lang w:val="en-GB" w:eastAsia="en-GB"/>
        </w:rPr>
        <w:t xml:space="preserve"> key resources, </w:t>
      </w:r>
      <w:r>
        <w:rPr>
          <w:sz w:val="22"/>
          <w:szCs w:val="22"/>
          <w:lang w:val="en-GB" w:eastAsia="en-GB"/>
        </w:rPr>
        <w:t xml:space="preserve">by using </w:t>
      </w:r>
      <w:r w:rsidR="00C56B53" w:rsidRPr="00433C05">
        <w:rPr>
          <w:sz w:val="22"/>
          <w:szCs w:val="22"/>
          <w:lang w:val="en-GB" w:eastAsia="en-GB"/>
        </w:rPr>
        <w:t>exclusive rights</w:t>
      </w:r>
      <w:r>
        <w:rPr>
          <w:sz w:val="22"/>
          <w:szCs w:val="22"/>
          <w:lang w:val="en-GB" w:eastAsia="en-GB"/>
        </w:rPr>
        <w:t xml:space="preserve"> and </w:t>
      </w:r>
      <w:r w:rsidR="00C56B53" w:rsidRPr="00433C05">
        <w:rPr>
          <w:sz w:val="22"/>
          <w:szCs w:val="22"/>
          <w:lang w:val="en-GB" w:eastAsia="en-GB"/>
        </w:rPr>
        <w:t>licen</w:t>
      </w:r>
      <w:r>
        <w:rPr>
          <w:sz w:val="22"/>
          <w:szCs w:val="22"/>
          <w:lang w:val="en-GB" w:eastAsia="en-GB"/>
        </w:rPr>
        <w:t>c</w:t>
      </w:r>
      <w:r w:rsidR="00C56B53" w:rsidRPr="00433C05">
        <w:rPr>
          <w:sz w:val="22"/>
          <w:szCs w:val="22"/>
          <w:lang w:val="en-GB" w:eastAsia="en-GB"/>
        </w:rPr>
        <w:t>es granted by the government</w:t>
      </w:r>
      <w:r>
        <w:rPr>
          <w:sz w:val="22"/>
          <w:szCs w:val="22"/>
          <w:lang w:val="en-GB" w:eastAsia="en-GB"/>
        </w:rPr>
        <w:t>,</w:t>
      </w:r>
      <w:r w:rsidR="00C56B53" w:rsidRPr="00433C05">
        <w:rPr>
          <w:sz w:val="22"/>
          <w:szCs w:val="22"/>
          <w:lang w:val="en-GB" w:eastAsia="en-GB"/>
        </w:rPr>
        <w:t xml:space="preserve"> or </w:t>
      </w:r>
      <w:r>
        <w:rPr>
          <w:sz w:val="22"/>
          <w:szCs w:val="22"/>
          <w:lang w:val="en-GB" w:eastAsia="en-GB"/>
        </w:rPr>
        <w:t>by creating</w:t>
      </w:r>
      <w:r w:rsidR="00C56B53" w:rsidRPr="00433C05">
        <w:rPr>
          <w:sz w:val="22"/>
          <w:szCs w:val="22"/>
          <w:lang w:val="en-GB" w:eastAsia="en-GB"/>
        </w:rPr>
        <w:t xml:space="preserve"> natural monopolies </w:t>
      </w:r>
      <w:r>
        <w:rPr>
          <w:sz w:val="22"/>
          <w:szCs w:val="22"/>
          <w:lang w:val="en-GB" w:eastAsia="en-GB"/>
        </w:rPr>
        <w:t>through</w:t>
      </w:r>
      <w:r w:rsidR="00C56B53" w:rsidRPr="00433C05">
        <w:rPr>
          <w:sz w:val="22"/>
          <w:szCs w:val="22"/>
          <w:lang w:val="en-GB" w:eastAsia="en-GB"/>
        </w:rPr>
        <w:t xml:space="preserve"> economies of scale. </w:t>
      </w:r>
      <w:r>
        <w:rPr>
          <w:sz w:val="22"/>
          <w:szCs w:val="22"/>
          <w:lang w:val="en-GB" w:eastAsia="en-GB"/>
        </w:rPr>
        <w:t>A</w:t>
      </w:r>
      <w:r w:rsidR="00C56B53" w:rsidRPr="00433C05">
        <w:rPr>
          <w:sz w:val="22"/>
          <w:szCs w:val="22"/>
          <w:lang w:val="en-GB" w:eastAsia="en-GB"/>
        </w:rPr>
        <w:t xml:space="preserve"> natural monopol</w:t>
      </w:r>
      <w:r>
        <w:rPr>
          <w:sz w:val="22"/>
          <w:szCs w:val="22"/>
          <w:lang w:val="en-GB" w:eastAsia="en-GB"/>
        </w:rPr>
        <w:t>y occurred when</w:t>
      </w:r>
      <w:r w:rsidR="00C56B53" w:rsidRPr="00433C05">
        <w:rPr>
          <w:sz w:val="22"/>
          <w:szCs w:val="22"/>
          <w:lang w:val="en-GB" w:eastAsia="en-GB"/>
        </w:rPr>
        <w:t xml:space="preserve"> a single</w:t>
      </w:r>
      <w:r>
        <w:rPr>
          <w:sz w:val="22"/>
          <w:szCs w:val="22"/>
          <w:lang w:val="en-GB" w:eastAsia="en-GB"/>
        </w:rPr>
        <w:t xml:space="preserve"> company</w:t>
      </w:r>
      <w:r w:rsidR="00C56B53" w:rsidRPr="00433C05">
        <w:rPr>
          <w:sz w:val="22"/>
          <w:szCs w:val="22"/>
          <w:lang w:val="en-GB" w:eastAsia="en-GB"/>
        </w:rPr>
        <w:t xml:space="preserve"> </w:t>
      </w:r>
      <w:r w:rsidR="00F3219B">
        <w:rPr>
          <w:sz w:val="22"/>
          <w:szCs w:val="22"/>
          <w:lang w:val="en-GB" w:eastAsia="en-GB"/>
        </w:rPr>
        <w:t xml:space="preserve">could </w:t>
      </w:r>
      <w:r w:rsidR="00C56B53" w:rsidRPr="00433C05">
        <w:rPr>
          <w:sz w:val="22"/>
          <w:szCs w:val="22"/>
          <w:lang w:val="en-GB" w:eastAsia="en-GB"/>
        </w:rPr>
        <w:t>produce the entire output at a lower cost</w:t>
      </w:r>
      <w:r w:rsidR="00F3219B">
        <w:rPr>
          <w:sz w:val="22"/>
          <w:szCs w:val="22"/>
          <w:lang w:val="en-GB" w:eastAsia="en-GB"/>
        </w:rPr>
        <w:t>,</w:t>
      </w:r>
      <w:r w:rsidR="00C56B53" w:rsidRPr="00433C05">
        <w:rPr>
          <w:sz w:val="22"/>
          <w:szCs w:val="22"/>
          <w:lang w:val="en-GB" w:eastAsia="en-GB"/>
        </w:rPr>
        <w:t xml:space="preserve"> </w:t>
      </w:r>
      <w:r w:rsidR="00F3219B">
        <w:rPr>
          <w:sz w:val="22"/>
          <w:szCs w:val="22"/>
          <w:lang w:val="en-GB" w:eastAsia="en-GB"/>
        </w:rPr>
        <w:t>compared to the cost when</w:t>
      </w:r>
      <w:r w:rsidR="00C56B53" w:rsidRPr="00433C05">
        <w:rPr>
          <w:sz w:val="22"/>
          <w:szCs w:val="22"/>
          <w:lang w:val="en-GB" w:eastAsia="en-GB"/>
        </w:rPr>
        <w:t xml:space="preserve"> several </w:t>
      </w:r>
      <w:r w:rsidR="00F3219B">
        <w:rPr>
          <w:sz w:val="22"/>
          <w:szCs w:val="22"/>
          <w:lang w:val="en-GB" w:eastAsia="en-GB"/>
        </w:rPr>
        <w:t>companies were involved</w:t>
      </w:r>
      <w:r w:rsidR="00C56B53" w:rsidRPr="00433C05">
        <w:rPr>
          <w:sz w:val="22"/>
          <w:szCs w:val="22"/>
          <w:lang w:val="en-GB" w:eastAsia="en-GB"/>
        </w:rPr>
        <w:t>.</w:t>
      </w:r>
      <w:r w:rsidR="00C56B53" w:rsidRPr="00433C05">
        <w:rPr>
          <w:sz w:val="22"/>
          <w:szCs w:val="22"/>
          <w:vertAlign w:val="superscript"/>
          <w:lang w:val="en-GB" w:eastAsia="en-GB"/>
        </w:rPr>
        <w:endnoteReference w:id="62"/>
      </w:r>
      <w:r w:rsidR="00C56B53" w:rsidRPr="00433C05">
        <w:rPr>
          <w:sz w:val="22"/>
          <w:szCs w:val="22"/>
          <w:lang w:val="en-GB" w:eastAsia="en-GB"/>
        </w:rPr>
        <w:t xml:space="preserve"> </w:t>
      </w:r>
      <w:r w:rsidR="00F3219B">
        <w:rPr>
          <w:sz w:val="22"/>
          <w:szCs w:val="22"/>
          <w:lang w:val="en-GB" w:eastAsia="en-GB"/>
        </w:rPr>
        <w:t>N</w:t>
      </w:r>
      <w:r w:rsidR="00C56B53" w:rsidRPr="00433C05">
        <w:rPr>
          <w:sz w:val="22"/>
          <w:szCs w:val="22"/>
          <w:lang w:val="en-GB" w:eastAsia="en-GB"/>
        </w:rPr>
        <w:t xml:space="preserve">atural monopolies, </w:t>
      </w:r>
      <w:r w:rsidR="00F3219B">
        <w:rPr>
          <w:sz w:val="22"/>
          <w:szCs w:val="22"/>
          <w:lang w:val="en-GB" w:eastAsia="en-GB"/>
        </w:rPr>
        <w:t>which</w:t>
      </w:r>
      <w:r w:rsidR="00C56B53" w:rsidRPr="00433C05">
        <w:rPr>
          <w:sz w:val="22"/>
          <w:szCs w:val="22"/>
          <w:lang w:val="en-GB" w:eastAsia="en-GB"/>
        </w:rPr>
        <w:t xml:space="preserve"> were </w:t>
      </w:r>
      <w:r w:rsidR="00F3219B">
        <w:rPr>
          <w:sz w:val="22"/>
          <w:szCs w:val="22"/>
          <w:lang w:val="en-GB" w:eastAsia="en-GB"/>
        </w:rPr>
        <w:t xml:space="preserve">normally </w:t>
      </w:r>
      <w:r w:rsidR="00C56B53" w:rsidRPr="00433C05">
        <w:rPr>
          <w:sz w:val="22"/>
          <w:szCs w:val="22"/>
          <w:lang w:val="en-GB" w:eastAsia="en-GB"/>
        </w:rPr>
        <w:t>based on supply-side economies</w:t>
      </w:r>
      <w:r w:rsidR="00F3219B">
        <w:rPr>
          <w:sz w:val="22"/>
          <w:szCs w:val="22"/>
          <w:lang w:val="en-GB" w:eastAsia="en-GB"/>
        </w:rPr>
        <w:t xml:space="preserve"> of scale,</w:t>
      </w:r>
      <w:r w:rsidR="00C56B53" w:rsidRPr="00433C05">
        <w:rPr>
          <w:sz w:val="22"/>
          <w:szCs w:val="22"/>
          <w:lang w:val="en-GB" w:eastAsia="en-GB"/>
        </w:rPr>
        <w:t xml:space="preserve"> </w:t>
      </w:r>
      <w:r w:rsidR="00F3219B">
        <w:rPr>
          <w:sz w:val="22"/>
          <w:szCs w:val="22"/>
          <w:lang w:val="en-GB" w:eastAsia="en-GB"/>
        </w:rPr>
        <w:t>occurred during</w:t>
      </w:r>
      <w:r w:rsidR="00C56B53" w:rsidRPr="00433C05">
        <w:rPr>
          <w:sz w:val="22"/>
          <w:szCs w:val="22"/>
          <w:lang w:val="en-GB" w:eastAsia="en-GB"/>
        </w:rPr>
        <w:t xml:space="preserve"> the industrial era. In the era of the </w:t>
      </w:r>
      <w:r w:rsidR="00F3219B">
        <w:rPr>
          <w:sz w:val="22"/>
          <w:szCs w:val="22"/>
          <w:lang w:val="en-GB" w:eastAsia="en-GB"/>
        </w:rPr>
        <w:t>I</w:t>
      </w:r>
      <w:r w:rsidR="00C56B53" w:rsidRPr="00433C05">
        <w:rPr>
          <w:sz w:val="22"/>
          <w:szCs w:val="22"/>
          <w:lang w:val="en-GB" w:eastAsia="en-GB"/>
        </w:rPr>
        <w:t>nternet, market power (</w:t>
      </w:r>
      <w:r w:rsidR="00F3219B">
        <w:rPr>
          <w:sz w:val="22"/>
          <w:szCs w:val="22"/>
          <w:lang w:val="en-GB" w:eastAsia="en-GB"/>
        </w:rPr>
        <w:t xml:space="preserve">or </w:t>
      </w:r>
      <w:r w:rsidR="00C56B53" w:rsidRPr="00433C05">
        <w:rPr>
          <w:sz w:val="22"/>
          <w:szCs w:val="22"/>
          <w:lang w:val="en-GB" w:eastAsia="en-GB"/>
        </w:rPr>
        <w:t>dominance) of large platform monopolies</w:t>
      </w:r>
      <w:r w:rsidR="00F3219B">
        <w:rPr>
          <w:sz w:val="22"/>
          <w:szCs w:val="22"/>
          <w:lang w:val="en-GB" w:eastAsia="en-GB"/>
        </w:rPr>
        <w:t>,</w:t>
      </w:r>
      <w:r w:rsidR="00C56B53" w:rsidRPr="00433C05">
        <w:rPr>
          <w:sz w:val="22"/>
          <w:szCs w:val="22"/>
          <w:lang w:val="en-GB" w:eastAsia="en-GB"/>
        </w:rPr>
        <w:t xml:space="preserve"> </w:t>
      </w:r>
      <w:r w:rsidR="00F3219B">
        <w:rPr>
          <w:sz w:val="22"/>
          <w:szCs w:val="22"/>
          <w:lang w:val="en-GB" w:eastAsia="en-GB"/>
        </w:rPr>
        <w:t>such as</w:t>
      </w:r>
      <w:r w:rsidR="00C56B53" w:rsidRPr="00433C05">
        <w:rPr>
          <w:sz w:val="22"/>
          <w:szCs w:val="22"/>
          <w:lang w:val="en-GB" w:eastAsia="en-GB"/>
        </w:rPr>
        <w:t xml:space="preserve"> Google</w:t>
      </w:r>
      <w:r w:rsidR="00F3219B">
        <w:rPr>
          <w:sz w:val="22"/>
          <w:szCs w:val="22"/>
          <w:lang w:val="en-GB" w:eastAsia="en-GB"/>
        </w:rPr>
        <w:t>,</w:t>
      </w:r>
      <w:r w:rsidR="00C56B53" w:rsidRPr="00433C05">
        <w:rPr>
          <w:sz w:val="22"/>
          <w:szCs w:val="22"/>
          <w:lang w:val="en-GB" w:eastAsia="en-GB"/>
        </w:rPr>
        <w:t xml:space="preserve"> were </w:t>
      </w:r>
      <w:r w:rsidR="00F3219B">
        <w:rPr>
          <w:sz w:val="22"/>
          <w:szCs w:val="22"/>
          <w:lang w:val="en-GB" w:eastAsia="en-GB"/>
        </w:rPr>
        <w:t xml:space="preserve">based </w:t>
      </w:r>
      <w:r w:rsidR="00C56B53" w:rsidRPr="00433C05">
        <w:rPr>
          <w:sz w:val="22"/>
          <w:szCs w:val="22"/>
          <w:lang w:val="en-GB" w:eastAsia="en-GB"/>
        </w:rPr>
        <w:t>on network e</w:t>
      </w:r>
      <w:r w:rsidR="00B3515A" w:rsidRPr="00433C05">
        <w:rPr>
          <w:sz w:val="22"/>
          <w:szCs w:val="22"/>
          <w:lang w:val="en-GB" w:eastAsia="en-GB"/>
        </w:rPr>
        <w:t>xternalities</w:t>
      </w:r>
      <w:r w:rsidR="00F3219B">
        <w:rPr>
          <w:sz w:val="22"/>
          <w:szCs w:val="22"/>
          <w:lang w:val="en-GB" w:eastAsia="en-GB"/>
        </w:rPr>
        <w:t>. They were</w:t>
      </w:r>
      <w:r w:rsidR="00C56B53" w:rsidRPr="00433C05">
        <w:rPr>
          <w:sz w:val="22"/>
          <w:szCs w:val="22"/>
          <w:lang w:val="en-GB" w:eastAsia="en-GB"/>
        </w:rPr>
        <w:t xml:space="preserve"> created by demand</w:t>
      </w:r>
      <w:r w:rsidR="00F3219B">
        <w:rPr>
          <w:sz w:val="22"/>
          <w:szCs w:val="22"/>
          <w:lang w:val="en-GB" w:eastAsia="en-GB"/>
        </w:rPr>
        <w:t>-</w:t>
      </w:r>
      <w:r w:rsidR="00C56B53" w:rsidRPr="00433C05">
        <w:rPr>
          <w:sz w:val="22"/>
          <w:szCs w:val="22"/>
          <w:lang w:val="en-GB" w:eastAsia="en-GB"/>
        </w:rPr>
        <w:t>side economies of scale.</w:t>
      </w:r>
      <w:r w:rsidR="00C56B53" w:rsidRPr="00433C05">
        <w:rPr>
          <w:sz w:val="22"/>
          <w:szCs w:val="22"/>
          <w:vertAlign w:val="superscript"/>
          <w:lang w:val="en-GB" w:eastAsia="en-GB"/>
        </w:rPr>
        <w:endnoteReference w:id="63"/>
      </w:r>
    </w:p>
    <w:p w14:paraId="68B77B0F" w14:textId="0465A1BA" w:rsidR="00C56B53" w:rsidRPr="00433C05" w:rsidRDefault="00C56B53" w:rsidP="00A36B54">
      <w:pPr>
        <w:jc w:val="both"/>
        <w:rPr>
          <w:sz w:val="22"/>
          <w:szCs w:val="22"/>
          <w:lang w:val="en-GB" w:eastAsia="en-GB"/>
        </w:rPr>
      </w:pPr>
    </w:p>
    <w:p w14:paraId="49FA0375" w14:textId="77777777" w:rsidR="00C64F7C" w:rsidRPr="00433C05" w:rsidRDefault="00C64F7C" w:rsidP="00A36B54">
      <w:pPr>
        <w:jc w:val="both"/>
        <w:rPr>
          <w:sz w:val="22"/>
          <w:szCs w:val="22"/>
          <w:lang w:val="en-GB" w:eastAsia="en-GB"/>
        </w:rPr>
      </w:pPr>
    </w:p>
    <w:p w14:paraId="71FD3311" w14:textId="77777777" w:rsidR="00F42694" w:rsidRPr="00433C05" w:rsidRDefault="00F42694" w:rsidP="00C64F7C">
      <w:pPr>
        <w:pStyle w:val="Casehead2"/>
        <w:rPr>
          <w:lang w:val="en-GB" w:eastAsia="en-GB"/>
        </w:rPr>
      </w:pPr>
      <w:r w:rsidRPr="00433C05">
        <w:rPr>
          <w:lang w:val="en-GB" w:eastAsia="en-GB"/>
        </w:rPr>
        <w:t>Digital Platform Businesses and Network Externalities</w:t>
      </w:r>
    </w:p>
    <w:p w14:paraId="359C346C" w14:textId="77777777" w:rsidR="00F42694" w:rsidRPr="00433C05" w:rsidRDefault="00F42694" w:rsidP="00C56B53">
      <w:pPr>
        <w:jc w:val="both"/>
        <w:rPr>
          <w:sz w:val="22"/>
          <w:szCs w:val="22"/>
          <w:lang w:val="en-GB" w:eastAsia="en-GB"/>
        </w:rPr>
      </w:pPr>
    </w:p>
    <w:p w14:paraId="2329BCD3" w14:textId="4BE1E611" w:rsidR="00183637" w:rsidRPr="00433C05" w:rsidRDefault="00C56B53" w:rsidP="00C56B53">
      <w:pPr>
        <w:jc w:val="both"/>
        <w:rPr>
          <w:sz w:val="22"/>
          <w:szCs w:val="22"/>
          <w:lang w:val="en-GB" w:eastAsia="en-GB"/>
        </w:rPr>
      </w:pPr>
      <w:r w:rsidRPr="00433C05">
        <w:rPr>
          <w:sz w:val="22"/>
          <w:szCs w:val="22"/>
          <w:lang w:val="en-GB" w:eastAsia="en-GB"/>
        </w:rPr>
        <w:t>Network e</w:t>
      </w:r>
      <w:r w:rsidR="00B3515A" w:rsidRPr="00433C05">
        <w:rPr>
          <w:sz w:val="22"/>
          <w:szCs w:val="22"/>
          <w:lang w:val="en-GB" w:eastAsia="en-GB"/>
        </w:rPr>
        <w:t>xternalities</w:t>
      </w:r>
      <w:r w:rsidRPr="00433C05">
        <w:rPr>
          <w:sz w:val="22"/>
          <w:szCs w:val="22"/>
          <w:lang w:val="en-GB" w:eastAsia="en-GB"/>
        </w:rPr>
        <w:t xml:space="preserve"> referred to the incremental benefits </w:t>
      </w:r>
      <w:r w:rsidR="00A9190E">
        <w:rPr>
          <w:sz w:val="22"/>
          <w:szCs w:val="22"/>
          <w:lang w:val="en-GB" w:eastAsia="en-GB"/>
        </w:rPr>
        <w:t>that current</w:t>
      </w:r>
      <w:r w:rsidRPr="00433C05">
        <w:rPr>
          <w:sz w:val="22"/>
          <w:szCs w:val="22"/>
          <w:lang w:val="en-GB" w:eastAsia="en-GB"/>
        </w:rPr>
        <w:t xml:space="preserve"> users </w:t>
      </w:r>
      <w:r w:rsidR="00C035B9">
        <w:rPr>
          <w:sz w:val="22"/>
          <w:szCs w:val="22"/>
          <w:lang w:val="en-GB" w:eastAsia="en-GB"/>
        </w:rPr>
        <w:t>gained with</w:t>
      </w:r>
      <w:r w:rsidRPr="00433C05">
        <w:rPr>
          <w:sz w:val="22"/>
          <w:szCs w:val="22"/>
          <w:lang w:val="en-GB" w:eastAsia="en-GB"/>
        </w:rPr>
        <w:t xml:space="preserve"> each new user joining the network</w:t>
      </w:r>
      <w:r w:rsidR="00A9190E">
        <w:rPr>
          <w:sz w:val="22"/>
          <w:szCs w:val="22"/>
          <w:lang w:val="en-GB" w:eastAsia="en-GB"/>
        </w:rPr>
        <w:t>,</w:t>
      </w:r>
      <w:r w:rsidR="002B358D">
        <w:rPr>
          <w:sz w:val="22"/>
          <w:szCs w:val="22"/>
          <w:lang w:val="en-GB" w:eastAsia="en-GB"/>
        </w:rPr>
        <w:t xml:space="preserve"> </w:t>
      </w:r>
      <w:r w:rsidR="00A9190E">
        <w:rPr>
          <w:sz w:val="22"/>
          <w:szCs w:val="22"/>
          <w:lang w:val="en-GB" w:eastAsia="en-GB"/>
        </w:rPr>
        <w:t>and could be</w:t>
      </w:r>
      <w:r w:rsidRPr="00433C05">
        <w:rPr>
          <w:sz w:val="22"/>
          <w:szCs w:val="22"/>
          <w:lang w:val="en-GB" w:eastAsia="en-GB"/>
        </w:rPr>
        <w:t xml:space="preserve"> </w:t>
      </w:r>
      <w:r w:rsidR="00C035B9">
        <w:rPr>
          <w:sz w:val="22"/>
          <w:szCs w:val="22"/>
          <w:lang w:val="en-GB" w:eastAsia="en-GB"/>
        </w:rPr>
        <w:t>d</w:t>
      </w:r>
      <w:r w:rsidRPr="00433C05">
        <w:rPr>
          <w:sz w:val="22"/>
          <w:szCs w:val="22"/>
          <w:lang w:val="en-GB" w:eastAsia="en-GB"/>
        </w:rPr>
        <w:t xml:space="preserve">irect </w:t>
      </w:r>
      <w:r w:rsidR="00A9190E">
        <w:rPr>
          <w:sz w:val="22"/>
          <w:szCs w:val="22"/>
          <w:lang w:val="en-GB" w:eastAsia="en-GB"/>
        </w:rPr>
        <w:t>or</w:t>
      </w:r>
      <w:r w:rsidRPr="00433C05">
        <w:rPr>
          <w:sz w:val="22"/>
          <w:szCs w:val="22"/>
          <w:lang w:val="en-GB" w:eastAsia="en-GB"/>
        </w:rPr>
        <w:t xml:space="preserve"> </w:t>
      </w:r>
      <w:r w:rsidR="00C035B9">
        <w:rPr>
          <w:sz w:val="22"/>
          <w:szCs w:val="22"/>
          <w:lang w:val="en-GB" w:eastAsia="en-GB"/>
        </w:rPr>
        <w:t>i</w:t>
      </w:r>
      <w:r w:rsidRPr="00433C05">
        <w:rPr>
          <w:sz w:val="22"/>
          <w:szCs w:val="22"/>
          <w:lang w:val="en-GB" w:eastAsia="en-GB"/>
        </w:rPr>
        <w:t xml:space="preserve">ndirect. </w:t>
      </w:r>
      <w:r w:rsidR="00A9190E">
        <w:rPr>
          <w:sz w:val="22"/>
          <w:szCs w:val="22"/>
          <w:lang w:val="en-GB" w:eastAsia="en-GB"/>
        </w:rPr>
        <w:t>For example, t</w:t>
      </w:r>
      <w:r w:rsidRPr="00433C05">
        <w:rPr>
          <w:sz w:val="22"/>
          <w:szCs w:val="22"/>
          <w:lang w:val="en-GB" w:eastAsia="en-GB"/>
        </w:rPr>
        <w:t xml:space="preserve">he phone industry represented </w:t>
      </w:r>
      <w:r w:rsidRPr="00433C05">
        <w:rPr>
          <w:i/>
          <w:iCs/>
          <w:sz w:val="22"/>
          <w:szCs w:val="22"/>
          <w:lang w:val="en-GB" w:eastAsia="en-GB"/>
        </w:rPr>
        <w:t>direct network e</w:t>
      </w:r>
      <w:r w:rsidR="00B3515A" w:rsidRPr="00433C05">
        <w:rPr>
          <w:i/>
          <w:iCs/>
          <w:sz w:val="22"/>
          <w:szCs w:val="22"/>
          <w:lang w:val="en-GB" w:eastAsia="en-GB"/>
        </w:rPr>
        <w:t>xternalities</w:t>
      </w:r>
      <w:r w:rsidRPr="00433C05">
        <w:rPr>
          <w:sz w:val="22"/>
          <w:szCs w:val="22"/>
          <w:lang w:val="en-GB" w:eastAsia="en-GB"/>
        </w:rPr>
        <w:t>, where the value of the service went up simply as the number of users went up. Only when all family members, friends</w:t>
      </w:r>
      <w:r w:rsidR="00C035B9">
        <w:rPr>
          <w:sz w:val="22"/>
          <w:szCs w:val="22"/>
          <w:lang w:val="en-GB" w:eastAsia="en-GB"/>
        </w:rPr>
        <w:t>,</w:t>
      </w:r>
      <w:r w:rsidRPr="00433C05">
        <w:rPr>
          <w:sz w:val="22"/>
          <w:szCs w:val="22"/>
          <w:lang w:val="en-GB" w:eastAsia="en-GB"/>
        </w:rPr>
        <w:t xml:space="preserve"> and </w:t>
      </w:r>
      <w:r w:rsidR="00C035B9">
        <w:rPr>
          <w:sz w:val="22"/>
          <w:szCs w:val="22"/>
          <w:lang w:val="en-GB" w:eastAsia="en-GB"/>
        </w:rPr>
        <w:t>relevant</w:t>
      </w:r>
      <w:r w:rsidRPr="00433C05">
        <w:rPr>
          <w:sz w:val="22"/>
          <w:szCs w:val="22"/>
          <w:lang w:val="en-GB" w:eastAsia="en-GB"/>
        </w:rPr>
        <w:t xml:space="preserve"> network members </w:t>
      </w:r>
      <w:r w:rsidR="00C035B9">
        <w:rPr>
          <w:sz w:val="22"/>
          <w:szCs w:val="22"/>
          <w:lang w:val="en-GB" w:eastAsia="en-GB"/>
        </w:rPr>
        <w:t>also had</w:t>
      </w:r>
      <w:r w:rsidRPr="00433C05">
        <w:rPr>
          <w:sz w:val="22"/>
          <w:szCs w:val="22"/>
          <w:lang w:val="en-GB" w:eastAsia="en-GB"/>
        </w:rPr>
        <w:t xml:space="preserve"> a phone </w:t>
      </w:r>
      <w:r w:rsidR="00A9190E">
        <w:rPr>
          <w:sz w:val="22"/>
          <w:szCs w:val="22"/>
          <w:lang w:val="en-GB" w:eastAsia="en-GB"/>
        </w:rPr>
        <w:t>c</w:t>
      </w:r>
      <w:r w:rsidRPr="00433C05">
        <w:rPr>
          <w:sz w:val="22"/>
          <w:szCs w:val="22"/>
          <w:lang w:val="en-GB" w:eastAsia="en-GB"/>
        </w:rPr>
        <w:t xml:space="preserve">ould </w:t>
      </w:r>
      <w:r w:rsidR="00925080" w:rsidRPr="00433C05">
        <w:rPr>
          <w:sz w:val="22"/>
          <w:szCs w:val="22"/>
          <w:lang w:val="en-GB" w:eastAsia="en-GB"/>
        </w:rPr>
        <w:t>an individual user</w:t>
      </w:r>
      <w:r w:rsidRPr="00433C05">
        <w:rPr>
          <w:sz w:val="22"/>
          <w:szCs w:val="22"/>
          <w:lang w:val="en-GB" w:eastAsia="en-GB"/>
        </w:rPr>
        <w:t xml:space="preserve"> benefit from the phone service. </w:t>
      </w:r>
      <w:r w:rsidR="00C035B9">
        <w:rPr>
          <w:sz w:val="22"/>
          <w:szCs w:val="22"/>
          <w:lang w:val="en-GB" w:eastAsia="en-GB"/>
        </w:rPr>
        <w:t>On the other hand, d</w:t>
      </w:r>
      <w:r w:rsidR="00AB48FE" w:rsidRPr="00433C05">
        <w:rPr>
          <w:sz w:val="22"/>
          <w:szCs w:val="22"/>
          <w:lang w:val="en-GB" w:eastAsia="en-GB"/>
        </w:rPr>
        <w:t xml:space="preserve">igital platform </w:t>
      </w:r>
      <w:r w:rsidR="00C035B9">
        <w:rPr>
          <w:sz w:val="22"/>
          <w:szCs w:val="22"/>
          <w:lang w:val="en-GB" w:eastAsia="en-GB"/>
        </w:rPr>
        <w:t>businesses</w:t>
      </w:r>
      <w:r w:rsidR="00C035B9" w:rsidRPr="00433C05">
        <w:rPr>
          <w:sz w:val="22"/>
          <w:szCs w:val="22"/>
          <w:lang w:val="en-GB" w:eastAsia="en-GB"/>
        </w:rPr>
        <w:t xml:space="preserve"> represented </w:t>
      </w:r>
      <w:r w:rsidR="00C035B9" w:rsidRPr="00433C05">
        <w:rPr>
          <w:i/>
          <w:iCs/>
          <w:sz w:val="22"/>
          <w:szCs w:val="22"/>
          <w:lang w:val="en-GB" w:eastAsia="en-GB"/>
        </w:rPr>
        <w:t>indirect network externalities</w:t>
      </w:r>
      <w:r w:rsidRPr="00433C05">
        <w:rPr>
          <w:sz w:val="22"/>
          <w:szCs w:val="22"/>
          <w:lang w:val="en-GB" w:eastAsia="en-GB"/>
        </w:rPr>
        <w:t xml:space="preserve">, where two or more </w:t>
      </w:r>
      <w:r w:rsidR="00925080" w:rsidRPr="00433C05">
        <w:rPr>
          <w:sz w:val="22"/>
          <w:szCs w:val="22"/>
          <w:lang w:val="en-GB" w:eastAsia="en-GB"/>
        </w:rPr>
        <w:t xml:space="preserve">types of </w:t>
      </w:r>
      <w:r w:rsidRPr="00433C05">
        <w:rPr>
          <w:i/>
          <w:iCs/>
          <w:sz w:val="22"/>
          <w:szCs w:val="22"/>
          <w:lang w:val="en-GB" w:eastAsia="en-GB"/>
        </w:rPr>
        <w:t>user groups</w:t>
      </w:r>
      <w:r w:rsidRPr="00433C05">
        <w:rPr>
          <w:sz w:val="22"/>
          <w:szCs w:val="22"/>
          <w:lang w:val="en-GB" w:eastAsia="en-GB"/>
        </w:rPr>
        <w:t xml:space="preserve"> exchang</w:t>
      </w:r>
      <w:r w:rsidR="00C035B9">
        <w:rPr>
          <w:sz w:val="22"/>
          <w:szCs w:val="22"/>
          <w:lang w:val="en-GB" w:eastAsia="en-GB"/>
        </w:rPr>
        <w:t>ed</w:t>
      </w:r>
      <w:r w:rsidRPr="00433C05">
        <w:rPr>
          <w:sz w:val="22"/>
          <w:szCs w:val="22"/>
          <w:lang w:val="en-GB" w:eastAsia="en-GB"/>
        </w:rPr>
        <w:t xml:space="preserve"> value with </w:t>
      </w:r>
      <w:r w:rsidR="00C035B9">
        <w:rPr>
          <w:sz w:val="22"/>
          <w:szCs w:val="22"/>
          <w:lang w:val="en-GB" w:eastAsia="en-GB"/>
        </w:rPr>
        <w:t xml:space="preserve">each </w:t>
      </w:r>
      <w:r w:rsidRPr="00433C05">
        <w:rPr>
          <w:sz w:val="22"/>
          <w:szCs w:val="22"/>
          <w:lang w:val="en-GB" w:eastAsia="en-GB"/>
        </w:rPr>
        <w:t xml:space="preserve">other. With consumers and app developers representing the relevant user groups for app stores </w:t>
      </w:r>
      <w:r w:rsidR="00C035B9">
        <w:rPr>
          <w:sz w:val="22"/>
          <w:szCs w:val="22"/>
          <w:lang w:val="en-GB" w:eastAsia="en-GB"/>
        </w:rPr>
        <w:t>such as</w:t>
      </w:r>
      <w:r w:rsidRPr="00433C05">
        <w:rPr>
          <w:sz w:val="22"/>
          <w:szCs w:val="22"/>
          <w:lang w:val="en-GB" w:eastAsia="en-GB"/>
        </w:rPr>
        <w:t xml:space="preserve"> Google Play, an increase in the number of consumers increased the value of the network for the app developers</w:t>
      </w:r>
      <w:r w:rsidR="00C035B9">
        <w:rPr>
          <w:sz w:val="22"/>
          <w:szCs w:val="22"/>
          <w:lang w:val="en-GB" w:eastAsia="en-GB"/>
        </w:rPr>
        <w:t>,</w:t>
      </w:r>
      <w:r w:rsidRPr="00433C05">
        <w:rPr>
          <w:sz w:val="22"/>
          <w:szCs w:val="22"/>
          <w:lang w:val="en-GB" w:eastAsia="en-GB"/>
        </w:rPr>
        <w:t xml:space="preserve"> </w:t>
      </w:r>
      <w:r w:rsidR="00A9190E">
        <w:rPr>
          <w:sz w:val="22"/>
          <w:szCs w:val="22"/>
          <w:lang w:val="en-GB" w:eastAsia="en-GB"/>
        </w:rPr>
        <w:t>while</w:t>
      </w:r>
      <w:r w:rsidRPr="00433C05">
        <w:rPr>
          <w:sz w:val="22"/>
          <w:szCs w:val="22"/>
          <w:lang w:val="en-GB" w:eastAsia="en-GB"/>
        </w:rPr>
        <w:t xml:space="preserve"> </w:t>
      </w:r>
      <w:r w:rsidR="00A9190E">
        <w:rPr>
          <w:sz w:val="22"/>
          <w:szCs w:val="22"/>
          <w:lang w:val="en-GB" w:eastAsia="en-GB"/>
        </w:rPr>
        <w:t xml:space="preserve">an increase in </w:t>
      </w:r>
      <w:r w:rsidR="00C035B9">
        <w:rPr>
          <w:sz w:val="22"/>
          <w:szCs w:val="22"/>
          <w:lang w:val="en-GB" w:eastAsia="en-GB"/>
        </w:rPr>
        <w:t xml:space="preserve">app developers increased the value </w:t>
      </w:r>
      <w:r w:rsidR="00A9190E">
        <w:rPr>
          <w:sz w:val="22"/>
          <w:szCs w:val="22"/>
          <w:lang w:val="en-GB" w:eastAsia="en-GB"/>
        </w:rPr>
        <w:t>for consumers</w:t>
      </w:r>
      <w:r w:rsidRPr="00433C05">
        <w:rPr>
          <w:sz w:val="22"/>
          <w:szCs w:val="22"/>
          <w:lang w:val="en-GB" w:eastAsia="en-GB"/>
        </w:rPr>
        <w:t>.</w:t>
      </w:r>
      <w:r w:rsidRPr="00433C05">
        <w:rPr>
          <w:sz w:val="22"/>
          <w:szCs w:val="22"/>
          <w:vertAlign w:val="superscript"/>
          <w:lang w:val="en-GB" w:eastAsia="en-GB"/>
        </w:rPr>
        <w:endnoteReference w:id="64"/>
      </w:r>
      <w:r w:rsidRPr="00433C05">
        <w:rPr>
          <w:sz w:val="22"/>
          <w:szCs w:val="22"/>
          <w:lang w:val="en-GB" w:eastAsia="en-GB"/>
        </w:rPr>
        <w:t xml:space="preserve"> </w:t>
      </w:r>
    </w:p>
    <w:p w14:paraId="4282B4A3" w14:textId="77777777" w:rsidR="00183637" w:rsidRPr="00433C05" w:rsidRDefault="00183637" w:rsidP="00C56B53">
      <w:pPr>
        <w:jc w:val="both"/>
        <w:rPr>
          <w:sz w:val="22"/>
          <w:szCs w:val="22"/>
          <w:lang w:val="en-GB" w:eastAsia="en-GB"/>
        </w:rPr>
      </w:pPr>
    </w:p>
    <w:p w14:paraId="5ED7D3E1" w14:textId="2B1AB050" w:rsidR="00B3515A" w:rsidRPr="00433C05" w:rsidRDefault="00B3515A" w:rsidP="00C56B53">
      <w:pPr>
        <w:jc w:val="both"/>
        <w:rPr>
          <w:sz w:val="22"/>
          <w:szCs w:val="22"/>
          <w:lang w:val="en-GB" w:eastAsia="en-GB"/>
        </w:rPr>
      </w:pPr>
      <w:r w:rsidRPr="00433C05">
        <w:rPr>
          <w:sz w:val="22"/>
          <w:szCs w:val="22"/>
          <w:lang w:val="en-GB" w:eastAsia="en-GB"/>
        </w:rPr>
        <w:t>Such externalities could also be classified into within-country or cross-country externalities</w:t>
      </w:r>
      <w:r w:rsidR="00C035B9">
        <w:rPr>
          <w:sz w:val="22"/>
          <w:szCs w:val="22"/>
          <w:lang w:val="en-GB" w:eastAsia="en-GB"/>
        </w:rPr>
        <w:t>,</w:t>
      </w:r>
      <w:r w:rsidRPr="00433C05">
        <w:rPr>
          <w:sz w:val="22"/>
          <w:szCs w:val="22"/>
          <w:lang w:val="en-GB" w:eastAsia="en-GB"/>
        </w:rPr>
        <w:t xml:space="preserve"> based on </w:t>
      </w:r>
      <w:r w:rsidR="00566690">
        <w:rPr>
          <w:sz w:val="22"/>
          <w:szCs w:val="22"/>
          <w:lang w:val="en-GB" w:eastAsia="en-GB"/>
        </w:rPr>
        <w:t>their</w:t>
      </w:r>
      <w:r w:rsidR="00C035B9">
        <w:rPr>
          <w:sz w:val="22"/>
          <w:szCs w:val="22"/>
          <w:lang w:val="en-GB" w:eastAsia="en-GB"/>
        </w:rPr>
        <w:t xml:space="preserve"> location</w:t>
      </w:r>
      <w:r w:rsidRPr="00433C05">
        <w:rPr>
          <w:sz w:val="22"/>
          <w:szCs w:val="22"/>
          <w:lang w:val="en-GB" w:eastAsia="en-GB"/>
        </w:rPr>
        <w:t xml:space="preserve">. </w:t>
      </w:r>
      <w:r w:rsidR="0053299B" w:rsidRPr="00433C05">
        <w:rPr>
          <w:sz w:val="22"/>
          <w:szCs w:val="22"/>
          <w:lang w:val="en-GB" w:eastAsia="en-GB"/>
        </w:rPr>
        <w:t>Food delivery platforms</w:t>
      </w:r>
      <w:r w:rsidR="00C035B9">
        <w:rPr>
          <w:sz w:val="22"/>
          <w:szCs w:val="22"/>
          <w:lang w:val="en-GB" w:eastAsia="en-GB"/>
        </w:rPr>
        <w:t xml:space="preserve"> such </w:t>
      </w:r>
      <w:r w:rsidR="00C035B9" w:rsidRPr="00823C7D">
        <w:rPr>
          <w:sz w:val="22"/>
          <w:szCs w:val="22"/>
          <w:lang w:val="en-GB" w:eastAsia="en-GB"/>
        </w:rPr>
        <w:t>as</w:t>
      </w:r>
      <w:r w:rsidR="0053299B" w:rsidRPr="00C035B9">
        <w:rPr>
          <w:sz w:val="22"/>
          <w:szCs w:val="22"/>
          <w:lang w:val="en-GB" w:eastAsia="en-GB"/>
        </w:rPr>
        <w:t xml:space="preserve"> </w:t>
      </w:r>
      <w:r w:rsidR="0053299B" w:rsidRPr="00AA3E6F">
        <w:rPr>
          <w:sz w:val="22"/>
          <w:szCs w:val="22"/>
          <w:lang w:val="en-GB" w:eastAsia="en-GB"/>
        </w:rPr>
        <w:t>Just Eat</w:t>
      </w:r>
      <w:r w:rsidR="0053299B" w:rsidRPr="00823C7D">
        <w:rPr>
          <w:sz w:val="22"/>
          <w:szCs w:val="22"/>
          <w:lang w:val="en-GB" w:eastAsia="en-GB"/>
        </w:rPr>
        <w:t xml:space="preserve"> or the Indian </w:t>
      </w:r>
      <w:r w:rsidR="0053299B" w:rsidRPr="00AA3E6F">
        <w:rPr>
          <w:sz w:val="22"/>
          <w:szCs w:val="22"/>
          <w:lang w:val="en-GB" w:eastAsia="en-GB"/>
        </w:rPr>
        <w:t>Zomato</w:t>
      </w:r>
      <w:r w:rsidR="0053299B" w:rsidRPr="00823C7D">
        <w:rPr>
          <w:sz w:val="22"/>
          <w:szCs w:val="22"/>
          <w:lang w:val="en-GB" w:eastAsia="en-GB"/>
        </w:rPr>
        <w:t xml:space="preserve"> r</w:t>
      </w:r>
      <w:r w:rsidR="0053299B" w:rsidRPr="00433C05">
        <w:rPr>
          <w:sz w:val="22"/>
          <w:szCs w:val="22"/>
          <w:lang w:val="en-GB" w:eastAsia="en-GB"/>
        </w:rPr>
        <w:t xml:space="preserve">epresented </w:t>
      </w:r>
      <w:r w:rsidR="0053299B" w:rsidRPr="00433C05">
        <w:rPr>
          <w:i/>
          <w:iCs/>
          <w:sz w:val="22"/>
          <w:szCs w:val="22"/>
          <w:lang w:val="en-GB" w:eastAsia="en-GB"/>
        </w:rPr>
        <w:t>within country indirect network externalities</w:t>
      </w:r>
      <w:r w:rsidR="0053299B" w:rsidRPr="00433C05">
        <w:rPr>
          <w:sz w:val="22"/>
          <w:szCs w:val="22"/>
          <w:lang w:val="en-GB" w:eastAsia="en-GB"/>
        </w:rPr>
        <w:t xml:space="preserve"> </w:t>
      </w:r>
      <w:r w:rsidR="00C035B9">
        <w:rPr>
          <w:sz w:val="22"/>
          <w:szCs w:val="22"/>
          <w:lang w:val="en-GB" w:eastAsia="en-GB"/>
        </w:rPr>
        <w:t>because</w:t>
      </w:r>
      <w:r w:rsidR="0053299B" w:rsidRPr="00433C05">
        <w:rPr>
          <w:sz w:val="22"/>
          <w:szCs w:val="22"/>
          <w:lang w:val="en-GB" w:eastAsia="en-GB"/>
        </w:rPr>
        <w:t xml:space="preserve"> </w:t>
      </w:r>
      <w:r w:rsidR="00C035B9">
        <w:rPr>
          <w:sz w:val="22"/>
          <w:szCs w:val="22"/>
          <w:lang w:val="en-GB" w:eastAsia="en-GB"/>
        </w:rPr>
        <w:t xml:space="preserve">the </w:t>
      </w:r>
      <w:r w:rsidR="0053299B" w:rsidRPr="00433C05">
        <w:rPr>
          <w:sz w:val="22"/>
          <w:szCs w:val="22"/>
          <w:lang w:val="en-GB" w:eastAsia="en-GB"/>
        </w:rPr>
        <w:t xml:space="preserve">customers </w:t>
      </w:r>
      <w:r w:rsidR="00C035B9">
        <w:rPr>
          <w:sz w:val="22"/>
          <w:szCs w:val="22"/>
          <w:lang w:val="en-GB" w:eastAsia="en-GB"/>
        </w:rPr>
        <w:t>and</w:t>
      </w:r>
      <w:r w:rsidR="0053299B" w:rsidRPr="00433C05">
        <w:rPr>
          <w:sz w:val="22"/>
          <w:szCs w:val="22"/>
          <w:lang w:val="en-GB" w:eastAsia="en-GB"/>
        </w:rPr>
        <w:t xml:space="preserve"> restaurants in one country did not benefit from other customers</w:t>
      </w:r>
      <w:r w:rsidR="00C035B9">
        <w:rPr>
          <w:sz w:val="22"/>
          <w:szCs w:val="22"/>
          <w:lang w:val="en-GB" w:eastAsia="en-GB"/>
        </w:rPr>
        <w:t xml:space="preserve"> and </w:t>
      </w:r>
      <w:r w:rsidR="0053299B" w:rsidRPr="00433C05">
        <w:rPr>
          <w:sz w:val="22"/>
          <w:szCs w:val="22"/>
          <w:lang w:val="en-GB" w:eastAsia="en-GB"/>
        </w:rPr>
        <w:t xml:space="preserve">restaurants </w:t>
      </w:r>
      <w:r w:rsidR="00C035B9">
        <w:rPr>
          <w:sz w:val="22"/>
          <w:szCs w:val="22"/>
          <w:lang w:val="en-GB" w:eastAsia="en-GB"/>
        </w:rPr>
        <w:t xml:space="preserve">that </w:t>
      </w:r>
      <w:r w:rsidR="0053299B" w:rsidRPr="00433C05">
        <w:rPr>
          <w:sz w:val="22"/>
          <w:szCs w:val="22"/>
          <w:lang w:val="en-GB" w:eastAsia="en-GB"/>
        </w:rPr>
        <w:t>join</w:t>
      </w:r>
      <w:r w:rsidR="00C035B9">
        <w:rPr>
          <w:sz w:val="22"/>
          <w:szCs w:val="22"/>
          <w:lang w:val="en-GB" w:eastAsia="en-GB"/>
        </w:rPr>
        <w:t>ed</w:t>
      </w:r>
      <w:r w:rsidR="0053299B" w:rsidRPr="00433C05">
        <w:rPr>
          <w:sz w:val="22"/>
          <w:szCs w:val="22"/>
          <w:lang w:val="en-GB" w:eastAsia="en-GB"/>
        </w:rPr>
        <w:t xml:space="preserve"> the platform</w:t>
      </w:r>
      <w:r w:rsidR="00C035B9">
        <w:rPr>
          <w:sz w:val="22"/>
          <w:szCs w:val="22"/>
          <w:lang w:val="en-GB" w:eastAsia="en-GB"/>
        </w:rPr>
        <w:t>. However</w:t>
      </w:r>
      <w:r w:rsidR="00183637" w:rsidRPr="00433C05">
        <w:rPr>
          <w:sz w:val="22"/>
          <w:szCs w:val="22"/>
          <w:lang w:val="en-GB" w:eastAsia="en-GB"/>
        </w:rPr>
        <w:t xml:space="preserve">, dating platforms </w:t>
      </w:r>
      <w:r w:rsidR="00C035B9">
        <w:rPr>
          <w:sz w:val="22"/>
          <w:szCs w:val="22"/>
          <w:lang w:val="en-GB" w:eastAsia="en-GB"/>
        </w:rPr>
        <w:t>such as the US</w:t>
      </w:r>
      <w:r w:rsidR="00A9190E">
        <w:rPr>
          <w:sz w:val="22"/>
          <w:szCs w:val="22"/>
          <w:lang w:val="en-GB" w:eastAsia="en-GB"/>
        </w:rPr>
        <w:t>-based</w:t>
      </w:r>
      <w:r w:rsidR="00C035B9">
        <w:rPr>
          <w:sz w:val="22"/>
          <w:szCs w:val="22"/>
          <w:lang w:val="en-GB" w:eastAsia="en-GB"/>
        </w:rPr>
        <w:t xml:space="preserve"> app</w:t>
      </w:r>
      <w:r w:rsidR="00183637" w:rsidRPr="00433C05">
        <w:rPr>
          <w:sz w:val="22"/>
          <w:szCs w:val="22"/>
          <w:lang w:val="en-GB" w:eastAsia="en-GB"/>
        </w:rPr>
        <w:t xml:space="preserve"> Tinder or the Indian matrimonial platform </w:t>
      </w:r>
      <w:r w:rsidR="00183637" w:rsidRPr="00AA3E6F">
        <w:rPr>
          <w:sz w:val="22"/>
          <w:szCs w:val="22"/>
          <w:lang w:val="en-GB" w:eastAsia="en-GB"/>
        </w:rPr>
        <w:t>Shaadi.com</w:t>
      </w:r>
      <w:r w:rsidR="00183637" w:rsidRPr="00433C05">
        <w:rPr>
          <w:sz w:val="22"/>
          <w:szCs w:val="22"/>
          <w:lang w:val="en-GB" w:eastAsia="en-GB"/>
        </w:rPr>
        <w:t xml:space="preserve"> represented </w:t>
      </w:r>
      <w:r w:rsidR="00183637" w:rsidRPr="00433C05">
        <w:rPr>
          <w:i/>
          <w:iCs/>
          <w:sz w:val="22"/>
          <w:szCs w:val="22"/>
          <w:lang w:val="en-GB" w:eastAsia="en-GB"/>
        </w:rPr>
        <w:t>within-country direct network externalities</w:t>
      </w:r>
      <w:r w:rsidR="00183637" w:rsidRPr="00433C05">
        <w:rPr>
          <w:sz w:val="22"/>
          <w:szCs w:val="22"/>
          <w:lang w:val="en-GB" w:eastAsia="en-GB"/>
        </w:rPr>
        <w:t xml:space="preserve"> </w:t>
      </w:r>
      <w:r w:rsidR="00C035B9">
        <w:rPr>
          <w:sz w:val="22"/>
          <w:szCs w:val="22"/>
          <w:lang w:val="en-GB" w:eastAsia="en-GB"/>
        </w:rPr>
        <w:t>because</w:t>
      </w:r>
      <w:r w:rsidR="00183637" w:rsidRPr="00433C05">
        <w:rPr>
          <w:sz w:val="22"/>
          <w:szCs w:val="22"/>
          <w:lang w:val="en-GB" w:eastAsia="en-GB"/>
        </w:rPr>
        <w:t xml:space="preserve"> users </w:t>
      </w:r>
      <w:r w:rsidR="00C035B9">
        <w:rPr>
          <w:sz w:val="22"/>
          <w:szCs w:val="22"/>
          <w:lang w:val="en-GB" w:eastAsia="en-GB"/>
        </w:rPr>
        <w:t xml:space="preserve">were </w:t>
      </w:r>
      <w:r w:rsidR="00183637" w:rsidRPr="00433C05">
        <w:rPr>
          <w:sz w:val="22"/>
          <w:szCs w:val="22"/>
          <w:lang w:val="en-GB" w:eastAsia="en-GB"/>
        </w:rPr>
        <w:t xml:space="preserve">seeking partners from </w:t>
      </w:r>
      <w:r w:rsidR="00C035B9">
        <w:rPr>
          <w:sz w:val="22"/>
          <w:szCs w:val="22"/>
          <w:lang w:val="en-GB" w:eastAsia="en-GB"/>
        </w:rPr>
        <w:t xml:space="preserve">other users </w:t>
      </w:r>
      <w:r w:rsidR="00A9190E">
        <w:rPr>
          <w:sz w:val="22"/>
          <w:szCs w:val="22"/>
          <w:lang w:val="en-GB" w:eastAsia="en-GB"/>
        </w:rPr>
        <w:t xml:space="preserve">in </w:t>
      </w:r>
      <w:r w:rsidR="00183637" w:rsidRPr="00433C05">
        <w:rPr>
          <w:sz w:val="22"/>
          <w:szCs w:val="22"/>
          <w:lang w:val="en-GB" w:eastAsia="en-GB"/>
        </w:rPr>
        <w:t>their respective geographies</w:t>
      </w:r>
      <w:r w:rsidR="0053299B" w:rsidRPr="00433C05">
        <w:rPr>
          <w:sz w:val="22"/>
          <w:szCs w:val="22"/>
          <w:lang w:val="en-GB" w:eastAsia="en-GB"/>
        </w:rPr>
        <w:t xml:space="preserve">. App store platforms such as Google Play </w:t>
      </w:r>
      <w:r w:rsidR="00C035B9">
        <w:rPr>
          <w:sz w:val="22"/>
          <w:szCs w:val="22"/>
          <w:lang w:val="en-GB" w:eastAsia="en-GB"/>
        </w:rPr>
        <w:t>and</w:t>
      </w:r>
      <w:r w:rsidR="0053299B" w:rsidRPr="00433C05">
        <w:rPr>
          <w:sz w:val="22"/>
          <w:szCs w:val="22"/>
          <w:lang w:val="en-GB" w:eastAsia="en-GB"/>
        </w:rPr>
        <w:t xml:space="preserve"> Apple</w:t>
      </w:r>
      <w:r w:rsidR="00A9190E">
        <w:rPr>
          <w:sz w:val="22"/>
          <w:szCs w:val="22"/>
          <w:lang w:val="en-GB" w:eastAsia="en-GB"/>
        </w:rPr>
        <w:t>’s</w:t>
      </w:r>
      <w:r w:rsidR="00183637" w:rsidRPr="00433C05">
        <w:rPr>
          <w:sz w:val="22"/>
          <w:szCs w:val="22"/>
          <w:lang w:val="en-GB" w:eastAsia="en-GB"/>
        </w:rPr>
        <w:t xml:space="preserve"> </w:t>
      </w:r>
      <w:r w:rsidR="00A9190E">
        <w:rPr>
          <w:sz w:val="22"/>
          <w:szCs w:val="22"/>
          <w:lang w:val="en-GB" w:eastAsia="en-GB"/>
        </w:rPr>
        <w:t xml:space="preserve">App </w:t>
      </w:r>
      <w:r w:rsidR="00183637" w:rsidRPr="00433C05">
        <w:rPr>
          <w:sz w:val="22"/>
          <w:szCs w:val="22"/>
          <w:lang w:val="en-GB" w:eastAsia="en-GB"/>
        </w:rPr>
        <w:t>Store</w:t>
      </w:r>
      <w:r w:rsidR="00F1713A" w:rsidRPr="00433C05">
        <w:rPr>
          <w:sz w:val="22"/>
          <w:szCs w:val="22"/>
          <w:lang w:val="en-GB" w:eastAsia="en-GB"/>
        </w:rPr>
        <w:t xml:space="preserve"> </w:t>
      </w:r>
      <w:r w:rsidR="00AB48FE" w:rsidRPr="00433C05">
        <w:rPr>
          <w:sz w:val="22"/>
          <w:szCs w:val="22"/>
          <w:lang w:val="en-GB" w:eastAsia="en-GB"/>
        </w:rPr>
        <w:t>combined</w:t>
      </w:r>
      <w:r w:rsidR="0053299B" w:rsidRPr="00433C05">
        <w:rPr>
          <w:sz w:val="22"/>
          <w:szCs w:val="22"/>
          <w:lang w:val="en-GB" w:eastAsia="en-GB"/>
        </w:rPr>
        <w:t xml:space="preserve"> both </w:t>
      </w:r>
      <w:r w:rsidR="0053299B" w:rsidRPr="00433C05">
        <w:rPr>
          <w:i/>
          <w:iCs/>
          <w:sz w:val="22"/>
          <w:szCs w:val="22"/>
          <w:lang w:val="en-GB" w:eastAsia="en-GB"/>
        </w:rPr>
        <w:t>cross-country direct and indirect network externalities</w:t>
      </w:r>
      <w:r w:rsidR="0053299B" w:rsidRPr="00433C05">
        <w:rPr>
          <w:sz w:val="22"/>
          <w:szCs w:val="22"/>
          <w:lang w:val="en-GB" w:eastAsia="en-GB"/>
        </w:rPr>
        <w:t xml:space="preserve">. </w:t>
      </w:r>
      <w:r w:rsidR="00743CB5">
        <w:rPr>
          <w:sz w:val="22"/>
          <w:szCs w:val="22"/>
          <w:lang w:val="en-GB" w:eastAsia="en-GB"/>
        </w:rPr>
        <w:t>C</w:t>
      </w:r>
      <w:r w:rsidR="00183637" w:rsidRPr="00433C05">
        <w:rPr>
          <w:sz w:val="22"/>
          <w:szCs w:val="22"/>
          <w:lang w:val="en-GB" w:eastAsia="en-GB"/>
        </w:rPr>
        <w:t xml:space="preserve">ross-country direct network externalities </w:t>
      </w:r>
      <w:r w:rsidR="00AB48FE" w:rsidRPr="00433C05">
        <w:rPr>
          <w:sz w:val="22"/>
          <w:szCs w:val="22"/>
          <w:lang w:val="en-GB" w:eastAsia="en-GB"/>
        </w:rPr>
        <w:t xml:space="preserve">could be seen in the </w:t>
      </w:r>
      <w:r w:rsidR="00183637" w:rsidRPr="00433C05">
        <w:rPr>
          <w:sz w:val="22"/>
          <w:szCs w:val="22"/>
          <w:lang w:val="en-GB" w:eastAsia="en-GB"/>
        </w:rPr>
        <w:t xml:space="preserve">increasing number of </w:t>
      </w:r>
      <w:r w:rsidR="00743CB5">
        <w:rPr>
          <w:sz w:val="22"/>
          <w:szCs w:val="22"/>
          <w:lang w:val="en-GB" w:eastAsia="en-GB"/>
        </w:rPr>
        <w:t>entrants in</w:t>
      </w:r>
      <w:r w:rsidR="00183637" w:rsidRPr="00433C05">
        <w:rPr>
          <w:sz w:val="22"/>
          <w:szCs w:val="22"/>
          <w:lang w:val="en-GB" w:eastAsia="en-GB"/>
        </w:rPr>
        <w:t xml:space="preserve"> multi-player online gaming platforms</w:t>
      </w:r>
      <w:r w:rsidR="00AB48FE" w:rsidRPr="00433C05">
        <w:rPr>
          <w:sz w:val="22"/>
          <w:szCs w:val="22"/>
          <w:lang w:val="en-GB" w:eastAsia="en-GB"/>
        </w:rPr>
        <w:t>, wh</w:t>
      </w:r>
      <w:r w:rsidR="00743CB5">
        <w:rPr>
          <w:sz w:val="22"/>
          <w:szCs w:val="22"/>
          <w:lang w:val="en-GB" w:eastAsia="en-GB"/>
        </w:rPr>
        <w:t>ereas</w:t>
      </w:r>
      <w:r w:rsidR="00183637" w:rsidRPr="00433C05">
        <w:rPr>
          <w:sz w:val="22"/>
          <w:szCs w:val="22"/>
          <w:lang w:val="en-GB" w:eastAsia="en-GB"/>
        </w:rPr>
        <w:t xml:space="preserve"> </w:t>
      </w:r>
      <w:r w:rsidR="00C85E15" w:rsidRPr="00433C05">
        <w:rPr>
          <w:sz w:val="22"/>
          <w:szCs w:val="22"/>
          <w:lang w:val="en-GB" w:eastAsia="en-GB"/>
        </w:rPr>
        <w:t xml:space="preserve">cross-country </w:t>
      </w:r>
      <w:r w:rsidR="0053299B" w:rsidRPr="00433C05">
        <w:rPr>
          <w:sz w:val="22"/>
          <w:szCs w:val="22"/>
          <w:lang w:val="en-GB" w:eastAsia="en-GB"/>
        </w:rPr>
        <w:t xml:space="preserve">indirect network </w:t>
      </w:r>
      <w:r w:rsidR="00C85E15" w:rsidRPr="00433C05">
        <w:rPr>
          <w:sz w:val="22"/>
          <w:szCs w:val="22"/>
          <w:lang w:val="en-GB" w:eastAsia="en-GB"/>
        </w:rPr>
        <w:t>externalities</w:t>
      </w:r>
      <w:r w:rsidR="00183637" w:rsidRPr="00433C05">
        <w:rPr>
          <w:sz w:val="22"/>
          <w:szCs w:val="22"/>
          <w:lang w:val="en-GB" w:eastAsia="en-GB"/>
        </w:rPr>
        <w:t xml:space="preserve"> resulted when </w:t>
      </w:r>
      <w:r w:rsidR="00743CB5">
        <w:rPr>
          <w:sz w:val="22"/>
          <w:szCs w:val="22"/>
          <w:lang w:val="en-GB" w:eastAsia="en-GB"/>
        </w:rPr>
        <w:t>o</w:t>
      </w:r>
      <w:r w:rsidR="00183637" w:rsidRPr="00433C05">
        <w:rPr>
          <w:sz w:val="22"/>
          <w:szCs w:val="22"/>
          <w:lang w:val="en-GB" w:eastAsia="en-GB"/>
        </w:rPr>
        <w:t>ther</w:t>
      </w:r>
      <w:r w:rsidR="0053299B" w:rsidRPr="00433C05">
        <w:rPr>
          <w:sz w:val="22"/>
          <w:szCs w:val="22"/>
          <w:lang w:val="en-GB" w:eastAsia="en-GB"/>
        </w:rPr>
        <w:t xml:space="preserve"> </w:t>
      </w:r>
      <w:r w:rsidR="00743CB5">
        <w:rPr>
          <w:sz w:val="22"/>
          <w:szCs w:val="22"/>
          <w:lang w:val="en-GB" w:eastAsia="en-GB"/>
        </w:rPr>
        <w:t>a</w:t>
      </w:r>
      <w:r w:rsidR="00C85E15" w:rsidRPr="00433C05">
        <w:rPr>
          <w:sz w:val="22"/>
          <w:szCs w:val="22"/>
          <w:lang w:val="en-GB" w:eastAsia="en-GB"/>
        </w:rPr>
        <w:t>pp developers sold complementary</w:t>
      </w:r>
      <w:r w:rsidRPr="00433C05">
        <w:rPr>
          <w:sz w:val="22"/>
          <w:szCs w:val="22"/>
          <w:lang w:val="en-GB" w:eastAsia="en-GB"/>
        </w:rPr>
        <w:t xml:space="preserve"> software </w:t>
      </w:r>
      <w:r w:rsidR="00195F3C" w:rsidRPr="00433C05">
        <w:rPr>
          <w:sz w:val="22"/>
          <w:szCs w:val="22"/>
          <w:lang w:val="en-GB" w:eastAsia="en-GB"/>
        </w:rPr>
        <w:t xml:space="preserve">applications </w:t>
      </w:r>
      <w:r w:rsidR="00195F3C" w:rsidRPr="00433C05">
        <w:rPr>
          <w:i/>
          <w:iCs/>
          <w:sz w:val="22"/>
          <w:szCs w:val="22"/>
          <w:lang w:val="en-GB" w:eastAsia="en-GB"/>
        </w:rPr>
        <w:t>globally</w:t>
      </w:r>
      <w:r w:rsidR="00195F3C" w:rsidRPr="00433C05">
        <w:rPr>
          <w:sz w:val="22"/>
          <w:szCs w:val="22"/>
          <w:lang w:val="en-GB" w:eastAsia="en-GB"/>
        </w:rPr>
        <w:t xml:space="preserve">. </w:t>
      </w:r>
      <w:r w:rsidR="0053299B" w:rsidRPr="00433C05">
        <w:rPr>
          <w:sz w:val="22"/>
          <w:szCs w:val="22"/>
          <w:lang w:val="en-GB" w:eastAsia="en-GB"/>
        </w:rPr>
        <w:t>App u</w:t>
      </w:r>
      <w:r w:rsidR="00195F3C" w:rsidRPr="00433C05">
        <w:rPr>
          <w:sz w:val="22"/>
          <w:szCs w:val="22"/>
          <w:lang w:val="en-GB" w:eastAsia="en-GB"/>
        </w:rPr>
        <w:t xml:space="preserve">sers </w:t>
      </w:r>
      <w:r w:rsidR="0053299B" w:rsidRPr="00433C05">
        <w:rPr>
          <w:sz w:val="22"/>
          <w:szCs w:val="22"/>
          <w:lang w:val="en-GB" w:eastAsia="en-GB"/>
        </w:rPr>
        <w:t xml:space="preserve">on these </w:t>
      </w:r>
      <w:r w:rsidR="00195F3C" w:rsidRPr="00433C05">
        <w:rPr>
          <w:sz w:val="22"/>
          <w:szCs w:val="22"/>
          <w:lang w:val="en-GB" w:eastAsia="en-GB"/>
        </w:rPr>
        <w:t>platforms could benefit from the existing global user base</w:t>
      </w:r>
      <w:r w:rsidR="00743CB5">
        <w:rPr>
          <w:sz w:val="22"/>
          <w:szCs w:val="22"/>
          <w:lang w:val="en-GB" w:eastAsia="en-GB"/>
        </w:rPr>
        <w:t>, while</w:t>
      </w:r>
      <w:r w:rsidR="0053299B" w:rsidRPr="00433C05">
        <w:rPr>
          <w:sz w:val="22"/>
          <w:szCs w:val="22"/>
          <w:lang w:val="en-GB" w:eastAsia="en-GB"/>
        </w:rPr>
        <w:t xml:space="preserve"> the growth of the </w:t>
      </w:r>
      <w:r w:rsidR="00743CB5">
        <w:rPr>
          <w:sz w:val="22"/>
          <w:szCs w:val="22"/>
          <w:lang w:val="en-GB" w:eastAsia="en-GB"/>
        </w:rPr>
        <w:t>user base helped</w:t>
      </w:r>
      <w:r w:rsidR="0053299B" w:rsidRPr="00433C05">
        <w:rPr>
          <w:sz w:val="22"/>
          <w:szCs w:val="22"/>
          <w:lang w:val="en-GB" w:eastAsia="en-GB"/>
        </w:rPr>
        <w:t xml:space="preserve"> stimulate further </w:t>
      </w:r>
      <w:r w:rsidR="00743CB5">
        <w:rPr>
          <w:sz w:val="22"/>
          <w:szCs w:val="22"/>
          <w:lang w:val="en-GB" w:eastAsia="en-GB"/>
        </w:rPr>
        <w:t xml:space="preserve">app </w:t>
      </w:r>
      <w:r w:rsidR="0053299B" w:rsidRPr="00433C05">
        <w:rPr>
          <w:sz w:val="22"/>
          <w:szCs w:val="22"/>
          <w:lang w:val="en-GB" w:eastAsia="en-GB"/>
        </w:rPr>
        <w:t>development</w:t>
      </w:r>
      <w:r w:rsidR="00183637" w:rsidRPr="00433C05">
        <w:rPr>
          <w:sz w:val="22"/>
          <w:szCs w:val="22"/>
          <w:lang w:val="en-GB" w:eastAsia="en-GB"/>
        </w:rPr>
        <w:t>.</w:t>
      </w:r>
      <w:r w:rsidR="00183637" w:rsidRPr="00433C05">
        <w:rPr>
          <w:rStyle w:val="EndnoteReference"/>
          <w:sz w:val="22"/>
          <w:szCs w:val="22"/>
          <w:lang w:val="en-GB" w:eastAsia="en-GB"/>
        </w:rPr>
        <w:endnoteReference w:id="65"/>
      </w:r>
      <w:r w:rsidRPr="00433C05">
        <w:rPr>
          <w:sz w:val="22"/>
          <w:szCs w:val="22"/>
          <w:lang w:val="en-GB" w:eastAsia="en-GB"/>
        </w:rPr>
        <w:t xml:space="preserve"> </w:t>
      </w:r>
    </w:p>
    <w:p w14:paraId="239DE8B9" w14:textId="77777777" w:rsidR="00C56B53" w:rsidRPr="00433C05" w:rsidRDefault="00C56B53" w:rsidP="00A36B54">
      <w:pPr>
        <w:jc w:val="both"/>
        <w:rPr>
          <w:sz w:val="22"/>
          <w:szCs w:val="22"/>
          <w:lang w:val="en-GB" w:eastAsia="en-GB"/>
        </w:rPr>
      </w:pPr>
    </w:p>
    <w:p w14:paraId="754E1FD9" w14:textId="07480B4F" w:rsidR="00566690" w:rsidRDefault="00AB48FE" w:rsidP="00C64F7C">
      <w:pPr>
        <w:pStyle w:val="BodyTextMain"/>
        <w:rPr>
          <w:lang w:val="en-GB"/>
        </w:rPr>
      </w:pPr>
      <w:r w:rsidRPr="00433C05">
        <w:rPr>
          <w:lang w:val="en-GB"/>
        </w:rPr>
        <w:t xml:space="preserve">Digital platform businesses based on network externalities had </w:t>
      </w:r>
      <w:r w:rsidR="005F0D5B">
        <w:rPr>
          <w:lang w:val="en-GB"/>
        </w:rPr>
        <w:t>three</w:t>
      </w:r>
      <w:r w:rsidRPr="00433C05">
        <w:rPr>
          <w:lang w:val="en-GB"/>
        </w:rPr>
        <w:t xml:space="preserve"> unique features. </w:t>
      </w:r>
      <w:r w:rsidR="00743CB5">
        <w:rPr>
          <w:lang w:val="en-GB"/>
        </w:rPr>
        <w:t>First</w:t>
      </w:r>
      <w:r w:rsidR="00F42694" w:rsidRPr="00433C05">
        <w:rPr>
          <w:lang w:val="en-GB"/>
        </w:rPr>
        <w:t>, t</w:t>
      </w:r>
      <w:r w:rsidRPr="00433C05">
        <w:rPr>
          <w:lang w:val="en-GB"/>
        </w:rPr>
        <w:t xml:space="preserve">he cost for the user groups outweighed the value from joining the network </w:t>
      </w:r>
      <w:r w:rsidR="00743CB5">
        <w:rPr>
          <w:lang w:val="en-GB"/>
        </w:rPr>
        <w:t>until</w:t>
      </w:r>
      <w:r w:rsidRPr="00433C05">
        <w:rPr>
          <w:lang w:val="en-GB"/>
        </w:rPr>
        <w:t xml:space="preserve"> the network attain</w:t>
      </w:r>
      <w:r w:rsidR="00743CB5">
        <w:rPr>
          <w:lang w:val="en-GB"/>
        </w:rPr>
        <w:t>ed</w:t>
      </w:r>
      <w:r w:rsidRPr="00433C05">
        <w:rPr>
          <w:lang w:val="en-GB"/>
        </w:rPr>
        <w:t xml:space="preserve"> a critical mass.</w:t>
      </w:r>
      <w:r w:rsidR="00F42694" w:rsidRPr="00433C05">
        <w:rPr>
          <w:lang w:val="en-GB"/>
        </w:rPr>
        <w:t xml:space="preserve"> </w:t>
      </w:r>
      <w:r w:rsidR="00743CB5">
        <w:rPr>
          <w:lang w:val="en-GB"/>
        </w:rPr>
        <w:t>After that point,</w:t>
      </w:r>
      <w:r w:rsidR="00F42694" w:rsidRPr="00433C05">
        <w:rPr>
          <w:lang w:val="en-GB"/>
        </w:rPr>
        <w:t xml:space="preserve"> the network</w:t>
      </w:r>
      <w:r w:rsidRPr="00433C05">
        <w:rPr>
          <w:lang w:val="en-GB"/>
        </w:rPr>
        <w:t xml:space="preserve"> </w:t>
      </w:r>
      <w:r w:rsidR="00743CB5">
        <w:rPr>
          <w:lang w:val="en-GB"/>
        </w:rPr>
        <w:t>was able</w:t>
      </w:r>
      <w:r w:rsidRPr="00433C05">
        <w:rPr>
          <w:lang w:val="en-GB"/>
        </w:rPr>
        <w:t xml:space="preserve"> to deliver greater value than the cost of joining the network. </w:t>
      </w:r>
      <w:r w:rsidR="00743CB5">
        <w:rPr>
          <w:lang w:val="en-GB"/>
        </w:rPr>
        <w:t>Therefore</w:t>
      </w:r>
      <w:r w:rsidRPr="00433C05">
        <w:rPr>
          <w:lang w:val="en-GB"/>
        </w:rPr>
        <w:t xml:space="preserve">, these </w:t>
      </w:r>
      <w:r w:rsidR="00743CB5">
        <w:rPr>
          <w:lang w:val="en-GB"/>
        </w:rPr>
        <w:t>companies had</w:t>
      </w:r>
      <w:r w:rsidRPr="00433C05">
        <w:rPr>
          <w:lang w:val="en-GB"/>
        </w:rPr>
        <w:t xml:space="preserve"> to grow user groups through incentivi</w:t>
      </w:r>
      <w:r w:rsidR="004C26B9" w:rsidRPr="00433C05">
        <w:rPr>
          <w:lang w:val="en-GB"/>
        </w:rPr>
        <w:t>z</w:t>
      </w:r>
      <w:r w:rsidRPr="00433C05">
        <w:rPr>
          <w:lang w:val="en-GB"/>
        </w:rPr>
        <w:t xml:space="preserve">ing and promoting early usage through initial referral fees </w:t>
      </w:r>
      <w:r w:rsidR="00743CB5">
        <w:rPr>
          <w:lang w:val="en-GB"/>
        </w:rPr>
        <w:t>and other means</w:t>
      </w:r>
      <w:r w:rsidRPr="00433C05">
        <w:rPr>
          <w:lang w:val="en-GB"/>
        </w:rPr>
        <w:t xml:space="preserve">. As </w:t>
      </w:r>
      <w:r w:rsidR="00743CB5">
        <w:rPr>
          <w:lang w:val="en-GB"/>
        </w:rPr>
        <w:t>one</w:t>
      </w:r>
      <w:r w:rsidRPr="00433C05">
        <w:rPr>
          <w:lang w:val="en-GB"/>
        </w:rPr>
        <w:t xml:space="preserve"> analyst noted, “In a platform’s early days, there’s a chicken and egg problem</w:t>
      </w:r>
      <w:r w:rsidR="00A9190E">
        <w:rPr>
          <w:lang w:val="en-GB"/>
        </w:rPr>
        <w:t>—</w:t>
      </w:r>
      <w:r w:rsidRPr="00433C05">
        <w:rPr>
          <w:lang w:val="en-GB"/>
        </w:rPr>
        <w:t>consumers only want to be on a platform with an existing network of producers, and vice versa</w:t>
      </w:r>
      <w:r w:rsidR="00743CB5">
        <w:rPr>
          <w:lang w:val="en-GB"/>
        </w:rPr>
        <w:t>.</w:t>
      </w:r>
      <w:r w:rsidRPr="00433C05">
        <w:rPr>
          <w:lang w:val="en-GB"/>
        </w:rPr>
        <w:t>”</w:t>
      </w:r>
      <w:r w:rsidR="00F42694" w:rsidRPr="00433C05">
        <w:rPr>
          <w:lang w:val="en-GB"/>
        </w:rPr>
        <w:t xml:space="preserve"> </w:t>
      </w:r>
    </w:p>
    <w:p w14:paraId="20B7BF3F" w14:textId="77777777" w:rsidR="00566690" w:rsidRDefault="00566690" w:rsidP="00C64F7C">
      <w:pPr>
        <w:pStyle w:val="BodyTextMain"/>
        <w:rPr>
          <w:lang w:val="en-GB"/>
        </w:rPr>
      </w:pPr>
    </w:p>
    <w:p w14:paraId="3504D130" w14:textId="4D60CDD6" w:rsidR="00AB48FE" w:rsidRPr="00433C05" w:rsidRDefault="00743CB5" w:rsidP="00C64F7C">
      <w:pPr>
        <w:pStyle w:val="BodyTextMain"/>
        <w:rPr>
          <w:lang w:val="en-GB" w:eastAsia="en-GB"/>
        </w:rPr>
      </w:pPr>
      <w:r>
        <w:rPr>
          <w:lang w:val="en-GB"/>
        </w:rPr>
        <w:t>Second</w:t>
      </w:r>
      <w:r w:rsidR="00F42694" w:rsidRPr="00433C05">
        <w:rPr>
          <w:lang w:val="en-GB"/>
        </w:rPr>
        <w:t xml:space="preserve">, </w:t>
      </w:r>
      <w:r w:rsidR="00F42694" w:rsidRPr="00433C05">
        <w:rPr>
          <w:lang w:val="en-GB" w:eastAsia="en-GB"/>
        </w:rPr>
        <w:t>digital p</w:t>
      </w:r>
      <w:r w:rsidR="00AB48FE" w:rsidRPr="00433C05">
        <w:rPr>
          <w:lang w:val="en-GB" w:eastAsia="en-GB"/>
        </w:rPr>
        <w:t>latform businesses differed from traditional non-platform businesses (called linear businesses) in the shape of their cost curves. As traditional businesses scaled up, the</w:t>
      </w:r>
      <w:r>
        <w:rPr>
          <w:lang w:val="en-GB" w:eastAsia="en-GB"/>
        </w:rPr>
        <w:t>ir</w:t>
      </w:r>
      <w:r w:rsidR="00AB48FE" w:rsidRPr="00433C05">
        <w:rPr>
          <w:lang w:val="en-GB" w:eastAsia="en-GB"/>
        </w:rPr>
        <w:t xml:space="preserve"> per</w:t>
      </w:r>
      <w:r w:rsidR="00E971EB">
        <w:rPr>
          <w:lang w:val="en-GB" w:eastAsia="en-GB"/>
        </w:rPr>
        <w:t>-</w:t>
      </w:r>
      <w:r w:rsidR="00AB48FE" w:rsidRPr="00433C05">
        <w:rPr>
          <w:lang w:val="en-GB" w:eastAsia="en-GB"/>
        </w:rPr>
        <w:t xml:space="preserve">unit average costs </w:t>
      </w:r>
      <w:r>
        <w:rPr>
          <w:lang w:val="en-GB" w:eastAsia="en-GB"/>
        </w:rPr>
        <w:t xml:space="preserve">at </w:t>
      </w:r>
      <w:r w:rsidR="00AB48FE" w:rsidRPr="00433C05">
        <w:rPr>
          <w:lang w:val="en-GB" w:eastAsia="en-GB"/>
        </w:rPr>
        <w:t>first decreased, followed by increasing costs per unit, leading to U-shaped cost curves.</w:t>
      </w:r>
      <w:r w:rsidR="00AB48FE" w:rsidRPr="00433C05">
        <w:rPr>
          <w:vertAlign w:val="superscript"/>
          <w:lang w:val="en-GB" w:eastAsia="en-GB"/>
        </w:rPr>
        <w:endnoteReference w:id="66"/>
      </w:r>
      <w:r w:rsidR="00AB48FE" w:rsidRPr="00433C05">
        <w:rPr>
          <w:lang w:val="en-GB" w:eastAsia="en-GB"/>
        </w:rPr>
        <w:t xml:space="preserve"> </w:t>
      </w:r>
      <w:r w:rsidR="00F42694" w:rsidRPr="00433C05">
        <w:rPr>
          <w:lang w:val="en-GB" w:eastAsia="en-GB"/>
        </w:rPr>
        <w:t xml:space="preserve">Digital </w:t>
      </w:r>
      <w:r w:rsidR="00AB48FE" w:rsidRPr="00433C05">
        <w:rPr>
          <w:lang w:val="en-GB" w:eastAsia="en-GB"/>
        </w:rPr>
        <w:t xml:space="preserve">Platform businesses, on the other hand, experienced a logarithmic reduction in costs per unit, leading to continuously declining average cost curves. The difference </w:t>
      </w:r>
      <w:r>
        <w:rPr>
          <w:lang w:val="en-GB" w:eastAsia="en-GB"/>
        </w:rPr>
        <w:t>was due to</w:t>
      </w:r>
      <w:r w:rsidR="00AB48FE" w:rsidRPr="00433C05">
        <w:rPr>
          <w:lang w:val="en-GB" w:eastAsia="en-GB"/>
        </w:rPr>
        <w:t xml:space="preserve"> traditional businesses need</w:t>
      </w:r>
      <w:r>
        <w:rPr>
          <w:lang w:val="en-GB" w:eastAsia="en-GB"/>
        </w:rPr>
        <w:t>ing</w:t>
      </w:r>
      <w:r w:rsidR="00AB48FE" w:rsidRPr="00433C05">
        <w:rPr>
          <w:lang w:val="en-GB" w:eastAsia="en-GB"/>
        </w:rPr>
        <w:t xml:space="preserve"> to acquire assets and expand capacity to grow, </w:t>
      </w:r>
      <w:r>
        <w:rPr>
          <w:lang w:val="en-GB" w:eastAsia="en-GB"/>
        </w:rPr>
        <w:t xml:space="preserve">whereas </w:t>
      </w:r>
      <w:r w:rsidR="00F42694" w:rsidRPr="00433C05">
        <w:rPr>
          <w:lang w:val="en-GB" w:eastAsia="en-GB"/>
        </w:rPr>
        <w:t xml:space="preserve">digital </w:t>
      </w:r>
      <w:r w:rsidR="00AB48FE" w:rsidRPr="00433C05">
        <w:rPr>
          <w:lang w:val="en-GB" w:eastAsia="en-GB"/>
        </w:rPr>
        <w:t xml:space="preserve">platform businesses needed to acquire more users for growth, </w:t>
      </w:r>
      <w:r w:rsidR="00AB48FE" w:rsidRPr="00433C05">
        <w:rPr>
          <w:lang w:val="en-GB" w:eastAsia="en-GB"/>
        </w:rPr>
        <w:lastRenderedPageBreak/>
        <w:t xml:space="preserve">entailing </w:t>
      </w:r>
      <w:r w:rsidR="005F0D5B">
        <w:rPr>
          <w:lang w:val="en-GB" w:eastAsia="en-GB"/>
        </w:rPr>
        <w:t xml:space="preserve">a </w:t>
      </w:r>
      <w:r w:rsidR="00AB48FE" w:rsidRPr="00433C05">
        <w:rPr>
          <w:lang w:val="en-GB" w:eastAsia="en-GB"/>
        </w:rPr>
        <w:t>near</w:t>
      </w:r>
      <w:r w:rsidR="00E971EB">
        <w:rPr>
          <w:lang w:val="en-GB" w:eastAsia="en-GB"/>
        </w:rPr>
        <w:t>-</w:t>
      </w:r>
      <w:r w:rsidR="00AB48FE" w:rsidRPr="00433C05">
        <w:rPr>
          <w:lang w:val="en-GB" w:eastAsia="en-GB"/>
        </w:rPr>
        <w:t>zero</w:t>
      </w:r>
      <w:r w:rsidR="00E971EB">
        <w:rPr>
          <w:lang w:val="en-GB" w:eastAsia="en-GB"/>
        </w:rPr>
        <w:t xml:space="preserve"> </w:t>
      </w:r>
      <w:r w:rsidR="00AB48FE" w:rsidRPr="00433C05">
        <w:rPr>
          <w:lang w:val="en-GB" w:eastAsia="en-GB"/>
        </w:rPr>
        <w:t xml:space="preserve">cost. </w:t>
      </w:r>
      <w:r w:rsidR="00F42694" w:rsidRPr="00433C05">
        <w:rPr>
          <w:lang w:val="en-GB" w:eastAsia="en-GB"/>
        </w:rPr>
        <w:t>Th</w:t>
      </w:r>
      <w:r>
        <w:rPr>
          <w:lang w:val="en-GB" w:eastAsia="en-GB"/>
        </w:rPr>
        <w:t>i</w:t>
      </w:r>
      <w:r w:rsidR="00F42694" w:rsidRPr="00433C05">
        <w:rPr>
          <w:lang w:val="en-GB" w:eastAsia="en-GB"/>
        </w:rPr>
        <w:t>r</w:t>
      </w:r>
      <w:r>
        <w:rPr>
          <w:lang w:val="en-GB" w:eastAsia="en-GB"/>
        </w:rPr>
        <w:t>d</w:t>
      </w:r>
      <w:r w:rsidR="00F42694" w:rsidRPr="00433C05">
        <w:rPr>
          <w:lang w:val="en-GB" w:eastAsia="en-GB"/>
        </w:rPr>
        <w:t>, digital p</w:t>
      </w:r>
      <w:r w:rsidR="00AB48FE" w:rsidRPr="00433C05">
        <w:rPr>
          <w:lang w:val="en-GB" w:eastAsia="en-GB"/>
        </w:rPr>
        <w:t>latform businesses also had near-zero marginal distribution costs</w:t>
      </w:r>
      <w:r w:rsidR="005F0D5B">
        <w:rPr>
          <w:lang w:val="en-GB" w:eastAsia="en-GB"/>
        </w:rPr>
        <w:t>. A</w:t>
      </w:r>
      <w:r>
        <w:rPr>
          <w:lang w:val="en-GB" w:eastAsia="en-GB"/>
        </w:rPr>
        <w:t>fter</w:t>
      </w:r>
      <w:r w:rsidR="00AB48FE" w:rsidRPr="00433C05">
        <w:rPr>
          <w:lang w:val="en-GB" w:eastAsia="en-GB"/>
        </w:rPr>
        <w:t xml:space="preserve"> an app was developed, it could be simply copied and distributed.</w:t>
      </w:r>
      <w:r w:rsidR="00AB48FE" w:rsidRPr="00433C05">
        <w:rPr>
          <w:vertAlign w:val="superscript"/>
          <w:lang w:val="en-GB" w:eastAsia="en-GB"/>
        </w:rPr>
        <w:endnoteReference w:id="67"/>
      </w:r>
    </w:p>
    <w:p w14:paraId="2EA0EE82" w14:textId="77777777" w:rsidR="00E971EB" w:rsidRDefault="00E971EB" w:rsidP="00AB48FE">
      <w:pPr>
        <w:jc w:val="both"/>
        <w:rPr>
          <w:sz w:val="22"/>
          <w:szCs w:val="22"/>
          <w:lang w:val="en-GB" w:eastAsia="en-GB"/>
        </w:rPr>
      </w:pPr>
    </w:p>
    <w:p w14:paraId="751D12AA" w14:textId="5B043D8C" w:rsidR="00747ED6" w:rsidRDefault="00747ED6" w:rsidP="00AB48FE">
      <w:pPr>
        <w:jc w:val="both"/>
        <w:rPr>
          <w:sz w:val="22"/>
          <w:szCs w:val="22"/>
          <w:lang w:val="en-GB" w:eastAsia="en-GB"/>
        </w:rPr>
      </w:pPr>
      <w:r>
        <w:rPr>
          <w:sz w:val="22"/>
          <w:szCs w:val="22"/>
          <w:lang w:val="en-GB" w:eastAsia="en-GB"/>
        </w:rPr>
        <w:t>These</w:t>
      </w:r>
      <w:r w:rsidR="00AB48FE" w:rsidRPr="00433C05">
        <w:rPr>
          <w:sz w:val="22"/>
          <w:szCs w:val="22"/>
          <w:lang w:val="en-GB" w:eastAsia="en-GB"/>
        </w:rPr>
        <w:t xml:space="preserve"> network effects</w:t>
      </w:r>
      <w:r>
        <w:rPr>
          <w:sz w:val="22"/>
          <w:szCs w:val="22"/>
          <w:lang w:val="en-GB" w:eastAsia="en-GB"/>
        </w:rPr>
        <w:t xml:space="preserve"> had a positive</w:t>
      </w:r>
      <w:r w:rsidR="00AB48FE" w:rsidRPr="00433C05">
        <w:rPr>
          <w:sz w:val="22"/>
          <w:szCs w:val="22"/>
          <w:lang w:val="en-GB" w:eastAsia="en-GB"/>
        </w:rPr>
        <w:t xml:space="preserve"> impact</w:t>
      </w:r>
      <w:r>
        <w:rPr>
          <w:sz w:val="22"/>
          <w:szCs w:val="22"/>
          <w:lang w:val="en-GB" w:eastAsia="en-GB"/>
        </w:rPr>
        <w:t xml:space="preserve"> on both</w:t>
      </w:r>
      <w:r w:rsidR="00AB48FE" w:rsidRPr="00433C05">
        <w:rPr>
          <w:sz w:val="22"/>
          <w:szCs w:val="22"/>
          <w:lang w:val="en-GB" w:eastAsia="en-GB"/>
        </w:rPr>
        <w:t xml:space="preserve"> consumers and vendors, </w:t>
      </w:r>
      <w:r>
        <w:rPr>
          <w:sz w:val="22"/>
          <w:szCs w:val="22"/>
          <w:lang w:val="en-GB" w:eastAsia="en-GB"/>
        </w:rPr>
        <w:t>but they</w:t>
      </w:r>
      <w:r w:rsidR="00AB48FE" w:rsidRPr="00433C05">
        <w:rPr>
          <w:sz w:val="22"/>
          <w:szCs w:val="22"/>
          <w:lang w:val="en-GB" w:eastAsia="en-GB"/>
        </w:rPr>
        <w:t xml:space="preserve"> also led to allegations of predatory business practices and winner-take-all behaviour</w:t>
      </w:r>
      <w:r w:rsidR="00AB48FE" w:rsidRPr="00433C05">
        <w:rPr>
          <w:sz w:val="22"/>
          <w:szCs w:val="22"/>
          <w:vertAlign w:val="superscript"/>
          <w:lang w:val="en-GB" w:eastAsia="en-GB"/>
        </w:rPr>
        <w:endnoteReference w:id="68"/>
      </w:r>
      <w:r>
        <w:rPr>
          <w:sz w:val="22"/>
          <w:szCs w:val="22"/>
          <w:lang w:val="en-GB" w:eastAsia="en-GB"/>
        </w:rPr>
        <w:t xml:space="preserve"> b</w:t>
      </w:r>
      <w:r w:rsidR="005F0D5B">
        <w:rPr>
          <w:sz w:val="22"/>
          <w:szCs w:val="22"/>
          <w:lang w:val="en-GB" w:eastAsia="en-GB"/>
        </w:rPr>
        <w:t>ecause they</w:t>
      </w:r>
      <w:r w:rsidR="00AB48FE" w:rsidRPr="00433C05">
        <w:rPr>
          <w:sz w:val="22"/>
          <w:szCs w:val="22"/>
          <w:lang w:val="en-GB" w:eastAsia="en-GB"/>
        </w:rPr>
        <w:t xml:space="preserve"> impos</w:t>
      </w:r>
      <w:r w:rsidR="005F0D5B">
        <w:rPr>
          <w:sz w:val="22"/>
          <w:szCs w:val="22"/>
          <w:lang w:val="en-GB" w:eastAsia="en-GB"/>
        </w:rPr>
        <w:t>ed</w:t>
      </w:r>
      <w:r w:rsidR="00AB48FE" w:rsidRPr="00433C05">
        <w:rPr>
          <w:sz w:val="22"/>
          <w:szCs w:val="22"/>
          <w:lang w:val="en-GB" w:eastAsia="en-GB"/>
        </w:rPr>
        <w:t xml:space="preserve"> </w:t>
      </w:r>
      <w:r>
        <w:rPr>
          <w:sz w:val="22"/>
          <w:szCs w:val="22"/>
          <w:lang w:val="en-GB" w:eastAsia="en-GB"/>
        </w:rPr>
        <w:t xml:space="preserve">their </w:t>
      </w:r>
      <w:r w:rsidR="00AB48FE" w:rsidRPr="00433C05">
        <w:rPr>
          <w:sz w:val="22"/>
          <w:szCs w:val="22"/>
          <w:lang w:val="en-GB" w:eastAsia="en-GB"/>
        </w:rPr>
        <w:t>terms and conditions on ecosystem partners</w:t>
      </w:r>
      <w:r>
        <w:rPr>
          <w:sz w:val="22"/>
          <w:szCs w:val="22"/>
          <w:lang w:val="en-GB" w:eastAsia="en-GB"/>
        </w:rPr>
        <w:t>, a</w:t>
      </w:r>
      <w:r w:rsidR="00AB48FE" w:rsidRPr="00433C05">
        <w:rPr>
          <w:sz w:val="22"/>
          <w:szCs w:val="22"/>
          <w:lang w:val="en-GB" w:eastAsia="en-GB"/>
        </w:rPr>
        <w:t xml:space="preserve">s </w:t>
      </w:r>
      <w:r>
        <w:rPr>
          <w:sz w:val="22"/>
          <w:szCs w:val="22"/>
          <w:lang w:val="en-GB" w:eastAsia="en-GB"/>
        </w:rPr>
        <w:t>one</w:t>
      </w:r>
      <w:r w:rsidR="00AB48FE" w:rsidRPr="00433C05">
        <w:rPr>
          <w:sz w:val="22"/>
          <w:szCs w:val="22"/>
          <w:lang w:val="en-GB" w:eastAsia="en-GB"/>
        </w:rPr>
        <w:t xml:space="preserve"> analyst</w:t>
      </w:r>
      <w:r>
        <w:rPr>
          <w:sz w:val="22"/>
          <w:szCs w:val="22"/>
          <w:lang w:val="en-GB" w:eastAsia="en-GB"/>
        </w:rPr>
        <w:t xml:space="preserve"> explained</w:t>
      </w:r>
      <w:r w:rsidR="00AB48FE" w:rsidRPr="00433C05">
        <w:rPr>
          <w:sz w:val="22"/>
          <w:szCs w:val="22"/>
          <w:lang w:val="en-GB" w:eastAsia="en-GB"/>
        </w:rPr>
        <w:t>:</w:t>
      </w:r>
    </w:p>
    <w:p w14:paraId="0472DACF" w14:textId="77777777" w:rsidR="00747ED6" w:rsidRDefault="00747ED6" w:rsidP="00AB48FE">
      <w:pPr>
        <w:jc w:val="both"/>
        <w:rPr>
          <w:sz w:val="22"/>
          <w:szCs w:val="22"/>
          <w:lang w:val="en-GB" w:eastAsia="en-GB"/>
        </w:rPr>
      </w:pPr>
    </w:p>
    <w:p w14:paraId="4F399E4A" w14:textId="41F048FB" w:rsidR="00747ED6" w:rsidRDefault="00AB48FE" w:rsidP="00AA3E6F">
      <w:pPr>
        <w:ind w:left="720"/>
        <w:jc w:val="both"/>
        <w:rPr>
          <w:sz w:val="22"/>
          <w:szCs w:val="22"/>
          <w:lang w:val="en-GB" w:eastAsia="en-GB"/>
        </w:rPr>
      </w:pPr>
      <w:r w:rsidRPr="00433C05">
        <w:rPr>
          <w:sz w:val="22"/>
          <w:szCs w:val="22"/>
          <w:lang w:val="en-GB" w:eastAsia="en-GB"/>
        </w:rPr>
        <w:t>While sellers feel squeezed, consumers may continue to benefit from better prices. This wards off scrutiny by regulators who are often looking for predatory pricing on the consumer side as evidence of antitrust practices. This is the dark side of winner-take-all platforms.</w:t>
      </w:r>
      <w:r w:rsidRPr="00433C05">
        <w:rPr>
          <w:sz w:val="22"/>
          <w:szCs w:val="22"/>
          <w:vertAlign w:val="superscript"/>
          <w:lang w:val="en-GB" w:eastAsia="en-GB"/>
        </w:rPr>
        <w:endnoteReference w:id="69"/>
      </w:r>
    </w:p>
    <w:p w14:paraId="1EE259F4" w14:textId="77777777" w:rsidR="00747ED6" w:rsidRDefault="00747ED6" w:rsidP="00AB48FE">
      <w:pPr>
        <w:jc w:val="both"/>
        <w:rPr>
          <w:sz w:val="22"/>
          <w:szCs w:val="22"/>
          <w:lang w:val="en-GB" w:eastAsia="en-GB"/>
        </w:rPr>
      </w:pPr>
    </w:p>
    <w:p w14:paraId="08CBD0D5" w14:textId="5E58E9C7" w:rsidR="00AB48FE" w:rsidRPr="00433C05" w:rsidRDefault="00A8289A" w:rsidP="00AB48FE">
      <w:pPr>
        <w:jc w:val="both"/>
        <w:rPr>
          <w:sz w:val="22"/>
          <w:szCs w:val="22"/>
          <w:lang w:val="en-GB" w:eastAsia="en-GB"/>
        </w:rPr>
      </w:pPr>
      <w:r>
        <w:rPr>
          <w:sz w:val="22"/>
          <w:szCs w:val="22"/>
          <w:lang w:val="en-GB" w:eastAsia="en-GB"/>
        </w:rPr>
        <w:t>O</w:t>
      </w:r>
      <w:r w:rsidR="00AB48FE" w:rsidRPr="00433C05">
        <w:rPr>
          <w:sz w:val="22"/>
          <w:szCs w:val="22"/>
          <w:lang w:val="en-GB" w:eastAsia="en-GB"/>
        </w:rPr>
        <w:t>ther</w:t>
      </w:r>
      <w:r>
        <w:rPr>
          <w:sz w:val="22"/>
          <w:szCs w:val="22"/>
          <w:lang w:val="en-GB" w:eastAsia="en-GB"/>
        </w:rPr>
        <w:t xml:space="preserve"> observer</w:t>
      </w:r>
      <w:r w:rsidR="00AB48FE" w:rsidRPr="00433C05">
        <w:rPr>
          <w:sz w:val="22"/>
          <w:szCs w:val="22"/>
          <w:lang w:val="en-GB" w:eastAsia="en-GB"/>
        </w:rPr>
        <w:t>s, however, felt that network effects did not restrict competition, nor did they present an insurmountable barrier to new competition.</w:t>
      </w:r>
      <w:r w:rsidR="00AB48FE" w:rsidRPr="00433C05">
        <w:rPr>
          <w:sz w:val="22"/>
          <w:szCs w:val="22"/>
          <w:vertAlign w:val="superscript"/>
          <w:lang w:val="en-GB" w:eastAsia="en-GB"/>
        </w:rPr>
        <w:endnoteReference w:id="70"/>
      </w:r>
    </w:p>
    <w:p w14:paraId="5B31DE50" w14:textId="1E097E2D" w:rsidR="00A36B54" w:rsidRPr="00433C05" w:rsidRDefault="00A36B54" w:rsidP="00A36B54">
      <w:pPr>
        <w:jc w:val="both"/>
        <w:rPr>
          <w:sz w:val="22"/>
          <w:szCs w:val="22"/>
          <w:lang w:val="en-GB" w:eastAsia="en-GB"/>
        </w:rPr>
      </w:pPr>
    </w:p>
    <w:p w14:paraId="6D3A36FF" w14:textId="77777777" w:rsidR="00C64F7C" w:rsidRPr="00433C05" w:rsidRDefault="00C64F7C" w:rsidP="00A36B54">
      <w:pPr>
        <w:jc w:val="both"/>
        <w:rPr>
          <w:sz w:val="22"/>
          <w:szCs w:val="22"/>
          <w:lang w:val="en-GB" w:eastAsia="en-GB"/>
        </w:rPr>
      </w:pPr>
    </w:p>
    <w:p w14:paraId="7FFEB1E8" w14:textId="140D7028" w:rsidR="00C122BF" w:rsidRPr="00433C05" w:rsidRDefault="00C122BF" w:rsidP="00C64F7C">
      <w:pPr>
        <w:pStyle w:val="Casehead2"/>
        <w:rPr>
          <w:lang w:val="en-GB" w:eastAsia="en-GB"/>
        </w:rPr>
      </w:pPr>
      <w:r w:rsidRPr="00433C05">
        <w:rPr>
          <w:lang w:val="en-GB" w:eastAsia="en-GB"/>
        </w:rPr>
        <w:t>Competition Commission of India and Anti</w:t>
      </w:r>
      <w:r w:rsidR="00F3219B">
        <w:rPr>
          <w:lang w:val="en-GB" w:eastAsia="en-GB"/>
        </w:rPr>
        <w:t>t</w:t>
      </w:r>
      <w:r w:rsidRPr="00433C05">
        <w:rPr>
          <w:lang w:val="en-GB" w:eastAsia="en-GB"/>
        </w:rPr>
        <w:t>rust</w:t>
      </w:r>
    </w:p>
    <w:p w14:paraId="2AF51FD3" w14:textId="77777777" w:rsidR="00C122BF" w:rsidRPr="00433C05" w:rsidRDefault="00C122BF" w:rsidP="00F42694">
      <w:pPr>
        <w:jc w:val="both"/>
        <w:rPr>
          <w:sz w:val="22"/>
          <w:szCs w:val="22"/>
          <w:lang w:val="en-GB" w:eastAsia="en-GB"/>
        </w:rPr>
      </w:pPr>
    </w:p>
    <w:p w14:paraId="32358463" w14:textId="7C629559" w:rsidR="00F42694" w:rsidRPr="00433C05" w:rsidRDefault="00F42694" w:rsidP="00F42694">
      <w:pPr>
        <w:jc w:val="both"/>
        <w:rPr>
          <w:sz w:val="22"/>
          <w:szCs w:val="22"/>
          <w:lang w:val="en-GB" w:eastAsia="en-GB"/>
        </w:rPr>
      </w:pPr>
      <w:r w:rsidRPr="00433C05">
        <w:rPr>
          <w:sz w:val="22"/>
          <w:szCs w:val="22"/>
          <w:lang w:val="en-GB" w:eastAsia="en-GB"/>
        </w:rPr>
        <w:t xml:space="preserve">The Competition Commission of India (CCI) was India’s regulatory body for fostering competition in India and restricting anti-competitive practices under the </w:t>
      </w:r>
      <w:r w:rsidRPr="00AA3E6F">
        <w:rPr>
          <w:i/>
          <w:iCs/>
          <w:sz w:val="22"/>
          <w:szCs w:val="22"/>
          <w:lang w:val="en-GB" w:eastAsia="en-GB"/>
        </w:rPr>
        <w:t>Competition Act, 2002</w:t>
      </w:r>
      <w:r w:rsidRPr="00433C05">
        <w:rPr>
          <w:sz w:val="22"/>
          <w:szCs w:val="22"/>
          <w:lang w:val="en-GB" w:eastAsia="en-GB"/>
        </w:rPr>
        <w:t xml:space="preserve">. An important objective of the CCI, covered under Section 4 of the </w:t>
      </w:r>
      <w:r w:rsidRPr="00AA3E6F">
        <w:rPr>
          <w:i/>
          <w:iCs/>
          <w:sz w:val="22"/>
          <w:szCs w:val="22"/>
          <w:lang w:val="en-GB" w:eastAsia="en-GB"/>
        </w:rPr>
        <w:t>Competition Act</w:t>
      </w:r>
      <w:r w:rsidR="000D00BD">
        <w:rPr>
          <w:i/>
          <w:iCs/>
          <w:sz w:val="22"/>
          <w:szCs w:val="22"/>
          <w:lang w:val="en-GB" w:eastAsia="en-GB"/>
        </w:rPr>
        <w:t>, 2002</w:t>
      </w:r>
      <w:r w:rsidRPr="00433C05">
        <w:rPr>
          <w:sz w:val="22"/>
          <w:szCs w:val="22"/>
          <w:lang w:val="en-GB" w:eastAsia="en-GB"/>
        </w:rPr>
        <w:t xml:space="preserve">, was to prevent </w:t>
      </w:r>
      <w:r w:rsidR="000D00BD">
        <w:rPr>
          <w:sz w:val="22"/>
          <w:szCs w:val="22"/>
          <w:lang w:val="en-GB" w:eastAsia="en-GB"/>
        </w:rPr>
        <w:t>“a</w:t>
      </w:r>
      <w:r w:rsidRPr="00433C05">
        <w:rPr>
          <w:sz w:val="22"/>
          <w:szCs w:val="22"/>
          <w:lang w:val="en-GB" w:eastAsia="en-GB"/>
        </w:rPr>
        <w:t xml:space="preserve">buse of </w:t>
      </w:r>
      <w:r w:rsidR="000D00BD">
        <w:rPr>
          <w:sz w:val="22"/>
          <w:szCs w:val="22"/>
          <w:lang w:val="en-GB" w:eastAsia="en-GB"/>
        </w:rPr>
        <w:t>d</w:t>
      </w:r>
      <w:r w:rsidRPr="00433C05">
        <w:rPr>
          <w:sz w:val="22"/>
          <w:szCs w:val="22"/>
          <w:lang w:val="en-GB" w:eastAsia="en-GB"/>
        </w:rPr>
        <w:t>ominance</w:t>
      </w:r>
      <w:r w:rsidR="000D00BD">
        <w:rPr>
          <w:sz w:val="22"/>
          <w:szCs w:val="22"/>
          <w:lang w:val="en-GB" w:eastAsia="en-GB"/>
        </w:rPr>
        <w:t>”</w:t>
      </w:r>
      <w:r w:rsidRPr="00433C05">
        <w:rPr>
          <w:sz w:val="22"/>
          <w:szCs w:val="22"/>
          <w:lang w:val="en-GB" w:eastAsia="en-GB"/>
        </w:rPr>
        <w:t xml:space="preserve"> by enterprises in their exercise of market </w:t>
      </w:r>
      <w:r w:rsidR="000D00BD">
        <w:rPr>
          <w:sz w:val="22"/>
          <w:szCs w:val="22"/>
          <w:lang w:val="en-GB" w:eastAsia="en-GB"/>
        </w:rPr>
        <w:t xml:space="preserve">or </w:t>
      </w:r>
      <w:r w:rsidRPr="00433C05">
        <w:rPr>
          <w:sz w:val="22"/>
          <w:szCs w:val="22"/>
          <w:lang w:val="en-GB" w:eastAsia="en-GB"/>
        </w:rPr>
        <w:t xml:space="preserve">monopoly power, </w:t>
      </w:r>
      <w:r w:rsidR="000D00BD">
        <w:rPr>
          <w:sz w:val="22"/>
          <w:szCs w:val="22"/>
          <w:lang w:val="en-GB" w:eastAsia="en-GB"/>
        </w:rPr>
        <w:t xml:space="preserve">which was </w:t>
      </w:r>
      <w:r w:rsidRPr="00433C05">
        <w:rPr>
          <w:sz w:val="22"/>
          <w:szCs w:val="22"/>
          <w:lang w:val="en-GB" w:eastAsia="en-GB"/>
        </w:rPr>
        <w:t xml:space="preserve">also known as </w:t>
      </w:r>
      <w:r w:rsidR="000D00BD">
        <w:rPr>
          <w:sz w:val="22"/>
          <w:szCs w:val="22"/>
          <w:lang w:val="en-GB" w:eastAsia="en-GB"/>
        </w:rPr>
        <w:t>having a</w:t>
      </w:r>
      <w:r w:rsidRPr="00433C05">
        <w:rPr>
          <w:sz w:val="22"/>
          <w:szCs w:val="22"/>
          <w:lang w:val="en-GB" w:eastAsia="en-GB"/>
        </w:rPr>
        <w:t xml:space="preserve"> dominant position. </w:t>
      </w:r>
      <w:r w:rsidR="000D00BD">
        <w:rPr>
          <w:sz w:val="22"/>
          <w:szCs w:val="22"/>
          <w:lang w:val="en-GB" w:eastAsia="en-GB"/>
        </w:rPr>
        <w:t>Dominance was determined by the</w:t>
      </w:r>
      <w:r w:rsidRPr="00433C05">
        <w:rPr>
          <w:sz w:val="22"/>
          <w:szCs w:val="22"/>
          <w:lang w:val="en-GB" w:eastAsia="en-GB"/>
        </w:rPr>
        <w:t xml:space="preserve"> enterprise’s economic strength in the relevant market </w:t>
      </w:r>
      <w:r w:rsidR="000D00BD">
        <w:rPr>
          <w:sz w:val="22"/>
          <w:szCs w:val="22"/>
          <w:lang w:val="en-GB" w:eastAsia="en-GB"/>
        </w:rPr>
        <w:t>that</w:t>
      </w:r>
      <w:r w:rsidRPr="00433C05">
        <w:rPr>
          <w:sz w:val="22"/>
          <w:szCs w:val="22"/>
          <w:lang w:val="en-GB" w:eastAsia="en-GB"/>
        </w:rPr>
        <w:t xml:space="preserve"> enabled it to “act independently of the market forces prevailing in the market” and to “affect its competitors, customers or the </w:t>
      </w:r>
      <w:r w:rsidRPr="00433C05">
        <w:rPr>
          <w:i/>
          <w:iCs/>
          <w:sz w:val="22"/>
          <w:szCs w:val="22"/>
          <w:lang w:val="en-GB" w:eastAsia="en-GB"/>
        </w:rPr>
        <w:t>relevant market</w:t>
      </w:r>
      <w:r w:rsidRPr="00433C05">
        <w:rPr>
          <w:sz w:val="22"/>
          <w:szCs w:val="22"/>
          <w:lang w:val="en-GB" w:eastAsia="en-GB"/>
        </w:rPr>
        <w:t xml:space="preserve"> in its favour</w:t>
      </w:r>
      <w:r w:rsidR="000D00BD">
        <w:rPr>
          <w:sz w:val="22"/>
          <w:szCs w:val="22"/>
          <w:lang w:val="en-GB" w:eastAsia="en-GB"/>
        </w:rPr>
        <w:t>.</w:t>
      </w:r>
      <w:r w:rsidRPr="00433C05">
        <w:rPr>
          <w:sz w:val="22"/>
          <w:szCs w:val="22"/>
          <w:lang w:val="en-GB" w:eastAsia="en-GB"/>
        </w:rPr>
        <w:t>”</w:t>
      </w:r>
      <w:r w:rsidRPr="00433C05">
        <w:rPr>
          <w:sz w:val="22"/>
          <w:szCs w:val="22"/>
          <w:vertAlign w:val="superscript"/>
          <w:lang w:val="en-GB" w:eastAsia="en-GB"/>
        </w:rPr>
        <w:endnoteReference w:id="71"/>
      </w:r>
      <w:r w:rsidRPr="00433C05">
        <w:rPr>
          <w:sz w:val="22"/>
          <w:szCs w:val="22"/>
          <w:lang w:val="en-GB" w:eastAsia="en-GB"/>
        </w:rPr>
        <w:t xml:space="preserve"> The relevant market </w:t>
      </w:r>
      <w:r w:rsidR="003D7307">
        <w:rPr>
          <w:sz w:val="22"/>
          <w:szCs w:val="22"/>
          <w:lang w:val="en-GB" w:eastAsia="en-GB"/>
        </w:rPr>
        <w:t>to determine dominance could be</w:t>
      </w:r>
      <w:r w:rsidRPr="00433C05">
        <w:rPr>
          <w:sz w:val="22"/>
          <w:szCs w:val="22"/>
          <w:lang w:val="en-GB" w:eastAsia="en-GB"/>
        </w:rPr>
        <w:t xml:space="preserve"> </w:t>
      </w:r>
      <w:r w:rsidR="003D7307">
        <w:rPr>
          <w:sz w:val="22"/>
          <w:szCs w:val="22"/>
          <w:lang w:val="en-GB" w:eastAsia="en-GB"/>
        </w:rPr>
        <w:t>a</w:t>
      </w:r>
      <w:r w:rsidRPr="00433C05">
        <w:rPr>
          <w:sz w:val="22"/>
          <w:szCs w:val="22"/>
          <w:lang w:val="en-GB" w:eastAsia="en-GB"/>
        </w:rPr>
        <w:t xml:space="preserve"> substitutable products </w:t>
      </w:r>
      <w:r w:rsidR="003D7307">
        <w:rPr>
          <w:sz w:val="22"/>
          <w:szCs w:val="22"/>
          <w:lang w:val="en-GB" w:eastAsia="en-GB"/>
        </w:rPr>
        <w:t xml:space="preserve">market </w:t>
      </w:r>
      <w:r w:rsidRPr="00433C05">
        <w:rPr>
          <w:sz w:val="22"/>
          <w:szCs w:val="22"/>
          <w:lang w:val="en-GB" w:eastAsia="en-GB"/>
        </w:rPr>
        <w:t>(</w:t>
      </w:r>
      <w:r w:rsidR="003D7307">
        <w:rPr>
          <w:sz w:val="22"/>
          <w:szCs w:val="22"/>
          <w:lang w:val="en-GB" w:eastAsia="en-GB"/>
        </w:rPr>
        <w:t xml:space="preserve">for </w:t>
      </w:r>
      <w:r w:rsidRPr="00433C05">
        <w:rPr>
          <w:sz w:val="22"/>
          <w:szCs w:val="22"/>
          <w:lang w:val="en-GB" w:eastAsia="en-GB"/>
        </w:rPr>
        <w:t>both goods and services)</w:t>
      </w:r>
      <w:r w:rsidR="003D7307">
        <w:rPr>
          <w:sz w:val="22"/>
          <w:szCs w:val="22"/>
          <w:lang w:val="en-GB" w:eastAsia="en-GB"/>
        </w:rPr>
        <w:t xml:space="preserve"> </w:t>
      </w:r>
      <w:r w:rsidRPr="00433C05">
        <w:rPr>
          <w:sz w:val="22"/>
          <w:szCs w:val="22"/>
          <w:lang w:val="en-GB" w:eastAsia="en-GB"/>
        </w:rPr>
        <w:t xml:space="preserve">or a relevant geographical area. </w:t>
      </w:r>
      <w:r w:rsidR="003D7307">
        <w:rPr>
          <w:sz w:val="22"/>
          <w:szCs w:val="22"/>
          <w:lang w:val="en-GB" w:eastAsia="en-GB"/>
        </w:rPr>
        <w:t>The level of c</w:t>
      </w:r>
      <w:r w:rsidRPr="00433C05">
        <w:rPr>
          <w:sz w:val="22"/>
          <w:szCs w:val="22"/>
          <w:lang w:val="en-GB" w:eastAsia="en-GB"/>
        </w:rPr>
        <w:t xml:space="preserve">oncentration could be assessed </w:t>
      </w:r>
      <w:r w:rsidR="003D7307">
        <w:rPr>
          <w:sz w:val="22"/>
          <w:szCs w:val="22"/>
          <w:lang w:val="en-GB" w:eastAsia="en-GB"/>
        </w:rPr>
        <w:t>by using</w:t>
      </w:r>
      <w:r w:rsidRPr="00433C05">
        <w:rPr>
          <w:sz w:val="22"/>
          <w:szCs w:val="22"/>
          <w:lang w:val="en-GB" w:eastAsia="en-GB"/>
        </w:rPr>
        <w:t xml:space="preserve"> the </w:t>
      </w:r>
      <w:r w:rsidR="005F0D5B">
        <w:rPr>
          <w:sz w:val="22"/>
          <w:szCs w:val="22"/>
          <w:lang w:val="en-GB" w:eastAsia="en-GB"/>
        </w:rPr>
        <w:t>c</w:t>
      </w:r>
      <w:r w:rsidRPr="00433C05">
        <w:rPr>
          <w:sz w:val="22"/>
          <w:szCs w:val="22"/>
          <w:lang w:val="en-GB" w:eastAsia="en-GB"/>
        </w:rPr>
        <w:t xml:space="preserve">oncentration </w:t>
      </w:r>
      <w:r w:rsidR="005F0D5B">
        <w:rPr>
          <w:sz w:val="22"/>
          <w:szCs w:val="22"/>
          <w:lang w:val="en-GB" w:eastAsia="en-GB"/>
        </w:rPr>
        <w:t>r</w:t>
      </w:r>
      <w:r w:rsidRPr="00433C05">
        <w:rPr>
          <w:sz w:val="22"/>
          <w:szCs w:val="22"/>
          <w:lang w:val="en-GB" w:eastAsia="en-GB"/>
        </w:rPr>
        <w:t>atio</w:t>
      </w:r>
      <w:r w:rsidR="003D7307">
        <w:rPr>
          <w:sz w:val="22"/>
          <w:szCs w:val="22"/>
          <w:lang w:val="en-GB" w:eastAsia="en-GB"/>
        </w:rPr>
        <w:t>, which was based on the</w:t>
      </w:r>
      <w:r w:rsidRPr="00433C05">
        <w:rPr>
          <w:sz w:val="22"/>
          <w:szCs w:val="22"/>
          <w:lang w:val="en-GB" w:eastAsia="en-GB"/>
        </w:rPr>
        <w:t xml:space="preserve"> </w:t>
      </w:r>
      <w:r w:rsidR="003D7307">
        <w:rPr>
          <w:sz w:val="22"/>
          <w:szCs w:val="22"/>
          <w:lang w:val="en-GB" w:eastAsia="en-GB"/>
        </w:rPr>
        <w:t xml:space="preserve">market </w:t>
      </w:r>
      <w:r w:rsidRPr="00433C05">
        <w:rPr>
          <w:sz w:val="22"/>
          <w:szCs w:val="22"/>
          <w:lang w:val="en-GB" w:eastAsia="en-GB"/>
        </w:rPr>
        <w:t xml:space="preserve">share of the top </w:t>
      </w:r>
      <w:r w:rsidR="003D7307">
        <w:rPr>
          <w:sz w:val="22"/>
          <w:szCs w:val="22"/>
          <w:lang w:val="en-GB" w:eastAsia="en-GB"/>
        </w:rPr>
        <w:t>five competitors,</w:t>
      </w:r>
      <w:r w:rsidRPr="00433C05">
        <w:rPr>
          <w:sz w:val="22"/>
          <w:szCs w:val="22"/>
          <w:lang w:val="en-GB" w:eastAsia="en-GB"/>
        </w:rPr>
        <w:t xml:space="preserve"> or </w:t>
      </w:r>
      <w:r w:rsidR="003D7307">
        <w:rPr>
          <w:sz w:val="22"/>
          <w:szCs w:val="22"/>
          <w:lang w:val="en-GB" w:eastAsia="en-GB"/>
        </w:rPr>
        <w:t xml:space="preserve">by using </w:t>
      </w:r>
      <w:r w:rsidRPr="00433C05">
        <w:rPr>
          <w:sz w:val="22"/>
          <w:szCs w:val="22"/>
          <w:lang w:val="en-GB" w:eastAsia="en-GB"/>
        </w:rPr>
        <w:t>the Herfindahl-Hirschman Index</w:t>
      </w:r>
      <w:r w:rsidR="003D7307">
        <w:rPr>
          <w:sz w:val="22"/>
          <w:szCs w:val="22"/>
          <w:lang w:val="en-GB" w:eastAsia="en-GB"/>
        </w:rPr>
        <w:t>, which was based on the</w:t>
      </w:r>
      <w:r w:rsidRPr="00433C05">
        <w:rPr>
          <w:sz w:val="22"/>
          <w:szCs w:val="22"/>
          <w:lang w:val="en-GB" w:eastAsia="en-GB"/>
        </w:rPr>
        <w:t xml:space="preserve"> sum of squared market shares.</w:t>
      </w:r>
      <w:r w:rsidRPr="00433C05">
        <w:rPr>
          <w:sz w:val="22"/>
          <w:szCs w:val="22"/>
          <w:vertAlign w:val="superscript"/>
          <w:lang w:val="en-GB" w:eastAsia="en-GB"/>
        </w:rPr>
        <w:endnoteReference w:id="72"/>
      </w:r>
    </w:p>
    <w:p w14:paraId="34A280BA" w14:textId="77777777" w:rsidR="00F42694" w:rsidRPr="00433C05" w:rsidRDefault="00F42694" w:rsidP="00F42694">
      <w:pPr>
        <w:jc w:val="both"/>
        <w:rPr>
          <w:sz w:val="22"/>
          <w:szCs w:val="22"/>
          <w:lang w:val="en-GB" w:eastAsia="en-GB"/>
        </w:rPr>
      </w:pPr>
    </w:p>
    <w:p w14:paraId="232A7DCE" w14:textId="037E16F5" w:rsidR="00A36B54" w:rsidRPr="00433C05" w:rsidRDefault="00A36B54" w:rsidP="00A36B54">
      <w:pPr>
        <w:jc w:val="both"/>
        <w:rPr>
          <w:sz w:val="22"/>
          <w:szCs w:val="22"/>
          <w:lang w:val="en-GB" w:eastAsia="en-GB"/>
        </w:rPr>
      </w:pPr>
      <w:r w:rsidRPr="00433C05">
        <w:rPr>
          <w:sz w:val="22"/>
          <w:szCs w:val="22"/>
          <w:lang w:val="en-GB" w:eastAsia="en-GB"/>
        </w:rPr>
        <w:t xml:space="preserve">The CCI identified </w:t>
      </w:r>
      <w:r w:rsidR="00DC5392">
        <w:rPr>
          <w:sz w:val="22"/>
          <w:szCs w:val="22"/>
          <w:lang w:val="en-GB" w:eastAsia="en-GB"/>
        </w:rPr>
        <w:t>10</w:t>
      </w:r>
      <w:r w:rsidRPr="00433C05">
        <w:rPr>
          <w:sz w:val="22"/>
          <w:szCs w:val="22"/>
          <w:lang w:val="en-GB" w:eastAsia="en-GB"/>
        </w:rPr>
        <w:t xml:space="preserve"> factors </w:t>
      </w:r>
      <w:r w:rsidR="003D7307">
        <w:rPr>
          <w:sz w:val="22"/>
          <w:szCs w:val="22"/>
          <w:lang w:val="en-GB" w:eastAsia="en-GB"/>
        </w:rPr>
        <w:t xml:space="preserve">of an enterprise as being </w:t>
      </w:r>
      <w:r w:rsidRPr="00433C05">
        <w:rPr>
          <w:sz w:val="22"/>
          <w:szCs w:val="22"/>
          <w:lang w:val="en-GB" w:eastAsia="en-GB"/>
        </w:rPr>
        <w:t xml:space="preserve">responsible for dominance: </w:t>
      </w:r>
      <w:r w:rsidR="003D7307">
        <w:rPr>
          <w:sz w:val="22"/>
          <w:szCs w:val="22"/>
          <w:lang w:val="en-GB" w:eastAsia="en-GB"/>
        </w:rPr>
        <w:t xml:space="preserve">(1) </w:t>
      </w:r>
      <w:r w:rsidRPr="00433C05">
        <w:rPr>
          <w:sz w:val="22"/>
          <w:szCs w:val="22"/>
          <w:lang w:val="en-GB" w:eastAsia="en-GB"/>
        </w:rPr>
        <w:t xml:space="preserve">market share, </w:t>
      </w:r>
      <w:r w:rsidR="005F0D5B">
        <w:rPr>
          <w:sz w:val="22"/>
          <w:szCs w:val="22"/>
          <w:lang w:val="en-GB" w:eastAsia="en-GB"/>
        </w:rPr>
        <w:t xml:space="preserve">which referred to </w:t>
      </w:r>
      <w:r w:rsidRPr="00433C05">
        <w:rPr>
          <w:sz w:val="22"/>
          <w:szCs w:val="22"/>
          <w:lang w:val="en-GB" w:eastAsia="en-GB"/>
        </w:rPr>
        <w:t xml:space="preserve">the size and resources of the enterprise; </w:t>
      </w:r>
      <w:r w:rsidR="003D7307">
        <w:rPr>
          <w:sz w:val="22"/>
          <w:szCs w:val="22"/>
          <w:lang w:val="en-GB" w:eastAsia="en-GB"/>
        </w:rPr>
        <w:t xml:space="preserve">(2) </w:t>
      </w:r>
      <w:r w:rsidRPr="00433C05">
        <w:rPr>
          <w:sz w:val="22"/>
          <w:szCs w:val="22"/>
          <w:lang w:val="en-GB" w:eastAsia="en-GB"/>
        </w:rPr>
        <w:t xml:space="preserve">size and importance of competitors; </w:t>
      </w:r>
      <w:r w:rsidR="003D7307">
        <w:rPr>
          <w:sz w:val="22"/>
          <w:szCs w:val="22"/>
          <w:lang w:val="en-GB" w:eastAsia="en-GB"/>
        </w:rPr>
        <w:t xml:space="preserve">(3) </w:t>
      </w:r>
      <w:r w:rsidRPr="00433C05">
        <w:rPr>
          <w:sz w:val="22"/>
          <w:szCs w:val="22"/>
          <w:lang w:val="en-GB" w:eastAsia="en-GB"/>
        </w:rPr>
        <w:t xml:space="preserve">economic power of the enterprise; </w:t>
      </w:r>
      <w:r w:rsidR="003D7307">
        <w:rPr>
          <w:sz w:val="22"/>
          <w:szCs w:val="22"/>
          <w:lang w:val="en-GB" w:eastAsia="en-GB"/>
        </w:rPr>
        <w:t xml:space="preserve">(4) </w:t>
      </w:r>
      <w:r w:rsidRPr="00433C05">
        <w:rPr>
          <w:sz w:val="22"/>
          <w:szCs w:val="22"/>
          <w:lang w:val="en-GB" w:eastAsia="en-GB"/>
        </w:rPr>
        <w:t>vertical integration</w:t>
      </w:r>
      <w:r w:rsidR="003D7307">
        <w:rPr>
          <w:sz w:val="22"/>
          <w:szCs w:val="22"/>
          <w:lang w:val="en-GB" w:eastAsia="en-GB"/>
        </w:rPr>
        <w:t>,</w:t>
      </w:r>
      <w:r w:rsidRPr="00433C05">
        <w:rPr>
          <w:sz w:val="22"/>
          <w:szCs w:val="22"/>
          <w:lang w:val="en-GB" w:eastAsia="en-GB"/>
        </w:rPr>
        <w:t xml:space="preserve"> where the </w:t>
      </w:r>
      <w:r w:rsidR="003D7307">
        <w:rPr>
          <w:sz w:val="22"/>
          <w:szCs w:val="22"/>
          <w:lang w:val="en-GB" w:eastAsia="en-GB"/>
        </w:rPr>
        <w:t xml:space="preserve">enterprise owned the </w:t>
      </w:r>
      <w:r w:rsidRPr="00433C05">
        <w:rPr>
          <w:sz w:val="22"/>
          <w:szCs w:val="22"/>
          <w:lang w:val="en-GB" w:eastAsia="en-GB"/>
        </w:rPr>
        <w:t xml:space="preserve">supply chain; </w:t>
      </w:r>
      <w:r w:rsidR="003D7307">
        <w:rPr>
          <w:sz w:val="22"/>
          <w:szCs w:val="22"/>
          <w:lang w:val="en-GB" w:eastAsia="en-GB"/>
        </w:rPr>
        <w:t xml:space="preserve">(5) </w:t>
      </w:r>
      <w:r w:rsidRPr="00433C05">
        <w:rPr>
          <w:sz w:val="22"/>
          <w:szCs w:val="22"/>
          <w:lang w:val="en-GB" w:eastAsia="en-GB"/>
        </w:rPr>
        <w:t xml:space="preserve">dependence of consumers on the enterprise; </w:t>
      </w:r>
      <w:r w:rsidR="003D7307">
        <w:rPr>
          <w:sz w:val="22"/>
          <w:szCs w:val="22"/>
          <w:lang w:val="en-GB" w:eastAsia="en-GB"/>
        </w:rPr>
        <w:t xml:space="preserve">(6) </w:t>
      </w:r>
      <w:r w:rsidRPr="00433C05">
        <w:rPr>
          <w:sz w:val="22"/>
          <w:szCs w:val="22"/>
          <w:lang w:val="en-GB" w:eastAsia="en-GB"/>
        </w:rPr>
        <w:t xml:space="preserve">extent of entry and exit barriers in the market; </w:t>
      </w:r>
      <w:r w:rsidR="003D7307">
        <w:rPr>
          <w:sz w:val="22"/>
          <w:szCs w:val="22"/>
          <w:lang w:val="en-GB" w:eastAsia="en-GB"/>
        </w:rPr>
        <w:t xml:space="preserve">(7) </w:t>
      </w:r>
      <w:r w:rsidRPr="00433C05">
        <w:rPr>
          <w:sz w:val="22"/>
          <w:szCs w:val="22"/>
          <w:lang w:val="en-GB" w:eastAsia="en-GB"/>
        </w:rPr>
        <w:t xml:space="preserve">countervailing buying power; </w:t>
      </w:r>
      <w:r w:rsidR="003D7307">
        <w:rPr>
          <w:sz w:val="22"/>
          <w:szCs w:val="22"/>
          <w:lang w:val="en-GB" w:eastAsia="en-GB"/>
        </w:rPr>
        <w:t xml:space="preserve">(8) </w:t>
      </w:r>
      <w:r w:rsidRPr="00433C05">
        <w:rPr>
          <w:sz w:val="22"/>
          <w:szCs w:val="22"/>
          <w:lang w:val="en-GB" w:eastAsia="en-GB"/>
        </w:rPr>
        <w:t xml:space="preserve">market structure and size of the market; </w:t>
      </w:r>
      <w:r w:rsidR="003D7307">
        <w:rPr>
          <w:sz w:val="22"/>
          <w:szCs w:val="22"/>
          <w:lang w:val="en-GB" w:eastAsia="en-GB"/>
        </w:rPr>
        <w:t xml:space="preserve">(9) </w:t>
      </w:r>
      <w:r w:rsidRPr="00433C05">
        <w:rPr>
          <w:sz w:val="22"/>
          <w:szCs w:val="22"/>
          <w:lang w:val="en-GB" w:eastAsia="en-GB"/>
        </w:rPr>
        <w:t xml:space="preserve">source of dominant position </w:t>
      </w:r>
      <w:r w:rsidR="003D7307">
        <w:rPr>
          <w:sz w:val="22"/>
          <w:szCs w:val="22"/>
          <w:lang w:val="en-GB" w:eastAsia="en-GB"/>
        </w:rPr>
        <w:t>(i.e., how it was gained)</w:t>
      </w:r>
      <w:r w:rsidRPr="00433C05">
        <w:rPr>
          <w:sz w:val="22"/>
          <w:szCs w:val="22"/>
          <w:lang w:val="en-GB" w:eastAsia="en-GB"/>
        </w:rPr>
        <w:t xml:space="preserve">; </w:t>
      </w:r>
      <w:r w:rsidR="00DC5392">
        <w:rPr>
          <w:sz w:val="22"/>
          <w:szCs w:val="22"/>
          <w:lang w:val="en-GB" w:eastAsia="en-GB"/>
        </w:rPr>
        <w:t xml:space="preserve">and (10) </w:t>
      </w:r>
      <w:r w:rsidRPr="00433C05">
        <w:rPr>
          <w:sz w:val="22"/>
          <w:szCs w:val="22"/>
          <w:lang w:val="en-GB" w:eastAsia="en-GB"/>
        </w:rPr>
        <w:t>social costs and obligations</w:t>
      </w:r>
      <w:r w:rsidR="00DC5392">
        <w:rPr>
          <w:sz w:val="22"/>
          <w:szCs w:val="22"/>
          <w:lang w:val="en-GB" w:eastAsia="en-GB"/>
        </w:rPr>
        <w:t>, as well as</w:t>
      </w:r>
      <w:r w:rsidRPr="00433C05">
        <w:rPr>
          <w:sz w:val="22"/>
          <w:szCs w:val="22"/>
          <w:lang w:val="en-GB" w:eastAsia="en-GB"/>
        </w:rPr>
        <w:t xml:space="preserve"> contribution </w:t>
      </w:r>
      <w:r w:rsidR="00DC5392">
        <w:rPr>
          <w:sz w:val="22"/>
          <w:szCs w:val="22"/>
          <w:lang w:val="en-GB" w:eastAsia="en-GB"/>
        </w:rPr>
        <w:t>to economic development by the</w:t>
      </w:r>
      <w:r w:rsidRPr="00433C05">
        <w:rPr>
          <w:sz w:val="22"/>
          <w:szCs w:val="22"/>
          <w:lang w:val="en-GB" w:eastAsia="en-GB"/>
        </w:rPr>
        <w:t xml:space="preserve"> enterprise enjoying </w:t>
      </w:r>
      <w:r w:rsidR="00DC5392">
        <w:rPr>
          <w:sz w:val="22"/>
          <w:szCs w:val="22"/>
          <w:lang w:val="en-GB" w:eastAsia="en-GB"/>
        </w:rPr>
        <w:t xml:space="preserve">a </w:t>
      </w:r>
      <w:r w:rsidRPr="00433C05">
        <w:rPr>
          <w:sz w:val="22"/>
          <w:szCs w:val="22"/>
          <w:lang w:val="en-GB" w:eastAsia="en-GB"/>
        </w:rPr>
        <w:t>dominant position.</w:t>
      </w:r>
      <w:r w:rsidRPr="00433C05">
        <w:rPr>
          <w:sz w:val="22"/>
          <w:szCs w:val="22"/>
          <w:vertAlign w:val="superscript"/>
          <w:lang w:val="en-GB" w:eastAsia="en-GB"/>
        </w:rPr>
        <w:endnoteReference w:id="73"/>
      </w:r>
    </w:p>
    <w:p w14:paraId="3028FA0A" w14:textId="77777777" w:rsidR="00A36B54" w:rsidRPr="00433C05" w:rsidRDefault="00A36B54" w:rsidP="00A36B54">
      <w:pPr>
        <w:jc w:val="both"/>
        <w:rPr>
          <w:sz w:val="22"/>
          <w:szCs w:val="22"/>
          <w:lang w:val="en-GB" w:eastAsia="en-GB"/>
        </w:rPr>
      </w:pPr>
    </w:p>
    <w:p w14:paraId="2F0D1FEF" w14:textId="3AC43A28" w:rsidR="00A36B54" w:rsidRPr="00433C05" w:rsidRDefault="00DC5392" w:rsidP="00A36B54">
      <w:pPr>
        <w:jc w:val="both"/>
        <w:rPr>
          <w:sz w:val="22"/>
          <w:szCs w:val="22"/>
          <w:lang w:val="en-GB" w:eastAsia="en-GB"/>
        </w:rPr>
      </w:pPr>
      <w:r>
        <w:rPr>
          <w:sz w:val="22"/>
          <w:szCs w:val="22"/>
          <w:lang w:val="en-GB" w:eastAsia="en-GB"/>
        </w:rPr>
        <w:t>The CCI did not consider it a problem for an</w:t>
      </w:r>
      <w:r w:rsidRPr="00433C05">
        <w:rPr>
          <w:sz w:val="22"/>
          <w:szCs w:val="22"/>
          <w:lang w:val="en-GB" w:eastAsia="en-GB"/>
        </w:rPr>
        <w:t xml:space="preserve"> </w:t>
      </w:r>
      <w:r w:rsidR="00A36B54" w:rsidRPr="00433C05">
        <w:rPr>
          <w:sz w:val="22"/>
          <w:szCs w:val="22"/>
          <w:lang w:val="en-GB" w:eastAsia="en-GB"/>
        </w:rPr>
        <w:t>enterprise</w:t>
      </w:r>
      <w:r>
        <w:rPr>
          <w:sz w:val="22"/>
          <w:szCs w:val="22"/>
          <w:lang w:val="en-GB" w:eastAsia="en-GB"/>
        </w:rPr>
        <w:t xml:space="preserve"> to</w:t>
      </w:r>
      <w:r w:rsidR="00A36B54" w:rsidRPr="00433C05">
        <w:rPr>
          <w:sz w:val="22"/>
          <w:szCs w:val="22"/>
          <w:lang w:val="en-GB" w:eastAsia="en-GB"/>
        </w:rPr>
        <w:t xml:space="preserve"> occupy </w:t>
      </w:r>
      <w:r>
        <w:rPr>
          <w:sz w:val="22"/>
          <w:szCs w:val="22"/>
          <w:lang w:val="en-GB" w:eastAsia="en-GB"/>
        </w:rPr>
        <w:t xml:space="preserve">a </w:t>
      </w:r>
      <w:r w:rsidR="00A36B54" w:rsidRPr="00433C05">
        <w:rPr>
          <w:sz w:val="22"/>
          <w:szCs w:val="22"/>
          <w:lang w:val="en-GB" w:eastAsia="en-GB"/>
        </w:rPr>
        <w:t xml:space="preserve">dominant position within </w:t>
      </w:r>
      <w:r>
        <w:rPr>
          <w:sz w:val="22"/>
          <w:szCs w:val="22"/>
          <w:lang w:val="en-GB" w:eastAsia="en-GB"/>
        </w:rPr>
        <w:t>i</w:t>
      </w:r>
      <w:r w:rsidR="00A36B54" w:rsidRPr="00433C05">
        <w:rPr>
          <w:sz w:val="22"/>
          <w:szCs w:val="22"/>
          <w:lang w:val="en-GB" w:eastAsia="en-GB"/>
        </w:rPr>
        <w:t>t</w:t>
      </w:r>
      <w:r>
        <w:rPr>
          <w:sz w:val="22"/>
          <w:szCs w:val="22"/>
          <w:lang w:val="en-GB" w:eastAsia="en-GB"/>
        </w:rPr>
        <w:t>s</w:t>
      </w:r>
      <w:r w:rsidR="00A36B54" w:rsidRPr="00433C05">
        <w:rPr>
          <w:sz w:val="22"/>
          <w:szCs w:val="22"/>
          <w:lang w:val="en-GB" w:eastAsia="en-GB"/>
        </w:rPr>
        <w:t xml:space="preserve"> relevant product</w:t>
      </w:r>
      <w:r>
        <w:rPr>
          <w:sz w:val="22"/>
          <w:szCs w:val="22"/>
          <w:lang w:val="en-GB" w:eastAsia="en-GB"/>
        </w:rPr>
        <w:t xml:space="preserve"> or </w:t>
      </w:r>
      <w:r w:rsidR="00A36B54" w:rsidRPr="00433C05">
        <w:rPr>
          <w:sz w:val="22"/>
          <w:szCs w:val="22"/>
          <w:lang w:val="en-GB" w:eastAsia="en-GB"/>
        </w:rPr>
        <w:t>geographical market.</w:t>
      </w:r>
      <w:r w:rsidR="00A36B54" w:rsidRPr="00433C05">
        <w:rPr>
          <w:sz w:val="22"/>
          <w:szCs w:val="22"/>
          <w:vertAlign w:val="superscript"/>
          <w:lang w:val="en-GB" w:eastAsia="en-GB"/>
        </w:rPr>
        <w:endnoteReference w:id="74"/>
      </w:r>
      <w:r w:rsidR="00A36B54" w:rsidRPr="00433C05">
        <w:rPr>
          <w:sz w:val="22"/>
          <w:szCs w:val="22"/>
          <w:lang w:val="en-GB" w:eastAsia="en-GB"/>
        </w:rPr>
        <w:t xml:space="preserve"> The need for regulation arose only when the enterprise</w:t>
      </w:r>
      <w:r>
        <w:rPr>
          <w:sz w:val="22"/>
          <w:szCs w:val="22"/>
          <w:lang w:val="en-GB" w:eastAsia="en-GB"/>
        </w:rPr>
        <w:t>,</w:t>
      </w:r>
      <w:r w:rsidR="00A36B54" w:rsidRPr="00433C05">
        <w:rPr>
          <w:sz w:val="22"/>
          <w:szCs w:val="22"/>
          <w:lang w:val="en-GB" w:eastAsia="en-GB"/>
        </w:rPr>
        <w:t xml:space="preserve"> or a group of enterprises</w:t>
      </w:r>
      <w:r>
        <w:rPr>
          <w:sz w:val="22"/>
          <w:szCs w:val="22"/>
          <w:lang w:val="en-GB" w:eastAsia="en-GB"/>
        </w:rPr>
        <w:t>,</w:t>
      </w:r>
      <w:r w:rsidR="00A36B54" w:rsidRPr="00433C05">
        <w:rPr>
          <w:sz w:val="22"/>
          <w:szCs w:val="22"/>
          <w:lang w:val="en-GB" w:eastAsia="en-GB"/>
        </w:rPr>
        <w:t xml:space="preserve"> abused dominance through exclusion (</w:t>
      </w:r>
      <w:r>
        <w:rPr>
          <w:sz w:val="22"/>
          <w:szCs w:val="22"/>
          <w:lang w:val="en-GB" w:eastAsia="en-GB"/>
        </w:rPr>
        <w:t>e.g.,</w:t>
      </w:r>
      <w:r w:rsidR="00A36B54" w:rsidRPr="00433C05">
        <w:rPr>
          <w:sz w:val="22"/>
          <w:szCs w:val="22"/>
          <w:lang w:val="en-GB" w:eastAsia="en-GB"/>
        </w:rPr>
        <w:t xml:space="preserve"> </w:t>
      </w:r>
      <w:r w:rsidR="005F0D5B">
        <w:rPr>
          <w:sz w:val="22"/>
          <w:szCs w:val="22"/>
          <w:lang w:val="en-GB" w:eastAsia="en-GB"/>
        </w:rPr>
        <w:t xml:space="preserve">by </w:t>
      </w:r>
      <w:r w:rsidR="00A36B54" w:rsidRPr="00433C05">
        <w:rPr>
          <w:sz w:val="22"/>
          <w:szCs w:val="22"/>
          <w:lang w:val="en-GB" w:eastAsia="en-GB"/>
        </w:rPr>
        <w:t>denying market access) or exploitation (</w:t>
      </w:r>
      <w:r>
        <w:rPr>
          <w:sz w:val="22"/>
          <w:szCs w:val="22"/>
          <w:lang w:val="en-GB" w:eastAsia="en-GB"/>
        </w:rPr>
        <w:t>e.g.,</w:t>
      </w:r>
      <w:r w:rsidRPr="00433C05">
        <w:rPr>
          <w:sz w:val="22"/>
          <w:szCs w:val="22"/>
          <w:lang w:val="en-GB" w:eastAsia="en-GB"/>
        </w:rPr>
        <w:t xml:space="preserve"> </w:t>
      </w:r>
      <w:r w:rsidR="005F0D5B">
        <w:rPr>
          <w:sz w:val="22"/>
          <w:szCs w:val="22"/>
          <w:lang w:val="en-GB" w:eastAsia="en-GB"/>
        </w:rPr>
        <w:t xml:space="preserve">by using </w:t>
      </w:r>
      <w:r w:rsidR="00A36B54" w:rsidRPr="00433C05">
        <w:rPr>
          <w:sz w:val="22"/>
          <w:szCs w:val="22"/>
          <w:lang w:val="en-GB" w:eastAsia="en-GB"/>
        </w:rPr>
        <w:t xml:space="preserve">predatory pricing). </w:t>
      </w:r>
      <w:r>
        <w:rPr>
          <w:sz w:val="22"/>
          <w:szCs w:val="22"/>
          <w:lang w:val="en-GB" w:eastAsia="en-GB"/>
        </w:rPr>
        <w:t xml:space="preserve">A dominant enterprise’s </w:t>
      </w:r>
      <w:r>
        <w:rPr>
          <w:i/>
          <w:iCs/>
          <w:sz w:val="22"/>
          <w:szCs w:val="22"/>
          <w:lang w:val="en-GB" w:eastAsia="en-GB"/>
        </w:rPr>
        <w:t>e</w:t>
      </w:r>
      <w:r w:rsidR="00A36B54" w:rsidRPr="00433C05">
        <w:rPr>
          <w:i/>
          <w:iCs/>
          <w:sz w:val="22"/>
          <w:szCs w:val="22"/>
          <w:lang w:val="en-GB" w:eastAsia="en-GB"/>
        </w:rPr>
        <w:t>xclusionary practices</w:t>
      </w:r>
      <w:r w:rsidR="00A36B54" w:rsidRPr="00433C05">
        <w:rPr>
          <w:sz w:val="22"/>
          <w:szCs w:val="22"/>
          <w:lang w:val="en-GB" w:eastAsia="en-GB"/>
        </w:rPr>
        <w:t xml:space="preserve"> constituted abuse of dominance</w:t>
      </w:r>
      <w:r>
        <w:rPr>
          <w:sz w:val="22"/>
          <w:szCs w:val="22"/>
          <w:lang w:val="en-GB" w:eastAsia="en-GB"/>
        </w:rPr>
        <w:t xml:space="preserve"> if they were</w:t>
      </w:r>
      <w:r w:rsidR="00A36B54" w:rsidRPr="00433C05">
        <w:rPr>
          <w:sz w:val="22"/>
          <w:szCs w:val="22"/>
          <w:lang w:val="en-GB" w:eastAsia="en-GB"/>
        </w:rPr>
        <w:t xml:space="preserve"> </w:t>
      </w:r>
      <w:r>
        <w:rPr>
          <w:sz w:val="22"/>
          <w:szCs w:val="22"/>
          <w:lang w:val="en-GB" w:eastAsia="en-GB"/>
        </w:rPr>
        <w:t>“</w:t>
      </w:r>
      <w:r w:rsidR="00A36B54" w:rsidRPr="00433C05">
        <w:rPr>
          <w:sz w:val="22"/>
          <w:szCs w:val="22"/>
          <w:lang w:val="en-GB" w:eastAsia="en-GB"/>
        </w:rPr>
        <w:t>directly or indirectly imposing unfair or discriminatory conditions in the purchase or sale of goods or services; limiting or restricting production of goods or provision of services or markets; denying market access in any manner</w:t>
      </w:r>
      <w:r>
        <w:rPr>
          <w:sz w:val="22"/>
          <w:szCs w:val="22"/>
          <w:lang w:val="en-GB" w:eastAsia="en-GB"/>
        </w:rPr>
        <w:t>.”</w:t>
      </w:r>
      <w:r>
        <w:rPr>
          <w:rStyle w:val="EndnoteReference"/>
          <w:lang w:val="en-GB" w:eastAsia="en-GB"/>
        </w:rPr>
        <w:endnoteReference w:id="75"/>
      </w:r>
    </w:p>
    <w:p w14:paraId="258EE68C" w14:textId="77777777" w:rsidR="00A36B54" w:rsidRPr="00433C05" w:rsidRDefault="00A36B54" w:rsidP="00A36B54">
      <w:pPr>
        <w:jc w:val="both"/>
        <w:rPr>
          <w:sz w:val="22"/>
          <w:szCs w:val="22"/>
          <w:lang w:val="en-GB" w:eastAsia="en-GB"/>
        </w:rPr>
      </w:pPr>
    </w:p>
    <w:p w14:paraId="762F50B6" w14:textId="6DC85959" w:rsidR="00A36B54" w:rsidRPr="00902897" w:rsidRDefault="00A36B54" w:rsidP="00A36B54">
      <w:pPr>
        <w:jc w:val="both"/>
        <w:rPr>
          <w:spacing w:val="-2"/>
          <w:sz w:val="22"/>
          <w:szCs w:val="22"/>
          <w:lang w:val="en-GB" w:eastAsia="en-GB"/>
        </w:rPr>
      </w:pPr>
      <w:r w:rsidRPr="00902897">
        <w:rPr>
          <w:spacing w:val="-2"/>
          <w:sz w:val="22"/>
          <w:szCs w:val="22"/>
          <w:lang w:val="en-GB" w:eastAsia="en-GB"/>
        </w:rPr>
        <w:t xml:space="preserve">The CCI also applied an </w:t>
      </w:r>
      <w:r w:rsidR="009E1D12" w:rsidRPr="00902897">
        <w:rPr>
          <w:i/>
          <w:iCs/>
          <w:spacing w:val="-2"/>
          <w:sz w:val="22"/>
          <w:szCs w:val="22"/>
          <w:lang w:val="en-GB" w:eastAsia="en-GB"/>
        </w:rPr>
        <w:t>e</w:t>
      </w:r>
      <w:r w:rsidRPr="00902897">
        <w:rPr>
          <w:i/>
          <w:iCs/>
          <w:spacing w:val="-2"/>
          <w:sz w:val="22"/>
          <w:szCs w:val="22"/>
          <w:lang w:val="en-GB" w:eastAsia="en-GB"/>
        </w:rPr>
        <w:t xml:space="preserve">ssential </w:t>
      </w:r>
      <w:r w:rsidR="009E1D12" w:rsidRPr="00902897">
        <w:rPr>
          <w:i/>
          <w:iCs/>
          <w:spacing w:val="-2"/>
          <w:sz w:val="22"/>
          <w:szCs w:val="22"/>
          <w:lang w:val="en-GB" w:eastAsia="en-GB"/>
        </w:rPr>
        <w:t>f</w:t>
      </w:r>
      <w:r w:rsidRPr="00902897">
        <w:rPr>
          <w:i/>
          <w:iCs/>
          <w:spacing w:val="-2"/>
          <w:sz w:val="22"/>
          <w:szCs w:val="22"/>
          <w:lang w:val="en-GB" w:eastAsia="en-GB"/>
        </w:rPr>
        <w:t>acilities</w:t>
      </w:r>
      <w:r w:rsidRPr="00902897">
        <w:rPr>
          <w:spacing w:val="-2"/>
          <w:sz w:val="22"/>
          <w:szCs w:val="22"/>
          <w:lang w:val="en-GB" w:eastAsia="en-GB"/>
        </w:rPr>
        <w:t xml:space="preserve"> </w:t>
      </w:r>
      <w:r w:rsidRPr="00902897">
        <w:rPr>
          <w:i/>
          <w:iCs/>
          <w:spacing w:val="-2"/>
          <w:sz w:val="22"/>
          <w:szCs w:val="22"/>
          <w:lang w:val="en-GB" w:eastAsia="en-GB"/>
        </w:rPr>
        <w:t>doctrine</w:t>
      </w:r>
      <w:r w:rsidRPr="00902897">
        <w:rPr>
          <w:spacing w:val="-2"/>
          <w:sz w:val="22"/>
          <w:szCs w:val="22"/>
          <w:lang w:val="en-GB" w:eastAsia="en-GB"/>
        </w:rPr>
        <w:t xml:space="preserve"> to invoke abuse of dominance. </w:t>
      </w:r>
      <w:r w:rsidR="009E1D12" w:rsidRPr="00902897">
        <w:rPr>
          <w:spacing w:val="-2"/>
          <w:sz w:val="22"/>
          <w:szCs w:val="22"/>
          <w:lang w:val="en-GB" w:eastAsia="en-GB"/>
        </w:rPr>
        <w:t xml:space="preserve">The doctrine applied if </w:t>
      </w:r>
      <w:r w:rsidRPr="00902897">
        <w:rPr>
          <w:spacing w:val="-2"/>
          <w:sz w:val="22"/>
          <w:szCs w:val="22"/>
          <w:lang w:val="en-GB" w:eastAsia="en-GB"/>
        </w:rPr>
        <w:t xml:space="preserve">a dominant enterprise controlled an essential infrastructure or facility </w:t>
      </w:r>
      <w:r w:rsidR="009E1D12" w:rsidRPr="00902897">
        <w:rPr>
          <w:spacing w:val="-2"/>
          <w:sz w:val="22"/>
          <w:szCs w:val="22"/>
          <w:lang w:val="en-GB" w:eastAsia="en-GB"/>
        </w:rPr>
        <w:t xml:space="preserve">that was </w:t>
      </w:r>
      <w:r w:rsidRPr="00902897">
        <w:rPr>
          <w:spacing w:val="-2"/>
          <w:sz w:val="22"/>
          <w:szCs w:val="22"/>
          <w:lang w:val="en-GB" w:eastAsia="en-GB"/>
        </w:rPr>
        <w:t xml:space="preserve">necessary </w:t>
      </w:r>
      <w:r w:rsidR="009E1D12" w:rsidRPr="00902897">
        <w:rPr>
          <w:spacing w:val="-2"/>
          <w:sz w:val="22"/>
          <w:szCs w:val="22"/>
          <w:lang w:val="en-GB" w:eastAsia="en-GB"/>
        </w:rPr>
        <w:t>to</w:t>
      </w:r>
      <w:r w:rsidRPr="00902897">
        <w:rPr>
          <w:spacing w:val="-2"/>
          <w:sz w:val="22"/>
          <w:szCs w:val="22"/>
          <w:lang w:val="en-GB" w:eastAsia="en-GB"/>
        </w:rPr>
        <w:t xml:space="preserve"> access and compet</w:t>
      </w:r>
      <w:r w:rsidR="009E1D12" w:rsidRPr="00902897">
        <w:rPr>
          <w:spacing w:val="-2"/>
          <w:sz w:val="22"/>
          <w:szCs w:val="22"/>
          <w:lang w:val="en-GB" w:eastAsia="en-GB"/>
        </w:rPr>
        <w:t>e</w:t>
      </w:r>
      <w:r w:rsidRPr="00902897">
        <w:rPr>
          <w:spacing w:val="-2"/>
          <w:sz w:val="22"/>
          <w:szCs w:val="22"/>
          <w:lang w:val="en-GB" w:eastAsia="en-GB"/>
        </w:rPr>
        <w:t xml:space="preserve"> in the market</w:t>
      </w:r>
      <w:r w:rsidR="009E1D12" w:rsidRPr="00902897">
        <w:rPr>
          <w:spacing w:val="-2"/>
          <w:sz w:val="22"/>
          <w:szCs w:val="22"/>
          <w:lang w:val="en-GB" w:eastAsia="en-GB"/>
        </w:rPr>
        <w:t>. If that</w:t>
      </w:r>
      <w:r w:rsidRPr="00902897">
        <w:rPr>
          <w:spacing w:val="-2"/>
          <w:sz w:val="22"/>
          <w:szCs w:val="22"/>
          <w:lang w:val="en-GB" w:eastAsia="en-GB"/>
        </w:rPr>
        <w:t xml:space="preserve"> </w:t>
      </w:r>
      <w:r w:rsidR="009E1D12" w:rsidRPr="00902897">
        <w:rPr>
          <w:spacing w:val="-2"/>
          <w:sz w:val="22"/>
          <w:szCs w:val="22"/>
          <w:lang w:val="en-GB" w:eastAsia="en-GB"/>
        </w:rPr>
        <w:t xml:space="preserve">infrastructure or facility </w:t>
      </w:r>
      <w:r w:rsidRPr="00902897">
        <w:rPr>
          <w:spacing w:val="-2"/>
          <w:sz w:val="22"/>
          <w:szCs w:val="22"/>
          <w:lang w:val="en-GB" w:eastAsia="en-GB"/>
        </w:rPr>
        <w:t xml:space="preserve">was not easily reproducible in the short term or replaceable with other products and services, the </w:t>
      </w:r>
      <w:r w:rsidR="009E1D12" w:rsidRPr="00902897">
        <w:rPr>
          <w:spacing w:val="-2"/>
          <w:sz w:val="22"/>
          <w:szCs w:val="22"/>
          <w:lang w:val="en-GB" w:eastAsia="en-GB"/>
        </w:rPr>
        <w:t xml:space="preserve">dominant </w:t>
      </w:r>
      <w:r w:rsidRPr="00902897">
        <w:rPr>
          <w:spacing w:val="-2"/>
          <w:sz w:val="22"/>
          <w:szCs w:val="22"/>
          <w:lang w:val="en-GB" w:eastAsia="en-GB"/>
        </w:rPr>
        <w:t xml:space="preserve">enterprise could not refuse to share it with its competitors at a </w:t>
      </w:r>
      <w:r w:rsidRPr="00902897">
        <w:rPr>
          <w:spacing w:val="-2"/>
          <w:sz w:val="22"/>
          <w:szCs w:val="22"/>
          <w:lang w:val="en-GB" w:eastAsia="en-GB"/>
        </w:rPr>
        <w:lastRenderedPageBreak/>
        <w:t>reasonable cost (</w:t>
      </w:r>
      <w:r w:rsidR="009E1D12" w:rsidRPr="00902897">
        <w:rPr>
          <w:spacing w:val="-2"/>
          <w:sz w:val="22"/>
          <w:szCs w:val="22"/>
          <w:lang w:val="en-GB" w:eastAsia="en-GB"/>
        </w:rPr>
        <w:t>without</w:t>
      </w:r>
      <w:r w:rsidRPr="00902897">
        <w:rPr>
          <w:spacing w:val="-2"/>
          <w:sz w:val="22"/>
          <w:szCs w:val="22"/>
          <w:lang w:val="en-GB" w:eastAsia="en-GB"/>
        </w:rPr>
        <w:t xml:space="preserve"> sound justification). </w:t>
      </w:r>
      <w:r w:rsidR="009E1D12" w:rsidRPr="00902897">
        <w:rPr>
          <w:spacing w:val="-2"/>
          <w:sz w:val="22"/>
          <w:szCs w:val="22"/>
          <w:lang w:val="en-GB" w:eastAsia="en-GB"/>
        </w:rPr>
        <w:t>If the CCI deemed that this</w:t>
      </w:r>
      <w:r w:rsidRPr="00902897">
        <w:rPr>
          <w:spacing w:val="-2"/>
          <w:sz w:val="22"/>
          <w:szCs w:val="22"/>
          <w:lang w:val="en-GB" w:eastAsia="en-GB"/>
        </w:rPr>
        <w:t xml:space="preserve"> doctrine was being violated, it could order the dominant enterprise to share </w:t>
      </w:r>
      <w:r w:rsidR="009E1D12" w:rsidRPr="00902897">
        <w:rPr>
          <w:spacing w:val="-2"/>
          <w:sz w:val="22"/>
          <w:szCs w:val="22"/>
          <w:lang w:val="en-GB" w:eastAsia="en-GB"/>
        </w:rPr>
        <w:t>i</w:t>
      </w:r>
      <w:r w:rsidRPr="00902897">
        <w:rPr>
          <w:spacing w:val="-2"/>
          <w:sz w:val="22"/>
          <w:szCs w:val="22"/>
          <w:lang w:val="en-GB" w:eastAsia="en-GB"/>
        </w:rPr>
        <w:t>t</w:t>
      </w:r>
      <w:r w:rsidR="009E1D12" w:rsidRPr="00902897">
        <w:rPr>
          <w:spacing w:val="-2"/>
          <w:sz w:val="22"/>
          <w:szCs w:val="22"/>
          <w:lang w:val="en-GB" w:eastAsia="en-GB"/>
        </w:rPr>
        <w:t>s</w:t>
      </w:r>
      <w:r w:rsidRPr="00902897">
        <w:rPr>
          <w:spacing w:val="-2"/>
          <w:sz w:val="22"/>
          <w:szCs w:val="22"/>
          <w:lang w:val="en-GB" w:eastAsia="en-GB"/>
        </w:rPr>
        <w:t xml:space="preserve"> facilities with competitors in downstream markets.</w:t>
      </w:r>
      <w:r w:rsidRPr="00902897">
        <w:rPr>
          <w:spacing w:val="-2"/>
          <w:sz w:val="22"/>
          <w:szCs w:val="22"/>
          <w:vertAlign w:val="superscript"/>
          <w:lang w:val="en-GB" w:eastAsia="en-GB"/>
        </w:rPr>
        <w:endnoteReference w:id="76"/>
      </w:r>
    </w:p>
    <w:p w14:paraId="4F3B63FD" w14:textId="77777777" w:rsidR="00E971EB" w:rsidRDefault="00E971EB" w:rsidP="00A36B54">
      <w:pPr>
        <w:jc w:val="both"/>
        <w:rPr>
          <w:sz w:val="22"/>
          <w:szCs w:val="22"/>
          <w:lang w:val="en-GB" w:eastAsia="en-GB"/>
        </w:rPr>
      </w:pPr>
    </w:p>
    <w:p w14:paraId="5D70ECCE" w14:textId="6506D852" w:rsidR="00A36B54" w:rsidRPr="00433C05" w:rsidRDefault="00A36B54" w:rsidP="00A36B54">
      <w:pPr>
        <w:jc w:val="both"/>
        <w:rPr>
          <w:sz w:val="22"/>
          <w:szCs w:val="22"/>
          <w:lang w:val="en-GB" w:eastAsia="en-GB"/>
        </w:rPr>
      </w:pPr>
      <w:r w:rsidRPr="00433C05">
        <w:rPr>
          <w:sz w:val="22"/>
          <w:szCs w:val="22"/>
          <w:lang w:val="en-GB" w:eastAsia="en-GB"/>
        </w:rPr>
        <w:t>The CCI had the authority to direct enterprises found to be abusing their dominance to stop the</w:t>
      </w:r>
      <w:r w:rsidR="007D24F3">
        <w:rPr>
          <w:sz w:val="22"/>
          <w:szCs w:val="22"/>
          <w:lang w:val="en-GB" w:eastAsia="en-GB"/>
        </w:rPr>
        <w:t>ir practices</w:t>
      </w:r>
      <w:r w:rsidRPr="00433C05">
        <w:rPr>
          <w:sz w:val="22"/>
          <w:szCs w:val="22"/>
          <w:lang w:val="en-GB" w:eastAsia="en-GB"/>
        </w:rPr>
        <w:t xml:space="preserve">. </w:t>
      </w:r>
      <w:r w:rsidR="007D24F3">
        <w:rPr>
          <w:sz w:val="22"/>
          <w:szCs w:val="22"/>
          <w:lang w:val="en-GB" w:eastAsia="en-GB"/>
        </w:rPr>
        <w:t>Its</w:t>
      </w:r>
      <w:r w:rsidR="007D24F3" w:rsidRPr="00433C05">
        <w:rPr>
          <w:sz w:val="22"/>
          <w:szCs w:val="22"/>
          <w:lang w:val="en-GB" w:eastAsia="en-GB"/>
        </w:rPr>
        <w:t xml:space="preserve"> </w:t>
      </w:r>
      <w:r w:rsidRPr="00433C05">
        <w:rPr>
          <w:sz w:val="22"/>
          <w:szCs w:val="22"/>
          <w:lang w:val="en-GB" w:eastAsia="en-GB"/>
        </w:rPr>
        <w:t xml:space="preserve">actions </w:t>
      </w:r>
      <w:r w:rsidR="007D24F3">
        <w:rPr>
          <w:sz w:val="22"/>
          <w:szCs w:val="22"/>
          <w:lang w:val="en-GB" w:eastAsia="en-GB"/>
        </w:rPr>
        <w:t>were seen as</w:t>
      </w:r>
      <w:r w:rsidRPr="00433C05">
        <w:rPr>
          <w:sz w:val="22"/>
          <w:szCs w:val="22"/>
          <w:lang w:val="en-GB" w:eastAsia="en-GB"/>
        </w:rPr>
        <w:t xml:space="preserve"> help</w:t>
      </w:r>
      <w:r w:rsidR="007D24F3">
        <w:rPr>
          <w:sz w:val="22"/>
          <w:szCs w:val="22"/>
          <w:lang w:val="en-GB" w:eastAsia="en-GB"/>
        </w:rPr>
        <w:t>ing</w:t>
      </w:r>
      <w:r w:rsidRPr="00433C05">
        <w:rPr>
          <w:sz w:val="22"/>
          <w:szCs w:val="22"/>
          <w:lang w:val="en-GB" w:eastAsia="en-GB"/>
        </w:rPr>
        <w:t xml:space="preserve"> foster competition</w:t>
      </w:r>
      <w:r w:rsidR="007D24F3">
        <w:rPr>
          <w:sz w:val="22"/>
          <w:szCs w:val="22"/>
          <w:lang w:val="en-GB" w:eastAsia="en-GB"/>
        </w:rPr>
        <w:t xml:space="preserve"> and</w:t>
      </w:r>
      <w:r w:rsidRPr="00433C05">
        <w:rPr>
          <w:sz w:val="22"/>
          <w:szCs w:val="22"/>
          <w:lang w:val="en-GB" w:eastAsia="en-GB"/>
        </w:rPr>
        <w:t xml:space="preserve"> also mitigat</w:t>
      </w:r>
      <w:r w:rsidR="007D24F3">
        <w:rPr>
          <w:sz w:val="22"/>
          <w:szCs w:val="22"/>
          <w:lang w:val="en-GB" w:eastAsia="en-GB"/>
        </w:rPr>
        <w:t>ing</w:t>
      </w:r>
      <w:r w:rsidRPr="00433C05">
        <w:rPr>
          <w:sz w:val="22"/>
          <w:szCs w:val="22"/>
          <w:lang w:val="en-GB" w:eastAsia="en-GB"/>
        </w:rPr>
        <w:t xml:space="preserve"> the societal loss </w:t>
      </w:r>
      <w:r w:rsidR="007D24F3">
        <w:rPr>
          <w:sz w:val="22"/>
          <w:szCs w:val="22"/>
          <w:lang w:val="en-GB" w:eastAsia="en-GB"/>
        </w:rPr>
        <w:t>caused by</w:t>
      </w:r>
      <w:r w:rsidRPr="00433C05">
        <w:rPr>
          <w:sz w:val="22"/>
          <w:szCs w:val="22"/>
          <w:lang w:val="en-GB" w:eastAsia="en-GB"/>
        </w:rPr>
        <w:t xml:space="preserve"> market power, </w:t>
      </w:r>
      <w:r w:rsidR="007D24F3">
        <w:rPr>
          <w:sz w:val="22"/>
          <w:szCs w:val="22"/>
          <w:lang w:val="en-GB" w:eastAsia="en-GB"/>
        </w:rPr>
        <w:t xml:space="preserve">which was </w:t>
      </w:r>
      <w:r w:rsidRPr="00433C05">
        <w:rPr>
          <w:sz w:val="22"/>
          <w:szCs w:val="22"/>
          <w:lang w:val="en-GB" w:eastAsia="en-GB"/>
        </w:rPr>
        <w:t xml:space="preserve">theoretically </w:t>
      </w:r>
      <w:r w:rsidR="007D24F3">
        <w:rPr>
          <w:sz w:val="22"/>
          <w:szCs w:val="22"/>
          <w:lang w:val="en-GB" w:eastAsia="en-GB"/>
        </w:rPr>
        <w:t>referred to as</w:t>
      </w:r>
      <w:r w:rsidRPr="00433C05">
        <w:rPr>
          <w:sz w:val="22"/>
          <w:szCs w:val="22"/>
          <w:lang w:val="en-GB" w:eastAsia="en-GB"/>
        </w:rPr>
        <w:t xml:space="preserve"> </w:t>
      </w:r>
      <w:r w:rsidR="007D24F3" w:rsidRPr="00E63A8C">
        <w:rPr>
          <w:i/>
          <w:iCs/>
          <w:sz w:val="22"/>
          <w:szCs w:val="22"/>
          <w:lang w:val="en-GB" w:eastAsia="en-GB"/>
        </w:rPr>
        <w:t>d</w:t>
      </w:r>
      <w:r w:rsidRPr="00E63A8C">
        <w:rPr>
          <w:i/>
          <w:iCs/>
          <w:sz w:val="22"/>
          <w:szCs w:val="22"/>
          <w:lang w:val="en-GB" w:eastAsia="en-GB"/>
        </w:rPr>
        <w:t xml:space="preserve">eadweight </w:t>
      </w:r>
      <w:r w:rsidR="007D24F3" w:rsidRPr="00E63A8C">
        <w:rPr>
          <w:i/>
          <w:iCs/>
          <w:sz w:val="22"/>
          <w:szCs w:val="22"/>
          <w:lang w:val="en-GB" w:eastAsia="en-GB"/>
        </w:rPr>
        <w:t>l</w:t>
      </w:r>
      <w:r w:rsidRPr="00E63A8C">
        <w:rPr>
          <w:i/>
          <w:iCs/>
          <w:sz w:val="22"/>
          <w:szCs w:val="22"/>
          <w:lang w:val="en-GB" w:eastAsia="en-GB"/>
        </w:rPr>
        <w:t>oss</w:t>
      </w:r>
      <w:r w:rsidRPr="00433C05">
        <w:rPr>
          <w:sz w:val="22"/>
          <w:szCs w:val="22"/>
          <w:lang w:val="en-GB" w:eastAsia="en-GB"/>
        </w:rPr>
        <w:t>.</w:t>
      </w:r>
      <w:r w:rsidRPr="00433C05">
        <w:rPr>
          <w:sz w:val="22"/>
          <w:szCs w:val="22"/>
          <w:vertAlign w:val="superscript"/>
          <w:lang w:val="en-GB" w:eastAsia="en-GB"/>
        </w:rPr>
        <w:endnoteReference w:id="77"/>
      </w:r>
      <w:r w:rsidRPr="00433C05">
        <w:rPr>
          <w:sz w:val="22"/>
          <w:szCs w:val="22"/>
          <w:lang w:val="en-GB" w:eastAsia="en-GB"/>
        </w:rPr>
        <w:t xml:space="preserve"> </w:t>
      </w:r>
    </w:p>
    <w:p w14:paraId="1CDC75D4" w14:textId="77777777" w:rsidR="00A36B54" w:rsidRPr="00433C05" w:rsidRDefault="00A36B54" w:rsidP="00A36B54">
      <w:pPr>
        <w:jc w:val="both"/>
        <w:rPr>
          <w:sz w:val="22"/>
          <w:szCs w:val="22"/>
          <w:lang w:val="en-GB" w:eastAsia="en-GB"/>
        </w:rPr>
      </w:pPr>
    </w:p>
    <w:p w14:paraId="5177B833" w14:textId="77777777" w:rsidR="00F42694" w:rsidRPr="00433C05" w:rsidRDefault="00F42694" w:rsidP="00A36B54">
      <w:pPr>
        <w:pStyle w:val="BodyTextMain"/>
        <w:rPr>
          <w:lang w:val="en-GB"/>
        </w:rPr>
      </w:pPr>
    </w:p>
    <w:p w14:paraId="49E9C63E" w14:textId="52A5ADD6" w:rsidR="00A36B54" w:rsidRPr="00433C05" w:rsidRDefault="00A36B54" w:rsidP="00A36B54">
      <w:pPr>
        <w:jc w:val="both"/>
        <w:rPr>
          <w:rFonts w:ascii="Arial" w:hAnsi="Arial" w:cs="Arial"/>
          <w:b/>
          <w:bCs/>
          <w:lang w:val="en-GB" w:eastAsia="en-GB"/>
        </w:rPr>
      </w:pPr>
      <w:r w:rsidRPr="00433C05">
        <w:rPr>
          <w:rFonts w:ascii="Arial" w:hAnsi="Arial" w:cs="Arial"/>
          <w:b/>
          <w:bCs/>
          <w:lang w:val="en-GB" w:eastAsia="en-GB"/>
        </w:rPr>
        <w:t>GOOGLE AND ANTITRUST LEGISLATIONS</w:t>
      </w:r>
    </w:p>
    <w:p w14:paraId="28670434" w14:textId="77777777" w:rsidR="00A36B54" w:rsidRPr="00433C05" w:rsidRDefault="00A36B54" w:rsidP="00A36B54">
      <w:pPr>
        <w:jc w:val="both"/>
        <w:rPr>
          <w:sz w:val="24"/>
          <w:szCs w:val="24"/>
          <w:lang w:val="en-GB" w:eastAsia="en-GB"/>
        </w:rPr>
      </w:pPr>
    </w:p>
    <w:p w14:paraId="131903E7" w14:textId="15C57884" w:rsidR="00A36B54" w:rsidRPr="00613B53" w:rsidRDefault="00A36B54" w:rsidP="00A36B54">
      <w:pPr>
        <w:jc w:val="both"/>
        <w:rPr>
          <w:color w:val="000000"/>
          <w:sz w:val="22"/>
          <w:szCs w:val="22"/>
          <w:shd w:val="clear" w:color="auto" w:fill="FFFFFF"/>
          <w:lang w:val="en-GB" w:eastAsia="en-GB"/>
        </w:rPr>
      </w:pPr>
      <w:r w:rsidRPr="00613B53">
        <w:rPr>
          <w:sz w:val="22"/>
          <w:szCs w:val="22"/>
          <w:lang w:val="en-GB" w:eastAsia="en-GB"/>
        </w:rPr>
        <w:t>Google had been under antitrust scrutiny for a long time</w:t>
      </w:r>
      <w:r w:rsidR="002A2FAF" w:rsidRPr="00613B53">
        <w:rPr>
          <w:sz w:val="22"/>
          <w:szCs w:val="22"/>
          <w:lang w:val="en-GB" w:eastAsia="en-GB"/>
        </w:rPr>
        <w:t>. It also</w:t>
      </w:r>
      <w:r w:rsidRPr="00613B53">
        <w:rPr>
          <w:sz w:val="22"/>
          <w:szCs w:val="22"/>
          <w:lang w:val="en-GB" w:eastAsia="en-GB"/>
        </w:rPr>
        <w:t xml:space="preserve"> had </w:t>
      </w:r>
      <w:r w:rsidR="002A2FAF" w:rsidRPr="00613B53">
        <w:rPr>
          <w:sz w:val="22"/>
          <w:szCs w:val="22"/>
          <w:lang w:val="en-GB" w:eastAsia="en-GB"/>
        </w:rPr>
        <w:t xml:space="preserve">experienced </w:t>
      </w:r>
      <w:r w:rsidRPr="00613B53">
        <w:rPr>
          <w:sz w:val="22"/>
          <w:szCs w:val="22"/>
          <w:lang w:val="en-GB" w:eastAsia="en-GB"/>
        </w:rPr>
        <w:t xml:space="preserve">a series of </w:t>
      </w:r>
      <w:r w:rsidR="002A2FAF" w:rsidRPr="00613B53">
        <w:rPr>
          <w:sz w:val="22"/>
          <w:szCs w:val="22"/>
          <w:lang w:val="en-GB" w:eastAsia="en-GB"/>
        </w:rPr>
        <w:t>conflicts</w:t>
      </w:r>
      <w:r w:rsidRPr="00613B53">
        <w:rPr>
          <w:sz w:val="22"/>
          <w:szCs w:val="22"/>
          <w:lang w:val="en-GB" w:eastAsia="en-GB"/>
        </w:rPr>
        <w:t xml:space="preserve"> with antitrust regulatory authorities </w:t>
      </w:r>
      <w:r w:rsidR="002A2FAF" w:rsidRPr="00613B53">
        <w:rPr>
          <w:sz w:val="22"/>
          <w:szCs w:val="22"/>
          <w:lang w:val="en-GB" w:eastAsia="en-GB"/>
        </w:rPr>
        <w:t>across</w:t>
      </w:r>
      <w:r w:rsidRPr="00613B53">
        <w:rPr>
          <w:sz w:val="22"/>
          <w:szCs w:val="22"/>
          <w:lang w:val="en-GB" w:eastAsia="en-GB"/>
        </w:rPr>
        <w:t xml:space="preserve"> the world, including the European Union, the United States</w:t>
      </w:r>
      <w:r w:rsidR="002A2FAF" w:rsidRPr="00613B53">
        <w:rPr>
          <w:sz w:val="22"/>
          <w:szCs w:val="22"/>
          <w:lang w:val="en-GB" w:eastAsia="en-GB"/>
        </w:rPr>
        <w:t>,</w:t>
      </w:r>
      <w:r w:rsidRPr="00613B53">
        <w:rPr>
          <w:sz w:val="22"/>
          <w:szCs w:val="22"/>
          <w:lang w:val="en-GB" w:eastAsia="en-GB"/>
        </w:rPr>
        <w:t xml:space="preserve"> and Russia.</w:t>
      </w:r>
      <w:r w:rsidRPr="00613B53">
        <w:rPr>
          <w:sz w:val="22"/>
          <w:szCs w:val="22"/>
          <w:vertAlign w:val="superscript"/>
          <w:lang w:val="en-GB" w:eastAsia="en-GB"/>
        </w:rPr>
        <w:endnoteReference w:id="78"/>
      </w:r>
      <w:r w:rsidRPr="00613B53">
        <w:rPr>
          <w:sz w:val="22"/>
          <w:szCs w:val="22"/>
          <w:lang w:val="en-GB" w:eastAsia="en-GB"/>
        </w:rPr>
        <w:t xml:space="preserve"> In 2017, </w:t>
      </w:r>
      <w:r w:rsidRPr="00613B53">
        <w:rPr>
          <w:color w:val="000000"/>
          <w:sz w:val="22"/>
          <w:szCs w:val="22"/>
          <w:lang w:val="en-GB" w:eastAsia="en-GB"/>
        </w:rPr>
        <w:t xml:space="preserve">it reached a </w:t>
      </w:r>
      <w:r w:rsidR="002A2FAF" w:rsidRPr="00613B53">
        <w:rPr>
          <w:color w:val="000000"/>
          <w:sz w:val="22"/>
          <w:szCs w:val="22"/>
          <w:lang w:val="en-GB" w:eastAsia="en-GB"/>
        </w:rPr>
        <w:t>$</w:t>
      </w:r>
      <w:r w:rsidRPr="00613B53">
        <w:rPr>
          <w:color w:val="000000"/>
          <w:sz w:val="22"/>
          <w:szCs w:val="22"/>
          <w:lang w:val="en-GB" w:eastAsia="en-GB"/>
        </w:rPr>
        <w:t xml:space="preserve">7.8 million settlement with </w:t>
      </w:r>
      <w:r w:rsidRPr="00613B53">
        <w:rPr>
          <w:color w:val="000000"/>
          <w:sz w:val="22"/>
          <w:szCs w:val="22"/>
          <w:shd w:val="clear" w:color="auto" w:fill="FFFFFF"/>
          <w:lang w:val="en-GB" w:eastAsia="en-GB"/>
        </w:rPr>
        <w:t xml:space="preserve">Russia’s Federal Antimonopoly Service in an antitrust case involving </w:t>
      </w:r>
      <w:r w:rsidR="002A2FAF" w:rsidRPr="00613B53">
        <w:rPr>
          <w:color w:val="000000"/>
          <w:sz w:val="22"/>
          <w:szCs w:val="22"/>
          <w:shd w:val="clear" w:color="auto" w:fill="FFFFFF"/>
          <w:lang w:val="en-GB" w:eastAsia="en-GB"/>
        </w:rPr>
        <w:t xml:space="preserve">the </w:t>
      </w:r>
      <w:r w:rsidRPr="00613B53">
        <w:rPr>
          <w:color w:val="000000"/>
          <w:sz w:val="22"/>
          <w:szCs w:val="22"/>
          <w:shd w:val="clear" w:color="auto" w:fill="FFFFFF"/>
          <w:lang w:val="en-GB" w:eastAsia="en-GB"/>
        </w:rPr>
        <w:t xml:space="preserve">bundling of Google’s search engine with the Android OS. The </w:t>
      </w:r>
      <w:r w:rsidR="003867A7" w:rsidRPr="00613B53">
        <w:rPr>
          <w:color w:val="000000"/>
          <w:sz w:val="22"/>
          <w:szCs w:val="22"/>
          <w:shd w:val="clear" w:color="auto" w:fill="FFFFFF"/>
          <w:lang w:val="en-GB" w:eastAsia="en-GB"/>
        </w:rPr>
        <w:t>regulators</w:t>
      </w:r>
      <w:r w:rsidRPr="00613B53">
        <w:rPr>
          <w:color w:val="000000"/>
          <w:sz w:val="22"/>
          <w:szCs w:val="22"/>
          <w:shd w:val="clear" w:color="auto" w:fill="FFFFFF"/>
          <w:lang w:val="en-GB" w:eastAsia="en-GB"/>
        </w:rPr>
        <w:t xml:space="preserve"> ruled that Google </w:t>
      </w:r>
      <w:r w:rsidR="003867A7" w:rsidRPr="00613B53">
        <w:rPr>
          <w:color w:val="000000"/>
          <w:sz w:val="22"/>
          <w:szCs w:val="22"/>
          <w:shd w:val="clear" w:color="auto" w:fill="FFFFFF"/>
          <w:lang w:val="en-GB" w:eastAsia="en-GB"/>
        </w:rPr>
        <w:t>had to</w:t>
      </w:r>
      <w:r w:rsidRPr="00613B53">
        <w:rPr>
          <w:color w:val="000000"/>
          <w:sz w:val="22"/>
          <w:szCs w:val="22"/>
          <w:shd w:val="clear" w:color="auto" w:fill="FFFFFF"/>
          <w:lang w:val="en-GB" w:eastAsia="en-GB"/>
        </w:rPr>
        <w:t xml:space="preserve"> actively provide users with a choice of different search engines</w:t>
      </w:r>
      <w:r w:rsidR="003867A7" w:rsidRPr="00613B53">
        <w:rPr>
          <w:color w:val="000000"/>
          <w:sz w:val="22"/>
          <w:szCs w:val="22"/>
          <w:shd w:val="clear" w:color="auto" w:fill="FFFFFF"/>
          <w:lang w:val="en-GB" w:eastAsia="en-GB"/>
        </w:rPr>
        <w:t>, rather than simply making</w:t>
      </w:r>
      <w:r w:rsidRPr="00613B53">
        <w:rPr>
          <w:color w:val="000000"/>
          <w:sz w:val="22"/>
          <w:szCs w:val="22"/>
          <w:shd w:val="clear" w:color="auto" w:fill="FFFFFF"/>
          <w:lang w:val="en-GB" w:eastAsia="en-GB"/>
        </w:rPr>
        <w:t xml:space="preserve"> Google</w:t>
      </w:r>
      <w:r w:rsidR="003867A7" w:rsidRPr="00613B53">
        <w:rPr>
          <w:color w:val="000000"/>
          <w:sz w:val="22"/>
          <w:szCs w:val="22"/>
          <w:shd w:val="clear" w:color="auto" w:fill="FFFFFF"/>
          <w:lang w:val="en-GB" w:eastAsia="en-GB"/>
        </w:rPr>
        <w:t xml:space="preserve"> Search</w:t>
      </w:r>
      <w:r w:rsidRPr="00613B53">
        <w:rPr>
          <w:color w:val="000000"/>
          <w:sz w:val="22"/>
          <w:szCs w:val="22"/>
          <w:shd w:val="clear" w:color="auto" w:fill="FFFFFF"/>
          <w:lang w:val="en-GB" w:eastAsia="en-GB"/>
        </w:rPr>
        <w:t xml:space="preserve"> the default search engine. Th</w:t>
      </w:r>
      <w:r w:rsidR="003867A7" w:rsidRPr="00613B53">
        <w:rPr>
          <w:color w:val="000000"/>
          <w:sz w:val="22"/>
          <w:szCs w:val="22"/>
          <w:shd w:val="clear" w:color="auto" w:fill="FFFFFF"/>
          <w:lang w:val="en-GB" w:eastAsia="en-GB"/>
        </w:rPr>
        <w:t>e</w:t>
      </w:r>
      <w:r w:rsidRPr="00613B53">
        <w:rPr>
          <w:color w:val="000000"/>
          <w:sz w:val="22"/>
          <w:szCs w:val="22"/>
          <w:shd w:val="clear" w:color="auto" w:fill="FFFFFF"/>
          <w:lang w:val="en-GB" w:eastAsia="en-GB"/>
        </w:rPr>
        <w:t xml:space="preserve"> ruling</w:t>
      </w:r>
      <w:r w:rsidR="003867A7" w:rsidRPr="00613B53">
        <w:rPr>
          <w:color w:val="000000"/>
          <w:sz w:val="22"/>
          <w:szCs w:val="22"/>
          <w:shd w:val="clear" w:color="auto" w:fill="FFFFFF"/>
          <w:lang w:val="en-GB" w:eastAsia="en-GB"/>
        </w:rPr>
        <w:t xml:space="preserve"> had the effect of</w:t>
      </w:r>
      <w:r w:rsidRPr="00613B53">
        <w:rPr>
          <w:color w:val="000000"/>
          <w:sz w:val="22"/>
          <w:szCs w:val="22"/>
          <w:shd w:val="clear" w:color="auto" w:fill="FFFFFF"/>
          <w:lang w:val="en-GB" w:eastAsia="en-GB"/>
        </w:rPr>
        <w:t xml:space="preserve"> overturn</w:t>
      </w:r>
      <w:r w:rsidR="003867A7" w:rsidRPr="00613B53">
        <w:rPr>
          <w:color w:val="000000"/>
          <w:sz w:val="22"/>
          <w:szCs w:val="22"/>
          <w:shd w:val="clear" w:color="auto" w:fill="FFFFFF"/>
          <w:lang w:val="en-GB" w:eastAsia="en-GB"/>
        </w:rPr>
        <w:t>ing</w:t>
      </w:r>
      <w:r w:rsidRPr="00613B53">
        <w:rPr>
          <w:color w:val="000000"/>
          <w:sz w:val="22"/>
          <w:szCs w:val="22"/>
          <w:shd w:val="clear" w:color="auto" w:fill="FFFFFF"/>
          <w:lang w:val="en-GB" w:eastAsia="en-GB"/>
        </w:rPr>
        <w:t xml:space="preserve"> Google’s monopoly in the Russian market.</w:t>
      </w:r>
      <w:r w:rsidRPr="00613B53">
        <w:rPr>
          <w:color w:val="000000"/>
          <w:sz w:val="22"/>
          <w:szCs w:val="22"/>
          <w:shd w:val="clear" w:color="auto" w:fill="FFFFFF"/>
          <w:vertAlign w:val="superscript"/>
          <w:lang w:val="en-GB" w:eastAsia="en-GB"/>
        </w:rPr>
        <w:endnoteReference w:id="79"/>
      </w:r>
    </w:p>
    <w:p w14:paraId="41B7738F" w14:textId="77777777" w:rsidR="00A36B54" w:rsidRPr="00433C05" w:rsidRDefault="00A36B54" w:rsidP="00A36B54">
      <w:pPr>
        <w:jc w:val="both"/>
        <w:rPr>
          <w:color w:val="000000"/>
          <w:spacing w:val="-4"/>
          <w:sz w:val="22"/>
          <w:szCs w:val="22"/>
          <w:shd w:val="clear" w:color="auto" w:fill="FFFFFF"/>
          <w:lang w:val="en-GB" w:eastAsia="en-GB"/>
        </w:rPr>
      </w:pPr>
    </w:p>
    <w:p w14:paraId="1451906D" w14:textId="4FF8621A" w:rsidR="003867A7" w:rsidRDefault="00A36B54" w:rsidP="00A36B54">
      <w:pPr>
        <w:jc w:val="both"/>
        <w:rPr>
          <w:spacing w:val="-4"/>
          <w:sz w:val="22"/>
          <w:szCs w:val="22"/>
          <w:lang w:val="en-GB" w:eastAsia="en-GB"/>
        </w:rPr>
      </w:pPr>
      <w:r w:rsidRPr="00433C05">
        <w:rPr>
          <w:color w:val="000000"/>
          <w:spacing w:val="-4"/>
          <w:sz w:val="22"/>
          <w:szCs w:val="22"/>
          <w:lang w:val="en-GB" w:eastAsia="en-GB"/>
        </w:rPr>
        <w:t>In March 2019, Google had to pay €1.49 billion</w:t>
      </w:r>
      <w:r w:rsidR="005F0D5B">
        <w:rPr>
          <w:rStyle w:val="EndnoteReference"/>
          <w:color w:val="000000"/>
          <w:spacing w:val="-4"/>
          <w:sz w:val="22"/>
          <w:szCs w:val="22"/>
          <w:lang w:val="en-GB" w:eastAsia="en-GB"/>
        </w:rPr>
        <w:endnoteReference w:id="80"/>
      </w:r>
      <w:r w:rsidRPr="00433C05">
        <w:rPr>
          <w:color w:val="000000"/>
          <w:spacing w:val="-4"/>
          <w:sz w:val="22"/>
          <w:szCs w:val="22"/>
          <w:lang w:val="en-GB" w:eastAsia="en-GB"/>
        </w:rPr>
        <w:t xml:space="preserve"> for breaching E</w:t>
      </w:r>
      <w:r w:rsidR="003867A7">
        <w:rPr>
          <w:color w:val="000000"/>
          <w:spacing w:val="-4"/>
          <w:sz w:val="22"/>
          <w:szCs w:val="22"/>
          <w:lang w:val="en-GB" w:eastAsia="en-GB"/>
        </w:rPr>
        <w:t xml:space="preserve">uropean </w:t>
      </w:r>
      <w:r w:rsidRPr="00433C05">
        <w:rPr>
          <w:color w:val="000000"/>
          <w:spacing w:val="-4"/>
          <w:sz w:val="22"/>
          <w:szCs w:val="22"/>
          <w:lang w:val="en-GB" w:eastAsia="en-GB"/>
        </w:rPr>
        <w:t>U</w:t>
      </w:r>
      <w:r w:rsidR="003867A7">
        <w:rPr>
          <w:color w:val="000000"/>
          <w:spacing w:val="-4"/>
          <w:sz w:val="22"/>
          <w:szCs w:val="22"/>
          <w:lang w:val="en-GB" w:eastAsia="en-GB"/>
        </w:rPr>
        <w:t>nion</w:t>
      </w:r>
      <w:r w:rsidRPr="00433C05">
        <w:rPr>
          <w:color w:val="000000"/>
          <w:spacing w:val="-4"/>
          <w:sz w:val="22"/>
          <w:szCs w:val="22"/>
          <w:lang w:val="en-GB" w:eastAsia="en-GB"/>
        </w:rPr>
        <w:t xml:space="preserve"> antitrust rules in a case involving abusive practices </w:t>
      </w:r>
      <w:r w:rsidR="003867A7">
        <w:rPr>
          <w:color w:val="000000"/>
          <w:spacing w:val="-4"/>
          <w:sz w:val="22"/>
          <w:szCs w:val="22"/>
          <w:lang w:val="en-GB" w:eastAsia="en-GB"/>
        </w:rPr>
        <w:t>i</w:t>
      </w:r>
      <w:r w:rsidRPr="00433C05">
        <w:rPr>
          <w:color w:val="000000"/>
          <w:spacing w:val="-4"/>
          <w:sz w:val="22"/>
          <w:szCs w:val="22"/>
          <w:lang w:val="en-GB" w:eastAsia="en-GB"/>
        </w:rPr>
        <w:t>n online advertising</w:t>
      </w:r>
      <w:r w:rsidR="003867A7">
        <w:rPr>
          <w:color w:val="000000"/>
          <w:spacing w:val="-4"/>
          <w:sz w:val="22"/>
          <w:szCs w:val="22"/>
          <w:lang w:val="en-GB" w:eastAsia="en-GB"/>
        </w:rPr>
        <w:t>.</w:t>
      </w:r>
      <w:r w:rsidRPr="00433C05">
        <w:rPr>
          <w:color w:val="000000"/>
          <w:spacing w:val="-4"/>
          <w:sz w:val="22"/>
          <w:szCs w:val="22"/>
          <w:vertAlign w:val="superscript"/>
          <w:lang w:val="en-GB" w:eastAsia="en-GB"/>
        </w:rPr>
        <w:endnoteReference w:id="81"/>
      </w:r>
      <w:r w:rsidRPr="00433C05">
        <w:rPr>
          <w:color w:val="000000"/>
          <w:spacing w:val="-4"/>
          <w:sz w:val="22"/>
          <w:szCs w:val="22"/>
          <w:lang w:val="en-GB" w:eastAsia="en-GB"/>
        </w:rPr>
        <w:t xml:space="preserve"> </w:t>
      </w:r>
      <w:r w:rsidRPr="00433C05">
        <w:rPr>
          <w:color w:val="000000"/>
          <w:spacing w:val="-4"/>
          <w:sz w:val="22"/>
          <w:szCs w:val="22"/>
          <w:shd w:val="clear" w:color="auto" w:fill="FFFFFF"/>
          <w:lang w:val="en-GB" w:eastAsia="en-GB"/>
        </w:rPr>
        <w:t xml:space="preserve">After the </w:t>
      </w:r>
      <w:r w:rsidR="003867A7">
        <w:rPr>
          <w:color w:val="000000"/>
          <w:spacing w:val="-4"/>
          <w:sz w:val="22"/>
          <w:szCs w:val="22"/>
          <w:shd w:val="clear" w:color="auto" w:fill="FFFFFF"/>
          <w:lang w:val="en-GB" w:eastAsia="en-GB"/>
        </w:rPr>
        <w:t>regulator’s decision</w:t>
      </w:r>
      <w:r w:rsidRPr="00433C05">
        <w:rPr>
          <w:color w:val="000000"/>
          <w:spacing w:val="-4"/>
          <w:sz w:val="22"/>
          <w:szCs w:val="22"/>
          <w:shd w:val="clear" w:color="auto" w:fill="FFFFFF"/>
          <w:lang w:val="en-GB" w:eastAsia="en-GB"/>
        </w:rPr>
        <w:t xml:space="preserve">, </w:t>
      </w:r>
      <w:r w:rsidR="003867A7">
        <w:rPr>
          <w:color w:val="000000"/>
          <w:spacing w:val="-4"/>
          <w:sz w:val="22"/>
          <w:szCs w:val="22"/>
          <w:shd w:val="clear" w:color="auto" w:fill="FFFFFF"/>
          <w:lang w:val="en-GB" w:eastAsia="en-GB"/>
        </w:rPr>
        <w:t>Google was required</w:t>
      </w:r>
      <w:r w:rsidRPr="00433C05">
        <w:rPr>
          <w:color w:val="000000"/>
          <w:spacing w:val="-4"/>
          <w:sz w:val="22"/>
          <w:szCs w:val="22"/>
          <w:shd w:val="clear" w:color="auto" w:fill="FFFFFF"/>
          <w:lang w:val="en-GB" w:eastAsia="en-GB"/>
        </w:rPr>
        <w:t xml:space="preserve"> to </w:t>
      </w:r>
      <w:r w:rsidR="003867A7">
        <w:rPr>
          <w:color w:val="000000"/>
          <w:spacing w:val="-4"/>
          <w:sz w:val="22"/>
          <w:szCs w:val="22"/>
          <w:shd w:val="clear" w:color="auto" w:fill="FFFFFF"/>
          <w:lang w:val="en-GB" w:eastAsia="en-GB"/>
        </w:rPr>
        <w:t>allow</w:t>
      </w:r>
      <w:r w:rsidRPr="00433C05">
        <w:rPr>
          <w:color w:val="000000"/>
          <w:spacing w:val="-4"/>
          <w:sz w:val="22"/>
          <w:szCs w:val="22"/>
          <w:shd w:val="clear" w:color="auto" w:fill="FFFFFF"/>
          <w:lang w:val="en-GB" w:eastAsia="en-GB"/>
        </w:rPr>
        <w:t xml:space="preserve"> users a choice </w:t>
      </w:r>
      <w:r w:rsidR="003867A7">
        <w:rPr>
          <w:color w:val="000000"/>
          <w:spacing w:val="-4"/>
          <w:sz w:val="22"/>
          <w:szCs w:val="22"/>
          <w:shd w:val="clear" w:color="auto" w:fill="FFFFFF"/>
          <w:lang w:val="en-GB" w:eastAsia="en-GB"/>
        </w:rPr>
        <w:t>of</w:t>
      </w:r>
      <w:r w:rsidRPr="00433C05">
        <w:rPr>
          <w:color w:val="000000"/>
          <w:spacing w:val="-4"/>
          <w:sz w:val="22"/>
          <w:szCs w:val="22"/>
          <w:shd w:val="clear" w:color="auto" w:fill="FFFFFF"/>
          <w:lang w:val="en-GB" w:eastAsia="en-GB"/>
        </w:rPr>
        <w:t xml:space="preserve"> browser and search engine on their phones, rather than pre-installing Google’s own services.</w:t>
      </w:r>
      <w:r w:rsidRPr="00433C05">
        <w:rPr>
          <w:color w:val="000000"/>
          <w:spacing w:val="-4"/>
          <w:sz w:val="22"/>
          <w:szCs w:val="22"/>
          <w:shd w:val="clear" w:color="auto" w:fill="FFFFFF"/>
          <w:vertAlign w:val="superscript"/>
          <w:lang w:val="en-GB" w:eastAsia="en-GB"/>
        </w:rPr>
        <w:endnoteReference w:id="82"/>
      </w:r>
      <w:r w:rsidRPr="00433C05">
        <w:rPr>
          <w:color w:val="000000"/>
          <w:spacing w:val="-4"/>
          <w:sz w:val="22"/>
          <w:szCs w:val="22"/>
          <w:shd w:val="clear" w:color="auto" w:fill="FFFFFF"/>
          <w:lang w:val="en-GB" w:eastAsia="en-GB"/>
        </w:rPr>
        <w:t> </w:t>
      </w:r>
      <w:r w:rsidR="00E971EB">
        <w:rPr>
          <w:color w:val="000000"/>
          <w:spacing w:val="-4"/>
          <w:sz w:val="22"/>
          <w:szCs w:val="22"/>
          <w:shd w:val="clear" w:color="auto" w:fill="FFFFFF"/>
          <w:lang w:val="en-GB" w:eastAsia="en-GB"/>
        </w:rPr>
        <w:t xml:space="preserve">However, </w:t>
      </w:r>
      <w:r w:rsidR="003867A7">
        <w:rPr>
          <w:color w:val="000000"/>
          <w:spacing w:val="-4"/>
          <w:sz w:val="22"/>
          <w:szCs w:val="22"/>
          <w:shd w:val="clear" w:color="auto" w:fill="FFFFFF"/>
          <w:lang w:val="en-GB" w:eastAsia="en-GB"/>
        </w:rPr>
        <w:t>Google’s chief executive officer</w:t>
      </w:r>
      <w:r w:rsidR="00E971EB">
        <w:rPr>
          <w:color w:val="000000"/>
          <w:spacing w:val="-4"/>
          <w:sz w:val="22"/>
          <w:szCs w:val="22"/>
          <w:shd w:val="clear" w:color="auto" w:fill="FFFFFF"/>
          <w:lang w:val="en-GB" w:eastAsia="en-GB"/>
        </w:rPr>
        <w:t>,</w:t>
      </w:r>
      <w:r w:rsidR="003867A7">
        <w:rPr>
          <w:color w:val="000000"/>
          <w:spacing w:val="-4"/>
          <w:sz w:val="22"/>
          <w:szCs w:val="22"/>
          <w:shd w:val="clear" w:color="auto" w:fill="FFFFFF"/>
          <w:lang w:val="en-GB" w:eastAsia="en-GB"/>
        </w:rPr>
        <w:t xml:space="preserve"> </w:t>
      </w:r>
      <w:r w:rsidRPr="00433C05">
        <w:rPr>
          <w:spacing w:val="-4"/>
          <w:sz w:val="22"/>
          <w:szCs w:val="22"/>
          <w:lang w:val="en-GB" w:eastAsia="en-GB"/>
        </w:rPr>
        <w:t>Sundar Pichai</w:t>
      </w:r>
      <w:r w:rsidR="003867A7">
        <w:rPr>
          <w:spacing w:val="-4"/>
          <w:sz w:val="22"/>
          <w:szCs w:val="22"/>
          <w:lang w:val="en-GB" w:eastAsia="en-GB"/>
        </w:rPr>
        <w:t xml:space="preserve">, </w:t>
      </w:r>
      <w:r w:rsidRPr="00433C05">
        <w:rPr>
          <w:spacing w:val="-4"/>
          <w:sz w:val="22"/>
          <w:szCs w:val="22"/>
          <w:lang w:val="en-GB" w:eastAsia="en-GB"/>
        </w:rPr>
        <w:t>defended Google</w:t>
      </w:r>
      <w:r w:rsidR="003867A7">
        <w:rPr>
          <w:spacing w:val="-4"/>
          <w:sz w:val="22"/>
          <w:szCs w:val="22"/>
          <w:lang w:val="en-GB" w:eastAsia="en-GB"/>
        </w:rPr>
        <w:t>’s position</w:t>
      </w:r>
      <w:r w:rsidRPr="00433C05">
        <w:rPr>
          <w:spacing w:val="-4"/>
          <w:sz w:val="22"/>
          <w:szCs w:val="22"/>
          <w:lang w:val="en-GB" w:eastAsia="en-GB"/>
        </w:rPr>
        <w:t>:</w:t>
      </w:r>
    </w:p>
    <w:p w14:paraId="5FBEFA66" w14:textId="77777777" w:rsidR="003867A7" w:rsidRDefault="003867A7" w:rsidP="00A36B54">
      <w:pPr>
        <w:jc w:val="both"/>
        <w:rPr>
          <w:spacing w:val="-4"/>
          <w:sz w:val="22"/>
          <w:szCs w:val="22"/>
          <w:lang w:val="en-GB" w:eastAsia="en-GB"/>
        </w:rPr>
      </w:pPr>
    </w:p>
    <w:p w14:paraId="35D90918" w14:textId="331F1DD8" w:rsidR="00A36B54" w:rsidRPr="00433C05" w:rsidRDefault="00A36B54" w:rsidP="00E63A8C">
      <w:pPr>
        <w:ind w:left="720"/>
        <w:jc w:val="both"/>
        <w:rPr>
          <w:spacing w:val="-4"/>
          <w:sz w:val="22"/>
          <w:szCs w:val="22"/>
          <w:lang w:val="en-GB" w:eastAsia="en-GB"/>
        </w:rPr>
      </w:pPr>
      <w:r w:rsidRPr="00433C05">
        <w:rPr>
          <w:spacing w:val="-4"/>
          <w:sz w:val="22"/>
          <w:szCs w:val="22"/>
          <w:lang w:val="en-GB" w:eastAsia="en-GB"/>
        </w:rPr>
        <w:t>Rapid innovation, wide choice, and falling prices are classic hallmarks of robust competition, and Android has enabled all of them. Today’s decision rejects the business model that supports Android, which has created more choice for everyone, not less.</w:t>
      </w:r>
      <w:r w:rsidRPr="00433C05">
        <w:rPr>
          <w:spacing w:val="-4"/>
          <w:sz w:val="22"/>
          <w:szCs w:val="22"/>
          <w:vertAlign w:val="superscript"/>
          <w:lang w:val="en-GB" w:eastAsia="en-GB"/>
        </w:rPr>
        <w:endnoteReference w:id="83"/>
      </w:r>
    </w:p>
    <w:p w14:paraId="623EB6E2" w14:textId="77777777" w:rsidR="00A36B54" w:rsidRPr="00433C05" w:rsidRDefault="00A36B54" w:rsidP="00A36B54">
      <w:pPr>
        <w:jc w:val="both"/>
        <w:rPr>
          <w:sz w:val="22"/>
          <w:szCs w:val="22"/>
          <w:lang w:val="en-GB" w:eastAsia="en-GB"/>
        </w:rPr>
      </w:pPr>
    </w:p>
    <w:p w14:paraId="1AFADBCA" w14:textId="581860E0" w:rsidR="00A36B54" w:rsidRPr="00E56C8F" w:rsidRDefault="00A36B54" w:rsidP="00A36B54">
      <w:pPr>
        <w:jc w:val="both"/>
        <w:rPr>
          <w:spacing w:val="-4"/>
          <w:sz w:val="22"/>
          <w:szCs w:val="22"/>
          <w:lang w:val="en-GB" w:eastAsia="en-GB"/>
        </w:rPr>
      </w:pPr>
      <w:r w:rsidRPr="00E56C8F">
        <w:rPr>
          <w:spacing w:val="-4"/>
          <w:sz w:val="22"/>
          <w:szCs w:val="22"/>
          <w:lang w:val="en-GB" w:eastAsia="en-GB"/>
        </w:rPr>
        <w:t>Google</w:t>
      </w:r>
      <w:r w:rsidR="004B5C53" w:rsidRPr="00E56C8F">
        <w:rPr>
          <w:spacing w:val="-4"/>
          <w:sz w:val="22"/>
          <w:szCs w:val="22"/>
          <w:lang w:val="en-GB" w:eastAsia="en-GB"/>
        </w:rPr>
        <w:t>’s goal was</w:t>
      </w:r>
      <w:r w:rsidRPr="00E56C8F">
        <w:rPr>
          <w:spacing w:val="-4"/>
          <w:sz w:val="22"/>
          <w:szCs w:val="22"/>
          <w:lang w:val="en-GB" w:eastAsia="en-GB"/>
        </w:rPr>
        <w:t xml:space="preserve"> to expand its presence in India. In July 2020, </w:t>
      </w:r>
      <w:r w:rsidR="003867A7" w:rsidRPr="00E56C8F">
        <w:rPr>
          <w:spacing w:val="-4"/>
          <w:sz w:val="22"/>
          <w:szCs w:val="22"/>
          <w:lang w:val="en-GB" w:eastAsia="en-GB"/>
        </w:rPr>
        <w:t>the company</w:t>
      </w:r>
      <w:r w:rsidRPr="00E56C8F">
        <w:rPr>
          <w:spacing w:val="-4"/>
          <w:sz w:val="22"/>
          <w:szCs w:val="22"/>
          <w:lang w:val="en-GB" w:eastAsia="en-GB"/>
        </w:rPr>
        <w:t xml:space="preserve"> invested </w:t>
      </w:r>
      <w:r w:rsidR="003867A7" w:rsidRPr="00E56C8F">
        <w:rPr>
          <w:spacing w:val="-4"/>
          <w:sz w:val="22"/>
          <w:szCs w:val="22"/>
          <w:lang w:val="en-GB" w:eastAsia="en-GB"/>
        </w:rPr>
        <w:t>$</w:t>
      </w:r>
      <w:r w:rsidRPr="00E56C8F">
        <w:rPr>
          <w:spacing w:val="-4"/>
          <w:sz w:val="22"/>
          <w:szCs w:val="22"/>
          <w:lang w:val="en-GB" w:eastAsia="en-GB"/>
        </w:rPr>
        <w:t>10 billion in Jio Platforms, India’s largest tech</w:t>
      </w:r>
      <w:r w:rsidR="003867A7" w:rsidRPr="00E56C8F">
        <w:rPr>
          <w:spacing w:val="-4"/>
          <w:sz w:val="22"/>
          <w:szCs w:val="22"/>
          <w:lang w:val="en-GB" w:eastAsia="en-GB"/>
        </w:rPr>
        <w:t>nology</w:t>
      </w:r>
      <w:r w:rsidRPr="00E56C8F">
        <w:rPr>
          <w:spacing w:val="-4"/>
          <w:sz w:val="22"/>
          <w:szCs w:val="22"/>
          <w:lang w:val="en-GB" w:eastAsia="en-GB"/>
        </w:rPr>
        <w:t xml:space="preserve"> conglomerate, with a </w:t>
      </w:r>
      <w:r w:rsidR="003867A7" w:rsidRPr="00E56C8F">
        <w:rPr>
          <w:spacing w:val="-4"/>
          <w:sz w:val="22"/>
          <w:szCs w:val="22"/>
          <w:lang w:val="en-GB" w:eastAsia="en-GB"/>
        </w:rPr>
        <w:t>plan</w:t>
      </w:r>
      <w:r w:rsidRPr="00E56C8F">
        <w:rPr>
          <w:spacing w:val="-4"/>
          <w:sz w:val="22"/>
          <w:szCs w:val="22"/>
          <w:lang w:val="en-GB" w:eastAsia="en-GB"/>
        </w:rPr>
        <w:t xml:space="preserve"> to begin producing its own, low-cost smartphones for the Indian market.</w:t>
      </w:r>
      <w:r w:rsidRPr="00E56C8F">
        <w:rPr>
          <w:spacing w:val="-4"/>
          <w:sz w:val="22"/>
          <w:szCs w:val="22"/>
          <w:vertAlign w:val="superscript"/>
          <w:lang w:val="en-GB" w:eastAsia="en-GB"/>
        </w:rPr>
        <w:endnoteReference w:id="84"/>
      </w:r>
      <w:r w:rsidRPr="00E56C8F">
        <w:rPr>
          <w:spacing w:val="-4"/>
          <w:sz w:val="22"/>
          <w:szCs w:val="22"/>
          <w:lang w:val="en-GB" w:eastAsia="en-GB"/>
        </w:rPr>
        <w:t xml:space="preserve"> However, </w:t>
      </w:r>
      <w:r w:rsidR="003867A7" w:rsidRPr="00E56C8F">
        <w:rPr>
          <w:spacing w:val="-4"/>
          <w:sz w:val="22"/>
          <w:szCs w:val="22"/>
          <w:lang w:val="en-GB" w:eastAsia="en-GB"/>
        </w:rPr>
        <w:t>the company soon</w:t>
      </w:r>
      <w:r w:rsidRPr="00E56C8F">
        <w:rPr>
          <w:spacing w:val="-4"/>
          <w:sz w:val="22"/>
          <w:szCs w:val="22"/>
          <w:lang w:val="en-GB" w:eastAsia="en-GB"/>
        </w:rPr>
        <w:t xml:space="preserve"> faced three major antitrust challenges. In 2018, </w:t>
      </w:r>
      <w:r w:rsidR="003867A7" w:rsidRPr="00E56C8F">
        <w:rPr>
          <w:spacing w:val="-4"/>
          <w:sz w:val="22"/>
          <w:szCs w:val="22"/>
          <w:lang w:val="en-GB" w:eastAsia="en-GB"/>
        </w:rPr>
        <w:t xml:space="preserve">the </w:t>
      </w:r>
      <w:r w:rsidRPr="00E56C8F">
        <w:rPr>
          <w:spacing w:val="-4"/>
          <w:sz w:val="22"/>
          <w:szCs w:val="22"/>
          <w:lang w:val="en-GB" w:eastAsia="en-GB"/>
        </w:rPr>
        <w:t xml:space="preserve">CCI fined Google </w:t>
      </w:r>
      <w:r w:rsidR="003867A7" w:rsidRPr="00E56C8F">
        <w:rPr>
          <w:spacing w:val="-4"/>
          <w:sz w:val="22"/>
          <w:szCs w:val="22"/>
          <w:lang w:val="en-GB" w:eastAsia="en-GB"/>
        </w:rPr>
        <w:t>$</w:t>
      </w:r>
      <w:r w:rsidRPr="00E56C8F">
        <w:rPr>
          <w:spacing w:val="-4"/>
          <w:sz w:val="22"/>
          <w:szCs w:val="22"/>
          <w:lang w:val="en-GB" w:eastAsia="en-GB"/>
        </w:rPr>
        <w:t>21 million for “abuse of a dominant position in the market for online search through practices leading to ‘search bias’ and search manipulation, among others</w:t>
      </w:r>
      <w:r w:rsidR="003867A7" w:rsidRPr="00E56C8F">
        <w:rPr>
          <w:spacing w:val="-4"/>
          <w:sz w:val="22"/>
          <w:szCs w:val="22"/>
          <w:lang w:val="en-GB" w:eastAsia="en-GB"/>
        </w:rPr>
        <w:t>.</w:t>
      </w:r>
      <w:r w:rsidRPr="00E56C8F">
        <w:rPr>
          <w:spacing w:val="-4"/>
          <w:sz w:val="22"/>
          <w:szCs w:val="22"/>
          <w:lang w:val="en-GB" w:eastAsia="en-GB"/>
        </w:rPr>
        <w:t>”</w:t>
      </w:r>
      <w:r w:rsidRPr="00E56C8F">
        <w:rPr>
          <w:spacing w:val="-4"/>
          <w:sz w:val="22"/>
          <w:szCs w:val="22"/>
          <w:vertAlign w:val="superscript"/>
          <w:lang w:val="en-GB" w:eastAsia="en-GB"/>
        </w:rPr>
        <w:endnoteReference w:id="85"/>
      </w:r>
      <w:r w:rsidRPr="00E56C8F">
        <w:rPr>
          <w:spacing w:val="-4"/>
          <w:sz w:val="22"/>
          <w:szCs w:val="22"/>
          <w:lang w:val="en-GB" w:eastAsia="en-GB"/>
        </w:rPr>
        <w:t xml:space="preserve"> In 2019, the CCI </w:t>
      </w:r>
      <w:r w:rsidR="005C28F2">
        <w:rPr>
          <w:spacing w:val="-4"/>
          <w:sz w:val="22"/>
          <w:szCs w:val="22"/>
          <w:lang w:val="en-GB" w:eastAsia="en-GB"/>
        </w:rPr>
        <w:t>initiated a</w:t>
      </w:r>
      <w:r w:rsidRPr="00E56C8F">
        <w:rPr>
          <w:spacing w:val="-4"/>
          <w:sz w:val="22"/>
          <w:szCs w:val="22"/>
          <w:lang w:val="en-GB" w:eastAsia="en-GB"/>
        </w:rPr>
        <w:t xml:space="preserve"> prob</w:t>
      </w:r>
      <w:r w:rsidR="005C28F2">
        <w:rPr>
          <w:spacing w:val="-4"/>
          <w:sz w:val="22"/>
          <w:szCs w:val="22"/>
          <w:lang w:val="en-GB" w:eastAsia="en-GB"/>
        </w:rPr>
        <w:t>e</w:t>
      </w:r>
      <w:r w:rsidRPr="00E56C8F">
        <w:rPr>
          <w:spacing w:val="-4"/>
          <w:sz w:val="22"/>
          <w:szCs w:val="22"/>
          <w:lang w:val="en-GB" w:eastAsia="en-GB"/>
        </w:rPr>
        <w:t xml:space="preserve"> </w:t>
      </w:r>
      <w:r w:rsidR="005C28F2">
        <w:rPr>
          <w:spacing w:val="-4"/>
          <w:sz w:val="22"/>
          <w:szCs w:val="22"/>
          <w:lang w:val="en-GB" w:eastAsia="en-GB"/>
        </w:rPr>
        <w:t xml:space="preserve">against </w:t>
      </w:r>
      <w:r w:rsidRPr="00E56C8F">
        <w:rPr>
          <w:spacing w:val="-4"/>
          <w:sz w:val="22"/>
          <w:szCs w:val="22"/>
          <w:lang w:val="en-GB" w:eastAsia="en-GB"/>
        </w:rPr>
        <w:t xml:space="preserve">Google </w:t>
      </w:r>
      <w:r w:rsidR="005C28F2">
        <w:rPr>
          <w:spacing w:val="-4"/>
          <w:sz w:val="22"/>
          <w:szCs w:val="22"/>
          <w:lang w:val="en-GB" w:eastAsia="en-GB"/>
        </w:rPr>
        <w:t xml:space="preserve">to investigate the misuse of its </w:t>
      </w:r>
      <w:r w:rsidRPr="00E56C8F">
        <w:rPr>
          <w:spacing w:val="-4"/>
          <w:sz w:val="22"/>
          <w:szCs w:val="22"/>
          <w:lang w:val="en-GB" w:eastAsia="en-GB"/>
        </w:rPr>
        <w:t xml:space="preserve">dominant position </w:t>
      </w:r>
      <w:r w:rsidR="005C28F2">
        <w:rPr>
          <w:spacing w:val="-4"/>
          <w:sz w:val="22"/>
          <w:szCs w:val="22"/>
          <w:lang w:val="en-GB" w:eastAsia="en-GB"/>
        </w:rPr>
        <w:t>for preventing</w:t>
      </w:r>
      <w:r w:rsidR="003867A7" w:rsidRPr="00E56C8F">
        <w:rPr>
          <w:spacing w:val="-4"/>
          <w:sz w:val="22"/>
          <w:szCs w:val="22"/>
          <w:lang w:val="en-GB" w:eastAsia="en-GB"/>
        </w:rPr>
        <w:t xml:space="preserve"> </w:t>
      </w:r>
      <w:r w:rsidRPr="00E56C8F">
        <w:rPr>
          <w:spacing w:val="-4"/>
          <w:sz w:val="22"/>
          <w:szCs w:val="22"/>
          <w:lang w:val="en-GB" w:eastAsia="en-GB"/>
        </w:rPr>
        <w:t xml:space="preserve">smartphone manufacturers </w:t>
      </w:r>
      <w:r w:rsidR="005C28F2">
        <w:rPr>
          <w:spacing w:val="-4"/>
          <w:sz w:val="22"/>
          <w:szCs w:val="22"/>
          <w:lang w:val="en-GB" w:eastAsia="en-GB"/>
        </w:rPr>
        <w:t>from</w:t>
      </w:r>
      <w:r w:rsidRPr="00E56C8F">
        <w:rPr>
          <w:spacing w:val="-4"/>
          <w:sz w:val="22"/>
          <w:szCs w:val="22"/>
          <w:lang w:val="en-GB" w:eastAsia="en-GB"/>
        </w:rPr>
        <w:t xml:space="preserve"> opt</w:t>
      </w:r>
      <w:r w:rsidR="005C28F2">
        <w:rPr>
          <w:spacing w:val="-4"/>
          <w:sz w:val="22"/>
          <w:szCs w:val="22"/>
          <w:lang w:val="en-GB" w:eastAsia="en-GB"/>
        </w:rPr>
        <w:t>ing</w:t>
      </w:r>
      <w:r w:rsidRPr="00E56C8F">
        <w:rPr>
          <w:spacing w:val="-4"/>
          <w:sz w:val="22"/>
          <w:szCs w:val="22"/>
          <w:lang w:val="en-GB" w:eastAsia="en-GB"/>
        </w:rPr>
        <w:t xml:space="preserve"> for </w:t>
      </w:r>
      <w:r w:rsidR="005C28F2">
        <w:rPr>
          <w:spacing w:val="-4"/>
          <w:sz w:val="22"/>
          <w:szCs w:val="22"/>
          <w:lang w:val="en-GB" w:eastAsia="en-GB"/>
        </w:rPr>
        <w:t xml:space="preserve">other </w:t>
      </w:r>
      <w:r w:rsidRPr="00E56C8F">
        <w:rPr>
          <w:spacing w:val="-4"/>
          <w:sz w:val="22"/>
          <w:szCs w:val="22"/>
          <w:lang w:val="en-GB" w:eastAsia="en-GB"/>
        </w:rPr>
        <w:t>Android mobile operating system</w:t>
      </w:r>
      <w:r w:rsidR="005C28F2">
        <w:rPr>
          <w:spacing w:val="-4"/>
          <w:sz w:val="22"/>
          <w:szCs w:val="22"/>
          <w:lang w:val="en-GB" w:eastAsia="en-GB"/>
        </w:rPr>
        <w:t>s</w:t>
      </w:r>
      <w:r w:rsidRPr="00E56C8F">
        <w:rPr>
          <w:spacing w:val="-4"/>
          <w:sz w:val="22"/>
          <w:szCs w:val="22"/>
          <w:lang w:val="en-GB" w:eastAsia="en-GB"/>
        </w:rPr>
        <w:t xml:space="preserve">. In May 2020, another complaint </w:t>
      </w:r>
      <w:r w:rsidR="003867A7" w:rsidRPr="00E56C8F">
        <w:rPr>
          <w:spacing w:val="-4"/>
          <w:sz w:val="22"/>
          <w:szCs w:val="22"/>
          <w:lang w:val="en-GB" w:eastAsia="en-GB"/>
        </w:rPr>
        <w:t>was</w:t>
      </w:r>
      <w:r w:rsidRPr="00E56C8F">
        <w:rPr>
          <w:spacing w:val="-4"/>
          <w:sz w:val="22"/>
          <w:szCs w:val="22"/>
          <w:lang w:val="en-GB" w:eastAsia="en-GB"/>
        </w:rPr>
        <w:t xml:space="preserve"> raised against Google </w:t>
      </w:r>
      <w:r w:rsidR="003867A7" w:rsidRPr="00E56C8F">
        <w:rPr>
          <w:spacing w:val="-4"/>
          <w:sz w:val="22"/>
          <w:szCs w:val="22"/>
          <w:lang w:val="en-GB" w:eastAsia="en-GB"/>
        </w:rPr>
        <w:t xml:space="preserve">in India </w:t>
      </w:r>
      <w:r w:rsidRPr="00E56C8F">
        <w:rPr>
          <w:spacing w:val="-4"/>
          <w:sz w:val="22"/>
          <w:szCs w:val="22"/>
          <w:lang w:val="en-GB" w:eastAsia="en-GB"/>
        </w:rPr>
        <w:t>for abus</w:t>
      </w:r>
      <w:r w:rsidR="00EA3D29" w:rsidRPr="00E56C8F">
        <w:rPr>
          <w:spacing w:val="-4"/>
          <w:sz w:val="22"/>
          <w:szCs w:val="22"/>
          <w:lang w:val="en-GB" w:eastAsia="en-GB"/>
        </w:rPr>
        <w:t>ing</w:t>
      </w:r>
      <w:r w:rsidRPr="00E56C8F">
        <w:rPr>
          <w:spacing w:val="-4"/>
          <w:sz w:val="22"/>
          <w:szCs w:val="22"/>
          <w:lang w:val="en-GB" w:eastAsia="en-GB"/>
        </w:rPr>
        <w:t xml:space="preserve"> its dominant position to unfairly promote its mobile payments app</w:t>
      </w:r>
      <w:r w:rsidR="004B5C53" w:rsidRPr="00E56C8F">
        <w:rPr>
          <w:spacing w:val="-4"/>
          <w:sz w:val="22"/>
          <w:szCs w:val="22"/>
          <w:lang w:val="en-GB" w:eastAsia="en-GB"/>
        </w:rPr>
        <w:t>,</w:t>
      </w:r>
      <w:r w:rsidRPr="00E56C8F">
        <w:rPr>
          <w:spacing w:val="-4"/>
          <w:sz w:val="22"/>
          <w:szCs w:val="22"/>
          <w:lang w:val="en-GB" w:eastAsia="en-GB"/>
        </w:rPr>
        <w:t xml:space="preserve"> Google Pay</w:t>
      </w:r>
      <w:r w:rsidR="004B5C53" w:rsidRPr="00E56C8F">
        <w:rPr>
          <w:spacing w:val="-4"/>
          <w:sz w:val="22"/>
          <w:szCs w:val="22"/>
          <w:lang w:val="en-GB" w:eastAsia="en-GB"/>
        </w:rPr>
        <w:t>,</w:t>
      </w:r>
      <w:r w:rsidRPr="00E56C8F">
        <w:rPr>
          <w:spacing w:val="-4"/>
          <w:sz w:val="22"/>
          <w:szCs w:val="22"/>
          <w:lang w:val="en-GB" w:eastAsia="en-GB"/>
        </w:rPr>
        <w:t xml:space="preserve"> over that of </w:t>
      </w:r>
      <w:r w:rsidR="004B5C53" w:rsidRPr="00E56C8F">
        <w:rPr>
          <w:spacing w:val="-4"/>
          <w:sz w:val="22"/>
          <w:szCs w:val="22"/>
          <w:lang w:val="en-GB" w:eastAsia="en-GB"/>
        </w:rPr>
        <w:t>competitors</w:t>
      </w:r>
      <w:r w:rsidR="003867A7" w:rsidRPr="00E56C8F">
        <w:rPr>
          <w:spacing w:val="-4"/>
          <w:sz w:val="22"/>
          <w:szCs w:val="22"/>
          <w:lang w:val="en-GB" w:eastAsia="en-GB"/>
        </w:rPr>
        <w:t xml:space="preserve"> </w:t>
      </w:r>
      <w:r w:rsidR="00102A2E" w:rsidRPr="00E56C8F">
        <w:rPr>
          <w:spacing w:val="-4"/>
          <w:sz w:val="22"/>
          <w:szCs w:val="22"/>
          <w:lang w:val="en-GB" w:eastAsia="en-GB"/>
        </w:rPr>
        <w:t xml:space="preserve">Paytm </w:t>
      </w:r>
      <w:r w:rsidR="00EA3D29" w:rsidRPr="00E56C8F">
        <w:rPr>
          <w:spacing w:val="-4"/>
          <w:sz w:val="22"/>
          <w:szCs w:val="22"/>
          <w:lang w:val="en-GB" w:eastAsia="en-GB"/>
        </w:rPr>
        <w:t>(</w:t>
      </w:r>
      <w:r w:rsidR="00102A2E" w:rsidRPr="00E56C8F">
        <w:rPr>
          <w:spacing w:val="-4"/>
          <w:sz w:val="22"/>
          <w:szCs w:val="22"/>
          <w:lang w:val="en-GB" w:eastAsia="en-GB"/>
        </w:rPr>
        <w:t xml:space="preserve">backed by </w:t>
      </w:r>
      <w:r w:rsidRPr="00E56C8F">
        <w:rPr>
          <w:spacing w:val="-4"/>
          <w:sz w:val="22"/>
          <w:szCs w:val="22"/>
          <w:lang w:val="en-GB" w:eastAsia="en-GB"/>
        </w:rPr>
        <w:t>SoftBank</w:t>
      </w:r>
      <w:r w:rsidR="00102A2E" w:rsidRPr="00E56C8F">
        <w:rPr>
          <w:spacing w:val="-4"/>
          <w:sz w:val="22"/>
          <w:szCs w:val="22"/>
          <w:lang w:val="en-GB" w:eastAsia="en-GB"/>
        </w:rPr>
        <w:t xml:space="preserve"> Group Corp.</w:t>
      </w:r>
      <w:r w:rsidR="00EA3D29" w:rsidRPr="00E56C8F">
        <w:rPr>
          <w:spacing w:val="-4"/>
          <w:sz w:val="22"/>
          <w:szCs w:val="22"/>
          <w:lang w:val="en-GB" w:eastAsia="en-GB"/>
        </w:rPr>
        <w:t>)</w:t>
      </w:r>
      <w:r w:rsidRPr="00E56C8F">
        <w:rPr>
          <w:spacing w:val="-4"/>
          <w:sz w:val="22"/>
          <w:szCs w:val="22"/>
          <w:lang w:val="en-GB" w:eastAsia="en-GB"/>
        </w:rPr>
        <w:t xml:space="preserve"> and PhonePe</w:t>
      </w:r>
      <w:r w:rsidR="00102A2E" w:rsidRPr="00E56C8F">
        <w:rPr>
          <w:spacing w:val="-4"/>
          <w:sz w:val="22"/>
          <w:szCs w:val="22"/>
          <w:lang w:val="en-GB" w:eastAsia="en-GB"/>
        </w:rPr>
        <w:t xml:space="preserve"> </w:t>
      </w:r>
      <w:r w:rsidR="00EA3D29" w:rsidRPr="00E56C8F">
        <w:rPr>
          <w:spacing w:val="-4"/>
          <w:sz w:val="22"/>
          <w:szCs w:val="22"/>
          <w:lang w:val="en-GB" w:eastAsia="en-GB"/>
        </w:rPr>
        <w:t>(</w:t>
      </w:r>
      <w:r w:rsidR="00102A2E" w:rsidRPr="00E56C8F">
        <w:rPr>
          <w:spacing w:val="-4"/>
          <w:sz w:val="22"/>
          <w:szCs w:val="22"/>
          <w:lang w:val="en-GB" w:eastAsia="en-GB"/>
        </w:rPr>
        <w:t>backed by Walmart Inc</w:t>
      </w:r>
      <w:r w:rsidR="00EA3D29" w:rsidRPr="00E56C8F">
        <w:rPr>
          <w:spacing w:val="-4"/>
          <w:sz w:val="22"/>
          <w:szCs w:val="22"/>
          <w:lang w:val="en-GB" w:eastAsia="en-GB"/>
        </w:rPr>
        <w:t>)</w:t>
      </w:r>
      <w:r w:rsidRPr="00E56C8F">
        <w:rPr>
          <w:spacing w:val="-4"/>
          <w:sz w:val="22"/>
          <w:szCs w:val="22"/>
          <w:lang w:val="en-GB" w:eastAsia="en-GB"/>
        </w:rPr>
        <w:t>.</w:t>
      </w:r>
      <w:r w:rsidRPr="00E56C8F">
        <w:rPr>
          <w:spacing w:val="-4"/>
          <w:sz w:val="22"/>
          <w:szCs w:val="22"/>
          <w:vertAlign w:val="superscript"/>
          <w:lang w:val="en-GB" w:eastAsia="en-GB"/>
        </w:rPr>
        <w:endnoteReference w:id="86"/>
      </w:r>
    </w:p>
    <w:p w14:paraId="24CE8623" w14:textId="77777777" w:rsidR="00A36B54" w:rsidRPr="00433C05" w:rsidRDefault="00A36B54" w:rsidP="00A36B54">
      <w:pPr>
        <w:jc w:val="both"/>
        <w:rPr>
          <w:sz w:val="22"/>
          <w:szCs w:val="22"/>
          <w:lang w:val="en-GB" w:eastAsia="en-GB"/>
        </w:rPr>
      </w:pPr>
    </w:p>
    <w:p w14:paraId="65B7D63B" w14:textId="15D3D126" w:rsidR="00C122BF" w:rsidRPr="00433C05" w:rsidRDefault="00A36B54" w:rsidP="00A36B54">
      <w:pPr>
        <w:pStyle w:val="Casehead1"/>
        <w:rPr>
          <w:rFonts w:ascii="Times New Roman" w:hAnsi="Times New Roman" w:cs="Times New Roman"/>
          <w:b w:val="0"/>
          <w:caps w:val="0"/>
          <w:sz w:val="22"/>
          <w:szCs w:val="22"/>
          <w:lang w:val="en-GB" w:eastAsia="en-GB"/>
        </w:rPr>
      </w:pPr>
      <w:r w:rsidRPr="00433C05">
        <w:rPr>
          <w:rFonts w:ascii="Times New Roman" w:hAnsi="Times New Roman" w:cs="Times New Roman"/>
          <w:b w:val="0"/>
          <w:caps w:val="0"/>
          <w:sz w:val="22"/>
          <w:szCs w:val="22"/>
          <w:lang w:val="en-GB" w:eastAsia="en-GB"/>
        </w:rPr>
        <w:t xml:space="preserve">Google’s </w:t>
      </w:r>
      <w:r w:rsidR="00774D5E">
        <w:rPr>
          <w:rFonts w:ascii="Times New Roman" w:hAnsi="Times New Roman" w:cs="Times New Roman"/>
          <w:b w:val="0"/>
          <w:caps w:val="0"/>
          <w:sz w:val="22"/>
          <w:szCs w:val="22"/>
          <w:lang w:val="en-GB" w:eastAsia="en-GB"/>
        </w:rPr>
        <w:t>conflicts</w:t>
      </w:r>
      <w:r w:rsidRPr="00433C05">
        <w:rPr>
          <w:rFonts w:ascii="Times New Roman" w:hAnsi="Times New Roman" w:cs="Times New Roman"/>
          <w:b w:val="0"/>
          <w:caps w:val="0"/>
          <w:sz w:val="22"/>
          <w:szCs w:val="22"/>
          <w:lang w:val="en-GB" w:eastAsia="en-GB"/>
        </w:rPr>
        <w:t xml:space="preserve"> with Indian start-ups </w:t>
      </w:r>
      <w:r w:rsidR="00774D5E">
        <w:rPr>
          <w:rFonts w:ascii="Times New Roman" w:hAnsi="Times New Roman" w:cs="Times New Roman"/>
          <w:b w:val="0"/>
          <w:caps w:val="0"/>
          <w:sz w:val="22"/>
          <w:szCs w:val="22"/>
          <w:lang w:val="en-GB" w:eastAsia="en-GB"/>
        </w:rPr>
        <w:t>was</w:t>
      </w:r>
      <w:r w:rsidRPr="00433C05">
        <w:rPr>
          <w:rFonts w:ascii="Times New Roman" w:hAnsi="Times New Roman" w:cs="Times New Roman"/>
          <w:b w:val="0"/>
          <w:caps w:val="0"/>
          <w:sz w:val="22"/>
          <w:szCs w:val="22"/>
          <w:lang w:val="en-GB" w:eastAsia="en-GB"/>
        </w:rPr>
        <w:t xml:space="preserve"> strain</w:t>
      </w:r>
      <w:r w:rsidR="00774D5E">
        <w:rPr>
          <w:rFonts w:ascii="Times New Roman" w:hAnsi="Times New Roman" w:cs="Times New Roman"/>
          <w:b w:val="0"/>
          <w:caps w:val="0"/>
          <w:sz w:val="22"/>
          <w:szCs w:val="22"/>
          <w:lang w:val="en-GB" w:eastAsia="en-GB"/>
        </w:rPr>
        <w:t>ing the technology giant’s</w:t>
      </w:r>
      <w:r w:rsidRPr="00433C05">
        <w:rPr>
          <w:rFonts w:ascii="Times New Roman" w:hAnsi="Times New Roman" w:cs="Times New Roman"/>
          <w:b w:val="0"/>
          <w:caps w:val="0"/>
          <w:sz w:val="22"/>
          <w:szCs w:val="22"/>
          <w:lang w:val="en-GB" w:eastAsia="en-GB"/>
        </w:rPr>
        <w:t xml:space="preserve"> relations</w:t>
      </w:r>
      <w:r w:rsidR="00774D5E">
        <w:rPr>
          <w:rFonts w:ascii="Times New Roman" w:hAnsi="Times New Roman" w:cs="Times New Roman"/>
          <w:b w:val="0"/>
          <w:caps w:val="0"/>
          <w:sz w:val="22"/>
          <w:szCs w:val="22"/>
          <w:lang w:val="en-GB" w:eastAsia="en-GB"/>
        </w:rPr>
        <w:t>hip</w:t>
      </w:r>
      <w:r w:rsidRPr="00433C05">
        <w:rPr>
          <w:rFonts w:ascii="Times New Roman" w:hAnsi="Times New Roman" w:cs="Times New Roman"/>
          <w:b w:val="0"/>
          <w:caps w:val="0"/>
          <w:sz w:val="22"/>
          <w:szCs w:val="22"/>
          <w:lang w:val="en-GB" w:eastAsia="en-GB"/>
        </w:rPr>
        <w:t xml:space="preserve"> with </w:t>
      </w:r>
      <w:r w:rsidR="00774D5E">
        <w:rPr>
          <w:rFonts w:ascii="Times New Roman" w:hAnsi="Times New Roman" w:cs="Times New Roman"/>
          <w:b w:val="0"/>
          <w:caps w:val="0"/>
          <w:sz w:val="22"/>
          <w:szCs w:val="22"/>
          <w:lang w:val="en-GB" w:eastAsia="en-GB"/>
        </w:rPr>
        <w:t>app developers</w:t>
      </w:r>
      <w:r w:rsidRPr="00433C05">
        <w:rPr>
          <w:rFonts w:ascii="Times New Roman" w:hAnsi="Times New Roman" w:cs="Times New Roman"/>
          <w:b w:val="0"/>
          <w:caps w:val="0"/>
          <w:sz w:val="22"/>
          <w:szCs w:val="22"/>
          <w:lang w:val="en-GB" w:eastAsia="en-GB"/>
        </w:rPr>
        <w:t>, who were act</w:t>
      </w:r>
      <w:r w:rsidR="00774D5E">
        <w:rPr>
          <w:rFonts w:ascii="Times New Roman" w:hAnsi="Times New Roman" w:cs="Times New Roman"/>
          <w:b w:val="0"/>
          <w:caps w:val="0"/>
          <w:sz w:val="22"/>
          <w:szCs w:val="22"/>
          <w:lang w:val="en-GB" w:eastAsia="en-GB"/>
        </w:rPr>
        <w:t>ive</w:t>
      </w:r>
      <w:r w:rsidRPr="00433C05">
        <w:rPr>
          <w:rFonts w:ascii="Times New Roman" w:hAnsi="Times New Roman" w:cs="Times New Roman"/>
          <w:b w:val="0"/>
          <w:caps w:val="0"/>
          <w:sz w:val="22"/>
          <w:szCs w:val="22"/>
          <w:lang w:val="en-GB" w:eastAsia="en-GB"/>
        </w:rPr>
        <w:t xml:space="preserve">ly </w:t>
      </w:r>
      <w:r w:rsidR="00774D5E">
        <w:rPr>
          <w:rFonts w:ascii="Times New Roman" w:hAnsi="Times New Roman" w:cs="Times New Roman"/>
          <w:b w:val="0"/>
          <w:caps w:val="0"/>
          <w:sz w:val="22"/>
          <w:szCs w:val="22"/>
          <w:lang w:val="en-GB" w:eastAsia="en-GB"/>
        </w:rPr>
        <w:t>working on</w:t>
      </w:r>
      <w:r w:rsidRPr="00433C05">
        <w:rPr>
          <w:rFonts w:ascii="Times New Roman" w:hAnsi="Times New Roman" w:cs="Times New Roman"/>
          <w:b w:val="0"/>
          <w:caps w:val="0"/>
          <w:sz w:val="22"/>
          <w:szCs w:val="22"/>
          <w:lang w:val="en-GB" w:eastAsia="en-GB"/>
        </w:rPr>
        <w:t xml:space="preserve"> an alternative app </w:t>
      </w:r>
      <w:r w:rsidR="00774D5E">
        <w:rPr>
          <w:rFonts w:ascii="Times New Roman" w:hAnsi="Times New Roman" w:cs="Times New Roman"/>
          <w:b w:val="0"/>
          <w:caps w:val="0"/>
          <w:sz w:val="22"/>
          <w:szCs w:val="22"/>
          <w:lang w:val="en-GB" w:eastAsia="en-GB"/>
        </w:rPr>
        <w:t>distribution service with lower</w:t>
      </w:r>
      <w:r w:rsidRPr="00433C05">
        <w:rPr>
          <w:rFonts w:ascii="Times New Roman" w:hAnsi="Times New Roman" w:cs="Times New Roman"/>
          <w:b w:val="0"/>
          <w:caps w:val="0"/>
          <w:sz w:val="22"/>
          <w:szCs w:val="22"/>
          <w:lang w:val="en-GB" w:eastAsia="en-GB"/>
        </w:rPr>
        <w:t xml:space="preserve"> fee</w:t>
      </w:r>
      <w:r w:rsidR="00774D5E">
        <w:rPr>
          <w:rFonts w:ascii="Times New Roman" w:hAnsi="Times New Roman" w:cs="Times New Roman"/>
          <w:b w:val="0"/>
          <w:caps w:val="0"/>
          <w:sz w:val="22"/>
          <w:szCs w:val="22"/>
          <w:lang w:val="en-GB" w:eastAsia="en-GB"/>
        </w:rPr>
        <w:t>s. The developers were also</w:t>
      </w:r>
      <w:r w:rsidRPr="00433C05">
        <w:rPr>
          <w:rFonts w:ascii="Times New Roman" w:hAnsi="Times New Roman" w:cs="Times New Roman"/>
          <w:b w:val="0"/>
          <w:caps w:val="0"/>
          <w:sz w:val="22"/>
          <w:szCs w:val="22"/>
          <w:lang w:val="en-GB" w:eastAsia="en-GB"/>
        </w:rPr>
        <w:t xml:space="preserve"> taking the</w:t>
      </w:r>
      <w:r w:rsidR="00774D5E">
        <w:rPr>
          <w:rFonts w:ascii="Times New Roman" w:hAnsi="Times New Roman" w:cs="Times New Roman"/>
          <w:b w:val="0"/>
          <w:caps w:val="0"/>
          <w:sz w:val="22"/>
          <w:szCs w:val="22"/>
          <w:lang w:val="en-GB" w:eastAsia="en-GB"/>
        </w:rPr>
        <w:t>ir complaints</w:t>
      </w:r>
      <w:r w:rsidRPr="00433C05">
        <w:rPr>
          <w:rFonts w:ascii="Times New Roman" w:hAnsi="Times New Roman" w:cs="Times New Roman"/>
          <w:b w:val="0"/>
          <w:caps w:val="0"/>
          <w:sz w:val="22"/>
          <w:szCs w:val="22"/>
          <w:lang w:val="en-GB" w:eastAsia="en-GB"/>
        </w:rPr>
        <w:t xml:space="preserve"> to </w:t>
      </w:r>
      <w:r w:rsidR="00774D5E">
        <w:rPr>
          <w:rFonts w:ascii="Times New Roman" w:hAnsi="Times New Roman" w:cs="Times New Roman"/>
          <w:b w:val="0"/>
          <w:caps w:val="0"/>
          <w:sz w:val="22"/>
          <w:szCs w:val="22"/>
          <w:lang w:val="en-GB" w:eastAsia="en-GB"/>
        </w:rPr>
        <w:t xml:space="preserve">the </w:t>
      </w:r>
      <w:r w:rsidRPr="00433C05">
        <w:rPr>
          <w:rFonts w:ascii="Times New Roman" w:hAnsi="Times New Roman" w:cs="Times New Roman"/>
          <w:b w:val="0"/>
          <w:caps w:val="0"/>
          <w:sz w:val="22"/>
          <w:szCs w:val="22"/>
          <w:lang w:val="en-GB" w:eastAsia="en-GB"/>
        </w:rPr>
        <w:t>CCI.</w:t>
      </w:r>
      <w:r w:rsidRPr="00433C05">
        <w:rPr>
          <w:rFonts w:ascii="Times New Roman" w:hAnsi="Times New Roman" w:cs="Times New Roman"/>
          <w:b w:val="0"/>
          <w:caps w:val="0"/>
          <w:sz w:val="22"/>
          <w:szCs w:val="22"/>
          <w:vertAlign w:val="superscript"/>
          <w:lang w:val="en-GB" w:eastAsia="en-GB"/>
        </w:rPr>
        <w:endnoteReference w:id="87"/>
      </w:r>
      <w:r w:rsidRPr="00433C05">
        <w:rPr>
          <w:rFonts w:ascii="Times New Roman" w:hAnsi="Times New Roman" w:cs="Times New Roman"/>
          <w:b w:val="0"/>
          <w:caps w:val="0"/>
          <w:sz w:val="22"/>
          <w:szCs w:val="22"/>
          <w:lang w:val="en-GB" w:eastAsia="en-GB"/>
        </w:rPr>
        <w:t xml:space="preserve"> </w:t>
      </w:r>
      <w:r w:rsidR="00774D5E">
        <w:rPr>
          <w:rFonts w:ascii="Times New Roman" w:hAnsi="Times New Roman" w:cs="Times New Roman"/>
          <w:b w:val="0"/>
          <w:caps w:val="0"/>
          <w:sz w:val="22"/>
          <w:szCs w:val="22"/>
          <w:lang w:val="en-GB" w:eastAsia="en-GB"/>
        </w:rPr>
        <w:t>Even the</w:t>
      </w:r>
      <w:r w:rsidR="008640B1" w:rsidRPr="00433C05">
        <w:rPr>
          <w:rFonts w:ascii="Times New Roman" w:hAnsi="Times New Roman" w:cs="Times New Roman"/>
          <w:b w:val="0"/>
          <w:caps w:val="0"/>
          <w:sz w:val="22"/>
          <w:szCs w:val="22"/>
          <w:lang w:val="en-GB" w:eastAsia="en-GB"/>
        </w:rPr>
        <w:t xml:space="preserve"> Indian government was contemplating launch</w:t>
      </w:r>
      <w:r w:rsidR="00774D5E">
        <w:rPr>
          <w:rFonts w:ascii="Times New Roman" w:hAnsi="Times New Roman" w:cs="Times New Roman"/>
          <w:b w:val="0"/>
          <w:caps w:val="0"/>
          <w:sz w:val="22"/>
          <w:szCs w:val="22"/>
          <w:lang w:val="en-GB" w:eastAsia="en-GB"/>
        </w:rPr>
        <w:t>ing</w:t>
      </w:r>
      <w:r w:rsidR="008640B1" w:rsidRPr="00433C05">
        <w:rPr>
          <w:rFonts w:ascii="Times New Roman" w:hAnsi="Times New Roman" w:cs="Times New Roman"/>
          <w:b w:val="0"/>
          <w:caps w:val="0"/>
          <w:sz w:val="22"/>
          <w:szCs w:val="22"/>
          <w:lang w:val="en-GB" w:eastAsia="en-GB"/>
        </w:rPr>
        <w:t xml:space="preserve"> a new app store as part of its </w:t>
      </w:r>
      <w:r w:rsidR="008640B1" w:rsidRPr="00433C05">
        <w:rPr>
          <w:rFonts w:ascii="Times New Roman" w:hAnsi="Times New Roman" w:cs="Times New Roman"/>
          <w:b w:val="0"/>
          <w:i/>
          <w:iCs/>
          <w:caps w:val="0"/>
          <w:sz w:val="22"/>
          <w:szCs w:val="22"/>
          <w:lang w:val="en-GB" w:eastAsia="en-GB"/>
        </w:rPr>
        <w:t>Atmanirbhar</w:t>
      </w:r>
      <w:r w:rsidR="00774D5E">
        <w:rPr>
          <w:rFonts w:ascii="Times New Roman" w:hAnsi="Times New Roman" w:cs="Times New Roman"/>
          <w:b w:val="0"/>
          <w:i/>
          <w:iCs/>
          <w:caps w:val="0"/>
          <w:sz w:val="22"/>
          <w:szCs w:val="22"/>
          <w:lang w:val="en-GB" w:eastAsia="en-GB"/>
        </w:rPr>
        <w:t xml:space="preserve"> </w:t>
      </w:r>
      <w:r w:rsidR="00774D5E" w:rsidRPr="00774D5E">
        <w:rPr>
          <w:rFonts w:ascii="Times New Roman" w:hAnsi="Times New Roman" w:cs="Times New Roman"/>
          <w:b w:val="0"/>
          <w:i/>
          <w:iCs/>
          <w:caps w:val="0"/>
          <w:sz w:val="22"/>
          <w:szCs w:val="22"/>
          <w:lang w:val="en-GB" w:eastAsia="en-GB"/>
        </w:rPr>
        <w:t>Bharat</w:t>
      </w:r>
      <w:r w:rsidR="008640B1" w:rsidRPr="00433C05">
        <w:rPr>
          <w:rFonts w:ascii="Times New Roman" w:hAnsi="Times New Roman" w:cs="Times New Roman"/>
          <w:b w:val="0"/>
          <w:caps w:val="0"/>
          <w:sz w:val="22"/>
          <w:szCs w:val="22"/>
          <w:lang w:val="en-GB" w:eastAsia="en-GB"/>
        </w:rPr>
        <w:t xml:space="preserve"> </w:t>
      </w:r>
      <w:r w:rsidR="00774D5E">
        <w:rPr>
          <w:rFonts w:ascii="Times New Roman" w:hAnsi="Times New Roman" w:cs="Times New Roman"/>
          <w:b w:val="0"/>
          <w:caps w:val="0"/>
          <w:sz w:val="22"/>
          <w:szCs w:val="22"/>
          <w:lang w:val="en-GB" w:eastAsia="en-GB"/>
        </w:rPr>
        <w:t xml:space="preserve">vision to make the country self-reliant. The </w:t>
      </w:r>
      <w:r w:rsidR="008640B1" w:rsidRPr="00433C05">
        <w:rPr>
          <w:rFonts w:ascii="Times New Roman" w:hAnsi="Times New Roman" w:cs="Times New Roman"/>
          <w:b w:val="0"/>
          <w:caps w:val="0"/>
          <w:sz w:val="22"/>
          <w:szCs w:val="22"/>
          <w:lang w:val="en-GB" w:eastAsia="en-GB"/>
        </w:rPr>
        <w:t>initiative</w:t>
      </w:r>
      <w:r w:rsidR="00774D5E">
        <w:rPr>
          <w:rFonts w:ascii="Times New Roman" w:hAnsi="Times New Roman" w:cs="Times New Roman"/>
          <w:b w:val="0"/>
          <w:caps w:val="0"/>
          <w:sz w:val="22"/>
          <w:szCs w:val="22"/>
          <w:lang w:val="en-GB" w:eastAsia="en-GB"/>
        </w:rPr>
        <w:t xml:space="preserve"> would</w:t>
      </w:r>
      <w:r w:rsidR="008640B1" w:rsidRPr="00433C05">
        <w:rPr>
          <w:rFonts w:ascii="Times New Roman" w:hAnsi="Times New Roman" w:cs="Times New Roman"/>
          <w:b w:val="0"/>
          <w:caps w:val="0"/>
          <w:sz w:val="22"/>
          <w:szCs w:val="22"/>
          <w:lang w:val="en-GB" w:eastAsia="en-GB"/>
        </w:rPr>
        <w:t xml:space="preserve"> mak</w:t>
      </w:r>
      <w:r w:rsidR="00774D5E">
        <w:rPr>
          <w:rFonts w:ascii="Times New Roman" w:hAnsi="Times New Roman" w:cs="Times New Roman"/>
          <w:b w:val="0"/>
          <w:caps w:val="0"/>
          <w:sz w:val="22"/>
          <w:szCs w:val="22"/>
          <w:lang w:val="en-GB" w:eastAsia="en-GB"/>
        </w:rPr>
        <w:t>e</w:t>
      </w:r>
      <w:r w:rsidR="008640B1" w:rsidRPr="00433C05">
        <w:rPr>
          <w:rFonts w:ascii="Times New Roman" w:hAnsi="Times New Roman" w:cs="Times New Roman"/>
          <w:b w:val="0"/>
          <w:caps w:val="0"/>
          <w:sz w:val="22"/>
          <w:szCs w:val="22"/>
          <w:lang w:val="en-GB" w:eastAsia="en-GB"/>
        </w:rPr>
        <w:t xml:space="preserve"> it mandatory for all Android devices in India to </w:t>
      </w:r>
      <w:r w:rsidR="00774D5E">
        <w:rPr>
          <w:rFonts w:ascii="Times New Roman" w:hAnsi="Times New Roman" w:cs="Times New Roman"/>
          <w:b w:val="0"/>
          <w:caps w:val="0"/>
          <w:sz w:val="22"/>
          <w:szCs w:val="22"/>
          <w:lang w:val="en-GB" w:eastAsia="en-GB"/>
        </w:rPr>
        <w:t xml:space="preserve">have </w:t>
      </w:r>
      <w:r w:rsidR="004B5C53">
        <w:rPr>
          <w:rFonts w:ascii="Times New Roman" w:hAnsi="Times New Roman" w:cs="Times New Roman"/>
          <w:b w:val="0"/>
          <w:caps w:val="0"/>
          <w:sz w:val="22"/>
          <w:szCs w:val="22"/>
          <w:lang w:val="en-GB" w:eastAsia="en-GB"/>
        </w:rPr>
        <w:t xml:space="preserve">pre-installed </w:t>
      </w:r>
      <w:r w:rsidR="00774D5E">
        <w:rPr>
          <w:rFonts w:ascii="Times New Roman" w:hAnsi="Times New Roman" w:cs="Times New Roman"/>
          <w:b w:val="0"/>
          <w:caps w:val="0"/>
          <w:sz w:val="22"/>
          <w:szCs w:val="22"/>
          <w:lang w:val="en-GB" w:eastAsia="en-GB"/>
        </w:rPr>
        <w:t>the government’s app store</w:t>
      </w:r>
      <w:r w:rsidR="004B5C53">
        <w:rPr>
          <w:rFonts w:ascii="Times New Roman" w:hAnsi="Times New Roman" w:cs="Times New Roman"/>
          <w:b w:val="0"/>
          <w:caps w:val="0"/>
          <w:sz w:val="22"/>
          <w:szCs w:val="22"/>
          <w:lang w:val="en-GB" w:eastAsia="en-GB"/>
        </w:rPr>
        <w:t xml:space="preserve"> (instead of Google Play)</w:t>
      </w:r>
      <w:r w:rsidR="008640B1" w:rsidRPr="00433C05">
        <w:rPr>
          <w:rFonts w:ascii="Times New Roman" w:hAnsi="Times New Roman" w:cs="Times New Roman"/>
          <w:b w:val="0"/>
          <w:caps w:val="0"/>
          <w:sz w:val="22"/>
          <w:szCs w:val="22"/>
          <w:lang w:val="en-GB" w:eastAsia="en-GB"/>
        </w:rPr>
        <w:t xml:space="preserve">. </w:t>
      </w:r>
      <w:r w:rsidR="00774D5E">
        <w:rPr>
          <w:rFonts w:ascii="Times New Roman" w:hAnsi="Times New Roman" w:cs="Times New Roman"/>
          <w:b w:val="0"/>
          <w:caps w:val="0"/>
          <w:sz w:val="22"/>
          <w:szCs w:val="22"/>
          <w:lang w:val="en-GB" w:eastAsia="en-GB"/>
        </w:rPr>
        <w:t>The government’s service w</w:t>
      </w:r>
      <w:r w:rsidR="008640B1" w:rsidRPr="00433C05">
        <w:rPr>
          <w:rFonts w:ascii="Times New Roman" w:hAnsi="Times New Roman" w:cs="Times New Roman"/>
          <w:b w:val="0"/>
          <w:caps w:val="0"/>
          <w:sz w:val="22"/>
          <w:szCs w:val="22"/>
          <w:lang w:val="en-GB" w:eastAsia="en-GB"/>
        </w:rPr>
        <w:t>ould then support Indian start</w:t>
      </w:r>
      <w:r w:rsidR="00774D5E">
        <w:rPr>
          <w:rFonts w:ascii="Times New Roman" w:hAnsi="Times New Roman" w:cs="Times New Roman"/>
          <w:b w:val="0"/>
          <w:caps w:val="0"/>
          <w:sz w:val="22"/>
          <w:szCs w:val="22"/>
          <w:lang w:val="en-GB" w:eastAsia="en-GB"/>
        </w:rPr>
        <w:t>-</w:t>
      </w:r>
      <w:r w:rsidR="008640B1" w:rsidRPr="00433C05">
        <w:rPr>
          <w:rFonts w:ascii="Times New Roman" w:hAnsi="Times New Roman" w:cs="Times New Roman"/>
          <w:b w:val="0"/>
          <w:caps w:val="0"/>
          <w:sz w:val="22"/>
          <w:szCs w:val="22"/>
          <w:lang w:val="en-GB" w:eastAsia="en-GB"/>
        </w:rPr>
        <w:t xml:space="preserve">ups and entrepreneurs without charging </w:t>
      </w:r>
      <w:r w:rsidR="00774D5E">
        <w:rPr>
          <w:rFonts w:ascii="Times New Roman" w:hAnsi="Times New Roman" w:cs="Times New Roman"/>
          <w:b w:val="0"/>
          <w:caps w:val="0"/>
          <w:sz w:val="22"/>
          <w:szCs w:val="22"/>
          <w:lang w:val="en-GB" w:eastAsia="en-GB"/>
        </w:rPr>
        <w:t>the Google commission</w:t>
      </w:r>
      <w:r w:rsidR="00C50966" w:rsidRPr="00433C05">
        <w:rPr>
          <w:rFonts w:ascii="Times New Roman" w:hAnsi="Times New Roman" w:cs="Times New Roman"/>
          <w:b w:val="0"/>
          <w:caps w:val="0"/>
          <w:sz w:val="22"/>
          <w:szCs w:val="22"/>
          <w:lang w:val="en-GB" w:eastAsia="en-GB"/>
        </w:rPr>
        <w:t xml:space="preserve"> fee of 30 per cent.</w:t>
      </w:r>
      <w:r w:rsidR="00C50966" w:rsidRPr="00433C05">
        <w:rPr>
          <w:rStyle w:val="EndnoteReference"/>
          <w:rFonts w:ascii="Times New Roman" w:hAnsi="Times New Roman" w:cs="Times New Roman"/>
          <w:b w:val="0"/>
          <w:caps w:val="0"/>
          <w:sz w:val="22"/>
          <w:szCs w:val="22"/>
          <w:lang w:val="en-GB" w:eastAsia="en-GB"/>
        </w:rPr>
        <w:endnoteReference w:id="88"/>
      </w:r>
      <w:r w:rsidR="00C50966" w:rsidRPr="00433C05">
        <w:rPr>
          <w:rFonts w:ascii="Times New Roman" w:hAnsi="Times New Roman" w:cs="Times New Roman"/>
          <w:b w:val="0"/>
          <w:caps w:val="0"/>
          <w:sz w:val="22"/>
          <w:szCs w:val="22"/>
          <w:lang w:val="en-GB" w:eastAsia="en-GB"/>
        </w:rPr>
        <w:t xml:space="preserve"> </w:t>
      </w:r>
      <w:r w:rsidR="00774D5E">
        <w:rPr>
          <w:rFonts w:ascii="Times New Roman" w:hAnsi="Times New Roman" w:cs="Times New Roman"/>
          <w:b w:val="0"/>
          <w:caps w:val="0"/>
          <w:sz w:val="22"/>
          <w:szCs w:val="22"/>
          <w:lang w:val="en-GB" w:eastAsia="en-GB"/>
        </w:rPr>
        <w:t>W</w:t>
      </w:r>
      <w:r w:rsidR="00C50966" w:rsidRPr="00433C05">
        <w:rPr>
          <w:rFonts w:ascii="Times New Roman" w:hAnsi="Times New Roman" w:cs="Times New Roman"/>
          <w:b w:val="0"/>
          <w:caps w:val="0"/>
          <w:sz w:val="22"/>
          <w:szCs w:val="22"/>
          <w:lang w:val="en-GB" w:eastAsia="en-GB"/>
        </w:rPr>
        <w:t xml:space="preserve">ould </w:t>
      </w:r>
      <w:r w:rsidR="00774D5E">
        <w:rPr>
          <w:rFonts w:ascii="Times New Roman" w:hAnsi="Times New Roman" w:cs="Times New Roman"/>
          <w:b w:val="0"/>
          <w:caps w:val="0"/>
          <w:sz w:val="22"/>
          <w:szCs w:val="22"/>
          <w:lang w:val="en-GB" w:eastAsia="en-GB"/>
        </w:rPr>
        <w:t>this</w:t>
      </w:r>
      <w:r w:rsidR="00C50966" w:rsidRPr="00433C05">
        <w:rPr>
          <w:rFonts w:ascii="Times New Roman" w:hAnsi="Times New Roman" w:cs="Times New Roman"/>
          <w:b w:val="0"/>
          <w:caps w:val="0"/>
          <w:sz w:val="22"/>
          <w:szCs w:val="22"/>
          <w:lang w:val="en-GB" w:eastAsia="en-GB"/>
        </w:rPr>
        <w:t xml:space="preserve"> alternative platform</w:t>
      </w:r>
      <w:r w:rsidR="00774D5E">
        <w:rPr>
          <w:rFonts w:ascii="Times New Roman" w:hAnsi="Times New Roman" w:cs="Times New Roman"/>
          <w:b w:val="0"/>
          <w:caps w:val="0"/>
          <w:sz w:val="22"/>
          <w:szCs w:val="22"/>
          <w:lang w:val="en-GB" w:eastAsia="en-GB"/>
        </w:rPr>
        <w:t>, or the one being planned</w:t>
      </w:r>
      <w:r w:rsidR="00C50966" w:rsidRPr="00433C05">
        <w:rPr>
          <w:rFonts w:ascii="Times New Roman" w:hAnsi="Times New Roman" w:cs="Times New Roman"/>
          <w:b w:val="0"/>
          <w:caps w:val="0"/>
          <w:sz w:val="22"/>
          <w:szCs w:val="22"/>
          <w:lang w:val="en-GB" w:eastAsia="en-GB"/>
        </w:rPr>
        <w:t xml:space="preserve"> by India</w:t>
      </w:r>
      <w:r w:rsidR="00EA3D29">
        <w:rPr>
          <w:rFonts w:ascii="Times New Roman" w:hAnsi="Times New Roman" w:cs="Times New Roman"/>
          <w:b w:val="0"/>
          <w:caps w:val="0"/>
          <w:sz w:val="22"/>
          <w:szCs w:val="22"/>
          <w:lang w:val="en-GB" w:eastAsia="en-GB"/>
        </w:rPr>
        <w:t>n</w:t>
      </w:r>
      <w:r w:rsidR="00C50966" w:rsidRPr="00433C05">
        <w:rPr>
          <w:rFonts w:ascii="Times New Roman" w:hAnsi="Times New Roman" w:cs="Times New Roman"/>
          <w:b w:val="0"/>
          <w:caps w:val="0"/>
          <w:sz w:val="22"/>
          <w:szCs w:val="22"/>
          <w:lang w:val="en-GB" w:eastAsia="en-GB"/>
        </w:rPr>
        <w:t xml:space="preserve"> start</w:t>
      </w:r>
      <w:r w:rsidR="00774D5E">
        <w:rPr>
          <w:rFonts w:ascii="Times New Roman" w:hAnsi="Times New Roman" w:cs="Times New Roman"/>
          <w:b w:val="0"/>
          <w:caps w:val="0"/>
          <w:sz w:val="22"/>
          <w:szCs w:val="22"/>
          <w:lang w:val="en-GB" w:eastAsia="en-GB"/>
        </w:rPr>
        <w:t>-</w:t>
      </w:r>
      <w:r w:rsidR="00C50966" w:rsidRPr="00433C05">
        <w:rPr>
          <w:rFonts w:ascii="Times New Roman" w:hAnsi="Times New Roman" w:cs="Times New Roman"/>
          <w:b w:val="0"/>
          <w:caps w:val="0"/>
          <w:sz w:val="22"/>
          <w:szCs w:val="22"/>
          <w:lang w:val="en-GB" w:eastAsia="en-GB"/>
        </w:rPr>
        <w:t>ups</w:t>
      </w:r>
      <w:r w:rsidR="00774D5E">
        <w:rPr>
          <w:rFonts w:ascii="Times New Roman" w:hAnsi="Times New Roman" w:cs="Times New Roman"/>
          <w:b w:val="0"/>
          <w:caps w:val="0"/>
          <w:sz w:val="22"/>
          <w:szCs w:val="22"/>
          <w:lang w:val="en-GB" w:eastAsia="en-GB"/>
        </w:rPr>
        <w:t>,</w:t>
      </w:r>
      <w:r w:rsidR="00C50966" w:rsidRPr="00433C05">
        <w:rPr>
          <w:rFonts w:ascii="Times New Roman" w:hAnsi="Times New Roman" w:cs="Times New Roman"/>
          <w:b w:val="0"/>
          <w:caps w:val="0"/>
          <w:sz w:val="22"/>
          <w:szCs w:val="22"/>
          <w:lang w:val="en-GB" w:eastAsia="en-GB"/>
        </w:rPr>
        <w:t xml:space="preserve"> succeed in reducing Google’s monopoly? </w:t>
      </w:r>
      <w:r w:rsidRPr="00433C05">
        <w:rPr>
          <w:rFonts w:ascii="Times New Roman" w:hAnsi="Times New Roman" w:cs="Times New Roman"/>
          <w:b w:val="0"/>
          <w:caps w:val="0"/>
          <w:sz w:val="22"/>
          <w:szCs w:val="22"/>
          <w:lang w:val="en-GB" w:eastAsia="en-GB"/>
        </w:rPr>
        <w:t xml:space="preserve">Could Google defend its position </w:t>
      </w:r>
      <w:r w:rsidR="00774D5E">
        <w:rPr>
          <w:rFonts w:ascii="Times New Roman" w:hAnsi="Times New Roman" w:cs="Times New Roman"/>
          <w:b w:val="0"/>
          <w:caps w:val="0"/>
          <w:sz w:val="22"/>
          <w:szCs w:val="22"/>
          <w:lang w:val="en-GB" w:eastAsia="en-GB"/>
        </w:rPr>
        <w:t>o</w:t>
      </w:r>
      <w:r w:rsidRPr="00433C05">
        <w:rPr>
          <w:rFonts w:ascii="Times New Roman" w:hAnsi="Times New Roman" w:cs="Times New Roman"/>
          <w:b w:val="0"/>
          <w:caps w:val="0"/>
          <w:sz w:val="22"/>
          <w:szCs w:val="22"/>
          <w:lang w:val="en-GB" w:eastAsia="en-GB"/>
        </w:rPr>
        <w:t xml:space="preserve">f charging </w:t>
      </w:r>
      <w:r w:rsidR="00774D5E">
        <w:rPr>
          <w:rFonts w:ascii="Times New Roman" w:hAnsi="Times New Roman" w:cs="Times New Roman"/>
          <w:b w:val="0"/>
          <w:caps w:val="0"/>
          <w:sz w:val="22"/>
          <w:szCs w:val="22"/>
          <w:lang w:val="en-GB" w:eastAsia="en-GB"/>
        </w:rPr>
        <w:t xml:space="preserve">a high fee </w:t>
      </w:r>
      <w:r w:rsidRPr="00433C05">
        <w:rPr>
          <w:rFonts w:ascii="Times New Roman" w:hAnsi="Times New Roman" w:cs="Times New Roman"/>
          <w:b w:val="0"/>
          <w:caps w:val="0"/>
          <w:sz w:val="22"/>
          <w:szCs w:val="22"/>
          <w:lang w:val="en-GB" w:eastAsia="en-GB"/>
        </w:rPr>
        <w:t xml:space="preserve">for </w:t>
      </w:r>
      <w:r w:rsidR="00774D5E">
        <w:rPr>
          <w:rFonts w:ascii="Times New Roman" w:hAnsi="Times New Roman" w:cs="Times New Roman"/>
          <w:b w:val="0"/>
          <w:caps w:val="0"/>
          <w:sz w:val="22"/>
          <w:szCs w:val="22"/>
          <w:lang w:val="en-GB" w:eastAsia="en-GB"/>
        </w:rPr>
        <w:t>“</w:t>
      </w:r>
      <w:r w:rsidRPr="00433C05">
        <w:rPr>
          <w:rFonts w:ascii="Times New Roman" w:hAnsi="Times New Roman" w:cs="Times New Roman"/>
          <w:b w:val="0"/>
          <w:caps w:val="0"/>
          <w:sz w:val="22"/>
          <w:szCs w:val="22"/>
          <w:lang w:val="en-GB" w:eastAsia="en-GB"/>
        </w:rPr>
        <w:t>trust</w:t>
      </w:r>
      <w:r w:rsidR="00774D5E">
        <w:rPr>
          <w:rFonts w:ascii="Times New Roman" w:hAnsi="Times New Roman" w:cs="Times New Roman"/>
          <w:b w:val="0"/>
          <w:caps w:val="0"/>
          <w:sz w:val="22"/>
          <w:szCs w:val="22"/>
          <w:lang w:val="en-GB" w:eastAsia="en-GB"/>
        </w:rPr>
        <w:t>”</w:t>
      </w:r>
      <w:r w:rsidRPr="00433C05">
        <w:rPr>
          <w:rFonts w:ascii="Times New Roman" w:hAnsi="Times New Roman" w:cs="Times New Roman"/>
          <w:b w:val="0"/>
          <w:caps w:val="0"/>
          <w:sz w:val="22"/>
          <w:szCs w:val="22"/>
          <w:lang w:val="en-GB" w:eastAsia="en-GB"/>
        </w:rPr>
        <w:t xml:space="preserve"> </w:t>
      </w:r>
      <w:r w:rsidR="00774D5E">
        <w:rPr>
          <w:rFonts w:ascii="Times New Roman" w:hAnsi="Times New Roman" w:cs="Times New Roman"/>
          <w:b w:val="0"/>
          <w:caps w:val="0"/>
          <w:sz w:val="22"/>
          <w:szCs w:val="22"/>
          <w:lang w:val="en-GB" w:eastAsia="en-GB"/>
        </w:rPr>
        <w:t>while facing multiple</w:t>
      </w:r>
      <w:r w:rsidRPr="00433C05">
        <w:rPr>
          <w:rFonts w:ascii="Times New Roman" w:hAnsi="Times New Roman" w:cs="Times New Roman"/>
          <w:b w:val="0"/>
          <w:caps w:val="0"/>
          <w:sz w:val="22"/>
          <w:szCs w:val="22"/>
          <w:lang w:val="en-GB" w:eastAsia="en-GB"/>
        </w:rPr>
        <w:t xml:space="preserve"> ant</w:t>
      </w:r>
      <w:r w:rsidR="00774D5E">
        <w:rPr>
          <w:rFonts w:ascii="Times New Roman" w:hAnsi="Times New Roman" w:cs="Times New Roman"/>
          <w:b w:val="0"/>
          <w:caps w:val="0"/>
          <w:sz w:val="22"/>
          <w:szCs w:val="22"/>
          <w:lang w:val="en-GB" w:eastAsia="en-GB"/>
        </w:rPr>
        <w:t>i</w:t>
      </w:r>
      <w:r w:rsidRPr="00433C05">
        <w:rPr>
          <w:rFonts w:ascii="Times New Roman" w:hAnsi="Times New Roman" w:cs="Times New Roman"/>
          <w:b w:val="0"/>
          <w:caps w:val="0"/>
          <w:sz w:val="22"/>
          <w:szCs w:val="22"/>
          <w:lang w:val="en-GB" w:eastAsia="en-GB"/>
        </w:rPr>
        <w:t xml:space="preserve">trust allegations? </w:t>
      </w:r>
    </w:p>
    <w:p w14:paraId="2BF40C2C" w14:textId="17D527F9" w:rsidR="00AC04D8" w:rsidRDefault="00AC04D8">
      <w:pPr>
        <w:spacing w:after="200" w:line="276" w:lineRule="auto"/>
        <w:rPr>
          <w:b/>
          <w:caps/>
          <w:sz w:val="22"/>
          <w:szCs w:val="22"/>
          <w:lang w:val="en-GB" w:eastAsia="en-GB"/>
        </w:rPr>
      </w:pPr>
      <w:r>
        <w:rPr>
          <w:b/>
          <w:caps/>
          <w:sz w:val="22"/>
          <w:szCs w:val="22"/>
          <w:lang w:val="en-GB" w:eastAsia="en-GB"/>
        </w:rPr>
        <w:br w:type="page"/>
      </w:r>
    </w:p>
    <w:p w14:paraId="15535B21" w14:textId="2C9C573A" w:rsidR="00A36B54" w:rsidRPr="00433C05" w:rsidRDefault="00A36B54" w:rsidP="00A36B54">
      <w:pPr>
        <w:jc w:val="both"/>
        <w:rPr>
          <w:rFonts w:ascii="Arial" w:hAnsi="Arial" w:cs="Arial"/>
          <w:b/>
          <w:bCs/>
          <w:lang w:val="en-GB"/>
        </w:rPr>
      </w:pPr>
      <w:r w:rsidRPr="00433C05">
        <w:rPr>
          <w:rFonts w:ascii="Arial" w:hAnsi="Arial" w:cs="Arial"/>
          <w:b/>
          <w:bCs/>
          <w:lang w:val="en-GB"/>
        </w:rPr>
        <w:lastRenderedPageBreak/>
        <w:t>EXHIBIT 1: MOBILE OPERATING SYSTEM MARKET SHARE WORLDWIDE AND IN INDIA</w:t>
      </w:r>
      <w:r w:rsidR="00823C7D">
        <w:rPr>
          <w:rFonts w:ascii="Arial" w:hAnsi="Arial" w:cs="Arial"/>
          <w:b/>
          <w:bCs/>
          <w:lang w:val="en-GB"/>
        </w:rPr>
        <w:t>,</w:t>
      </w:r>
      <w:r w:rsidRPr="00433C05">
        <w:rPr>
          <w:rFonts w:ascii="Arial" w:hAnsi="Arial" w:cs="Arial"/>
          <w:b/>
          <w:bCs/>
          <w:lang w:val="en-GB"/>
        </w:rPr>
        <w:t xml:space="preserve"> 2019</w:t>
      </w:r>
      <w:r w:rsidR="00823C7D">
        <w:rPr>
          <w:rFonts w:ascii="Arial" w:hAnsi="Arial" w:cs="Arial"/>
          <w:b/>
          <w:bCs/>
          <w:lang w:val="en-GB"/>
        </w:rPr>
        <w:t>–</w:t>
      </w:r>
      <w:r w:rsidRPr="00433C05">
        <w:rPr>
          <w:rFonts w:ascii="Arial" w:hAnsi="Arial" w:cs="Arial"/>
          <w:b/>
          <w:bCs/>
          <w:lang w:val="en-GB"/>
        </w:rPr>
        <w:t>20</w:t>
      </w:r>
    </w:p>
    <w:p w14:paraId="52753740" w14:textId="77777777" w:rsidR="00A36B54" w:rsidRPr="00433C05" w:rsidRDefault="00A36B54" w:rsidP="00A36B54">
      <w:pPr>
        <w:jc w:val="both"/>
        <w:rPr>
          <w:rFonts w:ascii="Arial" w:hAnsi="Arial" w:cs="Arial"/>
          <w:b/>
          <w:bCs/>
          <w:lang w:val="en-GB"/>
        </w:rPr>
      </w:pPr>
    </w:p>
    <w:tbl>
      <w:tblPr>
        <w:tblW w:w="9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Exhibit 1"/>
        <w:tblDescription w:val="Mobile Operating System Market Share Worldwide and in India"/>
      </w:tblPr>
      <w:tblGrid>
        <w:gridCol w:w="1975"/>
        <w:gridCol w:w="1800"/>
        <w:gridCol w:w="1710"/>
        <w:gridCol w:w="1890"/>
        <w:gridCol w:w="1922"/>
      </w:tblGrid>
      <w:tr w:rsidR="00A36B54" w:rsidRPr="00433C05" w14:paraId="3581BD3E" w14:textId="77777777" w:rsidTr="0023263C">
        <w:trPr>
          <w:trHeight w:val="60"/>
          <w:tblHeader/>
          <w:jc w:val="center"/>
        </w:trPr>
        <w:tc>
          <w:tcPr>
            <w:tcW w:w="1975" w:type="dxa"/>
            <w:shd w:val="clear" w:color="auto" w:fill="auto"/>
            <w:noWrap/>
            <w:vAlign w:val="center"/>
          </w:tcPr>
          <w:p w14:paraId="39DBCD57" w14:textId="77777777" w:rsidR="00A36B54" w:rsidRPr="00433C05" w:rsidRDefault="00A36B54" w:rsidP="007033E9">
            <w:pPr>
              <w:pStyle w:val="ExhibitText"/>
              <w:jc w:val="center"/>
              <w:rPr>
                <w:b/>
                <w:lang w:val="en-GB"/>
              </w:rPr>
            </w:pPr>
          </w:p>
        </w:tc>
        <w:tc>
          <w:tcPr>
            <w:tcW w:w="3510" w:type="dxa"/>
            <w:gridSpan w:val="2"/>
            <w:shd w:val="clear" w:color="auto" w:fill="auto"/>
            <w:noWrap/>
            <w:vAlign w:val="center"/>
          </w:tcPr>
          <w:p w14:paraId="40615FF7" w14:textId="3A0B579D" w:rsidR="00A36B54" w:rsidRPr="00433C05" w:rsidRDefault="00823C7D" w:rsidP="007033E9">
            <w:pPr>
              <w:pStyle w:val="ExhibitText"/>
              <w:jc w:val="center"/>
              <w:rPr>
                <w:b/>
                <w:lang w:val="en-GB"/>
              </w:rPr>
            </w:pPr>
            <w:r w:rsidRPr="00433C05">
              <w:rPr>
                <w:b/>
                <w:lang w:val="en-GB"/>
              </w:rPr>
              <w:t xml:space="preserve">Global </w:t>
            </w:r>
            <w:r>
              <w:rPr>
                <w:b/>
                <w:lang w:val="en-GB"/>
              </w:rPr>
              <w:t xml:space="preserve">Market </w:t>
            </w:r>
            <w:r w:rsidRPr="00433C05">
              <w:rPr>
                <w:b/>
                <w:lang w:val="en-GB"/>
              </w:rPr>
              <w:t>Share</w:t>
            </w:r>
            <w:r w:rsidR="00EA3D29">
              <w:rPr>
                <w:b/>
                <w:lang w:val="en-GB"/>
              </w:rPr>
              <w:t xml:space="preserve"> (%)</w:t>
            </w:r>
          </w:p>
        </w:tc>
        <w:tc>
          <w:tcPr>
            <w:tcW w:w="3812" w:type="dxa"/>
            <w:gridSpan w:val="2"/>
            <w:vAlign w:val="center"/>
          </w:tcPr>
          <w:p w14:paraId="72AB6D01" w14:textId="602CF0DC" w:rsidR="00A36B54" w:rsidRPr="00433C05" w:rsidRDefault="00823C7D" w:rsidP="007033E9">
            <w:pPr>
              <w:pStyle w:val="ExhibitText"/>
              <w:jc w:val="center"/>
              <w:rPr>
                <w:b/>
                <w:lang w:val="en-GB"/>
              </w:rPr>
            </w:pPr>
            <w:r w:rsidRPr="00433C05">
              <w:rPr>
                <w:b/>
                <w:lang w:val="en-GB"/>
              </w:rPr>
              <w:t>India</w:t>
            </w:r>
            <w:r>
              <w:rPr>
                <w:b/>
                <w:lang w:val="en-GB"/>
              </w:rPr>
              <w:t>n Market</w:t>
            </w:r>
            <w:r w:rsidRPr="00433C05">
              <w:rPr>
                <w:b/>
                <w:lang w:val="en-GB"/>
              </w:rPr>
              <w:t xml:space="preserve"> Share</w:t>
            </w:r>
            <w:r w:rsidR="00EA3D29">
              <w:rPr>
                <w:b/>
                <w:lang w:val="en-GB"/>
              </w:rPr>
              <w:t xml:space="preserve"> (%)</w:t>
            </w:r>
          </w:p>
        </w:tc>
      </w:tr>
      <w:tr w:rsidR="00A36B54" w:rsidRPr="00823C7D" w14:paraId="7BF6489D" w14:textId="77777777" w:rsidTr="0023263C">
        <w:trPr>
          <w:trHeight w:val="277"/>
          <w:tblHeader/>
          <w:jc w:val="center"/>
        </w:trPr>
        <w:tc>
          <w:tcPr>
            <w:tcW w:w="1975" w:type="dxa"/>
            <w:shd w:val="clear" w:color="auto" w:fill="auto"/>
            <w:noWrap/>
            <w:vAlign w:val="center"/>
            <w:hideMark/>
          </w:tcPr>
          <w:p w14:paraId="4D45D35B" w14:textId="5F59454C" w:rsidR="00A36B54" w:rsidRPr="00E63A8C" w:rsidRDefault="00A36B54" w:rsidP="007033E9">
            <w:pPr>
              <w:pStyle w:val="ExhibitText"/>
              <w:jc w:val="center"/>
              <w:rPr>
                <w:b/>
                <w:bCs/>
                <w:lang w:val="en-GB"/>
              </w:rPr>
            </w:pPr>
            <w:r w:rsidRPr="00E63A8C">
              <w:rPr>
                <w:b/>
                <w:bCs/>
                <w:lang w:val="en-GB"/>
              </w:rPr>
              <w:t>O</w:t>
            </w:r>
            <w:r w:rsidR="00EC1C58">
              <w:rPr>
                <w:b/>
                <w:bCs/>
                <w:lang w:val="en-GB"/>
              </w:rPr>
              <w:t xml:space="preserve">perating </w:t>
            </w:r>
            <w:r w:rsidRPr="00E63A8C">
              <w:rPr>
                <w:b/>
                <w:bCs/>
                <w:lang w:val="en-GB"/>
              </w:rPr>
              <w:t>S</w:t>
            </w:r>
            <w:r w:rsidR="00EC1C58">
              <w:rPr>
                <w:b/>
                <w:bCs/>
                <w:lang w:val="en-GB"/>
              </w:rPr>
              <w:t>ystem</w:t>
            </w:r>
          </w:p>
        </w:tc>
        <w:tc>
          <w:tcPr>
            <w:tcW w:w="1800" w:type="dxa"/>
            <w:shd w:val="clear" w:color="auto" w:fill="auto"/>
            <w:noWrap/>
            <w:vAlign w:val="center"/>
            <w:hideMark/>
          </w:tcPr>
          <w:p w14:paraId="0ACA301D" w14:textId="7C9D9A90" w:rsidR="00A36B54" w:rsidRPr="00E63A8C" w:rsidRDefault="00A36B54" w:rsidP="007033E9">
            <w:pPr>
              <w:pStyle w:val="ExhibitText"/>
              <w:jc w:val="center"/>
              <w:rPr>
                <w:b/>
                <w:bCs/>
                <w:lang w:val="en-GB"/>
              </w:rPr>
            </w:pPr>
            <w:r w:rsidRPr="00E63A8C">
              <w:rPr>
                <w:b/>
                <w:bCs/>
                <w:lang w:val="en-GB"/>
              </w:rPr>
              <w:t>Aug</w:t>
            </w:r>
            <w:r w:rsidR="00823C7D" w:rsidRPr="00E63A8C">
              <w:rPr>
                <w:b/>
                <w:bCs/>
                <w:lang w:val="en-GB"/>
              </w:rPr>
              <w:t>ust 20</w:t>
            </w:r>
            <w:r w:rsidRPr="00E63A8C">
              <w:rPr>
                <w:b/>
                <w:bCs/>
                <w:lang w:val="en-GB"/>
              </w:rPr>
              <w:t>19</w:t>
            </w:r>
          </w:p>
        </w:tc>
        <w:tc>
          <w:tcPr>
            <w:tcW w:w="1710" w:type="dxa"/>
            <w:shd w:val="clear" w:color="auto" w:fill="auto"/>
            <w:noWrap/>
            <w:vAlign w:val="center"/>
            <w:hideMark/>
          </w:tcPr>
          <w:p w14:paraId="09A48B26" w14:textId="453F8205" w:rsidR="00A36B54" w:rsidRPr="00E63A8C" w:rsidRDefault="00A36B54" w:rsidP="007033E9">
            <w:pPr>
              <w:pStyle w:val="ExhibitText"/>
              <w:jc w:val="center"/>
              <w:rPr>
                <w:b/>
                <w:bCs/>
                <w:lang w:val="en-GB"/>
              </w:rPr>
            </w:pPr>
            <w:r w:rsidRPr="00E63A8C">
              <w:rPr>
                <w:b/>
                <w:bCs/>
                <w:lang w:val="en-GB"/>
              </w:rPr>
              <w:t>Aug</w:t>
            </w:r>
            <w:r w:rsidR="00823C7D" w:rsidRPr="00E63A8C">
              <w:rPr>
                <w:b/>
                <w:bCs/>
                <w:lang w:val="en-GB"/>
              </w:rPr>
              <w:t>ust 20</w:t>
            </w:r>
            <w:r w:rsidRPr="00E63A8C">
              <w:rPr>
                <w:b/>
                <w:bCs/>
                <w:lang w:val="en-GB"/>
              </w:rPr>
              <w:t>20</w:t>
            </w:r>
          </w:p>
        </w:tc>
        <w:tc>
          <w:tcPr>
            <w:tcW w:w="1890" w:type="dxa"/>
            <w:vAlign w:val="center"/>
          </w:tcPr>
          <w:p w14:paraId="087AF6A4" w14:textId="306BCF76" w:rsidR="00A36B54" w:rsidRPr="00E63A8C" w:rsidRDefault="00A36B54" w:rsidP="007033E9">
            <w:pPr>
              <w:pStyle w:val="ExhibitText"/>
              <w:jc w:val="center"/>
              <w:rPr>
                <w:b/>
                <w:bCs/>
                <w:lang w:val="en-GB"/>
              </w:rPr>
            </w:pPr>
            <w:r w:rsidRPr="00E63A8C">
              <w:rPr>
                <w:b/>
                <w:bCs/>
                <w:lang w:val="en-GB"/>
              </w:rPr>
              <w:t>Sept</w:t>
            </w:r>
            <w:r w:rsidR="00823C7D" w:rsidRPr="00E63A8C">
              <w:rPr>
                <w:b/>
                <w:bCs/>
                <w:lang w:val="en-GB"/>
              </w:rPr>
              <w:t>ember 20</w:t>
            </w:r>
            <w:r w:rsidRPr="00E63A8C">
              <w:rPr>
                <w:b/>
                <w:bCs/>
                <w:lang w:val="en-GB"/>
              </w:rPr>
              <w:t>19</w:t>
            </w:r>
          </w:p>
        </w:tc>
        <w:tc>
          <w:tcPr>
            <w:tcW w:w="1922" w:type="dxa"/>
            <w:vAlign w:val="center"/>
          </w:tcPr>
          <w:p w14:paraId="7054B024" w14:textId="3302ACF2" w:rsidR="00A36B54" w:rsidRPr="00E63A8C" w:rsidRDefault="00A36B54" w:rsidP="007033E9">
            <w:pPr>
              <w:pStyle w:val="ExhibitText"/>
              <w:jc w:val="center"/>
              <w:rPr>
                <w:b/>
                <w:bCs/>
                <w:lang w:val="en-GB"/>
              </w:rPr>
            </w:pPr>
            <w:r w:rsidRPr="00E63A8C">
              <w:rPr>
                <w:b/>
                <w:bCs/>
                <w:lang w:val="en-GB"/>
              </w:rPr>
              <w:t>Sept</w:t>
            </w:r>
            <w:r w:rsidR="00823C7D" w:rsidRPr="00E63A8C">
              <w:rPr>
                <w:b/>
                <w:bCs/>
                <w:lang w:val="en-GB"/>
              </w:rPr>
              <w:t>ember 20</w:t>
            </w:r>
            <w:r w:rsidRPr="00E63A8C">
              <w:rPr>
                <w:b/>
                <w:bCs/>
                <w:lang w:val="en-GB"/>
              </w:rPr>
              <w:t>20</w:t>
            </w:r>
          </w:p>
        </w:tc>
      </w:tr>
      <w:tr w:rsidR="00A36B54" w:rsidRPr="00433C05" w14:paraId="714E5F5A" w14:textId="77777777" w:rsidTr="0023263C">
        <w:trPr>
          <w:trHeight w:val="277"/>
          <w:tblHeader/>
          <w:jc w:val="center"/>
        </w:trPr>
        <w:tc>
          <w:tcPr>
            <w:tcW w:w="1975" w:type="dxa"/>
            <w:shd w:val="clear" w:color="auto" w:fill="auto"/>
            <w:noWrap/>
            <w:vAlign w:val="center"/>
            <w:hideMark/>
          </w:tcPr>
          <w:p w14:paraId="324CB2D6" w14:textId="77777777" w:rsidR="00A36B54" w:rsidRPr="00433C05" w:rsidRDefault="00A36B54" w:rsidP="007033E9">
            <w:pPr>
              <w:pStyle w:val="ExhibitText"/>
              <w:jc w:val="center"/>
              <w:rPr>
                <w:lang w:val="en-GB"/>
              </w:rPr>
            </w:pPr>
            <w:r w:rsidRPr="00433C05">
              <w:rPr>
                <w:lang w:val="en-GB"/>
              </w:rPr>
              <w:t>Android</w:t>
            </w:r>
          </w:p>
        </w:tc>
        <w:tc>
          <w:tcPr>
            <w:tcW w:w="1800" w:type="dxa"/>
            <w:shd w:val="clear" w:color="auto" w:fill="auto"/>
            <w:noWrap/>
            <w:vAlign w:val="center"/>
            <w:hideMark/>
          </w:tcPr>
          <w:p w14:paraId="437582B3" w14:textId="77777777" w:rsidR="00A36B54" w:rsidRPr="00433C05" w:rsidRDefault="00A36B54" w:rsidP="007033E9">
            <w:pPr>
              <w:pStyle w:val="ExhibitText"/>
              <w:jc w:val="center"/>
              <w:rPr>
                <w:lang w:val="en-GB"/>
              </w:rPr>
            </w:pPr>
            <w:r w:rsidRPr="00433C05">
              <w:rPr>
                <w:lang w:val="en-GB"/>
              </w:rPr>
              <w:t>76.23</w:t>
            </w:r>
          </w:p>
        </w:tc>
        <w:tc>
          <w:tcPr>
            <w:tcW w:w="1710" w:type="dxa"/>
            <w:shd w:val="clear" w:color="auto" w:fill="auto"/>
            <w:noWrap/>
            <w:vAlign w:val="center"/>
            <w:hideMark/>
          </w:tcPr>
          <w:p w14:paraId="0E23E765" w14:textId="77777777" w:rsidR="00A36B54" w:rsidRPr="00433C05" w:rsidRDefault="00A36B54" w:rsidP="007033E9">
            <w:pPr>
              <w:pStyle w:val="ExhibitText"/>
              <w:jc w:val="center"/>
              <w:rPr>
                <w:lang w:val="en-GB"/>
              </w:rPr>
            </w:pPr>
            <w:r w:rsidRPr="00433C05">
              <w:rPr>
                <w:lang w:val="en-GB"/>
              </w:rPr>
              <w:t>74.25</w:t>
            </w:r>
          </w:p>
        </w:tc>
        <w:tc>
          <w:tcPr>
            <w:tcW w:w="1890" w:type="dxa"/>
            <w:vAlign w:val="center"/>
          </w:tcPr>
          <w:p w14:paraId="1270C36B" w14:textId="77777777" w:rsidR="00A36B54" w:rsidRPr="00433C05" w:rsidRDefault="00A36B54" w:rsidP="007033E9">
            <w:pPr>
              <w:pStyle w:val="ExhibitText"/>
              <w:jc w:val="center"/>
              <w:rPr>
                <w:lang w:val="en-GB"/>
              </w:rPr>
            </w:pPr>
            <w:r w:rsidRPr="00433C05">
              <w:rPr>
                <w:lang w:val="en-GB"/>
              </w:rPr>
              <w:t>94.2</w:t>
            </w:r>
          </w:p>
        </w:tc>
        <w:tc>
          <w:tcPr>
            <w:tcW w:w="1922" w:type="dxa"/>
            <w:vAlign w:val="center"/>
          </w:tcPr>
          <w:p w14:paraId="0B059C6B" w14:textId="77777777" w:rsidR="00A36B54" w:rsidRPr="00433C05" w:rsidRDefault="00A36B54" w:rsidP="007033E9">
            <w:pPr>
              <w:pStyle w:val="ExhibitText"/>
              <w:jc w:val="center"/>
              <w:rPr>
                <w:lang w:val="en-GB"/>
              </w:rPr>
            </w:pPr>
            <w:r w:rsidRPr="00433C05">
              <w:rPr>
                <w:lang w:val="en-GB"/>
              </w:rPr>
              <w:t>95.85</w:t>
            </w:r>
          </w:p>
        </w:tc>
      </w:tr>
      <w:tr w:rsidR="00A36B54" w:rsidRPr="00433C05" w14:paraId="6F0B0515" w14:textId="77777777" w:rsidTr="0023263C">
        <w:trPr>
          <w:trHeight w:val="277"/>
          <w:tblHeader/>
          <w:jc w:val="center"/>
        </w:trPr>
        <w:tc>
          <w:tcPr>
            <w:tcW w:w="1975" w:type="dxa"/>
            <w:shd w:val="clear" w:color="auto" w:fill="auto"/>
            <w:noWrap/>
            <w:vAlign w:val="center"/>
            <w:hideMark/>
          </w:tcPr>
          <w:p w14:paraId="66ACFF85" w14:textId="77777777" w:rsidR="00A36B54" w:rsidRPr="00433C05" w:rsidRDefault="00A36B54" w:rsidP="007033E9">
            <w:pPr>
              <w:pStyle w:val="ExhibitText"/>
              <w:jc w:val="center"/>
              <w:rPr>
                <w:lang w:val="en-GB"/>
              </w:rPr>
            </w:pPr>
            <w:r w:rsidRPr="00433C05">
              <w:rPr>
                <w:lang w:val="en-GB"/>
              </w:rPr>
              <w:t>iOS</w:t>
            </w:r>
          </w:p>
        </w:tc>
        <w:tc>
          <w:tcPr>
            <w:tcW w:w="1800" w:type="dxa"/>
            <w:shd w:val="clear" w:color="auto" w:fill="auto"/>
            <w:noWrap/>
            <w:vAlign w:val="center"/>
            <w:hideMark/>
          </w:tcPr>
          <w:p w14:paraId="15D38D07" w14:textId="77777777" w:rsidR="00A36B54" w:rsidRPr="00433C05" w:rsidRDefault="00A36B54" w:rsidP="007033E9">
            <w:pPr>
              <w:pStyle w:val="ExhibitText"/>
              <w:jc w:val="center"/>
              <w:rPr>
                <w:lang w:val="en-GB"/>
              </w:rPr>
            </w:pPr>
            <w:r w:rsidRPr="00433C05">
              <w:rPr>
                <w:lang w:val="en-GB"/>
              </w:rPr>
              <w:t>22.17</w:t>
            </w:r>
          </w:p>
        </w:tc>
        <w:tc>
          <w:tcPr>
            <w:tcW w:w="1710" w:type="dxa"/>
            <w:shd w:val="clear" w:color="auto" w:fill="auto"/>
            <w:noWrap/>
            <w:vAlign w:val="center"/>
            <w:hideMark/>
          </w:tcPr>
          <w:p w14:paraId="6FD5F4BF" w14:textId="77777777" w:rsidR="00A36B54" w:rsidRPr="00433C05" w:rsidRDefault="00A36B54" w:rsidP="007033E9">
            <w:pPr>
              <w:pStyle w:val="ExhibitText"/>
              <w:jc w:val="center"/>
              <w:rPr>
                <w:lang w:val="en-GB"/>
              </w:rPr>
            </w:pPr>
            <w:r w:rsidRPr="00433C05">
              <w:rPr>
                <w:lang w:val="en-GB"/>
              </w:rPr>
              <w:t>25.15</w:t>
            </w:r>
          </w:p>
        </w:tc>
        <w:tc>
          <w:tcPr>
            <w:tcW w:w="1890" w:type="dxa"/>
            <w:vAlign w:val="center"/>
          </w:tcPr>
          <w:p w14:paraId="7E1B2DDB" w14:textId="77777777" w:rsidR="00A36B54" w:rsidRPr="00433C05" w:rsidRDefault="00A36B54" w:rsidP="007033E9">
            <w:pPr>
              <w:pStyle w:val="ExhibitText"/>
              <w:jc w:val="center"/>
              <w:rPr>
                <w:lang w:val="en-GB"/>
              </w:rPr>
            </w:pPr>
            <w:r w:rsidRPr="00433C05">
              <w:rPr>
                <w:lang w:val="en-GB"/>
              </w:rPr>
              <w:t>2.62</w:t>
            </w:r>
          </w:p>
        </w:tc>
        <w:tc>
          <w:tcPr>
            <w:tcW w:w="1922" w:type="dxa"/>
            <w:vAlign w:val="center"/>
          </w:tcPr>
          <w:p w14:paraId="73BB2F1B" w14:textId="77777777" w:rsidR="00A36B54" w:rsidRPr="00433C05" w:rsidRDefault="00A36B54" w:rsidP="007033E9">
            <w:pPr>
              <w:pStyle w:val="ExhibitText"/>
              <w:jc w:val="center"/>
              <w:rPr>
                <w:lang w:val="en-GB"/>
              </w:rPr>
            </w:pPr>
            <w:r w:rsidRPr="00433C05">
              <w:rPr>
                <w:lang w:val="en-GB"/>
              </w:rPr>
              <w:t>3.24</w:t>
            </w:r>
          </w:p>
        </w:tc>
      </w:tr>
      <w:tr w:rsidR="00A36B54" w:rsidRPr="00433C05" w14:paraId="02A5E460" w14:textId="77777777" w:rsidTr="0023263C">
        <w:trPr>
          <w:trHeight w:val="277"/>
          <w:tblHeader/>
          <w:jc w:val="center"/>
        </w:trPr>
        <w:tc>
          <w:tcPr>
            <w:tcW w:w="1975" w:type="dxa"/>
            <w:shd w:val="clear" w:color="auto" w:fill="auto"/>
            <w:noWrap/>
            <w:vAlign w:val="center"/>
            <w:hideMark/>
          </w:tcPr>
          <w:p w14:paraId="14CEF496" w14:textId="77777777" w:rsidR="00A36B54" w:rsidRPr="00433C05" w:rsidRDefault="00A36B54" w:rsidP="007033E9">
            <w:pPr>
              <w:pStyle w:val="ExhibitText"/>
              <w:jc w:val="center"/>
              <w:rPr>
                <w:lang w:val="en-GB"/>
              </w:rPr>
            </w:pPr>
            <w:r w:rsidRPr="00433C05">
              <w:rPr>
                <w:lang w:val="en-GB"/>
              </w:rPr>
              <w:t>KaiOS</w:t>
            </w:r>
          </w:p>
        </w:tc>
        <w:tc>
          <w:tcPr>
            <w:tcW w:w="1800" w:type="dxa"/>
            <w:shd w:val="clear" w:color="auto" w:fill="auto"/>
            <w:noWrap/>
            <w:vAlign w:val="center"/>
            <w:hideMark/>
          </w:tcPr>
          <w:p w14:paraId="6289DF01" w14:textId="77777777" w:rsidR="00A36B54" w:rsidRPr="00433C05" w:rsidRDefault="00A36B54" w:rsidP="007033E9">
            <w:pPr>
              <w:pStyle w:val="ExhibitText"/>
              <w:jc w:val="center"/>
              <w:rPr>
                <w:lang w:val="en-GB"/>
              </w:rPr>
            </w:pPr>
            <w:r w:rsidRPr="00433C05">
              <w:rPr>
                <w:lang w:val="en-GB"/>
              </w:rPr>
              <w:t>0.59</w:t>
            </w:r>
          </w:p>
        </w:tc>
        <w:tc>
          <w:tcPr>
            <w:tcW w:w="1710" w:type="dxa"/>
            <w:shd w:val="clear" w:color="auto" w:fill="auto"/>
            <w:noWrap/>
            <w:vAlign w:val="center"/>
            <w:hideMark/>
          </w:tcPr>
          <w:p w14:paraId="5E3D1243" w14:textId="77777777" w:rsidR="00A36B54" w:rsidRPr="00433C05" w:rsidRDefault="00A36B54" w:rsidP="007033E9">
            <w:pPr>
              <w:pStyle w:val="ExhibitText"/>
              <w:jc w:val="center"/>
              <w:rPr>
                <w:lang w:val="en-GB"/>
              </w:rPr>
            </w:pPr>
            <w:r w:rsidRPr="00433C05">
              <w:rPr>
                <w:lang w:val="en-GB"/>
              </w:rPr>
              <w:t>0.08</w:t>
            </w:r>
          </w:p>
        </w:tc>
        <w:tc>
          <w:tcPr>
            <w:tcW w:w="1890" w:type="dxa"/>
            <w:vAlign w:val="center"/>
          </w:tcPr>
          <w:p w14:paraId="67F27991" w14:textId="77777777" w:rsidR="00A36B54" w:rsidRPr="00433C05" w:rsidRDefault="00A36B54" w:rsidP="007033E9">
            <w:pPr>
              <w:pStyle w:val="ExhibitText"/>
              <w:jc w:val="center"/>
              <w:rPr>
                <w:lang w:val="en-GB"/>
              </w:rPr>
            </w:pPr>
            <w:r w:rsidRPr="00433C05">
              <w:rPr>
                <w:lang w:val="en-GB"/>
              </w:rPr>
              <w:t>2.08</w:t>
            </w:r>
          </w:p>
        </w:tc>
        <w:tc>
          <w:tcPr>
            <w:tcW w:w="1922" w:type="dxa"/>
            <w:vAlign w:val="center"/>
          </w:tcPr>
          <w:p w14:paraId="5C2E98B9" w14:textId="77777777" w:rsidR="00A36B54" w:rsidRPr="00433C05" w:rsidRDefault="00A36B54" w:rsidP="007033E9">
            <w:pPr>
              <w:pStyle w:val="ExhibitText"/>
              <w:jc w:val="center"/>
              <w:rPr>
                <w:lang w:val="en-GB"/>
              </w:rPr>
            </w:pPr>
            <w:r w:rsidRPr="00433C05">
              <w:rPr>
                <w:lang w:val="en-GB"/>
              </w:rPr>
              <w:t>0.53</w:t>
            </w:r>
          </w:p>
        </w:tc>
      </w:tr>
      <w:tr w:rsidR="00A36B54" w:rsidRPr="00433C05" w14:paraId="26237EE0" w14:textId="77777777" w:rsidTr="0023263C">
        <w:trPr>
          <w:trHeight w:val="277"/>
          <w:tblHeader/>
          <w:jc w:val="center"/>
        </w:trPr>
        <w:tc>
          <w:tcPr>
            <w:tcW w:w="1975" w:type="dxa"/>
            <w:shd w:val="clear" w:color="auto" w:fill="auto"/>
            <w:noWrap/>
            <w:vAlign w:val="center"/>
            <w:hideMark/>
          </w:tcPr>
          <w:p w14:paraId="3136F152" w14:textId="77777777" w:rsidR="00A36B54" w:rsidRPr="00433C05" w:rsidRDefault="00A36B54" w:rsidP="007033E9">
            <w:pPr>
              <w:pStyle w:val="ExhibitText"/>
              <w:jc w:val="center"/>
              <w:rPr>
                <w:lang w:val="en-GB"/>
              </w:rPr>
            </w:pPr>
            <w:r w:rsidRPr="00433C05">
              <w:rPr>
                <w:lang w:val="en-GB"/>
              </w:rPr>
              <w:t>Samsung</w:t>
            </w:r>
          </w:p>
        </w:tc>
        <w:tc>
          <w:tcPr>
            <w:tcW w:w="1800" w:type="dxa"/>
            <w:shd w:val="clear" w:color="auto" w:fill="auto"/>
            <w:noWrap/>
            <w:vAlign w:val="center"/>
            <w:hideMark/>
          </w:tcPr>
          <w:p w14:paraId="23D4A458" w14:textId="77777777" w:rsidR="00A36B54" w:rsidRPr="00433C05" w:rsidRDefault="00A36B54" w:rsidP="007033E9">
            <w:pPr>
              <w:pStyle w:val="ExhibitText"/>
              <w:jc w:val="center"/>
              <w:rPr>
                <w:lang w:val="en-GB"/>
              </w:rPr>
            </w:pPr>
            <w:r w:rsidRPr="00433C05">
              <w:rPr>
                <w:lang w:val="en-GB"/>
              </w:rPr>
              <w:t>0.21</w:t>
            </w:r>
          </w:p>
        </w:tc>
        <w:tc>
          <w:tcPr>
            <w:tcW w:w="1710" w:type="dxa"/>
            <w:shd w:val="clear" w:color="auto" w:fill="auto"/>
            <w:noWrap/>
            <w:vAlign w:val="center"/>
            <w:hideMark/>
          </w:tcPr>
          <w:p w14:paraId="2FB18E60" w14:textId="77777777" w:rsidR="00A36B54" w:rsidRPr="00433C05" w:rsidRDefault="00A36B54" w:rsidP="007033E9">
            <w:pPr>
              <w:pStyle w:val="ExhibitText"/>
              <w:jc w:val="center"/>
              <w:rPr>
                <w:lang w:val="en-GB"/>
              </w:rPr>
            </w:pPr>
            <w:r w:rsidRPr="00433C05">
              <w:rPr>
                <w:lang w:val="en-GB"/>
              </w:rPr>
              <w:t>0.23</w:t>
            </w:r>
          </w:p>
        </w:tc>
        <w:tc>
          <w:tcPr>
            <w:tcW w:w="1890" w:type="dxa"/>
            <w:vAlign w:val="center"/>
          </w:tcPr>
          <w:p w14:paraId="49AFBA83" w14:textId="77777777" w:rsidR="00A36B54" w:rsidRPr="00433C05" w:rsidRDefault="00A36B54" w:rsidP="007033E9">
            <w:pPr>
              <w:pStyle w:val="ExhibitText"/>
              <w:jc w:val="center"/>
              <w:rPr>
                <w:lang w:val="en-GB"/>
              </w:rPr>
            </w:pPr>
            <w:r w:rsidRPr="00433C05">
              <w:rPr>
                <w:lang w:val="en-GB"/>
              </w:rPr>
              <w:t>0.32</w:t>
            </w:r>
          </w:p>
        </w:tc>
        <w:tc>
          <w:tcPr>
            <w:tcW w:w="1922" w:type="dxa"/>
            <w:vAlign w:val="center"/>
          </w:tcPr>
          <w:p w14:paraId="759311EC" w14:textId="77777777" w:rsidR="00A36B54" w:rsidRPr="00433C05" w:rsidRDefault="00A36B54" w:rsidP="007033E9">
            <w:pPr>
              <w:pStyle w:val="ExhibitText"/>
              <w:jc w:val="center"/>
              <w:rPr>
                <w:lang w:val="en-GB"/>
              </w:rPr>
            </w:pPr>
            <w:r w:rsidRPr="00433C05">
              <w:rPr>
                <w:lang w:val="en-GB"/>
              </w:rPr>
              <w:t>0.17</w:t>
            </w:r>
          </w:p>
        </w:tc>
      </w:tr>
      <w:tr w:rsidR="00A36B54" w:rsidRPr="00433C05" w14:paraId="5D9E46A0" w14:textId="77777777" w:rsidTr="0023263C">
        <w:trPr>
          <w:trHeight w:val="277"/>
          <w:tblHeader/>
          <w:jc w:val="center"/>
        </w:trPr>
        <w:tc>
          <w:tcPr>
            <w:tcW w:w="1975" w:type="dxa"/>
            <w:shd w:val="clear" w:color="auto" w:fill="auto"/>
            <w:noWrap/>
            <w:vAlign w:val="center"/>
            <w:hideMark/>
          </w:tcPr>
          <w:p w14:paraId="3AC71FD5" w14:textId="77777777" w:rsidR="00A36B54" w:rsidRPr="00433C05" w:rsidRDefault="00A36B54" w:rsidP="007033E9">
            <w:pPr>
              <w:pStyle w:val="ExhibitText"/>
              <w:jc w:val="center"/>
              <w:rPr>
                <w:lang w:val="en-GB"/>
              </w:rPr>
            </w:pPr>
            <w:r w:rsidRPr="00433C05">
              <w:rPr>
                <w:lang w:val="en-GB"/>
              </w:rPr>
              <w:t>Unknown</w:t>
            </w:r>
          </w:p>
        </w:tc>
        <w:tc>
          <w:tcPr>
            <w:tcW w:w="1800" w:type="dxa"/>
            <w:shd w:val="clear" w:color="auto" w:fill="auto"/>
            <w:noWrap/>
            <w:vAlign w:val="center"/>
            <w:hideMark/>
          </w:tcPr>
          <w:p w14:paraId="041CFAA9" w14:textId="77777777" w:rsidR="00A36B54" w:rsidRPr="00433C05" w:rsidRDefault="00A36B54" w:rsidP="007033E9">
            <w:pPr>
              <w:pStyle w:val="ExhibitText"/>
              <w:jc w:val="center"/>
              <w:rPr>
                <w:lang w:val="en-GB"/>
              </w:rPr>
            </w:pPr>
            <w:r w:rsidRPr="00433C05">
              <w:rPr>
                <w:lang w:val="en-GB"/>
              </w:rPr>
              <w:t>0.26</w:t>
            </w:r>
          </w:p>
        </w:tc>
        <w:tc>
          <w:tcPr>
            <w:tcW w:w="1710" w:type="dxa"/>
            <w:shd w:val="clear" w:color="auto" w:fill="auto"/>
            <w:noWrap/>
            <w:vAlign w:val="center"/>
            <w:hideMark/>
          </w:tcPr>
          <w:p w14:paraId="66C8D56C" w14:textId="77777777" w:rsidR="00A36B54" w:rsidRPr="00433C05" w:rsidRDefault="00A36B54" w:rsidP="007033E9">
            <w:pPr>
              <w:pStyle w:val="ExhibitText"/>
              <w:jc w:val="center"/>
              <w:rPr>
                <w:lang w:val="en-GB"/>
              </w:rPr>
            </w:pPr>
            <w:r w:rsidRPr="00433C05">
              <w:rPr>
                <w:lang w:val="en-GB"/>
              </w:rPr>
              <w:t>0.13</w:t>
            </w:r>
          </w:p>
        </w:tc>
        <w:tc>
          <w:tcPr>
            <w:tcW w:w="1890" w:type="dxa"/>
            <w:vAlign w:val="center"/>
          </w:tcPr>
          <w:p w14:paraId="41B07AA2" w14:textId="77777777" w:rsidR="00A36B54" w:rsidRPr="00433C05" w:rsidRDefault="00A36B54" w:rsidP="007033E9">
            <w:pPr>
              <w:pStyle w:val="ExhibitText"/>
              <w:jc w:val="center"/>
              <w:rPr>
                <w:lang w:val="en-GB"/>
              </w:rPr>
            </w:pPr>
            <w:r w:rsidRPr="00433C05">
              <w:rPr>
                <w:lang w:val="en-GB"/>
              </w:rPr>
              <w:t>0.09</w:t>
            </w:r>
          </w:p>
        </w:tc>
        <w:tc>
          <w:tcPr>
            <w:tcW w:w="1922" w:type="dxa"/>
            <w:vAlign w:val="center"/>
          </w:tcPr>
          <w:p w14:paraId="2A5D6FFF" w14:textId="77777777" w:rsidR="00A36B54" w:rsidRPr="00433C05" w:rsidRDefault="00A36B54" w:rsidP="007033E9">
            <w:pPr>
              <w:pStyle w:val="ExhibitText"/>
              <w:jc w:val="center"/>
              <w:rPr>
                <w:lang w:val="en-GB"/>
              </w:rPr>
            </w:pPr>
            <w:r w:rsidRPr="00433C05">
              <w:rPr>
                <w:lang w:val="en-GB"/>
              </w:rPr>
              <w:t>0.03</w:t>
            </w:r>
          </w:p>
        </w:tc>
      </w:tr>
      <w:tr w:rsidR="00A36B54" w:rsidRPr="00433C05" w14:paraId="4D4AE3C5" w14:textId="77777777" w:rsidTr="0023263C">
        <w:trPr>
          <w:trHeight w:val="277"/>
          <w:tblHeader/>
          <w:jc w:val="center"/>
        </w:trPr>
        <w:tc>
          <w:tcPr>
            <w:tcW w:w="1975" w:type="dxa"/>
            <w:shd w:val="clear" w:color="auto" w:fill="auto"/>
            <w:noWrap/>
            <w:vAlign w:val="center"/>
            <w:hideMark/>
          </w:tcPr>
          <w:p w14:paraId="1C0862C9" w14:textId="77777777" w:rsidR="00A36B54" w:rsidRPr="00433C05" w:rsidRDefault="00A36B54" w:rsidP="007033E9">
            <w:pPr>
              <w:pStyle w:val="ExhibitText"/>
              <w:jc w:val="center"/>
              <w:rPr>
                <w:lang w:val="en-GB"/>
              </w:rPr>
            </w:pPr>
            <w:r w:rsidRPr="00433C05">
              <w:rPr>
                <w:lang w:val="en-GB"/>
              </w:rPr>
              <w:t>Windows</w:t>
            </w:r>
          </w:p>
        </w:tc>
        <w:tc>
          <w:tcPr>
            <w:tcW w:w="1800" w:type="dxa"/>
            <w:shd w:val="clear" w:color="auto" w:fill="auto"/>
            <w:noWrap/>
            <w:vAlign w:val="center"/>
            <w:hideMark/>
          </w:tcPr>
          <w:p w14:paraId="08C279C3" w14:textId="77777777" w:rsidR="00A36B54" w:rsidRPr="00433C05" w:rsidRDefault="00A36B54" w:rsidP="007033E9">
            <w:pPr>
              <w:pStyle w:val="ExhibitText"/>
              <w:jc w:val="center"/>
              <w:rPr>
                <w:lang w:val="en-GB"/>
              </w:rPr>
            </w:pPr>
            <w:r w:rsidRPr="00433C05">
              <w:rPr>
                <w:lang w:val="en-GB"/>
              </w:rPr>
              <w:t>0.2</w:t>
            </w:r>
          </w:p>
        </w:tc>
        <w:tc>
          <w:tcPr>
            <w:tcW w:w="1710" w:type="dxa"/>
            <w:shd w:val="clear" w:color="auto" w:fill="auto"/>
            <w:noWrap/>
            <w:vAlign w:val="center"/>
            <w:hideMark/>
          </w:tcPr>
          <w:p w14:paraId="27C5DEEB" w14:textId="77777777" w:rsidR="00A36B54" w:rsidRPr="00433C05" w:rsidRDefault="00A36B54" w:rsidP="007033E9">
            <w:pPr>
              <w:pStyle w:val="ExhibitText"/>
              <w:jc w:val="center"/>
              <w:rPr>
                <w:lang w:val="en-GB"/>
              </w:rPr>
            </w:pPr>
            <w:r w:rsidRPr="00433C05">
              <w:rPr>
                <w:lang w:val="en-GB"/>
              </w:rPr>
              <w:t>0.03</w:t>
            </w:r>
          </w:p>
        </w:tc>
        <w:tc>
          <w:tcPr>
            <w:tcW w:w="1890" w:type="dxa"/>
            <w:vAlign w:val="center"/>
          </w:tcPr>
          <w:p w14:paraId="6D05B63C" w14:textId="77777777" w:rsidR="00A36B54" w:rsidRPr="00433C05" w:rsidRDefault="00A36B54" w:rsidP="007033E9">
            <w:pPr>
              <w:pStyle w:val="ExhibitText"/>
              <w:jc w:val="center"/>
              <w:rPr>
                <w:lang w:val="en-GB"/>
              </w:rPr>
            </w:pPr>
            <w:r w:rsidRPr="00433C05">
              <w:rPr>
                <w:lang w:val="en-GB"/>
              </w:rPr>
              <w:t>0.13</w:t>
            </w:r>
          </w:p>
        </w:tc>
        <w:tc>
          <w:tcPr>
            <w:tcW w:w="1922" w:type="dxa"/>
            <w:vAlign w:val="center"/>
          </w:tcPr>
          <w:p w14:paraId="0F2D05F9" w14:textId="77777777" w:rsidR="00A36B54" w:rsidRPr="00433C05" w:rsidRDefault="00A36B54" w:rsidP="007033E9">
            <w:pPr>
              <w:pStyle w:val="ExhibitText"/>
              <w:jc w:val="center"/>
              <w:rPr>
                <w:lang w:val="en-GB"/>
              </w:rPr>
            </w:pPr>
            <w:r w:rsidRPr="00433C05">
              <w:rPr>
                <w:lang w:val="en-GB"/>
              </w:rPr>
              <w:t>0.01</w:t>
            </w:r>
          </w:p>
        </w:tc>
      </w:tr>
      <w:tr w:rsidR="00A36B54" w:rsidRPr="00433C05" w14:paraId="4B5BA22B" w14:textId="77777777" w:rsidTr="0023263C">
        <w:trPr>
          <w:trHeight w:val="277"/>
          <w:tblHeader/>
          <w:jc w:val="center"/>
        </w:trPr>
        <w:tc>
          <w:tcPr>
            <w:tcW w:w="1975" w:type="dxa"/>
            <w:shd w:val="clear" w:color="auto" w:fill="auto"/>
            <w:noWrap/>
            <w:vAlign w:val="center"/>
            <w:hideMark/>
          </w:tcPr>
          <w:p w14:paraId="4D10CCE4" w14:textId="77777777" w:rsidR="00A36B54" w:rsidRPr="00433C05" w:rsidRDefault="00A36B54" w:rsidP="007033E9">
            <w:pPr>
              <w:pStyle w:val="ExhibitText"/>
              <w:jc w:val="center"/>
              <w:rPr>
                <w:lang w:val="en-GB"/>
              </w:rPr>
            </w:pPr>
            <w:r w:rsidRPr="00433C05">
              <w:rPr>
                <w:lang w:val="en-GB"/>
              </w:rPr>
              <w:t>Nokia Unknown</w:t>
            </w:r>
          </w:p>
        </w:tc>
        <w:tc>
          <w:tcPr>
            <w:tcW w:w="1800" w:type="dxa"/>
            <w:shd w:val="clear" w:color="auto" w:fill="auto"/>
            <w:noWrap/>
            <w:vAlign w:val="center"/>
            <w:hideMark/>
          </w:tcPr>
          <w:p w14:paraId="189115E1" w14:textId="77777777" w:rsidR="00A36B54" w:rsidRPr="00433C05" w:rsidRDefault="00A36B54" w:rsidP="007033E9">
            <w:pPr>
              <w:pStyle w:val="ExhibitText"/>
              <w:jc w:val="center"/>
              <w:rPr>
                <w:lang w:val="en-GB"/>
              </w:rPr>
            </w:pPr>
            <w:r w:rsidRPr="00433C05">
              <w:rPr>
                <w:lang w:val="en-GB"/>
              </w:rPr>
              <w:t>0.09</w:t>
            </w:r>
          </w:p>
        </w:tc>
        <w:tc>
          <w:tcPr>
            <w:tcW w:w="1710" w:type="dxa"/>
            <w:shd w:val="clear" w:color="auto" w:fill="auto"/>
            <w:noWrap/>
            <w:vAlign w:val="center"/>
            <w:hideMark/>
          </w:tcPr>
          <w:p w14:paraId="1101246B" w14:textId="77777777" w:rsidR="00A36B54" w:rsidRPr="00433C05" w:rsidRDefault="00A36B54" w:rsidP="007033E9">
            <w:pPr>
              <w:pStyle w:val="ExhibitText"/>
              <w:jc w:val="center"/>
              <w:rPr>
                <w:lang w:val="en-GB"/>
              </w:rPr>
            </w:pPr>
            <w:r w:rsidRPr="00433C05">
              <w:rPr>
                <w:lang w:val="en-GB"/>
              </w:rPr>
              <w:t>0.03</w:t>
            </w:r>
          </w:p>
        </w:tc>
        <w:tc>
          <w:tcPr>
            <w:tcW w:w="1890" w:type="dxa"/>
            <w:vAlign w:val="center"/>
          </w:tcPr>
          <w:p w14:paraId="73DEE1E1" w14:textId="77777777" w:rsidR="00A36B54" w:rsidRPr="00433C05" w:rsidRDefault="00A36B54" w:rsidP="007033E9">
            <w:pPr>
              <w:pStyle w:val="ExhibitText"/>
              <w:jc w:val="center"/>
              <w:rPr>
                <w:lang w:val="en-GB"/>
              </w:rPr>
            </w:pPr>
            <w:r w:rsidRPr="00433C05">
              <w:rPr>
                <w:lang w:val="en-GB"/>
              </w:rPr>
              <w:t>0.15</w:t>
            </w:r>
          </w:p>
        </w:tc>
        <w:tc>
          <w:tcPr>
            <w:tcW w:w="1922" w:type="dxa"/>
            <w:vAlign w:val="center"/>
          </w:tcPr>
          <w:p w14:paraId="488C59BE" w14:textId="77777777" w:rsidR="00A36B54" w:rsidRPr="00433C05" w:rsidRDefault="00A36B54" w:rsidP="007033E9">
            <w:pPr>
              <w:pStyle w:val="ExhibitText"/>
              <w:jc w:val="center"/>
              <w:rPr>
                <w:lang w:val="en-GB"/>
              </w:rPr>
            </w:pPr>
            <w:r w:rsidRPr="00433C05">
              <w:rPr>
                <w:lang w:val="en-GB"/>
              </w:rPr>
              <w:t>0.05</w:t>
            </w:r>
          </w:p>
        </w:tc>
      </w:tr>
      <w:tr w:rsidR="00A36B54" w:rsidRPr="00433C05" w14:paraId="47D1F117" w14:textId="77777777" w:rsidTr="0023263C">
        <w:trPr>
          <w:trHeight w:val="277"/>
          <w:tblHeader/>
          <w:jc w:val="center"/>
        </w:trPr>
        <w:tc>
          <w:tcPr>
            <w:tcW w:w="1975" w:type="dxa"/>
            <w:shd w:val="clear" w:color="auto" w:fill="auto"/>
            <w:noWrap/>
            <w:vAlign w:val="center"/>
            <w:hideMark/>
          </w:tcPr>
          <w:p w14:paraId="156924CA" w14:textId="77777777" w:rsidR="00A36B54" w:rsidRPr="00433C05" w:rsidRDefault="00A36B54" w:rsidP="007033E9">
            <w:pPr>
              <w:pStyle w:val="ExhibitText"/>
              <w:jc w:val="center"/>
              <w:rPr>
                <w:lang w:val="en-GB"/>
              </w:rPr>
            </w:pPr>
            <w:r w:rsidRPr="00433C05">
              <w:rPr>
                <w:lang w:val="en-GB"/>
              </w:rPr>
              <w:t>Series 40</w:t>
            </w:r>
          </w:p>
        </w:tc>
        <w:tc>
          <w:tcPr>
            <w:tcW w:w="1800" w:type="dxa"/>
            <w:shd w:val="clear" w:color="auto" w:fill="auto"/>
            <w:noWrap/>
            <w:vAlign w:val="center"/>
            <w:hideMark/>
          </w:tcPr>
          <w:p w14:paraId="7DB512B3" w14:textId="77777777" w:rsidR="00A36B54" w:rsidRPr="00433C05" w:rsidRDefault="00A36B54" w:rsidP="007033E9">
            <w:pPr>
              <w:pStyle w:val="ExhibitText"/>
              <w:jc w:val="center"/>
              <w:rPr>
                <w:lang w:val="en-GB"/>
              </w:rPr>
            </w:pPr>
            <w:r w:rsidRPr="00433C05">
              <w:rPr>
                <w:lang w:val="en-GB"/>
              </w:rPr>
              <w:t>0.09</w:t>
            </w:r>
          </w:p>
        </w:tc>
        <w:tc>
          <w:tcPr>
            <w:tcW w:w="1710" w:type="dxa"/>
            <w:shd w:val="clear" w:color="auto" w:fill="auto"/>
            <w:noWrap/>
            <w:vAlign w:val="center"/>
            <w:hideMark/>
          </w:tcPr>
          <w:p w14:paraId="269B5B82" w14:textId="77777777" w:rsidR="00A36B54" w:rsidRPr="00433C05" w:rsidRDefault="00A36B54" w:rsidP="007033E9">
            <w:pPr>
              <w:pStyle w:val="ExhibitText"/>
              <w:jc w:val="center"/>
              <w:rPr>
                <w:lang w:val="en-GB"/>
              </w:rPr>
            </w:pPr>
            <w:r w:rsidRPr="00433C05">
              <w:rPr>
                <w:lang w:val="en-GB"/>
              </w:rPr>
              <w:t>0.03</w:t>
            </w:r>
          </w:p>
        </w:tc>
        <w:tc>
          <w:tcPr>
            <w:tcW w:w="1890" w:type="dxa"/>
            <w:vAlign w:val="center"/>
          </w:tcPr>
          <w:p w14:paraId="31125515" w14:textId="77777777" w:rsidR="00A36B54" w:rsidRPr="00433C05" w:rsidRDefault="00A36B54" w:rsidP="007033E9">
            <w:pPr>
              <w:pStyle w:val="ExhibitText"/>
              <w:jc w:val="center"/>
              <w:rPr>
                <w:lang w:val="en-GB"/>
              </w:rPr>
            </w:pPr>
            <w:r w:rsidRPr="00433C05">
              <w:rPr>
                <w:lang w:val="en-GB"/>
              </w:rPr>
              <w:t>0.1</w:t>
            </w:r>
          </w:p>
        </w:tc>
        <w:tc>
          <w:tcPr>
            <w:tcW w:w="1922" w:type="dxa"/>
            <w:vAlign w:val="center"/>
          </w:tcPr>
          <w:p w14:paraId="2756CBB7" w14:textId="77777777" w:rsidR="00A36B54" w:rsidRPr="00433C05" w:rsidRDefault="00A36B54" w:rsidP="007033E9">
            <w:pPr>
              <w:pStyle w:val="ExhibitText"/>
              <w:jc w:val="center"/>
              <w:rPr>
                <w:lang w:val="en-GB"/>
              </w:rPr>
            </w:pPr>
            <w:r w:rsidRPr="00433C05">
              <w:rPr>
                <w:lang w:val="en-GB"/>
              </w:rPr>
              <w:t>0.02</w:t>
            </w:r>
          </w:p>
        </w:tc>
      </w:tr>
      <w:tr w:rsidR="00A36B54" w:rsidRPr="00433C05" w14:paraId="1F5F838D" w14:textId="77777777" w:rsidTr="0023263C">
        <w:trPr>
          <w:trHeight w:val="277"/>
          <w:tblHeader/>
          <w:jc w:val="center"/>
        </w:trPr>
        <w:tc>
          <w:tcPr>
            <w:tcW w:w="1975" w:type="dxa"/>
            <w:shd w:val="clear" w:color="auto" w:fill="auto"/>
            <w:noWrap/>
            <w:vAlign w:val="center"/>
            <w:hideMark/>
          </w:tcPr>
          <w:p w14:paraId="5C1ACF61" w14:textId="77777777" w:rsidR="00A36B54" w:rsidRPr="00433C05" w:rsidRDefault="00A36B54" w:rsidP="007033E9">
            <w:pPr>
              <w:pStyle w:val="ExhibitText"/>
              <w:jc w:val="center"/>
              <w:rPr>
                <w:lang w:val="en-GB"/>
              </w:rPr>
            </w:pPr>
            <w:r w:rsidRPr="00433C05">
              <w:rPr>
                <w:lang w:val="en-GB"/>
              </w:rPr>
              <w:t>Tizen</w:t>
            </w:r>
          </w:p>
        </w:tc>
        <w:tc>
          <w:tcPr>
            <w:tcW w:w="1800" w:type="dxa"/>
            <w:shd w:val="clear" w:color="auto" w:fill="auto"/>
            <w:noWrap/>
            <w:vAlign w:val="center"/>
            <w:hideMark/>
          </w:tcPr>
          <w:p w14:paraId="0B9295C8" w14:textId="77777777" w:rsidR="00A36B54" w:rsidRPr="00433C05" w:rsidRDefault="00A36B54" w:rsidP="007033E9">
            <w:pPr>
              <w:pStyle w:val="ExhibitText"/>
              <w:jc w:val="center"/>
              <w:rPr>
                <w:lang w:val="en-GB"/>
              </w:rPr>
            </w:pPr>
            <w:r w:rsidRPr="00433C05">
              <w:rPr>
                <w:lang w:val="en-GB"/>
              </w:rPr>
              <w:t>0.07</w:t>
            </w:r>
          </w:p>
        </w:tc>
        <w:tc>
          <w:tcPr>
            <w:tcW w:w="1710" w:type="dxa"/>
            <w:shd w:val="clear" w:color="auto" w:fill="auto"/>
            <w:noWrap/>
            <w:vAlign w:val="center"/>
            <w:hideMark/>
          </w:tcPr>
          <w:p w14:paraId="1188CF75" w14:textId="77777777" w:rsidR="00A36B54" w:rsidRPr="00433C05" w:rsidRDefault="00A36B54" w:rsidP="007033E9">
            <w:pPr>
              <w:pStyle w:val="ExhibitText"/>
              <w:jc w:val="center"/>
              <w:rPr>
                <w:lang w:val="en-GB"/>
              </w:rPr>
            </w:pPr>
            <w:r w:rsidRPr="00433C05">
              <w:rPr>
                <w:lang w:val="en-GB"/>
              </w:rPr>
              <w:t>0.02</w:t>
            </w:r>
          </w:p>
        </w:tc>
        <w:tc>
          <w:tcPr>
            <w:tcW w:w="1890" w:type="dxa"/>
            <w:vAlign w:val="center"/>
          </w:tcPr>
          <w:p w14:paraId="488B7F04" w14:textId="77777777" w:rsidR="00A36B54" w:rsidRPr="00433C05" w:rsidRDefault="00A36B54" w:rsidP="007033E9">
            <w:pPr>
              <w:pStyle w:val="ExhibitText"/>
              <w:jc w:val="center"/>
              <w:rPr>
                <w:lang w:val="en-GB"/>
              </w:rPr>
            </w:pPr>
            <w:r w:rsidRPr="00433C05">
              <w:rPr>
                <w:lang w:val="en-GB"/>
              </w:rPr>
              <w:t>0.24</w:t>
            </w:r>
          </w:p>
        </w:tc>
        <w:tc>
          <w:tcPr>
            <w:tcW w:w="1922" w:type="dxa"/>
            <w:vAlign w:val="center"/>
          </w:tcPr>
          <w:p w14:paraId="2A94892E" w14:textId="77777777" w:rsidR="00A36B54" w:rsidRPr="00433C05" w:rsidRDefault="00A36B54" w:rsidP="007033E9">
            <w:pPr>
              <w:pStyle w:val="ExhibitText"/>
              <w:jc w:val="center"/>
              <w:rPr>
                <w:lang w:val="en-GB"/>
              </w:rPr>
            </w:pPr>
            <w:r w:rsidRPr="00433C05">
              <w:rPr>
                <w:lang w:val="en-GB"/>
              </w:rPr>
              <w:t>0.08</w:t>
            </w:r>
          </w:p>
        </w:tc>
      </w:tr>
      <w:tr w:rsidR="00A36B54" w:rsidRPr="00433C05" w14:paraId="0B4A7105" w14:textId="77777777" w:rsidTr="0023263C">
        <w:trPr>
          <w:trHeight w:val="277"/>
          <w:tblHeader/>
          <w:jc w:val="center"/>
        </w:trPr>
        <w:tc>
          <w:tcPr>
            <w:tcW w:w="1975" w:type="dxa"/>
            <w:shd w:val="clear" w:color="auto" w:fill="auto"/>
            <w:noWrap/>
            <w:vAlign w:val="center"/>
            <w:hideMark/>
          </w:tcPr>
          <w:p w14:paraId="2E4689E5" w14:textId="77777777" w:rsidR="00A36B54" w:rsidRPr="00433C05" w:rsidRDefault="00A36B54" w:rsidP="007033E9">
            <w:pPr>
              <w:pStyle w:val="ExhibitText"/>
              <w:jc w:val="center"/>
              <w:rPr>
                <w:lang w:val="en-GB"/>
              </w:rPr>
            </w:pPr>
            <w:r w:rsidRPr="00433C05">
              <w:rPr>
                <w:lang w:val="en-GB"/>
              </w:rPr>
              <w:t>Linux</w:t>
            </w:r>
          </w:p>
        </w:tc>
        <w:tc>
          <w:tcPr>
            <w:tcW w:w="1800" w:type="dxa"/>
            <w:shd w:val="clear" w:color="auto" w:fill="auto"/>
            <w:noWrap/>
            <w:vAlign w:val="center"/>
            <w:hideMark/>
          </w:tcPr>
          <w:p w14:paraId="6324EF94" w14:textId="77777777" w:rsidR="00A36B54" w:rsidRPr="00433C05" w:rsidRDefault="00A36B54" w:rsidP="007033E9">
            <w:pPr>
              <w:pStyle w:val="ExhibitText"/>
              <w:jc w:val="center"/>
              <w:rPr>
                <w:lang w:val="en-GB"/>
              </w:rPr>
            </w:pPr>
            <w:r w:rsidRPr="00433C05">
              <w:rPr>
                <w:lang w:val="en-GB"/>
              </w:rPr>
              <w:t>0.03</w:t>
            </w:r>
          </w:p>
        </w:tc>
        <w:tc>
          <w:tcPr>
            <w:tcW w:w="1710" w:type="dxa"/>
            <w:shd w:val="clear" w:color="auto" w:fill="auto"/>
            <w:noWrap/>
            <w:vAlign w:val="center"/>
            <w:hideMark/>
          </w:tcPr>
          <w:p w14:paraId="1B07F55B" w14:textId="77777777" w:rsidR="00A36B54" w:rsidRPr="00433C05" w:rsidRDefault="00A36B54" w:rsidP="007033E9">
            <w:pPr>
              <w:pStyle w:val="ExhibitText"/>
              <w:jc w:val="center"/>
              <w:rPr>
                <w:lang w:val="en-GB"/>
              </w:rPr>
            </w:pPr>
            <w:r w:rsidRPr="00433C05">
              <w:rPr>
                <w:lang w:val="en-GB"/>
              </w:rPr>
              <w:t>0.02</w:t>
            </w:r>
          </w:p>
        </w:tc>
        <w:tc>
          <w:tcPr>
            <w:tcW w:w="1890" w:type="dxa"/>
            <w:vAlign w:val="center"/>
          </w:tcPr>
          <w:p w14:paraId="1B5C6FD0" w14:textId="7A0B6802" w:rsidR="00A36B54" w:rsidRPr="00433C05" w:rsidRDefault="00EA3D29" w:rsidP="00F07405">
            <w:pPr>
              <w:pStyle w:val="ExhibitText"/>
              <w:jc w:val="center"/>
              <w:rPr>
                <w:lang w:val="en-GB"/>
              </w:rPr>
            </w:pPr>
            <w:r>
              <w:rPr>
                <w:lang w:val="en-GB"/>
              </w:rPr>
              <w:t>-</w:t>
            </w:r>
          </w:p>
        </w:tc>
        <w:tc>
          <w:tcPr>
            <w:tcW w:w="1922" w:type="dxa"/>
            <w:vAlign w:val="center"/>
          </w:tcPr>
          <w:p w14:paraId="443A4A8A" w14:textId="22A20053" w:rsidR="00A36B54" w:rsidRPr="00433C05" w:rsidRDefault="00EA3D29" w:rsidP="007033E9">
            <w:pPr>
              <w:pStyle w:val="ExhibitText"/>
              <w:jc w:val="center"/>
              <w:rPr>
                <w:lang w:val="en-GB"/>
              </w:rPr>
            </w:pPr>
            <w:r>
              <w:rPr>
                <w:lang w:val="en-GB"/>
              </w:rPr>
              <w:t>-</w:t>
            </w:r>
          </w:p>
        </w:tc>
      </w:tr>
      <w:tr w:rsidR="00A36B54" w:rsidRPr="00433C05" w14:paraId="68301FF3" w14:textId="77777777" w:rsidTr="0023263C">
        <w:trPr>
          <w:trHeight w:val="277"/>
          <w:tblHeader/>
          <w:jc w:val="center"/>
        </w:trPr>
        <w:tc>
          <w:tcPr>
            <w:tcW w:w="1975" w:type="dxa"/>
            <w:shd w:val="clear" w:color="auto" w:fill="auto"/>
            <w:noWrap/>
            <w:vAlign w:val="center"/>
            <w:hideMark/>
          </w:tcPr>
          <w:p w14:paraId="41DE7AF9" w14:textId="20559631" w:rsidR="00A36B54" w:rsidRPr="00433C05" w:rsidRDefault="00A36B54" w:rsidP="007033E9">
            <w:pPr>
              <w:pStyle w:val="ExhibitText"/>
              <w:jc w:val="center"/>
              <w:rPr>
                <w:lang w:val="en-GB"/>
              </w:rPr>
            </w:pPr>
            <w:r w:rsidRPr="00433C05">
              <w:rPr>
                <w:lang w:val="en-GB"/>
              </w:rPr>
              <w:t>BlackBerry</w:t>
            </w:r>
          </w:p>
        </w:tc>
        <w:tc>
          <w:tcPr>
            <w:tcW w:w="1800" w:type="dxa"/>
            <w:shd w:val="clear" w:color="auto" w:fill="auto"/>
            <w:noWrap/>
            <w:vAlign w:val="center"/>
            <w:hideMark/>
          </w:tcPr>
          <w:p w14:paraId="0F20781A" w14:textId="77777777" w:rsidR="00A36B54" w:rsidRPr="00433C05" w:rsidRDefault="00A36B54" w:rsidP="007033E9">
            <w:pPr>
              <w:pStyle w:val="ExhibitText"/>
              <w:jc w:val="center"/>
              <w:rPr>
                <w:lang w:val="en-GB"/>
              </w:rPr>
            </w:pPr>
            <w:r w:rsidRPr="00433C05">
              <w:rPr>
                <w:lang w:val="en-GB"/>
              </w:rPr>
              <w:t>0.03</w:t>
            </w:r>
          </w:p>
        </w:tc>
        <w:tc>
          <w:tcPr>
            <w:tcW w:w="1710" w:type="dxa"/>
            <w:shd w:val="clear" w:color="auto" w:fill="auto"/>
            <w:noWrap/>
            <w:vAlign w:val="center"/>
            <w:hideMark/>
          </w:tcPr>
          <w:p w14:paraId="6BAC4885" w14:textId="77777777" w:rsidR="00A36B54" w:rsidRPr="00433C05" w:rsidRDefault="00A36B54" w:rsidP="007033E9">
            <w:pPr>
              <w:pStyle w:val="ExhibitText"/>
              <w:jc w:val="center"/>
              <w:rPr>
                <w:lang w:val="en-GB"/>
              </w:rPr>
            </w:pPr>
            <w:r w:rsidRPr="00433C05">
              <w:rPr>
                <w:lang w:val="en-GB"/>
              </w:rPr>
              <w:t>0.01</w:t>
            </w:r>
          </w:p>
        </w:tc>
        <w:tc>
          <w:tcPr>
            <w:tcW w:w="1890" w:type="dxa"/>
            <w:vAlign w:val="center"/>
          </w:tcPr>
          <w:p w14:paraId="4B6716AB" w14:textId="3BF343B3" w:rsidR="00A36B54" w:rsidRPr="00433C05" w:rsidRDefault="00EA3D29" w:rsidP="007033E9">
            <w:pPr>
              <w:pStyle w:val="ExhibitText"/>
              <w:jc w:val="center"/>
              <w:rPr>
                <w:lang w:val="en-GB"/>
              </w:rPr>
            </w:pPr>
            <w:r>
              <w:rPr>
                <w:lang w:val="en-GB"/>
              </w:rPr>
              <w:t>-</w:t>
            </w:r>
          </w:p>
        </w:tc>
        <w:tc>
          <w:tcPr>
            <w:tcW w:w="1922" w:type="dxa"/>
            <w:vAlign w:val="center"/>
          </w:tcPr>
          <w:p w14:paraId="4CDD7DCE" w14:textId="7E78F1CE" w:rsidR="00A36B54" w:rsidRPr="00433C05" w:rsidRDefault="00EA3D29" w:rsidP="007033E9">
            <w:pPr>
              <w:pStyle w:val="ExhibitText"/>
              <w:jc w:val="center"/>
              <w:rPr>
                <w:lang w:val="en-GB"/>
              </w:rPr>
            </w:pPr>
            <w:r>
              <w:rPr>
                <w:lang w:val="en-GB"/>
              </w:rPr>
              <w:t>-</w:t>
            </w:r>
          </w:p>
        </w:tc>
      </w:tr>
      <w:tr w:rsidR="00A36B54" w:rsidRPr="00433C05" w14:paraId="3FE69E97" w14:textId="77777777" w:rsidTr="0023263C">
        <w:trPr>
          <w:trHeight w:val="277"/>
          <w:tblHeader/>
          <w:jc w:val="center"/>
        </w:trPr>
        <w:tc>
          <w:tcPr>
            <w:tcW w:w="1975" w:type="dxa"/>
            <w:shd w:val="clear" w:color="auto" w:fill="auto"/>
            <w:noWrap/>
            <w:vAlign w:val="center"/>
            <w:hideMark/>
          </w:tcPr>
          <w:p w14:paraId="19469E7F" w14:textId="69AB8E7E" w:rsidR="00A36B54" w:rsidRPr="00433C05" w:rsidRDefault="00A36B54" w:rsidP="007033E9">
            <w:pPr>
              <w:pStyle w:val="ExhibitText"/>
              <w:jc w:val="center"/>
              <w:rPr>
                <w:lang w:val="en-GB"/>
              </w:rPr>
            </w:pPr>
            <w:r w:rsidRPr="00433C05">
              <w:rPr>
                <w:lang w:val="en-GB"/>
              </w:rPr>
              <w:t>Symbian</w:t>
            </w:r>
          </w:p>
        </w:tc>
        <w:tc>
          <w:tcPr>
            <w:tcW w:w="1800" w:type="dxa"/>
            <w:shd w:val="clear" w:color="auto" w:fill="auto"/>
            <w:noWrap/>
            <w:vAlign w:val="center"/>
            <w:hideMark/>
          </w:tcPr>
          <w:p w14:paraId="453B3338" w14:textId="77777777" w:rsidR="00A36B54" w:rsidRPr="00433C05" w:rsidRDefault="00A36B54" w:rsidP="007033E9">
            <w:pPr>
              <w:pStyle w:val="ExhibitText"/>
              <w:jc w:val="center"/>
              <w:rPr>
                <w:lang w:val="en-GB"/>
              </w:rPr>
            </w:pPr>
            <w:r w:rsidRPr="00433C05">
              <w:rPr>
                <w:lang w:val="en-GB"/>
              </w:rPr>
              <w:t>0.02</w:t>
            </w:r>
          </w:p>
        </w:tc>
        <w:tc>
          <w:tcPr>
            <w:tcW w:w="1710" w:type="dxa"/>
            <w:shd w:val="clear" w:color="auto" w:fill="auto"/>
            <w:noWrap/>
            <w:vAlign w:val="center"/>
            <w:hideMark/>
          </w:tcPr>
          <w:p w14:paraId="0B28D752" w14:textId="77777777" w:rsidR="00A36B54" w:rsidRPr="00433C05" w:rsidRDefault="00A36B54" w:rsidP="007033E9">
            <w:pPr>
              <w:pStyle w:val="ExhibitText"/>
              <w:jc w:val="center"/>
              <w:rPr>
                <w:lang w:val="en-GB"/>
              </w:rPr>
            </w:pPr>
            <w:r w:rsidRPr="00433C05">
              <w:rPr>
                <w:lang w:val="en-GB"/>
              </w:rPr>
              <w:t>0.01</w:t>
            </w:r>
          </w:p>
        </w:tc>
        <w:tc>
          <w:tcPr>
            <w:tcW w:w="1890" w:type="dxa"/>
            <w:vAlign w:val="center"/>
          </w:tcPr>
          <w:p w14:paraId="38D90E73" w14:textId="77777777" w:rsidR="00A36B54" w:rsidRPr="00433C05" w:rsidRDefault="00A36B54" w:rsidP="007033E9">
            <w:pPr>
              <w:pStyle w:val="ExhibitText"/>
              <w:jc w:val="center"/>
              <w:rPr>
                <w:lang w:val="en-GB"/>
              </w:rPr>
            </w:pPr>
            <w:r w:rsidRPr="00433C05">
              <w:rPr>
                <w:lang w:val="en-GB"/>
              </w:rPr>
              <w:t>0.03</w:t>
            </w:r>
          </w:p>
        </w:tc>
        <w:tc>
          <w:tcPr>
            <w:tcW w:w="1922" w:type="dxa"/>
            <w:vAlign w:val="center"/>
          </w:tcPr>
          <w:p w14:paraId="7A0C2B50" w14:textId="5AFAD3C1" w:rsidR="00A36B54" w:rsidRPr="00433C05" w:rsidRDefault="00A36B54" w:rsidP="007033E9">
            <w:pPr>
              <w:pStyle w:val="ExhibitText"/>
              <w:jc w:val="center"/>
              <w:rPr>
                <w:lang w:val="en-GB"/>
              </w:rPr>
            </w:pPr>
            <w:r w:rsidRPr="00433C05">
              <w:rPr>
                <w:lang w:val="en-GB"/>
              </w:rPr>
              <w:t>0</w:t>
            </w:r>
            <w:r w:rsidR="00CF5A1C">
              <w:rPr>
                <w:lang w:val="en-GB"/>
              </w:rPr>
              <w:t>.00</w:t>
            </w:r>
          </w:p>
        </w:tc>
      </w:tr>
      <w:tr w:rsidR="00A36B54" w:rsidRPr="00433C05" w14:paraId="1FF35590" w14:textId="77777777" w:rsidTr="0023263C">
        <w:trPr>
          <w:trHeight w:val="277"/>
          <w:tblHeader/>
          <w:jc w:val="center"/>
        </w:trPr>
        <w:tc>
          <w:tcPr>
            <w:tcW w:w="1975" w:type="dxa"/>
            <w:shd w:val="clear" w:color="auto" w:fill="auto"/>
            <w:noWrap/>
            <w:vAlign w:val="center"/>
            <w:hideMark/>
          </w:tcPr>
          <w:p w14:paraId="0D5ECA85" w14:textId="77777777" w:rsidR="00A36B54" w:rsidRPr="00433C05" w:rsidRDefault="00A36B54" w:rsidP="007033E9">
            <w:pPr>
              <w:pStyle w:val="ExhibitText"/>
              <w:jc w:val="center"/>
              <w:rPr>
                <w:lang w:val="en-GB"/>
              </w:rPr>
            </w:pPr>
            <w:r w:rsidRPr="00433C05">
              <w:rPr>
                <w:lang w:val="en-GB"/>
              </w:rPr>
              <w:t>Other</w:t>
            </w:r>
          </w:p>
        </w:tc>
        <w:tc>
          <w:tcPr>
            <w:tcW w:w="1800" w:type="dxa"/>
            <w:shd w:val="clear" w:color="auto" w:fill="auto"/>
            <w:noWrap/>
            <w:vAlign w:val="center"/>
            <w:hideMark/>
          </w:tcPr>
          <w:p w14:paraId="088C049F" w14:textId="77777777" w:rsidR="00A36B54" w:rsidRPr="00433C05" w:rsidRDefault="00A36B54" w:rsidP="007033E9">
            <w:pPr>
              <w:pStyle w:val="ExhibitText"/>
              <w:jc w:val="center"/>
              <w:rPr>
                <w:lang w:val="en-GB"/>
              </w:rPr>
            </w:pPr>
            <w:r w:rsidRPr="00433C05">
              <w:rPr>
                <w:lang w:val="en-GB"/>
              </w:rPr>
              <w:t>0.02</w:t>
            </w:r>
          </w:p>
        </w:tc>
        <w:tc>
          <w:tcPr>
            <w:tcW w:w="1710" w:type="dxa"/>
            <w:shd w:val="clear" w:color="auto" w:fill="auto"/>
            <w:noWrap/>
            <w:vAlign w:val="center"/>
            <w:hideMark/>
          </w:tcPr>
          <w:p w14:paraId="7E99F2FE" w14:textId="77777777" w:rsidR="00A36B54" w:rsidRPr="00433C05" w:rsidRDefault="00A36B54" w:rsidP="007033E9">
            <w:pPr>
              <w:pStyle w:val="ExhibitText"/>
              <w:jc w:val="center"/>
              <w:rPr>
                <w:lang w:val="en-GB"/>
              </w:rPr>
            </w:pPr>
            <w:r w:rsidRPr="00433C05">
              <w:rPr>
                <w:lang w:val="en-GB"/>
              </w:rPr>
              <w:t>0.01</w:t>
            </w:r>
          </w:p>
        </w:tc>
        <w:tc>
          <w:tcPr>
            <w:tcW w:w="1890" w:type="dxa"/>
            <w:vAlign w:val="center"/>
          </w:tcPr>
          <w:p w14:paraId="730BF30E" w14:textId="77777777" w:rsidR="00A36B54" w:rsidRPr="00433C05" w:rsidRDefault="00A36B54" w:rsidP="007033E9">
            <w:pPr>
              <w:pStyle w:val="ExhibitText"/>
              <w:jc w:val="center"/>
              <w:rPr>
                <w:lang w:val="en-GB"/>
              </w:rPr>
            </w:pPr>
            <w:r w:rsidRPr="00433C05">
              <w:rPr>
                <w:lang w:val="en-GB"/>
              </w:rPr>
              <w:t>0.03</w:t>
            </w:r>
          </w:p>
        </w:tc>
        <w:tc>
          <w:tcPr>
            <w:tcW w:w="1922" w:type="dxa"/>
            <w:vAlign w:val="center"/>
          </w:tcPr>
          <w:p w14:paraId="2C7858CC" w14:textId="77777777" w:rsidR="00A36B54" w:rsidRPr="00433C05" w:rsidRDefault="00A36B54" w:rsidP="007033E9">
            <w:pPr>
              <w:pStyle w:val="ExhibitText"/>
              <w:jc w:val="center"/>
              <w:rPr>
                <w:lang w:val="en-GB"/>
              </w:rPr>
            </w:pPr>
            <w:r w:rsidRPr="00433C05">
              <w:rPr>
                <w:lang w:val="en-GB"/>
              </w:rPr>
              <w:t>0.01</w:t>
            </w:r>
          </w:p>
        </w:tc>
      </w:tr>
    </w:tbl>
    <w:p w14:paraId="60F92A0D" w14:textId="77777777" w:rsidR="007033E9" w:rsidRPr="00433C05" w:rsidRDefault="007033E9" w:rsidP="00A36B54">
      <w:pPr>
        <w:jc w:val="both"/>
        <w:rPr>
          <w:rFonts w:ascii="Arial" w:hAnsi="Arial" w:cs="Arial"/>
          <w:lang w:val="en-GB"/>
        </w:rPr>
      </w:pPr>
    </w:p>
    <w:p w14:paraId="55264BC7" w14:textId="75865C66" w:rsidR="00A36B54" w:rsidRPr="00433C05" w:rsidRDefault="00A36B54" w:rsidP="007033E9">
      <w:pPr>
        <w:pStyle w:val="Footnote"/>
        <w:rPr>
          <w:lang w:val="en-GB"/>
        </w:rPr>
      </w:pPr>
      <w:r w:rsidRPr="00433C05">
        <w:rPr>
          <w:lang w:val="en-GB"/>
        </w:rPr>
        <w:t xml:space="preserve">Source: </w:t>
      </w:r>
      <w:r w:rsidR="009A067A">
        <w:rPr>
          <w:lang w:val="en-GB"/>
        </w:rPr>
        <w:t>“</w:t>
      </w:r>
      <w:r w:rsidR="009A067A" w:rsidRPr="009A067A">
        <w:rPr>
          <w:lang w:val="en-GB"/>
        </w:rPr>
        <w:t>Mobile Operating System Market Share Worldwide, Aug 2019</w:t>
      </w:r>
      <w:r w:rsidR="009A067A">
        <w:rPr>
          <w:lang w:val="en-GB"/>
        </w:rPr>
        <w:t>–</w:t>
      </w:r>
      <w:r w:rsidR="009A067A" w:rsidRPr="009A067A">
        <w:rPr>
          <w:lang w:val="en-GB"/>
        </w:rPr>
        <w:t>Aug 2020</w:t>
      </w:r>
      <w:r w:rsidR="00CF5A1C" w:rsidRPr="00433C05">
        <w:rPr>
          <w:lang w:val="en-GB"/>
        </w:rPr>
        <w:t>,</w:t>
      </w:r>
      <w:r w:rsidR="009A067A">
        <w:rPr>
          <w:lang w:val="en-GB"/>
        </w:rPr>
        <w:t>”</w:t>
      </w:r>
      <w:r w:rsidR="00CF5A1C" w:rsidRPr="00433C05">
        <w:rPr>
          <w:lang w:val="en-GB"/>
        </w:rPr>
        <w:t xml:space="preserve"> </w:t>
      </w:r>
      <w:r w:rsidR="009A067A">
        <w:rPr>
          <w:lang w:val="en-GB"/>
        </w:rPr>
        <w:t xml:space="preserve">StatCounter, </w:t>
      </w:r>
      <w:r w:rsidR="00CF5A1C" w:rsidRPr="00433C05">
        <w:rPr>
          <w:lang w:val="en-GB"/>
        </w:rPr>
        <w:t>accessed October 11, 2020</w:t>
      </w:r>
      <w:r w:rsidR="00CF5A1C">
        <w:rPr>
          <w:lang w:val="en-GB"/>
        </w:rPr>
        <w:t xml:space="preserve">, </w:t>
      </w:r>
      <w:r w:rsidRPr="00CF5A1C">
        <w:rPr>
          <w:lang w:val="en-GB"/>
        </w:rPr>
        <w:t>https://gs.statcounter.com/os-market-share/mobile/worldwide/#monthly-201908-202008</w:t>
      </w:r>
      <w:r w:rsidRPr="00433C05">
        <w:rPr>
          <w:lang w:val="en-GB"/>
        </w:rPr>
        <w:t xml:space="preserve">; </w:t>
      </w:r>
      <w:r w:rsidR="009A067A">
        <w:rPr>
          <w:lang w:val="en-GB"/>
        </w:rPr>
        <w:t>“</w:t>
      </w:r>
      <w:r w:rsidR="009A067A" w:rsidRPr="009A067A">
        <w:rPr>
          <w:lang w:val="en-GB"/>
        </w:rPr>
        <w:t xml:space="preserve">Mobile Operating System Market Share India, </w:t>
      </w:r>
      <w:r w:rsidR="009A067A">
        <w:rPr>
          <w:lang w:val="en-GB"/>
        </w:rPr>
        <w:t>Jan</w:t>
      </w:r>
      <w:r w:rsidR="009A067A" w:rsidRPr="009A067A">
        <w:rPr>
          <w:lang w:val="en-GB"/>
        </w:rPr>
        <w:t xml:space="preserve"> 20</w:t>
      </w:r>
      <w:r w:rsidR="009A067A">
        <w:rPr>
          <w:lang w:val="en-GB"/>
        </w:rPr>
        <w:t>20–Jan</w:t>
      </w:r>
      <w:r w:rsidR="009A067A" w:rsidRPr="009A067A">
        <w:rPr>
          <w:lang w:val="en-GB"/>
        </w:rPr>
        <w:t xml:space="preserve"> 202</w:t>
      </w:r>
      <w:r w:rsidR="009A067A">
        <w:rPr>
          <w:lang w:val="en-GB"/>
        </w:rPr>
        <w:t>1</w:t>
      </w:r>
      <w:r w:rsidR="009A067A" w:rsidRPr="00433C05">
        <w:rPr>
          <w:lang w:val="en-GB"/>
        </w:rPr>
        <w:t>,</w:t>
      </w:r>
      <w:r w:rsidR="009A067A">
        <w:rPr>
          <w:lang w:val="en-GB"/>
        </w:rPr>
        <w:t>”</w:t>
      </w:r>
      <w:r w:rsidR="009A067A" w:rsidRPr="00433C05">
        <w:rPr>
          <w:lang w:val="en-GB"/>
        </w:rPr>
        <w:t xml:space="preserve"> </w:t>
      </w:r>
      <w:r w:rsidR="009A067A">
        <w:rPr>
          <w:lang w:val="en-GB"/>
        </w:rPr>
        <w:t xml:space="preserve">StatCounter, </w:t>
      </w:r>
      <w:r w:rsidR="009A067A" w:rsidRPr="00433C05">
        <w:rPr>
          <w:lang w:val="en-GB"/>
        </w:rPr>
        <w:t>accessed October 11, 2020</w:t>
      </w:r>
      <w:r w:rsidR="009A067A">
        <w:rPr>
          <w:lang w:val="en-GB"/>
        </w:rPr>
        <w:t xml:space="preserve">, </w:t>
      </w:r>
      <w:r w:rsidRPr="00CF5A1C">
        <w:rPr>
          <w:lang w:val="en-GB"/>
        </w:rPr>
        <w:t>https://gs.statcounter.com/os-market-share/mobile/india</w:t>
      </w:r>
      <w:r w:rsidRPr="00433C05">
        <w:rPr>
          <w:lang w:val="en-GB"/>
        </w:rPr>
        <w:t>.</w:t>
      </w:r>
    </w:p>
    <w:p w14:paraId="393602A9" w14:textId="000885D1" w:rsidR="00A36B54" w:rsidRPr="00433C05" w:rsidRDefault="00A36B54" w:rsidP="00A36B54">
      <w:pPr>
        <w:jc w:val="both"/>
        <w:rPr>
          <w:rFonts w:ascii="Arial" w:hAnsi="Arial" w:cs="Arial"/>
          <w:lang w:val="en-GB"/>
        </w:rPr>
      </w:pPr>
    </w:p>
    <w:p w14:paraId="62025128" w14:textId="77777777" w:rsidR="007033E9" w:rsidRPr="00433C05" w:rsidRDefault="007033E9" w:rsidP="00A36B54">
      <w:pPr>
        <w:jc w:val="both"/>
        <w:rPr>
          <w:rFonts w:ascii="Arial" w:hAnsi="Arial" w:cs="Arial"/>
          <w:lang w:val="en-GB"/>
        </w:rPr>
      </w:pPr>
    </w:p>
    <w:p w14:paraId="6810E06A" w14:textId="0DF04826" w:rsidR="00A36B54" w:rsidRPr="00433C05" w:rsidRDefault="00A36B54" w:rsidP="007033E9">
      <w:pPr>
        <w:pStyle w:val="ExhibitHeading"/>
        <w:rPr>
          <w:lang w:val="en-GB"/>
        </w:rPr>
      </w:pPr>
      <w:r w:rsidRPr="00433C05">
        <w:rPr>
          <w:lang w:val="en-GB"/>
        </w:rPr>
        <w:t>EXHIBIT 2: GLOBAL APP DOWNLOADS (PER YEAR) IN BILLIONS</w:t>
      </w:r>
    </w:p>
    <w:p w14:paraId="560C8809" w14:textId="77777777" w:rsidR="007033E9" w:rsidRPr="00433C05" w:rsidRDefault="007033E9" w:rsidP="00A36B54">
      <w:pPr>
        <w:jc w:val="both"/>
        <w:rPr>
          <w:rFonts w:ascii="Arial" w:hAnsi="Arial" w:cs="Arial"/>
          <w:b/>
          <w:bCs/>
          <w:lang w:val="en-GB"/>
        </w:rPr>
      </w:pPr>
    </w:p>
    <w:tbl>
      <w:tblPr>
        <w:tblW w:w="9338" w:type="dxa"/>
        <w:jc w:val="center"/>
        <w:tblLook w:val="04A0" w:firstRow="1" w:lastRow="0" w:firstColumn="1" w:lastColumn="0" w:noHBand="0" w:noVBand="1"/>
        <w:tblCaption w:val="Exhibit 2"/>
        <w:tblDescription w:val="Global App Downloads (Per Year) in Billions"/>
      </w:tblPr>
      <w:tblGrid>
        <w:gridCol w:w="1165"/>
        <w:gridCol w:w="1890"/>
        <w:gridCol w:w="2250"/>
        <w:gridCol w:w="1350"/>
        <w:gridCol w:w="2683"/>
      </w:tblGrid>
      <w:tr w:rsidR="00A36B54" w:rsidRPr="00433C05" w14:paraId="43260F0D" w14:textId="77777777" w:rsidTr="00613B53">
        <w:trPr>
          <w:trHeight w:val="822"/>
          <w:tblHeader/>
          <w:jc w:val="center"/>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E263C" w14:textId="77777777" w:rsidR="00A36B54" w:rsidRPr="00433C05" w:rsidRDefault="00A36B54" w:rsidP="00F07405">
            <w:pPr>
              <w:jc w:val="center"/>
              <w:rPr>
                <w:rFonts w:ascii="Arial" w:hAnsi="Arial" w:cs="Arial"/>
                <w:b/>
                <w:bCs/>
                <w:color w:val="000000"/>
                <w:lang w:val="en-GB"/>
              </w:rPr>
            </w:pPr>
            <w:r w:rsidRPr="00433C05">
              <w:rPr>
                <w:rFonts w:ascii="Arial" w:hAnsi="Arial" w:cs="Arial"/>
                <w:b/>
                <w:bCs/>
                <w:color w:val="000000"/>
                <w:lang w:val="en-GB"/>
              </w:rPr>
              <w:t>Year</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048DC2F0" w14:textId="3E93B316" w:rsidR="00A36B54" w:rsidRPr="00433C05" w:rsidRDefault="00A36B54">
            <w:pPr>
              <w:jc w:val="center"/>
              <w:rPr>
                <w:rFonts w:ascii="Arial" w:hAnsi="Arial" w:cs="Arial"/>
                <w:b/>
                <w:bCs/>
                <w:color w:val="000000"/>
                <w:lang w:val="en-GB"/>
              </w:rPr>
            </w:pPr>
            <w:r w:rsidRPr="00433C05">
              <w:rPr>
                <w:rFonts w:ascii="Arial" w:hAnsi="Arial" w:cs="Arial"/>
                <w:b/>
                <w:bCs/>
                <w:color w:val="000000"/>
                <w:lang w:val="en-GB"/>
              </w:rPr>
              <w:t>Google Play</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14:paraId="4D7C1D52" w14:textId="0CE9589C" w:rsidR="00A36B54" w:rsidRPr="00433C05" w:rsidRDefault="00C90590">
            <w:pPr>
              <w:jc w:val="center"/>
              <w:rPr>
                <w:rFonts w:ascii="Arial" w:hAnsi="Arial" w:cs="Arial"/>
                <w:b/>
                <w:bCs/>
                <w:color w:val="000000"/>
                <w:lang w:val="en-GB"/>
              </w:rPr>
            </w:pPr>
            <w:r>
              <w:rPr>
                <w:rFonts w:ascii="Arial" w:hAnsi="Arial" w:cs="Arial"/>
                <w:b/>
                <w:bCs/>
                <w:color w:val="000000"/>
                <w:lang w:val="en-GB"/>
              </w:rPr>
              <w:t>Apple’s</w:t>
            </w:r>
            <w:r w:rsidRPr="00433C05">
              <w:rPr>
                <w:rFonts w:ascii="Arial" w:hAnsi="Arial" w:cs="Arial"/>
                <w:b/>
                <w:bCs/>
                <w:color w:val="000000"/>
                <w:lang w:val="en-GB"/>
              </w:rPr>
              <w:t xml:space="preserve"> </w:t>
            </w:r>
            <w:r w:rsidR="00A36B54" w:rsidRPr="00433C05">
              <w:rPr>
                <w:rFonts w:ascii="Arial" w:hAnsi="Arial" w:cs="Arial"/>
                <w:b/>
                <w:bCs/>
                <w:color w:val="000000"/>
                <w:lang w:val="en-GB"/>
              </w:rPr>
              <w:t xml:space="preserve">App </w:t>
            </w:r>
            <w:r>
              <w:rPr>
                <w:rFonts w:ascii="Arial" w:hAnsi="Arial" w:cs="Arial"/>
                <w:b/>
                <w:bCs/>
                <w:color w:val="000000"/>
                <w:lang w:val="en-GB"/>
              </w:rPr>
              <w:t>S</w:t>
            </w:r>
            <w:r w:rsidR="00A36B54" w:rsidRPr="00433C05">
              <w:rPr>
                <w:rFonts w:ascii="Arial" w:hAnsi="Arial" w:cs="Arial"/>
                <w:b/>
                <w:bCs/>
                <w:color w:val="000000"/>
                <w:lang w:val="en-GB"/>
              </w:rPr>
              <w:t>tore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2D7DAC1B" w14:textId="77777777" w:rsidR="00A36B54" w:rsidRPr="00433C05" w:rsidRDefault="00A36B54">
            <w:pPr>
              <w:jc w:val="center"/>
              <w:rPr>
                <w:rFonts w:ascii="Arial" w:hAnsi="Arial" w:cs="Arial"/>
                <w:b/>
                <w:bCs/>
                <w:color w:val="000000"/>
                <w:lang w:val="en-GB"/>
              </w:rPr>
            </w:pPr>
            <w:r w:rsidRPr="00433C05">
              <w:rPr>
                <w:rFonts w:ascii="Arial" w:hAnsi="Arial" w:cs="Arial"/>
                <w:b/>
                <w:bCs/>
                <w:color w:val="000000"/>
                <w:lang w:val="en-GB"/>
              </w:rPr>
              <w:t>Total</w:t>
            </w:r>
          </w:p>
        </w:tc>
        <w:tc>
          <w:tcPr>
            <w:tcW w:w="2683" w:type="dxa"/>
            <w:tcBorders>
              <w:top w:val="single" w:sz="4" w:space="0" w:color="auto"/>
              <w:left w:val="nil"/>
              <w:bottom w:val="single" w:sz="4" w:space="0" w:color="auto"/>
              <w:right w:val="single" w:sz="4" w:space="0" w:color="auto"/>
            </w:tcBorders>
            <w:shd w:val="clear" w:color="auto" w:fill="auto"/>
            <w:vAlign w:val="center"/>
            <w:hideMark/>
          </w:tcPr>
          <w:p w14:paraId="49404F11" w14:textId="13BF558F" w:rsidR="00A36B54" w:rsidRPr="00433C05" w:rsidRDefault="00C90590">
            <w:pPr>
              <w:jc w:val="center"/>
              <w:rPr>
                <w:rFonts w:ascii="Arial" w:hAnsi="Arial" w:cs="Arial"/>
                <w:b/>
                <w:bCs/>
                <w:color w:val="000000"/>
                <w:lang w:val="en-GB"/>
              </w:rPr>
            </w:pPr>
            <w:r>
              <w:rPr>
                <w:rFonts w:ascii="Arial" w:hAnsi="Arial" w:cs="Arial"/>
                <w:b/>
                <w:bCs/>
                <w:color w:val="000000"/>
                <w:lang w:val="en-GB"/>
              </w:rPr>
              <w:t xml:space="preserve">Global </w:t>
            </w:r>
            <w:r w:rsidR="00A36B54" w:rsidRPr="00433C05">
              <w:rPr>
                <w:rFonts w:ascii="Arial" w:hAnsi="Arial" w:cs="Arial"/>
                <w:b/>
                <w:bCs/>
                <w:color w:val="000000"/>
                <w:lang w:val="en-GB"/>
              </w:rPr>
              <w:t xml:space="preserve">Total </w:t>
            </w:r>
            <w:r>
              <w:rPr>
                <w:rFonts w:ascii="Arial" w:hAnsi="Arial" w:cs="Arial"/>
                <w:b/>
                <w:bCs/>
                <w:color w:val="000000"/>
                <w:lang w:val="en-GB"/>
              </w:rPr>
              <w:br/>
            </w:r>
            <w:r w:rsidR="00A36B54" w:rsidRPr="00433C05">
              <w:rPr>
                <w:rFonts w:ascii="Arial" w:hAnsi="Arial" w:cs="Arial"/>
                <w:b/>
                <w:bCs/>
                <w:color w:val="000000"/>
                <w:lang w:val="en-GB"/>
              </w:rPr>
              <w:t>(</w:t>
            </w:r>
            <w:r>
              <w:rPr>
                <w:rFonts w:ascii="Arial" w:hAnsi="Arial" w:cs="Arial"/>
                <w:b/>
                <w:bCs/>
                <w:color w:val="000000"/>
                <w:lang w:val="en-GB"/>
              </w:rPr>
              <w:t>I</w:t>
            </w:r>
            <w:r w:rsidR="00A36B54" w:rsidRPr="00433C05">
              <w:rPr>
                <w:rFonts w:ascii="Arial" w:hAnsi="Arial" w:cs="Arial"/>
                <w:b/>
                <w:bCs/>
                <w:color w:val="000000"/>
                <w:lang w:val="en-GB"/>
              </w:rPr>
              <w:t>ncluding Chinese Third</w:t>
            </w:r>
            <w:r w:rsidR="00CF5A1C">
              <w:rPr>
                <w:rFonts w:ascii="Arial" w:hAnsi="Arial" w:cs="Arial"/>
                <w:b/>
                <w:bCs/>
                <w:color w:val="000000"/>
                <w:lang w:val="en-GB"/>
              </w:rPr>
              <w:t>-P</w:t>
            </w:r>
            <w:r w:rsidR="00A36B54" w:rsidRPr="00433C05">
              <w:rPr>
                <w:rFonts w:ascii="Arial" w:hAnsi="Arial" w:cs="Arial"/>
                <w:b/>
                <w:bCs/>
                <w:color w:val="000000"/>
                <w:lang w:val="en-GB"/>
              </w:rPr>
              <w:t xml:space="preserve">arty App </w:t>
            </w:r>
            <w:r>
              <w:rPr>
                <w:rFonts w:ascii="Arial" w:hAnsi="Arial" w:cs="Arial"/>
                <w:b/>
                <w:bCs/>
                <w:color w:val="000000"/>
                <w:lang w:val="en-GB"/>
              </w:rPr>
              <w:t>D</w:t>
            </w:r>
            <w:r w:rsidR="00A36B54" w:rsidRPr="00433C05">
              <w:rPr>
                <w:rFonts w:ascii="Arial" w:hAnsi="Arial" w:cs="Arial"/>
                <w:b/>
                <w:bCs/>
                <w:color w:val="000000"/>
                <w:lang w:val="en-GB"/>
              </w:rPr>
              <w:t>ownloads)</w:t>
            </w:r>
          </w:p>
        </w:tc>
      </w:tr>
      <w:tr w:rsidR="00A36B54" w:rsidRPr="00433C05" w14:paraId="6C2AF08E" w14:textId="77777777" w:rsidTr="00E63A8C">
        <w:trPr>
          <w:trHeight w:val="284"/>
          <w:jc w:val="center"/>
        </w:trPr>
        <w:tc>
          <w:tcPr>
            <w:tcW w:w="1165" w:type="dxa"/>
            <w:tcBorders>
              <w:top w:val="nil"/>
              <w:left w:val="single" w:sz="4" w:space="0" w:color="auto"/>
              <w:bottom w:val="single" w:sz="4" w:space="0" w:color="auto"/>
              <w:right w:val="single" w:sz="4" w:space="0" w:color="auto"/>
            </w:tcBorders>
            <w:shd w:val="clear" w:color="auto" w:fill="auto"/>
            <w:noWrap/>
            <w:hideMark/>
          </w:tcPr>
          <w:p w14:paraId="261C3154"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2016</w:t>
            </w:r>
          </w:p>
        </w:tc>
        <w:tc>
          <w:tcPr>
            <w:tcW w:w="1890" w:type="dxa"/>
            <w:tcBorders>
              <w:top w:val="nil"/>
              <w:left w:val="nil"/>
              <w:bottom w:val="single" w:sz="4" w:space="0" w:color="auto"/>
              <w:right w:val="single" w:sz="4" w:space="0" w:color="auto"/>
            </w:tcBorders>
            <w:shd w:val="clear" w:color="auto" w:fill="auto"/>
            <w:noWrap/>
            <w:vAlign w:val="bottom"/>
            <w:hideMark/>
          </w:tcPr>
          <w:p w14:paraId="229D218F"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57.8</w:t>
            </w:r>
          </w:p>
        </w:tc>
        <w:tc>
          <w:tcPr>
            <w:tcW w:w="2250" w:type="dxa"/>
            <w:tcBorders>
              <w:top w:val="nil"/>
              <w:left w:val="nil"/>
              <w:bottom w:val="single" w:sz="4" w:space="0" w:color="auto"/>
              <w:right w:val="single" w:sz="4" w:space="0" w:color="auto"/>
            </w:tcBorders>
            <w:shd w:val="clear" w:color="auto" w:fill="auto"/>
            <w:noWrap/>
            <w:vAlign w:val="bottom"/>
            <w:hideMark/>
          </w:tcPr>
          <w:p w14:paraId="011D2DB7"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26</w:t>
            </w:r>
          </w:p>
        </w:tc>
        <w:tc>
          <w:tcPr>
            <w:tcW w:w="1350" w:type="dxa"/>
            <w:tcBorders>
              <w:top w:val="nil"/>
              <w:left w:val="nil"/>
              <w:bottom w:val="single" w:sz="4" w:space="0" w:color="auto"/>
              <w:right w:val="single" w:sz="4" w:space="0" w:color="auto"/>
            </w:tcBorders>
            <w:shd w:val="clear" w:color="auto" w:fill="auto"/>
            <w:noWrap/>
            <w:vAlign w:val="bottom"/>
            <w:hideMark/>
          </w:tcPr>
          <w:p w14:paraId="576F72E3"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83.8</w:t>
            </w:r>
          </w:p>
        </w:tc>
        <w:tc>
          <w:tcPr>
            <w:tcW w:w="2683" w:type="dxa"/>
            <w:tcBorders>
              <w:top w:val="nil"/>
              <w:left w:val="nil"/>
              <w:bottom w:val="single" w:sz="4" w:space="0" w:color="auto"/>
              <w:right w:val="single" w:sz="4" w:space="0" w:color="auto"/>
            </w:tcBorders>
            <w:shd w:val="clear" w:color="auto" w:fill="auto"/>
            <w:noWrap/>
            <w:vAlign w:val="bottom"/>
            <w:hideMark/>
          </w:tcPr>
          <w:p w14:paraId="69974B26"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140</w:t>
            </w:r>
          </w:p>
        </w:tc>
      </w:tr>
      <w:tr w:rsidR="00A36B54" w:rsidRPr="00433C05" w14:paraId="0B63B085" w14:textId="77777777" w:rsidTr="00E63A8C">
        <w:trPr>
          <w:trHeight w:val="284"/>
          <w:jc w:val="center"/>
        </w:trPr>
        <w:tc>
          <w:tcPr>
            <w:tcW w:w="1165" w:type="dxa"/>
            <w:tcBorders>
              <w:top w:val="nil"/>
              <w:left w:val="single" w:sz="4" w:space="0" w:color="auto"/>
              <w:bottom w:val="single" w:sz="4" w:space="0" w:color="auto"/>
              <w:right w:val="single" w:sz="4" w:space="0" w:color="auto"/>
            </w:tcBorders>
            <w:shd w:val="clear" w:color="auto" w:fill="auto"/>
            <w:noWrap/>
            <w:hideMark/>
          </w:tcPr>
          <w:p w14:paraId="465B6C2D"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2017</w:t>
            </w:r>
          </w:p>
        </w:tc>
        <w:tc>
          <w:tcPr>
            <w:tcW w:w="1890" w:type="dxa"/>
            <w:tcBorders>
              <w:top w:val="nil"/>
              <w:left w:val="nil"/>
              <w:bottom w:val="single" w:sz="4" w:space="0" w:color="auto"/>
              <w:right w:val="single" w:sz="4" w:space="0" w:color="auto"/>
            </w:tcBorders>
            <w:shd w:val="clear" w:color="auto" w:fill="auto"/>
            <w:noWrap/>
            <w:vAlign w:val="bottom"/>
            <w:hideMark/>
          </w:tcPr>
          <w:p w14:paraId="3C51C61A"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66.9</w:t>
            </w:r>
          </w:p>
        </w:tc>
        <w:tc>
          <w:tcPr>
            <w:tcW w:w="2250" w:type="dxa"/>
            <w:tcBorders>
              <w:top w:val="nil"/>
              <w:left w:val="nil"/>
              <w:bottom w:val="single" w:sz="4" w:space="0" w:color="auto"/>
              <w:right w:val="single" w:sz="4" w:space="0" w:color="auto"/>
            </w:tcBorders>
            <w:shd w:val="clear" w:color="auto" w:fill="auto"/>
            <w:noWrap/>
            <w:vAlign w:val="bottom"/>
            <w:hideMark/>
          </w:tcPr>
          <w:p w14:paraId="28299F6D"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27.9</w:t>
            </w:r>
          </w:p>
        </w:tc>
        <w:tc>
          <w:tcPr>
            <w:tcW w:w="1350" w:type="dxa"/>
            <w:tcBorders>
              <w:top w:val="nil"/>
              <w:left w:val="nil"/>
              <w:bottom w:val="single" w:sz="4" w:space="0" w:color="auto"/>
              <w:right w:val="single" w:sz="4" w:space="0" w:color="auto"/>
            </w:tcBorders>
            <w:shd w:val="clear" w:color="auto" w:fill="auto"/>
            <w:noWrap/>
            <w:vAlign w:val="bottom"/>
            <w:hideMark/>
          </w:tcPr>
          <w:p w14:paraId="5FD5D31D"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94.8</w:t>
            </w:r>
          </w:p>
        </w:tc>
        <w:tc>
          <w:tcPr>
            <w:tcW w:w="2683" w:type="dxa"/>
            <w:tcBorders>
              <w:top w:val="nil"/>
              <w:left w:val="nil"/>
              <w:bottom w:val="single" w:sz="4" w:space="0" w:color="auto"/>
              <w:right w:val="single" w:sz="4" w:space="0" w:color="auto"/>
            </w:tcBorders>
            <w:shd w:val="clear" w:color="auto" w:fill="auto"/>
            <w:noWrap/>
            <w:vAlign w:val="bottom"/>
            <w:hideMark/>
          </w:tcPr>
          <w:p w14:paraId="2910FA6B"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175</w:t>
            </w:r>
          </w:p>
        </w:tc>
      </w:tr>
      <w:tr w:rsidR="00A36B54" w:rsidRPr="00433C05" w14:paraId="4967855F" w14:textId="77777777" w:rsidTr="00E63A8C">
        <w:trPr>
          <w:trHeight w:val="284"/>
          <w:jc w:val="center"/>
        </w:trPr>
        <w:tc>
          <w:tcPr>
            <w:tcW w:w="1165" w:type="dxa"/>
            <w:tcBorders>
              <w:top w:val="nil"/>
              <w:left w:val="single" w:sz="4" w:space="0" w:color="auto"/>
              <w:bottom w:val="single" w:sz="4" w:space="0" w:color="auto"/>
              <w:right w:val="single" w:sz="4" w:space="0" w:color="auto"/>
            </w:tcBorders>
            <w:shd w:val="clear" w:color="auto" w:fill="auto"/>
            <w:noWrap/>
            <w:hideMark/>
          </w:tcPr>
          <w:p w14:paraId="0A778309"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2018</w:t>
            </w:r>
          </w:p>
        </w:tc>
        <w:tc>
          <w:tcPr>
            <w:tcW w:w="1890" w:type="dxa"/>
            <w:tcBorders>
              <w:top w:val="nil"/>
              <w:left w:val="nil"/>
              <w:bottom w:val="single" w:sz="4" w:space="0" w:color="auto"/>
              <w:right w:val="single" w:sz="4" w:space="0" w:color="auto"/>
            </w:tcBorders>
            <w:shd w:val="clear" w:color="auto" w:fill="auto"/>
            <w:noWrap/>
            <w:vAlign w:val="bottom"/>
            <w:hideMark/>
          </w:tcPr>
          <w:p w14:paraId="25EAA3E6"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75.5</w:t>
            </w:r>
          </w:p>
        </w:tc>
        <w:tc>
          <w:tcPr>
            <w:tcW w:w="2250" w:type="dxa"/>
            <w:tcBorders>
              <w:top w:val="nil"/>
              <w:left w:val="nil"/>
              <w:bottom w:val="single" w:sz="4" w:space="0" w:color="auto"/>
              <w:right w:val="single" w:sz="4" w:space="0" w:color="auto"/>
            </w:tcBorders>
            <w:shd w:val="clear" w:color="auto" w:fill="auto"/>
            <w:noWrap/>
            <w:vAlign w:val="bottom"/>
            <w:hideMark/>
          </w:tcPr>
          <w:p w14:paraId="359E67CD"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29.8</w:t>
            </w:r>
          </w:p>
        </w:tc>
        <w:tc>
          <w:tcPr>
            <w:tcW w:w="1350" w:type="dxa"/>
            <w:tcBorders>
              <w:top w:val="nil"/>
              <w:left w:val="nil"/>
              <w:bottom w:val="single" w:sz="4" w:space="0" w:color="auto"/>
              <w:right w:val="single" w:sz="4" w:space="0" w:color="auto"/>
            </w:tcBorders>
            <w:shd w:val="clear" w:color="auto" w:fill="auto"/>
            <w:noWrap/>
            <w:vAlign w:val="bottom"/>
            <w:hideMark/>
          </w:tcPr>
          <w:p w14:paraId="1900F49F"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105.3</w:t>
            </w:r>
          </w:p>
        </w:tc>
        <w:tc>
          <w:tcPr>
            <w:tcW w:w="2683" w:type="dxa"/>
            <w:tcBorders>
              <w:top w:val="nil"/>
              <w:left w:val="nil"/>
              <w:bottom w:val="single" w:sz="4" w:space="0" w:color="auto"/>
              <w:right w:val="single" w:sz="4" w:space="0" w:color="auto"/>
            </w:tcBorders>
            <w:shd w:val="clear" w:color="auto" w:fill="auto"/>
            <w:noWrap/>
            <w:vAlign w:val="bottom"/>
            <w:hideMark/>
          </w:tcPr>
          <w:p w14:paraId="54B546BC"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194</w:t>
            </w:r>
          </w:p>
        </w:tc>
      </w:tr>
      <w:tr w:rsidR="00A36B54" w:rsidRPr="00433C05" w14:paraId="34205323" w14:textId="77777777" w:rsidTr="00E63A8C">
        <w:trPr>
          <w:trHeight w:val="284"/>
          <w:jc w:val="center"/>
        </w:trPr>
        <w:tc>
          <w:tcPr>
            <w:tcW w:w="1165" w:type="dxa"/>
            <w:tcBorders>
              <w:top w:val="nil"/>
              <w:left w:val="single" w:sz="4" w:space="0" w:color="auto"/>
              <w:bottom w:val="single" w:sz="4" w:space="0" w:color="auto"/>
              <w:right w:val="single" w:sz="4" w:space="0" w:color="auto"/>
            </w:tcBorders>
            <w:shd w:val="clear" w:color="auto" w:fill="auto"/>
            <w:noWrap/>
            <w:hideMark/>
          </w:tcPr>
          <w:p w14:paraId="237456A5"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2019</w:t>
            </w:r>
          </w:p>
        </w:tc>
        <w:tc>
          <w:tcPr>
            <w:tcW w:w="1890" w:type="dxa"/>
            <w:tcBorders>
              <w:top w:val="nil"/>
              <w:left w:val="nil"/>
              <w:bottom w:val="single" w:sz="4" w:space="0" w:color="auto"/>
              <w:right w:val="single" w:sz="4" w:space="0" w:color="auto"/>
            </w:tcBorders>
            <w:shd w:val="clear" w:color="auto" w:fill="auto"/>
            <w:noWrap/>
            <w:vAlign w:val="bottom"/>
            <w:hideMark/>
          </w:tcPr>
          <w:p w14:paraId="412CB635"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84.3</w:t>
            </w:r>
          </w:p>
        </w:tc>
        <w:tc>
          <w:tcPr>
            <w:tcW w:w="2250" w:type="dxa"/>
            <w:tcBorders>
              <w:top w:val="nil"/>
              <w:left w:val="nil"/>
              <w:bottom w:val="single" w:sz="4" w:space="0" w:color="auto"/>
              <w:right w:val="single" w:sz="4" w:space="0" w:color="auto"/>
            </w:tcBorders>
            <w:shd w:val="clear" w:color="auto" w:fill="auto"/>
            <w:noWrap/>
            <w:vAlign w:val="bottom"/>
            <w:hideMark/>
          </w:tcPr>
          <w:p w14:paraId="6B56E6EB"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30.6</w:t>
            </w:r>
          </w:p>
        </w:tc>
        <w:tc>
          <w:tcPr>
            <w:tcW w:w="1350" w:type="dxa"/>
            <w:tcBorders>
              <w:top w:val="nil"/>
              <w:left w:val="nil"/>
              <w:bottom w:val="single" w:sz="4" w:space="0" w:color="auto"/>
              <w:right w:val="single" w:sz="4" w:space="0" w:color="auto"/>
            </w:tcBorders>
            <w:shd w:val="clear" w:color="auto" w:fill="auto"/>
            <w:noWrap/>
            <w:vAlign w:val="bottom"/>
            <w:hideMark/>
          </w:tcPr>
          <w:p w14:paraId="7FE5B323"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114.9</w:t>
            </w:r>
          </w:p>
        </w:tc>
        <w:tc>
          <w:tcPr>
            <w:tcW w:w="2683" w:type="dxa"/>
            <w:tcBorders>
              <w:top w:val="nil"/>
              <w:left w:val="nil"/>
              <w:bottom w:val="single" w:sz="4" w:space="0" w:color="auto"/>
              <w:right w:val="single" w:sz="4" w:space="0" w:color="auto"/>
            </w:tcBorders>
            <w:shd w:val="clear" w:color="auto" w:fill="auto"/>
            <w:noWrap/>
            <w:vAlign w:val="bottom"/>
            <w:hideMark/>
          </w:tcPr>
          <w:p w14:paraId="2A1649F7"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204</w:t>
            </w:r>
          </w:p>
        </w:tc>
      </w:tr>
      <w:tr w:rsidR="00A36B54" w:rsidRPr="00433C05" w14:paraId="163AA8B0" w14:textId="77777777" w:rsidTr="00E63A8C">
        <w:trPr>
          <w:trHeight w:val="284"/>
          <w:jc w:val="center"/>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722275A"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H1 2020</w:t>
            </w:r>
          </w:p>
        </w:tc>
        <w:tc>
          <w:tcPr>
            <w:tcW w:w="1890" w:type="dxa"/>
            <w:tcBorders>
              <w:top w:val="nil"/>
              <w:left w:val="nil"/>
              <w:bottom w:val="single" w:sz="4" w:space="0" w:color="auto"/>
              <w:right w:val="single" w:sz="4" w:space="0" w:color="auto"/>
            </w:tcBorders>
            <w:shd w:val="clear" w:color="auto" w:fill="auto"/>
            <w:noWrap/>
            <w:vAlign w:val="bottom"/>
            <w:hideMark/>
          </w:tcPr>
          <w:p w14:paraId="544C8607"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52.3</w:t>
            </w:r>
          </w:p>
        </w:tc>
        <w:tc>
          <w:tcPr>
            <w:tcW w:w="2250" w:type="dxa"/>
            <w:tcBorders>
              <w:top w:val="nil"/>
              <w:left w:val="nil"/>
              <w:bottom w:val="single" w:sz="4" w:space="0" w:color="auto"/>
              <w:right w:val="single" w:sz="4" w:space="0" w:color="auto"/>
            </w:tcBorders>
            <w:shd w:val="clear" w:color="auto" w:fill="auto"/>
            <w:noWrap/>
            <w:vAlign w:val="bottom"/>
            <w:hideMark/>
          </w:tcPr>
          <w:p w14:paraId="16BEAEAF"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18.3</w:t>
            </w:r>
          </w:p>
        </w:tc>
        <w:tc>
          <w:tcPr>
            <w:tcW w:w="1350" w:type="dxa"/>
            <w:tcBorders>
              <w:top w:val="nil"/>
              <w:left w:val="nil"/>
              <w:bottom w:val="single" w:sz="4" w:space="0" w:color="auto"/>
              <w:right w:val="single" w:sz="4" w:space="0" w:color="auto"/>
            </w:tcBorders>
            <w:shd w:val="clear" w:color="auto" w:fill="auto"/>
            <w:noWrap/>
            <w:vAlign w:val="bottom"/>
            <w:hideMark/>
          </w:tcPr>
          <w:p w14:paraId="2C4037E2"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70.6</w:t>
            </w:r>
          </w:p>
        </w:tc>
        <w:tc>
          <w:tcPr>
            <w:tcW w:w="2683" w:type="dxa"/>
            <w:tcBorders>
              <w:top w:val="nil"/>
              <w:left w:val="nil"/>
              <w:bottom w:val="single" w:sz="4" w:space="0" w:color="auto"/>
              <w:right w:val="single" w:sz="4" w:space="0" w:color="auto"/>
            </w:tcBorders>
            <w:shd w:val="clear" w:color="auto" w:fill="auto"/>
            <w:noWrap/>
            <w:vAlign w:val="bottom"/>
            <w:hideMark/>
          </w:tcPr>
          <w:p w14:paraId="36AC9771" w14:textId="77777777" w:rsidR="00A36B54" w:rsidRPr="00433C05" w:rsidRDefault="00A36B54" w:rsidP="00C90590">
            <w:pPr>
              <w:jc w:val="center"/>
              <w:rPr>
                <w:rFonts w:ascii="Arial" w:hAnsi="Arial" w:cs="Arial"/>
                <w:color w:val="000000"/>
                <w:lang w:val="en-GB"/>
              </w:rPr>
            </w:pPr>
            <w:r w:rsidRPr="00433C05">
              <w:rPr>
                <w:rFonts w:ascii="Arial" w:hAnsi="Arial" w:cs="Arial"/>
                <w:color w:val="000000"/>
                <w:lang w:val="en-GB"/>
              </w:rPr>
              <w:t>64</w:t>
            </w:r>
          </w:p>
        </w:tc>
      </w:tr>
    </w:tbl>
    <w:p w14:paraId="63662B39" w14:textId="77777777" w:rsidR="00A36B54" w:rsidRPr="00433C05" w:rsidRDefault="00A36B54" w:rsidP="00A36B54">
      <w:pPr>
        <w:jc w:val="both"/>
        <w:rPr>
          <w:rFonts w:ascii="Arial" w:hAnsi="Arial" w:cs="Arial"/>
          <w:lang w:val="en-GB"/>
        </w:rPr>
      </w:pPr>
    </w:p>
    <w:p w14:paraId="653B2536" w14:textId="6E3A57B5" w:rsidR="00EC1C58" w:rsidRDefault="00EC1C58" w:rsidP="00EC1C58">
      <w:pPr>
        <w:pStyle w:val="Footnote"/>
        <w:rPr>
          <w:lang w:val="en-GB"/>
        </w:rPr>
      </w:pPr>
      <w:bookmarkStart w:id="3" w:name="OLE_LINK1"/>
      <w:r>
        <w:rPr>
          <w:lang w:val="en-GB"/>
        </w:rPr>
        <w:t>Note: H1 = first half year</w:t>
      </w:r>
      <w:r w:rsidR="00A35206">
        <w:rPr>
          <w:lang w:val="en-GB"/>
        </w:rPr>
        <w:t>; app = mobile application</w:t>
      </w:r>
      <w:r w:rsidR="002E6B15">
        <w:rPr>
          <w:lang w:val="en-GB"/>
        </w:rPr>
        <w:t>.</w:t>
      </w:r>
    </w:p>
    <w:p w14:paraId="619507E4" w14:textId="605CCCAE" w:rsidR="00A36B54" w:rsidRPr="00433C05" w:rsidRDefault="00A36B54" w:rsidP="007033E9">
      <w:pPr>
        <w:pStyle w:val="Footnote"/>
        <w:rPr>
          <w:lang w:val="en-GB"/>
        </w:rPr>
      </w:pPr>
      <w:r w:rsidRPr="00433C05">
        <w:rPr>
          <w:lang w:val="en-GB"/>
        </w:rPr>
        <w:t xml:space="preserve">Source: Mansoor Iqbal, “App </w:t>
      </w:r>
      <w:r w:rsidR="009A067A">
        <w:rPr>
          <w:lang w:val="en-GB"/>
        </w:rPr>
        <w:t>D</w:t>
      </w:r>
      <w:r w:rsidRPr="00433C05">
        <w:rPr>
          <w:lang w:val="en-GB"/>
        </w:rPr>
        <w:t xml:space="preserve">ownload and </w:t>
      </w:r>
      <w:r w:rsidR="009A067A">
        <w:rPr>
          <w:lang w:val="en-GB"/>
        </w:rPr>
        <w:t>U</w:t>
      </w:r>
      <w:r w:rsidRPr="00433C05">
        <w:rPr>
          <w:lang w:val="en-GB"/>
        </w:rPr>
        <w:t xml:space="preserve">sage </w:t>
      </w:r>
      <w:r w:rsidR="009A067A">
        <w:rPr>
          <w:lang w:val="en-GB"/>
        </w:rPr>
        <w:t>S</w:t>
      </w:r>
      <w:r w:rsidRPr="00433C05">
        <w:rPr>
          <w:lang w:val="en-GB"/>
        </w:rPr>
        <w:t xml:space="preserve">tatistics,” </w:t>
      </w:r>
      <w:r w:rsidRPr="00E63A8C">
        <w:rPr>
          <w:lang w:val="en-GB"/>
        </w:rPr>
        <w:t>Business of Apps</w:t>
      </w:r>
      <w:r w:rsidRPr="009A067A">
        <w:rPr>
          <w:lang w:val="en-GB"/>
        </w:rPr>
        <w:t>,</w:t>
      </w:r>
      <w:r w:rsidRPr="00433C05">
        <w:rPr>
          <w:lang w:val="en-GB"/>
        </w:rPr>
        <w:t xml:space="preserve"> October 9, 2020, accessed October 10, 2020, www.businessofapps.com/data/app-statistics</w:t>
      </w:r>
      <w:r w:rsidR="00AA3F92">
        <w:rPr>
          <w:lang w:val="en-GB"/>
        </w:rPr>
        <w:t>.</w:t>
      </w:r>
    </w:p>
    <w:bookmarkEnd w:id="3"/>
    <w:p w14:paraId="2D5C9C08" w14:textId="77777777" w:rsidR="00A36B54" w:rsidRPr="00433C05" w:rsidRDefault="00A36B54" w:rsidP="00A36B54">
      <w:pPr>
        <w:jc w:val="both"/>
        <w:rPr>
          <w:rFonts w:ascii="Arial" w:hAnsi="Arial" w:cs="Arial"/>
          <w:b/>
          <w:bCs/>
          <w:lang w:val="en-GB"/>
        </w:rPr>
      </w:pPr>
    </w:p>
    <w:p w14:paraId="7F3E362F" w14:textId="77777777" w:rsidR="00A36B54" w:rsidRPr="00433C05" w:rsidRDefault="00A36B54" w:rsidP="00A36B54">
      <w:pPr>
        <w:jc w:val="both"/>
        <w:rPr>
          <w:rFonts w:ascii="Arial" w:hAnsi="Arial" w:cs="Arial"/>
          <w:b/>
          <w:bCs/>
          <w:lang w:val="en-GB"/>
        </w:rPr>
      </w:pPr>
    </w:p>
    <w:p w14:paraId="10B1A9E1" w14:textId="77777777" w:rsidR="00A36B54" w:rsidRPr="00433C05" w:rsidRDefault="00A36B54" w:rsidP="00A36B54">
      <w:pPr>
        <w:jc w:val="both"/>
        <w:rPr>
          <w:rFonts w:ascii="Arial" w:hAnsi="Arial" w:cs="Arial"/>
          <w:b/>
          <w:bCs/>
          <w:lang w:val="en-GB"/>
        </w:rPr>
      </w:pPr>
    </w:p>
    <w:p w14:paraId="0ACED982" w14:textId="77777777" w:rsidR="00A36B54" w:rsidRPr="00433C05" w:rsidRDefault="00A36B54" w:rsidP="00A36B54">
      <w:pPr>
        <w:jc w:val="both"/>
        <w:rPr>
          <w:rFonts w:ascii="Arial" w:hAnsi="Arial" w:cs="Arial"/>
          <w:b/>
          <w:bCs/>
          <w:lang w:val="en-GB"/>
        </w:rPr>
      </w:pPr>
    </w:p>
    <w:p w14:paraId="3C7B0F9E" w14:textId="77777777" w:rsidR="00A36B54" w:rsidRPr="00433C05" w:rsidRDefault="00A36B54" w:rsidP="00A36B54">
      <w:pPr>
        <w:jc w:val="both"/>
        <w:rPr>
          <w:rFonts w:ascii="Arial" w:hAnsi="Arial" w:cs="Arial"/>
          <w:b/>
          <w:bCs/>
          <w:lang w:val="en-GB"/>
        </w:rPr>
      </w:pPr>
    </w:p>
    <w:p w14:paraId="5812ED80" w14:textId="77777777" w:rsidR="00A36B54" w:rsidRPr="00433C05" w:rsidRDefault="00A36B54" w:rsidP="00A36B54">
      <w:pPr>
        <w:jc w:val="both"/>
        <w:rPr>
          <w:rFonts w:ascii="Arial" w:hAnsi="Arial" w:cs="Arial"/>
          <w:b/>
          <w:bCs/>
          <w:lang w:val="en-GB"/>
        </w:rPr>
      </w:pPr>
    </w:p>
    <w:p w14:paraId="3E81AC0F" w14:textId="77777777" w:rsidR="00C64F7C" w:rsidRPr="00433C05" w:rsidRDefault="00C64F7C">
      <w:pPr>
        <w:spacing w:after="200" w:line="276" w:lineRule="auto"/>
        <w:rPr>
          <w:rFonts w:ascii="Arial" w:hAnsi="Arial" w:cs="Arial"/>
          <w:b/>
          <w:bCs/>
          <w:lang w:val="en-GB"/>
        </w:rPr>
      </w:pPr>
      <w:r w:rsidRPr="00433C05">
        <w:rPr>
          <w:rFonts w:ascii="Arial" w:hAnsi="Arial" w:cs="Arial"/>
          <w:b/>
          <w:bCs/>
          <w:lang w:val="en-GB"/>
        </w:rPr>
        <w:br w:type="page"/>
      </w:r>
    </w:p>
    <w:p w14:paraId="275FF3B8" w14:textId="22E3A2D5" w:rsidR="00A36B54" w:rsidRPr="00433C05" w:rsidRDefault="00A36B54" w:rsidP="004B5C53">
      <w:pPr>
        <w:pStyle w:val="ExhibitHeading"/>
        <w:rPr>
          <w:lang w:val="en-GB"/>
        </w:rPr>
      </w:pPr>
      <w:r w:rsidRPr="00433C05">
        <w:rPr>
          <w:lang w:val="en-GB"/>
        </w:rPr>
        <w:lastRenderedPageBreak/>
        <w:t xml:space="preserve">EXHIBIT 3: </w:t>
      </w:r>
      <w:r w:rsidR="00AA3F92">
        <w:rPr>
          <w:lang w:val="en-GB"/>
        </w:rPr>
        <w:t xml:space="preserve">Comparison of </w:t>
      </w:r>
      <w:r w:rsidRPr="00433C05">
        <w:rPr>
          <w:lang w:val="en-GB"/>
        </w:rPr>
        <w:t xml:space="preserve">TOP GOOGLE PLAY STORE CATEGORIES </w:t>
      </w:r>
      <w:r w:rsidR="00AA3F92">
        <w:rPr>
          <w:lang w:val="en-GB"/>
        </w:rPr>
        <w:t xml:space="preserve">for the </w:t>
      </w:r>
      <w:r w:rsidR="00AA3F92">
        <w:rPr>
          <w:lang w:val="en-GB"/>
        </w:rPr>
        <w:br/>
        <w:t>Second Quarter of</w:t>
      </w:r>
      <w:r w:rsidRPr="00433C05">
        <w:rPr>
          <w:lang w:val="en-GB"/>
        </w:rPr>
        <w:t xml:space="preserve"> 2020 </w:t>
      </w:r>
      <w:r w:rsidR="00AA3F92">
        <w:rPr>
          <w:lang w:val="en-GB"/>
        </w:rPr>
        <w:t>and</w:t>
      </w:r>
      <w:r w:rsidRPr="00433C05">
        <w:rPr>
          <w:lang w:val="en-GB"/>
        </w:rPr>
        <w:t xml:space="preserve"> 2019</w:t>
      </w:r>
    </w:p>
    <w:p w14:paraId="2D83E357" w14:textId="26475312" w:rsidR="007033E9" w:rsidRPr="00433C05" w:rsidRDefault="00E93D3D" w:rsidP="00A36B54">
      <w:pPr>
        <w:jc w:val="both"/>
        <w:rPr>
          <w:rFonts w:ascii="Arial" w:hAnsi="Arial" w:cs="Arial"/>
          <w:b/>
          <w:bCs/>
          <w:lang w:val="en-GB"/>
        </w:rPr>
      </w:pPr>
      <w:r>
        <w:rPr>
          <w:noProof/>
        </w:rPr>
        <w:drawing>
          <wp:inline distT="0" distB="0" distL="0" distR="0" wp14:anchorId="194A91BD" wp14:editId="2ADEA95D">
            <wp:extent cx="5943600" cy="2180590"/>
            <wp:effectExtent l="0" t="0" r="0" b="0"/>
            <wp:docPr id="6" name="Picture 6" descr="Downloads Q2 2019 and Q2 2020 in bill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0590"/>
                    </a:xfrm>
                    <a:prstGeom prst="rect">
                      <a:avLst/>
                    </a:prstGeom>
                  </pic:spPr>
                </pic:pic>
              </a:graphicData>
            </a:graphic>
          </wp:inline>
        </w:drawing>
      </w:r>
    </w:p>
    <w:tbl>
      <w:tblPr>
        <w:tblW w:w="9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0" w:type="dxa"/>
          <w:bottom w:w="29" w:type="dxa"/>
          <w:right w:w="0" w:type="dxa"/>
        </w:tblCellMar>
        <w:tblLook w:val="04A0" w:firstRow="1" w:lastRow="0" w:firstColumn="1" w:lastColumn="0" w:noHBand="0" w:noVBand="1"/>
        <w:tblCaption w:val="Exhibit 3"/>
        <w:tblDescription w:val="App Download and Usage Statistics"/>
      </w:tblPr>
      <w:tblGrid>
        <w:gridCol w:w="645"/>
        <w:gridCol w:w="643"/>
        <w:gridCol w:w="459"/>
        <w:gridCol w:w="588"/>
        <w:gridCol w:w="731"/>
        <w:gridCol w:w="831"/>
        <w:gridCol w:w="810"/>
        <w:gridCol w:w="810"/>
        <w:gridCol w:w="720"/>
        <w:gridCol w:w="450"/>
        <w:gridCol w:w="450"/>
        <w:gridCol w:w="900"/>
        <w:gridCol w:w="909"/>
        <w:gridCol w:w="540"/>
      </w:tblGrid>
      <w:tr w:rsidR="0078103A" w:rsidRPr="0078103A" w14:paraId="50B1752F" w14:textId="77777777" w:rsidTr="00E93D3D">
        <w:trPr>
          <w:divId w:val="1550872967"/>
          <w:trHeight w:val="320"/>
        </w:trPr>
        <w:tc>
          <w:tcPr>
            <w:tcW w:w="645" w:type="dxa"/>
            <w:shd w:val="clear" w:color="auto" w:fill="FFFFFF" w:themeFill="background1"/>
            <w:noWrap/>
            <w:vAlign w:val="bottom"/>
            <w:hideMark/>
          </w:tcPr>
          <w:p w14:paraId="78F684FE" w14:textId="3D0D5E57"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Date</w:t>
            </w:r>
          </w:p>
        </w:tc>
        <w:tc>
          <w:tcPr>
            <w:tcW w:w="643" w:type="dxa"/>
            <w:shd w:val="clear" w:color="auto" w:fill="auto"/>
            <w:noWrap/>
            <w:vAlign w:val="bottom"/>
            <w:hideMark/>
          </w:tcPr>
          <w:p w14:paraId="2458F831" w14:textId="77777777"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Android</w:t>
            </w:r>
          </w:p>
        </w:tc>
        <w:tc>
          <w:tcPr>
            <w:tcW w:w="459" w:type="dxa"/>
            <w:shd w:val="clear" w:color="auto" w:fill="auto"/>
            <w:noWrap/>
            <w:vAlign w:val="bottom"/>
            <w:hideMark/>
          </w:tcPr>
          <w:p w14:paraId="04362348" w14:textId="77777777"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iOS</w:t>
            </w:r>
          </w:p>
        </w:tc>
        <w:tc>
          <w:tcPr>
            <w:tcW w:w="588" w:type="dxa"/>
            <w:shd w:val="clear" w:color="auto" w:fill="auto"/>
            <w:noWrap/>
            <w:vAlign w:val="bottom"/>
            <w:hideMark/>
          </w:tcPr>
          <w:p w14:paraId="2BF42C77" w14:textId="77777777"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KaiOS</w:t>
            </w:r>
          </w:p>
        </w:tc>
        <w:tc>
          <w:tcPr>
            <w:tcW w:w="731" w:type="dxa"/>
            <w:shd w:val="clear" w:color="auto" w:fill="auto"/>
            <w:noWrap/>
            <w:vAlign w:val="bottom"/>
            <w:hideMark/>
          </w:tcPr>
          <w:p w14:paraId="515AAA9F" w14:textId="77777777"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Samsung</w:t>
            </w:r>
          </w:p>
        </w:tc>
        <w:tc>
          <w:tcPr>
            <w:tcW w:w="831" w:type="dxa"/>
            <w:shd w:val="clear" w:color="auto" w:fill="auto"/>
            <w:noWrap/>
            <w:vAlign w:val="bottom"/>
            <w:hideMark/>
          </w:tcPr>
          <w:p w14:paraId="1E5063FD" w14:textId="77777777"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Unknown</w:t>
            </w:r>
          </w:p>
        </w:tc>
        <w:tc>
          <w:tcPr>
            <w:tcW w:w="810" w:type="dxa"/>
            <w:shd w:val="clear" w:color="auto" w:fill="auto"/>
            <w:noWrap/>
            <w:vAlign w:val="bottom"/>
            <w:hideMark/>
          </w:tcPr>
          <w:p w14:paraId="0D18ACAB" w14:textId="77777777"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Windows</w:t>
            </w:r>
          </w:p>
        </w:tc>
        <w:tc>
          <w:tcPr>
            <w:tcW w:w="810" w:type="dxa"/>
            <w:shd w:val="clear" w:color="auto" w:fill="auto"/>
            <w:noWrap/>
            <w:vAlign w:val="bottom"/>
            <w:hideMark/>
          </w:tcPr>
          <w:p w14:paraId="06A4C1BD" w14:textId="77777777"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Nokia Unknown</w:t>
            </w:r>
          </w:p>
        </w:tc>
        <w:tc>
          <w:tcPr>
            <w:tcW w:w="720" w:type="dxa"/>
            <w:shd w:val="clear" w:color="auto" w:fill="auto"/>
            <w:noWrap/>
            <w:vAlign w:val="bottom"/>
            <w:hideMark/>
          </w:tcPr>
          <w:p w14:paraId="79A92A2D" w14:textId="77777777"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Series 40</w:t>
            </w:r>
          </w:p>
        </w:tc>
        <w:tc>
          <w:tcPr>
            <w:tcW w:w="450" w:type="dxa"/>
            <w:shd w:val="clear" w:color="auto" w:fill="auto"/>
            <w:noWrap/>
            <w:vAlign w:val="bottom"/>
            <w:hideMark/>
          </w:tcPr>
          <w:p w14:paraId="69C3FB3A" w14:textId="77777777"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Tizen</w:t>
            </w:r>
          </w:p>
        </w:tc>
        <w:tc>
          <w:tcPr>
            <w:tcW w:w="450" w:type="dxa"/>
            <w:shd w:val="clear" w:color="auto" w:fill="auto"/>
            <w:noWrap/>
            <w:vAlign w:val="bottom"/>
            <w:hideMark/>
          </w:tcPr>
          <w:p w14:paraId="1E89DC14" w14:textId="77777777"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Linux</w:t>
            </w:r>
          </w:p>
        </w:tc>
        <w:tc>
          <w:tcPr>
            <w:tcW w:w="900" w:type="dxa"/>
            <w:shd w:val="clear" w:color="auto" w:fill="auto"/>
            <w:noWrap/>
            <w:vAlign w:val="bottom"/>
            <w:hideMark/>
          </w:tcPr>
          <w:p w14:paraId="29CCB658" w14:textId="11EA8D9D"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BlackBerry</w:t>
            </w:r>
          </w:p>
        </w:tc>
        <w:tc>
          <w:tcPr>
            <w:tcW w:w="909" w:type="dxa"/>
            <w:shd w:val="clear" w:color="auto" w:fill="auto"/>
            <w:noWrap/>
            <w:vAlign w:val="bottom"/>
            <w:hideMark/>
          </w:tcPr>
          <w:p w14:paraId="2D7C27F6" w14:textId="77777777" w:rsidR="0026280E" w:rsidRPr="0078103A" w:rsidRDefault="0026280E" w:rsidP="0078103A">
            <w:pPr>
              <w:jc w:val="center"/>
              <w:rPr>
                <w:rFonts w:ascii="Arial" w:hAnsi="Arial" w:cs="Arial"/>
                <w:b/>
                <w:bCs/>
                <w:sz w:val="16"/>
                <w:szCs w:val="16"/>
                <w:lang w:val="en-GB" w:eastAsia="en-GB"/>
              </w:rPr>
            </w:pPr>
            <w:proofErr w:type="spellStart"/>
            <w:r w:rsidRPr="0078103A">
              <w:rPr>
                <w:rFonts w:ascii="Arial" w:hAnsi="Arial" w:cs="Arial"/>
                <w:b/>
                <w:bCs/>
                <w:sz w:val="16"/>
                <w:szCs w:val="16"/>
                <w:lang w:val="en-GB" w:eastAsia="en-GB"/>
              </w:rPr>
              <w:t>SymbianOS</w:t>
            </w:r>
            <w:proofErr w:type="spellEnd"/>
          </w:p>
        </w:tc>
        <w:tc>
          <w:tcPr>
            <w:tcW w:w="540" w:type="dxa"/>
            <w:shd w:val="clear" w:color="auto" w:fill="auto"/>
            <w:noWrap/>
            <w:vAlign w:val="bottom"/>
            <w:hideMark/>
          </w:tcPr>
          <w:p w14:paraId="0F15C19E" w14:textId="77777777" w:rsidR="0026280E" w:rsidRPr="0078103A" w:rsidRDefault="0026280E" w:rsidP="0078103A">
            <w:pPr>
              <w:jc w:val="center"/>
              <w:rPr>
                <w:rFonts w:ascii="Arial" w:hAnsi="Arial" w:cs="Arial"/>
                <w:b/>
                <w:bCs/>
                <w:sz w:val="16"/>
                <w:szCs w:val="16"/>
                <w:lang w:val="en-GB" w:eastAsia="en-GB"/>
              </w:rPr>
            </w:pPr>
            <w:r w:rsidRPr="0078103A">
              <w:rPr>
                <w:rFonts w:ascii="Arial" w:hAnsi="Arial" w:cs="Arial"/>
                <w:b/>
                <w:bCs/>
                <w:sz w:val="16"/>
                <w:szCs w:val="16"/>
                <w:lang w:val="en-GB" w:eastAsia="en-GB"/>
              </w:rPr>
              <w:t>Other</w:t>
            </w:r>
          </w:p>
        </w:tc>
      </w:tr>
      <w:tr w:rsidR="0078103A" w:rsidRPr="00AA3F92" w14:paraId="278BE035" w14:textId="77777777" w:rsidTr="00E93D3D">
        <w:trPr>
          <w:divId w:val="1550872967"/>
          <w:trHeight w:val="320"/>
        </w:trPr>
        <w:tc>
          <w:tcPr>
            <w:tcW w:w="645" w:type="dxa"/>
            <w:shd w:val="clear" w:color="auto" w:fill="auto"/>
            <w:noWrap/>
            <w:vAlign w:val="bottom"/>
            <w:hideMark/>
          </w:tcPr>
          <w:p w14:paraId="42E95B0C" w14:textId="00E16C7E" w:rsidR="0026280E" w:rsidRPr="00AA3F92" w:rsidRDefault="0026280E" w:rsidP="00F07405">
            <w:pPr>
              <w:jc w:val="center"/>
              <w:rPr>
                <w:rFonts w:ascii="Arial" w:hAnsi="Arial" w:cs="Arial"/>
                <w:sz w:val="16"/>
                <w:szCs w:val="16"/>
                <w:lang w:val="en-GB" w:eastAsia="en-GB"/>
              </w:rPr>
            </w:pPr>
            <w:r w:rsidRPr="00AA3F92">
              <w:rPr>
                <w:rFonts w:ascii="Arial" w:hAnsi="Arial" w:cs="Arial"/>
                <w:sz w:val="16"/>
                <w:szCs w:val="16"/>
                <w:lang w:val="en-GB" w:eastAsia="en-GB"/>
              </w:rPr>
              <w:t>2019</w:t>
            </w:r>
            <w:r w:rsidR="00EA3D29">
              <w:rPr>
                <w:rFonts w:ascii="Arial" w:hAnsi="Arial" w:cs="Arial"/>
                <w:sz w:val="16"/>
                <w:szCs w:val="16"/>
                <w:lang w:val="en-GB" w:eastAsia="en-GB"/>
              </w:rPr>
              <w:sym w:font="Symbol" w:char="F02D"/>
            </w:r>
            <w:r w:rsidRPr="00AA3F92">
              <w:rPr>
                <w:rFonts w:ascii="Arial" w:hAnsi="Arial" w:cs="Arial"/>
                <w:sz w:val="16"/>
                <w:szCs w:val="16"/>
                <w:lang w:val="en-GB" w:eastAsia="en-GB"/>
              </w:rPr>
              <w:t>08</w:t>
            </w:r>
          </w:p>
        </w:tc>
        <w:tc>
          <w:tcPr>
            <w:tcW w:w="643" w:type="dxa"/>
            <w:shd w:val="clear" w:color="auto" w:fill="auto"/>
            <w:noWrap/>
            <w:vAlign w:val="bottom"/>
            <w:hideMark/>
          </w:tcPr>
          <w:p w14:paraId="0D56C66F"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76.23</w:t>
            </w:r>
          </w:p>
        </w:tc>
        <w:tc>
          <w:tcPr>
            <w:tcW w:w="459" w:type="dxa"/>
            <w:shd w:val="clear" w:color="auto" w:fill="auto"/>
            <w:noWrap/>
            <w:vAlign w:val="bottom"/>
            <w:hideMark/>
          </w:tcPr>
          <w:p w14:paraId="55075974"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22.17</w:t>
            </w:r>
          </w:p>
        </w:tc>
        <w:tc>
          <w:tcPr>
            <w:tcW w:w="588" w:type="dxa"/>
            <w:shd w:val="clear" w:color="auto" w:fill="auto"/>
            <w:noWrap/>
            <w:vAlign w:val="bottom"/>
            <w:hideMark/>
          </w:tcPr>
          <w:p w14:paraId="15FF9BC6"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0.59</w:t>
            </w:r>
          </w:p>
        </w:tc>
        <w:tc>
          <w:tcPr>
            <w:tcW w:w="731" w:type="dxa"/>
            <w:shd w:val="clear" w:color="auto" w:fill="auto"/>
            <w:noWrap/>
            <w:vAlign w:val="bottom"/>
            <w:hideMark/>
          </w:tcPr>
          <w:p w14:paraId="0A07AC3C"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0.21</w:t>
            </w:r>
          </w:p>
        </w:tc>
        <w:tc>
          <w:tcPr>
            <w:tcW w:w="831" w:type="dxa"/>
            <w:shd w:val="clear" w:color="auto" w:fill="auto"/>
            <w:noWrap/>
            <w:vAlign w:val="bottom"/>
            <w:hideMark/>
          </w:tcPr>
          <w:p w14:paraId="63674134"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0.26</w:t>
            </w:r>
          </w:p>
        </w:tc>
        <w:tc>
          <w:tcPr>
            <w:tcW w:w="810" w:type="dxa"/>
            <w:shd w:val="clear" w:color="auto" w:fill="auto"/>
            <w:noWrap/>
            <w:vAlign w:val="bottom"/>
            <w:hideMark/>
          </w:tcPr>
          <w:p w14:paraId="0B3D45B4"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0.2</w:t>
            </w:r>
          </w:p>
        </w:tc>
        <w:tc>
          <w:tcPr>
            <w:tcW w:w="810" w:type="dxa"/>
            <w:shd w:val="clear" w:color="auto" w:fill="auto"/>
            <w:noWrap/>
            <w:vAlign w:val="bottom"/>
            <w:hideMark/>
          </w:tcPr>
          <w:p w14:paraId="48A7CDC0"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0.09</w:t>
            </w:r>
          </w:p>
        </w:tc>
        <w:tc>
          <w:tcPr>
            <w:tcW w:w="720" w:type="dxa"/>
            <w:shd w:val="clear" w:color="auto" w:fill="auto"/>
            <w:noWrap/>
            <w:vAlign w:val="bottom"/>
            <w:hideMark/>
          </w:tcPr>
          <w:p w14:paraId="688D23E7"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0.09</w:t>
            </w:r>
          </w:p>
        </w:tc>
        <w:tc>
          <w:tcPr>
            <w:tcW w:w="450" w:type="dxa"/>
            <w:shd w:val="clear" w:color="auto" w:fill="auto"/>
            <w:noWrap/>
            <w:vAlign w:val="bottom"/>
            <w:hideMark/>
          </w:tcPr>
          <w:p w14:paraId="09A73701"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0.07</w:t>
            </w:r>
          </w:p>
        </w:tc>
        <w:tc>
          <w:tcPr>
            <w:tcW w:w="450" w:type="dxa"/>
            <w:shd w:val="clear" w:color="auto" w:fill="auto"/>
            <w:noWrap/>
            <w:vAlign w:val="bottom"/>
            <w:hideMark/>
          </w:tcPr>
          <w:p w14:paraId="6EF5CBEC"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0.03</w:t>
            </w:r>
          </w:p>
        </w:tc>
        <w:tc>
          <w:tcPr>
            <w:tcW w:w="900" w:type="dxa"/>
            <w:shd w:val="clear" w:color="auto" w:fill="auto"/>
            <w:noWrap/>
            <w:vAlign w:val="bottom"/>
            <w:hideMark/>
          </w:tcPr>
          <w:p w14:paraId="669CFD2A"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0.03</w:t>
            </w:r>
          </w:p>
        </w:tc>
        <w:tc>
          <w:tcPr>
            <w:tcW w:w="909" w:type="dxa"/>
            <w:shd w:val="clear" w:color="auto" w:fill="auto"/>
            <w:noWrap/>
            <w:vAlign w:val="bottom"/>
            <w:hideMark/>
          </w:tcPr>
          <w:p w14:paraId="2FA92BC5"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0.02</w:t>
            </w:r>
          </w:p>
        </w:tc>
        <w:tc>
          <w:tcPr>
            <w:tcW w:w="540" w:type="dxa"/>
            <w:shd w:val="clear" w:color="auto" w:fill="auto"/>
            <w:noWrap/>
            <w:vAlign w:val="bottom"/>
            <w:hideMark/>
          </w:tcPr>
          <w:p w14:paraId="0800F38B"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0.02</w:t>
            </w:r>
          </w:p>
        </w:tc>
      </w:tr>
      <w:tr w:rsidR="0078103A" w:rsidRPr="00AA3F92" w14:paraId="38D1A940" w14:textId="77777777" w:rsidTr="00E93D3D">
        <w:trPr>
          <w:divId w:val="1550872967"/>
          <w:trHeight w:val="320"/>
        </w:trPr>
        <w:tc>
          <w:tcPr>
            <w:tcW w:w="645" w:type="dxa"/>
            <w:shd w:val="clear" w:color="auto" w:fill="auto"/>
            <w:noWrap/>
            <w:vAlign w:val="bottom"/>
            <w:hideMark/>
          </w:tcPr>
          <w:p w14:paraId="3C251A62" w14:textId="630BCC9A" w:rsidR="0026280E" w:rsidRPr="00AA3F92" w:rsidRDefault="0026280E" w:rsidP="00F07405">
            <w:pPr>
              <w:jc w:val="center"/>
              <w:rPr>
                <w:rFonts w:ascii="Arial" w:hAnsi="Arial" w:cs="Arial"/>
                <w:sz w:val="16"/>
                <w:szCs w:val="16"/>
                <w:lang w:val="en-GB" w:eastAsia="en-GB"/>
              </w:rPr>
            </w:pPr>
            <w:r w:rsidRPr="00AA3F92">
              <w:rPr>
                <w:rFonts w:ascii="Arial" w:hAnsi="Arial" w:cs="Arial"/>
                <w:sz w:val="16"/>
                <w:szCs w:val="16"/>
                <w:lang w:val="en-GB" w:eastAsia="en-GB"/>
              </w:rPr>
              <w:t>2020</w:t>
            </w:r>
            <w:r w:rsidR="00EA3D29">
              <w:rPr>
                <w:rFonts w:ascii="Arial" w:hAnsi="Arial" w:cs="Arial"/>
                <w:sz w:val="16"/>
                <w:szCs w:val="16"/>
                <w:lang w:val="en-GB" w:eastAsia="en-GB"/>
              </w:rPr>
              <w:sym w:font="Symbol" w:char="F02D"/>
            </w:r>
            <w:r w:rsidRPr="00AA3F92">
              <w:rPr>
                <w:rFonts w:ascii="Arial" w:hAnsi="Arial" w:cs="Arial"/>
                <w:sz w:val="16"/>
                <w:szCs w:val="16"/>
                <w:lang w:val="en-GB" w:eastAsia="en-GB"/>
              </w:rPr>
              <w:t>08</w:t>
            </w:r>
          </w:p>
        </w:tc>
        <w:tc>
          <w:tcPr>
            <w:tcW w:w="643" w:type="dxa"/>
            <w:shd w:val="clear" w:color="auto" w:fill="auto"/>
            <w:noWrap/>
            <w:vAlign w:val="bottom"/>
            <w:hideMark/>
          </w:tcPr>
          <w:p w14:paraId="7672063A"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74.25</w:t>
            </w:r>
          </w:p>
        </w:tc>
        <w:tc>
          <w:tcPr>
            <w:tcW w:w="459" w:type="dxa"/>
            <w:shd w:val="clear" w:color="auto" w:fill="auto"/>
            <w:noWrap/>
            <w:vAlign w:val="bottom"/>
            <w:hideMark/>
          </w:tcPr>
          <w:p w14:paraId="0F65DD1A"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25.15</w:t>
            </w:r>
          </w:p>
        </w:tc>
        <w:tc>
          <w:tcPr>
            <w:tcW w:w="588" w:type="dxa"/>
            <w:shd w:val="clear" w:color="auto" w:fill="auto"/>
            <w:noWrap/>
            <w:vAlign w:val="bottom"/>
            <w:hideMark/>
          </w:tcPr>
          <w:p w14:paraId="51DFF600"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0.08</w:t>
            </w:r>
          </w:p>
        </w:tc>
        <w:tc>
          <w:tcPr>
            <w:tcW w:w="731" w:type="dxa"/>
            <w:shd w:val="clear" w:color="auto" w:fill="auto"/>
            <w:noWrap/>
            <w:vAlign w:val="bottom"/>
            <w:hideMark/>
          </w:tcPr>
          <w:p w14:paraId="17ED49C0"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0.23</w:t>
            </w:r>
          </w:p>
        </w:tc>
        <w:tc>
          <w:tcPr>
            <w:tcW w:w="831" w:type="dxa"/>
            <w:shd w:val="clear" w:color="auto" w:fill="auto"/>
            <w:noWrap/>
            <w:vAlign w:val="bottom"/>
            <w:hideMark/>
          </w:tcPr>
          <w:p w14:paraId="053305DF"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0.13</w:t>
            </w:r>
          </w:p>
        </w:tc>
        <w:tc>
          <w:tcPr>
            <w:tcW w:w="810" w:type="dxa"/>
            <w:shd w:val="clear" w:color="auto" w:fill="auto"/>
            <w:noWrap/>
            <w:vAlign w:val="bottom"/>
            <w:hideMark/>
          </w:tcPr>
          <w:p w14:paraId="1174FB8E"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0.03</w:t>
            </w:r>
          </w:p>
        </w:tc>
        <w:tc>
          <w:tcPr>
            <w:tcW w:w="810" w:type="dxa"/>
            <w:shd w:val="clear" w:color="auto" w:fill="auto"/>
            <w:noWrap/>
            <w:vAlign w:val="bottom"/>
            <w:hideMark/>
          </w:tcPr>
          <w:p w14:paraId="4FE32B43"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0.03</w:t>
            </w:r>
          </w:p>
        </w:tc>
        <w:tc>
          <w:tcPr>
            <w:tcW w:w="720" w:type="dxa"/>
            <w:shd w:val="clear" w:color="auto" w:fill="auto"/>
            <w:noWrap/>
            <w:vAlign w:val="bottom"/>
            <w:hideMark/>
          </w:tcPr>
          <w:p w14:paraId="58FF776A"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0.03</w:t>
            </w:r>
          </w:p>
        </w:tc>
        <w:tc>
          <w:tcPr>
            <w:tcW w:w="450" w:type="dxa"/>
            <w:shd w:val="clear" w:color="auto" w:fill="auto"/>
            <w:noWrap/>
            <w:vAlign w:val="bottom"/>
            <w:hideMark/>
          </w:tcPr>
          <w:p w14:paraId="5B9501B0"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0.02</w:t>
            </w:r>
          </w:p>
        </w:tc>
        <w:tc>
          <w:tcPr>
            <w:tcW w:w="450" w:type="dxa"/>
            <w:shd w:val="clear" w:color="auto" w:fill="auto"/>
            <w:noWrap/>
            <w:vAlign w:val="bottom"/>
            <w:hideMark/>
          </w:tcPr>
          <w:p w14:paraId="7E6E9127"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0.02</w:t>
            </w:r>
          </w:p>
        </w:tc>
        <w:tc>
          <w:tcPr>
            <w:tcW w:w="900" w:type="dxa"/>
            <w:shd w:val="clear" w:color="auto" w:fill="auto"/>
            <w:noWrap/>
            <w:vAlign w:val="bottom"/>
            <w:hideMark/>
          </w:tcPr>
          <w:p w14:paraId="72C38BA9"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0.01</w:t>
            </w:r>
          </w:p>
        </w:tc>
        <w:tc>
          <w:tcPr>
            <w:tcW w:w="909" w:type="dxa"/>
            <w:shd w:val="clear" w:color="auto" w:fill="auto"/>
            <w:noWrap/>
            <w:vAlign w:val="bottom"/>
            <w:hideMark/>
          </w:tcPr>
          <w:p w14:paraId="52D1D465"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0.01</w:t>
            </w:r>
          </w:p>
        </w:tc>
        <w:tc>
          <w:tcPr>
            <w:tcW w:w="540" w:type="dxa"/>
            <w:shd w:val="clear" w:color="auto" w:fill="auto"/>
            <w:noWrap/>
            <w:vAlign w:val="bottom"/>
            <w:hideMark/>
          </w:tcPr>
          <w:p w14:paraId="56CE0639" w14:textId="77777777" w:rsidR="0026280E" w:rsidRPr="00AA3F92" w:rsidRDefault="0026280E" w:rsidP="0078103A">
            <w:pPr>
              <w:jc w:val="center"/>
              <w:rPr>
                <w:rFonts w:ascii="Arial" w:hAnsi="Arial" w:cs="Arial"/>
                <w:sz w:val="16"/>
                <w:szCs w:val="16"/>
                <w:lang w:val="en-GB" w:eastAsia="en-GB"/>
              </w:rPr>
            </w:pPr>
            <w:r w:rsidRPr="00AA3F92">
              <w:rPr>
                <w:rFonts w:ascii="Arial" w:hAnsi="Arial" w:cs="Arial"/>
                <w:sz w:val="16"/>
                <w:szCs w:val="16"/>
                <w:lang w:val="en-GB" w:eastAsia="en-GB"/>
              </w:rPr>
              <w:t>0.01</w:t>
            </w:r>
          </w:p>
        </w:tc>
      </w:tr>
    </w:tbl>
    <w:p w14:paraId="02B59F20" w14:textId="6795F752" w:rsidR="00A36B54" w:rsidRPr="00433C05" w:rsidRDefault="00A36B54" w:rsidP="00A36B54">
      <w:pPr>
        <w:jc w:val="both"/>
        <w:rPr>
          <w:rFonts w:ascii="Arial" w:hAnsi="Arial" w:cs="Arial"/>
          <w:lang w:val="en-GB"/>
        </w:rPr>
      </w:pPr>
      <w:r w:rsidRPr="00433C05">
        <w:rPr>
          <w:rFonts w:ascii="Arial" w:hAnsi="Arial" w:cs="Arial"/>
          <w:lang w:val="en-GB"/>
        </w:rPr>
        <w:t xml:space="preserve"> </w:t>
      </w:r>
    </w:p>
    <w:p w14:paraId="274C3E33" w14:textId="4B935540" w:rsidR="00AA3F92" w:rsidRDefault="00AA3F92" w:rsidP="007033E9">
      <w:pPr>
        <w:pStyle w:val="Footnote"/>
        <w:rPr>
          <w:lang w:val="en-GB"/>
        </w:rPr>
      </w:pPr>
      <w:r>
        <w:rPr>
          <w:lang w:val="en-GB"/>
        </w:rPr>
        <w:t>Note: Q2 = second quarter</w:t>
      </w:r>
      <w:r w:rsidR="002E6B15">
        <w:rPr>
          <w:lang w:val="en-GB"/>
        </w:rPr>
        <w:t>.</w:t>
      </w:r>
    </w:p>
    <w:p w14:paraId="0CA64C38" w14:textId="6E477768" w:rsidR="00A36B54" w:rsidRPr="00433C05" w:rsidRDefault="00A36B54" w:rsidP="007033E9">
      <w:pPr>
        <w:pStyle w:val="Footnote"/>
        <w:rPr>
          <w:lang w:val="en-GB"/>
        </w:rPr>
      </w:pPr>
      <w:r w:rsidRPr="00433C05">
        <w:rPr>
          <w:lang w:val="en-GB"/>
        </w:rPr>
        <w:t xml:space="preserve">Source: Mansoor Iqbal, “App </w:t>
      </w:r>
      <w:r w:rsidR="0078103A">
        <w:rPr>
          <w:lang w:val="en-GB"/>
        </w:rPr>
        <w:t>D</w:t>
      </w:r>
      <w:r w:rsidRPr="00433C05">
        <w:rPr>
          <w:lang w:val="en-GB"/>
        </w:rPr>
        <w:t xml:space="preserve">ownload and </w:t>
      </w:r>
      <w:r w:rsidR="0078103A">
        <w:rPr>
          <w:lang w:val="en-GB"/>
        </w:rPr>
        <w:t>U</w:t>
      </w:r>
      <w:r w:rsidRPr="00433C05">
        <w:rPr>
          <w:lang w:val="en-GB"/>
        </w:rPr>
        <w:t xml:space="preserve">sage </w:t>
      </w:r>
      <w:r w:rsidR="0078103A">
        <w:rPr>
          <w:lang w:val="en-GB"/>
        </w:rPr>
        <w:t>S</w:t>
      </w:r>
      <w:r w:rsidRPr="00433C05">
        <w:rPr>
          <w:lang w:val="en-GB"/>
        </w:rPr>
        <w:t xml:space="preserve">tatistics,” </w:t>
      </w:r>
      <w:r w:rsidRPr="0078103A">
        <w:rPr>
          <w:lang w:val="en-GB"/>
        </w:rPr>
        <w:t>Business of Apps</w:t>
      </w:r>
      <w:r w:rsidRPr="00433C05">
        <w:rPr>
          <w:lang w:val="en-GB"/>
        </w:rPr>
        <w:t xml:space="preserve">, October 9, 2020, accessed October 10, 2020, </w:t>
      </w:r>
      <w:r w:rsidR="007033E9" w:rsidRPr="0078103A">
        <w:rPr>
          <w:lang w:val="en-GB"/>
        </w:rPr>
        <w:t>https://www.businessofapps.com/data/app-statistics</w:t>
      </w:r>
      <w:r w:rsidR="0078103A">
        <w:rPr>
          <w:lang w:val="en-GB"/>
        </w:rPr>
        <w:t>.</w:t>
      </w:r>
    </w:p>
    <w:p w14:paraId="5A9CF65A" w14:textId="00D6C672" w:rsidR="007033E9" w:rsidRPr="00433C05" w:rsidRDefault="007033E9" w:rsidP="007033E9">
      <w:pPr>
        <w:pStyle w:val="Footnote"/>
        <w:rPr>
          <w:lang w:val="en-GB"/>
        </w:rPr>
      </w:pPr>
    </w:p>
    <w:p w14:paraId="4A87BD09" w14:textId="77777777" w:rsidR="007033E9" w:rsidRPr="00433C05" w:rsidRDefault="007033E9" w:rsidP="007033E9">
      <w:pPr>
        <w:pStyle w:val="Footnote"/>
        <w:rPr>
          <w:lang w:val="en-GB"/>
        </w:rPr>
      </w:pPr>
    </w:p>
    <w:p w14:paraId="62C6BFA9" w14:textId="179A32DB" w:rsidR="00A36B54" w:rsidRDefault="00A36B54" w:rsidP="007033E9">
      <w:pPr>
        <w:pStyle w:val="ExhibitHeading"/>
        <w:rPr>
          <w:lang w:val="en-GB"/>
        </w:rPr>
      </w:pPr>
      <w:r w:rsidRPr="00433C05">
        <w:rPr>
          <w:lang w:val="en-GB"/>
        </w:rPr>
        <w:t>EXHIBIT 4: GOOGLE PLAY AND APPLE</w:t>
      </w:r>
      <w:r w:rsidR="00A35206">
        <w:rPr>
          <w:lang w:val="en-GB"/>
        </w:rPr>
        <w:t>’s</w:t>
      </w:r>
      <w:r w:rsidRPr="00433C05">
        <w:rPr>
          <w:lang w:val="en-GB"/>
        </w:rPr>
        <w:t xml:space="preserve"> </w:t>
      </w:r>
      <w:r w:rsidR="00A35206">
        <w:rPr>
          <w:lang w:val="en-GB"/>
        </w:rPr>
        <w:t xml:space="preserve">App </w:t>
      </w:r>
      <w:r w:rsidRPr="00433C05">
        <w:rPr>
          <w:lang w:val="en-GB"/>
        </w:rPr>
        <w:t>STORE REVENUES</w:t>
      </w:r>
      <w:r w:rsidR="00606A81">
        <w:rPr>
          <w:lang w:val="en-GB"/>
        </w:rPr>
        <w:t>,</w:t>
      </w:r>
      <w:r w:rsidRPr="00433C05">
        <w:rPr>
          <w:lang w:val="en-GB"/>
        </w:rPr>
        <w:t xml:space="preserve"> 2018</w:t>
      </w:r>
      <w:r w:rsidR="00606A81">
        <w:rPr>
          <w:lang w:val="en-GB"/>
        </w:rPr>
        <w:t>–</w:t>
      </w:r>
      <w:r w:rsidRPr="00433C05">
        <w:rPr>
          <w:lang w:val="en-GB"/>
        </w:rPr>
        <w:t>2023</w:t>
      </w:r>
    </w:p>
    <w:p w14:paraId="119DBCD3" w14:textId="1EA769C2" w:rsidR="002164CE" w:rsidRDefault="00E93D3D" w:rsidP="007033E9">
      <w:pPr>
        <w:pStyle w:val="ExhibitHeading"/>
        <w:rPr>
          <w:lang w:val="en-GB"/>
        </w:rPr>
      </w:pPr>
      <w:r>
        <w:rPr>
          <w:noProof/>
        </w:rPr>
        <w:drawing>
          <wp:inline distT="0" distB="0" distL="0" distR="0" wp14:anchorId="17910674" wp14:editId="335417D8">
            <wp:extent cx="4676775" cy="2819400"/>
            <wp:effectExtent l="0" t="0" r="9525" b="0"/>
            <wp:docPr id="1" name="Picture 1" descr="Google Play, Apple App Store, and total app reven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2819400"/>
                    </a:xfrm>
                    <a:prstGeom prst="rect">
                      <a:avLst/>
                    </a:prstGeom>
                  </pic:spPr>
                </pic:pic>
              </a:graphicData>
            </a:graphic>
          </wp:inline>
        </w:drawing>
      </w:r>
    </w:p>
    <w:p w14:paraId="65410C65" w14:textId="77777777" w:rsidR="00E93D3D" w:rsidRDefault="00E93D3D" w:rsidP="007033E9">
      <w:pPr>
        <w:pStyle w:val="Footnote"/>
        <w:rPr>
          <w:lang w:val="en-GB"/>
        </w:rPr>
      </w:pPr>
    </w:p>
    <w:p w14:paraId="6D2F3DC4" w14:textId="55136CC8" w:rsidR="00A36B54" w:rsidRPr="00433C05" w:rsidRDefault="00A36B54" w:rsidP="007033E9">
      <w:pPr>
        <w:pStyle w:val="Footnote"/>
        <w:rPr>
          <w:lang w:val="en-GB"/>
        </w:rPr>
      </w:pPr>
      <w:r w:rsidRPr="00433C05">
        <w:rPr>
          <w:lang w:val="en-GB"/>
        </w:rPr>
        <w:t xml:space="preserve">Note: </w:t>
      </w:r>
      <w:r w:rsidR="00606A81">
        <w:rPr>
          <w:lang w:val="en-GB"/>
        </w:rPr>
        <w:t xml:space="preserve">FY = financial year; </w:t>
      </w:r>
      <w:r w:rsidR="00A35206">
        <w:rPr>
          <w:lang w:val="en-GB"/>
        </w:rPr>
        <w:t xml:space="preserve">app = mobile application; </w:t>
      </w:r>
      <w:r w:rsidRPr="00433C05">
        <w:rPr>
          <w:lang w:val="en-GB"/>
        </w:rPr>
        <w:t>user spending figures for 2019</w:t>
      </w:r>
      <w:r w:rsidR="00606A81">
        <w:rPr>
          <w:lang w:val="en-GB"/>
        </w:rPr>
        <w:t>–</w:t>
      </w:r>
      <w:r w:rsidRPr="00433C05">
        <w:rPr>
          <w:lang w:val="en-GB"/>
        </w:rPr>
        <w:t xml:space="preserve">2023 estimated assuming a </w:t>
      </w:r>
      <w:r w:rsidR="00606A81">
        <w:rPr>
          <w:lang w:val="en-GB"/>
        </w:rPr>
        <w:t>compound annual growth rate</w:t>
      </w:r>
      <w:r w:rsidRPr="00433C05">
        <w:rPr>
          <w:lang w:val="en-GB"/>
        </w:rPr>
        <w:t xml:space="preserve"> of 16.8</w:t>
      </w:r>
      <w:r w:rsidR="00606A81">
        <w:rPr>
          <w:lang w:val="en-GB"/>
        </w:rPr>
        <w:t xml:space="preserve"> per cent</w:t>
      </w:r>
      <w:r w:rsidR="002E6B15">
        <w:rPr>
          <w:lang w:val="en-GB"/>
        </w:rPr>
        <w:t>.</w:t>
      </w:r>
    </w:p>
    <w:p w14:paraId="4D2956A7" w14:textId="38BF10C2" w:rsidR="00C64F7C" w:rsidRPr="00433C05" w:rsidRDefault="00A36B54" w:rsidP="007033E9">
      <w:pPr>
        <w:pStyle w:val="Footnote"/>
        <w:rPr>
          <w:lang w:val="en-GB"/>
        </w:rPr>
      </w:pPr>
      <w:r w:rsidRPr="00433C05">
        <w:rPr>
          <w:lang w:val="en-GB"/>
        </w:rPr>
        <w:t xml:space="preserve">Source: Mansoor Iqbal, “App Revenue Statistics,” Business of Apps, July 30, 2020, accessed October 11, 2020, </w:t>
      </w:r>
      <w:r w:rsidR="004C26B9" w:rsidRPr="0078103A">
        <w:rPr>
          <w:lang w:val="en-GB"/>
        </w:rPr>
        <w:t>www.businessofapps.com/data/app-revenues</w:t>
      </w:r>
      <w:r w:rsidRPr="00433C05">
        <w:rPr>
          <w:lang w:val="en-GB"/>
        </w:rPr>
        <w:t>.</w:t>
      </w:r>
    </w:p>
    <w:p w14:paraId="71BD9A8F" w14:textId="77777777" w:rsidR="00C64F7C" w:rsidRPr="00433C05" w:rsidRDefault="00C64F7C">
      <w:pPr>
        <w:spacing w:after="200" w:line="276" w:lineRule="auto"/>
        <w:rPr>
          <w:rFonts w:ascii="Arial" w:hAnsi="Arial" w:cs="Arial"/>
          <w:sz w:val="17"/>
          <w:szCs w:val="17"/>
          <w:lang w:val="en-GB"/>
        </w:rPr>
      </w:pPr>
      <w:r w:rsidRPr="00433C05">
        <w:rPr>
          <w:lang w:val="en-GB"/>
        </w:rPr>
        <w:br w:type="page"/>
      </w:r>
    </w:p>
    <w:p w14:paraId="72993292" w14:textId="14F2AFE1" w:rsidR="00A36B54" w:rsidRPr="00433C05" w:rsidRDefault="00A36B54" w:rsidP="004B5C53">
      <w:pPr>
        <w:pStyle w:val="ExhibitHeading"/>
        <w:rPr>
          <w:lang w:val="en-GB"/>
        </w:rPr>
      </w:pPr>
      <w:r w:rsidRPr="00433C05">
        <w:rPr>
          <w:lang w:val="en-GB"/>
        </w:rPr>
        <w:lastRenderedPageBreak/>
        <w:t>EXHIBIT 5: PROPORTION OF FREE V</w:t>
      </w:r>
      <w:r w:rsidR="00606A81">
        <w:rPr>
          <w:lang w:val="en-GB"/>
        </w:rPr>
        <w:t>ersus</w:t>
      </w:r>
      <w:r w:rsidRPr="00433C05">
        <w:rPr>
          <w:lang w:val="en-GB"/>
        </w:rPr>
        <w:t xml:space="preserve"> PAID</w:t>
      </w:r>
      <w:r w:rsidR="00A35206">
        <w:rPr>
          <w:lang w:val="en-GB"/>
        </w:rPr>
        <w:t xml:space="preserve"> Mobile</w:t>
      </w:r>
      <w:r w:rsidRPr="00433C05">
        <w:rPr>
          <w:lang w:val="en-GB"/>
        </w:rPr>
        <w:t xml:space="preserve"> APP</w:t>
      </w:r>
      <w:r w:rsidR="00A35206">
        <w:rPr>
          <w:lang w:val="en-GB"/>
        </w:rPr>
        <w:t>lication</w:t>
      </w:r>
      <w:r w:rsidRPr="00433C05">
        <w:rPr>
          <w:lang w:val="en-GB"/>
        </w:rPr>
        <w:t>S ON GOOGLE PLAY</w:t>
      </w:r>
    </w:p>
    <w:p w14:paraId="486FCB89" w14:textId="77777777" w:rsidR="007033E9" w:rsidRPr="00433C05" w:rsidRDefault="007033E9" w:rsidP="00A36B54">
      <w:pPr>
        <w:rPr>
          <w:rFonts w:ascii="Arial" w:hAnsi="Arial" w:cs="Arial"/>
          <w:b/>
          <w:bCs/>
          <w:lang w:val="en-GB"/>
        </w:rPr>
      </w:pPr>
    </w:p>
    <w:tbl>
      <w:tblPr>
        <w:tblW w:w="5165" w:type="dxa"/>
        <w:jc w:val="center"/>
        <w:tblLook w:val="04A0" w:firstRow="1" w:lastRow="0" w:firstColumn="1" w:lastColumn="0" w:noHBand="0" w:noVBand="1"/>
        <w:tblCaption w:val="Exhibit 5"/>
        <w:tblDescription w:val="Month, free apps, and paid apps"/>
      </w:tblPr>
      <w:tblGrid>
        <w:gridCol w:w="2565"/>
        <w:gridCol w:w="1300"/>
        <w:gridCol w:w="1300"/>
      </w:tblGrid>
      <w:tr w:rsidR="00A36B54" w:rsidRPr="00475484" w14:paraId="342628AC" w14:textId="77777777" w:rsidTr="00E93D3D">
        <w:trPr>
          <w:trHeight w:val="320"/>
          <w:tblHeader/>
          <w:jc w:val="center"/>
        </w:trPr>
        <w:tc>
          <w:tcPr>
            <w:tcW w:w="25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5FD9A" w14:textId="77777777" w:rsidR="00A36B54" w:rsidRPr="004B5C53" w:rsidRDefault="00A36B54" w:rsidP="00613B53">
            <w:pPr>
              <w:jc w:val="center"/>
              <w:rPr>
                <w:rFonts w:ascii="Arial" w:hAnsi="Arial" w:cs="Arial"/>
                <w:b/>
                <w:bCs/>
                <w:color w:val="000000"/>
                <w:lang w:val="en-GB"/>
              </w:rPr>
            </w:pPr>
            <w:r w:rsidRPr="004B5C53">
              <w:rPr>
                <w:rFonts w:ascii="Arial" w:hAnsi="Arial" w:cs="Arial"/>
                <w:b/>
                <w:bCs/>
                <w:color w:val="000000"/>
                <w:lang w:val="en-GB"/>
              </w:rPr>
              <w:t>Month</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44EF2D0" w14:textId="3D521691" w:rsidR="00A36B54" w:rsidRPr="004B5C53" w:rsidRDefault="00A36B54" w:rsidP="004B5C53">
            <w:pPr>
              <w:jc w:val="center"/>
              <w:rPr>
                <w:rFonts w:ascii="Arial" w:hAnsi="Arial" w:cs="Arial"/>
                <w:b/>
                <w:bCs/>
                <w:color w:val="000000"/>
                <w:lang w:val="en-GB"/>
              </w:rPr>
            </w:pPr>
            <w:r w:rsidRPr="004B5C53">
              <w:rPr>
                <w:rFonts w:ascii="Arial" w:hAnsi="Arial" w:cs="Arial"/>
                <w:b/>
                <w:bCs/>
                <w:color w:val="000000"/>
                <w:lang w:val="en-GB"/>
              </w:rPr>
              <w:t xml:space="preserve">Free </w:t>
            </w:r>
            <w:r w:rsidR="00475484" w:rsidRPr="004B5C53">
              <w:rPr>
                <w:rFonts w:ascii="Arial" w:hAnsi="Arial" w:cs="Arial"/>
                <w:b/>
                <w:bCs/>
                <w:color w:val="000000"/>
                <w:lang w:val="en-GB"/>
              </w:rPr>
              <w:t>A</w:t>
            </w:r>
            <w:r w:rsidRPr="004B5C53">
              <w:rPr>
                <w:rFonts w:ascii="Arial" w:hAnsi="Arial" w:cs="Arial"/>
                <w:b/>
                <w:bCs/>
                <w:color w:val="000000"/>
                <w:lang w:val="en-GB"/>
              </w:rPr>
              <w:t>pps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3C5BE66" w14:textId="11388BA0" w:rsidR="00A36B54" w:rsidRPr="004B5C53" w:rsidRDefault="00A36B54" w:rsidP="004B5C53">
            <w:pPr>
              <w:jc w:val="center"/>
              <w:rPr>
                <w:rFonts w:ascii="Arial" w:hAnsi="Arial" w:cs="Arial"/>
                <w:b/>
                <w:bCs/>
                <w:color w:val="000000"/>
                <w:lang w:val="en-GB"/>
              </w:rPr>
            </w:pPr>
            <w:r w:rsidRPr="004B5C53">
              <w:rPr>
                <w:rFonts w:ascii="Arial" w:hAnsi="Arial" w:cs="Arial"/>
                <w:b/>
                <w:bCs/>
                <w:color w:val="000000"/>
                <w:lang w:val="en-GB"/>
              </w:rPr>
              <w:t xml:space="preserve">Paid </w:t>
            </w:r>
            <w:r w:rsidR="00475484" w:rsidRPr="004B5C53">
              <w:rPr>
                <w:rFonts w:ascii="Arial" w:hAnsi="Arial" w:cs="Arial"/>
                <w:b/>
                <w:bCs/>
                <w:color w:val="000000"/>
                <w:lang w:val="en-GB"/>
              </w:rPr>
              <w:t>A</w:t>
            </w:r>
            <w:r w:rsidRPr="004B5C53">
              <w:rPr>
                <w:rFonts w:ascii="Arial" w:hAnsi="Arial" w:cs="Arial"/>
                <w:b/>
                <w:bCs/>
                <w:color w:val="000000"/>
                <w:lang w:val="en-GB"/>
              </w:rPr>
              <w:t>pps</w:t>
            </w:r>
          </w:p>
        </w:tc>
      </w:tr>
      <w:tr w:rsidR="00A36B54" w:rsidRPr="00433C05" w14:paraId="012D4E8D" w14:textId="77777777" w:rsidTr="00E93D3D">
        <w:trPr>
          <w:trHeight w:val="320"/>
          <w:tblHeader/>
          <w:jc w:val="center"/>
        </w:trPr>
        <w:tc>
          <w:tcPr>
            <w:tcW w:w="2565" w:type="dxa"/>
            <w:tcBorders>
              <w:top w:val="nil"/>
              <w:left w:val="single" w:sz="4" w:space="0" w:color="auto"/>
              <w:bottom w:val="single" w:sz="4" w:space="0" w:color="auto"/>
              <w:right w:val="single" w:sz="4" w:space="0" w:color="auto"/>
            </w:tcBorders>
            <w:shd w:val="clear" w:color="auto" w:fill="auto"/>
            <w:noWrap/>
            <w:vAlign w:val="bottom"/>
            <w:hideMark/>
          </w:tcPr>
          <w:p w14:paraId="36F30B41" w14:textId="41512F86" w:rsidR="00A36B54" w:rsidRPr="00433C05" w:rsidRDefault="00A36B54" w:rsidP="004B5C53">
            <w:pPr>
              <w:rPr>
                <w:rFonts w:ascii="Arial" w:hAnsi="Arial" w:cs="Arial"/>
                <w:color w:val="000000"/>
                <w:lang w:val="en-GB"/>
              </w:rPr>
            </w:pPr>
            <w:r w:rsidRPr="00433C05">
              <w:rPr>
                <w:rFonts w:ascii="Arial" w:hAnsi="Arial" w:cs="Arial"/>
                <w:color w:val="000000"/>
                <w:lang w:val="en-GB"/>
              </w:rPr>
              <w:t>Jun</w:t>
            </w:r>
            <w:r w:rsidR="00475484">
              <w:rPr>
                <w:rFonts w:ascii="Arial" w:hAnsi="Arial" w:cs="Arial"/>
                <w:color w:val="000000"/>
                <w:lang w:val="en-GB"/>
              </w:rPr>
              <w:t>e 20</w:t>
            </w:r>
            <w:r w:rsidRPr="00433C05">
              <w:rPr>
                <w:rFonts w:ascii="Arial" w:hAnsi="Arial" w:cs="Arial"/>
                <w:color w:val="000000"/>
                <w:lang w:val="en-GB"/>
              </w:rPr>
              <w:t>19</w:t>
            </w:r>
          </w:p>
        </w:tc>
        <w:tc>
          <w:tcPr>
            <w:tcW w:w="1300" w:type="dxa"/>
            <w:tcBorders>
              <w:top w:val="nil"/>
              <w:left w:val="nil"/>
              <w:bottom w:val="single" w:sz="4" w:space="0" w:color="auto"/>
              <w:right w:val="single" w:sz="4" w:space="0" w:color="auto"/>
            </w:tcBorders>
            <w:shd w:val="clear" w:color="auto" w:fill="auto"/>
            <w:noWrap/>
            <w:vAlign w:val="bottom"/>
            <w:hideMark/>
          </w:tcPr>
          <w:p w14:paraId="25037C01" w14:textId="77777777" w:rsidR="00A36B54" w:rsidRPr="00433C05" w:rsidRDefault="00A36B54" w:rsidP="004B5C53">
            <w:pPr>
              <w:jc w:val="center"/>
              <w:rPr>
                <w:rFonts w:ascii="Arial" w:hAnsi="Arial" w:cs="Arial"/>
                <w:color w:val="000000"/>
                <w:lang w:val="en-GB"/>
              </w:rPr>
            </w:pPr>
            <w:r w:rsidRPr="00433C05">
              <w:rPr>
                <w:rFonts w:ascii="Arial" w:hAnsi="Arial" w:cs="Arial"/>
                <w:color w:val="000000"/>
                <w:lang w:val="en-GB"/>
              </w:rPr>
              <w:t>95.6</w:t>
            </w:r>
          </w:p>
        </w:tc>
        <w:tc>
          <w:tcPr>
            <w:tcW w:w="1300" w:type="dxa"/>
            <w:tcBorders>
              <w:top w:val="nil"/>
              <w:left w:val="nil"/>
              <w:bottom w:val="single" w:sz="4" w:space="0" w:color="auto"/>
              <w:right w:val="single" w:sz="4" w:space="0" w:color="auto"/>
            </w:tcBorders>
            <w:shd w:val="clear" w:color="auto" w:fill="auto"/>
            <w:noWrap/>
            <w:vAlign w:val="bottom"/>
            <w:hideMark/>
          </w:tcPr>
          <w:p w14:paraId="11B8FF78" w14:textId="77777777" w:rsidR="00A36B54" w:rsidRPr="00433C05" w:rsidRDefault="00A36B54" w:rsidP="004B5C53">
            <w:pPr>
              <w:jc w:val="center"/>
              <w:rPr>
                <w:rFonts w:ascii="Arial" w:hAnsi="Arial" w:cs="Arial"/>
                <w:color w:val="000000"/>
                <w:lang w:val="en-GB"/>
              </w:rPr>
            </w:pPr>
            <w:r w:rsidRPr="00433C05">
              <w:rPr>
                <w:rFonts w:ascii="Arial" w:hAnsi="Arial" w:cs="Arial"/>
                <w:color w:val="000000"/>
                <w:lang w:val="en-GB"/>
              </w:rPr>
              <w:t>4.4</w:t>
            </w:r>
          </w:p>
        </w:tc>
      </w:tr>
      <w:tr w:rsidR="00A36B54" w:rsidRPr="00433C05" w14:paraId="17C9CF44" w14:textId="77777777" w:rsidTr="00E93D3D">
        <w:trPr>
          <w:trHeight w:val="320"/>
          <w:tblHeader/>
          <w:jc w:val="center"/>
        </w:trPr>
        <w:tc>
          <w:tcPr>
            <w:tcW w:w="2565" w:type="dxa"/>
            <w:tcBorders>
              <w:top w:val="nil"/>
              <w:left w:val="single" w:sz="4" w:space="0" w:color="auto"/>
              <w:bottom w:val="single" w:sz="4" w:space="0" w:color="auto"/>
              <w:right w:val="single" w:sz="4" w:space="0" w:color="auto"/>
            </w:tcBorders>
            <w:shd w:val="clear" w:color="auto" w:fill="auto"/>
            <w:noWrap/>
            <w:vAlign w:val="bottom"/>
            <w:hideMark/>
          </w:tcPr>
          <w:p w14:paraId="422B344A" w14:textId="6298FC92" w:rsidR="00A36B54" w:rsidRPr="00433C05" w:rsidRDefault="00A36B54" w:rsidP="004B5C53">
            <w:pPr>
              <w:rPr>
                <w:rFonts w:ascii="Arial" w:hAnsi="Arial" w:cs="Arial"/>
                <w:color w:val="000000"/>
                <w:lang w:val="en-GB"/>
              </w:rPr>
            </w:pPr>
            <w:r w:rsidRPr="00433C05">
              <w:rPr>
                <w:rFonts w:ascii="Arial" w:hAnsi="Arial" w:cs="Arial"/>
                <w:color w:val="000000"/>
                <w:lang w:val="en-GB"/>
              </w:rPr>
              <w:t>Mar</w:t>
            </w:r>
            <w:r w:rsidR="00475484">
              <w:rPr>
                <w:rFonts w:ascii="Arial" w:hAnsi="Arial" w:cs="Arial"/>
                <w:color w:val="000000"/>
                <w:lang w:val="en-GB"/>
              </w:rPr>
              <w:t>ch 20</w:t>
            </w:r>
            <w:r w:rsidRPr="00433C05">
              <w:rPr>
                <w:rFonts w:ascii="Arial" w:hAnsi="Arial" w:cs="Arial"/>
                <w:color w:val="000000"/>
                <w:lang w:val="en-GB"/>
              </w:rPr>
              <w:t>20</w:t>
            </w:r>
          </w:p>
        </w:tc>
        <w:tc>
          <w:tcPr>
            <w:tcW w:w="1300" w:type="dxa"/>
            <w:tcBorders>
              <w:top w:val="nil"/>
              <w:left w:val="nil"/>
              <w:bottom w:val="single" w:sz="4" w:space="0" w:color="auto"/>
              <w:right w:val="single" w:sz="4" w:space="0" w:color="auto"/>
            </w:tcBorders>
            <w:shd w:val="clear" w:color="auto" w:fill="auto"/>
            <w:noWrap/>
            <w:vAlign w:val="bottom"/>
            <w:hideMark/>
          </w:tcPr>
          <w:p w14:paraId="0E81D626" w14:textId="77777777" w:rsidR="00A36B54" w:rsidRPr="00433C05" w:rsidRDefault="00A36B54" w:rsidP="004B5C53">
            <w:pPr>
              <w:jc w:val="center"/>
              <w:rPr>
                <w:rFonts w:ascii="Arial" w:hAnsi="Arial" w:cs="Arial"/>
                <w:color w:val="000000"/>
                <w:lang w:val="en-GB"/>
              </w:rPr>
            </w:pPr>
            <w:r w:rsidRPr="00433C05">
              <w:rPr>
                <w:rFonts w:ascii="Arial" w:hAnsi="Arial" w:cs="Arial"/>
                <w:color w:val="000000"/>
                <w:lang w:val="en-GB"/>
              </w:rPr>
              <w:t>96.3</w:t>
            </w:r>
          </w:p>
        </w:tc>
        <w:tc>
          <w:tcPr>
            <w:tcW w:w="1300" w:type="dxa"/>
            <w:tcBorders>
              <w:top w:val="nil"/>
              <w:left w:val="nil"/>
              <w:bottom w:val="single" w:sz="4" w:space="0" w:color="auto"/>
              <w:right w:val="single" w:sz="4" w:space="0" w:color="auto"/>
            </w:tcBorders>
            <w:shd w:val="clear" w:color="auto" w:fill="auto"/>
            <w:noWrap/>
            <w:vAlign w:val="bottom"/>
            <w:hideMark/>
          </w:tcPr>
          <w:p w14:paraId="260137E3" w14:textId="77777777" w:rsidR="00A36B54" w:rsidRPr="00433C05" w:rsidRDefault="00A36B54" w:rsidP="004B5C53">
            <w:pPr>
              <w:jc w:val="center"/>
              <w:rPr>
                <w:rFonts w:ascii="Arial" w:hAnsi="Arial" w:cs="Arial"/>
                <w:color w:val="000000"/>
                <w:lang w:val="en-GB"/>
              </w:rPr>
            </w:pPr>
            <w:r w:rsidRPr="00433C05">
              <w:rPr>
                <w:rFonts w:ascii="Arial" w:hAnsi="Arial" w:cs="Arial"/>
                <w:color w:val="000000"/>
                <w:lang w:val="en-GB"/>
              </w:rPr>
              <w:t>3.7</w:t>
            </w:r>
          </w:p>
        </w:tc>
      </w:tr>
      <w:tr w:rsidR="00A36B54" w:rsidRPr="00433C05" w14:paraId="6B1C5E14" w14:textId="77777777" w:rsidTr="00E93D3D">
        <w:trPr>
          <w:trHeight w:val="320"/>
          <w:tblHeader/>
          <w:jc w:val="center"/>
        </w:trPr>
        <w:tc>
          <w:tcPr>
            <w:tcW w:w="2565" w:type="dxa"/>
            <w:tcBorders>
              <w:top w:val="nil"/>
              <w:left w:val="single" w:sz="4" w:space="0" w:color="auto"/>
              <w:bottom w:val="single" w:sz="4" w:space="0" w:color="auto"/>
              <w:right w:val="single" w:sz="4" w:space="0" w:color="auto"/>
            </w:tcBorders>
            <w:shd w:val="clear" w:color="auto" w:fill="auto"/>
            <w:noWrap/>
            <w:vAlign w:val="bottom"/>
            <w:hideMark/>
          </w:tcPr>
          <w:p w14:paraId="34212857" w14:textId="221E6587" w:rsidR="00A36B54" w:rsidRPr="00433C05" w:rsidRDefault="00A36B54" w:rsidP="004B5C53">
            <w:pPr>
              <w:rPr>
                <w:rFonts w:ascii="Arial" w:hAnsi="Arial" w:cs="Arial"/>
                <w:color w:val="000000"/>
                <w:lang w:val="en-GB"/>
              </w:rPr>
            </w:pPr>
            <w:r w:rsidRPr="00433C05">
              <w:rPr>
                <w:rFonts w:ascii="Arial" w:hAnsi="Arial" w:cs="Arial"/>
                <w:color w:val="000000"/>
                <w:lang w:val="en-GB"/>
              </w:rPr>
              <w:t>Sep</w:t>
            </w:r>
            <w:r w:rsidR="00475484">
              <w:rPr>
                <w:rFonts w:ascii="Arial" w:hAnsi="Arial" w:cs="Arial"/>
                <w:color w:val="000000"/>
                <w:lang w:val="en-GB"/>
              </w:rPr>
              <w:t>tember 20</w:t>
            </w:r>
            <w:r w:rsidRPr="00433C05">
              <w:rPr>
                <w:rFonts w:ascii="Arial" w:hAnsi="Arial" w:cs="Arial"/>
                <w:color w:val="000000"/>
                <w:lang w:val="en-GB"/>
              </w:rPr>
              <w:t>20</w:t>
            </w:r>
          </w:p>
        </w:tc>
        <w:tc>
          <w:tcPr>
            <w:tcW w:w="1300" w:type="dxa"/>
            <w:tcBorders>
              <w:top w:val="nil"/>
              <w:left w:val="nil"/>
              <w:bottom w:val="single" w:sz="4" w:space="0" w:color="auto"/>
              <w:right w:val="single" w:sz="4" w:space="0" w:color="auto"/>
            </w:tcBorders>
            <w:shd w:val="clear" w:color="auto" w:fill="auto"/>
            <w:noWrap/>
            <w:vAlign w:val="bottom"/>
            <w:hideMark/>
          </w:tcPr>
          <w:p w14:paraId="771553C4" w14:textId="77777777" w:rsidR="00A36B54" w:rsidRPr="00433C05" w:rsidRDefault="00A36B54" w:rsidP="004B5C53">
            <w:pPr>
              <w:jc w:val="center"/>
              <w:rPr>
                <w:rFonts w:ascii="Arial" w:hAnsi="Arial" w:cs="Arial"/>
                <w:color w:val="000000"/>
                <w:lang w:val="en-GB"/>
              </w:rPr>
            </w:pPr>
            <w:r w:rsidRPr="00433C05">
              <w:rPr>
                <w:rFonts w:ascii="Arial" w:hAnsi="Arial" w:cs="Arial"/>
                <w:color w:val="000000"/>
                <w:lang w:val="en-GB"/>
              </w:rPr>
              <w:t>96.5</w:t>
            </w:r>
          </w:p>
        </w:tc>
        <w:tc>
          <w:tcPr>
            <w:tcW w:w="1300" w:type="dxa"/>
            <w:tcBorders>
              <w:top w:val="nil"/>
              <w:left w:val="nil"/>
              <w:bottom w:val="single" w:sz="4" w:space="0" w:color="auto"/>
              <w:right w:val="single" w:sz="4" w:space="0" w:color="auto"/>
            </w:tcBorders>
            <w:shd w:val="clear" w:color="auto" w:fill="auto"/>
            <w:noWrap/>
            <w:vAlign w:val="bottom"/>
            <w:hideMark/>
          </w:tcPr>
          <w:p w14:paraId="083B6EF5" w14:textId="77777777" w:rsidR="00A36B54" w:rsidRPr="00433C05" w:rsidRDefault="00A36B54" w:rsidP="004B5C53">
            <w:pPr>
              <w:jc w:val="center"/>
              <w:rPr>
                <w:rFonts w:ascii="Arial" w:hAnsi="Arial" w:cs="Arial"/>
                <w:color w:val="000000"/>
                <w:lang w:val="en-GB"/>
              </w:rPr>
            </w:pPr>
            <w:r w:rsidRPr="00433C05">
              <w:rPr>
                <w:rFonts w:ascii="Arial" w:hAnsi="Arial" w:cs="Arial"/>
                <w:color w:val="000000"/>
                <w:lang w:val="en-GB"/>
              </w:rPr>
              <w:t>3.5</w:t>
            </w:r>
          </w:p>
        </w:tc>
      </w:tr>
    </w:tbl>
    <w:p w14:paraId="3A52247F" w14:textId="77777777" w:rsidR="00A36B54" w:rsidRPr="00433C05" w:rsidRDefault="00A36B54" w:rsidP="00A36B54">
      <w:pPr>
        <w:rPr>
          <w:rFonts w:ascii="Arial" w:hAnsi="Arial" w:cs="Arial"/>
          <w:b/>
          <w:bCs/>
          <w:lang w:val="en-GB"/>
        </w:rPr>
      </w:pPr>
    </w:p>
    <w:p w14:paraId="3D8564D8" w14:textId="1D2F7BB4" w:rsidR="00A35206" w:rsidRDefault="00A35206" w:rsidP="00A35206">
      <w:pPr>
        <w:pStyle w:val="Footnote"/>
        <w:rPr>
          <w:lang w:val="en-GB"/>
        </w:rPr>
      </w:pPr>
      <w:r>
        <w:rPr>
          <w:lang w:val="en-GB"/>
        </w:rPr>
        <w:t>Note: apps = mobile applications</w:t>
      </w:r>
    </w:p>
    <w:p w14:paraId="7C4EE018" w14:textId="2C322C57" w:rsidR="00A36B54" w:rsidRPr="00A35206" w:rsidRDefault="00A36B54" w:rsidP="007033E9">
      <w:pPr>
        <w:pStyle w:val="Footnote"/>
        <w:rPr>
          <w:lang w:val="en-GB"/>
        </w:rPr>
      </w:pPr>
      <w:r w:rsidRPr="00E63A8C">
        <w:rPr>
          <w:lang w:val="en-GB"/>
        </w:rPr>
        <w:t xml:space="preserve">Source: </w:t>
      </w:r>
      <w:r w:rsidRPr="00A35206">
        <w:rPr>
          <w:lang w:val="en-GB"/>
        </w:rPr>
        <w:t xml:space="preserve">J. Clement, “Distribution of </w:t>
      </w:r>
      <w:r w:rsidR="00475484" w:rsidRPr="00A35206">
        <w:rPr>
          <w:lang w:val="en-GB"/>
        </w:rPr>
        <w:t>F</w:t>
      </w:r>
      <w:r w:rsidRPr="00A35206">
        <w:rPr>
          <w:lang w:val="en-GB"/>
        </w:rPr>
        <w:t xml:space="preserve">ree and </w:t>
      </w:r>
      <w:r w:rsidR="00475484" w:rsidRPr="00A35206">
        <w:rPr>
          <w:lang w:val="en-GB"/>
        </w:rPr>
        <w:t>P</w:t>
      </w:r>
      <w:r w:rsidRPr="00A35206">
        <w:rPr>
          <w:lang w:val="en-GB"/>
        </w:rPr>
        <w:t xml:space="preserve">aid Android </w:t>
      </w:r>
      <w:r w:rsidR="00475484" w:rsidRPr="00A35206">
        <w:rPr>
          <w:lang w:val="en-GB"/>
        </w:rPr>
        <w:t>A</w:t>
      </w:r>
      <w:r w:rsidRPr="00A35206">
        <w:rPr>
          <w:lang w:val="en-GB"/>
        </w:rPr>
        <w:t>pps in the Google Play Store as of September 2020,” Statista, September 25, 2020, accessed October 10, 2020, www.statista.com/statistics/266211/distribution-of-free-and-paid-android-apps</w:t>
      </w:r>
      <w:r w:rsidR="00475484" w:rsidRPr="00A35206">
        <w:rPr>
          <w:lang w:val="en-GB"/>
        </w:rPr>
        <w:t>.</w:t>
      </w:r>
    </w:p>
    <w:p w14:paraId="78F7EF41" w14:textId="77777777" w:rsidR="00A36B54" w:rsidRPr="00433C05" w:rsidRDefault="00A36B54" w:rsidP="007033E9">
      <w:pPr>
        <w:pStyle w:val="BodyTextMain"/>
        <w:rPr>
          <w:lang w:val="en-GB"/>
        </w:rPr>
      </w:pPr>
    </w:p>
    <w:p w14:paraId="5AA2783D" w14:textId="77777777" w:rsidR="00A36B54" w:rsidRPr="00433C05" w:rsidRDefault="00A36B54" w:rsidP="007033E9">
      <w:pPr>
        <w:pStyle w:val="BodyTextMain"/>
        <w:rPr>
          <w:lang w:val="en-GB"/>
        </w:rPr>
      </w:pPr>
    </w:p>
    <w:p w14:paraId="79C20CE6" w14:textId="1BDBBFD4" w:rsidR="00A36B54" w:rsidRPr="00433C05" w:rsidRDefault="00A36B54" w:rsidP="004B5C53">
      <w:pPr>
        <w:pStyle w:val="ExhibitHeading"/>
        <w:rPr>
          <w:lang w:val="en-GB"/>
        </w:rPr>
      </w:pPr>
      <w:r w:rsidRPr="00433C05">
        <w:rPr>
          <w:lang w:val="en-GB"/>
        </w:rPr>
        <w:t>EXHIBIT 6: BUSINESS MODEL</w:t>
      </w:r>
      <w:r w:rsidR="00645B37">
        <w:rPr>
          <w:lang w:val="en-GB"/>
        </w:rPr>
        <w:t xml:space="preserve"> Options Available to</w:t>
      </w:r>
      <w:r w:rsidRPr="00433C05">
        <w:rPr>
          <w:lang w:val="en-GB"/>
        </w:rPr>
        <w:t xml:space="preserve"> </w:t>
      </w:r>
      <w:r w:rsidR="00A35206">
        <w:rPr>
          <w:lang w:val="en-GB"/>
        </w:rPr>
        <w:t>Mobile</w:t>
      </w:r>
      <w:r w:rsidR="00A35206" w:rsidRPr="00433C05">
        <w:rPr>
          <w:lang w:val="en-GB"/>
        </w:rPr>
        <w:t xml:space="preserve"> </w:t>
      </w:r>
      <w:r w:rsidRPr="00433C05">
        <w:rPr>
          <w:lang w:val="en-GB"/>
        </w:rPr>
        <w:t>APP</w:t>
      </w:r>
      <w:r w:rsidR="00A35206">
        <w:rPr>
          <w:lang w:val="en-GB"/>
        </w:rPr>
        <w:t>lication</w:t>
      </w:r>
      <w:r w:rsidRPr="00433C05">
        <w:rPr>
          <w:lang w:val="en-GB"/>
        </w:rPr>
        <w:t xml:space="preserve"> DEVELOPERS</w:t>
      </w:r>
    </w:p>
    <w:p w14:paraId="2E683E40" w14:textId="715DEAA8" w:rsidR="007033E9" w:rsidRPr="00433C05" w:rsidRDefault="00E93D3D" w:rsidP="00E93D3D">
      <w:pPr>
        <w:jc w:val="center"/>
        <w:rPr>
          <w:rFonts w:ascii="Arial" w:hAnsi="Arial" w:cs="Arial"/>
          <w:b/>
          <w:bCs/>
          <w:lang w:val="en-GB"/>
        </w:rPr>
      </w:pPr>
      <w:r>
        <w:rPr>
          <w:noProof/>
        </w:rPr>
        <w:drawing>
          <wp:inline distT="0" distB="0" distL="0" distR="0" wp14:anchorId="3B001D7A" wp14:editId="5E0EB2A4">
            <wp:extent cx="5648325" cy="3057525"/>
            <wp:effectExtent l="0" t="0" r="9525" b="9525"/>
            <wp:docPr id="7" name="Picture 7" descr="Business model options available to mobile application 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325" cy="3057525"/>
                    </a:xfrm>
                    <a:prstGeom prst="rect">
                      <a:avLst/>
                    </a:prstGeom>
                  </pic:spPr>
                </pic:pic>
              </a:graphicData>
            </a:graphic>
          </wp:inline>
        </w:drawing>
      </w:r>
    </w:p>
    <w:p w14:paraId="1B5E0C7E" w14:textId="07779DDF" w:rsidR="00A35206" w:rsidRDefault="00A35206" w:rsidP="00A35206">
      <w:pPr>
        <w:pStyle w:val="Footnote"/>
        <w:rPr>
          <w:lang w:val="en-GB"/>
        </w:rPr>
      </w:pPr>
      <w:r>
        <w:rPr>
          <w:lang w:val="en-GB"/>
        </w:rPr>
        <w:t>Note: app = mobile application</w:t>
      </w:r>
    </w:p>
    <w:p w14:paraId="54302EEB" w14:textId="3C16A235" w:rsidR="00A36B54" w:rsidRPr="00433C05" w:rsidRDefault="00A36B54" w:rsidP="007033E9">
      <w:pPr>
        <w:pStyle w:val="Footnote"/>
        <w:rPr>
          <w:lang w:val="en-GB"/>
        </w:rPr>
      </w:pPr>
      <w:r w:rsidRPr="00433C05">
        <w:rPr>
          <w:lang w:val="en-GB"/>
        </w:rPr>
        <w:t>Source: Adapted from “Choosing a Business Model</w:t>
      </w:r>
      <w:r w:rsidR="00645B37">
        <w:rPr>
          <w:lang w:val="en-GB"/>
        </w:rPr>
        <w:t>,</w:t>
      </w:r>
      <w:r w:rsidRPr="00433C05">
        <w:rPr>
          <w:lang w:val="en-GB"/>
        </w:rPr>
        <w:t>”</w:t>
      </w:r>
      <w:r w:rsidR="00645B37">
        <w:rPr>
          <w:lang w:val="en-GB"/>
        </w:rPr>
        <w:t xml:space="preserve"> Apple Inc.</w:t>
      </w:r>
      <w:r w:rsidRPr="00433C05">
        <w:rPr>
          <w:lang w:val="en-GB"/>
        </w:rPr>
        <w:t xml:space="preserve">, accessed October 9, 2020, </w:t>
      </w:r>
      <w:r w:rsidRPr="0078103A">
        <w:rPr>
          <w:lang w:val="en-GB"/>
        </w:rPr>
        <w:t>https://developer.apple.com/app-store/business-models</w:t>
      </w:r>
      <w:r w:rsidRPr="00433C05">
        <w:rPr>
          <w:lang w:val="en-GB"/>
        </w:rPr>
        <w:t xml:space="preserve">; Kamil Franek, “How Google </w:t>
      </w:r>
      <w:r w:rsidR="00645B37">
        <w:rPr>
          <w:lang w:val="en-GB"/>
        </w:rPr>
        <w:t>M</w:t>
      </w:r>
      <w:r w:rsidRPr="00433C05">
        <w:rPr>
          <w:lang w:val="en-GB"/>
        </w:rPr>
        <w:t xml:space="preserve">akes </w:t>
      </w:r>
      <w:r w:rsidR="00645B37">
        <w:rPr>
          <w:lang w:val="en-GB"/>
        </w:rPr>
        <w:t>M</w:t>
      </w:r>
      <w:r w:rsidRPr="00433C05">
        <w:rPr>
          <w:lang w:val="en-GB"/>
        </w:rPr>
        <w:t xml:space="preserve">oney from Android: Business Model </w:t>
      </w:r>
      <w:r w:rsidR="00645B37">
        <w:rPr>
          <w:lang w:val="en-GB"/>
        </w:rPr>
        <w:t>E</w:t>
      </w:r>
      <w:r w:rsidRPr="00433C05">
        <w:rPr>
          <w:lang w:val="en-GB"/>
        </w:rPr>
        <w:t xml:space="preserve">xplained,” </w:t>
      </w:r>
      <w:r w:rsidR="00645B37">
        <w:rPr>
          <w:lang w:val="en-GB"/>
        </w:rPr>
        <w:t xml:space="preserve">Kamil Franek, </w:t>
      </w:r>
      <w:r w:rsidRPr="00433C05">
        <w:rPr>
          <w:lang w:val="en-GB"/>
        </w:rPr>
        <w:t xml:space="preserve">accessed October 9, 2020, www.kamilfranek.com/how-google-makes-money-from-android. </w:t>
      </w:r>
    </w:p>
    <w:p w14:paraId="5784C03E" w14:textId="77777777" w:rsidR="00A36B54" w:rsidRPr="00433C05" w:rsidRDefault="00A36B54" w:rsidP="00A36B54">
      <w:pPr>
        <w:rPr>
          <w:rFonts w:ascii="Arial" w:hAnsi="Arial" w:cs="Arial"/>
          <w:lang w:val="en-GB"/>
        </w:rPr>
      </w:pPr>
    </w:p>
    <w:p w14:paraId="4F2B9FC2" w14:textId="77777777" w:rsidR="007033E9" w:rsidRPr="00433C05" w:rsidRDefault="007033E9">
      <w:pPr>
        <w:spacing w:after="200" w:line="276" w:lineRule="auto"/>
        <w:rPr>
          <w:rFonts w:ascii="Arial" w:hAnsi="Arial" w:cs="Arial"/>
          <w:b/>
          <w:bCs/>
          <w:lang w:val="en-GB"/>
        </w:rPr>
      </w:pPr>
      <w:r w:rsidRPr="00433C05">
        <w:rPr>
          <w:rFonts w:ascii="Arial" w:hAnsi="Arial" w:cs="Arial"/>
          <w:b/>
          <w:bCs/>
          <w:lang w:val="en-GB"/>
        </w:rPr>
        <w:br w:type="page"/>
      </w:r>
    </w:p>
    <w:p w14:paraId="1ACFE052" w14:textId="7A0D090D" w:rsidR="00A36B54" w:rsidRPr="00433C05" w:rsidRDefault="00A36B54" w:rsidP="004B5C53">
      <w:pPr>
        <w:pStyle w:val="ExhibitHeading"/>
        <w:rPr>
          <w:lang w:val="en-GB"/>
        </w:rPr>
      </w:pPr>
      <w:r w:rsidRPr="00433C05">
        <w:rPr>
          <w:lang w:val="en-GB"/>
        </w:rPr>
        <w:lastRenderedPageBreak/>
        <w:t xml:space="preserve">EXHIBIT 7: </w:t>
      </w:r>
      <w:r w:rsidR="0075044C">
        <w:rPr>
          <w:lang w:val="en-GB"/>
        </w:rPr>
        <w:t>Various</w:t>
      </w:r>
      <w:r w:rsidR="0075044C" w:rsidRPr="00433C05">
        <w:rPr>
          <w:lang w:val="en-GB"/>
        </w:rPr>
        <w:t xml:space="preserve"> </w:t>
      </w:r>
      <w:r w:rsidRPr="00433C05">
        <w:rPr>
          <w:lang w:val="en-GB"/>
        </w:rPr>
        <w:t xml:space="preserve">APP MONETIZATION METHODS AND </w:t>
      </w:r>
      <w:r w:rsidR="00503E2A">
        <w:rPr>
          <w:lang w:val="en-GB"/>
        </w:rPr>
        <w:t xml:space="preserve">Their </w:t>
      </w:r>
      <w:r w:rsidRPr="00433C05">
        <w:rPr>
          <w:lang w:val="en-GB"/>
        </w:rPr>
        <w:t>EFFECTIVENESS</w:t>
      </w:r>
      <w:r w:rsidR="0075044C">
        <w:rPr>
          <w:lang w:val="en-GB"/>
        </w:rPr>
        <w:t xml:space="preserve"> </w:t>
      </w:r>
      <w:r w:rsidR="0075044C">
        <w:rPr>
          <w:lang w:val="en-GB"/>
        </w:rPr>
        <w:br/>
        <w:t>(According to Developer Perception)</w:t>
      </w:r>
    </w:p>
    <w:p w14:paraId="2F243D70" w14:textId="77777777" w:rsidR="007033E9" w:rsidRPr="00433C05" w:rsidRDefault="007033E9" w:rsidP="00A36B54">
      <w:pPr>
        <w:rPr>
          <w:rFonts w:ascii="Arial" w:hAnsi="Arial" w:cs="Arial"/>
          <w:b/>
          <w:bCs/>
          <w:lang w:val="en-GB"/>
        </w:rPr>
      </w:pPr>
    </w:p>
    <w:tbl>
      <w:tblPr>
        <w:tblW w:w="7003" w:type="dxa"/>
        <w:jc w:val="center"/>
        <w:tblLook w:val="04A0" w:firstRow="1" w:lastRow="0" w:firstColumn="1" w:lastColumn="0" w:noHBand="0" w:noVBand="1"/>
        <w:tblCaption w:val="Exhibit 7"/>
        <w:tblDescription w:val="Various app monetization methods and their effectiveness (according to developer perception)"/>
      </w:tblPr>
      <w:tblGrid>
        <w:gridCol w:w="3604"/>
        <w:gridCol w:w="3399"/>
      </w:tblGrid>
      <w:tr w:rsidR="00A36B54" w:rsidRPr="00645B37" w14:paraId="29336E78" w14:textId="77777777" w:rsidTr="00613B53">
        <w:trPr>
          <w:trHeight w:val="411"/>
          <w:jc w:val="center"/>
        </w:trPr>
        <w:tc>
          <w:tcPr>
            <w:tcW w:w="36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D5C71" w14:textId="523D52EA" w:rsidR="00A36B54" w:rsidRPr="00E63A8C" w:rsidRDefault="00A36B54" w:rsidP="00613B53">
            <w:pPr>
              <w:jc w:val="center"/>
              <w:rPr>
                <w:rFonts w:ascii="Arial" w:hAnsi="Arial" w:cs="Arial"/>
                <w:b/>
                <w:bCs/>
                <w:color w:val="000000"/>
                <w:lang w:val="en-GB"/>
              </w:rPr>
            </w:pPr>
            <w:bookmarkStart w:id="4" w:name="_GoBack"/>
            <w:r w:rsidRPr="00E63A8C">
              <w:rPr>
                <w:rFonts w:ascii="Arial" w:hAnsi="Arial" w:cs="Arial"/>
                <w:b/>
                <w:bCs/>
                <w:color w:val="000000"/>
                <w:lang w:val="en-GB"/>
              </w:rPr>
              <w:t xml:space="preserve">Monetization </w:t>
            </w:r>
            <w:r w:rsidR="00645B37" w:rsidRPr="00E63A8C">
              <w:rPr>
                <w:rFonts w:ascii="Arial" w:hAnsi="Arial" w:cs="Arial"/>
                <w:b/>
                <w:bCs/>
                <w:color w:val="000000"/>
                <w:lang w:val="en-GB"/>
              </w:rPr>
              <w:t>M</w:t>
            </w:r>
            <w:r w:rsidRPr="00E63A8C">
              <w:rPr>
                <w:rFonts w:ascii="Arial" w:hAnsi="Arial" w:cs="Arial"/>
                <w:b/>
                <w:bCs/>
                <w:color w:val="000000"/>
                <w:lang w:val="en-GB"/>
              </w:rPr>
              <w:t>ethod</w:t>
            </w:r>
          </w:p>
        </w:tc>
        <w:tc>
          <w:tcPr>
            <w:tcW w:w="3399" w:type="dxa"/>
            <w:tcBorders>
              <w:top w:val="single" w:sz="4" w:space="0" w:color="auto"/>
              <w:left w:val="nil"/>
              <w:bottom w:val="single" w:sz="4" w:space="0" w:color="auto"/>
              <w:right w:val="single" w:sz="4" w:space="0" w:color="auto"/>
            </w:tcBorders>
            <w:shd w:val="clear" w:color="auto" w:fill="auto"/>
            <w:vAlign w:val="center"/>
            <w:hideMark/>
          </w:tcPr>
          <w:p w14:paraId="4E302CCC" w14:textId="26BD4ED4" w:rsidR="00A36B54" w:rsidRPr="00E63A8C" w:rsidRDefault="00A36B54" w:rsidP="00F07405">
            <w:pPr>
              <w:jc w:val="center"/>
              <w:rPr>
                <w:rFonts w:ascii="Arial" w:hAnsi="Arial" w:cs="Arial"/>
                <w:b/>
                <w:bCs/>
                <w:color w:val="000000"/>
                <w:lang w:val="en-GB"/>
              </w:rPr>
            </w:pPr>
            <w:r w:rsidRPr="00E63A8C">
              <w:rPr>
                <w:rFonts w:ascii="Arial" w:hAnsi="Arial" w:cs="Arial"/>
                <w:b/>
                <w:bCs/>
                <w:color w:val="000000"/>
                <w:lang w:val="en-GB"/>
              </w:rPr>
              <w:t xml:space="preserve">Effectiveness </w:t>
            </w:r>
            <w:r w:rsidR="00645B37" w:rsidRPr="00E63A8C">
              <w:rPr>
                <w:rFonts w:ascii="Arial" w:hAnsi="Arial" w:cs="Arial"/>
                <w:b/>
                <w:bCs/>
                <w:color w:val="000000"/>
                <w:lang w:val="en-GB"/>
              </w:rPr>
              <w:t>of</w:t>
            </w:r>
            <w:r w:rsidRPr="00E63A8C">
              <w:rPr>
                <w:rFonts w:ascii="Arial" w:hAnsi="Arial" w:cs="Arial"/>
                <w:b/>
                <w:bCs/>
                <w:color w:val="000000"/>
                <w:lang w:val="en-GB"/>
              </w:rPr>
              <w:t xml:space="preserve"> </w:t>
            </w:r>
            <w:r w:rsidR="00645B37" w:rsidRPr="00E63A8C">
              <w:rPr>
                <w:rFonts w:ascii="Arial" w:hAnsi="Arial" w:cs="Arial"/>
                <w:b/>
                <w:bCs/>
                <w:color w:val="000000"/>
                <w:lang w:val="en-GB"/>
              </w:rPr>
              <w:t>M</w:t>
            </w:r>
            <w:r w:rsidRPr="00E63A8C">
              <w:rPr>
                <w:rFonts w:ascii="Arial" w:hAnsi="Arial" w:cs="Arial"/>
                <w:b/>
                <w:bCs/>
                <w:color w:val="000000"/>
                <w:lang w:val="en-GB"/>
              </w:rPr>
              <w:t xml:space="preserve">onetization </w:t>
            </w:r>
            <w:r w:rsidR="00645B37" w:rsidRPr="00E63A8C">
              <w:rPr>
                <w:rFonts w:ascii="Arial" w:hAnsi="Arial" w:cs="Arial"/>
                <w:b/>
                <w:bCs/>
                <w:color w:val="000000"/>
                <w:lang w:val="en-GB"/>
              </w:rPr>
              <w:br/>
            </w:r>
            <w:r w:rsidRPr="00E63A8C">
              <w:rPr>
                <w:rFonts w:ascii="Arial" w:hAnsi="Arial" w:cs="Arial"/>
                <w:b/>
                <w:bCs/>
                <w:color w:val="000000"/>
                <w:lang w:val="en-GB"/>
              </w:rPr>
              <w:t>(</w:t>
            </w:r>
            <w:r w:rsidR="00645B37" w:rsidRPr="00E63A8C">
              <w:rPr>
                <w:rFonts w:ascii="Arial" w:hAnsi="Arial" w:cs="Arial"/>
                <w:b/>
                <w:bCs/>
                <w:color w:val="000000"/>
                <w:lang w:val="en-GB"/>
              </w:rPr>
              <w:t>Percentage of</w:t>
            </w:r>
            <w:r w:rsidRPr="00E63A8C">
              <w:rPr>
                <w:rFonts w:ascii="Arial" w:hAnsi="Arial" w:cs="Arial"/>
                <w:b/>
                <w:bCs/>
                <w:color w:val="000000"/>
                <w:lang w:val="en-GB"/>
              </w:rPr>
              <w:t xml:space="preserve"> </w:t>
            </w:r>
            <w:r w:rsidR="00645B37" w:rsidRPr="00E63A8C">
              <w:rPr>
                <w:rFonts w:ascii="Arial" w:hAnsi="Arial" w:cs="Arial"/>
                <w:b/>
                <w:bCs/>
                <w:color w:val="000000"/>
                <w:lang w:val="en-GB"/>
              </w:rPr>
              <w:t>R</w:t>
            </w:r>
            <w:r w:rsidRPr="00E63A8C">
              <w:rPr>
                <w:rFonts w:ascii="Arial" w:hAnsi="Arial" w:cs="Arial"/>
                <w:b/>
                <w:bCs/>
                <w:color w:val="000000"/>
                <w:lang w:val="en-GB"/>
              </w:rPr>
              <w:t>espondents)</w:t>
            </w:r>
          </w:p>
        </w:tc>
      </w:tr>
      <w:tr w:rsidR="00A36B54" w:rsidRPr="00433C05" w14:paraId="7D9C5CFC" w14:textId="77777777" w:rsidTr="00E63A8C">
        <w:trPr>
          <w:trHeight w:val="249"/>
          <w:jc w:val="center"/>
        </w:trPr>
        <w:tc>
          <w:tcPr>
            <w:tcW w:w="3604" w:type="dxa"/>
            <w:tcBorders>
              <w:top w:val="nil"/>
              <w:left w:val="single" w:sz="4" w:space="0" w:color="auto"/>
              <w:bottom w:val="single" w:sz="4" w:space="0" w:color="auto"/>
              <w:right w:val="single" w:sz="4" w:space="0" w:color="auto"/>
            </w:tcBorders>
            <w:shd w:val="clear" w:color="auto" w:fill="auto"/>
            <w:vAlign w:val="bottom"/>
            <w:hideMark/>
          </w:tcPr>
          <w:p w14:paraId="3521BBB3" w14:textId="74C538A1" w:rsidR="00A36B54" w:rsidRPr="00433C05" w:rsidRDefault="00A36B54" w:rsidP="00A36B54">
            <w:pPr>
              <w:rPr>
                <w:rFonts w:ascii="Arial" w:hAnsi="Arial" w:cs="Arial"/>
                <w:color w:val="000000"/>
                <w:lang w:val="en-GB"/>
              </w:rPr>
            </w:pPr>
            <w:r w:rsidRPr="00433C05">
              <w:rPr>
                <w:rFonts w:ascii="Arial" w:hAnsi="Arial" w:cs="Arial"/>
                <w:color w:val="000000"/>
                <w:lang w:val="en-GB"/>
              </w:rPr>
              <w:t xml:space="preserve">Rewarded </w:t>
            </w:r>
            <w:r w:rsidR="00645B37">
              <w:rPr>
                <w:rFonts w:ascii="Arial" w:hAnsi="Arial" w:cs="Arial"/>
                <w:color w:val="000000"/>
                <w:lang w:val="en-GB"/>
              </w:rPr>
              <w:t>v</w:t>
            </w:r>
            <w:r w:rsidRPr="00433C05">
              <w:rPr>
                <w:rFonts w:ascii="Arial" w:hAnsi="Arial" w:cs="Arial"/>
                <w:color w:val="000000"/>
                <w:lang w:val="en-GB"/>
              </w:rPr>
              <w:t xml:space="preserve">ideo </w:t>
            </w:r>
            <w:r w:rsidR="00645B37">
              <w:rPr>
                <w:rFonts w:ascii="Arial" w:hAnsi="Arial" w:cs="Arial"/>
                <w:color w:val="000000"/>
                <w:lang w:val="en-GB"/>
              </w:rPr>
              <w:t>a</w:t>
            </w:r>
            <w:r w:rsidRPr="00433C05">
              <w:rPr>
                <w:rFonts w:ascii="Arial" w:hAnsi="Arial" w:cs="Arial"/>
                <w:color w:val="000000"/>
                <w:lang w:val="en-GB"/>
              </w:rPr>
              <w:t>d</w:t>
            </w:r>
            <w:r w:rsidR="0075044C">
              <w:rPr>
                <w:rFonts w:ascii="Arial" w:hAnsi="Arial" w:cs="Arial"/>
                <w:color w:val="000000"/>
                <w:lang w:val="en-GB"/>
              </w:rPr>
              <w:t>vertisement</w:t>
            </w:r>
            <w:r w:rsidRPr="00433C05">
              <w:rPr>
                <w:rFonts w:ascii="Arial" w:hAnsi="Arial" w:cs="Arial"/>
                <w:color w:val="000000"/>
                <w:lang w:val="en-GB"/>
              </w:rPr>
              <w:t>s</w:t>
            </w:r>
          </w:p>
        </w:tc>
        <w:tc>
          <w:tcPr>
            <w:tcW w:w="3399" w:type="dxa"/>
            <w:tcBorders>
              <w:top w:val="nil"/>
              <w:left w:val="nil"/>
              <w:bottom w:val="single" w:sz="4" w:space="0" w:color="auto"/>
              <w:right w:val="single" w:sz="4" w:space="0" w:color="auto"/>
            </w:tcBorders>
            <w:shd w:val="clear" w:color="auto" w:fill="auto"/>
            <w:noWrap/>
            <w:vAlign w:val="bottom"/>
            <w:hideMark/>
          </w:tcPr>
          <w:p w14:paraId="6A2A8E27" w14:textId="77777777" w:rsidR="00A36B54" w:rsidRPr="00433C05" w:rsidRDefault="00A36B54" w:rsidP="005F0D5B">
            <w:pPr>
              <w:jc w:val="center"/>
              <w:rPr>
                <w:rFonts w:ascii="Arial" w:hAnsi="Arial" w:cs="Arial"/>
                <w:color w:val="000000"/>
                <w:lang w:val="en-GB"/>
              </w:rPr>
            </w:pPr>
            <w:r w:rsidRPr="00433C05">
              <w:rPr>
                <w:rFonts w:ascii="Arial" w:hAnsi="Arial" w:cs="Arial"/>
                <w:color w:val="000000"/>
                <w:lang w:val="en-GB"/>
              </w:rPr>
              <w:t>75</w:t>
            </w:r>
          </w:p>
        </w:tc>
      </w:tr>
      <w:tr w:rsidR="00A36B54" w:rsidRPr="00433C05" w14:paraId="6F9FAC3A" w14:textId="77777777" w:rsidTr="00E63A8C">
        <w:trPr>
          <w:trHeight w:val="281"/>
          <w:jc w:val="center"/>
        </w:trPr>
        <w:tc>
          <w:tcPr>
            <w:tcW w:w="3604" w:type="dxa"/>
            <w:tcBorders>
              <w:top w:val="nil"/>
              <w:left w:val="single" w:sz="4" w:space="0" w:color="auto"/>
              <w:bottom w:val="single" w:sz="4" w:space="0" w:color="auto"/>
              <w:right w:val="single" w:sz="4" w:space="0" w:color="auto"/>
            </w:tcBorders>
            <w:shd w:val="clear" w:color="auto" w:fill="auto"/>
            <w:vAlign w:val="bottom"/>
            <w:hideMark/>
          </w:tcPr>
          <w:p w14:paraId="72A8222F" w14:textId="77777777" w:rsidR="00A36B54" w:rsidRPr="00433C05" w:rsidRDefault="00A36B54" w:rsidP="00A36B54">
            <w:pPr>
              <w:rPr>
                <w:rFonts w:ascii="Arial" w:hAnsi="Arial" w:cs="Arial"/>
                <w:color w:val="000000"/>
                <w:lang w:val="en-GB"/>
              </w:rPr>
            </w:pPr>
            <w:r w:rsidRPr="00433C05">
              <w:rPr>
                <w:rFonts w:ascii="Arial" w:hAnsi="Arial" w:cs="Arial"/>
                <w:color w:val="000000"/>
                <w:lang w:val="en-GB"/>
              </w:rPr>
              <w:t>In-app purchases</w:t>
            </w:r>
          </w:p>
        </w:tc>
        <w:tc>
          <w:tcPr>
            <w:tcW w:w="3399" w:type="dxa"/>
            <w:tcBorders>
              <w:top w:val="nil"/>
              <w:left w:val="nil"/>
              <w:bottom w:val="single" w:sz="4" w:space="0" w:color="auto"/>
              <w:right w:val="single" w:sz="4" w:space="0" w:color="auto"/>
            </w:tcBorders>
            <w:shd w:val="clear" w:color="auto" w:fill="auto"/>
            <w:noWrap/>
            <w:vAlign w:val="bottom"/>
            <w:hideMark/>
          </w:tcPr>
          <w:p w14:paraId="373461FB" w14:textId="77777777" w:rsidR="00A36B54" w:rsidRPr="00433C05" w:rsidRDefault="00A36B54" w:rsidP="005F0D5B">
            <w:pPr>
              <w:jc w:val="center"/>
              <w:rPr>
                <w:rFonts w:ascii="Arial" w:hAnsi="Arial" w:cs="Arial"/>
                <w:color w:val="000000"/>
                <w:lang w:val="en-GB"/>
              </w:rPr>
            </w:pPr>
            <w:r w:rsidRPr="00433C05">
              <w:rPr>
                <w:rFonts w:ascii="Arial" w:hAnsi="Arial" w:cs="Arial"/>
                <w:color w:val="000000"/>
                <w:lang w:val="en-GB"/>
              </w:rPr>
              <w:t>63</w:t>
            </w:r>
          </w:p>
        </w:tc>
      </w:tr>
      <w:tr w:rsidR="00A36B54" w:rsidRPr="00433C05" w14:paraId="1AE79A60" w14:textId="77777777" w:rsidTr="00E63A8C">
        <w:trPr>
          <w:trHeight w:val="213"/>
          <w:jc w:val="center"/>
        </w:trPr>
        <w:tc>
          <w:tcPr>
            <w:tcW w:w="3604" w:type="dxa"/>
            <w:tcBorders>
              <w:top w:val="nil"/>
              <w:left w:val="single" w:sz="4" w:space="0" w:color="auto"/>
              <w:bottom w:val="single" w:sz="4" w:space="0" w:color="auto"/>
              <w:right w:val="single" w:sz="4" w:space="0" w:color="auto"/>
            </w:tcBorders>
            <w:shd w:val="clear" w:color="auto" w:fill="auto"/>
            <w:vAlign w:val="bottom"/>
            <w:hideMark/>
          </w:tcPr>
          <w:p w14:paraId="5B9F294D" w14:textId="22CA1722" w:rsidR="00A36B54" w:rsidRPr="00433C05" w:rsidRDefault="00A36B54" w:rsidP="00A36B54">
            <w:pPr>
              <w:rPr>
                <w:rFonts w:ascii="Arial" w:hAnsi="Arial" w:cs="Arial"/>
                <w:color w:val="000000"/>
                <w:lang w:val="en-GB"/>
              </w:rPr>
            </w:pPr>
            <w:r w:rsidRPr="00433C05">
              <w:rPr>
                <w:rFonts w:ascii="Arial" w:hAnsi="Arial" w:cs="Arial"/>
                <w:color w:val="000000"/>
                <w:lang w:val="en-GB"/>
              </w:rPr>
              <w:t>Interstitial video ad</w:t>
            </w:r>
            <w:r w:rsidR="0075044C">
              <w:rPr>
                <w:rFonts w:ascii="Arial" w:hAnsi="Arial" w:cs="Arial"/>
                <w:color w:val="000000"/>
                <w:lang w:val="en-GB"/>
              </w:rPr>
              <w:t>vertisement</w:t>
            </w:r>
            <w:r w:rsidRPr="00433C05">
              <w:rPr>
                <w:rFonts w:ascii="Arial" w:hAnsi="Arial" w:cs="Arial"/>
                <w:color w:val="000000"/>
                <w:lang w:val="en-GB"/>
              </w:rPr>
              <w:t>s</w:t>
            </w:r>
          </w:p>
        </w:tc>
        <w:tc>
          <w:tcPr>
            <w:tcW w:w="3399" w:type="dxa"/>
            <w:tcBorders>
              <w:top w:val="nil"/>
              <w:left w:val="nil"/>
              <w:bottom w:val="single" w:sz="4" w:space="0" w:color="auto"/>
              <w:right w:val="single" w:sz="4" w:space="0" w:color="auto"/>
            </w:tcBorders>
            <w:shd w:val="clear" w:color="auto" w:fill="auto"/>
            <w:noWrap/>
            <w:vAlign w:val="bottom"/>
            <w:hideMark/>
          </w:tcPr>
          <w:p w14:paraId="04004F1C" w14:textId="77777777" w:rsidR="00A36B54" w:rsidRPr="00433C05" w:rsidRDefault="00A36B54" w:rsidP="005F0D5B">
            <w:pPr>
              <w:jc w:val="center"/>
              <w:rPr>
                <w:rFonts w:ascii="Arial" w:hAnsi="Arial" w:cs="Arial"/>
                <w:color w:val="000000"/>
                <w:lang w:val="en-GB"/>
              </w:rPr>
            </w:pPr>
            <w:r w:rsidRPr="00433C05">
              <w:rPr>
                <w:rFonts w:ascii="Arial" w:hAnsi="Arial" w:cs="Arial"/>
                <w:color w:val="000000"/>
                <w:lang w:val="en-GB"/>
              </w:rPr>
              <w:t>44</w:t>
            </w:r>
          </w:p>
        </w:tc>
      </w:tr>
      <w:tr w:rsidR="00A36B54" w:rsidRPr="00433C05" w14:paraId="30A21B82" w14:textId="77777777" w:rsidTr="00E63A8C">
        <w:trPr>
          <w:trHeight w:val="281"/>
          <w:jc w:val="center"/>
        </w:trPr>
        <w:tc>
          <w:tcPr>
            <w:tcW w:w="3604" w:type="dxa"/>
            <w:tcBorders>
              <w:top w:val="nil"/>
              <w:left w:val="single" w:sz="4" w:space="0" w:color="auto"/>
              <w:bottom w:val="single" w:sz="4" w:space="0" w:color="auto"/>
              <w:right w:val="single" w:sz="4" w:space="0" w:color="auto"/>
            </w:tcBorders>
            <w:shd w:val="clear" w:color="auto" w:fill="auto"/>
            <w:vAlign w:val="bottom"/>
            <w:hideMark/>
          </w:tcPr>
          <w:p w14:paraId="421A0701" w14:textId="3DE63776" w:rsidR="00A36B54" w:rsidRPr="00433C05" w:rsidRDefault="00A36B54" w:rsidP="00A36B54">
            <w:pPr>
              <w:rPr>
                <w:rFonts w:ascii="Arial" w:hAnsi="Arial" w:cs="Arial"/>
                <w:color w:val="000000"/>
                <w:lang w:val="en-GB"/>
              </w:rPr>
            </w:pPr>
            <w:r w:rsidRPr="00433C05">
              <w:rPr>
                <w:rFonts w:ascii="Arial" w:hAnsi="Arial" w:cs="Arial"/>
                <w:color w:val="000000"/>
                <w:lang w:val="en-GB"/>
              </w:rPr>
              <w:t>Playable ad</w:t>
            </w:r>
            <w:r w:rsidR="0075044C">
              <w:rPr>
                <w:rFonts w:ascii="Arial" w:hAnsi="Arial" w:cs="Arial"/>
                <w:color w:val="000000"/>
                <w:lang w:val="en-GB"/>
              </w:rPr>
              <w:t>vertisement</w:t>
            </w:r>
            <w:r w:rsidRPr="00433C05">
              <w:rPr>
                <w:rFonts w:ascii="Arial" w:hAnsi="Arial" w:cs="Arial"/>
                <w:color w:val="000000"/>
                <w:lang w:val="en-GB"/>
              </w:rPr>
              <w:t>s</w:t>
            </w:r>
          </w:p>
        </w:tc>
        <w:tc>
          <w:tcPr>
            <w:tcW w:w="3399" w:type="dxa"/>
            <w:tcBorders>
              <w:top w:val="nil"/>
              <w:left w:val="nil"/>
              <w:bottom w:val="single" w:sz="4" w:space="0" w:color="auto"/>
              <w:right w:val="single" w:sz="4" w:space="0" w:color="auto"/>
            </w:tcBorders>
            <w:shd w:val="clear" w:color="auto" w:fill="auto"/>
            <w:noWrap/>
            <w:vAlign w:val="bottom"/>
            <w:hideMark/>
          </w:tcPr>
          <w:p w14:paraId="7B8B78B1" w14:textId="77777777" w:rsidR="00A36B54" w:rsidRPr="00433C05" w:rsidRDefault="00A36B54" w:rsidP="005F0D5B">
            <w:pPr>
              <w:jc w:val="center"/>
              <w:rPr>
                <w:rFonts w:ascii="Arial" w:hAnsi="Arial" w:cs="Arial"/>
                <w:color w:val="000000"/>
                <w:lang w:val="en-GB"/>
              </w:rPr>
            </w:pPr>
            <w:r w:rsidRPr="00433C05">
              <w:rPr>
                <w:rFonts w:ascii="Arial" w:hAnsi="Arial" w:cs="Arial"/>
                <w:color w:val="000000"/>
                <w:lang w:val="en-GB"/>
              </w:rPr>
              <w:t>32</w:t>
            </w:r>
          </w:p>
        </w:tc>
      </w:tr>
      <w:tr w:rsidR="00A36B54" w:rsidRPr="00433C05" w14:paraId="0BD97DE7" w14:textId="77777777" w:rsidTr="00E63A8C">
        <w:trPr>
          <w:trHeight w:val="285"/>
          <w:jc w:val="center"/>
        </w:trPr>
        <w:tc>
          <w:tcPr>
            <w:tcW w:w="3604" w:type="dxa"/>
            <w:tcBorders>
              <w:top w:val="nil"/>
              <w:left w:val="single" w:sz="4" w:space="0" w:color="auto"/>
              <w:bottom w:val="single" w:sz="4" w:space="0" w:color="auto"/>
              <w:right w:val="single" w:sz="4" w:space="0" w:color="auto"/>
            </w:tcBorders>
            <w:shd w:val="clear" w:color="auto" w:fill="auto"/>
            <w:vAlign w:val="bottom"/>
            <w:hideMark/>
          </w:tcPr>
          <w:p w14:paraId="560611C8" w14:textId="43EA87FA" w:rsidR="00A36B54" w:rsidRPr="00433C05" w:rsidRDefault="00A36B54" w:rsidP="00A36B54">
            <w:pPr>
              <w:rPr>
                <w:rFonts w:ascii="Arial" w:hAnsi="Arial" w:cs="Arial"/>
                <w:color w:val="000000"/>
                <w:lang w:val="en-GB"/>
              </w:rPr>
            </w:pPr>
            <w:r w:rsidRPr="00433C05">
              <w:rPr>
                <w:rFonts w:ascii="Arial" w:hAnsi="Arial" w:cs="Arial"/>
                <w:color w:val="000000"/>
                <w:lang w:val="en-GB"/>
              </w:rPr>
              <w:t>Interstitial display ad</w:t>
            </w:r>
            <w:r w:rsidR="0075044C">
              <w:rPr>
                <w:rFonts w:ascii="Arial" w:hAnsi="Arial" w:cs="Arial"/>
                <w:color w:val="000000"/>
                <w:lang w:val="en-GB"/>
              </w:rPr>
              <w:t>vertisement</w:t>
            </w:r>
            <w:r w:rsidRPr="00433C05">
              <w:rPr>
                <w:rFonts w:ascii="Arial" w:hAnsi="Arial" w:cs="Arial"/>
                <w:color w:val="000000"/>
                <w:lang w:val="en-GB"/>
              </w:rPr>
              <w:t>s</w:t>
            </w:r>
          </w:p>
        </w:tc>
        <w:tc>
          <w:tcPr>
            <w:tcW w:w="3399" w:type="dxa"/>
            <w:tcBorders>
              <w:top w:val="nil"/>
              <w:left w:val="nil"/>
              <w:bottom w:val="single" w:sz="4" w:space="0" w:color="auto"/>
              <w:right w:val="single" w:sz="4" w:space="0" w:color="auto"/>
            </w:tcBorders>
            <w:shd w:val="clear" w:color="auto" w:fill="auto"/>
            <w:noWrap/>
            <w:vAlign w:val="bottom"/>
            <w:hideMark/>
          </w:tcPr>
          <w:p w14:paraId="41E51167" w14:textId="77777777" w:rsidR="00A36B54" w:rsidRPr="00433C05" w:rsidRDefault="00A36B54" w:rsidP="005F0D5B">
            <w:pPr>
              <w:jc w:val="center"/>
              <w:rPr>
                <w:rFonts w:ascii="Arial" w:hAnsi="Arial" w:cs="Arial"/>
                <w:color w:val="000000"/>
                <w:lang w:val="en-GB"/>
              </w:rPr>
            </w:pPr>
            <w:r w:rsidRPr="00433C05">
              <w:rPr>
                <w:rFonts w:ascii="Arial" w:hAnsi="Arial" w:cs="Arial"/>
                <w:color w:val="000000"/>
                <w:lang w:val="en-GB"/>
              </w:rPr>
              <w:t>31</w:t>
            </w:r>
          </w:p>
        </w:tc>
      </w:tr>
      <w:tr w:rsidR="00A36B54" w:rsidRPr="00433C05" w14:paraId="569E0F92" w14:textId="77777777" w:rsidTr="00E63A8C">
        <w:trPr>
          <w:trHeight w:val="281"/>
          <w:jc w:val="center"/>
        </w:trPr>
        <w:tc>
          <w:tcPr>
            <w:tcW w:w="3604" w:type="dxa"/>
            <w:tcBorders>
              <w:top w:val="nil"/>
              <w:left w:val="single" w:sz="4" w:space="0" w:color="auto"/>
              <w:bottom w:val="single" w:sz="4" w:space="0" w:color="auto"/>
              <w:right w:val="single" w:sz="4" w:space="0" w:color="auto"/>
            </w:tcBorders>
            <w:shd w:val="clear" w:color="auto" w:fill="auto"/>
            <w:vAlign w:val="bottom"/>
            <w:hideMark/>
          </w:tcPr>
          <w:p w14:paraId="31BFC675" w14:textId="176F610F" w:rsidR="00A36B54" w:rsidRPr="00433C05" w:rsidRDefault="00A36B54" w:rsidP="00A36B54">
            <w:pPr>
              <w:rPr>
                <w:rFonts w:ascii="Arial" w:hAnsi="Arial" w:cs="Arial"/>
                <w:color w:val="000000"/>
                <w:lang w:val="en-GB"/>
              </w:rPr>
            </w:pPr>
            <w:r w:rsidRPr="00433C05">
              <w:rPr>
                <w:rFonts w:ascii="Arial" w:hAnsi="Arial" w:cs="Arial"/>
                <w:color w:val="000000"/>
                <w:lang w:val="en-GB"/>
              </w:rPr>
              <w:t>Native ad</w:t>
            </w:r>
            <w:r w:rsidR="0075044C">
              <w:rPr>
                <w:rFonts w:ascii="Arial" w:hAnsi="Arial" w:cs="Arial"/>
                <w:color w:val="000000"/>
                <w:lang w:val="en-GB"/>
              </w:rPr>
              <w:t>vertisement</w:t>
            </w:r>
            <w:r w:rsidRPr="00433C05">
              <w:rPr>
                <w:rFonts w:ascii="Arial" w:hAnsi="Arial" w:cs="Arial"/>
                <w:color w:val="000000"/>
                <w:lang w:val="en-GB"/>
              </w:rPr>
              <w:t>s</w:t>
            </w:r>
          </w:p>
        </w:tc>
        <w:tc>
          <w:tcPr>
            <w:tcW w:w="3399" w:type="dxa"/>
            <w:tcBorders>
              <w:top w:val="nil"/>
              <w:left w:val="nil"/>
              <w:bottom w:val="single" w:sz="4" w:space="0" w:color="auto"/>
              <w:right w:val="single" w:sz="4" w:space="0" w:color="auto"/>
            </w:tcBorders>
            <w:shd w:val="clear" w:color="auto" w:fill="auto"/>
            <w:noWrap/>
            <w:vAlign w:val="bottom"/>
            <w:hideMark/>
          </w:tcPr>
          <w:p w14:paraId="252D518B" w14:textId="77777777" w:rsidR="00A36B54" w:rsidRPr="00433C05" w:rsidRDefault="00A36B54" w:rsidP="005F0D5B">
            <w:pPr>
              <w:jc w:val="center"/>
              <w:rPr>
                <w:rFonts w:ascii="Arial" w:hAnsi="Arial" w:cs="Arial"/>
                <w:color w:val="000000"/>
                <w:lang w:val="en-GB"/>
              </w:rPr>
            </w:pPr>
            <w:r w:rsidRPr="00433C05">
              <w:rPr>
                <w:rFonts w:ascii="Arial" w:hAnsi="Arial" w:cs="Arial"/>
                <w:color w:val="000000"/>
                <w:lang w:val="en-GB"/>
              </w:rPr>
              <w:t>26</w:t>
            </w:r>
          </w:p>
        </w:tc>
      </w:tr>
      <w:tr w:rsidR="00A36B54" w:rsidRPr="00433C05" w14:paraId="16B3C473" w14:textId="77777777" w:rsidTr="00E63A8C">
        <w:trPr>
          <w:trHeight w:val="226"/>
          <w:jc w:val="center"/>
        </w:trPr>
        <w:tc>
          <w:tcPr>
            <w:tcW w:w="3604" w:type="dxa"/>
            <w:tcBorders>
              <w:top w:val="nil"/>
              <w:left w:val="single" w:sz="4" w:space="0" w:color="auto"/>
              <w:bottom w:val="single" w:sz="4" w:space="0" w:color="auto"/>
              <w:right w:val="single" w:sz="4" w:space="0" w:color="auto"/>
            </w:tcBorders>
            <w:shd w:val="clear" w:color="auto" w:fill="auto"/>
            <w:vAlign w:val="bottom"/>
            <w:hideMark/>
          </w:tcPr>
          <w:p w14:paraId="08C83839" w14:textId="26EB2AC2" w:rsidR="00A36B54" w:rsidRPr="00433C05" w:rsidRDefault="00A36B54" w:rsidP="00A36B54">
            <w:pPr>
              <w:rPr>
                <w:rFonts w:ascii="Arial" w:hAnsi="Arial" w:cs="Arial"/>
                <w:color w:val="000000"/>
                <w:lang w:val="en-GB"/>
              </w:rPr>
            </w:pPr>
            <w:r w:rsidRPr="00433C05">
              <w:rPr>
                <w:rFonts w:ascii="Arial" w:hAnsi="Arial" w:cs="Arial"/>
                <w:color w:val="000000"/>
                <w:lang w:val="en-GB"/>
              </w:rPr>
              <w:t>Banner display ad</w:t>
            </w:r>
            <w:r w:rsidR="0075044C">
              <w:rPr>
                <w:rFonts w:ascii="Arial" w:hAnsi="Arial" w:cs="Arial"/>
                <w:color w:val="000000"/>
                <w:lang w:val="en-GB"/>
              </w:rPr>
              <w:t>vertisement</w:t>
            </w:r>
            <w:r w:rsidRPr="00433C05">
              <w:rPr>
                <w:rFonts w:ascii="Arial" w:hAnsi="Arial" w:cs="Arial"/>
                <w:color w:val="000000"/>
                <w:lang w:val="en-GB"/>
              </w:rPr>
              <w:t>s</w:t>
            </w:r>
          </w:p>
        </w:tc>
        <w:tc>
          <w:tcPr>
            <w:tcW w:w="3399" w:type="dxa"/>
            <w:tcBorders>
              <w:top w:val="nil"/>
              <w:left w:val="nil"/>
              <w:bottom w:val="single" w:sz="4" w:space="0" w:color="auto"/>
              <w:right w:val="single" w:sz="4" w:space="0" w:color="auto"/>
            </w:tcBorders>
            <w:shd w:val="clear" w:color="auto" w:fill="auto"/>
            <w:noWrap/>
            <w:vAlign w:val="bottom"/>
            <w:hideMark/>
          </w:tcPr>
          <w:p w14:paraId="04219091" w14:textId="77777777" w:rsidR="00A36B54" w:rsidRPr="00433C05" w:rsidRDefault="00A36B54" w:rsidP="005F0D5B">
            <w:pPr>
              <w:jc w:val="center"/>
              <w:rPr>
                <w:rFonts w:ascii="Arial" w:hAnsi="Arial" w:cs="Arial"/>
                <w:color w:val="000000"/>
                <w:lang w:val="en-GB"/>
              </w:rPr>
            </w:pPr>
            <w:r w:rsidRPr="00433C05">
              <w:rPr>
                <w:rFonts w:ascii="Arial" w:hAnsi="Arial" w:cs="Arial"/>
                <w:color w:val="000000"/>
                <w:lang w:val="en-GB"/>
              </w:rPr>
              <w:t>24</w:t>
            </w:r>
          </w:p>
        </w:tc>
      </w:tr>
      <w:tr w:rsidR="00A36B54" w:rsidRPr="00433C05" w14:paraId="576DBB65" w14:textId="77777777" w:rsidTr="00E63A8C">
        <w:trPr>
          <w:trHeight w:val="281"/>
          <w:jc w:val="center"/>
        </w:trPr>
        <w:tc>
          <w:tcPr>
            <w:tcW w:w="3604" w:type="dxa"/>
            <w:tcBorders>
              <w:top w:val="nil"/>
              <w:left w:val="single" w:sz="4" w:space="0" w:color="auto"/>
              <w:bottom w:val="single" w:sz="4" w:space="0" w:color="auto"/>
              <w:right w:val="single" w:sz="4" w:space="0" w:color="auto"/>
            </w:tcBorders>
            <w:shd w:val="clear" w:color="auto" w:fill="auto"/>
            <w:vAlign w:val="bottom"/>
            <w:hideMark/>
          </w:tcPr>
          <w:p w14:paraId="098424FB" w14:textId="26D411B2" w:rsidR="00A36B54" w:rsidRPr="00433C05" w:rsidRDefault="00A36B54" w:rsidP="00A36B54">
            <w:pPr>
              <w:rPr>
                <w:rFonts w:ascii="Arial" w:hAnsi="Arial" w:cs="Arial"/>
                <w:color w:val="000000"/>
                <w:lang w:val="en-GB"/>
              </w:rPr>
            </w:pPr>
            <w:r w:rsidRPr="00433C05">
              <w:rPr>
                <w:rFonts w:ascii="Arial" w:hAnsi="Arial" w:cs="Arial"/>
                <w:color w:val="000000"/>
                <w:lang w:val="en-GB"/>
              </w:rPr>
              <w:t>Pre-roll video ad</w:t>
            </w:r>
            <w:r w:rsidR="0075044C">
              <w:rPr>
                <w:rFonts w:ascii="Arial" w:hAnsi="Arial" w:cs="Arial"/>
                <w:color w:val="000000"/>
                <w:lang w:val="en-GB"/>
              </w:rPr>
              <w:t>vertisement</w:t>
            </w:r>
            <w:r w:rsidRPr="00433C05">
              <w:rPr>
                <w:rFonts w:ascii="Arial" w:hAnsi="Arial" w:cs="Arial"/>
                <w:color w:val="000000"/>
                <w:lang w:val="en-GB"/>
              </w:rPr>
              <w:t>s</w:t>
            </w:r>
          </w:p>
        </w:tc>
        <w:tc>
          <w:tcPr>
            <w:tcW w:w="3399" w:type="dxa"/>
            <w:tcBorders>
              <w:top w:val="nil"/>
              <w:left w:val="nil"/>
              <w:bottom w:val="single" w:sz="4" w:space="0" w:color="auto"/>
              <w:right w:val="single" w:sz="4" w:space="0" w:color="auto"/>
            </w:tcBorders>
            <w:shd w:val="clear" w:color="auto" w:fill="auto"/>
            <w:noWrap/>
            <w:vAlign w:val="bottom"/>
            <w:hideMark/>
          </w:tcPr>
          <w:p w14:paraId="2D8B6350" w14:textId="77777777" w:rsidR="00A36B54" w:rsidRPr="00433C05" w:rsidRDefault="00A36B54" w:rsidP="005F0D5B">
            <w:pPr>
              <w:jc w:val="center"/>
              <w:rPr>
                <w:rFonts w:ascii="Arial" w:hAnsi="Arial" w:cs="Arial"/>
                <w:color w:val="000000"/>
                <w:lang w:val="en-GB"/>
              </w:rPr>
            </w:pPr>
            <w:r w:rsidRPr="00433C05">
              <w:rPr>
                <w:rFonts w:ascii="Arial" w:hAnsi="Arial" w:cs="Arial"/>
                <w:color w:val="000000"/>
                <w:lang w:val="en-GB"/>
              </w:rPr>
              <w:t>22</w:t>
            </w:r>
          </w:p>
        </w:tc>
      </w:tr>
      <w:tr w:rsidR="00A36B54" w:rsidRPr="00433C05" w14:paraId="2EF25708" w14:textId="77777777" w:rsidTr="00E63A8C">
        <w:trPr>
          <w:trHeight w:val="151"/>
          <w:jc w:val="center"/>
        </w:trPr>
        <w:tc>
          <w:tcPr>
            <w:tcW w:w="3604" w:type="dxa"/>
            <w:tcBorders>
              <w:top w:val="nil"/>
              <w:left w:val="single" w:sz="4" w:space="0" w:color="auto"/>
              <w:bottom w:val="single" w:sz="4" w:space="0" w:color="auto"/>
              <w:right w:val="single" w:sz="4" w:space="0" w:color="auto"/>
            </w:tcBorders>
            <w:shd w:val="clear" w:color="auto" w:fill="auto"/>
            <w:vAlign w:val="bottom"/>
            <w:hideMark/>
          </w:tcPr>
          <w:p w14:paraId="27BAE889" w14:textId="77777777" w:rsidR="00A36B54" w:rsidRPr="00433C05" w:rsidRDefault="00A36B54" w:rsidP="00A36B54">
            <w:pPr>
              <w:rPr>
                <w:rFonts w:ascii="Arial" w:hAnsi="Arial" w:cs="Arial"/>
                <w:color w:val="000000"/>
                <w:lang w:val="en-GB"/>
              </w:rPr>
            </w:pPr>
            <w:r w:rsidRPr="00433C05">
              <w:rPr>
                <w:rFonts w:ascii="Arial" w:hAnsi="Arial" w:cs="Arial"/>
                <w:color w:val="000000"/>
                <w:lang w:val="en-GB"/>
              </w:rPr>
              <w:t>Paid app downloads</w:t>
            </w:r>
          </w:p>
        </w:tc>
        <w:tc>
          <w:tcPr>
            <w:tcW w:w="3399" w:type="dxa"/>
            <w:tcBorders>
              <w:top w:val="nil"/>
              <w:left w:val="nil"/>
              <w:bottom w:val="single" w:sz="4" w:space="0" w:color="auto"/>
              <w:right w:val="single" w:sz="4" w:space="0" w:color="auto"/>
            </w:tcBorders>
            <w:shd w:val="clear" w:color="auto" w:fill="auto"/>
            <w:noWrap/>
            <w:vAlign w:val="bottom"/>
            <w:hideMark/>
          </w:tcPr>
          <w:p w14:paraId="48779740" w14:textId="77777777" w:rsidR="00A36B54" w:rsidRPr="00433C05" w:rsidRDefault="00A36B54" w:rsidP="005F0D5B">
            <w:pPr>
              <w:jc w:val="center"/>
              <w:rPr>
                <w:rFonts w:ascii="Arial" w:hAnsi="Arial" w:cs="Arial"/>
                <w:color w:val="000000"/>
                <w:lang w:val="en-GB"/>
              </w:rPr>
            </w:pPr>
            <w:r w:rsidRPr="00433C05">
              <w:rPr>
                <w:rFonts w:ascii="Arial" w:hAnsi="Arial" w:cs="Arial"/>
                <w:color w:val="000000"/>
                <w:lang w:val="en-GB"/>
              </w:rPr>
              <w:t>14</w:t>
            </w:r>
          </w:p>
        </w:tc>
      </w:tr>
      <w:tr w:rsidR="00A36B54" w:rsidRPr="00433C05" w14:paraId="38D56DA7" w14:textId="77777777" w:rsidTr="00E63A8C">
        <w:trPr>
          <w:trHeight w:val="249"/>
          <w:jc w:val="center"/>
        </w:trPr>
        <w:tc>
          <w:tcPr>
            <w:tcW w:w="3604" w:type="dxa"/>
            <w:tcBorders>
              <w:top w:val="nil"/>
              <w:left w:val="single" w:sz="4" w:space="0" w:color="auto"/>
              <w:bottom w:val="single" w:sz="4" w:space="0" w:color="auto"/>
              <w:right w:val="single" w:sz="4" w:space="0" w:color="auto"/>
            </w:tcBorders>
            <w:shd w:val="clear" w:color="auto" w:fill="auto"/>
            <w:vAlign w:val="bottom"/>
            <w:hideMark/>
          </w:tcPr>
          <w:p w14:paraId="22018D26" w14:textId="77777777" w:rsidR="00A36B54" w:rsidRPr="00433C05" w:rsidRDefault="00A36B54" w:rsidP="00A36B54">
            <w:pPr>
              <w:rPr>
                <w:rFonts w:ascii="Arial" w:hAnsi="Arial" w:cs="Arial"/>
                <w:color w:val="000000"/>
                <w:lang w:val="en-GB"/>
              </w:rPr>
            </w:pPr>
            <w:r w:rsidRPr="00433C05">
              <w:rPr>
                <w:rFonts w:ascii="Arial" w:hAnsi="Arial" w:cs="Arial"/>
                <w:color w:val="000000"/>
                <w:lang w:val="en-GB"/>
              </w:rPr>
              <w:t>Paid subscriptions</w:t>
            </w:r>
          </w:p>
        </w:tc>
        <w:tc>
          <w:tcPr>
            <w:tcW w:w="3399" w:type="dxa"/>
            <w:tcBorders>
              <w:top w:val="nil"/>
              <w:left w:val="nil"/>
              <w:bottom w:val="single" w:sz="4" w:space="0" w:color="auto"/>
              <w:right w:val="single" w:sz="4" w:space="0" w:color="auto"/>
            </w:tcBorders>
            <w:shd w:val="clear" w:color="auto" w:fill="auto"/>
            <w:noWrap/>
            <w:vAlign w:val="bottom"/>
            <w:hideMark/>
          </w:tcPr>
          <w:p w14:paraId="3090A9F8" w14:textId="77777777" w:rsidR="00A36B54" w:rsidRPr="00433C05" w:rsidRDefault="00A36B54" w:rsidP="005F0D5B">
            <w:pPr>
              <w:jc w:val="center"/>
              <w:rPr>
                <w:rFonts w:ascii="Arial" w:hAnsi="Arial" w:cs="Arial"/>
                <w:color w:val="000000"/>
                <w:lang w:val="en-GB"/>
              </w:rPr>
            </w:pPr>
            <w:r w:rsidRPr="00433C05">
              <w:rPr>
                <w:rFonts w:ascii="Arial" w:hAnsi="Arial" w:cs="Arial"/>
                <w:color w:val="000000"/>
                <w:lang w:val="en-GB"/>
              </w:rPr>
              <w:t>14</w:t>
            </w:r>
          </w:p>
        </w:tc>
      </w:tr>
      <w:tr w:rsidR="00A36B54" w:rsidRPr="00433C05" w14:paraId="2D17BD0B" w14:textId="77777777" w:rsidTr="00E63A8C">
        <w:trPr>
          <w:trHeight w:val="281"/>
          <w:jc w:val="center"/>
        </w:trPr>
        <w:tc>
          <w:tcPr>
            <w:tcW w:w="3604" w:type="dxa"/>
            <w:tcBorders>
              <w:top w:val="nil"/>
              <w:left w:val="single" w:sz="4" w:space="0" w:color="auto"/>
              <w:bottom w:val="single" w:sz="4" w:space="0" w:color="auto"/>
              <w:right w:val="single" w:sz="4" w:space="0" w:color="auto"/>
            </w:tcBorders>
            <w:shd w:val="clear" w:color="auto" w:fill="auto"/>
            <w:vAlign w:val="bottom"/>
            <w:hideMark/>
          </w:tcPr>
          <w:p w14:paraId="6EDC8259" w14:textId="30B79C80" w:rsidR="00A36B54" w:rsidRPr="00433C05" w:rsidRDefault="00A36B54" w:rsidP="00A36B54">
            <w:pPr>
              <w:rPr>
                <w:rFonts w:ascii="Arial" w:hAnsi="Arial" w:cs="Arial"/>
                <w:color w:val="000000"/>
                <w:lang w:val="en-GB"/>
              </w:rPr>
            </w:pPr>
            <w:r w:rsidRPr="00433C05">
              <w:rPr>
                <w:rFonts w:ascii="Arial" w:hAnsi="Arial" w:cs="Arial"/>
                <w:color w:val="000000"/>
                <w:lang w:val="en-GB"/>
              </w:rPr>
              <w:t>In-feed video ad</w:t>
            </w:r>
            <w:r w:rsidR="0075044C">
              <w:rPr>
                <w:rFonts w:ascii="Arial" w:hAnsi="Arial" w:cs="Arial"/>
                <w:color w:val="000000"/>
                <w:lang w:val="en-GB"/>
              </w:rPr>
              <w:t>vertisement</w:t>
            </w:r>
            <w:r w:rsidRPr="00433C05">
              <w:rPr>
                <w:rFonts w:ascii="Arial" w:hAnsi="Arial" w:cs="Arial"/>
                <w:color w:val="000000"/>
                <w:lang w:val="en-GB"/>
              </w:rPr>
              <w:t>s</w:t>
            </w:r>
          </w:p>
        </w:tc>
        <w:tc>
          <w:tcPr>
            <w:tcW w:w="3399" w:type="dxa"/>
            <w:tcBorders>
              <w:top w:val="nil"/>
              <w:left w:val="nil"/>
              <w:bottom w:val="single" w:sz="4" w:space="0" w:color="auto"/>
              <w:right w:val="single" w:sz="4" w:space="0" w:color="auto"/>
            </w:tcBorders>
            <w:shd w:val="clear" w:color="auto" w:fill="auto"/>
            <w:noWrap/>
            <w:vAlign w:val="bottom"/>
            <w:hideMark/>
          </w:tcPr>
          <w:p w14:paraId="1C8172A4" w14:textId="77777777" w:rsidR="00A36B54" w:rsidRPr="00433C05" w:rsidRDefault="00A36B54" w:rsidP="005F0D5B">
            <w:pPr>
              <w:jc w:val="center"/>
              <w:rPr>
                <w:rFonts w:ascii="Arial" w:hAnsi="Arial" w:cs="Arial"/>
                <w:color w:val="000000"/>
                <w:lang w:val="en-GB"/>
              </w:rPr>
            </w:pPr>
            <w:r w:rsidRPr="00433C05">
              <w:rPr>
                <w:rFonts w:ascii="Arial" w:hAnsi="Arial" w:cs="Arial"/>
                <w:color w:val="000000"/>
                <w:lang w:val="en-GB"/>
              </w:rPr>
              <w:t>13</w:t>
            </w:r>
          </w:p>
        </w:tc>
      </w:tr>
      <w:tr w:rsidR="00A36B54" w:rsidRPr="00433C05" w14:paraId="6032C151" w14:textId="77777777" w:rsidTr="00E63A8C">
        <w:trPr>
          <w:trHeight w:val="174"/>
          <w:jc w:val="center"/>
        </w:trPr>
        <w:tc>
          <w:tcPr>
            <w:tcW w:w="3604" w:type="dxa"/>
            <w:tcBorders>
              <w:top w:val="nil"/>
              <w:left w:val="single" w:sz="4" w:space="0" w:color="auto"/>
              <w:bottom w:val="single" w:sz="4" w:space="0" w:color="auto"/>
              <w:right w:val="single" w:sz="4" w:space="0" w:color="auto"/>
            </w:tcBorders>
            <w:shd w:val="clear" w:color="auto" w:fill="auto"/>
            <w:vAlign w:val="bottom"/>
            <w:hideMark/>
          </w:tcPr>
          <w:p w14:paraId="02BC2312" w14:textId="77777777" w:rsidR="00A36B54" w:rsidRPr="00433C05" w:rsidRDefault="00A36B54" w:rsidP="00A36B54">
            <w:pPr>
              <w:rPr>
                <w:rFonts w:ascii="Arial" w:hAnsi="Arial" w:cs="Arial"/>
                <w:color w:val="000000"/>
                <w:lang w:val="en-GB"/>
              </w:rPr>
            </w:pPr>
            <w:r w:rsidRPr="00433C05">
              <w:rPr>
                <w:rFonts w:ascii="Arial" w:hAnsi="Arial" w:cs="Arial"/>
                <w:color w:val="000000"/>
                <w:lang w:val="en-GB"/>
              </w:rPr>
              <w:t>Affiliate programs</w:t>
            </w:r>
          </w:p>
        </w:tc>
        <w:tc>
          <w:tcPr>
            <w:tcW w:w="3399" w:type="dxa"/>
            <w:tcBorders>
              <w:top w:val="nil"/>
              <w:left w:val="nil"/>
              <w:bottom w:val="single" w:sz="4" w:space="0" w:color="auto"/>
              <w:right w:val="single" w:sz="4" w:space="0" w:color="auto"/>
            </w:tcBorders>
            <w:shd w:val="clear" w:color="auto" w:fill="auto"/>
            <w:noWrap/>
            <w:vAlign w:val="bottom"/>
            <w:hideMark/>
          </w:tcPr>
          <w:p w14:paraId="069A1560" w14:textId="77777777" w:rsidR="00A36B54" w:rsidRPr="00433C05" w:rsidRDefault="00A36B54" w:rsidP="005F0D5B">
            <w:pPr>
              <w:jc w:val="center"/>
              <w:rPr>
                <w:rFonts w:ascii="Arial" w:hAnsi="Arial" w:cs="Arial"/>
                <w:color w:val="000000"/>
                <w:lang w:val="en-GB"/>
              </w:rPr>
            </w:pPr>
            <w:r w:rsidRPr="00433C05">
              <w:rPr>
                <w:rFonts w:ascii="Arial" w:hAnsi="Arial" w:cs="Arial"/>
                <w:color w:val="000000"/>
                <w:lang w:val="en-GB"/>
              </w:rPr>
              <w:t>6</w:t>
            </w:r>
          </w:p>
        </w:tc>
      </w:tr>
      <w:bookmarkEnd w:id="4"/>
    </w:tbl>
    <w:p w14:paraId="20C73EBA" w14:textId="77777777" w:rsidR="007033E9" w:rsidRPr="00433C05" w:rsidRDefault="007033E9" w:rsidP="00A36B54">
      <w:pPr>
        <w:rPr>
          <w:rFonts w:ascii="Arial" w:hAnsi="Arial" w:cs="Arial"/>
          <w:lang w:val="en-GB"/>
        </w:rPr>
      </w:pPr>
    </w:p>
    <w:p w14:paraId="7630119A" w14:textId="77777777" w:rsidR="00A35206" w:rsidRDefault="00A35206" w:rsidP="00A35206">
      <w:pPr>
        <w:pStyle w:val="Footnote"/>
        <w:rPr>
          <w:lang w:val="en-GB"/>
        </w:rPr>
      </w:pPr>
      <w:r>
        <w:rPr>
          <w:lang w:val="en-GB"/>
        </w:rPr>
        <w:t>Note: app = mobile application</w:t>
      </w:r>
    </w:p>
    <w:p w14:paraId="4C06362F" w14:textId="0BB76E80" w:rsidR="00C64F7C" w:rsidRPr="00433C05" w:rsidRDefault="00A36B54" w:rsidP="005F0D5B">
      <w:pPr>
        <w:pStyle w:val="Footnote"/>
        <w:rPr>
          <w:b/>
          <w:bCs/>
          <w:lang w:val="en-GB"/>
        </w:rPr>
      </w:pPr>
      <w:r w:rsidRPr="00433C05">
        <w:rPr>
          <w:lang w:val="en-GB"/>
        </w:rPr>
        <w:t>Source: Mansoor Iqbal, “App Revenue Statistics,” Business of Apps, July 30, 2020, accessed October 11, 2020, www.businessofapps.com/data/app-revenues.</w:t>
      </w:r>
      <w:r w:rsidR="00C64F7C" w:rsidRPr="00433C05">
        <w:rPr>
          <w:b/>
          <w:bCs/>
          <w:lang w:val="en-GB"/>
        </w:rPr>
        <w:br w:type="page"/>
      </w:r>
    </w:p>
    <w:p w14:paraId="1C3D4602" w14:textId="25598610" w:rsidR="00A36B54" w:rsidRPr="00433C05" w:rsidRDefault="00A36B54" w:rsidP="00C64F7C">
      <w:pPr>
        <w:pStyle w:val="Casehead1"/>
        <w:rPr>
          <w:bCs/>
          <w:lang w:val="en-GB"/>
        </w:rPr>
      </w:pPr>
      <w:r w:rsidRPr="00433C05">
        <w:rPr>
          <w:lang w:val="en-GB"/>
        </w:rPr>
        <w:lastRenderedPageBreak/>
        <w:t>Endnotes</w:t>
      </w:r>
    </w:p>
    <w:sectPr w:rsidR="00A36B54" w:rsidRPr="00433C05" w:rsidSect="00751E0B">
      <w:headerReference w:type="default" r:id="rId12"/>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51A82" w14:textId="77777777" w:rsidR="00776626" w:rsidRDefault="00776626" w:rsidP="00D75295">
      <w:r>
        <w:separator/>
      </w:r>
    </w:p>
  </w:endnote>
  <w:endnote w:type="continuationSeparator" w:id="0">
    <w:p w14:paraId="70C36CAB" w14:textId="77777777" w:rsidR="00776626" w:rsidRDefault="00776626" w:rsidP="00D75295">
      <w:r>
        <w:continuationSeparator/>
      </w:r>
    </w:p>
  </w:endnote>
  <w:endnote w:id="1">
    <w:p w14:paraId="07D27BA6" w14:textId="1716D368" w:rsidR="00E608B0" w:rsidRPr="00004937" w:rsidRDefault="00E608B0" w:rsidP="00C50966">
      <w:pPr>
        <w:pStyle w:val="Footnote"/>
      </w:pPr>
      <w:r w:rsidRPr="00004937">
        <w:rPr>
          <w:rStyle w:val="EndnoteReference"/>
        </w:rPr>
        <w:endnoteRef/>
      </w:r>
      <w:r w:rsidRPr="00004937">
        <w:t xml:space="preserve"> This case has been written on the basis of published sources only. Consequently, the interpretation and perspectives presented in this case are not necessarily those of Google LLC or any of its employees.</w:t>
      </w:r>
    </w:p>
  </w:endnote>
  <w:endnote w:id="2">
    <w:p w14:paraId="2710C5EF" w14:textId="09AB8E29" w:rsidR="00E608B0" w:rsidRPr="00004937" w:rsidRDefault="00E608B0" w:rsidP="000635A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J. Clement, “Google Play: </w:t>
      </w:r>
      <w:r w:rsidRPr="00004937">
        <w:rPr>
          <w:rFonts w:ascii="Arial" w:hAnsi="Arial" w:cs="Arial"/>
          <w:sz w:val="17"/>
          <w:szCs w:val="17"/>
          <w:lang w:val="en-CA"/>
        </w:rPr>
        <w:t>N</w:t>
      </w:r>
      <w:r w:rsidRPr="00004937">
        <w:rPr>
          <w:rFonts w:ascii="Arial" w:hAnsi="Arial" w:cs="Arial"/>
          <w:sz w:val="17"/>
          <w:szCs w:val="17"/>
        </w:rPr>
        <w:t xml:space="preserve">umber of </w:t>
      </w:r>
      <w:r w:rsidRPr="00004937">
        <w:rPr>
          <w:rFonts w:ascii="Arial" w:hAnsi="Arial" w:cs="Arial"/>
          <w:sz w:val="17"/>
          <w:szCs w:val="17"/>
          <w:lang w:val="en-CA"/>
        </w:rPr>
        <w:t>A</w:t>
      </w:r>
      <w:r w:rsidRPr="00004937">
        <w:rPr>
          <w:rFonts w:ascii="Arial" w:hAnsi="Arial" w:cs="Arial"/>
          <w:sz w:val="17"/>
          <w:szCs w:val="17"/>
        </w:rPr>
        <w:t xml:space="preserve">vailable </w:t>
      </w:r>
      <w:r w:rsidRPr="00004937">
        <w:rPr>
          <w:rFonts w:ascii="Arial" w:hAnsi="Arial" w:cs="Arial"/>
          <w:sz w:val="17"/>
          <w:szCs w:val="17"/>
          <w:lang w:val="en-CA"/>
        </w:rPr>
        <w:t>A</w:t>
      </w:r>
      <w:r w:rsidRPr="00004937">
        <w:rPr>
          <w:rFonts w:ascii="Arial" w:hAnsi="Arial" w:cs="Arial"/>
          <w:sz w:val="17"/>
          <w:szCs w:val="17"/>
        </w:rPr>
        <w:t xml:space="preserve">pps,” </w:t>
      </w:r>
      <w:r w:rsidRPr="00613B53">
        <w:rPr>
          <w:rFonts w:ascii="Arial" w:hAnsi="Arial" w:cs="Arial"/>
          <w:iCs/>
          <w:sz w:val="17"/>
          <w:szCs w:val="17"/>
        </w:rPr>
        <w:t>Statista</w:t>
      </w:r>
      <w:r w:rsidRPr="00004937">
        <w:rPr>
          <w:rFonts w:ascii="Arial" w:hAnsi="Arial" w:cs="Arial"/>
          <w:sz w:val="17"/>
          <w:szCs w:val="17"/>
        </w:rPr>
        <w:t>, October 5, 2020, accessed October 8, 2020, www.statista.com/statistics/266210/number-of-available-applications-in-the-google-play-store/.</w:t>
      </w:r>
    </w:p>
  </w:endnote>
  <w:endnote w:id="3">
    <w:p w14:paraId="11E8D217" w14:textId="4395AE2F" w:rsidR="00E608B0" w:rsidRPr="00004937" w:rsidRDefault="00E608B0" w:rsidP="000635A6">
      <w:pPr>
        <w:pStyle w:val="EndnoteText"/>
        <w:jc w:val="both"/>
        <w:rPr>
          <w:rFonts w:ascii="Arial" w:hAnsi="Arial" w:cs="Arial"/>
          <w:i/>
          <w:iCs/>
          <w:sz w:val="17"/>
          <w:szCs w:val="17"/>
          <w:lang w:val="en-IN"/>
        </w:rPr>
      </w:pPr>
      <w:r w:rsidRPr="00004937">
        <w:rPr>
          <w:rStyle w:val="EndnoteReference"/>
          <w:rFonts w:ascii="Arial" w:hAnsi="Arial" w:cs="Arial"/>
          <w:sz w:val="17"/>
          <w:szCs w:val="17"/>
        </w:rPr>
        <w:endnoteRef/>
      </w:r>
      <w:r w:rsidRPr="00004937">
        <w:rPr>
          <w:rFonts w:ascii="Arial" w:hAnsi="Arial" w:cs="Arial"/>
          <w:sz w:val="17"/>
          <w:szCs w:val="17"/>
        </w:rPr>
        <w:t xml:space="preserve"> Kritti Bhalla, “Google </w:t>
      </w:r>
      <w:r w:rsidRPr="00004937">
        <w:rPr>
          <w:rFonts w:ascii="Arial" w:hAnsi="Arial" w:cs="Arial"/>
          <w:sz w:val="17"/>
          <w:szCs w:val="17"/>
          <w:lang w:val="en-CA"/>
        </w:rPr>
        <w:t>E</w:t>
      </w:r>
      <w:r w:rsidRPr="00004937">
        <w:rPr>
          <w:rFonts w:ascii="Arial" w:hAnsi="Arial" w:cs="Arial"/>
          <w:sz w:val="17"/>
          <w:szCs w:val="17"/>
        </w:rPr>
        <w:t xml:space="preserve">nforces 30% </w:t>
      </w:r>
      <w:r w:rsidRPr="00004937">
        <w:rPr>
          <w:rFonts w:ascii="Arial" w:hAnsi="Arial" w:cs="Arial"/>
          <w:sz w:val="17"/>
          <w:szCs w:val="17"/>
          <w:lang w:val="en-CA"/>
        </w:rPr>
        <w:t>C</w:t>
      </w:r>
      <w:r w:rsidRPr="00004937">
        <w:rPr>
          <w:rFonts w:ascii="Arial" w:hAnsi="Arial" w:cs="Arial"/>
          <w:sz w:val="17"/>
          <w:szCs w:val="17"/>
        </w:rPr>
        <w:t xml:space="preserve">ommission for Play Store </w:t>
      </w:r>
      <w:r w:rsidRPr="00004937">
        <w:rPr>
          <w:rFonts w:ascii="Arial" w:hAnsi="Arial" w:cs="Arial"/>
          <w:sz w:val="17"/>
          <w:szCs w:val="17"/>
          <w:lang w:val="en-CA"/>
        </w:rPr>
        <w:t>A</w:t>
      </w:r>
      <w:r w:rsidRPr="00004937">
        <w:rPr>
          <w:rFonts w:ascii="Arial" w:hAnsi="Arial" w:cs="Arial"/>
          <w:sz w:val="17"/>
          <w:szCs w:val="17"/>
        </w:rPr>
        <w:t xml:space="preserve">pps </w:t>
      </w:r>
      <w:r w:rsidRPr="00004937">
        <w:rPr>
          <w:rFonts w:ascii="Arial" w:hAnsi="Arial" w:cs="Arial"/>
          <w:sz w:val="17"/>
          <w:szCs w:val="17"/>
          <w:lang w:val="en-CA"/>
        </w:rPr>
        <w:t>T</w:t>
      </w:r>
      <w:r w:rsidRPr="00004937">
        <w:rPr>
          <w:rFonts w:ascii="Arial" w:hAnsi="Arial" w:cs="Arial"/>
          <w:sz w:val="17"/>
          <w:szCs w:val="17"/>
        </w:rPr>
        <w:t xml:space="preserve">ransactions,” </w:t>
      </w:r>
      <w:r w:rsidRPr="00E63A8C">
        <w:rPr>
          <w:rFonts w:ascii="Arial" w:hAnsi="Arial" w:cs="Arial"/>
          <w:sz w:val="17"/>
          <w:szCs w:val="17"/>
        </w:rPr>
        <w:t>Inc42</w:t>
      </w:r>
      <w:r w:rsidRPr="00004937">
        <w:rPr>
          <w:rFonts w:ascii="Arial" w:hAnsi="Arial" w:cs="Arial"/>
          <w:sz w:val="17"/>
          <w:szCs w:val="17"/>
        </w:rPr>
        <w:t>, September 29, 2020, accessed October 8, 2020, https://inc42.com/buzz/google-enforces-30-commission-for-play-store-apps-transactions</w:t>
      </w:r>
      <w:r w:rsidRPr="00004937">
        <w:rPr>
          <w:rFonts w:ascii="Arial" w:hAnsi="Arial" w:cs="Arial"/>
          <w:sz w:val="17"/>
          <w:szCs w:val="17"/>
          <w:lang w:val="en-US"/>
        </w:rPr>
        <w:t xml:space="preserve">; </w:t>
      </w:r>
      <w:r w:rsidRPr="00004937">
        <w:rPr>
          <w:rFonts w:ascii="Arial" w:hAnsi="Arial" w:cs="Arial"/>
          <w:sz w:val="17"/>
          <w:szCs w:val="17"/>
          <w:lang w:val="en-IN"/>
        </w:rPr>
        <w:t>Daisuke Wakabayashi</w:t>
      </w:r>
      <w:r w:rsidRPr="00004937">
        <w:rPr>
          <w:rFonts w:ascii="Arial" w:hAnsi="Arial" w:cs="Arial"/>
          <w:sz w:val="17"/>
          <w:szCs w:val="17"/>
          <w:lang w:val="en-US"/>
        </w:rPr>
        <w:t>, “</w:t>
      </w:r>
      <w:r w:rsidRPr="00004937">
        <w:rPr>
          <w:rFonts w:ascii="Arial" w:hAnsi="Arial" w:cs="Arial"/>
          <w:sz w:val="17"/>
          <w:szCs w:val="17"/>
          <w:lang w:val="en-IN"/>
        </w:rPr>
        <w:t xml:space="preserve">Google Demands 30% Cut from App Developers in Its Play Store,” </w:t>
      </w:r>
      <w:r>
        <w:rPr>
          <w:rFonts w:ascii="Arial" w:hAnsi="Arial" w:cs="Arial"/>
          <w:i/>
          <w:sz w:val="17"/>
          <w:szCs w:val="17"/>
          <w:lang w:val="en-IN"/>
        </w:rPr>
        <w:t xml:space="preserve">The </w:t>
      </w:r>
      <w:r w:rsidRPr="00004937">
        <w:rPr>
          <w:rFonts w:ascii="Arial" w:hAnsi="Arial" w:cs="Arial"/>
          <w:i/>
          <w:iCs/>
          <w:sz w:val="17"/>
          <w:szCs w:val="17"/>
          <w:lang w:val="en-IN"/>
        </w:rPr>
        <w:t>New York Times</w:t>
      </w:r>
      <w:r w:rsidRPr="00004937">
        <w:rPr>
          <w:rFonts w:ascii="Arial" w:hAnsi="Arial" w:cs="Arial"/>
          <w:sz w:val="17"/>
          <w:szCs w:val="17"/>
          <w:lang w:val="en-IN"/>
        </w:rPr>
        <w:t>, September 28, 2020, accessed October 8, 2020, www.nytimes.com/2020/09/28/technology/google-play-store-30-percent.html.</w:t>
      </w:r>
    </w:p>
  </w:endnote>
  <w:endnote w:id="4">
    <w:p w14:paraId="36A763E5" w14:textId="1398BC9E"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CA"/>
        </w:rPr>
        <w:t>S</w:t>
      </w:r>
      <w:r w:rsidRPr="00004937">
        <w:rPr>
          <w:rFonts w:ascii="Arial" w:hAnsi="Arial" w:cs="Arial"/>
          <w:sz w:val="17"/>
          <w:szCs w:val="17"/>
        </w:rPr>
        <w:t xml:space="preserve">ameer Samat, </w:t>
      </w:r>
      <w:r w:rsidRPr="00004937">
        <w:rPr>
          <w:rFonts w:ascii="Arial" w:hAnsi="Arial" w:cs="Arial"/>
          <w:sz w:val="17"/>
          <w:szCs w:val="17"/>
          <w:lang w:val="en-CA"/>
        </w:rPr>
        <w:t>“</w:t>
      </w:r>
      <w:r w:rsidRPr="00004937">
        <w:rPr>
          <w:rFonts w:ascii="Arial" w:hAnsi="Arial" w:cs="Arial"/>
          <w:sz w:val="17"/>
          <w:szCs w:val="17"/>
        </w:rPr>
        <w:t>Listening to Developer Feedback to Improve Google Play,</w:t>
      </w:r>
      <w:r w:rsidRPr="00004937">
        <w:rPr>
          <w:rFonts w:ascii="Arial" w:hAnsi="Arial" w:cs="Arial"/>
          <w:sz w:val="17"/>
          <w:szCs w:val="17"/>
          <w:lang w:val="en-CA"/>
        </w:rPr>
        <w:t>”</w:t>
      </w:r>
      <w:r w:rsidRPr="00004937">
        <w:rPr>
          <w:rFonts w:ascii="Arial" w:hAnsi="Arial" w:cs="Arial"/>
          <w:sz w:val="17"/>
          <w:szCs w:val="17"/>
        </w:rPr>
        <w:t xml:space="preserve"> Android Developers Blog, September </w:t>
      </w:r>
      <w:r w:rsidRPr="00004937">
        <w:rPr>
          <w:rFonts w:ascii="Arial" w:hAnsi="Arial" w:cs="Arial"/>
          <w:sz w:val="17"/>
          <w:szCs w:val="17"/>
          <w:lang w:val="en-CA"/>
        </w:rPr>
        <w:t xml:space="preserve">28, </w:t>
      </w:r>
      <w:r w:rsidRPr="00004937">
        <w:rPr>
          <w:rFonts w:ascii="Arial" w:hAnsi="Arial" w:cs="Arial"/>
          <w:sz w:val="17"/>
          <w:szCs w:val="17"/>
        </w:rPr>
        <w:t>2020, accessed February 20, 2021</w:t>
      </w:r>
      <w:r w:rsidRPr="00004937">
        <w:rPr>
          <w:rFonts w:ascii="Arial" w:hAnsi="Arial" w:cs="Arial"/>
          <w:sz w:val="17"/>
          <w:szCs w:val="17"/>
          <w:lang w:val="en-CA"/>
        </w:rPr>
        <w:t xml:space="preserve">, </w:t>
      </w:r>
      <w:r w:rsidRPr="00004937">
        <w:rPr>
          <w:rFonts w:ascii="Arial" w:hAnsi="Arial" w:cs="Arial"/>
          <w:sz w:val="17"/>
          <w:szCs w:val="17"/>
        </w:rPr>
        <w:t>https://android-developers.googleblog.com/2020/09/listening-to-developer-feedback-to.html</w:t>
      </w:r>
      <w:r w:rsidRPr="00004937">
        <w:rPr>
          <w:rStyle w:val="Hyperlink"/>
          <w:rFonts w:ascii="Arial" w:hAnsi="Arial" w:cs="Arial"/>
          <w:sz w:val="17"/>
          <w:szCs w:val="17"/>
        </w:rPr>
        <w:t xml:space="preserve">; </w:t>
      </w:r>
      <w:r w:rsidRPr="00004937">
        <w:rPr>
          <w:rFonts w:ascii="Arial" w:hAnsi="Arial" w:cs="Arial"/>
          <w:sz w:val="17"/>
          <w:szCs w:val="17"/>
          <w:lang w:val="en-US"/>
        </w:rPr>
        <w:t xml:space="preserve">Felix Richter, “The App Store Model,” </w:t>
      </w:r>
      <w:r w:rsidRPr="00613B53">
        <w:rPr>
          <w:rFonts w:ascii="Arial" w:hAnsi="Arial" w:cs="Arial"/>
          <w:iCs/>
          <w:sz w:val="17"/>
          <w:szCs w:val="17"/>
          <w:lang w:val="en-US"/>
        </w:rPr>
        <w:t>Statista,</w:t>
      </w:r>
      <w:r w:rsidRPr="00004937">
        <w:rPr>
          <w:rFonts w:ascii="Arial" w:hAnsi="Arial" w:cs="Arial"/>
          <w:sz w:val="17"/>
          <w:szCs w:val="17"/>
          <w:lang w:val="en-US"/>
        </w:rPr>
        <w:t xml:space="preserve"> August 18, 2020, accessed October 8, 2020, www.statista.com/chart/22614/commissions-charged-by-app-stores.</w:t>
      </w:r>
    </w:p>
  </w:endnote>
  <w:endnote w:id="5">
    <w:p w14:paraId="57163311" w14:textId="70C606B6" w:rsidR="00E608B0" w:rsidRPr="00004937" w:rsidRDefault="00E608B0" w:rsidP="00C50966">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Sameer Samat, </w:t>
      </w:r>
      <w:r w:rsidRPr="00004937">
        <w:rPr>
          <w:rFonts w:ascii="Arial" w:hAnsi="Arial" w:cs="Arial"/>
          <w:sz w:val="17"/>
          <w:szCs w:val="17"/>
          <w:lang w:val="en-CA"/>
        </w:rPr>
        <w:t>op. cit</w:t>
      </w:r>
      <w:r>
        <w:rPr>
          <w:rFonts w:ascii="Arial" w:hAnsi="Arial" w:cs="Arial"/>
          <w:sz w:val="17"/>
          <w:szCs w:val="17"/>
          <w:lang w:val="en-CA"/>
        </w:rPr>
        <w:t>.</w:t>
      </w:r>
    </w:p>
  </w:endnote>
  <w:endnote w:id="6">
    <w:p w14:paraId="0DCBAA1C" w14:textId="3FF3AFCB" w:rsidR="00E608B0" w:rsidRPr="00004937" w:rsidRDefault="00E608B0" w:rsidP="007414AD">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CA"/>
        </w:rPr>
        <w:t>Ibid</w:t>
      </w:r>
      <w:r>
        <w:rPr>
          <w:rFonts w:ascii="Arial" w:hAnsi="Arial" w:cs="Arial"/>
          <w:sz w:val="17"/>
          <w:szCs w:val="17"/>
          <w:lang w:val="en-CA"/>
        </w:rPr>
        <w:t>.;</w:t>
      </w:r>
      <w:r w:rsidRPr="00004937">
        <w:rPr>
          <w:rFonts w:ascii="Arial" w:hAnsi="Arial" w:cs="Arial"/>
          <w:sz w:val="17"/>
          <w:szCs w:val="17"/>
        </w:rPr>
        <w:t xml:space="preserve"> Grady McGregor, “Tech </w:t>
      </w:r>
      <w:r w:rsidRPr="00004937">
        <w:rPr>
          <w:rFonts w:ascii="Arial" w:hAnsi="Arial" w:cs="Arial"/>
          <w:sz w:val="17"/>
          <w:szCs w:val="17"/>
          <w:lang w:val="en-CA"/>
        </w:rPr>
        <w:t>F</w:t>
      </w:r>
      <w:r w:rsidRPr="00004937">
        <w:rPr>
          <w:rFonts w:ascii="Arial" w:hAnsi="Arial" w:cs="Arial"/>
          <w:sz w:val="17"/>
          <w:szCs w:val="17"/>
        </w:rPr>
        <w:t xml:space="preserve">irms in India </w:t>
      </w:r>
      <w:r w:rsidRPr="00004937">
        <w:rPr>
          <w:rFonts w:ascii="Arial" w:hAnsi="Arial" w:cs="Arial"/>
          <w:sz w:val="17"/>
          <w:szCs w:val="17"/>
          <w:lang w:val="en-CA"/>
        </w:rPr>
        <w:t>C</w:t>
      </w:r>
      <w:r w:rsidRPr="00004937">
        <w:rPr>
          <w:rFonts w:ascii="Arial" w:hAnsi="Arial" w:cs="Arial"/>
          <w:sz w:val="17"/>
          <w:szCs w:val="17"/>
        </w:rPr>
        <w:t xml:space="preserve">oalesce around a </w:t>
      </w:r>
      <w:r w:rsidRPr="00004937">
        <w:rPr>
          <w:rFonts w:ascii="Arial" w:hAnsi="Arial" w:cs="Arial"/>
          <w:sz w:val="17"/>
          <w:szCs w:val="17"/>
          <w:lang w:val="en-CA"/>
        </w:rPr>
        <w:t>C</w:t>
      </w:r>
      <w:r w:rsidRPr="00004937">
        <w:rPr>
          <w:rFonts w:ascii="Arial" w:hAnsi="Arial" w:cs="Arial"/>
          <w:sz w:val="17"/>
          <w:szCs w:val="17"/>
        </w:rPr>
        <w:t xml:space="preserve">ommon </w:t>
      </w:r>
      <w:r w:rsidRPr="00004937">
        <w:rPr>
          <w:rFonts w:ascii="Arial" w:hAnsi="Arial" w:cs="Arial"/>
          <w:sz w:val="17"/>
          <w:szCs w:val="17"/>
          <w:lang w:val="en-CA"/>
        </w:rPr>
        <w:t>F</w:t>
      </w:r>
      <w:r w:rsidRPr="00004937">
        <w:rPr>
          <w:rFonts w:ascii="Arial" w:hAnsi="Arial" w:cs="Arial"/>
          <w:sz w:val="17"/>
          <w:szCs w:val="17"/>
        </w:rPr>
        <w:t>oe: Google’s ‘</w:t>
      </w:r>
      <w:r w:rsidRPr="00004937">
        <w:rPr>
          <w:rFonts w:ascii="Arial" w:hAnsi="Arial" w:cs="Arial"/>
          <w:sz w:val="17"/>
          <w:szCs w:val="17"/>
          <w:lang w:val="en-CA"/>
        </w:rPr>
        <w:t>M</w:t>
      </w:r>
      <w:r w:rsidRPr="00004937">
        <w:rPr>
          <w:rFonts w:ascii="Arial" w:hAnsi="Arial" w:cs="Arial"/>
          <w:sz w:val="17"/>
          <w:szCs w:val="17"/>
        </w:rPr>
        <w:t>onopoly,</w:t>
      </w:r>
      <w:r w:rsidRPr="00004937">
        <w:rPr>
          <w:rFonts w:ascii="Arial" w:hAnsi="Arial" w:cs="Arial"/>
          <w:sz w:val="17"/>
          <w:szCs w:val="17"/>
          <w:lang w:val="en-CA"/>
        </w:rPr>
        <w:t>’</w:t>
      </w:r>
      <w:r w:rsidRPr="00004937">
        <w:rPr>
          <w:rFonts w:ascii="Arial" w:hAnsi="Arial" w:cs="Arial"/>
          <w:sz w:val="17"/>
          <w:szCs w:val="17"/>
        </w:rPr>
        <w:t xml:space="preserve">” </w:t>
      </w:r>
      <w:r w:rsidRPr="00004937">
        <w:rPr>
          <w:rFonts w:ascii="Arial" w:hAnsi="Arial" w:cs="Arial"/>
          <w:i/>
          <w:iCs/>
          <w:sz w:val="17"/>
          <w:szCs w:val="17"/>
        </w:rPr>
        <w:t>Fortune</w:t>
      </w:r>
      <w:r w:rsidRPr="00004937">
        <w:rPr>
          <w:rFonts w:ascii="Arial" w:hAnsi="Arial" w:cs="Arial"/>
          <w:sz w:val="17"/>
          <w:szCs w:val="17"/>
        </w:rPr>
        <w:t>, October 6, 2020, accessed October 8, 2020, https://fortune.com/2020/10/06/google-india-monopoly-paytm-ceo-play-store-fee-commission.</w:t>
      </w:r>
    </w:p>
  </w:endnote>
  <w:endnote w:id="7">
    <w:p w14:paraId="09B1FD6E" w14:textId="02ABE494" w:rsidR="00E608B0" w:rsidRPr="00004937" w:rsidRDefault="00E608B0" w:rsidP="0094040B">
      <w:pPr>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Ashwin Manikandan,</w:t>
      </w:r>
      <w:r w:rsidRPr="00004937">
        <w:rPr>
          <w:rFonts w:ascii="Arial" w:hAnsi="Arial" w:cs="Arial"/>
          <w:color w:val="000000"/>
          <w:sz w:val="17"/>
          <w:szCs w:val="17"/>
          <w:shd w:val="clear" w:color="auto" w:fill="FFFFFF"/>
        </w:rPr>
        <w:t xml:space="preserve"> </w:t>
      </w:r>
      <w:r>
        <w:rPr>
          <w:rFonts w:ascii="Arial" w:hAnsi="Arial" w:cs="Arial"/>
          <w:color w:val="000000"/>
          <w:sz w:val="17"/>
          <w:szCs w:val="17"/>
          <w:shd w:val="clear" w:color="auto" w:fill="FFFFFF"/>
        </w:rPr>
        <w:t>“</w:t>
      </w:r>
      <w:r w:rsidRPr="00004937">
        <w:rPr>
          <w:rFonts w:ascii="Arial" w:hAnsi="Arial" w:cs="Arial"/>
          <w:color w:val="000000"/>
          <w:sz w:val="17"/>
          <w:szCs w:val="17"/>
          <w:shd w:val="clear" w:color="auto" w:fill="FFFFFF"/>
        </w:rPr>
        <w:t xml:space="preserve">Deferment of 30% Fee Shows Google’s Guilt: Vijay Shekhar Sharma, CEO, Paytm,” </w:t>
      </w:r>
      <w:r w:rsidRPr="00004937">
        <w:rPr>
          <w:rFonts w:ascii="Arial" w:hAnsi="Arial" w:cs="Arial"/>
          <w:i/>
          <w:iCs/>
          <w:color w:val="000000"/>
          <w:sz w:val="17"/>
          <w:szCs w:val="17"/>
          <w:shd w:val="clear" w:color="auto" w:fill="FFFFFF"/>
        </w:rPr>
        <w:t>The Economic Times</w:t>
      </w:r>
      <w:r w:rsidRPr="00004937">
        <w:rPr>
          <w:rFonts w:ascii="Arial" w:hAnsi="Arial" w:cs="Arial"/>
          <w:color w:val="000000"/>
          <w:sz w:val="17"/>
          <w:szCs w:val="17"/>
          <w:shd w:val="clear" w:color="auto" w:fill="FFFFFF"/>
        </w:rPr>
        <w:t>, October 6, 2020, accessed October 8, 2020, https://economictimes.indiatimes.com/small-biz/startups/newsbuzz/deferment-of-30-fee-shows-googles-guilt-vijay-shekhar-sharma-ceo-paytm/articleshow/78505288.cms.</w:t>
      </w:r>
    </w:p>
  </w:endnote>
  <w:endnote w:id="8">
    <w:p w14:paraId="0D568E39" w14:textId="1EA7AA2F" w:rsidR="00E608B0" w:rsidRPr="00004937" w:rsidRDefault="00E608B0" w:rsidP="008C7FFE">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Mint, “</w:t>
      </w:r>
      <w:r w:rsidRPr="00004937">
        <w:rPr>
          <w:rFonts w:ascii="Arial" w:hAnsi="Arial" w:cs="Arial"/>
          <w:sz w:val="17"/>
          <w:szCs w:val="17"/>
        </w:rPr>
        <w:t xml:space="preserve">Paytm, </w:t>
      </w:r>
      <w:r w:rsidRPr="00004937">
        <w:rPr>
          <w:rFonts w:ascii="Arial" w:hAnsi="Arial" w:cs="Arial"/>
          <w:sz w:val="17"/>
          <w:szCs w:val="17"/>
          <w:lang w:val="en-CA"/>
        </w:rPr>
        <w:t>O</w:t>
      </w:r>
      <w:r w:rsidRPr="00004937">
        <w:rPr>
          <w:rFonts w:ascii="Arial" w:hAnsi="Arial" w:cs="Arial"/>
          <w:sz w:val="17"/>
          <w:szCs w:val="17"/>
        </w:rPr>
        <w:t xml:space="preserve">ther Indian </w:t>
      </w:r>
      <w:r w:rsidRPr="00004937">
        <w:rPr>
          <w:rFonts w:ascii="Arial" w:hAnsi="Arial" w:cs="Arial"/>
          <w:sz w:val="17"/>
          <w:szCs w:val="17"/>
          <w:lang w:val="en-CA"/>
        </w:rPr>
        <w:t>S</w:t>
      </w:r>
      <w:r w:rsidRPr="00004937">
        <w:rPr>
          <w:rFonts w:ascii="Arial" w:hAnsi="Arial" w:cs="Arial"/>
          <w:sz w:val="17"/>
          <w:szCs w:val="17"/>
        </w:rPr>
        <w:t xml:space="preserve">tartups </w:t>
      </w:r>
      <w:r w:rsidRPr="00004937">
        <w:rPr>
          <w:rFonts w:ascii="Arial" w:hAnsi="Arial" w:cs="Arial"/>
          <w:sz w:val="17"/>
          <w:szCs w:val="17"/>
          <w:lang w:val="en-CA"/>
        </w:rPr>
        <w:t>V</w:t>
      </w:r>
      <w:r w:rsidRPr="00004937">
        <w:rPr>
          <w:rFonts w:ascii="Arial" w:hAnsi="Arial" w:cs="Arial"/>
          <w:sz w:val="17"/>
          <w:szCs w:val="17"/>
        </w:rPr>
        <w:t xml:space="preserve">ow to </w:t>
      </w:r>
      <w:r w:rsidRPr="00004937">
        <w:rPr>
          <w:rFonts w:ascii="Arial" w:hAnsi="Arial" w:cs="Arial"/>
          <w:sz w:val="17"/>
          <w:szCs w:val="17"/>
          <w:lang w:val="en-CA"/>
        </w:rPr>
        <w:t>F</w:t>
      </w:r>
      <w:r w:rsidRPr="00004937">
        <w:rPr>
          <w:rFonts w:ascii="Arial" w:hAnsi="Arial" w:cs="Arial"/>
          <w:sz w:val="17"/>
          <w:szCs w:val="17"/>
        </w:rPr>
        <w:t xml:space="preserve">ight </w:t>
      </w:r>
      <w:r w:rsidRPr="00004937">
        <w:rPr>
          <w:rFonts w:ascii="Arial" w:hAnsi="Arial" w:cs="Arial"/>
          <w:sz w:val="17"/>
          <w:szCs w:val="17"/>
          <w:lang w:val="en-CA"/>
        </w:rPr>
        <w:t>‘B</w:t>
      </w:r>
      <w:r w:rsidRPr="00004937">
        <w:rPr>
          <w:rFonts w:ascii="Arial" w:hAnsi="Arial" w:cs="Arial"/>
          <w:sz w:val="17"/>
          <w:szCs w:val="17"/>
        </w:rPr>
        <w:t xml:space="preserve">ig </w:t>
      </w:r>
      <w:r w:rsidRPr="00004937">
        <w:rPr>
          <w:rFonts w:ascii="Arial" w:hAnsi="Arial" w:cs="Arial"/>
          <w:sz w:val="17"/>
          <w:szCs w:val="17"/>
          <w:lang w:val="en-CA"/>
        </w:rPr>
        <w:t>D</w:t>
      </w:r>
      <w:r w:rsidRPr="00004937">
        <w:rPr>
          <w:rFonts w:ascii="Arial" w:hAnsi="Arial" w:cs="Arial"/>
          <w:sz w:val="17"/>
          <w:szCs w:val="17"/>
        </w:rPr>
        <w:t>addy</w:t>
      </w:r>
      <w:r w:rsidRPr="00004937">
        <w:rPr>
          <w:rFonts w:ascii="Arial" w:hAnsi="Arial" w:cs="Arial"/>
          <w:sz w:val="17"/>
          <w:szCs w:val="17"/>
          <w:lang w:val="en-CA"/>
        </w:rPr>
        <w:t>’</w:t>
      </w:r>
      <w:r w:rsidRPr="00004937">
        <w:rPr>
          <w:rFonts w:ascii="Arial" w:hAnsi="Arial" w:cs="Arial"/>
          <w:sz w:val="17"/>
          <w:szCs w:val="17"/>
        </w:rPr>
        <w:t xml:space="preserve"> Google</w:t>
      </w:r>
      <w:r w:rsidRPr="00004937">
        <w:rPr>
          <w:rFonts w:ascii="Arial" w:hAnsi="Arial" w:cs="Arial"/>
          <w:sz w:val="17"/>
          <w:szCs w:val="17"/>
          <w:lang w:val="en-CA"/>
        </w:rPr>
        <w:t>’</w:t>
      </w:r>
      <w:r w:rsidRPr="00004937">
        <w:rPr>
          <w:rFonts w:ascii="Arial" w:hAnsi="Arial" w:cs="Arial"/>
          <w:sz w:val="17"/>
          <w:szCs w:val="17"/>
        </w:rPr>
        <w:t xml:space="preserve">s </w:t>
      </w:r>
      <w:r w:rsidRPr="00004937">
        <w:rPr>
          <w:rFonts w:ascii="Arial" w:hAnsi="Arial" w:cs="Arial"/>
          <w:sz w:val="17"/>
          <w:szCs w:val="17"/>
          <w:lang w:val="en-CA"/>
        </w:rPr>
        <w:t>C</w:t>
      </w:r>
      <w:r w:rsidRPr="00004937">
        <w:rPr>
          <w:rFonts w:ascii="Arial" w:hAnsi="Arial" w:cs="Arial"/>
          <w:sz w:val="17"/>
          <w:szCs w:val="17"/>
        </w:rPr>
        <w:t>lout: Report,” Reuters, October 3, 2020, accessed October 11, 2020, www.livemint.com/companies/news/paytm-other-indian-startups-vow-to-fight-big-daddy-google-s-clout-report-11601725467884.html; Megha Mandavia and Ashwin Manikandan, “</w:t>
      </w:r>
      <w:r w:rsidRPr="00004937">
        <w:rPr>
          <w:rFonts w:ascii="Arial" w:eastAsia="Times New Roman" w:hAnsi="Arial" w:cs="Arial"/>
          <w:sz w:val="17"/>
          <w:szCs w:val="17"/>
          <w:lang w:eastAsia="en-IN"/>
        </w:rPr>
        <w:t xml:space="preserve">Startups </w:t>
      </w:r>
      <w:r w:rsidRPr="00004937">
        <w:rPr>
          <w:rFonts w:ascii="Arial" w:eastAsia="Times New Roman" w:hAnsi="Arial" w:cs="Arial"/>
          <w:sz w:val="17"/>
          <w:szCs w:val="17"/>
          <w:lang w:val="en-CA" w:eastAsia="en-IN"/>
        </w:rPr>
        <w:t>A</w:t>
      </w:r>
      <w:r w:rsidRPr="00004937">
        <w:rPr>
          <w:rFonts w:ascii="Arial" w:eastAsia="Times New Roman" w:hAnsi="Arial" w:cs="Arial"/>
          <w:sz w:val="17"/>
          <w:szCs w:val="17"/>
          <w:lang w:eastAsia="en-IN"/>
        </w:rPr>
        <w:t xml:space="preserve">ccuse </w:t>
      </w:r>
      <w:r w:rsidRPr="00004937">
        <w:rPr>
          <w:rFonts w:ascii="Arial" w:eastAsia="Times New Roman" w:hAnsi="Arial" w:cs="Arial"/>
          <w:sz w:val="17"/>
          <w:szCs w:val="17"/>
          <w:lang w:val="en-CA" w:eastAsia="en-IN"/>
        </w:rPr>
        <w:t>‘G</w:t>
      </w:r>
      <w:r w:rsidRPr="00004937">
        <w:rPr>
          <w:rFonts w:ascii="Arial" w:eastAsia="Times New Roman" w:hAnsi="Arial" w:cs="Arial"/>
          <w:sz w:val="17"/>
          <w:szCs w:val="17"/>
          <w:lang w:eastAsia="en-IN"/>
        </w:rPr>
        <w:t>atekeeper</w:t>
      </w:r>
      <w:r w:rsidRPr="00004937">
        <w:rPr>
          <w:rFonts w:ascii="Arial" w:eastAsia="Times New Roman" w:hAnsi="Arial" w:cs="Arial"/>
          <w:sz w:val="17"/>
          <w:szCs w:val="17"/>
          <w:lang w:val="en-CA" w:eastAsia="en-IN"/>
        </w:rPr>
        <w:t>’</w:t>
      </w:r>
      <w:r w:rsidRPr="00004937">
        <w:rPr>
          <w:rFonts w:ascii="Arial" w:eastAsia="Times New Roman" w:hAnsi="Arial" w:cs="Arial"/>
          <w:sz w:val="17"/>
          <w:szCs w:val="17"/>
          <w:lang w:eastAsia="en-IN"/>
        </w:rPr>
        <w:t xml:space="preserve"> Google of </w:t>
      </w:r>
      <w:r w:rsidRPr="00004937">
        <w:rPr>
          <w:rFonts w:ascii="Arial" w:eastAsia="Times New Roman" w:hAnsi="Arial" w:cs="Arial"/>
          <w:sz w:val="17"/>
          <w:szCs w:val="17"/>
          <w:lang w:val="en-CA" w:eastAsia="en-IN"/>
        </w:rPr>
        <w:t>N</w:t>
      </w:r>
      <w:r w:rsidRPr="00004937">
        <w:rPr>
          <w:rFonts w:ascii="Arial" w:eastAsia="Times New Roman" w:hAnsi="Arial" w:cs="Arial"/>
          <w:sz w:val="17"/>
          <w:szCs w:val="17"/>
          <w:lang w:eastAsia="en-IN"/>
        </w:rPr>
        <w:t xml:space="preserve">ot </w:t>
      </w:r>
      <w:r w:rsidRPr="00004937">
        <w:rPr>
          <w:rFonts w:ascii="Arial" w:eastAsia="Times New Roman" w:hAnsi="Arial" w:cs="Arial"/>
          <w:sz w:val="17"/>
          <w:szCs w:val="17"/>
          <w:lang w:val="en-CA" w:eastAsia="en-IN"/>
        </w:rPr>
        <w:t>P</w:t>
      </w:r>
      <w:r w:rsidRPr="00004937">
        <w:rPr>
          <w:rFonts w:ascii="Arial" w:eastAsia="Times New Roman" w:hAnsi="Arial" w:cs="Arial"/>
          <w:sz w:val="17"/>
          <w:szCs w:val="17"/>
          <w:lang w:eastAsia="en-IN"/>
        </w:rPr>
        <w:t xml:space="preserve">laying </w:t>
      </w:r>
      <w:r w:rsidRPr="00004937">
        <w:rPr>
          <w:rFonts w:ascii="Arial" w:eastAsia="Times New Roman" w:hAnsi="Arial" w:cs="Arial"/>
          <w:sz w:val="17"/>
          <w:szCs w:val="17"/>
          <w:lang w:val="en-CA" w:eastAsia="en-IN"/>
        </w:rPr>
        <w:t>F</w:t>
      </w:r>
      <w:r w:rsidRPr="00004937">
        <w:rPr>
          <w:rFonts w:ascii="Arial" w:eastAsia="Times New Roman" w:hAnsi="Arial" w:cs="Arial"/>
          <w:sz w:val="17"/>
          <w:szCs w:val="17"/>
          <w:lang w:eastAsia="en-IN"/>
        </w:rPr>
        <w:t>air</w:t>
      </w:r>
      <w:r w:rsidRPr="00004937">
        <w:rPr>
          <w:rFonts w:ascii="Arial" w:hAnsi="Arial" w:cs="Arial"/>
          <w:sz w:val="17"/>
          <w:szCs w:val="17"/>
        </w:rPr>
        <w:t xml:space="preserve">,” </w:t>
      </w:r>
      <w:r w:rsidRPr="00E63A8C">
        <w:rPr>
          <w:rFonts w:ascii="Arial" w:hAnsi="Arial" w:cs="Arial"/>
          <w:i/>
          <w:iCs/>
          <w:sz w:val="17"/>
          <w:szCs w:val="17"/>
        </w:rPr>
        <w:t>The Economic Times</w:t>
      </w:r>
      <w:r w:rsidRPr="00004937">
        <w:rPr>
          <w:rFonts w:ascii="Arial" w:hAnsi="Arial" w:cs="Arial"/>
          <w:sz w:val="17"/>
          <w:szCs w:val="17"/>
        </w:rPr>
        <w:t xml:space="preserve">, September 30, 2020, accessed October 12, 2020, https://economictimes.indiatimes.com/internet/startups-accuse-gatekeeper-google-of-not-playing-fair/articleshow/78396140.cms; Saritha Rai, “56 Indian </w:t>
      </w:r>
      <w:r w:rsidRPr="00004937">
        <w:rPr>
          <w:rFonts w:ascii="Arial" w:hAnsi="Arial" w:cs="Arial"/>
          <w:sz w:val="17"/>
          <w:szCs w:val="17"/>
          <w:lang w:val="en-CA"/>
        </w:rPr>
        <w:t>S</w:t>
      </w:r>
      <w:r w:rsidRPr="00004937">
        <w:rPr>
          <w:rFonts w:ascii="Arial" w:hAnsi="Arial" w:cs="Arial"/>
          <w:sz w:val="17"/>
          <w:szCs w:val="17"/>
        </w:rPr>
        <w:t xml:space="preserve">tartups Get </w:t>
      </w:r>
      <w:r w:rsidRPr="00004937">
        <w:rPr>
          <w:rFonts w:ascii="Arial" w:hAnsi="Arial" w:cs="Arial"/>
          <w:sz w:val="17"/>
          <w:szCs w:val="17"/>
          <w:lang w:val="en-CA"/>
        </w:rPr>
        <w:t>o</w:t>
      </w:r>
      <w:r w:rsidRPr="00004937">
        <w:rPr>
          <w:rFonts w:ascii="Arial" w:hAnsi="Arial" w:cs="Arial"/>
          <w:sz w:val="17"/>
          <w:szCs w:val="17"/>
        </w:rPr>
        <w:t xml:space="preserve">n Zoom Call </w:t>
      </w:r>
      <w:r w:rsidRPr="00004937">
        <w:rPr>
          <w:rFonts w:ascii="Arial" w:hAnsi="Arial" w:cs="Arial"/>
          <w:sz w:val="17"/>
          <w:szCs w:val="17"/>
          <w:lang w:val="en-CA"/>
        </w:rPr>
        <w:t>t</w:t>
      </w:r>
      <w:r w:rsidRPr="00004937">
        <w:rPr>
          <w:rFonts w:ascii="Arial" w:hAnsi="Arial" w:cs="Arial"/>
          <w:sz w:val="17"/>
          <w:szCs w:val="17"/>
        </w:rPr>
        <w:t>o Fight Google, Facebook Dominance,” NDTV, October 1, 2020, accessed October 11, 2020, www.ndtv.com/india-news/56-indian-startups-get-on-zoom-call-to-fight-google-facebook-dominance-2303989.</w:t>
      </w:r>
    </w:p>
  </w:endnote>
  <w:endnote w:id="9">
    <w:p w14:paraId="0BD2F9C9" w14:textId="7FB348FA" w:rsidR="00E608B0" w:rsidRPr="00004937" w:rsidRDefault="00E608B0" w:rsidP="00C64F7C">
      <w:pPr>
        <w:pStyle w:val="EndnoteText"/>
        <w:jc w:val="both"/>
        <w:rPr>
          <w:rFonts w:ascii="Arial" w:hAnsi="Arial" w:cs="Arial"/>
          <w:sz w:val="17"/>
          <w:szCs w:val="17"/>
          <w:lang w:val="en-IN"/>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Nayantara Rai, “</w:t>
      </w:r>
      <w:r w:rsidRPr="00004937">
        <w:rPr>
          <w:rFonts w:ascii="Arial" w:hAnsi="Arial" w:cs="Arial"/>
          <w:sz w:val="17"/>
          <w:szCs w:val="17"/>
          <w:lang w:val="en-IN"/>
        </w:rPr>
        <w:t>Modi Govt to Challenge Google Play Store with India’s #aatmanirbhar App Store,” Times Now News, October 1, 2020, accessed October 9, 2020,</w:t>
      </w:r>
      <w:r w:rsidRPr="00004937">
        <w:rPr>
          <w:rFonts w:ascii="Arial" w:hAnsi="Arial" w:cs="Arial"/>
          <w:sz w:val="17"/>
          <w:szCs w:val="17"/>
        </w:rPr>
        <w:t xml:space="preserve"> </w:t>
      </w:r>
      <w:r w:rsidRPr="00004937">
        <w:rPr>
          <w:rFonts w:ascii="Arial" w:hAnsi="Arial" w:cs="Arial"/>
          <w:sz w:val="17"/>
          <w:szCs w:val="17"/>
          <w:lang w:val="en-IN"/>
        </w:rPr>
        <w:t>www.timesnownews.com/business-economy/companies/article/exclusive-modi-govt-to-challenge-google-play-store-with-indias-aatmanirbhar-app-store/661034.</w:t>
      </w:r>
    </w:p>
  </w:endnote>
  <w:endnote w:id="10">
    <w:p w14:paraId="4C9ACF76" w14:textId="54206218"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 xml:space="preserve">Google, “From the Garage to Googleplex,” </w:t>
      </w:r>
      <w:r w:rsidRPr="00E63A8C">
        <w:rPr>
          <w:rFonts w:ascii="Arial" w:hAnsi="Arial" w:cs="Arial"/>
          <w:sz w:val="17"/>
          <w:szCs w:val="17"/>
          <w:lang w:val="en-US"/>
        </w:rPr>
        <w:t>Our Story</w:t>
      </w:r>
      <w:r w:rsidRPr="00004937">
        <w:rPr>
          <w:rFonts w:ascii="Arial" w:hAnsi="Arial" w:cs="Arial"/>
          <w:sz w:val="17"/>
          <w:szCs w:val="17"/>
          <w:lang w:val="en-US"/>
        </w:rPr>
        <w:t>, accessed October 9, 2020, https://about.google/our-story.</w:t>
      </w:r>
    </w:p>
  </w:endnote>
  <w:endnote w:id="11">
    <w:p w14:paraId="6A15C8E4" w14:textId="383E04E0"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bookmarkStart w:id="0" w:name="_Hlk65146389"/>
      <w:r w:rsidRPr="00004937">
        <w:rPr>
          <w:rFonts w:ascii="Arial" w:hAnsi="Arial" w:cs="Arial"/>
          <w:sz w:val="17"/>
          <w:szCs w:val="17"/>
          <w:lang w:val="en-CA"/>
        </w:rPr>
        <w:t>“Helpful Products. For Everyone.,” Google, accessed February 20, 2021,</w:t>
      </w:r>
      <w:r w:rsidRPr="00004937">
        <w:rPr>
          <w:rFonts w:ascii="Arial" w:hAnsi="Arial" w:cs="Arial"/>
          <w:sz w:val="17"/>
          <w:szCs w:val="17"/>
        </w:rPr>
        <w:t xml:space="preserve"> </w:t>
      </w:r>
      <w:bookmarkEnd w:id="0"/>
      <w:r w:rsidRPr="00004937">
        <w:rPr>
          <w:rFonts w:ascii="Arial" w:hAnsi="Arial" w:cs="Arial"/>
          <w:sz w:val="17"/>
          <w:szCs w:val="17"/>
        </w:rPr>
        <w:t>https://about.google/products;</w:t>
      </w:r>
      <w:bookmarkStart w:id="1" w:name="_Hlk65146411"/>
      <w:r w:rsidRPr="00004937">
        <w:rPr>
          <w:rFonts w:ascii="Arial" w:hAnsi="Arial" w:cs="Arial"/>
          <w:sz w:val="17"/>
          <w:szCs w:val="17"/>
        </w:rPr>
        <w:t xml:space="preserve"> </w:t>
      </w:r>
      <w:r w:rsidRPr="00004937">
        <w:rPr>
          <w:rFonts w:ascii="Arial" w:hAnsi="Arial" w:cs="Arial"/>
          <w:sz w:val="17"/>
          <w:szCs w:val="17"/>
          <w:lang w:val="en-CA"/>
        </w:rPr>
        <w:t>“A Better Way to Pay, by Google,” Google Pay, accessed February 20, 2021,</w:t>
      </w:r>
      <w:r w:rsidRPr="00004937">
        <w:rPr>
          <w:rFonts w:ascii="Arial" w:hAnsi="Arial" w:cs="Arial"/>
          <w:sz w:val="17"/>
          <w:szCs w:val="17"/>
        </w:rPr>
        <w:t xml:space="preserve"> </w:t>
      </w:r>
      <w:bookmarkEnd w:id="1"/>
      <w:r w:rsidRPr="00004937">
        <w:rPr>
          <w:rFonts w:ascii="Arial" w:hAnsi="Arial" w:cs="Arial"/>
          <w:sz w:val="17"/>
          <w:szCs w:val="17"/>
        </w:rPr>
        <w:t>https://pay.google.com/about.</w:t>
      </w:r>
    </w:p>
  </w:endnote>
  <w:endnote w:id="12">
    <w:p w14:paraId="7CE4DDED" w14:textId="176CAF7A" w:rsidR="00E608B0" w:rsidRPr="00004937" w:rsidRDefault="00E608B0">
      <w:pPr>
        <w:pStyle w:val="EndnoteText"/>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CA"/>
        </w:rPr>
        <w:t>All currency amounts are in US</w:t>
      </w:r>
      <w:r>
        <w:rPr>
          <w:rFonts w:ascii="Arial" w:hAnsi="Arial" w:cs="Arial"/>
          <w:sz w:val="17"/>
          <w:szCs w:val="17"/>
          <w:lang w:val="en-CA"/>
        </w:rPr>
        <w:t xml:space="preserve"> dollars</w:t>
      </w:r>
      <w:r w:rsidRPr="00004937">
        <w:rPr>
          <w:rFonts w:ascii="Arial" w:hAnsi="Arial" w:cs="Arial"/>
          <w:sz w:val="17"/>
          <w:szCs w:val="17"/>
          <w:lang w:val="en-CA"/>
        </w:rPr>
        <w:t xml:space="preserve"> unless otherwise specified.</w:t>
      </w:r>
    </w:p>
  </w:endnote>
  <w:endnote w:id="13">
    <w:p w14:paraId="60C8C9AA" w14:textId="21D76255"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 xml:space="preserve">J. Clement, “Annual Revenue of Google from 2002 to 2019,” </w:t>
      </w:r>
      <w:r w:rsidRPr="00E63A8C">
        <w:rPr>
          <w:rFonts w:ascii="Arial" w:hAnsi="Arial" w:cs="Arial"/>
          <w:sz w:val="17"/>
          <w:szCs w:val="17"/>
          <w:lang w:val="en-US"/>
        </w:rPr>
        <w:t>Statista</w:t>
      </w:r>
      <w:r w:rsidRPr="00004937">
        <w:rPr>
          <w:rFonts w:ascii="Arial" w:hAnsi="Arial" w:cs="Arial"/>
          <w:sz w:val="17"/>
          <w:szCs w:val="17"/>
          <w:lang w:val="en-US"/>
        </w:rPr>
        <w:t>, February 2, 2020, accessed October 8, 2020, www.statista.com/statistics/266206/googles-annual-global-revenue.</w:t>
      </w:r>
    </w:p>
  </w:endnote>
  <w:endnote w:id="14">
    <w:p w14:paraId="11ED5BBF" w14:textId="48DD5A2A" w:rsidR="00E608B0" w:rsidRPr="00004937" w:rsidRDefault="00E608B0" w:rsidP="00C50966">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Nicholas Carlson, “</w:t>
      </w:r>
      <w:r w:rsidRPr="00004937">
        <w:rPr>
          <w:rFonts w:ascii="Arial" w:hAnsi="Arial" w:cs="Arial"/>
          <w:sz w:val="17"/>
          <w:szCs w:val="17"/>
        </w:rPr>
        <w:t xml:space="preserve">A </w:t>
      </w:r>
      <w:r w:rsidRPr="00004937">
        <w:rPr>
          <w:rFonts w:ascii="Arial" w:hAnsi="Arial" w:cs="Arial"/>
          <w:sz w:val="17"/>
          <w:szCs w:val="17"/>
          <w:lang w:val="en-CA"/>
        </w:rPr>
        <w:t>L</w:t>
      </w:r>
      <w:r w:rsidRPr="00004937">
        <w:rPr>
          <w:rFonts w:ascii="Arial" w:hAnsi="Arial" w:cs="Arial"/>
          <w:sz w:val="17"/>
          <w:szCs w:val="17"/>
        </w:rPr>
        <w:t xml:space="preserve">ist of </w:t>
      </w:r>
      <w:r w:rsidRPr="00004937">
        <w:rPr>
          <w:rFonts w:ascii="Arial" w:hAnsi="Arial" w:cs="Arial"/>
          <w:sz w:val="17"/>
          <w:szCs w:val="17"/>
          <w:lang w:val="en-CA"/>
        </w:rPr>
        <w:t>P</w:t>
      </w:r>
      <w:r w:rsidRPr="00004937">
        <w:rPr>
          <w:rFonts w:ascii="Arial" w:hAnsi="Arial" w:cs="Arial"/>
          <w:sz w:val="17"/>
          <w:szCs w:val="17"/>
        </w:rPr>
        <w:t xml:space="preserve">roducts Larry Page </w:t>
      </w:r>
      <w:r w:rsidRPr="00004937">
        <w:rPr>
          <w:rFonts w:ascii="Arial" w:hAnsi="Arial" w:cs="Arial"/>
          <w:sz w:val="17"/>
          <w:szCs w:val="17"/>
          <w:lang w:val="en-CA"/>
        </w:rPr>
        <w:t>H</w:t>
      </w:r>
      <w:r w:rsidRPr="00004937">
        <w:rPr>
          <w:rFonts w:ascii="Arial" w:hAnsi="Arial" w:cs="Arial"/>
          <w:sz w:val="17"/>
          <w:szCs w:val="17"/>
        </w:rPr>
        <w:t xml:space="preserve">as Google </w:t>
      </w:r>
      <w:r w:rsidRPr="00004937">
        <w:rPr>
          <w:rFonts w:ascii="Arial" w:hAnsi="Arial" w:cs="Arial"/>
          <w:sz w:val="17"/>
          <w:szCs w:val="17"/>
          <w:lang w:val="en-CA"/>
        </w:rPr>
        <w:t>W</w:t>
      </w:r>
      <w:r w:rsidRPr="00004937">
        <w:rPr>
          <w:rFonts w:ascii="Arial" w:hAnsi="Arial" w:cs="Arial"/>
          <w:sz w:val="17"/>
          <w:szCs w:val="17"/>
        </w:rPr>
        <w:t xml:space="preserve">orking on </w:t>
      </w:r>
      <w:r w:rsidRPr="00004937">
        <w:rPr>
          <w:rFonts w:ascii="Arial" w:hAnsi="Arial" w:cs="Arial"/>
          <w:sz w:val="17"/>
          <w:szCs w:val="17"/>
          <w:lang w:val="en-CA"/>
        </w:rPr>
        <w:t>O</w:t>
      </w:r>
      <w:r w:rsidRPr="00004937">
        <w:rPr>
          <w:rFonts w:ascii="Arial" w:hAnsi="Arial" w:cs="Arial"/>
          <w:sz w:val="17"/>
          <w:szCs w:val="17"/>
        </w:rPr>
        <w:t xml:space="preserve">ther than Search, </w:t>
      </w:r>
      <w:r w:rsidRPr="00004937">
        <w:rPr>
          <w:rFonts w:ascii="Arial" w:hAnsi="Arial" w:cs="Arial"/>
          <w:sz w:val="17"/>
          <w:szCs w:val="17"/>
          <w:lang w:val="en-CA"/>
        </w:rPr>
        <w:t>S</w:t>
      </w:r>
      <w:r w:rsidRPr="00004937">
        <w:rPr>
          <w:rFonts w:ascii="Arial" w:hAnsi="Arial" w:cs="Arial"/>
          <w:sz w:val="17"/>
          <w:szCs w:val="17"/>
        </w:rPr>
        <w:t xml:space="preserve">uch as Spoons,” </w:t>
      </w:r>
      <w:r w:rsidRPr="00E63A8C">
        <w:rPr>
          <w:rFonts w:ascii="Arial" w:hAnsi="Arial" w:cs="Arial"/>
          <w:sz w:val="17"/>
          <w:szCs w:val="17"/>
        </w:rPr>
        <w:t>Business Insider</w:t>
      </w:r>
      <w:r w:rsidRPr="00004937">
        <w:rPr>
          <w:rFonts w:ascii="Arial" w:hAnsi="Arial" w:cs="Arial"/>
          <w:sz w:val="17"/>
          <w:szCs w:val="17"/>
        </w:rPr>
        <w:t>, September 23, 2014, accessed September 29, 2020, www.businessinsider.in/tech/A-List-Of-Products-Larry-Page-Has-Google-Working-On-Other-Than-Search-Such-As-Spoons/articleshow/43188003.cms</w:t>
      </w:r>
      <w:r w:rsidRPr="00004937">
        <w:rPr>
          <w:rFonts w:ascii="Arial" w:hAnsi="Arial" w:cs="Arial"/>
          <w:sz w:val="17"/>
          <w:szCs w:val="17"/>
          <w:lang w:val="en-CA"/>
        </w:rPr>
        <w:t>.</w:t>
      </w:r>
    </w:p>
  </w:endnote>
  <w:endnote w:id="15">
    <w:p w14:paraId="59E571D2" w14:textId="3F948728" w:rsidR="00E608B0" w:rsidRPr="00004937" w:rsidRDefault="00E608B0" w:rsidP="00EE6658">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Kristijan Lucic, “What </w:t>
      </w:r>
      <w:r w:rsidRPr="00004937">
        <w:rPr>
          <w:rFonts w:ascii="Arial" w:hAnsi="Arial" w:cs="Arial"/>
          <w:sz w:val="17"/>
          <w:szCs w:val="17"/>
          <w:lang w:val="en-CA"/>
        </w:rPr>
        <w:t>I</w:t>
      </w:r>
      <w:r w:rsidRPr="00004937">
        <w:rPr>
          <w:rFonts w:ascii="Arial" w:hAnsi="Arial" w:cs="Arial"/>
          <w:sz w:val="17"/>
          <w:szCs w:val="17"/>
        </w:rPr>
        <w:t xml:space="preserve">s Google Play Store? Everything </w:t>
      </w:r>
      <w:r w:rsidRPr="00004937">
        <w:rPr>
          <w:rFonts w:ascii="Arial" w:hAnsi="Arial" w:cs="Arial"/>
          <w:sz w:val="17"/>
          <w:szCs w:val="17"/>
          <w:lang w:val="en-CA"/>
        </w:rPr>
        <w:t>Y</w:t>
      </w:r>
      <w:r w:rsidRPr="00004937">
        <w:rPr>
          <w:rFonts w:ascii="Arial" w:hAnsi="Arial" w:cs="Arial"/>
          <w:sz w:val="17"/>
          <w:szCs w:val="17"/>
        </w:rPr>
        <w:t xml:space="preserve">ou </w:t>
      </w:r>
      <w:r w:rsidRPr="00004937">
        <w:rPr>
          <w:rFonts w:ascii="Arial" w:hAnsi="Arial" w:cs="Arial"/>
          <w:sz w:val="17"/>
          <w:szCs w:val="17"/>
          <w:lang w:val="en-CA"/>
        </w:rPr>
        <w:t>N</w:t>
      </w:r>
      <w:r w:rsidRPr="00004937">
        <w:rPr>
          <w:rFonts w:ascii="Arial" w:hAnsi="Arial" w:cs="Arial"/>
          <w:sz w:val="17"/>
          <w:szCs w:val="17"/>
        </w:rPr>
        <w:t xml:space="preserve">eed to </w:t>
      </w:r>
      <w:r w:rsidRPr="00004937">
        <w:rPr>
          <w:rFonts w:ascii="Arial" w:hAnsi="Arial" w:cs="Arial"/>
          <w:sz w:val="17"/>
          <w:szCs w:val="17"/>
          <w:lang w:val="en-CA"/>
        </w:rPr>
        <w:t>K</w:t>
      </w:r>
      <w:r w:rsidRPr="00004937">
        <w:rPr>
          <w:rFonts w:ascii="Arial" w:hAnsi="Arial" w:cs="Arial"/>
          <w:sz w:val="17"/>
          <w:szCs w:val="17"/>
        </w:rPr>
        <w:t xml:space="preserve">now,” </w:t>
      </w:r>
      <w:r w:rsidRPr="00E63A8C">
        <w:rPr>
          <w:rFonts w:ascii="Arial" w:hAnsi="Arial" w:cs="Arial"/>
          <w:sz w:val="17"/>
          <w:szCs w:val="17"/>
        </w:rPr>
        <w:t>Android Headlines</w:t>
      </w:r>
      <w:r w:rsidRPr="00004937">
        <w:rPr>
          <w:rFonts w:ascii="Arial" w:hAnsi="Arial" w:cs="Arial"/>
          <w:sz w:val="17"/>
          <w:szCs w:val="17"/>
        </w:rPr>
        <w:t>, April 3, 2020, accessed September 29, 2020, www.androidheadlines.com/what-is-google-play-store.html.</w:t>
      </w:r>
    </w:p>
  </w:endnote>
  <w:endnote w:id="16">
    <w:p w14:paraId="524C7169" w14:textId="032B734F" w:rsidR="00E608B0" w:rsidRPr="00004937" w:rsidRDefault="00E608B0" w:rsidP="00C64F7C">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CA"/>
        </w:rPr>
        <w:t>“</w:t>
      </w:r>
      <w:r w:rsidRPr="00004937">
        <w:rPr>
          <w:rFonts w:ascii="Arial" w:hAnsi="Arial" w:cs="Arial"/>
          <w:sz w:val="17"/>
          <w:szCs w:val="17"/>
        </w:rPr>
        <w:t xml:space="preserve">Find the Google Play Store </w:t>
      </w:r>
      <w:r w:rsidRPr="00004937">
        <w:rPr>
          <w:rFonts w:ascii="Arial" w:hAnsi="Arial" w:cs="Arial"/>
          <w:sz w:val="17"/>
          <w:szCs w:val="17"/>
          <w:lang w:val="en-CA"/>
        </w:rPr>
        <w:t>A</w:t>
      </w:r>
      <w:r w:rsidRPr="00004937">
        <w:rPr>
          <w:rFonts w:ascii="Arial" w:hAnsi="Arial" w:cs="Arial"/>
          <w:sz w:val="17"/>
          <w:szCs w:val="17"/>
        </w:rPr>
        <w:t>pp,</w:t>
      </w:r>
      <w:r w:rsidRPr="00004937">
        <w:rPr>
          <w:rFonts w:ascii="Arial" w:hAnsi="Arial" w:cs="Arial"/>
          <w:sz w:val="17"/>
          <w:szCs w:val="17"/>
          <w:lang w:val="en-CA"/>
        </w:rPr>
        <w:t>”</w:t>
      </w:r>
      <w:r w:rsidRPr="00004937">
        <w:rPr>
          <w:rFonts w:ascii="Arial" w:hAnsi="Arial" w:cs="Arial"/>
          <w:sz w:val="17"/>
          <w:szCs w:val="17"/>
        </w:rPr>
        <w:t xml:space="preserve"> Google Play Help, accessed February 20, 2021,</w:t>
      </w:r>
      <w:r w:rsidRPr="00004937">
        <w:rPr>
          <w:rFonts w:ascii="Arial" w:hAnsi="Arial" w:cs="Arial"/>
          <w:sz w:val="17"/>
          <w:szCs w:val="17"/>
          <w:lang w:val="en-CA"/>
        </w:rPr>
        <w:t xml:space="preserve"> </w:t>
      </w:r>
      <w:r w:rsidRPr="00004937">
        <w:rPr>
          <w:rFonts w:ascii="Arial" w:hAnsi="Arial" w:cs="Arial"/>
          <w:sz w:val="17"/>
          <w:szCs w:val="17"/>
        </w:rPr>
        <w:t>https://support.google.com/googleplay/answer/190860?hl=en</w:t>
      </w:r>
      <w:r w:rsidRPr="00004937">
        <w:rPr>
          <w:rFonts w:ascii="Arial" w:hAnsi="Arial" w:cs="Arial"/>
          <w:sz w:val="17"/>
          <w:szCs w:val="17"/>
          <w:lang w:val="en-CA"/>
        </w:rPr>
        <w:t>.</w:t>
      </w:r>
    </w:p>
  </w:endnote>
  <w:endnote w:id="17">
    <w:p w14:paraId="0FC2881C" w14:textId="71E3199E" w:rsidR="00E608B0" w:rsidRPr="00004937" w:rsidRDefault="00E608B0" w:rsidP="00C50966">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NDTV, “</w:t>
      </w:r>
      <w:r w:rsidRPr="00004937">
        <w:rPr>
          <w:rFonts w:ascii="Arial" w:hAnsi="Arial" w:cs="Arial"/>
          <w:sz w:val="17"/>
          <w:szCs w:val="17"/>
        </w:rPr>
        <w:t xml:space="preserve">Over 500 </w:t>
      </w:r>
      <w:r w:rsidRPr="00004937">
        <w:rPr>
          <w:rFonts w:ascii="Arial" w:hAnsi="Arial" w:cs="Arial"/>
          <w:sz w:val="17"/>
          <w:szCs w:val="17"/>
          <w:lang w:val="en-CA"/>
        </w:rPr>
        <w:t>M</w:t>
      </w:r>
      <w:r w:rsidRPr="00004937">
        <w:rPr>
          <w:rFonts w:ascii="Arial" w:hAnsi="Arial" w:cs="Arial"/>
          <w:sz w:val="17"/>
          <w:szCs w:val="17"/>
        </w:rPr>
        <w:t xml:space="preserve">illion Indians </w:t>
      </w:r>
      <w:r w:rsidRPr="00004937">
        <w:rPr>
          <w:rFonts w:ascii="Arial" w:hAnsi="Arial" w:cs="Arial"/>
          <w:sz w:val="17"/>
          <w:szCs w:val="17"/>
          <w:lang w:val="en-CA"/>
        </w:rPr>
        <w:t>N</w:t>
      </w:r>
      <w:r w:rsidRPr="00004937">
        <w:rPr>
          <w:rFonts w:ascii="Arial" w:hAnsi="Arial" w:cs="Arial"/>
          <w:sz w:val="17"/>
          <w:szCs w:val="17"/>
        </w:rPr>
        <w:t xml:space="preserve">ow </w:t>
      </w:r>
      <w:r w:rsidRPr="00004937">
        <w:rPr>
          <w:rFonts w:ascii="Arial" w:hAnsi="Arial" w:cs="Arial"/>
          <w:sz w:val="17"/>
          <w:szCs w:val="17"/>
          <w:lang w:val="en-CA"/>
        </w:rPr>
        <w:t>U</w:t>
      </w:r>
      <w:r w:rsidRPr="00004937">
        <w:rPr>
          <w:rFonts w:ascii="Arial" w:hAnsi="Arial" w:cs="Arial"/>
          <w:sz w:val="17"/>
          <w:szCs w:val="17"/>
        </w:rPr>
        <w:t xml:space="preserve">se </w:t>
      </w:r>
      <w:r w:rsidRPr="00004937">
        <w:rPr>
          <w:rFonts w:ascii="Arial" w:hAnsi="Arial" w:cs="Arial"/>
          <w:sz w:val="17"/>
          <w:szCs w:val="17"/>
          <w:lang w:val="en-CA"/>
        </w:rPr>
        <w:t>S</w:t>
      </w:r>
      <w:r w:rsidRPr="00004937">
        <w:rPr>
          <w:rFonts w:ascii="Arial" w:hAnsi="Arial" w:cs="Arial"/>
          <w:sz w:val="17"/>
          <w:szCs w:val="17"/>
        </w:rPr>
        <w:t xml:space="preserve">martphones, 77 </w:t>
      </w:r>
      <w:r w:rsidRPr="00004937">
        <w:rPr>
          <w:rFonts w:ascii="Arial" w:hAnsi="Arial" w:cs="Arial"/>
          <w:sz w:val="17"/>
          <w:szCs w:val="17"/>
          <w:lang w:val="en-CA"/>
        </w:rPr>
        <w:t>P</w:t>
      </w:r>
      <w:r w:rsidRPr="00004937">
        <w:rPr>
          <w:rFonts w:ascii="Arial" w:hAnsi="Arial" w:cs="Arial"/>
          <w:sz w:val="17"/>
          <w:szCs w:val="17"/>
        </w:rPr>
        <w:t xml:space="preserve">ercent of </w:t>
      </w:r>
      <w:r w:rsidRPr="00004937">
        <w:rPr>
          <w:rFonts w:ascii="Arial" w:hAnsi="Arial" w:cs="Arial"/>
          <w:sz w:val="17"/>
          <w:szCs w:val="17"/>
          <w:lang w:val="en-CA"/>
        </w:rPr>
        <w:t>W</w:t>
      </w:r>
      <w:r w:rsidRPr="00004937">
        <w:rPr>
          <w:rFonts w:ascii="Arial" w:hAnsi="Arial" w:cs="Arial"/>
          <w:sz w:val="17"/>
          <w:szCs w:val="17"/>
        </w:rPr>
        <w:t xml:space="preserve">ho </w:t>
      </w:r>
      <w:r w:rsidRPr="00004937">
        <w:rPr>
          <w:rFonts w:ascii="Arial" w:hAnsi="Arial" w:cs="Arial"/>
          <w:sz w:val="17"/>
          <w:szCs w:val="17"/>
          <w:lang w:val="en-CA"/>
        </w:rPr>
        <w:t>A</w:t>
      </w:r>
      <w:r w:rsidRPr="00004937">
        <w:rPr>
          <w:rFonts w:ascii="Arial" w:hAnsi="Arial" w:cs="Arial"/>
          <w:sz w:val="17"/>
          <w:szCs w:val="17"/>
        </w:rPr>
        <w:t xml:space="preserve">re </w:t>
      </w:r>
      <w:r w:rsidRPr="00004937">
        <w:rPr>
          <w:rFonts w:ascii="Arial" w:hAnsi="Arial" w:cs="Arial"/>
          <w:sz w:val="17"/>
          <w:szCs w:val="17"/>
          <w:lang w:val="en-CA"/>
        </w:rPr>
        <w:t>O</w:t>
      </w:r>
      <w:r w:rsidRPr="00004937">
        <w:rPr>
          <w:rFonts w:ascii="Arial" w:hAnsi="Arial" w:cs="Arial"/>
          <w:sz w:val="17"/>
          <w:szCs w:val="17"/>
        </w:rPr>
        <w:t xml:space="preserve">nline: </w:t>
      </w:r>
      <w:r w:rsidRPr="00004937">
        <w:rPr>
          <w:rFonts w:ascii="Arial" w:hAnsi="Arial" w:cs="Arial"/>
          <w:sz w:val="17"/>
          <w:szCs w:val="17"/>
          <w:lang w:val="en-CA"/>
        </w:rPr>
        <w:t>T</w:t>
      </w:r>
      <w:r w:rsidRPr="00004937">
        <w:rPr>
          <w:rFonts w:ascii="Arial" w:hAnsi="Arial" w:cs="Arial"/>
          <w:sz w:val="17"/>
          <w:szCs w:val="17"/>
        </w:rPr>
        <w:t xml:space="preserve">ech ARC,” </w:t>
      </w:r>
      <w:r w:rsidRPr="00E63A8C">
        <w:rPr>
          <w:rFonts w:ascii="Arial" w:hAnsi="Arial" w:cs="Arial"/>
          <w:sz w:val="17"/>
          <w:szCs w:val="17"/>
        </w:rPr>
        <w:t>Gadgets 360</w:t>
      </w:r>
      <w:r w:rsidRPr="00E63A8C">
        <w:rPr>
          <w:rFonts w:ascii="Arial" w:hAnsi="Arial" w:cs="Arial"/>
          <w:sz w:val="17"/>
          <w:szCs w:val="17"/>
          <w:vertAlign w:val="superscript"/>
        </w:rPr>
        <w:t>o</w:t>
      </w:r>
      <w:r w:rsidRPr="00004937">
        <w:rPr>
          <w:rFonts w:ascii="Arial" w:hAnsi="Arial" w:cs="Arial"/>
          <w:sz w:val="17"/>
          <w:szCs w:val="17"/>
        </w:rPr>
        <w:t>, January 30, 2020, accessed October 9, 2020, https://gadgets.ndtv.com/mobiles/news/over-500-million-indians-now-use-smartphones-77-percent-of-who-are-online-techarc-2172219</w:t>
      </w:r>
      <w:r w:rsidRPr="00004937">
        <w:rPr>
          <w:rFonts w:ascii="Arial" w:hAnsi="Arial" w:cs="Arial"/>
          <w:sz w:val="17"/>
          <w:szCs w:val="17"/>
          <w:lang w:val="en-CA"/>
        </w:rPr>
        <w:t>.</w:t>
      </w:r>
    </w:p>
  </w:endnote>
  <w:endnote w:id="18">
    <w:p w14:paraId="34EC50B8" w14:textId="676731BD" w:rsidR="00E608B0" w:rsidRPr="00004937" w:rsidRDefault="00E608B0" w:rsidP="00C50966">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Rishabh Mansur, “</w:t>
      </w:r>
      <w:r w:rsidRPr="00004937">
        <w:rPr>
          <w:rFonts w:ascii="Arial" w:hAnsi="Arial" w:cs="Arial"/>
          <w:sz w:val="17"/>
          <w:szCs w:val="17"/>
        </w:rPr>
        <w:t xml:space="preserve">25 </w:t>
      </w:r>
      <w:r w:rsidRPr="00004937">
        <w:rPr>
          <w:rFonts w:ascii="Arial" w:hAnsi="Arial" w:cs="Arial"/>
          <w:sz w:val="17"/>
          <w:szCs w:val="17"/>
          <w:lang w:val="en-CA"/>
        </w:rPr>
        <w:t>Y</w:t>
      </w:r>
      <w:r w:rsidRPr="00004937">
        <w:rPr>
          <w:rFonts w:ascii="Arial" w:hAnsi="Arial" w:cs="Arial"/>
          <w:sz w:val="17"/>
          <w:szCs w:val="17"/>
        </w:rPr>
        <w:t xml:space="preserve">ears of </w:t>
      </w:r>
      <w:r w:rsidRPr="00004937">
        <w:rPr>
          <w:rFonts w:ascii="Arial" w:hAnsi="Arial" w:cs="Arial"/>
          <w:sz w:val="17"/>
          <w:szCs w:val="17"/>
          <w:lang w:val="en-CA"/>
        </w:rPr>
        <w:t>M</w:t>
      </w:r>
      <w:r w:rsidRPr="00004937">
        <w:rPr>
          <w:rFonts w:ascii="Arial" w:hAnsi="Arial" w:cs="Arial"/>
          <w:sz w:val="17"/>
          <w:szCs w:val="17"/>
        </w:rPr>
        <w:t xml:space="preserve">obile </w:t>
      </w:r>
      <w:r w:rsidRPr="00004937">
        <w:rPr>
          <w:rFonts w:ascii="Arial" w:hAnsi="Arial" w:cs="Arial"/>
          <w:sz w:val="17"/>
          <w:szCs w:val="17"/>
          <w:lang w:val="en-CA"/>
        </w:rPr>
        <w:t>P</w:t>
      </w:r>
      <w:r w:rsidRPr="00004937">
        <w:rPr>
          <w:rFonts w:ascii="Arial" w:hAnsi="Arial" w:cs="Arial"/>
          <w:sz w:val="17"/>
          <w:szCs w:val="17"/>
        </w:rPr>
        <w:t xml:space="preserve">hones: India’s </w:t>
      </w:r>
      <w:r w:rsidRPr="00004937">
        <w:rPr>
          <w:rFonts w:ascii="Arial" w:hAnsi="Arial" w:cs="Arial"/>
          <w:sz w:val="17"/>
          <w:szCs w:val="17"/>
          <w:lang w:val="en-CA"/>
        </w:rPr>
        <w:t>J</w:t>
      </w:r>
      <w:r w:rsidRPr="00004937">
        <w:rPr>
          <w:rFonts w:ascii="Arial" w:hAnsi="Arial" w:cs="Arial"/>
          <w:sz w:val="17"/>
          <w:szCs w:val="17"/>
        </w:rPr>
        <w:t xml:space="preserve">ourney to </w:t>
      </w:r>
      <w:r w:rsidRPr="00004937">
        <w:rPr>
          <w:rFonts w:ascii="Arial" w:hAnsi="Arial" w:cs="Arial"/>
          <w:sz w:val="17"/>
          <w:szCs w:val="17"/>
          <w:lang w:val="en-CA"/>
        </w:rPr>
        <w:t>B</w:t>
      </w:r>
      <w:r w:rsidRPr="00004937">
        <w:rPr>
          <w:rFonts w:ascii="Arial" w:hAnsi="Arial" w:cs="Arial"/>
          <w:sz w:val="17"/>
          <w:szCs w:val="17"/>
        </w:rPr>
        <w:t xml:space="preserve">ecoming </w:t>
      </w:r>
      <w:r w:rsidRPr="00004937">
        <w:rPr>
          <w:rFonts w:ascii="Arial" w:hAnsi="Arial" w:cs="Arial"/>
          <w:sz w:val="17"/>
          <w:szCs w:val="17"/>
          <w:lang w:val="en-CA"/>
        </w:rPr>
        <w:t>W</w:t>
      </w:r>
      <w:r w:rsidRPr="00004937">
        <w:rPr>
          <w:rFonts w:ascii="Arial" w:hAnsi="Arial" w:cs="Arial"/>
          <w:sz w:val="17"/>
          <w:szCs w:val="17"/>
        </w:rPr>
        <w:t xml:space="preserve">orld’s </w:t>
      </w:r>
      <w:r w:rsidRPr="00004937">
        <w:rPr>
          <w:rFonts w:ascii="Arial" w:hAnsi="Arial" w:cs="Arial"/>
          <w:sz w:val="17"/>
          <w:szCs w:val="17"/>
          <w:lang w:val="en-CA"/>
        </w:rPr>
        <w:t>S</w:t>
      </w:r>
      <w:r w:rsidRPr="00004937">
        <w:rPr>
          <w:rFonts w:ascii="Arial" w:hAnsi="Arial" w:cs="Arial"/>
          <w:sz w:val="17"/>
          <w:szCs w:val="17"/>
        </w:rPr>
        <w:t>econd-</w:t>
      </w:r>
      <w:r w:rsidRPr="00004937">
        <w:rPr>
          <w:rFonts w:ascii="Arial" w:hAnsi="Arial" w:cs="Arial"/>
          <w:sz w:val="17"/>
          <w:szCs w:val="17"/>
          <w:lang w:val="en-CA"/>
        </w:rPr>
        <w:t>L</w:t>
      </w:r>
      <w:r w:rsidRPr="00004937">
        <w:rPr>
          <w:rFonts w:ascii="Arial" w:hAnsi="Arial" w:cs="Arial"/>
          <w:sz w:val="17"/>
          <w:szCs w:val="17"/>
        </w:rPr>
        <w:t xml:space="preserve">argest </w:t>
      </w:r>
      <w:r w:rsidRPr="00004937">
        <w:rPr>
          <w:rFonts w:ascii="Arial" w:hAnsi="Arial" w:cs="Arial"/>
          <w:sz w:val="17"/>
          <w:szCs w:val="17"/>
          <w:lang w:val="en-CA"/>
        </w:rPr>
        <w:t>S</w:t>
      </w:r>
      <w:r w:rsidRPr="00004937">
        <w:rPr>
          <w:rFonts w:ascii="Arial" w:hAnsi="Arial" w:cs="Arial"/>
          <w:sz w:val="17"/>
          <w:szCs w:val="17"/>
        </w:rPr>
        <w:t xml:space="preserve">martphone </w:t>
      </w:r>
      <w:r w:rsidRPr="00004937">
        <w:rPr>
          <w:rFonts w:ascii="Arial" w:hAnsi="Arial" w:cs="Arial"/>
          <w:sz w:val="17"/>
          <w:szCs w:val="17"/>
          <w:lang w:val="en-CA"/>
        </w:rPr>
        <w:t>M</w:t>
      </w:r>
      <w:r w:rsidRPr="00004937">
        <w:rPr>
          <w:rFonts w:ascii="Arial" w:hAnsi="Arial" w:cs="Arial"/>
          <w:sz w:val="17"/>
          <w:szCs w:val="17"/>
        </w:rPr>
        <w:t xml:space="preserve">arket,” </w:t>
      </w:r>
      <w:r w:rsidRPr="00E63A8C">
        <w:rPr>
          <w:rFonts w:ascii="Arial" w:hAnsi="Arial" w:cs="Arial"/>
          <w:sz w:val="17"/>
          <w:szCs w:val="17"/>
        </w:rPr>
        <w:t>Your</w:t>
      </w:r>
      <w:r w:rsidRPr="00004937">
        <w:rPr>
          <w:rFonts w:ascii="Arial" w:hAnsi="Arial" w:cs="Arial"/>
          <w:sz w:val="17"/>
          <w:szCs w:val="17"/>
          <w:lang w:val="en-CA"/>
        </w:rPr>
        <w:t>S</w:t>
      </w:r>
      <w:r w:rsidRPr="00E63A8C">
        <w:rPr>
          <w:rFonts w:ascii="Arial" w:hAnsi="Arial" w:cs="Arial"/>
          <w:sz w:val="17"/>
          <w:szCs w:val="17"/>
        </w:rPr>
        <w:t>tory</w:t>
      </w:r>
      <w:r w:rsidRPr="00004937">
        <w:rPr>
          <w:rFonts w:ascii="Arial" w:hAnsi="Arial" w:cs="Arial"/>
          <w:sz w:val="17"/>
          <w:szCs w:val="17"/>
        </w:rPr>
        <w:t>, August 1, 2020, accessed October 11, 2020, https://yourstory.com/2020/07/india-mobile-phones-smartphone-market-25-years.</w:t>
      </w:r>
    </w:p>
  </w:endnote>
  <w:endnote w:id="19">
    <w:p w14:paraId="68E185AC" w14:textId="5962A480" w:rsidR="00E608B0" w:rsidRPr="00004937" w:rsidRDefault="00E608B0" w:rsidP="00C50966">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J. Clement, “</w:t>
      </w:r>
      <w:r w:rsidRPr="00004937">
        <w:rPr>
          <w:rFonts w:ascii="Arial" w:hAnsi="Arial" w:cs="Arial"/>
          <w:sz w:val="17"/>
          <w:szCs w:val="17"/>
        </w:rPr>
        <w:t xml:space="preserve">Number of </w:t>
      </w:r>
      <w:r w:rsidRPr="00004937">
        <w:rPr>
          <w:rFonts w:ascii="Arial" w:hAnsi="Arial" w:cs="Arial"/>
          <w:sz w:val="17"/>
          <w:szCs w:val="17"/>
          <w:lang w:val="en-CA"/>
        </w:rPr>
        <w:t>A</w:t>
      </w:r>
      <w:r w:rsidRPr="00004937">
        <w:rPr>
          <w:rFonts w:ascii="Arial" w:hAnsi="Arial" w:cs="Arial"/>
          <w:sz w:val="17"/>
          <w:szCs w:val="17"/>
        </w:rPr>
        <w:t xml:space="preserve">pps </w:t>
      </w:r>
      <w:r w:rsidRPr="00004937">
        <w:rPr>
          <w:rFonts w:ascii="Arial" w:hAnsi="Arial" w:cs="Arial"/>
          <w:sz w:val="17"/>
          <w:szCs w:val="17"/>
          <w:lang w:val="en-CA"/>
        </w:rPr>
        <w:t>A</w:t>
      </w:r>
      <w:r w:rsidRPr="00004937">
        <w:rPr>
          <w:rFonts w:ascii="Arial" w:hAnsi="Arial" w:cs="Arial"/>
          <w:sz w:val="17"/>
          <w:szCs w:val="17"/>
        </w:rPr>
        <w:t xml:space="preserve">vailable in </w:t>
      </w:r>
      <w:r w:rsidRPr="00004937">
        <w:rPr>
          <w:rFonts w:ascii="Arial" w:hAnsi="Arial" w:cs="Arial"/>
          <w:sz w:val="17"/>
          <w:szCs w:val="17"/>
          <w:lang w:val="en-CA"/>
        </w:rPr>
        <w:t>L</w:t>
      </w:r>
      <w:r w:rsidRPr="00004937">
        <w:rPr>
          <w:rFonts w:ascii="Arial" w:hAnsi="Arial" w:cs="Arial"/>
          <w:sz w:val="17"/>
          <w:szCs w:val="17"/>
        </w:rPr>
        <w:t xml:space="preserve">eading </w:t>
      </w:r>
      <w:r w:rsidRPr="00004937">
        <w:rPr>
          <w:rFonts w:ascii="Arial" w:hAnsi="Arial" w:cs="Arial"/>
          <w:sz w:val="17"/>
          <w:szCs w:val="17"/>
          <w:lang w:val="en-CA"/>
        </w:rPr>
        <w:t>A</w:t>
      </w:r>
      <w:r w:rsidRPr="00004937">
        <w:rPr>
          <w:rFonts w:ascii="Arial" w:hAnsi="Arial" w:cs="Arial"/>
          <w:sz w:val="17"/>
          <w:szCs w:val="17"/>
        </w:rPr>
        <w:t xml:space="preserve">pp </w:t>
      </w:r>
      <w:r w:rsidRPr="00004937">
        <w:rPr>
          <w:rFonts w:ascii="Arial" w:hAnsi="Arial" w:cs="Arial"/>
          <w:sz w:val="17"/>
          <w:szCs w:val="17"/>
          <w:lang w:val="en-CA"/>
        </w:rPr>
        <w:t>S</w:t>
      </w:r>
      <w:r w:rsidRPr="00004937">
        <w:rPr>
          <w:rFonts w:ascii="Arial" w:hAnsi="Arial" w:cs="Arial"/>
          <w:sz w:val="17"/>
          <w:szCs w:val="17"/>
        </w:rPr>
        <w:t xml:space="preserve">tores 2020,” </w:t>
      </w:r>
      <w:r w:rsidRPr="00613B53">
        <w:rPr>
          <w:rFonts w:ascii="Arial" w:hAnsi="Arial" w:cs="Arial"/>
          <w:iCs/>
          <w:sz w:val="17"/>
          <w:szCs w:val="17"/>
        </w:rPr>
        <w:t>Statista,</w:t>
      </w:r>
      <w:r w:rsidRPr="00004937">
        <w:rPr>
          <w:rFonts w:ascii="Arial" w:hAnsi="Arial" w:cs="Arial"/>
          <w:sz w:val="17"/>
          <w:szCs w:val="17"/>
        </w:rPr>
        <w:t xml:space="preserve"> September 28, 2020, accessed October 3, 2020, www.statista.com/statistics/276623/number-of-apps-available-in-leading-app-stores</w:t>
      </w:r>
      <w:r w:rsidRPr="00004937">
        <w:rPr>
          <w:rFonts w:ascii="Arial" w:hAnsi="Arial" w:cs="Arial"/>
          <w:sz w:val="17"/>
          <w:szCs w:val="17"/>
          <w:lang w:val="en-CA"/>
        </w:rPr>
        <w:t>.</w:t>
      </w:r>
    </w:p>
  </w:endnote>
  <w:endnote w:id="20">
    <w:p w14:paraId="4A7F4828" w14:textId="7DFF55DA"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Mansoor Iqbal, op. cit.; this excluded downloads of Chinese third-party apps; India recorded</w:t>
      </w:r>
      <w:r w:rsidRPr="00004937">
        <w:rPr>
          <w:rFonts w:ascii="Arial" w:hAnsi="Arial" w:cs="Arial"/>
          <w:sz w:val="17"/>
          <w:szCs w:val="17"/>
          <w:lang w:val="en-IN" w:eastAsia="en-GB"/>
        </w:rPr>
        <w:t xml:space="preserve"> 3.75 million more downloads than the United States and 3.00 million </w:t>
      </w:r>
      <w:r>
        <w:rPr>
          <w:rFonts w:ascii="Arial" w:hAnsi="Arial" w:cs="Arial"/>
          <w:sz w:val="17"/>
          <w:szCs w:val="17"/>
          <w:lang w:val="en-IN" w:eastAsia="en-GB"/>
        </w:rPr>
        <w:t xml:space="preserve">more </w:t>
      </w:r>
      <w:r w:rsidRPr="00004937">
        <w:rPr>
          <w:rFonts w:ascii="Arial" w:hAnsi="Arial" w:cs="Arial"/>
          <w:sz w:val="17"/>
          <w:szCs w:val="17"/>
          <w:lang w:val="en-IN" w:eastAsia="en-GB"/>
        </w:rPr>
        <w:t>downloads than Brazil.</w:t>
      </w:r>
    </w:p>
  </w:endnote>
  <w:endnote w:id="21">
    <w:p w14:paraId="206C6943" w14:textId="70E711DD" w:rsidR="00E608B0" w:rsidRPr="00004937" w:rsidRDefault="00E608B0" w:rsidP="00EE6658">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 xml:space="preserve">Tiffany Ou, “A </w:t>
      </w:r>
      <w:r>
        <w:rPr>
          <w:rFonts w:ascii="Arial" w:hAnsi="Arial" w:cs="Arial"/>
          <w:sz w:val="17"/>
          <w:szCs w:val="17"/>
          <w:lang w:val="en-US"/>
        </w:rPr>
        <w:t>B</w:t>
      </w:r>
      <w:r w:rsidRPr="00004937">
        <w:rPr>
          <w:rFonts w:ascii="Arial" w:hAnsi="Arial" w:cs="Arial"/>
          <w:sz w:val="17"/>
          <w:szCs w:val="17"/>
          <w:lang w:val="en-US"/>
        </w:rPr>
        <w:t xml:space="preserve">reakdown of China’s Android </w:t>
      </w:r>
      <w:r>
        <w:rPr>
          <w:rFonts w:ascii="Arial" w:hAnsi="Arial" w:cs="Arial"/>
          <w:sz w:val="17"/>
          <w:szCs w:val="17"/>
          <w:lang w:val="en-US"/>
        </w:rPr>
        <w:t>M</w:t>
      </w:r>
      <w:r w:rsidRPr="00004937">
        <w:rPr>
          <w:rFonts w:ascii="Arial" w:hAnsi="Arial" w:cs="Arial"/>
          <w:sz w:val="17"/>
          <w:szCs w:val="17"/>
          <w:lang w:val="en-US"/>
        </w:rPr>
        <w:t xml:space="preserve">arket,” </w:t>
      </w:r>
      <w:r w:rsidRPr="00E63A8C">
        <w:rPr>
          <w:rFonts w:ascii="Arial" w:hAnsi="Arial" w:cs="Arial"/>
          <w:sz w:val="17"/>
          <w:szCs w:val="17"/>
          <w:lang w:val="en-US"/>
        </w:rPr>
        <w:t>Business of Apps</w:t>
      </w:r>
      <w:r w:rsidRPr="00004937">
        <w:rPr>
          <w:rFonts w:ascii="Arial" w:hAnsi="Arial" w:cs="Arial"/>
          <w:sz w:val="17"/>
          <w:szCs w:val="17"/>
          <w:lang w:val="en-US"/>
        </w:rPr>
        <w:t>, July 6, 2020, accessed October 8, 2020, www.businessofapps.com/insights/a-breakdown-of-chinas-android-market</w:t>
      </w:r>
      <w:r>
        <w:rPr>
          <w:rFonts w:ascii="Arial" w:hAnsi="Arial" w:cs="Arial"/>
          <w:sz w:val="17"/>
          <w:szCs w:val="17"/>
          <w:lang w:val="en-US"/>
        </w:rPr>
        <w:t>.</w:t>
      </w:r>
    </w:p>
  </w:endnote>
  <w:endnote w:id="22">
    <w:p w14:paraId="0FFFFB5A" w14:textId="58EFECA0" w:rsidR="00E608B0" w:rsidRPr="00004937" w:rsidRDefault="00E608B0" w:rsidP="007414AD">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Mansoor Iqbal, op. cit</w:t>
      </w:r>
      <w:r>
        <w:rPr>
          <w:rFonts w:ascii="Arial" w:hAnsi="Arial" w:cs="Arial"/>
          <w:sz w:val="17"/>
          <w:szCs w:val="17"/>
          <w:lang w:val="en-US"/>
        </w:rPr>
        <w:t>.</w:t>
      </w:r>
    </w:p>
  </w:endnote>
  <w:endnote w:id="23">
    <w:p w14:paraId="2B8E43CA" w14:textId="1E10DC2C" w:rsidR="00E608B0" w:rsidRPr="00004937" w:rsidRDefault="00E608B0" w:rsidP="0094040B">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Pr>
          <w:rFonts w:ascii="Arial" w:hAnsi="Arial" w:cs="Arial"/>
          <w:sz w:val="17"/>
          <w:szCs w:val="17"/>
          <w:lang w:val="en-US"/>
        </w:rPr>
        <w:t>Ibid.</w:t>
      </w:r>
    </w:p>
  </w:endnote>
  <w:endnote w:id="24">
    <w:p w14:paraId="0BCB77E0" w14:textId="6B4F4428" w:rsidR="00E608B0" w:rsidRPr="006D2384" w:rsidRDefault="00E608B0" w:rsidP="006940B6">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Abhijit Ahaskar, “</w:t>
      </w:r>
      <w:r w:rsidRPr="00004937">
        <w:rPr>
          <w:rFonts w:ascii="Arial" w:hAnsi="Arial" w:cs="Arial"/>
          <w:sz w:val="17"/>
          <w:szCs w:val="17"/>
        </w:rPr>
        <w:t xml:space="preserve">Global </w:t>
      </w:r>
      <w:r>
        <w:rPr>
          <w:rFonts w:ascii="Arial" w:hAnsi="Arial" w:cs="Arial"/>
          <w:sz w:val="17"/>
          <w:szCs w:val="17"/>
          <w:lang w:val="en-CA"/>
        </w:rPr>
        <w:t>A</w:t>
      </w:r>
      <w:r w:rsidRPr="00004937">
        <w:rPr>
          <w:rFonts w:ascii="Arial" w:hAnsi="Arial" w:cs="Arial"/>
          <w:sz w:val="17"/>
          <w:szCs w:val="17"/>
        </w:rPr>
        <w:t xml:space="preserve">pp </w:t>
      </w:r>
      <w:r>
        <w:rPr>
          <w:rFonts w:ascii="Arial" w:hAnsi="Arial" w:cs="Arial"/>
          <w:sz w:val="17"/>
          <w:szCs w:val="17"/>
          <w:lang w:val="en-CA"/>
        </w:rPr>
        <w:t>R</w:t>
      </w:r>
      <w:r w:rsidRPr="00004937">
        <w:rPr>
          <w:rFonts w:ascii="Arial" w:hAnsi="Arial" w:cs="Arial"/>
          <w:sz w:val="17"/>
          <w:szCs w:val="17"/>
        </w:rPr>
        <w:t xml:space="preserve">evenue from Play Store, App Store </w:t>
      </w:r>
      <w:r>
        <w:rPr>
          <w:rFonts w:ascii="Arial" w:hAnsi="Arial" w:cs="Arial"/>
          <w:sz w:val="17"/>
          <w:szCs w:val="17"/>
          <w:lang w:val="en-CA"/>
        </w:rPr>
        <w:t>J</w:t>
      </w:r>
      <w:r w:rsidRPr="00004937">
        <w:rPr>
          <w:rFonts w:ascii="Arial" w:hAnsi="Arial" w:cs="Arial"/>
          <w:sz w:val="17"/>
          <w:szCs w:val="17"/>
        </w:rPr>
        <w:t xml:space="preserve">umps 23% in </w:t>
      </w:r>
      <w:r>
        <w:rPr>
          <w:rFonts w:ascii="Arial" w:hAnsi="Arial" w:cs="Arial"/>
          <w:sz w:val="17"/>
          <w:szCs w:val="17"/>
          <w:lang w:val="en-CA"/>
        </w:rPr>
        <w:t>F</w:t>
      </w:r>
      <w:r w:rsidRPr="00004937">
        <w:rPr>
          <w:rFonts w:ascii="Arial" w:hAnsi="Arial" w:cs="Arial"/>
          <w:sz w:val="17"/>
          <w:szCs w:val="17"/>
        </w:rPr>
        <w:t xml:space="preserve">irst </w:t>
      </w:r>
      <w:r>
        <w:rPr>
          <w:rFonts w:ascii="Arial" w:hAnsi="Arial" w:cs="Arial"/>
          <w:sz w:val="17"/>
          <w:szCs w:val="17"/>
          <w:lang w:val="en-CA"/>
        </w:rPr>
        <w:t>H</w:t>
      </w:r>
      <w:r w:rsidRPr="00004937">
        <w:rPr>
          <w:rFonts w:ascii="Arial" w:hAnsi="Arial" w:cs="Arial"/>
          <w:sz w:val="17"/>
          <w:szCs w:val="17"/>
        </w:rPr>
        <w:t xml:space="preserve">alf of 2020: Report,” </w:t>
      </w:r>
      <w:r w:rsidRPr="00E63A8C">
        <w:rPr>
          <w:rFonts w:ascii="Arial" w:hAnsi="Arial" w:cs="Arial"/>
          <w:sz w:val="17"/>
          <w:szCs w:val="17"/>
        </w:rPr>
        <w:t>LiveMint</w:t>
      </w:r>
      <w:r w:rsidRPr="00004937">
        <w:rPr>
          <w:rFonts w:ascii="Arial" w:hAnsi="Arial" w:cs="Arial"/>
          <w:sz w:val="17"/>
          <w:szCs w:val="17"/>
        </w:rPr>
        <w:t>, July 1, 2020, accessed October 12, 2020, www.livemint.com/technology/tech-news/global-app-revenue-from-play-store-app-store-jumps-23-in-first-half-of-2020-report-11593574626698.html</w:t>
      </w:r>
      <w:r>
        <w:rPr>
          <w:rFonts w:ascii="Arial" w:hAnsi="Arial" w:cs="Arial"/>
          <w:sz w:val="17"/>
          <w:szCs w:val="17"/>
          <w:lang w:val="en-CA"/>
        </w:rPr>
        <w:t>.</w:t>
      </w:r>
    </w:p>
  </w:endnote>
  <w:endnote w:id="25">
    <w:p w14:paraId="17C27789" w14:textId="28243CE4" w:rsidR="00E608B0" w:rsidRPr="00004937" w:rsidRDefault="00E608B0" w:rsidP="00F0649E">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J. Clement, “</w:t>
      </w:r>
      <w:r w:rsidRPr="00004937">
        <w:rPr>
          <w:rFonts w:ascii="Arial" w:hAnsi="Arial" w:cs="Arial"/>
          <w:sz w:val="17"/>
          <w:szCs w:val="17"/>
        </w:rPr>
        <w:t xml:space="preserve">Distribution of </w:t>
      </w:r>
      <w:r>
        <w:rPr>
          <w:rFonts w:ascii="Arial" w:hAnsi="Arial" w:cs="Arial"/>
          <w:sz w:val="17"/>
          <w:szCs w:val="17"/>
          <w:lang w:val="en-CA"/>
        </w:rPr>
        <w:t>F</w:t>
      </w:r>
      <w:r w:rsidRPr="00004937">
        <w:rPr>
          <w:rFonts w:ascii="Arial" w:hAnsi="Arial" w:cs="Arial"/>
          <w:sz w:val="17"/>
          <w:szCs w:val="17"/>
        </w:rPr>
        <w:t xml:space="preserve">ree and </w:t>
      </w:r>
      <w:r>
        <w:rPr>
          <w:rFonts w:ascii="Arial" w:hAnsi="Arial" w:cs="Arial"/>
          <w:sz w:val="17"/>
          <w:szCs w:val="17"/>
          <w:lang w:val="en-CA"/>
        </w:rPr>
        <w:t>P</w:t>
      </w:r>
      <w:r w:rsidRPr="00004937">
        <w:rPr>
          <w:rFonts w:ascii="Arial" w:hAnsi="Arial" w:cs="Arial"/>
          <w:sz w:val="17"/>
          <w:szCs w:val="17"/>
        </w:rPr>
        <w:t xml:space="preserve">aid Android </w:t>
      </w:r>
      <w:r>
        <w:rPr>
          <w:rFonts w:ascii="Arial" w:hAnsi="Arial" w:cs="Arial"/>
          <w:sz w:val="17"/>
          <w:szCs w:val="17"/>
          <w:lang w:val="en-CA"/>
        </w:rPr>
        <w:t>A</w:t>
      </w:r>
      <w:r w:rsidRPr="00004937">
        <w:rPr>
          <w:rFonts w:ascii="Arial" w:hAnsi="Arial" w:cs="Arial"/>
          <w:sz w:val="17"/>
          <w:szCs w:val="17"/>
        </w:rPr>
        <w:t xml:space="preserve">pps in the Google Play Store as of September 2020,” </w:t>
      </w:r>
      <w:r w:rsidRPr="00E63A8C">
        <w:rPr>
          <w:rFonts w:ascii="Arial" w:hAnsi="Arial" w:cs="Arial"/>
          <w:sz w:val="17"/>
          <w:szCs w:val="17"/>
        </w:rPr>
        <w:t>Statista</w:t>
      </w:r>
      <w:r w:rsidRPr="00004937">
        <w:rPr>
          <w:rFonts w:ascii="Arial" w:hAnsi="Arial" w:cs="Arial"/>
          <w:sz w:val="17"/>
          <w:szCs w:val="17"/>
        </w:rPr>
        <w:t>, September 25, 2020, accessed October 10, 2020, www.statista.com/statistics/266211/distribution-of-free-and-paid-android-apps</w:t>
      </w:r>
      <w:r>
        <w:rPr>
          <w:rFonts w:ascii="Arial" w:hAnsi="Arial" w:cs="Arial"/>
          <w:sz w:val="17"/>
          <w:szCs w:val="17"/>
          <w:lang w:val="en-CA"/>
        </w:rPr>
        <w:t>.</w:t>
      </w:r>
    </w:p>
  </w:endnote>
  <w:endnote w:id="26">
    <w:p w14:paraId="37DF8EB7" w14:textId="74881001" w:rsidR="00E608B0" w:rsidRPr="00004937" w:rsidRDefault="00E608B0" w:rsidP="00613B53">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CA"/>
        </w:rPr>
        <w:t xml:space="preserve">Troy Segal, “Freemium,” Investopedia, July 4, 2019, accessed February 20, 2021, </w:t>
      </w:r>
      <w:r w:rsidRPr="00E24D08">
        <w:rPr>
          <w:rFonts w:ascii="Arial" w:hAnsi="Arial" w:cs="Arial"/>
          <w:sz w:val="17"/>
          <w:szCs w:val="17"/>
          <w:lang w:val="en-CA"/>
        </w:rPr>
        <w:t>www.investopedia.com/terms/f/freemium.asp</w:t>
      </w:r>
      <w:r>
        <w:rPr>
          <w:rFonts w:ascii="Arial" w:hAnsi="Arial" w:cs="Arial"/>
          <w:sz w:val="17"/>
          <w:szCs w:val="17"/>
          <w:lang w:val="en-CA"/>
        </w:rPr>
        <w:t>.</w:t>
      </w:r>
    </w:p>
  </w:endnote>
  <w:endnote w:id="27">
    <w:p w14:paraId="1A708E3A" w14:textId="7BAE7384" w:rsidR="00E608B0" w:rsidRPr="00004937" w:rsidRDefault="00E608B0" w:rsidP="00AB508F">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Avinash Sharma, “</w:t>
      </w:r>
      <w:r w:rsidRPr="00004937">
        <w:rPr>
          <w:rFonts w:ascii="Arial" w:hAnsi="Arial" w:cs="Arial"/>
          <w:sz w:val="17"/>
          <w:szCs w:val="17"/>
        </w:rPr>
        <w:t xml:space="preserve">Top Google Play Store </w:t>
      </w:r>
      <w:r>
        <w:rPr>
          <w:rFonts w:ascii="Arial" w:hAnsi="Arial" w:cs="Arial"/>
          <w:sz w:val="17"/>
          <w:szCs w:val="17"/>
          <w:lang w:val="en-CA"/>
        </w:rPr>
        <w:t>S</w:t>
      </w:r>
      <w:r w:rsidRPr="00004937">
        <w:rPr>
          <w:rFonts w:ascii="Arial" w:hAnsi="Arial" w:cs="Arial"/>
          <w:sz w:val="17"/>
          <w:szCs w:val="17"/>
        </w:rPr>
        <w:t>tatistics 2019</w:t>
      </w:r>
      <w:r>
        <w:rPr>
          <w:rFonts w:ascii="Arial" w:hAnsi="Arial" w:cs="Arial"/>
          <w:sz w:val="17"/>
          <w:szCs w:val="17"/>
          <w:lang w:val="en-CA"/>
        </w:rPr>
        <w:t>–</w:t>
      </w:r>
      <w:r w:rsidRPr="00004937">
        <w:rPr>
          <w:rFonts w:ascii="Arial" w:hAnsi="Arial" w:cs="Arial"/>
          <w:sz w:val="17"/>
          <w:szCs w:val="17"/>
        </w:rPr>
        <w:t xml:space="preserve">2020 </w:t>
      </w:r>
      <w:r>
        <w:rPr>
          <w:rFonts w:ascii="Arial" w:hAnsi="Arial" w:cs="Arial"/>
          <w:sz w:val="17"/>
          <w:szCs w:val="17"/>
          <w:lang w:val="en-CA"/>
        </w:rPr>
        <w:t>Y</w:t>
      </w:r>
      <w:r w:rsidRPr="00004937">
        <w:rPr>
          <w:rFonts w:ascii="Arial" w:hAnsi="Arial" w:cs="Arial"/>
          <w:sz w:val="17"/>
          <w:szCs w:val="17"/>
        </w:rPr>
        <w:t xml:space="preserve">ou </w:t>
      </w:r>
      <w:r>
        <w:rPr>
          <w:rFonts w:ascii="Arial" w:hAnsi="Arial" w:cs="Arial"/>
          <w:sz w:val="17"/>
          <w:szCs w:val="17"/>
          <w:lang w:val="en-CA"/>
        </w:rPr>
        <w:t>M</w:t>
      </w:r>
      <w:r w:rsidRPr="00004937">
        <w:rPr>
          <w:rFonts w:ascii="Arial" w:hAnsi="Arial" w:cs="Arial"/>
          <w:sz w:val="17"/>
          <w:szCs w:val="17"/>
        </w:rPr>
        <w:t xml:space="preserve">ust </w:t>
      </w:r>
      <w:r>
        <w:rPr>
          <w:rFonts w:ascii="Arial" w:hAnsi="Arial" w:cs="Arial"/>
          <w:sz w:val="17"/>
          <w:szCs w:val="17"/>
          <w:lang w:val="en-CA"/>
        </w:rPr>
        <w:t>K</w:t>
      </w:r>
      <w:r w:rsidRPr="00004937">
        <w:rPr>
          <w:rFonts w:ascii="Arial" w:hAnsi="Arial" w:cs="Arial"/>
          <w:sz w:val="17"/>
          <w:szCs w:val="17"/>
        </w:rPr>
        <w:t xml:space="preserve">now,” </w:t>
      </w:r>
      <w:r w:rsidRPr="00E63A8C">
        <w:rPr>
          <w:rFonts w:ascii="Arial" w:hAnsi="Arial" w:cs="Arial"/>
          <w:sz w:val="17"/>
          <w:szCs w:val="17"/>
        </w:rPr>
        <w:t>Appinventiv</w:t>
      </w:r>
      <w:r w:rsidRPr="00004937">
        <w:rPr>
          <w:rFonts w:ascii="Arial" w:hAnsi="Arial" w:cs="Arial"/>
          <w:sz w:val="17"/>
          <w:szCs w:val="17"/>
        </w:rPr>
        <w:t>, July 22, 2019, accessed October 11, 2020, https://appinventiv.com/blog/google-play-store-statistics</w:t>
      </w:r>
      <w:r>
        <w:rPr>
          <w:rFonts w:ascii="Arial" w:hAnsi="Arial" w:cs="Arial"/>
          <w:sz w:val="17"/>
          <w:szCs w:val="17"/>
          <w:lang w:val="en-CA"/>
        </w:rPr>
        <w:t>.</w:t>
      </w:r>
    </w:p>
  </w:endnote>
  <w:endnote w:id="28">
    <w:p w14:paraId="6B0CF72C" w14:textId="19AFF703" w:rsidR="00E608B0" w:rsidRPr="00004937" w:rsidRDefault="00E608B0">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Brandon Weaver, “Rewarded Video Ads: A </w:t>
      </w:r>
      <w:r w:rsidRPr="00004937">
        <w:rPr>
          <w:rFonts w:ascii="Arial" w:hAnsi="Arial" w:cs="Arial"/>
          <w:sz w:val="17"/>
          <w:szCs w:val="17"/>
          <w:lang w:val="en-CA"/>
        </w:rPr>
        <w:t>C</w:t>
      </w:r>
      <w:r w:rsidRPr="00004937">
        <w:rPr>
          <w:rFonts w:ascii="Arial" w:hAnsi="Arial" w:cs="Arial"/>
          <w:sz w:val="17"/>
          <w:szCs w:val="17"/>
        </w:rPr>
        <w:t xml:space="preserve">omplete </w:t>
      </w:r>
      <w:r w:rsidRPr="00004937">
        <w:rPr>
          <w:rFonts w:ascii="Arial" w:hAnsi="Arial" w:cs="Arial"/>
          <w:sz w:val="17"/>
          <w:szCs w:val="17"/>
          <w:lang w:val="en-CA"/>
        </w:rPr>
        <w:t>O</w:t>
      </w:r>
      <w:r w:rsidRPr="00004937">
        <w:rPr>
          <w:rFonts w:ascii="Arial" w:hAnsi="Arial" w:cs="Arial"/>
          <w:sz w:val="17"/>
          <w:szCs w:val="17"/>
        </w:rPr>
        <w:t xml:space="preserve">verview, </w:t>
      </w:r>
      <w:r w:rsidRPr="00004937">
        <w:rPr>
          <w:rFonts w:ascii="Arial" w:hAnsi="Arial" w:cs="Arial"/>
          <w:sz w:val="17"/>
          <w:szCs w:val="17"/>
          <w:lang w:val="en-CA"/>
        </w:rPr>
        <w:t>B</w:t>
      </w:r>
      <w:r w:rsidRPr="00004937">
        <w:rPr>
          <w:rFonts w:ascii="Arial" w:hAnsi="Arial" w:cs="Arial"/>
          <w:sz w:val="17"/>
          <w:szCs w:val="17"/>
        </w:rPr>
        <w:t xml:space="preserve">enefits &amp; Ad </w:t>
      </w:r>
      <w:r w:rsidRPr="00004937">
        <w:rPr>
          <w:rFonts w:ascii="Arial" w:hAnsi="Arial" w:cs="Arial"/>
          <w:sz w:val="17"/>
          <w:szCs w:val="17"/>
          <w:lang w:val="en-CA"/>
        </w:rPr>
        <w:t>S</w:t>
      </w:r>
      <w:r w:rsidRPr="00004937">
        <w:rPr>
          <w:rFonts w:ascii="Arial" w:hAnsi="Arial" w:cs="Arial"/>
          <w:sz w:val="17"/>
          <w:szCs w:val="17"/>
        </w:rPr>
        <w:t xml:space="preserve">pecs,” </w:t>
      </w:r>
      <w:r w:rsidRPr="00004937">
        <w:rPr>
          <w:rFonts w:ascii="Arial" w:hAnsi="Arial" w:cs="Arial"/>
          <w:sz w:val="17"/>
          <w:szCs w:val="17"/>
          <w:lang w:val="en-CA"/>
        </w:rPr>
        <w:t xml:space="preserve">Instapage, </w:t>
      </w:r>
      <w:r w:rsidRPr="00004937">
        <w:rPr>
          <w:rFonts w:ascii="Arial" w:hAnsi="Arial" w:cs="Arial"/>
          <w:sz w:val="17"/>
          <w:szCs w:val="17"/>
        </w:rPr>
        <w:t>September 18, 2018, accessed October 11, 2020, https://instapage.com/blog/rewarded-video-ads.</w:t>
      </w:r>
    </w:p>
  </w:endnote>
  <w:endnote w:id="29">
    <w:p w14:paraId="6B734459" w14:textId="22DAF0F3" w:rsidR="00E608B0" w:rsidRPr="00004937" w:rsidRDefault="00E608B0">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Stephanie Mialki, “What </w:t>
      </w:r>
      <w:r w:rsidRPr="00004937">
        <w:rPr>
          <w:rFonts w:ascii="Arial" w:hAnsi="Arial" w:cs="Arial"/>
          <w:sz w:val="17"/>
          <w:szCs w:val="17"/>
          <w:lang w:val="en-CA"/>
        </w:rPr>
        <w:t>A</w:t>
      </w:r>
      <w:r w:rsidRPr="00004937">
        <w:rPr>
          <w:rFonts w:ascii="Arial" w:hAnsi="Arial" w:cs="Arial"/>
          <w:sz w:val="17"/>
          <w:szCs w:val="17"/>
        </w:rPr>
        <w:t xml:space="preserve">re </w:t>
      </w:r>
      <w:r w:rsidRPr="00004937">
        <w:rPr>
          <w:rFonts w:ascii="Arial" w:hAnsi="Arial" w:cs="Arial"/>
          <w:sz w:val="17"/>
          <w:szCs w:val="17"/>
          <w:lang w:val="en-CA"/>
        </w:rPr>
        <w:t>I</w:t>
      </w:r>
      <w:r w:rsidRPr="00004937">
        <w:rPr>
          <w:rFonts w:ascii="Arial" w:hAnsi="Arial" w:cs="Arial"/>
          <w:sz w:val="17"/>
          <w:szCs w:val="17"/>
        </w:rPr>
        <w:t xml:space="preserve">nterstitial </w:t>
      </w:r>
      <w:r w:rsidRPr="00004937">
        <w:rPr>
          <w:rFonts w:ascii="Arial" w:hAnsi="Arial" w:cs="Arial"/>
          <w:sz w:val="17"/>
          <w:szCs w:val="17"/>
          <w:lang w:val="en-CA"/>
        </w:rPr>
        <w:t>A</w:t>
      </w:r>
      <w:r w:rsidRPr="00004937">
        <w:rPr>
          <w:rFonts w:ascii="Arial" w:hAnsi="Arial" w:cs="Arial"/>
          <w:sz w:val="17"/>
          <w:szCs w:val="17"/>
        </w:rPr>
        <w:t xml:space="preserve">ds and </w:t>
      </w:r>
      <w:r w:rsidRPr="00004937">
        <w:rPr>
          <w:rFonts w:ascii="Arial" w:hAnsi="Arial" w:cs="Arial"/>
          <w:sz w:val="17"/>
          <w:szCs w:val="17"/>
          <w:lang w:val="en-CA"/>
        </w:rPr>
        <w:t>H</w:t>
      </w:r>
      <w:r w:rsidRPr="00004937">
        <w:rPr>
          <w:rFonts w:ascii="Arial" w:hAnsi="Arial" w:cs="Arial"/>
          <w:sz w:val="17"/>
          <w:szCs w:val="17"/>
        </w:rPr>
        <w:t xml:space="preserve">ow </w:t>
      </w:r>
      <w:r w:rsidRPr="00004937">
        <w:rPr>
          <w:rFonts w:ascii="Arial" w:hAnsi="Arial" w:cs="Arial"/>
          <w:sz w:val="17"/>
          <w:szCs w:val="17"/>
          <w:lang w:val="en-CA"/>
        </w:rPr>
        <w:t>C</w:t>
      </w:r>
      <w:r w:rsidRPr="00004937">
        <w:rPr>
          <w:rFonts w:ascii="Arial" w:hAnsi="Arial" w:cs="Arial"/>
          <w:sz w:val="17"/>
          <w:szCs w:val="17"/>
        </w:rPr>
        <w:t xml:space="preserve">an </w:t>
      </w:r>
      <w:r w:rsidRPr="00004937">
        <w:rPr>
          <w:rFonts w:ascii="Arial" w:hAnsi="Arial" w:cs="Arial"/>
          <w:sz w:val="17"/>
          <w:szCs w:val="17"/>
          <w:lang w:val="en-CA"/>
        </w:rPr>
        <w:t>Y</w:t>
      </w:r>
      <w:r w:rsidRPr="00004937">
        <w:rPr>
          <w:rFonts w:ascii="Arial" w:hAnsi="Arial" w:cs="Arial"/>
          <w:sz w:val="17"/>
          <w:szCs w:val="17"/>
        </w:rPr>
        <w:t xml:space="preserve">ou </w:t>
      </w:r>
      <w:r w:rsidRPr="00004937">
        <w:rPr>
          <w:rFonts w:ascii="Arial" w:hAnsi="Arial" w:cs="Arial"/>
          <w:sz w:val="17"/>
          <w:szCs w:val="17"/>
          <w:lang w:val="en-CA"/>
        </w:rPr>
        <w:t>U</w:t>
      </w:r>
      <w:r w:rsidRPr="00004937">
        <w:rPr>
          <w:rFonts w:ascii="Arial" w:hAnsi="Arial" w:cs="Arial"/>
          <w:sz w:val="17"/>
          <w:szCs w:val="17"/>
        </w:rPr>
        <w:t xml:space="preserve">se </w:t>
      </w:r>
      <w:r w:rsidRPr="00004937">
        <w:rPr>
          <w:rFonts w:ascii="Arial" w:hAnsi="Arial" w:cs="Arial"/>
          <w:sz w:val="17"/>
          <w:szCs w:val="17"/>
          <w:lang w:val="en-CA"/>
        </w:rPr>
        <w:t>T</w:t>
      </w:r>
      <w:r w:rsidRPr="00004937">
        <w:rPr>
          <w:rFonts w:ascii="Arial" w:hAnsi="Arial" w:cs="Arial"/>
          <w:sz w:val="17"/>
          <w:szCs w:val="17"/>
        </w:rPr>
        <w:t>hem?</w:t>
      </w:r>
      <w:r>
        <w:rPr>
          <w:rFonts w:ascii="Arial" w:hAnsi="Arial" w:cs="Arial"/>
          <w:sz w:val="17"/>
          <w:szCs w:val="17"/>
          <w:lang w:val="en-CA"/>
        </w:rPr>
        <w:t>,</w:t>
      </w:r>
      <w:r w:rsidRPr="00004937">
        <w:rPr>
          <w:rFonts w:ascii="Arial" w:hAnsi="Arial" w:cs="Arial"/>
          <w:sz w:val="17"/>
          <w:szCs w:val="17"/>
        </w:rPr>
        <w:t xml:space="preserve">” </w:t>
      </w:r>
      <w:r w:rsidRPr="00004937">
        <w:rPr>
          <w:rFonts w:ascii="Arial" w:hAnsi="Arial" w:cs="Arial"/>
          <w:sz w:val="17"/>
          <w:szCs w:val="17"/>
          <w:lang w:val="en-CA"/>
        </w:rPr>
        <w:t xml:space="preserve">Instapage, </w:t>
      </w:r>
      <w:r w:rsidRPr="00004937">
        <w:rPr>
          <w:rFonts w:ascii="Arial" w:hAnsi="Arial" w:cs="Arial"/>
          <w:sz w:val="17"/>
          <w:szCs w:val="17"/>
        </w:rPr>
        <w:t xml:space="preserve">July 1, </w:t>
      </w:r>
      <w:r w:rsidRPr="00004937">
        <w:rPr>
          <w:rFonts w:ascii="Arial" w:hAnsi="Arial" w:cs="Arial"/>
          <w:sz w:val="17"/>
          <w:szCs w:val="17"/>
          <w:lang w:val="en-CA"/>
        </w:rPr>
        <w:t>2</w:t>
      </w:r>
      <w:r w:rsidRPr="00004937">
        <w:rPr>
          <w:rFonts w:ascii="Arial" w:hAnsi="Arial" w:cs="Arial"/>
          <w:sz w:val="17"/>
          <w:szCs w:val="17"/>
        </w:rPr>
        <w:t>020, accessed October 11, 2020, https://instapage.com/blog/interstitial-ads</w:t>
      </w:r>
      <w:r w:rsidRPr="00004937">
        <w:rPr>
          <w:rFonts w:ascii="Arial" w:hAnsi="Arial" w:cs="Arial"/>
          <w:sz w:val="17"/>
          <w:szCs w:val="17"/>
          <w:lang w:val="en-CA"/>
        </w:rPr>
        <w:t>.</w:t>
      </w:r>
    </w:p>
  </w:endnote>
  <w:endnote w:id="30">
    <w:p w14:paraId="401203CB" w14:textId="0420ADA6" w:rsidR="00E608B0" w:rsidRPr="00004937" w:rsidRDefault="00E608B0">
      <w:pPr>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Iqbal, op. cit</w:t>
      </w:r>
      <w:r>
        <w:rPr>
          <w:rFonts w:ascii="Arial" w:hAnsi="Arial" w:cs="Arial"/>
          <w:sz w:val="17"/>
          <w:szCs w:val="17"/>
        </w:rPr>
        <w:t>.</w:t>
      </w:r>
    </w:p>
  </w:endnote>
  <w:endnote w:id="31">
    <w:p w14:paraId="0E284729" w14:textId="27E03D67" w:rsidR="00E608B0" w:rsidRPr="00004937" w:rsidRDefault="00E608B0">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Felix Richter, op cit</w:t>
      </w:r>
      <w:r>
        <w:rPr>
          <w:rFonts w:ascii="Arial" w:hAnsi="Arial" w:cs="Arial"/>
          <w:sz w:val="17"/>
          <w:szCs w:val="17"/>
          <w:lang w:val="en-US"/>
        </w:rPr>
        <w:t>.</w:t>
      </w:r>
    </w:p>
  </w:endnote>
  <w:endnote w:id="32">
    <w:p w14:paraId="3A3E9D27" w14:textId="67602416" w:rsidR="00E608B0" w:rsidRPr="00004937" w:rsidRDefault="00E608B0" w:rsidP="00C64F7C">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 xml:space="preserve">Yatti Soni, “The </w:t>
      </w:r>
      <w:r>
        <w:rPr>
          <w:rFonts w:ascii="Arial" w:hAnsi="Arial" w:cs="Arial"/>
          <w:sz w:val="17"/>
          <w:szCs w:val="17"/>
          <w:lang w:val="en-US"/>
        </w:rPr>
        <w:t>M</w:t>
      </w:r>
      <w:r w:rsidRPr="00004937">
        <w:rPr>
          <w:rFonts w:ascii="Arial" w:hAnsi="Arial" w:cs="Arial"/>
          <w:sz w:val="17"/>
          <w:szCs w:val="17"/>
          <w:lang w:val="en-US"/>
        </w:rPr>
        <w:t xml:space="preserve">any </w:t>
      </w:r>
      <w:r>
        <w:rPr>
          <w:rFonts w:ascii="Arial" w:hAnsi="Arial" w:cs="Arial"/>
          <w:sz w:val="17"/>
          <w:szCs w:val="17"/>
          <w:lang w:val="en-US"/>
        </w:rPr>
        <w:t>S</w:t>
      </w:r>
      <w:r w:rsidRPr="00004937">
        <w:rPr>
          <w:rFonts w:ascii="Arial" w:hAnsi="Arial" w:cs="Arial"/>
          <w:sz w:val="17"/>
          <w:szCs w:val="17"/>
          <w:lang w:val="en-US"/>
        </w:rPr>
        <w:t xml:space="preserve">ides of Google Play Store’s 30% </w:t>
      </w:r>
      <w:r>
        <w:rPr>
          <w:rFonts w:ascii="Arial" w:hAnsi="Arial" w:cs="Arial"/>
          <w:sz w:val="17"/>
          <w:szCs w:val="17"/>
          <w:lang w:val="en-US"/>
        </w:rPr>
        <w:t>C</w:t>
      </w:r>
      <w:r w:rsidRPr="00004937">
        <w:rPr>
          <w:rFonts w:ascii="Arial" w:hAnsi="Arial" w:cs="Arial"/>
          <w:sz w:val="17"/>
          <w:szCs w:val="17"/>
          <w:lang w:val="en-US"/>
        </w:rPr>
        <w:t xml:space="preserve">ommission and India’s </w:t>
      </w:r>
      <w:r>
        <w:rPr>
          <w:rFonts w:ascii="Arial" w:hAnsi="Arial" w:cs="Arial"/>
          <w:sz w:val="17"/>
          <w:szCs w:val="17"/>
          <w:lang w:val="en-US"/>
        </w:rPr>
        <w:t>S</w:t>
      </w:r>
      <w:r w:rsidRPr="00004937">
        <w:rPr>
          <w:rFonts w:ascii="Arial" w:hAnsi="Arial" w:cs="Arial"/>
          <w:sz w:val="17"/>
          <w:szCs w:val="17"/>
          <w:lang w:val="en-US"/>
        </w:rPr>
        <w:t xml:space="preserve">earch for </w:t>
      </w:r>
      <w:r>
        <w:rPr>
          <w:rFonts w:ascii="Arial" w:hAnsi="Arial" w:cs="Arial"/>
          <w:sz w:val="17"/>
          <w:szCs w:val="17"/>
          <w:lang w:val="en-US"/>
        </w:rPr>
        <w:t>A</w:t>
      </w:r>
      <w:r w:rsidRPr="00004937">
        <w:rPr>
          <w:rFonts w:ascii="Arial" w:hAnsi="Arial" w:cs="Arial"/>
          <w:sz w:val="17"/>
          <w:szCs w:val="17"/>
          <w:lang w:val="en-US"/>
        </w:rPr>
        <w:t>lternatives,” Inc42, October 2, 2020, accessed October 12, 2020, https://inc42.com/features/the-many-sides-of-google-play-stores-30-commission-indias-search-for-alternatives</w:t>
      </w:r>
      <w:r>
        <w:rPr>
          <w:rFonts w:ascii="Arial" w:hAnsi="Arial" w:cs="Arial"/>
          <w:sz w:val="17"/>
          <w:szCs w:val="17"/>
          <w:lang w:val="en-US"/>
        </w:rPr>
        <w:t>.</w:t>
      </w:r>
    </w:p>
  </w:endnote>
  <w:endnote w:id="33">
    <w:p w14:paraId="0F1FAFEC" w14:textId="4C961547"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Kamil Franek, “How Google Makes Money from Android: Business Model Explained,” accessed October 9, 2020, www.kamilfranek.com/how-google-makes-money-from-android.</w:t>
      </w:r>
    </w:p>
  </w:endnote>
  <w:endnote w:id="34">
    <w:p w14:paraId="4DACA08A" w14:textId="081D4F57"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Ibid</w:t>
      </w:r>
      <w:r>
        <w:rPr>
          <w:rFonts w:ascii="Arial" w:hAnsi="Arial" w:cs="Arial"/>
          <w:sz w:val="17"/>
          <w:szCs w:val="17"/>
          <w:lang w:val="en-US"/>
        </w:rPr>
        <w:t>.</w:t>
      </w:r>
    </w:p>
  </w:endnote>
  <w:endnote w:id="35">
    <w:p w14:paraId="7297A3A0" w14:textId="3A3BFA3B"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 xml:space="preserve">Tom Warren, “Huawei’s Android and Windows Alternatives Are Destined for Failure,” </w:t>
      </w:r>
      <w:r w:rsidRPr="00E63A8C">
        <w:rPr>
          <w:rFonts w:ascii="Arial" w:hAnsi="Arial" w:cs="Arial"/>
          <w:sz w:val="17"/>
          <w:szCs w:val="17"/>
          <w:lang w:val="en-US"/>
        </w:rPr>
        <w:t>The Verge</w:t>
      </w:r>
      <w:r w:rsidRPr="00004937">
        <w:rPr>
          <w:rFonts w:ascii="Arial" w:hAnsi="Arial" w:cs="Arial"/>
          <w:sz w:val="17"/>
          <w:szCs w:val="17"/>
          <w:lang w:val="en-US"/>
        </w:rPr>
        <w:t>, May 23, 2019, accessed October 15, 2020, www.theverge.com/2019/5/23/18636841/huawei-android-windows-alternatives-europe-us-editorial.</w:t>
      </w:r>
    </w:p>
  </w:endnote>
  <w:endnote w:id="36">
    <w:p w14:paraId="3E6D14A1" w14:textId="00D4227C" w:rsidR="00E608B0" w:rsidRPr="006D2384" w:rsidRDefault="00E608B0" w:rsidP="00C50966">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bookmarkStart w:id="2" w:name="_Hlk65146719"/>
      <w:r>
        <w:rPr>
          <w:rFonts w:ascii="Arial" w:hAnsi="Arial" w:cs="Arial"/>
          <w:sz w:val="17"/>
          <w:szCs w:val="17"/>
          <w:lang w:val="en-CA"/>
        </w:rPr>
        <w:t>“</w:t>
      </w:r>
      <w:r w:rsidRPr="00DA3E4C">
        <w:rPr>
          <w:rFonts w:ascii="Arial" w:hAnsi="Arial" w:cs="Arial"/>
          <w:sz w:val="17"/>
          <w:szCs w:val="17"/>
        </w:rPr>
        <w:t xml:space="preserve">Amazon </w:t>
      </w:r>
      <w:r>
        <w:rPr>
          <w:rFonts w:ascii="Arial" w:hAnsi="Arial" w:cs="Arial"/>
          <w:sz w:val="17"/>
          <w:szCs w:val="17"/>
          <w:lang w:val="en-CA"/>
        </w:rPr>
        <w:t>L</w:t>
      </w:r>
      <w:r w:rsidRPr="00DA3E4C">
        <w:rPr>
          <w:rFonts w:ascii="Arial" w:hAnsi="Arial" w:cs="Arial"/>
          <w:sz w:val="17"/>
          <w:szCs w:val="17"/>
        </w:rPr>
        <w:t xml:space="preserve">aunches Fire Phone </w:t>
      </w:r>
      <w:r>
        <w:rPr>
          <w:rFonts w:ascii="Arial" w:hAnsi="Arial" w:cs="Arial"/>
          <w:sz w:val="17"/>
          <w:szCs w:val="17"/>
          <w:lang w:val="en-CA"/>
        </w:rPr>
        <w:t>S</w:t>
      </w:r>
      <w:r w:rsidRPr="00DA3E4C">
        <w:rPr>
          <w:rFonts w:ascii="Arial" w:hAnsi="Arial" w:cs="Arial"/>
          <w:sz w:val="17"/>
          <w:szCs w:val="17"/>
        </w:rPr>
        <w:t>martphone</w:t>
      </w:r>
      <w:r>
        <w:rPr>
          <w:rFonts w:ascii="Arial" w:hAnsi="Arial" w:cs="Arial"/>
          <w:sz w:val="17"/>
          <w:szCs w:val="17"/>
          <w:lang w:val="en-CA"/>
        </w:rPr>
        <w:t xml:space="preserve">,” </w:t>
      </w:r>
      <w:r w:rsidRPr="00DA3E4C">
        <w:rPr>
          <w:rFonts w:ascii="Arial" w:hAnsi="Arial" w:cs="Arial"/>
          <w:sz w:val="17"/>
          <w:szCs w:val="17"/>
        </w:rPr>
        <w:t>Deutsche Welle</w:t>
      </w:r>
      <w:r>
        <w:rPr>
          <w:rFonts w:ascii="Arial" w:hAnsi="Arial" w:cs="Arial"/>
          <w:sz w:val="17"/>
          <w:szCs w:val="17"/>
          <w:lang w:val="en-CA"/>
        </w:rPr>
        <w:t xml:space="preserve">, accessed February 20, 2021, </w:t>
      </w:r>
      <w:bookmarkEnd w:id="2"/>
      <w:r w:rsidRPr="00004937">
        <w:rPr>
          <w:rFonts w:ascii="Arial" w:hAnsi="Arial" w:cs="Arial"/>
          <w:sz w:val="17"/>
          <w:szCs w:val="17"/>
        </w:rPr>
        <w:t>www.dw.com/en/amazon-launches-fire-phone-smartphone/a-17719613</w:t>
      </w:r>
      <w:r>
        <w:rPr>
          <w:rFonts w:ascii="Arial" w:hAnsi="Arial" w:cs="Arial"/>
          <w:sz w:val="17"/>
          <w:szCs w:val="17"/>
          <w:lang w:val="en-CA"/>
        </w:rPr>
        <w:t>.</w:t>
      </w:r>
    </w:p>
  </w:endnote>
  <w:endnote w:id="37">
    <w:p w14:paraId="79BD46B7" w14:textId="3888AA68" w:rsidR="00E608B0" w:rsidRPr="00004937" w:rsidRDefault="00E608B0" w:rsidP="00EE6658">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 xml:space="preserve">Victor Lukerson, “4 </w:t>
      </w:r>
      <w:r>
        <w:rPr>
          <w:rFonts w:ascii="Arial" w:hAnsi="Arial" w:cs="Arial"/>
          <w:sz w:val="17"/>
          <w:szCs w:val="17"/>
          <w:lang w:val="en-US"/>
        </w:rPr>
        <w:t>R</w:t>
      </w:r>
      <w:r w:rsidRPr="00004937">
        <w:rPr>
          <w:rFonts w:ascii="Arial" w:hAnsi="Arial" w:cs="Arial"/>
          <w:sz w:val="17"/>
          <w:szCs w:val="17"/>
          <w:lang w:val="en-US"/>
        </w:rPr>
        <w:t xml:space="preserve">easons Amazon’s Fire Phone </w:t>
      </w:r>
      <w:r>
        <w:rPr>
          <w:rFonts w:ascii="Arial" w:hAnsi="Arial" w:cs="Arial"/>
          <w:sz w:val="17"/>
          <w:szCs w:val="17"/>
          <w:lang w:val="en-US"/>
        </w:rPr>
        <w:t>W</w:t>
      </w:r>
      <w:r w:rsidRPr="00004937">
        <w:rPr>
          <w:rFonts w:ascii="Arial" w:hAnsi="Arial" w:cs="Arial"/>
          <w:sz w:val="17"/>
          <w:szCs w:val="17"/>
          <w:lang w:val="en-US"/>
        </w:rPr>
        <w:t xml:space="preserve">as a </w:t>
      </w:r>
      <w:r>
        <w:rPr>
          <w:rFonts w:ascii="Arial" w:hAnsi="Arial" w:cs="Arial"/>
          <w:sz w:val="17"/>
          <w:szCs w:val="17"/>
          <w:lang w:val="en-US"/>
        </w:rPr>
        <w:t>F</w:t>
      </w:r>
      <w:r w:rsidRPr="00004937">
        <w:rPr>
          <w:rFonts w:ascii="Arial" w:hAnsi="Arial" w:cs="Arial"/>
          <w:sz w:val="17"/>
          <w:szCs w:val="17"/>
          <w:lang w:val="en-US"/>
        </w:rPr>
        <w:t xml:space="preserve">lop,” </w:t>
      </w:r>
      <w:r w:rsidRPr="00004937">
        <w:rPr>
          <w:rFonts w:ascii="Arial" w:hAnsi="Arial" w:cs="Arial"/>
          <w:i/>
          <w:iCs/>
          <w:sz w:val="17"/>
          <w:szCs w:val="17"/>
          <w:lang w:val="en-US"/>
        </w:rPr>
        <w:t>Time</w:t>
      </w:r>
      <w:r w:rsidRPr="00004937">
        <w:rPr>
          <w:rFonts w:ascii="Arial" w:hAnsi="Arial" w:cs="Arial"/>
          <w:sz w:val="17"/>
          <w:szCs w:val="17"/>
          <w:lang w:val="en-US"/>
        </w:rPr>
        <w:t xml:space="preserve">, October 24, 2014, accessed October 15, 2020, https://time.com/3536969/amazon-fire-phone-bust/. </w:t>
      </w:r>
      <w:r w:rsidRPr="00004937">
        <w:rPr>
          <w:rFonts w:ascii="Arial" w:hAnsi="Arial" w:cs="Arial"/>
          <w:sz w:val="17"/>
          <w:szCs w:val="17"/>
          <w:lang w:val="en-IN" w:eastAsia="en-GB"/>
        </w:rPr>
        <w:t xml:space="preserve">One of the reasons for the failure of the Fire </w:t>
      </w:r>
      <w:r>
        <w:rPr>
          <w:rFonts w:ascii="Arial" w:hAnsi="Arial" w:cs="Arial"/>
          <w:sz w:val="17"/>
          <w:szCs w:val="17"/>
          <w:lang w:val="en-IN" w:eastAsia="en-GB"/>
        </w:rPr>
        <w:t>P</w:t>
      </w:r>
      <w:r w:rsidRPr="00004937">
        <w:rPr>
          <w:rFonts w:ascii="Arial" w:hAnsi="Arial" w:cs="Arial"/>
          <w:sz w:val="17"/>
          <w:szCs w:val="17"/>
          <w:lang w:val="en-IN" w:eastAsia="en-GB"/>
        </w:rPr>
        <w:t>hone was said to be the proprietary app store that Amazon introduced, which was custom-made for its own phones and tablets, despite running on an Android (</w:t>
      </w:r>
      <w:r>
        <w:rPr>
          <w:rFonts w:ascii="Arial" w:hAnsi="Arial" w:cs="Arial"/>
          <w:sz w:val="17"/>
          <w:szCs w:val="17"/>
          <w:lang w:val="en-IN" w:eastAsia="en-GB"/>
        </w:rPr>
        <w:t>b</w:t>
      </w:r>
      <w:r w:rsidRPr="00004937">
        <w:rPr>
          <w:rFonts w:ascii="Arial" w:hAnsi="Arial" w:cs="Arial"/>
          <w:sz w:val="17"/>
          <w:szCs w:val="17"/>
          <w:lang w:val="en-IN" w:eastAsia="en-GB"/>
        </w:rPr>
        <w:t>are</w:t>
      </w:r>
      <w:r>
        <w:rPr>
          <w:rFonts w:ascii="Arial" w:hAnsi="Arial" w:cs="Arial"/>
          <w:sz w:val="17"/>
          <w:szCs w:val="17"/>
          <w:lang w:val="en-IN" w:eastAsia="en-GB"/>
        </w:rPr>
        <w:t xml:space="preserve"> version</w:t>
      </w:r>
      <w:r w:rsidRPr="00004937">
        <w:rPr>
          <w:rFonts w:ascii="Arial" w:hAnsi="Arial" w:cs="Arial"/>
          <w:sz w:val="17"/>
          <w:szCs w:val="17"/>
          <w:lang w:val="en-IN" w:eastAsia="en-GB"/>
        </w:rPr>
        <w:t xml:space="preserve">) </w:t>
      </w:r>
      <w:r>
        <w:rPr>
          <w:rFonts w:ascii="Arial" w:hAnsi="Arial" w:cs="Arial"/>
          <w:sz w:val="17"/>
          <w:szCs w:val="17"/>
          <w:lang w:val="en-IN" w:eastAsia="en-GB"/>
        </w:rPr>
        <w:t>operating system</w:t>
      </w:r>
      <w:r w:rsidRPr="00004937">
        <w:rPr>
          <w:rFonts w:ascii="Arial" w:hAnsi="Arial" w:cs="Arial"/>
          <w:sz w:val="17"/>
          <w:szCs w:val="17"/>
          <w:lang w:val="en-IN" w:eastAsia="en-GB"/>
        </w:rPr>
        <w:t>. Developers had to create different versions of their apps to run on Amazon phones and tablets, which they found cumbersome and unattractive. Consequently, Amazon’s app store had less than 25 per cent of the apps available on Google Play. Further, the absence of Google’s flagship apps, Gmail, YouTube</w:t>
      </w:r>
      <w:r>
        <w:rPr>
          <w:rFonts w:ascii="Arial" w:hAnsi="Arial" w:cs="Arial"/>
          <w:sz w:val="17"/>
          <w:szCs w:val="17"/>
          <w:lang w:val="en-IN" w:eastAsia="en-GB"/>
        </w:rPr>
        <w:t>,</w:t>
      </w:r>
      <w:r w:rsidRPr="00004937">
        <w:rPr>
          <w:rFonts w:ascii="Arial" w:hAnsi="Arial" w:cs="Arial"/>
          <w:sz w:val="17"/>
          <w:szCs w:val="17"/>
          <w:lang w:val="en-IN" w:eastAsia="en-GB"/>
        </w:rPr>
        <w:t xml:space="preserve"> and Google Maps</w:t>
      </w:r>
      <w:r>
        <w:rPr>
          <w:rFonts w:ascii="Arial" w:hAnsi="Arial" w:cs="Arial"/>
          <w:sz w:val="17"/>
          <w:szCs w:val="17"/>
          <w:lang w:val="en-IN" w:eastAsia="en-GB"/>
        </w:rPr>
        <w:t>,</w:t>
      </w:r>
      <w:r w:rsidRPr="00004937">
        <w:rPr>
          <w:rFonts w:ascii="Arial" w:hAnsi="Arial" w:cs="Arial"/>
          <w:sz w:val="17"/>
          <w:szCs w:val="17"/>
          <w:lang w:val="en-IN" w:eastAsia="en-GB"/>
        </w:rPr>
        <w:t xml:space="preserve"> on Amazon’s app store and </w:t>
      </w:r>
      <w:r>
        <w:rPr>
          <w:rFonts w:ascii="Arial" w:hAnsi="Arial" w:cs="Arial"/>
          <w:sz w:val="17"/>
          <w:szCs w:val="17"/>
          <w:lang w:val="en-IN" w:eastAsia="en-GB"/>
        </w:rPr>
        <w:t xml:space="preserve">of </w:t>
      </w:r>
      <w:r w:rsidRPr="00004937">
        <w:rPr>
          <w:rFonts w:ascii="Arial" w:hAnsi="Arial" w:cs="Arial"/>
          <w:sz w:val="17"/>
          <w:szCs w:val="17"/>
          <w:lang w:val="en-IN" w:eastAsia="en-GB"/>
        </w:rPr>
        <w:t>popular services like Dropbox dissuaded many customers from purchasing the Fire Phone and Kindle Fire.</w:t>
      </w:r>
    </w:p>
  </w:endnote>
  <w:endnote w:id="38">
    <w:p w14:paraId="05E8D4BC" w14:textId="6DFE20FC" w:rsidR="00E608B0" w:rsidRPr="00004937" w:rsidRDefault="00E608B0" w:rsidP="007414AD">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Jacob Kastrenakes, “Amazon </w:t>
      </w:r>
      <w:r>
        <w:rPr>
          <w:rFonts w:ascii="Arial" w:hAnsi="Arial" w:cs="Arial"/>
          <w:sz w:val="17"/>
          <w:szCs w:val="17"/>
          <w:lang w:val="en-CA"/>
        </w:rPr>
        <w:t>E</w:t>
      </w:r>
      <w:r w:rsidRPr="00004937">
        <w:rPr>
          <w:rFonts w:ascii="Arial" w:hAnsi="Arial" w:cs="Arial"/>
          <w:sz w:val="17"/>
          <w:szCs w:val="17"/>
        </w:rPr>
        <w:t xml:space="preserve">xtinguishes the Fire Phone,” </w:t>
      </w:r>
      <w:r w:rsidRPr="00E63A8C">
        <w:rPr>
          <w:rFonts w:ascii="Arial" w:hAnsi="Arial" w:cs="Arial"/>
          <w:sz w:val="17"/>
          <w:szCs w:val="17"/>
        </w:rPr>
        <w:t>The Verge</w:t>
      </w:r>
      <w:r w:rsidRPr="00004937">
        <w:rPr>
          <w:rFonts w:ascii="Arial" w:hAnsi="Arial" w:cs="Arial"/>
          <w:sz w:val="17"/>
          <w:szCs w:val="17"/>
        </w:rPr>
        <w:t>, September 9, 2015, accessed October 12, 2020, www.theverge.com/2015/9/9/9292695/amazon-fire-phone-sales-end</w:t>
      </w:r>
      <w:r>
        <w:rPr>
          <w:rFonts w:ascii="Arial" w:hAnsi="Arial" w:cs="Arial"/>
          <w:sz w:val="17"/>
          <w:szCs w:val="17"/>
          <w:lang w:val="en-CA"/>
        </w:rPr>
        <w:t>.</w:t>
      </w:r>
      <w:r w:rsidRPr="00004937">
        <w:rPr>
          <w:rFonts w:ascii="Arial" w:hAnsi="Arial" w:cs="Arial"/>
          <w:sz w:val="17"/>
          <w:szCs w:val="17"/>
        </w:rPr>
        <w:t xml:space="preserve"> </w:t>
      </w:r>
    </w:p>
  </w:endnote>
  <w:endnote w:id="39">
    <w:p w14:paraId="5035E9C4" w14:textId="5EB70696" w:rsidR="00E608B0" w:rsidRPr="00004937" w:rsidRDefault="00E608B0" w:rsidP="0094040B">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Tom Warren, op cit</w:t>
      </w:r>
      <w:r>
        <w:rPr>
          <w:rFonts w:ascii="Arial" w:hAnsi="Arial" w:cs="Arial"/>
          <w:sz w:val="17"/>
          <w:szCs w:val="17"/>
          <w:lang w:val="en-US"/>
        </w:rPr>
        <w:t>.</w:t>
      </w:r>
      <w:r w:rsidRPr="00004937">
        <w:rPr>
          <w:rFonts w:ascii="Arial" w:hAnsi="Arial" w:cs="Arial"/>
          <w:sz w:val="17"/>
          <w:szCs w:val="17"/>
          <w:lang w:val="en-US"/>
        </w:rPr>
        <w:t xml:space="preserve"> </w:t>
      </w:r>
    </w:p>
  </w:endnote>
  <w:endnote w:id="40">
    <w:p w14:paraId="3F55EA41" w14:textId="757DDA4D" w:rsidR="00E608B0" w:rsidRPr="00004937" w:rsidRDefault="00E608B0" w:rsidP="006940B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Kamil Franek, op cit</w:t>
      </w:r>
      <w:r>
        <w:rPr>
          <w:rFonts w:ascii="Arial" w:hAnsi="Arial" w:cs="Arial"/>
          <w:sz w:val="17"/>
          <w:szCs w:val="17"/>
          <w:lang w:val="en-US"/>
        </w:rPr>
        <w:t>.</w:t>
      </w:r>
    </w:p>
  </w:endnote>
  <w:endnote w:id="41">
    <w:p w14:paraId="5E08A896" w14:textId="268D2EB7" w:rsidR="00E608B0" w:rsidRPr="00004937" w:rsidRDefault="00E608B0" w:rsidP="00F0649E">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Warren, op. cit</w:t>
      </w:r>
      <w:r>
        <w:rPr>
          <w:rFonts w:ascii="Arial" w:hAnsi="Arial" w:cs="Arial"/>
          <w:sz w:val="17"/>
          <w:szCs w:val="17"/>
          <w:lang w:val="en-US"/>
        </w:rPr>
        <w:t>.</w:t>
      </w:r>
    </w:p>
  </w:endnote>
  <w:endnote w:id="42">
    <w:p w14:paraId="0D386EB1" w14:textId="2C243929" w:rsidR="00E608B0" w:rsidRPr="00004937" w:rsidRDefault="00E608B0" w:rsidP="00F0649E">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 xml:space="preserve">Richard Nieva, “Google’s Anti-Trust Battles: What You Need to Know,” </w:t>
      </w:r>
      <w:r w:rsidRPr="00E63A8C">
        <w:rPr>
          <w:rFonts w:ascii="Arial" w:hAnsi="Arial" w:cs="Arial"/>
          <w:sz w:val="17"/>
          <w:szCs w:val="17"/>
          <w:lang w:val="en-US"/>
        </w:rPr>
        <w:t>C/Net</w:t>
      </w:r>
      <w:r w:rsidRPr="00004937">
        <w:rPr>
          <w:rFonts w:ascii="Arial" w:hAnsi="Arial" w:cs="Arial"/>
          <w:sz w:val="17"/>
          <w:szCs w:val="17"/>
          <w:lang w:val="en-US"/>
        </w:rPr>
        <w:t>, October 12, 2020, accessed October 15, 2020, www.cnet.com/news/googles-antitrust-battles-what-you-need-to-know-faq.</w:t>
      </w:r>
    </w:p>
  </w:endnote>
  <w:endnote w:id="43">
    <w:p w14:paraId="690E23D3" w14:textId="564AEA17" w:rsidR="00E608B0" w:rsidRPr="00004937" w:rsidRDefault="00E608B0" w:rsidP="00133D9F">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Kritti Bhalla, </w:t>
      </w:r>
      <w:r>
        <w:rPr>
          <w:rFonts w:ascii="Arial" w:hAnsi="Arial" w:cs="Arial"/>
          <w:sz w:val="17"/>
          <w:szCs w:val="17"/>
          <w:lang w:val="en-CA"/>
        </w:rPr>
        <w:t>op. cit.;</w:t>
      </w:r>
      <w:r w:rsidRPr="00004937">
        <w:rPr>
          <w:rFonts w:ascii="Arial" w:hAnsi="Arial" w:cs="Arial"/>
          <w:sz w:val="17"/>
          <w:szCs w:val="17"/>
        </w:rPr>
        <w:t xml:space="preserve"> </w:t>
      </w:r>
      <w:r>
        <w:rPr>
          <w:rFonts w:ascii="Arial" w:hAnsi="Arial" w:cs="Arial"/>
          <w:sz w:val="17"/>
          <w:szCs w:val="17"/>
          <w:lang w:val="en-CA"/>
        </w:rPr>
        <w:t>“</w:t>
      </w:r>
      <w:r w:rsidRPr="00857D38">
        <w:rPr>
          <w:rFonts w:ascii="Arial" w:hAnsi="Arial" w:cs="Arial"/>
          <w:sz w:val="17"/>
          <w:szCs w:val="17"/>
        </w:rPr>
        <w:t>Listening to Developer Feedback to Improve Google Play,</w:t>
      </w:r>
      <w:r>
        <w:rPr>
          <w:rFonts w:ascii="Arial" w:hAnsi="Arial" w:cs="Arial"/>
          <w:sz w:val="17"/>
          <w:szCs w:val="17"/>
          <w:lang w:val="en-CA"/>
        </w:rPr>
        <w:t>”</w:t>
      </w:r>
      <w:r w:rsidRPr="00857D38">
        <w:rPr>
          <w:rFonts w:ascii="Arial" w:hAnsi="Arial" w:cs="Arial"/>
          <w:sz w:val="17"/>
          <w:szCs w:val="17"/>
        </w:rPr>
        <w:t xml:space="preserve"> Android Developers Blog, accessed February 20, 2021,</w:t>
      </w:r>
      <w:r>
        <w:rPr>
          <w:rFonts w:ascii="Arial" w:hAnsi="Arial" w:cs="Arial"/>
          <w:sz w:val="17"/>
          <w:szCs w:val="17"/>
          <w:lang w:val="en-CA"/>
        </w:rPr>
        <w:t xml:space="preserve"> </w:t>
      </w:r>
      <w:r w:rsidRPr="00004937">
        <w:rPr>
          <w:rFonts w:ascii="Arial" w:hAnsi="Arial" w:cs="Arial"/>
          <w:sz w:val="17"/>
          <w:szCs w:val="17"/>
        </w:rPr>
        <w:t>https://android-developers.googleblog.com/2020/09/listening-to-developer-feedback-to.html.</w:t>
      </w:r>
    </w:p>
  </w:endnote>
  <w:endnote w:id="44">
    <w:p w14:paraId="5E8132F0" w14:textId="67DA67AF" w:rsidR="00E608B0" w:rsidRPr="00004937" w:rsidRDefault="00E608B0" w:rsidP="00AB508F">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w:t>
      </w:r>
      <w:r>
        <w:rPr>
          <w:rFonts w:ascii="Arial" w:hAnsi="Arial" w:cs="Arial"/>
          <w:sz w:val="17"/>
          <w:szCs w:val="17"/>
          <w:lang w:val="en-CA"/>
        </w:rPr>
        <w:t>“</w:t>
      </w:r>
      <w:r w:rsidRPr="00857D38">
        <w:rPr>
          <w:rFonts w:ascii="Arial" w:hAnsi="Arial" w:cs="Arial"/>
          <w:sz w:val="17"/>
          <w:szCs w:val="17"/>
        </w:rPr>
        <w:t>Listening to Developer Feedback to Improve Google Play,</w:t>
      </w:r>
      <w:r>
        <w:rPr>
          <w:rFonts w:ascii="Arial" w:hAnsi="Arial" w:cs="Arial"/>
          <w:sz w:val="17"/>
          <w:szCs w:val="17"/>
          <w:lang w:val="en-CA"/>
        </w:rPr>
        <w:t>”</w:t>
      </w:r>
      <w:r w:rsidRPr="00857D38">
        <w:rPr>
          <w:rFonts w:ascii="Arial" w:hAnsi="Arial" w:cs="Arial"/>
          <w:sz w:val="17"/>
          <w:szCs w:val="17"/>
        </w:rPr>
        <w:t xml:space="preserve"> </w:t>
      </w:r>
      <w:r>
        <w:rPr>
          <w:rFonts w:ascii="Arial" w:hAnsi="Arial" w:cs="Arial"/>
          <w:sz w:val="17"/>
          <w:szCs w:val="17"/>
          <w:lang w:val="en-CA"/>
        </w:rPr>
        <w:t>op. cit.</w:t>
      </w:r>
    </w:p>
  </w:endnote>
  <w:endnote w:id="45">
    <w:p w14:paraId="1D8C0080" w14:textId="15EEA575" w:rsidR="00E608B0" w:rsidRPr="006D2384" w:rsidRDefault="00E608B0">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Daisuke Wakabayashi, </w:t>
      </w:r>
      <w:r>
        <w:rPr>
          <w:rFonts w:ascii="Arial" w:hAnsi="Arial" w:cs="Arial"/>
          <w:sz w:val="17"/>
          <w:szCs w:val="17"/>
          <w:lang w:val="en-CA"/>
        </w:rPr>
        <w:t>op. cit.</w:t>
      </w:r>
    </w:p>
  </w:endnote>
  <w:endnote w:id="46">
    <w:p w14:paraId="6B0E4EAF" w14:textId="36031760" w:rsidR="00E608B0" w:rsidRPr="00004937" w:rsidRDefault="00E608B0" w:rsidP="003E6A40">
      <w:pPr>
        <w:pStyle w:val="Footnote"/>
        <w:rPr>
          <w:lang w:val="en-CA"/>
        </w:rPr>
      </w:pPr>
      <w:r w:rsidRPr="00004937">
        <w:rPr>
          <w:rStyle w:val="EndnoteReference"/>
        </w:rPr>
        <w:endnoteRef/>
      </w:r>
      <w:r w:rsidRPr="00004937">
        <w:t xml:space="preserve"> A</w:t>
      </w:r>
      <w:r w:rsidRPr="00004937">
        <w:rPr>
          <w:lang w:val="en-CA"/>
        </w:rPr>
        <w:t>nnie</w:t>
      </w:r>
      <w:r w:rsidRPr="00004937">
        <w:t xml:space="preserve"> G</w:t>
      </w:r>
      <w:r w:rsidRPr="00004937">
        <w:rPr>
          <w:lang w:val="en-CA"/>
        </w:rPr>
        <w:t>aus</w:t>
      </w:r>
      <w:r w:rsidRPr="00004937">
        <w:t xml:space="preserve">, </w:t>
      </w:r>
      <w:r w:rsidRPr="00004937">
        <w:rPr>
          <w:lang w:val="en-CA"/>
        </w:rPr>
        <w:t>“</w:t>
      </w:r>
      <w:r w:rsidRPr="00004937">
        <w:t>Google to Collect 30% Cut on In-App Purchases Starting in 2021,</w:t>
      </w:r>
      <w:r>
        <w:t>”</w:t>
      </w:r>
      <w:r w:rsidRPr="00004937">
        <w:t xml:space="preserve"> TheStreet,</w:t>
      </w:r>
      <w:r w:rsidRPr="00004937">
        <w:rPr>
          <w:lang w:val="en-CA"/>
        </w:rPr>
        <w:t xml:space="preserve"> </w:t>
      </w:r>
      <w:r w:rsidRPr="00004937">
        <w:t>S</w:t>
      </w:r>
      <w:r w:rsidRPr="00004937">
        <w:rPr>
          <w:lang w:val="en-CA"/>
        </w:rPr>
        <w:t>eptember</w:t>
      </w:r>
      <w:r w:rsidRPr="00004937">
        <w:t xml:space="preserve"> 28, 2020, accessed February 20, 2021, www.thestreet.com/investing/google-to-collect-30-cut-on-in-app-purchases-starting-in-2021</w:t>
      </w:r>
      <w:r w:rsidRPr="00004937">
        <w:rPr>
          <w:lang w:val="en-CA"/>
        </w:rPr>
        <w:t>.</w:t>
      </w:r>
    </w:p>
  </w:endnote>
  <w:endnote w:id="47">
    <w:p w14:paraId="0DDC2955" w14:textId="77777777" w:rsidR="00E608B0" w:rsidRPr="00004937" w:rsidRDefault="00E608B0" w:rsidP="00912CA3">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CA"/>
        </w:rPr>
        <w:t>“</w:t>
      </w:r>
      <w:r w:rsidRPr="00004937">
        <w:rPr>
          <w:rFonts w:ascii="Arial" w:hAnsi="Arial" w:cs="Arial"/>
          <w:sz w:val="17"/>
          <w:szCs w:val="17"/>
        </w:rPr>
        <w:t>Payments,</w:t>
      </w:r>
      <w:r w:rsidRPr="00004937">
        <w:rPr>
          <w:rFonts w:ascii="Arial" w:hAnsi="Arial" w:cs="Arial"/>
          <w:sz w:val="17"/>
          <w:szCs w:val="17"/>
          <w:lang w:val="en-CA"/>
        </w:rPr>
        <w:t>”</w:t>
      </w:r>
      <w:r w:rsidRPr="00004937">
        <w:rPr>
          <w:rFonts w:ascii="Arial" w:hAnsi="Arial" w:cs="Arial"/>
          <w:sz w:val="17"/>
          <w:szCs w:val="17"/>
        </w:rPr>
        <w:t xml:space="preserve"> Google Play Console Help, accessed Fe</w:t>
      </w:r>
      <w:r w:rsidRPr="00004937">
        <w:rPr>
          <w:rFonts w:ascii="Arial" w:hAnsi="Arial" w:cs="Arial"/>
          <w:sz w:val="17"/>
          <w:szCs w:val="17"/>
          <w:lang w:val="en-CA"/>
        </w:rPr>
        <w:t>b</w:t>
      </w:r>
      <w:r w:rsidRPr="00004937">
        <w:rPr>
          <w:rFonts w:ascii="Arial" w:hAnsi="Arial" w:cs="Arial"/>
          <w:sz w:val="17"/>
          <w:szCs w:val="17"/>
        </w:rPr>
        <w:t>ruary 20, 2021, https://support.google.com/googleplay/android-developer/answer/9992660</w:t>
      </w:r>
      <w:r w:rsidRPr="00004937">
        <w:rPr>
          <w:rFonts w:ascii="Arial" w:hAnsi="Arial" w:cs="Arial"/>
          <w:sz w:val="17"/>
          <w:szCs w:val="17"/>
          <w:lang w:val="en-CA"/>
        </w:rPr>
        <w:t>.</w:t>
      </w:r>
    </w:p>
  </w:endnote>
  <w:endnote w:id="48">
    <w:p w14:paraId="405E0263" w14:textId="160040F2" w:rsidR="00E608B0" w:rsidRPr="00004937" w:rsidRDefault="00E608B0">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Google’s competitor, Apple, was even more stringent in its terms and conditions with its iPhone users as well as app developers</w:t>
      </w:r>
      <w:r>
        <w:rPr>
          <w:rFonts w:ascii="Arial" w:hAnsi="Arial" w:cs="Arial"/>
          <w:sz w:val="17"/>
          <w:szCs w:val="17"/>
          <w:lang w:val="en-CA"/>
        </w:rPr>
        <w:t>; u</w:t>
      </w:r>
      <w:r w:rsidRPr="00004937">
        <w:rPr>
          <w:rFonts w:ascii="Arial" w:hAnsi="Arial" w:cs="Arial"/>
          <w:sz w:val="17"/>
          <w:szCs w:val="17"/>
        </w:rPr>
        <w:t>sers of</w:t>
      </w:r>
      <w:r>
        <w:rPr>
          <w:rFonts w:ascii="Arial" w:hAnsi="Arial" w:cs="Arial"/>
          <w:sz w:val="17"/>
          <w:szCs w:val="17"/>
          <w:lang w:val="en-CA"/>
        </w:rPr>
        <w:t xml:space="preserve"> the</w:t>
      </w:r>
      <w:r w:rsidRPr="00004937">
        <w:rPr>
          <w:rFonts w:ascii="Arial" w:hAnsi="Arial" w:cs="Arial"/>
          <w:sz w:val="17"/>
          <w:szCs w:val="17"/>
        </w:rPr>
        <w:t xml:space="preserve"> iPhone could not download apps from anywhere except its own App </w:t>
      </w:r>
      <w:r>
        <w:rPr>
          <w:rFonts w:ascii="Arial" w:hAnsi="Arial" w:cs="Arial"/>
          <w:sz w:val="17"/>
          <w:szCs w:val="17"/>
          <w:lang w:val="en-CA"/>
        </w:rPr>
        <w:t>S</w:t>
      </w:r>
      <w:r w:rsidRPr="00004937">
        <w:rPr>
          <w:rFonts w:ascii="Arial" w:hAnsi="Arial" w:cs="Arial"/>
          <w:sz w:val="17"/>
          <w:szCs w:val="17"/>
        </w:rPr>
        <w:t>tore</w:t>
      </w:r>
      <w:r>
        <w:rPr>
          <w:rFonts w:ascii="Arial" w:hAnsi="Arial" w:cs="Arial"/>
          <w:sz w:val="17"/>
          <w:szCs w:val="17"/>
          <w:lang w:val="en-CA"/>
        </w:rPr>
        <w:t>; s</w:t>
      </w:r>
      <w:r w:rsidRPr="00004937">
        <w:rPr>
          <w:rFonts w:ascii="Arial" w:hAnsi="Arial" w:cs="Arial"/>
          <w:sz w:val="17"/>
          <w:szCs w:val="17"/>
        </w:rPr>
        <w:t xml:space="preserve">imilarly, app developers on </w:t>
      </w:r>
      <w:r>
        <w:rPr>
          <w:rFonts w:ascii="Arial" w:hAnsi="Arial" w:cs="Arial"/>
          <w:sz w:val="17"/>
          <w:szCs w:val="17"/>
          <w:lang w:val="en-CA"/>
        </w:rPr>
        <w:t>the</w:t>
      </w:r>
      <w:r w:rsidRPr="00004937">
        <w:rPr>
          <w:rFonts w:ascii="Arial" w:hAnsi="Arial" w:cs="Arial"/>
          <w:sz w:val="17"/>
          <w:szCs w:val="17"/>
        </w:rPr>
        <w:t xml:space="preserve"> App </w:t>
      </w:r>
      <w:r>
        <w:rPr>
          <w:rFonts w:ascii="Arial" w:hAnsi="Arial" w:cs="Arial"/>
          <w:sz w:val="17"/>
          <w:szCs w:val="17"/>
          <w:lang w:val="en-CA"/>
        </w:rPr>
        <w:t>S</w:t>
      </w:r>
      <w:r w:rsidRPr="00004937">
        <w:rPr>
          <w:rFonts w:ascii="Arial" w:hAnsi="Arial" w:cs="Arial"/>
          <w:sz w:val="17"/>
          <w:szCs w:val="17"/>
        </w:rPr>
        <w:t>tore could neither sell their services through their own payment system, nor inform users about alternative methods of paying for their services</w:t>
      </w:r>
      <w:r>
        <w:rPr>
          <w:rFonts w:ascii="Arial" w:hAnsi="Arial" w:cs="Arial"/>
          <w:sz w:val="17"/>
          <w:szCs w:val="17"/>
          <w:lang w:val="en-CA"/>
        </w:rPr>
        <w:t>;</w:t>
      </w:r>
      <w:r w:rsidRPr="00004937">
        <w:rPr>
          <w:rFonts w:ascii="Arial" w:hAnsi="Arial" w:cs="Arial"/>
          <w:sz w:val="17"/>
          <w:szCs w:val="17"/>
        </w:rPr>
        <w:t xml:space="preserve"> Ja</w:t>
      </w:r>
      <w:r>
        <w:rPr>
          <w:rFonts w:ascii="Arial" w:hAnsi="Arial" w:cs="Arial"/>
          <w:sz w:val="17"/>
          <w:szCs w:val="17"/>
          <w:lang w:val="en-CA"/>
        </w:rPr>
        <w:t>i</w:t>
      </w:r>
      <w:r w:rsidRPr="00004937">
        <w:rPr>
          <w:rFonts w:ascii="Arial" w:hAnsi="Arial" w:cs="Arial"/>
          <w:sz w:val="17"/>
          <w:szCs w:val="17"/>
        </w:rPr>
        <w:t xml:space="preserve"> Vipra, </w:t>
      </w:r>
      <w:r w:rsidRPr="00004937">
        <w:rPr>
          <w:rFonts w:ascii="Arial" w:hAnsi="Arial" w:cs="Arial"/>
          <w:sz w:val="17"/>
          <w:szCs w:val="17"/>
          <w:lang w:val="en-US"/>
        </w:rPr>
        <w:t>“</w:t>
      </w:r>
      <w:r w:rsidRPr="00004937">
        <w:rPr>
          <w:rFonts w:ascii="Arial" w:hAnsi="Arial" w:cs="Arial"/>
          <w:sz w:val="17"/>
          <w:szCs w:val="17"/>
        </w:rPr>
        <w:t xml:space="preserve">It </w:t>
      </w:r>
      <w:r>
        <w:rPr>
          <w:rFonts w:ascii="Arial" w:hAnsi="Arial" w:cs="Arial"/>
          <w:sz w:val="17"/>
          <w:szCs w:val="17"/>
          <w:lang w:val="en-CA"/>
        </w:rPr>
        <w:t>I</w:t>
      </w:r>
      <w:r w:rsidRPr="00004937">
        <w:rPr>
          <w:rFonts w:ascii="Arial" w:hAnsi="Arial" w:cs="Arial"/>
          <w:sz w:val="17"/>
          <w:szCs w:val="17"/>
        </w:rPr>
        <w:t xml:space="preserve">s </w:t>
      </w:r>
      <w:r>
        <w:rPr>
          <w:rFonts w:ascii="Arial" w:hAnsi="Arial" w:cs="Arial"/>
          <w:sz w:val="17"/>
          <w:szCs w:val="17"/>
          <w:lang w:val="en-CA"/>
        </w:rPr>
        <w:t>T</w:t>
      </w:r>
      <w:r w:rsidRPr="00004937">
        <w:rPr>
          <w:rFonts w:ascii="Arial" w:hAnsi="Arial" w:cs="Arial"/>
          <w:sz w:val="17"/>
          <w:szCs w:val="17"/>
        </w:rPr>
        <w:t xml:space="preserve">ime Apple and Google </w:t>
      </w:r>
      <w:r>
        <w:rPr>
          <w:rFonts w:ascii="Arial" w:hAnsi="Arial" w:cs="Arial"/>
          <w:sz w:val="17"/>
          <w:szCs w:val="17"/>
          <w:lang w:val="en-CA"/>
        </w:rPr>
        <w:t>S</w:t>
      </w:r>
      <w:r w:rsidRPr="00004937">
        <w:rPr>
          <w:rFonts w:ascii="Arial" w:hAnsi="Arial" w:cs="Arial"/>
          <w:sz w:val="17"/>
          <w:szCs w:val="17"/>
        </w:rPr>
        <w:t xml:space="preserve">tores </w:t>
      </w:r>
      <w:r>
        <w:rPr>
          <w:rFonts w:ascii="Arial" w:hAnsi="Arial" w:cs="Arial"/>
          <w:sz w:val="17"/>
          <w:szCs w:val="17"/>
          <w:lang w:val="en-CA"/>
        </w:rPr>
        <w:t>A</w:t>
      </w:r>
      <w:r w:rsidRPr="00004937">
        <w:rPr>
          <w:rFonts w:ascii="Arial" w:hAnsi="Arial" w:cs="Arial"/>
          <w:sz w:val="17"/>
          <w:szCs w:val="17"/>
        </w:rPr>
        <w:t xml:space="preserve">re </w:t>
      </w:r>
      <w:r>
        <w:rPr>
          <w:rFonts w:ascii="Arial" w:hAnsi="Arial" w:cs="Arial"/>
          <w:sz w:val="17"/>
          <w:szCs w:val="17"/>
          <w:lang w:val="en-CA"/>
        </w:rPr>
        <w:t>R</w:t>
      </w:r>
      <w:r w:rsidRPr="00004937">
        <w:rPr>
          <w:rFonts w:ascii="Arial" w:hAnsi="Arial" w:cs="Arial"/>
          <w:sz w:val="17"/>
          <w:szCs w:val="17"/>
        </w:rPr>
        <w:t xml:space="preserve">egulated,” </w:t>
      </w:r>
      <w:r w:rsidRPr="003C72E8">
        <w:rPr>
          <w:rFonts w:ascii="Arial" w:hAnsi="Arial" w:cs="Arial"/>
          <w:sz w:val="17"/>
          <w:szCs w:val="17"/>
        </w:rPr>
        <w:t>The Federal</w:t>
      </w:r>
      <w:r w:rsidRPr="00004937">
        <w:rPr>
          <w:rFonts w:ascii="Arial" w:hAnsi="Arial" w:cs="Arial"/>
          <w:sz w:val="17"/>
          <w:szCs w:val="17"/>
        </w:rPr>
        <w:t>, October 5, 2020, accessed October 11, 2020, https://thefederal.com/analysis/it-is-time-apple-and-google-stores-are-regulated</w:t>
      </w:r>
      <w:r>
        <w:rPr>
          <w:rFonts w:ascii="Arial" w:hAnsi="Arial" w:cs="Arial"/>
          <w:sz w:val="17"/>
          <w:szCs w:val="17"/>
          <w:lang w:val="en-CA"/>
        </w:rPr>
        <w:t>.</w:t>
      </w:r>
    </w:p>
  </w:endnote>
  <w:endnote w:id="49">
    <w:p w14:paraId="4067787A" w14:textId="77777777" w:rsidR="00E608B0" w:rsidRPr="00004937" w:rsidRDefault="00E608B0" w:rsidP="00912CA3">
      <w:pPr>
        <w:pStyle w:val="EndnoteText"/>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Sameer Samat, </w:t>
      </w:r>
      <w:r w:rsidRPr="00004937">
        <w:rPr>
          <w:rFonts w:ascii="Arial" w:hAnsi="Arial" w:cs="Arial"/>
          <w:sz w:val="17"/>
          <w:szCs w:val="17"/>
          <w:lang w:val="en-CA"/>
        </w:rPr>
        <w:t>“</w:t>
      </w:r>
      <w:r w:rsidRPr="00004937">
        <w:rPr>
          <w:rFonts w:ascii="Arial" w:hAnsi="Arial" w:cs="Arial"/>
          <w:sz w:val="17"/>
          <w:szCs w:val="17"/>
        </w:rPr>
        <w:t>Listening to Developer Feedback to Improve Google Play,</w:t>
      </w:r>
      <w:r w:rsidRPr="00004937">
        <w:rPr>
          <w:rFonts w:ascii="Arial" w:hAnsi="Arial" w:cs="Arial"/>
          <w:sz w:val="17"/>
          <w:szCs w:val="17"/>
          <w:lang w:val="en-CA"/>
        </w:rPr>
        <w:t>”</w:t>
      </w:r>
      <w:r w:rsidRPr="00004937">
        <w:rPr>
          <w:rFonts w:ascii="Arial" w:hAnsi="Arial" w:cs="Arial"/>
          <w:sz w:val="17"/>
          <w:szCs w:val="17"/>
        </w:rPr>
        <w:t xml:space="preserve"> Android Developers Blog, September 28, 2020, accessed February 20, 2021, https://android-developers.googleblog.com/2020/09/listening-to-developer-feedback-to.html</w:t>
      </w:r>
    </w:p>
  </w:endnote>
  <w:endnote w:id="50">
    <w:p w14:paraId="08025252" w14:textId="1D3B63EA" w:rsidR="00E608B0" w:rsidRPr="00004937" w:rsidRDefault="00E608B0">
      <w:pPr>
        <w:pStyle w:val="EndnoteText"/>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CA"/>
        </w:rPr>
        <w:t>Ibid</w:t>
      </w:r>
      <w:r>
        <w:rPr>
          <w:rFonts w:ascii="Arial" w:hAnsi="Arial" w:cs="Arial"/>
          <w:sz w:val="17"/>
          <w:szCs w:val="17"/>
          <w:lang w:val="en-CA"/>
        </w:rPr>
        <w:t>.</w:t>
      </w:r>
    </w:p>
  </w:endnote>
  <w:endnote w:id="51">
    <w:p w14:paraId="16B687FC" w14:textId="26A2D935" w:rsidR="00E608B0" w:rsidRPr="00004937" w:rsidRDefault="00E608B0">
      <w:pPr>
        <w:pStyle w:val="EndnoteText"/>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CA"/>
        </w:rPr>
        <w:t>Ibid</w:t>
      </w:r>
      <w:r>
        <w:rPr>
          <w:rFonts w:ascii="Arial" w:hAnsi="Arial" w:cs="Arial"/>
          <w:sz w:val="17"/>
          <w:szCs w:val="17"/>
          <w:lang w:val="en-CA"/>
        </w:rPr>
        <w:t>.</w:t>
      </w:r>
    </w:p>
  </w:endnote>
  <w:endnote w:id="52">
    <w:p w14:paraId="718E7989" w14:textId="39784C13" w:rsidR="00E608B0" w:rsidRPr="00004937" w:rsidRDefault="00E608B0">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CA"/>
        </w:rPr>
        <w:t>Ibid</w:t>
      </w:r>
      <w:r>
        <w:rPr>
          <w:rFonts w:ascii="Arial" w:hAnsi="Arial" w:cs="Arial"/>
          <w:sz w:val="17"/>
          <w:szCs w:val="17"/>
          <w:lang w:val="en-CA"/>
        </w:rPr>
        <w:t>.</w:t>
      </w:r>
    </w:p>
  </w:endnote>
  <w:endnote w:id="53">
    <w:p w14:paraId="01D97A5A" w14:textId="570B49F2" w:rsidR="00E608B0" w:rsidRPr="006D2384" w:rsidRDefault="00E608B0">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Aditya Kalra and Nivedita Bhattacharjee, “Google </w:t>
      </w:r>
      <w:r>
        <w:rPr>
          <w:rFonts w:ascii="Arial" w:hAnsi="Arial" w:cs="Arial"/>
          <w:sz w:val="17"/>
          <w:szCs w:val="17"/>
          <w:lang w:val="en-CA"/>
        </w:rPr>
        <w:t>D</w:t>
      </w:r>
      <w:r w:rsidRPr="00004937">
        <w:rPr>
          <w:rFonts w:ascii="Arial" w:hAnsi="Arial" w:cs="Arial"/>
          <w:sz w:val="17"/>
          <w:szCs w:val="17"/>
        </w:rPr>
        <w:t xml:space="preserve">efers Indian </w:t>
      </w:r>
      <w:r>
        <w:rPr>
          <w:rFonts w:ascii="Arial" w:hAnsi="Arial" w:cs="Arial"/>
          <w:sz w:val="17"/>
          <w:szCs w:val="17"/>
          <w:lang w:val="en-CA"/>
        </w:rPr>
        <w:t>I</w:t>
      </w:r>
      <w:r w:rsidRPr="00004937">
        <w:rPr>
          <w:rFonts w:ascii="Arial" w:hAnsi="Arial" w:cs="Arial"/>
          <w:sz w:val="17"/>
          <w:szCs w:val="17"/>
        </w:rPr>
        <w:t xml:space="preserve">n-app </w:t>
      </w:r>
      <w:r>
        <w:rPr>
          <w:rFonts w:ascii="Arial" w:hAnsi="Arial" w:cs="Arial"/>
          <w:sz w:val="17"/>
          <w:szCs w:val="17"/>
          <w:lang w:val="en-CA"/>
        </w:rPr>
        <w:t>F</w:t>
      </w:r>
      <w:r w:rsidRPr="00004937">
        <w:rPr>
          <w:rFonts w:ascii="Arial" w:hAnsi="Arial" w:cs="Arial"/>
          <w:sz w:val="17"/>
          <w:szCs w:val="17"/>
        </w:rPr>
        <w:t xml:space="preserve">ees after </w:t>
      </w:r>
      <w:r>
        <w:rPr>
          <w:rFonts w:ascii="Arial" w:hAnsi="Arial" w:cs="Arial"/>
          <w:sz w:val="17"/>
          <w:szCs w:val="17"/>
          <w:lang w:val="en-CA"/>
        </w:rPr>
        <w:t>A</w:t>
      </w:r>
      <w:r w:rsidRPr="00004937">
        <w:rPr>
          <w:rFonts w:ascii="Arial" w:hAnsi="Arial" w:cs="Arial"/>
          <w:sz w:val="17"/>
          <w:szCs w:val="17"/>
        </w:rPr>
        <w:t xml:space="preserve">ngry </w:t>
      </w:r>
      <w:r>
        <w:rPr>
          <w:rFonts w:ascii="Arial" w:hAnsi="Arial" w:cs="Arial"/>
          <w:sz w:val="17"/>
          <w:szCs w:val="17"/>
          <w:lang w:val="en-CA"/>
        </w:rPr>
        <w:t>S</w:t>
      </w:r>
      <w:r w:rsidRPr="00004937">
        <w:rPr>
          <w:rFonts w:ascii="Arial" w:hAnsi="Arial" w:cs="Arial"/>
          <w:sz w:val="17"/>
          <w:szCs w:val="17"/>
        </w:rPr>
        <w:t xml:space="preserve">tartups </w:t>
      </w:r>
      <w:r>
        <w:rPr>
          <w:rFonts w:ascii="Arial" w:hAnsi="Arial" w:cs="Arial"/>
          <w:sz w:val="17"/>
          <w:szCs w:val="17"/>
          <w:lang w:val="en-CA"/>
        </w:rPr>
        <w:t>C</w:t>
      </w:r>
      <w:r w:rsidRPr="00004937">
        <w:rPr>
          <w:rFonts w:ascii="Arial" w:hAnsi="Arial" w:cs="Arial"/>
          <w:sz w:val="17"/>
          <w:szCs w:val="17"/>
        </w:rPr>
        <w:t xml:space="preserve">omplain,” </w:t>
      </w:r>
      <w:r w:rsidRPr="00613B53">
        <w:rPr>
          <w:rFonts w:ascii="Arial" w:hAnsi="Arial" w:cs="Arial"/>
          <w:iCs/>
          <w:sz w:val="17"/>
          <w:szCs w:val="17"/>
        </w:rPr>
        <w:t>Reuters</w:t>
      </w:r>
      <w:r w:rsidRPr="00F07405">
        <w:rPr>
          <w:rFonts w:ascii="Arial" w:hAnsi="Arial" w:cs="Arial"/>
          <w:sz w:val="17"/>
          <w:szCs w:val="17"/>
        </w:rPr>
        <w:t>,</w:t>
      </w:r>
      <w:r w:rsidRPr="00004937">
        <w:rPr>
          <w:rFonts w:ascii="Arial" w:hAnsi="Arial" w:cs="Arial"/>
          <w:sz w:val="17"/>
          <w:szCs w:val="17"/>
        </w:rPr>
        <w:t xml:space="preserve"> October 5, 2020, accessed October 11, 2020, https://in.reuters.com/article/us-india-google-start-ups/google-defers-indian-in-app-fees-after-angry-startups-complain-idINKBN26Q0E2</w:t>
      </w:r>
      <w:r>
        <w:rPr>
          <w:rFonts w:ascii="Arial" w:hAnsi="Arial" w:cs="Arial"/>
          <w:sz w:val="17"/>
          <w:szCs w:val="17"/>
          <w:lang w:val="en-CA"/>
        </w:rPr>
        <w:t>.</w:t>
      </w:r>
    </w:p>
  </w:endnote>
  <w:endnote w:id="54">
    <w:p w14:paraId="0F3792A9" w14:textId="243F3997" w:rsidR="00E608B0" w:rsidRPr="00461833" w:rsidRDefault="00E608B0">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Mint,</w:t>
      </w:r>
      <w:r>
        <w:rPr>
          <w:rFonts w:ascii="Arial" w:hAnsi="Arial" w:cs="Arial"/>
          <w:sz w:val="17"/>
          <w:szCs w:val="17"/>
          <w:lang w:val="en-US"/>
        </w:rPr>
        <w:t xml:space="preserve"> </w:t>
      </w:r>
      <w:r w:rsidRPr="00004937">
        <w:rPr>
          <w:rFonts w:ascii="Arial" w:hAnsi="Arial" w:cs="Arial"/>
          <w:sz w:val="17"/>
          <w:szCs w:val="17"/>
        </w:rPr>
        <w:t>op cit</w:t>
      </w:r>
      <w:r>
        <w:rPr>
          <w:rFonts w:ascii="Arial" w:hAnsi="Arial" w:cs="Arial"/>
          <w:sz w:val="17"/>
          <w:szCs w:val="17"/>
          <w:lang w:val="en-CA"/>
        </w:rPr>
        <w:t>.</w:t>
      </w:r>
    </w:p>
  </w:endnote>
  <w:endnote w:id="55">
    <w:p w14:paraId="62020735" w14:textId="5FA5D737" w:rsidR="00E608B0" w:rsidRPr="00613B53" w:rsidRDefault="00E608B0">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Pr>
          <w:rFonts w:ascii="Arial" w:hAnsi="Arial" w:cs="Arial"/>
          <w:sz w:val="17"/>
          <w:szCs w:val="17"/>
          <w:lang w:val="en-CA"/>
        </w:rPr>
        <w:t>I</w:t>
      </w:r>
      <w:r w:rsidRPr="00004937">
        <w:rPr>
          <w:rFonts w:ascii="Arial" w:hAnsi="Arial" w:cs="Arial"/>
          <w:sz w:val="17"/>
          <w:szCs w:val="17"/>
        </w:rPr>
        <w:t>bid</w:t>
      </w:r>
      <w:r>
        <w:rPr>
          <w:rFonts w:ascii="Arial" w:hAnsi="Arial" w:cs="Arial"/>
          <w:sz w:val="17"/>
          <w:szCs w:val="17"/>
          <w:lang w:val="en-CA"/>
        </w:rPr>
        <w:t>.</w:t>
      </w:r>
    </w:p>
  </w:endnote>
  <w:endnote w:id="56">
    <w:p w14:paraId="02DB5460" w14:textId="58D0A5CB" w:rsidR="00E608B0" w:rsidRPr="0038556B" w:rsidRDefault="00E608B0">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Pr>
          <w:rFonts w:ascii="Arial" w:hAnsi="Arial" w:cs="Arial"/>
          <w:sz w:val="17"/>
          <w:szCs w:val="17"/>
          <w:lang w:val="en-CA"/>
        </w:rPr>
        <w:t xml:space="preserve">S.H. </w:t>
      </w:r>
      <w:r w:rsidRPr="00004937">
        <w:rPr>
          <w:rFonts w:ascii="Arial" w:hAnsi="Arial" w:cs="Arial"/>
          <w:sz w:val="17"/>
          <w:szCs w:val="17"/>
          <w:lang w:val="en-US"/>
        </w:rPr>
        <w:t>Salman and Prasid Banerjee, “</w:t>
      </w:r>
      <w:r w:rsidRPr="00004937">
        <w:rPr>
          <w:rFonts w:ascii="Arial" w:hAnsi="Arial" w:cs="Arial"/>
          <w:sz w:val="17"/>
          <w:szCs w:val="17"/>
        </w:rPr>
        <w:t>Google</w:t>
      </w:r>
      <w:r>
        <w:rPr>
          <w:rFonts w:ascii="Arial" w:hAnsi="Arial" w:cs="Arial"/>
          <w:sz w:val="17"/>
          <w:szCs w:val="17"/>
          <w:lang w:val="en-CA"/>
        </w:rPr>
        <w:t>–</w:t>
      </w:r>
      <w:r w:rsidRPr="00004937">
        <w:rPr>
          <w:rFonts w:ascii="Arial" w:hAnsi="Arial" w:cs="Arial"/>
          <w:sz w:val="17"/>
          <w:szCs w:val="17"/>
        </w:rPr>
        <w:t xml:space="preserve">Paytm </w:t>
      </w:r>
      <w:r>
        <w:rPr>
          <w:rFonts w:ascii="Arial" w:hAnsi="Arial" w:cs="Arial"/>
          <w:sz w:val="17"/>
          <w:szCs w:val="17"/>
          <w:lang w:val="en-CA"/>
        </w:rPr>
        <w:t>R</w:t>
      </w:r>
      <w:r w:rsidRPr="00004937">
        <w:rPr>
          <w:rFonts w:ascii="Arial" w:hAnsi="Arial" w:cs="Arial"/>
          <w:sz w:val="17"/>
          <w:szCs w:val="17"/>
        </w:rPr>
        <w:t xml:space="preserve">ow </w:t>
      </w:r>
      <w:r>
        <w:rPr>
          <w:rFonts w:ascii="Arial" w:hAnsi="Arial" w:cs="Arial"/>
          <w:sz w:val="17"/>
          <w:szCs w:val="17"/>
          <w:lang w:val="en-CA"/>
        </w:rPr>
        <w:t>B</w:t>
      </w:r>
      <w:r w:rsidRPr="00004937">
        <w:rPr>
          <w:rFonts w:ascii="Arial" w:hAnsi="Arial" w:cs="Arial"/>
          <w:sz w:val="17"/>
          <w:szCs w:val="17"/>
        </w:rPr>
        <w:t xml:space="preserve">rings </w:t>
      </w:r>
      <w:r>
        <w:rPr>
          <w:rFonts w:ascii="Arial" w:hAnsi="Arial" w:cs="Arial"/>
          <w:sz w:val="17"/>
          <w:szCs w:val="17"/>
          <w:lang w:val="en-CA"/>
        </w:rPr>
        <w:t>A</w:t>
      </w:r>
      <w:r w:rsidRPr="00004937">
        <w:rPr>
          <w:rFonts w:ascii="Arial" w:hAnsi="Arial" w:cs="Arial"/>
          <w:sz w:val="17"/>
          <w:szCs w:val="17"/>
        </w:rPr>
        <w:t xml:space="preserve">pp </w:t>
      </w:r>
      <w:r>
        <w:rPr>
          <w:rFonts w:ascii="Arial" w:hAnsi="Arial" w:cs="Arial"/>
          <w:sz w:val="17"/>
          <w:szCs w:val="17"/>
          <w:lang w:val="en-CA"/>
        </w:rPr>
        <w:t>S</w:t>
      </w:r>
      <w:r w:rsidRPr="00004937">
        <w:rPr>
          <w:rFonts w:ascii="Arial" w:hAnsi="Arial" w:cs="Arial"/>
          <w:sz w:val="17"/>
          <w:szCs w:val="17"/>
        </w:rPr>
        <w:t xml:space="preserve">tore </w:t>
      </w:r>
      <w:r>
        <w:rPr>
          <w:rFonts w:ascii="Arial" w:hAnsi="Arial" w:cs="Arial"/>
          <w:sz w:val="17"/>
          <w:szCs w:val="17"/>
          <w:lang w:val="en-CA"/>
        </w:rPr>
        <w:t>M</w:t>
      </w:r>
      <w:r w:rsidRPr="00004937">
        <w:rPr>
          <w:rFonts w:ascii="Arial" w:hAnsi="Arial" w:cs="Arial"/>
          <w:sz w:val="17"/>
          <w:szCs w:val="17"/>
        </w:rPr>
        <w:t xml:space="preserve">onopoly </w:t>
      </w:r>
      <w:r>
        <w:rPr>
          <w:rFonts w:ascii="Arial" w:hAnsi="Arial" w:cs="Arial"/>
          <w:sz w:val="17"/>
          <w:szCs w:val="17"/>
          <w:lang w:val="en-CA"/>
        </w:rPr>
        <w:t>D</w:t>
      </w:r>
      <w:r w:rsidRPr="00004937">
        <w:rPr>
          <w:rFonts w:ascii="Arial" w:hAnsi="Arial" w:cs="Arial"/>
          <w:sz w:val="17"/>
          <w:szCs w:val="17"/>
        </w:rPr>
        <w:t xml:space="preserve">ebate to India,” </w:t>
      </w:r>
      <w:r w:rsidRPr="00613B53">
        <w:rPr>
          <w:rFonts w:ascii="Arial" w:hAnsi="Arial" w:cs="Arial"/>
          <w:iCs/>
          <w:sz w:val="17"/>
          <w:szCs w:val="17"/>
        </w:rPr>
        <w:t>LiveMint,</w:t>
      </w:r>
      <w:r w:rsidRPr="00F07405">
        <w:rPr>
          <w:rFonts w:ascii="Arial" w:hAnsi="Arial" w:cs="Arial"/>
          <w:sz w:val="17"/>
          <w:szCs w:val="17"/>
        </w:rPr>
        <w:t xml:space="preserve"> </w:t>
      </w:r>
      <w:r w:rsidRPr="00004937">
        <w:rPr>
          <w:rFonts w:ascii="Arial" w:hAnsi="Arial" w:cs="Arial"/>
          <w:sz w:val="17"/>
          <w:szCs w:val="17"/>
        </w:rPr>
        <w:t>September 22, 2020, accessed October 11, 2020, www.livemint.com/companies/news/google-paytm-row-brings-app-store-monopoly-debate-to-india-11600702390981.html; Saritha Rai, op cit</w:t>
      </w:r>
      <w:r>
        <w:rPr>
          <w:rFonts w:ascii="Arial" w:hAnsi="Arial" w:cs="Arial"/>
          <w:sz w:val="17"/>
          <w:szCs w:val="17"/>
          <w:lang w:val="en-CA"/>
        </w:rPr>
        <w:t>.</w:t>
      </w:r>
    </w:p>
  </w:endnote>
  <w:endnote w:id="57">
    <w:p w14:paraId="33408B5E" w14:textId="310DEAF5" w:rsidR="00E608B0" w:rsidRPr="00613B53" w:rsidRDefault="00E608B0">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Pr>
          <w:rFonts w:ascii="Arial" w:hAnsi="Arial" w:cs="Arial"/>
          <w:sz w:val="17"/>
          <w:szCs w:val="17"/>
          <w:lang w:val="en-CA"/>
        </w:rPr>
        <w:t xml:space="preserve">S.H. </w:t>
      </w:r>
      <w:r w:rsidRPr="00004937">
        <w:rPr>
          <w:rFonts w:ascii="Arial" w:hAnsi="Arial" w:cs="Arial"/>
          <w:sz w:val="17"/>
          <w:szCs w:val="17"/>
          <w:lang w:val="en-US"/>
        </w:rPr>
        <w:t>Salman and Prasid Banerjee</w:t>
      </w:r>
      <w:r w:rsidRPr="00004937">
        <w:rPr>
          <w:rFonts w:ascii="Arial" w:hAnsi="Arial" w:cs="Arial"/>
          <w:sz w:val="17"/>
          <w:szCs w:val="17"/>
        </w:rPr>
        <w:t>, op cit</w:t>
      </w:r>
      <w:r>
        <w:rPr>
          <w:rFonts w:ascii="Arial" w:hAnsi="Arial" w:cs="Arial"/>
          <w:sz w:val="17"/>
          <w:szCs w:val="17"/>
          <w:lang w:val="en-CA"/>
        </w:rPr>
        <w:t>.</w:t>
      </w:r>
    </w:p>
  </w:endnote>
  <w:endnote w:id="58">
    <w:p w14:paraId="4E2F5A3C" w14:textId="198BBFD6" w:rsidR="00E608B0" w:rsidRPr="00E56C8F" w:rsidRDefault="00E608B0">
      <w:pPr>
        <w:pStyle w:val="EndnoteText"/>
        <w:jc w:val="both"/>
        <w:rPr>
          <w:rFonts w:ascii="Arial" w:hAnsi="Arial" w:cs="Arial"/>
          <w:sz w:val="17"/>
          <w:szCs w:val="17"/>
          <w:lang w:val="fr-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E56C8F">
        <w:rPr>
          <w:rFonts w:ascii="Arial" w:hAnsi="Arial" w:cs="Arial"/>
          <w:sz w:val="17"/>
          <w:szCs w:val="17"/>
          <w:lang w:val="fr-CA"/>
        </w:rPr>
        <w:t>Yatti Soni</w:t>
      </w:r>
      <w:r w:rsidRPr="00004937">
        <w:rPr>
          <w:rFonts w:ascii="Arial" w:hAnsi="Arial" w:cs="Arial"/>
          <w:sz w:val="17"/>
          <w:szCs w:val="17"/>
        </w:rPr>
        <w:t>, op cit</w:t>
      </w:r>
      <w:r w:rsidRPr="00E56C8F">
        <w:rPr>
          <w:rFonts w:ascii="Arial" w:hAnsi="Arial" w:cs="Arial"/>
          <w:sz w:val="17"/>
          <w:szCs w:val="17"/>
          <w:lang w:val="fr-CA"/>
        </w:rPr>
        <w:t>.</w:t>
      </w:r>
    </w:p>
  </w:endnote>
  <w:endnote w:id="59">
    <w:p w14:paraId="09A58C69" w14:textId="7EDA6EB9" w:rsidR="00E608B0" w:rsidRPr="00E56C8F" w:rsidRDefault="00E608B0" w:rsidP="00C64F7C">
      <w:pPr>
        <w:pStyle w:val="EndnoteText"/>
        <w:jc w:val="both"/>
        <w:rPr>
          <w:rFonts w:ascii="Arial" w:hAnsi="Arial" w:cs="Arial"/>
          <w:sz w:val="17"/>
          <w:szCs w:val="17"/>
          <w:lang w:val="fr-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E56C8F">
        <w:rPr>
          <w:rFonts w:ascii="Arial" w:hAnsi="Arial" w:cs="Arial"/>
          <w:sz w:val="17"/>
          <w:szCs w:val="17"/>
          <w:lang w:val="fr-CA"/>
        </w:rPr>
        <w:t>Ibid.</w:t>
      </w:r>
    </w:p>
  </w:endnote>
  <w:endnote w:id="60">
    <w:p w14:paraId="2F085F1A" w14:textId="734434E9"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Aditya Kalra and Nivedita Bhattacharjee, op cit</w:t>
      </w:r>
      <w:r>
        <w:rPr>
          <w:rFonts w:ascii="Arial" w:hAnsi="Arial" w:cs="Arial"/>
          <w:sz w:val="17"/>
          <w:szCs w:val="17"/>
          <w:lang w:val="en-US"/>
        </w:rPr>
        <w:t>.</w:t>
      </w:r>
    </w:p>
  </w:endnote>
  <w:endnote w:id="61">
    <w:p w14:paraId="6F3542CE" w14:textId="0454E1CE" w:rsidR="00E608B0" w:rsidRPr="006D2384" w:rsidRDefault="00E608B0" w:rsidP="00C50966">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Sankalp Phartiyal, “</w:t>
      </w:r>
      <w:r w:rsidRPr="00004937">
        <w:rPr>
          <w:rFonts w:ascii="Arial" w:hAnsi="Arial" w:cs="Arial"/>
          <w:sz w:val="17"/>
          <w:szCs w:val="17"/>
        </w:rPr>
        <w:t xml:space="preserve">India </w:t>
      </w:r>
      <w:r>
        <w:rPr>
          <w:rFonts w:ascii="Arial" w:hAnsi="Arial" w:cs="Arial"/>
          <w:sz w:val="17"/>
          <w:szCs w:val="17"/>
          <w:lang w:val="en-CA"/>
        </w:rPr>
        <w:t>O</w:t>
      </w:r>
      <w:r w:rsidRPr="00004937">
        <w:rPr>
          <w:rFonts w:ascii="Arial" w:hAnsi="Arial" w:cs="Arial"/>
          <w:sz w:val="17"/>
          <w:szCs w:val="17"/>
        </w:rPr>
        <w:t xml:space="preserve">pen to </w:t>
      </w:r>
      <w:r>
        <w:rPr>
          <w:rFonts w:ascii="Arial" w:hAnsi="Arial" w:cs="Arial"/>
          <w:sz w:val="17"/>
          <w:szCs w:val="17"/>
          <w:lang w:val="en-CA"/>
        </w:rPr>
        <w:t>L</w:t>
      </w:r>
      <w:r w:rsidRPr="00004937">
        <w:rPr>
          <w:rFonts w:ascii="Arial" w:hAnsi="Arial" w:cs="Arial"/>
          <w:sz w:val="17"/>
          <w:szCs w:val="17"/>
        </w:rPr>
        <w:t xml:space="preserve">aunching </w:t>
      </w:r>
      <w:r>
        <w:rPr>
          <w:rFonts w:ascii="Arial" w:hAnsi="Arial" w:cs="Arial"/>
          <w:sz w:val="17"/>
          <w:szCs w:val="17"/>
          <w:lang w:val="en-CA"/>
        </w:rPr>
        <w:t>O</w:t>
      </w:r>
      <w:r w:rsidRPr="00004937">
        <w:rPr>
          <w:rFonts w:ascii="Arial" w:hAnsi="Arial" w:cs="Arial"/>
          <w:sz w:val="17"/>
          <w:szCs w:val="17"/>
        </w:rPr>
        <w:t xml:space="preserve">wn </w:t>
      </w:r>
      <w:r>
        <w:rPr>
          <w:rFonts w:ascii="Arial" w:hAnsi="Arial" w:cs="Arial"/>
          <w:sz w:val="17"/>
          <w:szCs w:val="17"/>
          <w:lang w:val="en-CA"/>
        </w:rPr>
        <w:t>A</w:t>
      </w:r>
      <w:r w:rsidRPr="00004937">
        <w:rPr>
          <w:rFonts w:ascii="Arial" w:hAnsi="Arial" w:cs="Arial"/>
          <w:sz w:val="17"/>
          <w:szCs w:val="17"/>
        </w:rPr>
        <w:t xml:space="preserve">pp </w:t>
      </w:r>
      <w:r>
        <w:rPr>
          <w:rFonts w:ascii="Arial" w:hAnsi="Arial" w:cs="Arial"/>
          <w:sz w:val="17"/>
          <w:szCs w:val="17"/>
          <w:lang w:val="en-CA"/>
        </w:rPr>
        <w:t>S</w:t>
      </w:r>
      <w:r w:rsidRPr="00004937">
        <w:rPr>
          <w:rFonts w:ascii="Arial" w:hAnsi="Arial" w:cs="Arial"/>
          <w:sz w:val="17"/>
          <w:szCs w:val="17"/>
        </w:rPr>
        <w:t xml:space="preserve">tore as </w:t>
      </w:r>
      <w:r>
        <w:rPr>
          <w:rFonts w:ascii="Arial" w:hAnsi="Arial" w:cs="Arial"/>
          <w:sz w:val="17"/>
          <w:szCs w:val="17"/>
          <w:lang w:val="en-CA"/>
        </w:rPr>
        <w:t>S</w:t>
      </w:r>
      <w:r w:rsidRPr="00004937">
        <w:rPr>
          <w:rFonts w:ascii="Arial" w:hAnsi="Arial" w:cs="Arial"/>
          <w:sz w:val="17"/>
          <w:szCs w:val="17"/>
        </w:rPr>
        <w:t>tart-</w:t>
      </w:r>
      <w:r>
        <w:rPr>
          <w:rFonts w:ascii="Arial" w:hAnsi="Arial" w:cs="Arial"/>
          <w:sz w:val="17"/>
          <w:szCs w:val="17"/>
          <w:lang w:val="en-CA"/>
        </w:rPr>
        <w:t>U</w:t>
      </w:r>
      <w:r w:rsidRPr="00004937">
        <w:rPr>
          <w:rFonts w:ascii="Arial" w:hAnsi="Arial" w:cs="Arial"/>
          <w:sz w:val="17"/>
          <w:szCs w:val="17"/>
        </w:rPr>
        <w:t xml:space="preserve">ps </w:t>
      </w:r>
      <w:r>
        <w:rPr>
          <w:rFonts w:ascii="Arial" w:hAnsi="Arial" w:cs="Arial"/>
          <w:sz w:val="17"/>
          <w:szCs w:val="17"/>
          <w:lang w:val="en-CA"/>
        </w:rPr>
        <w:t>C</w:t>
      </w:r>
      <w:r w:rsidRPr="00004937">
        <w:rPr>
          <w:rFonts w:ascii="Arial" w:hAnsi="Arial" w:cs="Arial"/>
          <w:sz w:val="17"/>
          <w:szCs w:val="17"/>
        </w:rPr>
        <w:t>riticise Google: Report,” Business Standard, October 1, 2020, accessed October 12, 2020, www.business-standard.com/article/companies/india-open-to-launching-own-app-store-as-start-ups-criticise-google-report-120100101385_1.html</w:t>
      </w:r>
      <w:r>
        <w:rPr>
          <w:rFonts w:ascii="Arial" w:hAnsi="Arial" w:cs="Arial"/>
          <w:sz w:val="17"/>
          <w:szCs w:val="17"/>
          <w:lang w:val="en-CA"/>
        </w:rPr>
        <w:t>.</w:t>
      </w:r>
    </w:p>
  </w:endnote>
  <w:endnote w:id="62">
    <w:p w14:paraId="1D41D757" w14:textId="71C621D5"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 xml:space="preserve">Robert Pindyck and Daniel Rubinfeld, </w:t>
      </w:r>
      <w:r w:rsidRPr="009C103E">
        <w:rPr>
          <w:rFonts w:ascii="Arial" w:hAnsi="Arial" w:cs="Arial"/>
          <w:sz w:val="17"/>
          <w:szCs w:val="17"/>
          <w:lang w:val="en-IN"/>
        </w:rPr>
        <w:t>“Market Power: Monopoly and Monopsony,”</w:t>
      </w:r>
      <w:r>
        <w:rPr>
          <w:rFonts w:ascii="Arial" w:hAnsi="Arial" w:cs="Arial"/>
          <w:sz w:val="17"/>
          <w:szCs w:val="17"/>
          <w:lang w:val="en-IN"/>
        </w:rPr>
        <w:t xml:space="preserve"> in</w:t>
      </w:r>
      <w:r w:rsidRPr="009C103E">
        <w:rPr>
          <w:rFonts w:ascii="Arial" w:hAnsi="Arial" w:cs="Arial"/>
          <w:sz w:val="17"/>
          <w:szCs w:val="17"/>
          <w:lang w:val="en-IN"/>
        </w:rPr>
        <w:t xml:space="preserve"> </w:t>
      </w:r>
      <w:r w:rsidRPr="00004937">
        <w:rPr>
          <w:rFonts w:ascii="Arial" w:hAnsi="Arial" w:cs="Arial"/>
          <w:i/>
          <w:iCs/>
          <w:sz w:val="17"/>
          <w:szCs w:val="17"/>
          <w:lang w:val="en-US"/>
        </w:rPr>
        <w:t>Microeconomics,</w:t>
      </w:r>
      <w:r w:rsidRPr="00004937">
        <w:rPr>
          <w:rFonts w:ascii="Arial" w:hAnsi="Arial" w:cs="Arial"/>
          <w:sz w:val="17"/>
          <w:szCs w:val="17"/>
          <w:lang w:val="en-US"/>
        </w:rPr>
        <w:t xml:space="preserve"> 8</w:t>
      </w:r>
      <w:r>
        <w:rPr>
          <w:rFonts w:ascii="Arial" w:hAnsi="Arial" w:cs="Arial"/>
          <w:sz w:val="17"/>
          <w:szCs w:val="17"/>
          <w:lang w:val="en-US"/>
        </w:rPr>
        <w:t>th</w:t>
      </w:r>
      <w:r w:rsidRPr="00004937">
        <w:rPr>
          <w:rFonts w:ascii="Arial" w:hAnsi="Arial" w:cs="Arial"/>
          <w:sz w:val="17"/>
          <w:szCs w:val="17"/>
          <w:lang w:val="en-US"/>
        </w:rPr>
        <w:t xml:space="preserve"> </w:t>
      </w:r>
      <w:r>
        <w:rPr>
          <w:rFonts w:ascii="Arial" w:hAnsi="Arial" w:cs="Arial"/>
          <w:sz w:val="17"/>
          <w:szCs w:val="17"/>
          <w:lang w:val="en-US"/>
        </w:rPr>
        <w:t>e</w:t>
      </w:r>
      <w:r w:rsidRPr="00004937">
        <w:rPr>
          <w:rFonts w:ascii="Arial" w:hAnsi="Arial" w:cs="Arial"/>
          <w:sz w:val="17"/>
          <w:szCs w:val="17"/>
          <w:lang w:val="en-US"/>
        </w:rPr>
        <w:t>d</w:t>
      </w:r>
      <w:r>
        <w:rPr>
          <w:rFonts w:ascii="Arial" w:hAnsi="Arial" w:cs="Arial"/>
          <w:sz w:val="17"/>
          <w:szCs w:val="17"/>
          <w:lang w:val="en-US"/>
        </w:rPr>
        <w:t>.</w:t>
      </w:r>
      <w:r w:rsidRPr="00004937">
        <w:rPr>
          <w:rFonts w:ascii="Arial" w:hAnsi="Arial" w:cs="Arial"/>
          <w:sz w:val="17"/>
          <w:szCs w:val="17"/>
          <w:lang w:val="en-US"/>
        </w:rPr>
        <w:t xml:space="preserve"> </w:t>
      </w:r>
      <w:r>
        <w:rPr>
          <w:rFonts w:ascii="Arial" w:hAnsi="Arial" w:cs="Arial"/>
          <w:sz w:val="17"/>
          <w:szCs w:val="17"/>
          <w:lang w:val="en-US"/>
        </w:rPr>
        <w:t xml:space="preserve">(New Delhi, India: </w:t>
      </w:r>
      <w:r w:rsidRPr="00004937">
        <w:rPr>
          <w:rFonts w:ascii="Arial" w:hAnsi="Arial" w:cs="Arial"/>
          <w:sz w:val="17"/>
          <w:szCs w:val="17"/>
          <w:lang w:val="en-US"/>
        </w:rPr>
        <w:t>Pearson, 2017</w:t>
      </w:r>
      <w:r>
        <w:rPr>
          <w:rFonts w:ascii="Arial" w:hAnsi="Arial" w:cs="Arial"/>
          <w:sz w:val="17"/>
          <w:szCs w:val="17"/>
          <w:lang w:val="en-US"/>
        </w:rPr>
        <w:t>)</w:t>
      </w:r>
      <w:r w:rsidRPr="00004937">
        <w:rPr>
          <w:rFonts w:ascii="Arial" w:hAnsi="Arial" w:cs="Arial"/>
          <w:sz w:val="17"/>
          <w:szCs w:val="17"/>
          <w:lang w:val="en-US"/>
        </w:rPr>
        <w:t xml:space="preserve">, </w:t>
      </w:r>
      <w:r>
        <w:rPr>
          <w:rFonts w:ascii="Arial" w:hAnsi="Arial" w:cs="Arial"/>
          <w:sz w:val="17"/>
          <w:szCs w:val="17"/>
          <w:lang w:val="en-US"/>
        </w:rPr>
        <w:t>c</w:t>
      </w:r>
      <w:r w:rsidRPr="00004937">
        <w:rPr>
          <w:rFonts w:ascii="Arial" w:hAnsi="Arial" w:cs="Arial"/>
          <w:sz w:val="17"/>
          <w:szCs w:val="17"/>
          <w:lang w:val="en-US"/>
        </w:rPr>
        <w:t>hapter 10, 385–386.</w:t>
      </w:r>
    </w:p>
  </w:endnote>
  <w:endnote w:id="63">
    <w:p w14:paraId="01EEDCE1" w14:textId="22C83DB0" w:rsidR="00E608B0" w:rsidRPr="00004937" w:rsidRDefault="00E608B0" w:rsidP="00C50966">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Mathew Lane, “Antitrust in 60 seconds: What </w:t>
      </w:r>
      <w:r>
        <w:rPr>
          <w:rFonts w:ascii="Arial" w:hAnsi="Arial" w:cs="Arial"/>
          <w:sz w:val="17"/>
          <w:szCs w:val="17"/>
          <w:lang w:val="en-CA"/>
        </w:rPr>
        <w:t>A</w:t>
      </w:r>
      <w:r w:rsidRPr="00004937">
        <w:rPr>
          <w:rFonts w:ascii="Arial" w:hAnsi="Arial" w:cs="Arial"/>
          <w:sz w:val="17"/>
          <w:szCs w:val="17"/>
        </w:rPr>
        <w:t xml:space="preserve">re </w:t>
      </w:r>
      <w:r>
        <w:rPr>
          <w:rFonts w:ascii="Arial" w:hAnsi="Arial" w:cs="Arial"/>
          <w:sz w:val="17"/>
          <w:szCs w:val="17"/>
          <w:lang w:val="en-CA"/>
        </w:rPr>
        <w:t>N</w:t>
      </w:r>
      <w:r w:rsidRPr="00004937">
        <w:rPr>
          <w:rFonts w:ascii="Arial" w:hAnsi="Arial" w:cs="Arial"/>
          <w:sz w:val="17"/>
          <w:szCs w:val="17"/>
        </w:rPr>
        <w:t xml:space="preserve">etwork </w:t>
      </w:r>
      <w:r>
        <w:rPr>
          <w:rFonts w:ascii="Arial" w:hAnsi="Arial" w:cs="Arial"/>
          <w:sz w:val="17"/>
          <w:szCs w:val="17"/>
          <w:lang w:val="en-CA"/>
        </w:rPr>
        <w:t>E</w:t>
      </w:r>
      <w:r w:rsidRPr="00004937">
        <w:rPr>
          <w:rFonts w:ascii="Arial" w:hAnsi="Arial" w:cs="Arial"/>
          <w:sz w:val="17"/>
          <w:szCs w:val="17"/>
        </w:rPr>
        <w:t>ffects?</w:t>
      </w:r>
      <w:r>
        <w:rPr>
          <w:rFonts w:ascii="Arial" w:hAnsi="Arial" w:cs="Arial"/>
          <w:sz w:val="17"/>
          <w:szCs w:val="17"/>
          <w:lang w:val="en-CA"/>
        </w:rPr>
        <w:t>,</w:t>
      </w:r>
      <w:r w:rsidRPr="00004937">
        <w:rPr>
          <w:rFonts w:ascii="Arial" w:hAnsi="Arial" w:cs="Arial"/>
          <w:sz w:val="17"/>
          <w:szCs w:val="17"/>
        </w:rPr>
        <w:t xml:space="preserve">” </w:t>
      </w:r>
      <w:r w:rsidRPr="00E63A8C">
        <w:rPr>
          <w:rFonts w:ascii="Arial" w:hAnsi="Arial" w:cs="Arial"/>
          <w:sz w:val="17"/>
          <w:szCs w:val="17"/>
        </w:rPr>
        <w:t>Disco</w:t>
      </w:r>
      <w:r w:rsidRPr="00004937">
        <w:rPr>
          <w:rFonts w:ascii="Arial" w:hAnsi="Arial" w:cs="Arial"/>
          <w:sz w:val="17"/>
          <w:szCs w:val="17"/>
        </w:rPr>
        <w:t>, February 26, 2018, accessed October 15, 2020, www.project-disco.org/competition/022618antitrust-60-seconds-network-effects.</w:t>
      </w:r>
    </w:p>
  </w:endnote>
  <w:endnote w:id="64">
    <w:p w14:paraId="4CC8B6C3" w14:textId="6CA39D34" w:rsidR="00E608B0" w:rsidRPr="00004937" w:rsidRDefault="00E608B0" w:rsidP="00EE6658">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 xml:space="preserve">Nicholas L. Johnson, “What </w:t>
      </w:r>
      <w:r>
        <w:rPr>
          <w:rFonts w:ascii="Arial" w:hAnsi="Arial" w:cs="Arial"/>
          <w:sz w:val="17"/>
          <w:szCs w:val="17"/>
          <w:lang w:val="en-US"/>
        </w:rPr>
        <w:t>A</w:t>
      </w:r>
      <w:r w:rsidRPr="00004937">
        <w:rPr>
          <w:rFonts w:ascii="Arial" w:hAnsi="Arial" w:cs="Arial"/>
          <w:sz w:val="17"/>
          <w:szCs w:val="17"/>
          <w:lang w:val="en-US"/>
        </w:rPr>
        <w:t xml:space="preserve">re </w:t>
      </w:r>
      <w:r>
        <w:rPr>
          <w:rFonts w:ascii="Arial" w:hAnsi="Arial" w:cs="Arial"/>
          <w:sz w:val="17"/>
          <w:szCs w:val="17"/>
          <w:lang w:val="en-US"/>
        </w:rPr>
        <w:t>N</w:t>
      </w:r>
      <w:r w:rsidRPr="00004937">
        <w:rPr>
          <w:rFonts w:ascii="Arial" w:hAnsi="Arial" w:cs="Arial"/>
          <w:sz w:val="17"/>
          <w:szCs w:val="17"/>
          <w:lang w:val="en-US"/>
        </w:rPr>
        <w:t xml:space="preserve">etwork </w:t>
      </w:r>
      <w:r>
        <w:rPr>
          <w:rFonts w:ascii="Arial" w:hAnsi="Arial" w:cs="Arial"/>
          <w:sz w:val="17"/>
          <w:szCs w:val="17"/>
          <w:lang w:val="en-US"/>
        </w:rPr>
        <w:t>E</w:t>
      </w:r>
      <w:r w:rsidRPr="00004937">
        <w:rPr>
          <w:rFonts w:ascii="Arial" w:hAnsi="Arial" w:cs="Arial"/>
          <w:sz w:val="17"/>
          <w:szCs w:val="17"/>
          <w:lang w:val="en-US"/>
        </w:rPr>
        <w:t>ffects?</w:t>
      </w:r>
      <w:r>
        <w:rPr>
          <w:rFonts w:ascii="Arial" w:hAnsi="Arial" w:cs="Arial"/>
          <w:sz w:val="17"/>
          <w:szCs w:val="17"/>
          <w:lang w:val="en-US"/>
        </w:rPr>
        <w:t>,</w:t>
      </w:r>
      <w:r w:rsidRPr="00004937">
        <w:rPr>
          <w:rFonts w:ascii="Arial" w:hAnsi="Arial" w:cs="Arial"/>
          <w:sz w:val="17"/>
          <w:szCs w:val="17"/>
          <w:lang w:val="en-US"/>
        </w:rPr>
        <w:t xml:space="preserve">” </w:t>
      </w:r>
      <w:r w:rsidRPr="00E63A8C">
        <w:rPr>
          <w:rFonts w:ascii="Arial" w:hAnsi="Arial" w:cs="Arial"/>
          <w:sz w:val="17"/>
          <w:szCs w:val="17"/>
          <w:lang w:val="en-US"/>
        </w:rPr>
        <w:t>Applico</w:t>
      </w:r>
      <w:r w:rsidRPr="00004937">
        <w:rPr>
          <w:rFonts w:ascii="Arial" w:hAnsi="Arial" w:cs="Arial"/>
          <w:sz w:val="17"/>
          <w:szCs w:val="17"/>
          <w:lang w:val="en-US"/>
        </w:rPr>
        <w:t xml:space="preserve">, accessed October 11, 2020, www.applicoinc.com/blog/network-effects/; Ravi Kumar, “Understanding the </w:t>
      </w:r>
      <w:r>
        <w:rPr>
          <w:rFonts w:ascii="Arial" w:hAnsi="Arial" w:cs="Arial"/>
          <w:sz w:val="17"/>
          <w:szCs w:val="17"/>
          <w:lang w:val="en-US"/>
        </w:rPr>
        <w:t>B</w:t>
      </w:r>
      <w:r w:rsidRPr="00004937">
        <w:rPr>
          <w:rFonts w:ascii="Arial" w:hAnsi="Arial" w:cs="Arial"/>
          <w:sz w:val="17"/>
          <w:szCs w:val="17"/>
          <w:lang w:val="en-US"/>
        </w:rPr>
        <w:t>asics of Network Effects</w:t>
      </w:r>
      <w:r>
        <w:rPr>
          <w:rFonts w:ascii="Arial" w:hAnsi="Arial" w:cs="Arial"/>
          <w:sz w:val="17"/>
          <w:szCs w:val="17"/>
          <w:lang w:val="en-US"/>
        </w:rPr>
        <w:t>—t</w:t>
      </w:r>
      <w:r w:rsidRPr="00004937">
        <w:rPr>
          <w:rFonts w:ascii="Arial" w:hAnsi="Arial" w:cs="Arial"/>
          <w:sz w:val="17"/>
          <w:szCs w:val="17"/>
          <w:lang w:val="en-US"/>
        </w:rPr>
        <w:t xml:space="preserve">he </w:t>
      </w:r>
      <w:r>
        <w:rPr>
          <w:rFonts w:ascii="Arial" w:hAnsi="Arial" w:cs="Arial"/>
          <w:sz w:val="17"/>
          <w:szCs w:val="17"/>
          <w:lang w:val="en-US"/>
        </w:rPr>
        <w:t>P</w:t>
      </w:r>
      <w:r w:rsidRPr="00004937">
        <w:rPr>
          <w:rFonts w:ascii="Arial" w:hAnsi="Arial" w:cs="Arial"/>
          <w:sz w:val="17"/>
          <w:szCs w:val="17"/>
          <w:lang w:val="en-US"/>
        </w:rPr>
        <w:t xml:space="preserve">ower of the Platform,” </w:t>
      </w:r>
      <w:r>
        <w:rPr>
          <w:rFonts w:ascii="Arial" w:hAnsi="Arial" w:cs="Arial"/>
          <w:sz w:val="17"/>
          <w:szCs w:val="17"/>
          <w:lang w:val="en-US"/>
        </w:rPr>
        <w:t xml:space="preserve">Medium, </w:t>
      </w:r>
      <w:r w:rsidRPr="00004937">
        <w:rPr>
          <w:rFonts w:ascii="Arial" w:hAnsi="Arial" w:cs="Arial"/>
          <w:sz w:val="17"/>
          <w:szCs w:val="17"/>
          <w:lang w:val="en-US"/>
        </w:rPr>
        <w:t>July 29, 2018, accessed October 11, 2020, https://medium.com/world-of-iot/understanding-the-basics-of-network-effects-the-power-of-the-platform-2cfef215fe4a.</w:t>
      </w:r>
    </w:p>
  </w:endnote>
  <w:endnote w:id="65">
    <w:p w14:paraId="1604368D" w14:textId="1AAEC6E8" w:rsidR="00E608B0" w:rsidRPr="00004937" w:rsidRDefault="00E608B0" w:rsidP="00C64F7C">
      <w:pPr>
        <w:pStyle w:val="EndnoteText"/>
        <w:jc w:val="both"/>
        <w:rPr>
          <w:rFonts w:ascii="Arial" w:hAnsi="Arial" w:cs="Arial"/>
          <w:sz w:val="17"/>
          <w:szCs w:val="17"/>
          <w:lang w:val="en-IN"/>
        </w:rPr>
      </w:pPr>
      <w:r w:rsidRPr="00004937">
        <w:rPr>
          <w:rStyle w:val="EndnoteReference"/>
          <w:rFonts w:ascii="Arial" w:hAnsi="Arial" w:cs="Arial"/>
          <w:sz w:val="17"/>
          <w:szCs w:val="17"/>
        </w:rPr>
        <w:endnoteRef/>
      </w:r>
      <w:r w:rsidRPr="00004937">
        <w:rPr>
          <w:rFonts w:ascii="Arial" w:hAnsi="Arial" w:cs="Arial"/>
          <w:sz w:val="17"/>
          <w:szCs w:val="17"/>
        </w:rPr>
        <w:t xml:space="preserve"> Maximilian Stallkamp</w:t>
      </w:r>
      <w:r w:rsidRPr="00004937">
        <w:rPr>
          <w:rFonts w:ascii="Arial" w:hAnsi="Arial" w:cs="Arial"/>
          <w:sz w:val="17"/>
          <w:szCs w:val="17"/>
          <w:lang w:val="en-US"/>
        </w:rPr>
        <w:t xml:space="preserve"> and </w:t>
      </w:r>
      <w:r w:rsidRPr="00004937">
        <w:rPr>
          <w:rFonts w:ascii="Arial" w:hAnsi="Arial" w:cs="Arial"/>
          <w:sz w:val="17"/>
          <w:szCs w:val="17"/>
        </w:rPr>
        <w:t>Andreas P. J. Schotter</w:t>
      </w:r>
      <w:r w:rsidRPr="00004937">
        <w:rPr>
          <w:rFonts w:ascii="Arial" w:hAnsi="Arial" w:cs="Arial"/>
          <w:sz w:val="17"/>
          <w:szCs w:val="17"/>
          <w:lang w:val="en-US"/>
        </w:rPr>
        <w:t xml:space="preserve">, “Platforms without </w:t>
      </w:r>
      <w:r>
        <w:rPr>
          <w:rFonts w:ascii="Arial" w:hAnsi="Arial" w:cs="Arial"/>
          <w:sz w:val="17"/>
          <w:szCs w:val="17"/>
          <w:lang w:val="en-US"/>
        </w:rPr>
        <w:t>B</w:t>
      </w:r>
      <w:r w:rsidRPr="00004937">
        <w:rPr>
          <w:rFonts w:ascii="Arial" w:hAnsi="Arial" w:cs="Arial"/>
          <w:sz w:val="17"/>
          <w:szCs w:val="17"/>
          <w:lang w:val="en-US"/>
        </w:rPr>
        <w:t>orders</w:t>
      </w:r>
      <w:r>
        <w:rPr>
          <w:rFonts w:ascii="Arial" w:hAnsi="Arial" w:cs="Arial"/>
          <w:sz w:val="17"/>
          <w:szCs w:val="17"/>
          <w:lang w:val="en-US"/>
        </w:rPr>
        <w:t>?</w:t>
      </w:r>
      <w:r w:rsidRPr="00004937">
        <w:rPr>
          <w:rFonts w:ascii="Arial" w:hAnsi="Arial" w:cs="Arial"/>
          <w:sz w:val="17"/>
          <w:szCs w:val="17"/>
          <w:lang w:val="en-US"/>
        </w:rPr>
        <w:t xml:space="preserve"> The </w:t>
      </w:r>
      <w:r>
        <w:rPr>
          <w:rFonts w:ascii="Arial" w:hAnsi="Arial" w:cs="Arial"/>
          <w:sz w:val="17"/>
          <w:szCs w:val="17"/>
          <w:lang w:val="en-US"/>
        </w:rPr>
        <w:t>I</w:t>
      </w:r>
      <w:r w:rsidRPr="00004937">
        <w:rPr>
          <w:rFonts w:ascii="Arial" w:hAnsi="Arial" w:cs="Arial"/>
          <w:sz w:val="17"/>
          <w:szCs w:val="17"/>
          <w:lang w:val="en-US"/>
        </w:rPr>
        <w:t xml:space="preserve">nternational </w:t>
      </w:r>
      <w:r>
        <w:rPr>
          <w:rFonts w:ascii="Arial" w:hAnsi="Arial" w:cs="Arial"/>
          <w:sz w:val="17"/>
          <w:szCs w:val="17"/>
          <w:lang w:val="en-US"/>
        </w:rPr>
        <w:t>S</w:t>
      </w:r>
      <w:r w:rsidRPr="00004937">
        <w:rPr>
          <w:rFonts w:ascii="Arial" w:hAnsi="Arial" w:cs="Arial"/>
          <w:sz w:val="17"/>
          <w:szCs w:val="17"/>
          <w:lang w:val="en-US"/>
        </w:rPr>
        <w:t xml:space="preserve">trategies of </w:t>
      </w:r>
      <w:r>
        <w:rPr>
          <w:rFonts w:ascii="Arial" w:hAnsi="Arial" w:cs="Arial"/>
          <w:sz w:val="17"/>
          <w:szCs w:val="17"/>
          <w:lang w:val="en-US"/>
        </w:rPr>
        <w:t>D</w:t>
      </w:r>
      <w:r w:rsidRPr="00004937">
        <w:rPr>
          <w:rFonts w:ascii="Arial" w:hAnsi="Arial" w:cs="Arial"/>
          <w:sz w:val="17"/>
          <w:szCs w:val="17"/>
          <w:lang w:val="en-US"/>
        </w:rPr>
        <w:t xml:space="preserve">igital </w:t>
      </w:r>
      <w:r>
        <w:rPr>
          <w:rFonts w:ascii="Arial" w:hAnsi="Arial" w:cs="Arial"/>
          <w:sz w:val="17"/>
          <w:szCs w:val="17"/>
          <w:lang w:val="en-US"/>
        </w:rPr>
        <w:t>P</w:t>
      </w:r>
      <w:r w:rsidRPr="00004937">
        <w:rPr>
          <w:rFonts w:ascii="Arial" w:hAnsi="Arial" w:cs="Arial"/>
          <w:sz w:val="17"/>
          <w:szCs w:val="17"/>
          <w:lang w:val="en-US"/>
        </w:rPr>
        <w:t xml:space="preserve">latform </w:t>
      </w:r>
      <w:r>
        <w:rPr>
          <w:rFonts w:ascii="Arial" w:hAnsi="Arial" w:cs="Arial"/>
          <w:sz w:val="17"/>
          <w:szCs w:val="17"/>
          <w:lang w:val="en-US"/>
        </w:rPr>
        <w:t>F</w:t>
      </w:r>
      <w:r w:rsidRPr="00004937">
        <w:rPr>
          <w:rFonts w:ascii="Arial" w:hAnsi="Arial" w:cs="Arial"/>
          <w:sz w:val="17"/>
          <w:szCs w:val="17"/>
          <w:lang w:val="en-US"/>
        </w:rPr>
        <w:t xml:space="preserve">irms,” </w:t>
      </w:r>
      <w:r w:rsidRPr="00004937">
        <w:rPr>
          <w:rFonts w:ascii="Arial" w:hAnsi="Arial" w:cs="Arial"/>
          <w:i/>
          <w:iCs/>
          <w:sz w:val="17"/>
          <w:szCs w:val="17"/>
          <w:lang w:val="en-US"/>
        </w:rPr>
        <w:t>Global Strategy Journal</w:t>
      </w:r>
      <w:r w:rsidRPr="00004937">
        <w:rPr>
          <w:rFonts w:ascii="Arial" w:hAnsi="Arial" w:cs="Arial"/>
          <w:sz w:val="17"/>
          <w:szCs w:val="17"/>
          <w:lang w:val="en-US"/>
        </w:rPr>
        <w:t xml:space="preserve"> </w:t>
      </w:r>
      <w:r>
        <w:rPr>
          <w:rFonts w:ascii="Arial" w:hAnsi="Arial" w:cs="Arial"/>
          <w:sz w:val="17"/>
          <w:szCs w:val="17"/>
          <w:lang w:val="en-US"/>
        </w:rPr>
        <w:t>11, no. 1 (2021): 58–80,</w:t>
      </w:r>
      <w:r w:rsidRPr="00004937">
        <w:rPr>
          <w:rFonts w:ascii="Arial" w:hAnsi="Arial" w:cs="Arial"/>
          <w:sz w:val="17"/>
          <w:szCs w:val="17"/>
          <w:lang w:val="en-IN"/>
        </w:rPr>
        <w:t xml:space="preserve"> doi.org/10.1002/gsj.1336. </w:t>
      </w:r>
    </w:p>
  </w:endnote>
  <w:endnote w:id="66">
    <w:p w14:paraId="2A5A272B" w14:textId="3F8D31B7" w:rsidR="00E608B0" w:rsidRPr="00613B53" w:rsidRDefault="00E608B0" w:rsidP="00C64F7C">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8F1D25">
        <w:rPr>
          <w:rFonts w:ascii="Arial" w:hAnsi="Arial" w:cs="Arial"/>
          <w:sz w:val="17"/>
          <w:szCs w:val="17"/>
        </w:rPr>
        <w:t xml:space="preserve">Saqib Shaikh, </w:t>
      </w:r>
      <w:r>
        <w:rPr>
          <w:rFonts w:ascii="Arial" w:hAnsi="Arial" w:cs="Arial"/>
          <w:sz w:val="17"/>
          <w:szCs w:val="17"/>
          <w:lang w:val="en-CA"/>
        </w:rPr>
        <w:t>“</w:t>
      </w:r>
      <w:r w:rsidRPr="008F1D25">
        <w:rPr>
          <w:rFonts w:ascii="Arial" w:hAnsi="Arial" w:cs="Arial"/>
          <w:sz w:val="17"/>
          <w:szCs w:val="17"/>
        </w:rPr>
        <w:t xml:space="preserve">Why Average Cost Curve is </w:t>
      </w:r>
      <w:r>
        <w:rPr>
          <w:rFonts w:ascii="Arial" w:hAnsi="Arial" w:cs="Arial"/>
          <w:sz w:val="17"/>
          <w:szCs w:val="17"/>
          <w:lang w:val="en-CA"/>
        </w:rPr>
        <w:t>‘</w:t>
      </w:r>
      <w:r w:rsidRPr="008F1D25">
        <w:rPr>
          <w:rFonts w:ascii="Arial" w:hAnsi="Arial" w:cs="Arial"/>
          <w:sz w:val="17"/>
          <w:szCs w:val="17"/>
        </w:rPr>
        <w:t>U</w:t>
      </w:r>
      <w:r>
        <w:rPr>
          <w:rFonts w:ascii="Arial" w:hAnsi="Arial" w:cs="Arial"/>
          <w:sz w:val="17"/>
          <w:szCs w:val="17"/>
          <w:lang w:val="en-CA"/>
        </w:rPr>
        <w:t>’</w:t>
      </w:r>
      <w:r w:rsidRPr="008F1D25">
        <w:rPr>
          <w:rFonts w:ascii="Arial" w:hAnsi="Arial" w:cs="Arial"/>
          <w:sz w:val="17"/>
          <w:szCs w:val="17"/>
        </w:rPr>
        <w:t xml:space="preserve"> Shaped? (With Diagram),</w:t>
      </w:r>
      <w:r>
        <w:rPr>
          <w:rFonts w:ascii="Arial" w:hAnsi="Arial" w:cs="Arial"/>
          <w:sz w:val="17"/>
          <w:szCs w:val="17"/>
          <w:lang w:val="en-CA"/>
        </w:rPr>
        <w:t>”</w:t>
      </w:r>
      <w:r w:rsidRPr="008F1D25">
        <w:rPr>
          <w:rFonts w:ascii="Arial" w:hAnsi="Arial" w:cs="Arial"/>
          <w:sz w:val="17"/>
          <w:szCs w:val="17"/>
        </w:rPr>
        <w:t xml:space="preserve"> Economic</w:t>
      </w:r>
      <w:r>
        <w:rPr>
          <w:rFonts w:ascii="Arial" w:hAnsi="Arial" w:cs="Arial"/>
          <w:sz w:val="17"/>
          <w:szCs w:val="17"/>
          <w:lang w:val="en-CA"/>
        </w:rPr>
        <w:t xml:space="preserve"> </w:t>
      </w:r>
      <w:r w:rsidRPr="008F1D25">
        <w:rPr>
          <w:rFonts w:ascii="Arial" w:hAnsi="Arial" w:cs="Arial"/>
          <w:sz w:val="17"/>
          <w:szCs w:val="17"/>
        </w:rPr>
        <w:t>Discussion, accessed February 20, 2021,</w:t>
      </w:r>
      <w:r w:rsidRPr="00004937">
        <w:rPr>
          <w:rFonts w:ascii="Arial" w:hAnsi="Arial" w:cs="Arial"/>
          <w:sz w:val="17"/>
          <w:szCs w:val="17"/>
        </w:rPr>
        <w:t>www.economicsdiscussion.net/production/cost-of-production/why-average-cost-curve-is-u-shaped-with-diagram/13823</w:t>
      </w:r>
      <w:r>
        <w:rPr>
          <w:rFonts w:ascii="Arial" w:hAnsi="Arial" w:cs="Arial"/>
          <w:sz w:val="17"/>
          <w:szCs w:val="17"/>
          <w:lang w:val="en-CA"/>
        </w:rPr>
        <w:t>.</w:t>
      </w:r>
    </w:p>
  </w:endnote>
  <w:endnote w:id="67">
    <w:p w14:paraId="5F9D732A" w14:textId="0A01E487" w:rsidR="00E608B0" w:rsidRPr="00004937" w:rsidRDefault="00E608B0" w:rsidP="00C50966">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 xml:space="preserve">Nicholas L. Johnson, “Platform vs. Linear: Business Models 101,” </w:t>
      </w:r>
      <w:r w:rsidRPr="00E63A8C">
        <w:rPr>
          <w:rFonts w:ascii="Arial" w:hAnsi="Arial" w:cs="Arial"/>
          <w:sz w:val="17"/>
          <w:szCs w:val="17"/>
          <w:lang w:val="en-US"/>
        </w:rPr>
        <w:t>Applico</w:t>
      </w:r>
      <w:r w:rsidRPr="00004937">
        <w:rPr>
          <w:rFonts w:ascii="Arial" w:hAnsi="Arial" w:cs="Arial"/>
          <w:sz w:val="17"/>
          <w:szCs w:val="17"/>
          <w:lang w:val="en-US"/>
        </w:rPr>
        <w:t>, accessed October 11, 2020, www.applicoinc.com/blog/platform-vs-linear-business-models-101</w:t>
      </w:r>
      <w:r w:rsidRPr="00004937">
        <w:rPr>
          <w:rFonts w:ascii="Arial" w:hAnsi="Arial" w:cs="Arial"/>
          <w:sz w:val="17"/>
          <w:szCs w:val="17"/>
        </w:rPr>
        <w:t>.</w:t>
      </w:r>
    </w:p>
  </w:endnote>
  <w:endnote w:id="68">
    <w:p w14:paraId="3657EFBB" w14:textId="2DDFF330" w:rsidR="00E608B0" w:rsidRPr="00004937" w:rsidRDefault="00E608B0" w:rsidP="00C64F7C">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Pr>
          <w:rFonts w:ascii="Arial" w:hAnsi="Arial" w:cs="Arial"/>
          <w:sz w:val="17"/>
          <w:szCs w:val="17"/>
          <w:lang w:val="en-US"/>
        </w:rPr>
        <w:t>The term “w</w:t>
      </w:r>
      <w:r w:rsidRPr="00004937">
        <w:rPr>
          <w:rFonts w:ascii="Arial" w:hAnsi="Arial" w:cs="Arial"/>
          <w:sz w:val="17"/>
          <w:szCs w:val="17"/>
          <w:lang w:val="en-US"/>
        </w:rPr>
        <w:t>inner-takes-all</w:t>
      </w:r>
      <w:r>
        <w:rPr>
          <w:rFonts w:ascii="Arial" w:hAnsi="Arial" w:cs="Arial"/>
          <w:sz w:val="17"/>
          <w:szCs w:val="17"/>
          <w:lang w:val="en-US"/>
        </w:rPr>
        <w:t>”</w:t>
      </w:r>
      <w:r w:rsidRPr="00004937">
        <w:rPr>
          <w:rFonts w:ascii="Arial" w:hAnsi="Arial" w:cs="Arial"/>
          <w:sz w:val="17"/>
          <w:szCs w:val="17"/>
          <w:lang w:val="en-US"/>
        </w:rPr>
        <w:t xml:space="preserve"> refer</w:t>
      </w:r>
      <w:r>
        <w:rPr>
          <w:rFonts w:ascii="Arial" w:hAnsi="Arial" w:cs="Arial"/>
          <w:sz w:val="17"/>
          <w:szCs w:val="17"/>
          <w:lang w:val="en-US"/>
        </w:rPr>
        <w:t>red</w:t>
      </w:r>
      <w:r w:rsidRPr="00004937">
        <w:rPr>
          <w:rFonts w:ascii="Arial" w:hAnsi="Arial" w:cs="Arial"/>
          <w:sz w:val="17"/>
          <w:szCs w:val="17"/>
          <w:lang w:val="en-US"/>
        </w:rPr>
        <w:t xml:space="preserve"> to a situation where the entire prize </w:t>
      </w:r>
      <w:r>
        <w:rPr>
          <w:rFonts w:ascii="Arial" w:hAnsi="Arial" w:cs="Arial"/>
          <w:sz w:val="17"/>
          <w:szCs w:val="17"/>
          <w:lang w:val="en-US"/>
        </w:rPr>
        <w:t>went t</w:t>
      </w:r>
      <w:r w:rsidRPr="00004937">
        <w:rPr>
          <w:rFonts w:ascii="Arial" w:hAnsi="Arial" w:cs="Arial"/>
          <w:sz w:val="17"/>
          <w:szCs w:val="17"/>
          <w:lang w:val="en-US"/>
        </w:rPr>
        <w:t xml:space="preserve">o the one competitor who </w:t>
      </w:r>
      <w:r>
        <w:rPr>
          <w:rFonts w:ascii="Arial" w:hAnsi="Arial" w:cs="Arial"/>
          <w:sz w:val="17"/>
          <w:szCs w:val="17"/>
          <w:lang w:val="en-US"/>
        </w:rPr>
        <w:t>won</w:t>
      </w:r>
      <w:r w:rsidRPr="00004937">
        <w:rPr>
          <w:rFonts w:ascii="Arial" w:hAnsi="Arial" w:cs="Arial"/>
          <w:sz w:val="17"/>
          <w:szCs w:val="17"/>
          <w:lang w:val="en-US"/>
        </w:rPr>
        <w:t>.</w:t>
      </w:r>
    </w:p>
  </w:endnote>
  <w:endnote w:id="69">
    <w:p w14:paraId="6694B671" w14:textId="3477EE4B"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 xml:space="preserve">Sangeet Paul Choudhary, “The </w:t>
      </w:r>
      <w:r>
        <w:rPr>
          <w:rFonts w:ascii="Arial" w:hAnsi="Arial" w:cs="Arial"/>
          <w:sz w:val="17"/>
          <w:szCs w:val="17"/>
          <w:lang w:val="en-US"/>
        </w:rPr>
        <w:t>D</w:t>
      </w:r>
      <w:r w:rsidRPr="00004937">
        <w:rPr>
          <w:rFonts w:ascii="Arial" w:hAnsi="Arial" w:cs="Arial"/>
          <w:sz w:val="17"/>
          <w:szCs w:val="17"/>
          <w:lang w:val="en-US"/>
        </w:rPr>
        <w:t xml:space="preserve">angers of Platform Monopolies,” </w:t>
      </w:r>
      <w:r w:rsidRPr="00E63A8C">
        <w:rPr>
          <w:rFonts w:ascii="Arial" w:hAnsi="Arial" w:cs="Arial"/>
          <w:sz w:val="17"/>
          <w:szCs w:val="17"/>
          <w:lang w:val="en-US"/>
        </w:rPr>
        <w:t>Insead Knowledge</w:t>
      </w:r>
      <w:r w:rsidRPr="00004937">
        <w:rPr>
          <w:rFonts w:ascii="Arial" w:hAnsi="Arial" w:cs="Arial"/>
          <w:sz w:val="17"/>
          <w:szCs w:val="17"/>
          <w:lang w:val="en-US"/>
        </w:rPr>
        <w:t>, May 8, 2017, accessed October 15, 2020, https://knowledge.insead.edu/blog/insead-blog/the-dangers-of-platform-monopolies-6031.</w:t>
      </w:r>
    </w:p>
  </w:endnote>
  <w:endnote w:id="70">
    <w:p w14:paraId="72280143" w14:textId="03813DFA" w:rsidR="00E608B0" w:rsidRPr="00004937" w:rsidRDefault="00E608B0" w:rsidP="00C50966">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David S. Evans, and Richard Schmalensee, “Network Effects: March to the </w:t>
      </w:r>
      <w:r>
        <w:rPr>
          <w:rFonts w:ascii="Arial" w:hAnsi="Arial" w:cs="Arial"/>
          <w:sz w:val="17"/>
          <w:szCs w:val="17"/>
          <w:lang w:val="en-CA"/>
        </w:rPr>
        <w:t>E</w:t>
      </w:r>
      <w:r w:rsidRPr="00004937">
        <w:rPr>
          <w:rFonts w:ascii="Arial" w:hAnsi="Arial" w:cs="Arial"/>
          <w:sz w:val="17"/>
          <w:szCs w:val="17"/>
        </w:rPr>
        <w:t xml:space="preserve">vidence, </w:t>
      </w:r>
      <w:r>
        <w:rPr>
          <w:rFonts w:ascii="Arial" w:hAnsi="Arial" w:cs="Arial"/>
          <w:sz w:val="17"/>
          <w:szCs w:val="17"/>
          <w:lang w:val="en-CA"/>
        </w:rPr>
        <w:t>N</w:t>
      </w:r>
      <w:r w:rsidRPr="00004937">
        <w:rPr>
          <w:rFonts w:ascii="Arial" w:hAnsi="Arial" w:cs="Arial"/>
          <w:sz w:val="17"/>
          <w:szCs w:val="17"/>
        </w:rPr>
        <w:t xml:space="preserve">ot to the </w:t>
      </w:r>
      <w:r>
        <w:rPr>
          <w:rFonts w:ascii="Arial" w:hAnsi="Arial" w:cs="Arial"/>
          <w:sz w:val="17"/>
          <w:szCs w:val="17"/>
          <w:lang w:val="en-CA"/>
        </w:rPr>
        <w:t>S</w:t>
      </w:r>
      <w:r w:rsidRPr="00004937">
        <w:rPr>
          <w:rFonts w:ascii="Arial" w:hAnsi="Arial" w:cs="Arial"/>
          <w:sz w:val="17"/>
          <w:szCs w:val="17"/>
        </w:rPr>
        <w:t xml:space="preserve">logans,” </w:t>
      </w:r>
      <w:r w:rsidRPr="00004937">
        <w:rPr>
          <w:rFonts w:ascii="Arial" w:hAnsi="Arial" w:cs="Arial"/>
          <w:i/>
          <w:iCs/>
          <w:sz w:val="17"/>
          <w:szCs w:val="17"/>
        </w:rPr>
        <w:t>Antitrust Chronicle</w:t>
      </w:r>
      <w:r w:rsidRPr="00004937">
        <w:rPr>
          <w:rFonts w:ascii="Arial" w:hAnsi="Arial" w:cs="Arial"/>
          <w:sz w:val="17"/>
          <w:szCs w:val="17"/>
        </w:rPr>
        <w:t>, August 27, 2017, accessed October 17, 2020, https://mitsloan.mit.edu/shared/ods/documents/?PublicationDocumentID=4243</w:t>
      </w:r>
      <w:r>
        <w:rPr>
          <w:rFonts w:ascii="Arial" w:hAnsi="Arial" w:cs="Arial"/>
          <w:sz w:val="17"/>
          <w:szCs w:val="17"/>
          <w:lang w:val="en-CA"/>
        </w:rPr>
        <w:t>.</w:t>
      </w:r>
    </w:p>
  </w:endnote>
  <w:endnote w:id="71">
    <w:p w14:paraId="4A24A48E" w14:textId="4AC7F73F" w:rsidR="00E608B0" w:rsidRPr="00004937" w:rsidRDefault="00E608B0" w:rsidP="00C50966">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 xml:space="preserve">Competition Commission of India, </w:t>
      </w:r>
      <w:r w:rsidRPr="00E63A8C">
        <w:rPr>
          <w:rFonts w:ascii="Arial" w:hAnsi="Arial" w:cs="Arial"/>
          <w:i/>
          <w:iCs/>
          <w:sz w:val="17"/>
          <w:szCs w:val="17"/>
          <w:lang w:val="en-US"/>
        </w:rPr>
        <w:t>Provisions Relating to Abuse of Dominance</w:t>
      </w:r>
      <w:r w:rsidRPr="00004937">
        <w:rPr>
          <w:rFonts w:ascii="Arial" w:hAnsi="Arial" w:cs="Arial"/>
          <w:sz w:val="17"/>
          <w:szCs w:val="17"/>
          <w:lang w:val="en-US"/>
        </w:rPr>
        <w:t xml:space="preserve">, accessed October 10, 2020, www.cci.gov.in/sites/default/files/advocacy_booklet_document/AOD.pdf; The European Commission has a similar interpretation: </w:t>
      </w:r>
      <w:r w:rsidRPr="00004937">
        <w:rPr>
          <w:rFonts w:ascii="Arial" w:hAnsi="Arial" w:cs="Arial"/>
          <w:sz w:val="17"/>
          <w:szCs w:val="17"/>
        </w:rPr>
        <w:t>European Commission, “Communication from the Commission—Guidance on the Commission</w:t>
      </w:r>
      <w:r w:rsidRPr="00004937">
        <w:rPr>
          <w:rFonts w:ascii="Arial" w:hAnsi="Arial" w:cs="Arial"/>
          <w:sz w:val="17"/>
          <w:szCs w:val="17"/>
          <w:lang w:val="en-CA"/>
        </w:rPr>
        <w:t>’</w:t>
      </w:r>
      <w:r w:rsidRPr="00004937">
        <w:rPr>
          <w:rFonts w:ascii="Arial" w:hAnsi="Arial" w:cs="Arial"/>
          <w:sz w:val="17"/>
          <w:szCs w:val="17"/>
        </w:rPr>
        <w:t xml:space="preserve">s Enforcement Priorities in Applying Article 82 of the EC Treaty to Abusive Exclusionary Conduct By Dominant Undertakings,” </w:t>
      </w:r>
      <w:r w:rsidRPr="00004937">
        <w:rPr>
          <w:rFonts w:ascii="Arial" w:hAnsi="Arial" w:cs="Arial"/>
          <w:i/>
          <w:iCs/>
          <w:sz w:val="17"/>
          <w:szCs w:val="17"/>
        </w:rPr>
        <w:t xml:space="preserve">Official Journal of the European Union </w:t>
      </w:r>
      <w:r w:rsidRPr="00004937">
        <w:rPr>
          <w:rFonts w:ascii="Arial" w:hAnsi="Arial" w:cs="Arial"/>
          <w:sz w:val="17"/>
          <w:szCs w:val="17"/>
        </w:rPr>
        <w:t xml:space="preserve">100, no. 45 (2009): 7–20, accessed October 12, 2020, </w:t>
      </w:r>
      <w:r w:rsidRPr="00004937">
        <w:rPr>
          <w:rFonts w:ascii="Arial" w:hAnsi="Arial" w:cs="Arial"/>
          <w:sz w:val="17"/>
          <w:szCs w:val="17"/>
          <w:lang w:val="en-US"/>
        </w:rPr>
        <w:t>https://eur-lex.europa.eu/legal-content/EN/ALL/?uri=CELEX%3A52009XC0224%2801%29.</w:t>
      </w:r>
    </w:p>
  </w:endnote>
  <w:endnote w:id="72">
    <w:p w14:paraId="7AC9A636" w14:textId="16B7680A"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Will Kenton, “Concentration Ratio,” Investopedia, September 6, 2020, accessed October 11, 2020, www.investopedia.com/terms/c/concentrationratio.asp; Adam Hayes, “Herfindahl Hirschman Index (HHI),” Investopedia, February 11, 2020, accessed October 11, 2020, www.investopedia.com/terms/h/hhi.asp</w:t>
      </w:r>
      <w:r>
        <w:rPr>
          <w:rFonts w:ascii="Arial" w:hAnsi="Arial" w:cs="Arial"/>
          <w:sz w:val="17"/>
          <w:szCs w:val="17"/>
          <w:lang w:val="en-CA"/>
        </w:rPr>
        <w:t>;</w:t>
      </w:r>
      <w:r w:rsidRPr="00004937">
        <w:rPr>
          <w:rFonts w:ascii="Arial" w:hAnsi="Arial" w:cs="Arial"/>
          <w:sz w:val="17"/>
          <w:szCs w:val="17"/>
          <w:lang w:val="en-US"/>
        </w:rPr>
        <w:t xml:space="preserve"> </w:t>
      </w:r>
      <w:r>
        <w:rPr>
          <w:rFonts w:ascii="Arial" w:hAnsi="Arial" w:cs="Arial"/>
          <w:sz w:val="17"/>
          <w:szCs w:val="17"/>
          <w:lang w:val="en-US"/>
        </w:rPr>
        <w:t>t</w:t>
      </w:r>
      <w:r w:rsidRPr="00004937">
        <w:rPr>
          <w:rFonts w:ascii="Arial" w:hAnsi="Arial" w:cs="Arial"/>
          <w:sz w:val="17"/>
          <w:szCs w:val="17"/>
          <w:lang w:val="en-US"/>
        </w:rPr>
        <w:t>he HHI c</w:t>
      </w:r>
      <w:r>
        <w:rPr>
          <w:rFonts w:ascii="Arial" w:hAnsi="Arial" w:cs="Arial"/>
          <w:sz w:val="17"/>
          <w:szCs w:val="17"/>
          <w:lang w:val="en-US"/>
        </w:rPr>
        <w:t>ould</w:t>
      </w:r>
      <w:r w:rsidRPr="00004937">
        <w:rPr>
          <w:rFonts w:ascii="Arial" w:hAnsi="Arial" w:cs="Arial"/>
          <w:sz w:val="17"/>
          <w:szCs w:val="17"/>
          <w:lang w:val="en-US"/>
        </w:rPr>
        <w:t xml:space="preserve"> range </w:t>
      </w:r>
      <w:r>
        <w:rPr>
          <w:rFonts w:ascii="Arial" w:hAnsi="Arial" w:cs="Arial"/>
          <w:sz w:val="17"/>
          <w:szCs w:val="17"/>
          <w:lang w:val="en-US"/>
        </w:rPr>
        <w:t xml:space="preserve">from approximately </w:t>
      </w:r>
      <w:r w:rsidRPr="00004937">
        <w:rPr>
          <w:rFonts w:ascii="Arial" w:hAnsi="Arial" w:cs="Arial"/>
          <w:sz w:val="17"/>
          <w:szCs w:val="17"/>
          <w:lang w:val="en-US"/>
        </w:rPr>
        <w:t>0 to 10</w:t>
      </w:r>
      <w:r>
        <w:rPr>
          <w:rFonts w:ascii="Arial" w:hAnsi="Arial" w:cs="Arial"/>
          <w:sz w:val="17"/>
          <w:szCs w:val="17"/>
          <w:lang w:val="en-US"/>
        </w:rPr>
        <w:t>,</w:t>
      </w:r>
      <w:r w:rsidRPr="00004937">
        <w:rPr>
          <w:rFonts w:ascii="Arial" w:hAnsi="Arial" w:cs="Arial"/>
          <w:sz w:val="17"/>
          <w:szCs w:val="17"/>
          <w:lang w:val="en-US"/>
        </w:rPr>
        <w:t>000, with the prevalence of a monopoly (market share</w:t>
      </w:r>
      <w:r>
        <w:rPr>
          <w:rFonts w:ascii="Arial" w:hAnsi="Arial" w:cs="Arial"/>
          <w:sz w:val="17"/>
          <w:szCs w:val="17"/>
          <w:lang w:val="en-US"/>
        </w:rPr>
        <w:t xml:space="preserve"> </w:t>
      </w:r>
      <w:r w:rsidRPr="00004937">
        <w:rPr>
          <w:rFonts w:ascii="Arial" w:hAnsi="Arial" w:cs="Arial"/>
          <w:sz w:val="17"/>
          <w:szCs w:val="17"/>
          <w:lang w:val="en-US"/>
        </w:rPr>
        <w:t>=</w:t>
      </w:r>
      <w:r>
        <w:rPr>
          <w:rFonts w:ascii="Arial" w:hAnsi="Arial" w:cs="Arial"/>
          <w:sz w:val="17"/>
          <w:szCs w:val="17"/>
          <w:lang w:val="en-US"/>
        </w:rPr>
        <w:t xml:space="preserve"> </w:t>
      </w:r>
      <w:r w:rsidRPr="00004937">
        <w:rPr>
          <w:rFonts w:ascii="Arial" w:hAnsi="Arial" w:cs="Arial"/>
          <w:sz w:val="17"/>
          <w:szCs w:val="17"/>
          <w:lang w:val="en-US"/>
        </w:rPr>
        <w:t>100</w:t>
      </w:r>
      <w:r>
        <w:rPr>
          <w:rFonts w:ascii="Arial" w:hAnsi="Arial" w:cs="Arial"/>
          <w:sz w:val="17"/>
          <w:szCs w:val="17"/>
          <w:lang w:val="en-US"/>
        </w:rPr>
        <w:t xml:space="preserve"> per cent</w:t>
      </w:r>
      <w:r w:rsidRPr="00004937">
        <w:rPr>
          <w:rFonts w:ascii="Arial" w:hAnsi="Arial" w:cs="Arial"/>
          <w:sz w:val="17"/>
          <w:szCs w:val="17"/>
          <w:lang w:val="en-US"/>
        </w:rPr>
        <w:t>), yielding an HHI value</w:t>
      </w:r>
      <w:r>
        <w:rPr>
          <w:rFonts w:ascii="Arial" w:hAnsi="Arial" w:cs="Arial"/>
          <w:sz w:val="17"/>
          <w:szCs w:val="17"/>
          <w:lang w:val="en-US"/>
        </w:rPr>
        <w:t xml:space="preserve"> of </w:t>
      </w:r>
      <w:r w:rsidRPr="00004937">
        <w:rPr>
          <w:rFonts w:ascii="Arial" w:hAnsi="Arial" w:cs="Arial"/>
          <w:sz w:val="17"/>
          <w:szCs w:val="17"/>
          <w:lang w:val="en-US"/>
        </w:rPr>
        <w:t>10</w:t>
      </w:r>
      <w:r>
        <w:rPr>
          <w:rFonts w:ascii="Arial" w:hAnsi="Arial" w:cs="Arial"/>
          <w:sz w:val="17"/>
          <w:szCs w:val="17"/>
          <w:lang w:val="en-US"/>
        </w:rPr>
        <w:t xml:space="preserve">, </w:t>
      </w:r>
      <w:r w:rsidRPr="00004937">
        <w:rPr>
          <w:rFonts w:ascii="Arial" w:hAnsi="Arial" w:cs="Arial"/>
          <w:sz w:val="17"/>
          <w:szCs w:val="17"/>
          <w:lang w:val="en-US"/>
        </w:rPr>
        <w:t>000</w:t>
      </w:r>
      <w:r>
        <w:rPr>
          <w:rFonts w:ascii="Arial" w:hAnsi="Arial" w:cs="Arial"/>
          <w:sz w:val="17"/>
          <w:szCs w:val="17"/>
          <w:lang w:val="en-US"/>
        </w:rPr>
        <w:t>; t</w:t>
      </w:r>
      <w:r w:rsidRPr="00004937">
        <w:rPr>
          <w:rFonts w:ascii="Arial" w:hAnsi="Arial" w:cs="Arial"/>
          <w:sz w:val="17"/>
          <w:szCs w:val="17"/>
          <w:lang w:val="en-US"/>
        </w:rPr>
        <w:t xml:space="preserve">he closer the value </w:t>
      </w:r>
      <w:r>
        <w:rPr>
          <w:rFonts w:ascii="Arial" w:hAnsi="Arial" w:cs="Arial"/>
          <w:sz w:val="17"/>
          <w:szCs w:val="17"/>
          <w:lang w:val="en-US"/>
        </w:rPr>
        <w:t>was</w:t>
      </w:r>
      <w:r w:rsidRPr="00004937">
        <w:rPr>
          <w:rFonts w:ascii="Arial" w:hAnsi="Arial" w:cs="Arial"/>
          <w:sz w:val="17"/>
          <w:szCs w:val="17"/>
          <w:lang w:val="en-US"/>
        </w:rPr>
        <w:t xml:space="preserve"> to 10</w:t>
      </w:r>
      <w:r>
        <w:rPr>
          <w:rFonts w:ascii="Arial" w:hAnsi="Arial" w:cs="Arial"/>
          <w:sz w:val="17"/>
          <w:szCs w:val="17"/>
          <w:lang w:val="en-US"/>
        </w:rPr>
        <w:t>,</w:t>
      </w:r>
      <w:r w:rsidRPr="00004937">
        <w:rPr>
          <w:rFonts w:ascii="Arial" w:hAnsi="Arial" w:cs="Arial"/>
          <w:sz w:val="17"/>
          <w:szCs w:val="17"/>
          <w:lang w:val="en-US"/>
        </w:rPr>
        <w:t>000, the greater the degree of market concentration</w:t>
      </w:r>
      <w:r>
        <w:rPr>
          <w:rFonts w:ascii="Arial" w:hAnsi="Arial" w:cs="Arial"/>
          <w:sz w:val="17"/>
          <w:szCs w:val="17"/>
          <w:lang w:val="en-US"/>
        </w:rPr>
        <w:t>; m</w:t>
      </w:r>
      <w:r w:rsidRPr="00004937">
        <w:rPr>
          <w:rFonts w:ascii="Arial" w:hAnsi="Arial" w:cs="Arial"/>
          <w:sz w:val="17"/>
          <w:szCs w:val="17"/>
          <w:lang w:val="en-US"/>
        </w:rPr>
        <w:t xml:space="preserve">arketplaces </w:t>
      </w:r>
      <w:r>
        <w:rPr>
          <w:rFonts w:ascii="Arial" w:hAnsi="Arial" w:cs="Arial"/>
          <w:sz w:val="17"/>
          <w:szCs w:val="17"/>
          <w:lang w:val="en-US"/>
        </w:rPr>
        <w:t>were</w:t>
      </w:r>
      <w:r w:rsidRPr="00004937">
        <w:rPr>
          <w:rFonts w:ascii="Arial" w:hAnsi="Arial" w:cs="Arial"/>
          <w:sz w:val="17"/>
          <w:szCs w:val="17"/>
          <w:lang w:val="en-US"/>
        </w:rPr>
        <w:t xml:space="preserve"> considered competitive </w:t>
      </w:r>
      <w:r>
        <w:rPr>
          <w:rFonts w:ascii="Arial" w:hAnsi="Arial" w:cs="Arial"/>
          <w:sz w:val="17"/>
          <w:szCs w:val="17"/>
          <w:lang w:val="en-US"/>
        </w:rPr>
        <w:t>at an</w:t>
      </w:r>
      <w:r w:rsidRPr="00004937">
        <w:rPr>
          <w:rFonts w:ascii="Arial" w:hAnsi="Arial" w:cs="Arial"/>
          <w:sz w:val="17"/>
          <w:szCs w:val="17"/>
          <w:lang w:val="en-US"/>
        </w:rPr>
        <w:t xml:space="preserve"> HHI value </w:t>
      </w:r>
      <w:r>
        <w:rPr>
          <w:rFonts w:ascii="Arial" w:hAnsi="Arial" w:cs="Arial"/>
          <w:sz w:val="17"/>
          <w:szCs w:val="17"/>
          <w:lang w:val="en-US"/>
        </w:rPr>
        <w:t>below</w:t>
      </w:r>
      <w:r w:rsidRPr="00004937">
        <w:rPr>
          <w:rFonts w:ascii="Arial" w:hAnsi="Arial" w:cs="Arial"/>
          <w:sz w:val="17"/>
          <w:szCs w:val="17"/>
          <w:lang w:val="en-US"/>
        </w:rPr>
        <w:t xml:space="preserve"> 1</w:t>
      </w:r>
      <w:r>
        <w:rPr>
          <w:rFonts w:ascii="Arial" w:hAnsi="Arial" w:cs="Arial"/>
          <w:sz w:val="17"/>
          <w:szCs w:val="17"/>
          <w:lang w:val="en-US"/>
        </w:rPr>
        <w:t>,</w:t>
      </w:r>
      <w:r w:rsidRPr="00004937">
        <w:rPr>
          <w:rFonts w:ascii="Arial" w:hAnsi="Arial" w:cs="Arial"/>
          <w:sz w:val="17"/>
          <w:szCs w:val="17"/>
          <w:lang w:val="en-US"/>
        </w:rPr>
        <w:t>500, moderate</w:t>
      </w:r>
      <w:r>
        <w:rPr>
          <w:rFonts w:ascii="Arial" w:hAnsi="Arial" w:cs="Arial"/>
          <w:sz w:val="17"/>
          <w:szCs w:val="17"/>
          <w:lang w:val="en-US"/>
        </w:rPr>
        <w:t xml:space="preserve"> at</w:t>
      </w:r>
      <w:r w:rsidRPr="00004937">
        <w:rPr>
          <w:rFonts w:ascii="Arial" w:hAnsi="Arial" w:cs="Arial"/>
          <w:sz w:val="17"/>
          <w:szCs w:val="17"/>
          <w:lang w:val="en-US"/>
        </w:rPr>
        <w:t xml:space="preserve"> 1</w:t>
      </w:r>
      <w:r>
        <w:rPr>
          <w:rFonts w:ascii="Arial" w:hAnsi="Arial" w:cs="Arial"/>
          <w:sz w:val="17"/>
          <w:szCs w:val="17"/>
          <w:lang w:val="en-US"/>
        </w:rPr>
        <w:t>,</w:t>
      </w:r>
      <w:r w:rsidRPr="00004937">
        <w:rPr>
          <w:rFonts w:ascii="Arial" w:hAnsi="Arial" w:cs="Arial"/>
          <w:sz w:val="17"/>
          <w:szCs w:val="17"/>
          <w:lang w:val="en-US"/>
        </w:rPr>
        <w:t>500</w:t>
      </w:r>
      <w:r>
        <w:rPr>
          <w:rFonts w:ascii="Arial" w:hAnsi="Arial" w:cs="Arial"/>
          <w:sz w:val="17"/>
          <w:szCs w:val="17"/>
          <w:lang w:val="en-US"/>
        </w:rPr>
        <w:t>–</w:t>
      </w:r>
      <w:r w:rsidRPr="00004937">
        <w:rPr>
          <w:rFonts w:ascii="Arial" w:hAnsi="Arial" w:cs="Arial"/>
          <w:sz w:val="17"/>
          <w:szCs w:val="17"/>
          <w:lang w:val="en-US"/>
        </w:rPr>
        <w:t>2</w:t>
      </w:r>
      <w:r>
        <w:rPr>
          <w:rFonts w:ascii="Arial" w:hAnsi="Arial" w:cs="Arial"/>
          <w:sz w:val="17"/>
          <w:szCs w:val="17"/>
          <w:lang w:val="en-US"/>
        </w:rPr>
        <w:t>,</w:t>
      </w:r>
      <w:r w:rsidRPr="00004937">
        <w:rPr>
          <w:rFonts w:ascii="Arial" w:hAnsi="Arial" w:cs="Arial"/>
          <w:sz w:val="17"/>
          <w:szCs w:val="17"/>
          <w:lang w:val="en-US"/>
        </w:rPr>
        <w:t>500</w:t>
      </w:r>
      <w:r>
        <w:rPr>
          <w:rFonts w:ascii="Arial" w:hAnsi="Arial" w:cs="Arial"/>
          <w:sz w:val="17"/>
          <w:szCs w:val="17"/>
          <w:lang w:val="en-US"/>
        </w:rPr>
        <w:t>,</w:t>
      </w:r>
      <w:r w:rsidRPr="00004937">
        <w:rPr>
          <w:rFonts w:ascii="Arial" w:hAnsi="Arial" w:cs="Arial"/>
          <w:sz w:val="17"/>
          <w:szCs w:val="17"/>
          <w:lang w:val="en-US"/>
        </w:rPr>
        <w:t xml:space="preserve"> and highly concentrated </w:t>
      </w:r>
      <w:r>
        <w:rPr>
          <w:rFonts w:ascii="Arial" w:hAnsi="Arial" w:cs="Arial"/>
          <w:sz w:val="17"/>
          <w:szCs w:val="17"/>
          <w:lang w:val="en-US"/>
        </w:rPr>
        <w:t>at above</w:t>
      </w:r>
      <w:r w:rsidRPr="00004937">
        <w:rPr>
          <w:rFonts w:ascii="Arial" w:hAnsi="Arial" w:cs="Arial"/>
          <w:sz w:val="17"/>
          <w:szCs w:val="17"/>
          <w:lang w:val="en-US"/>
        </w:rPr>
        <w:t xml:space="preserve"> 2</w:t>
      </w:r>
      <w:r>
        <w:rPr>
          <w:rFonts w:ascii="Arial" w:hAnsi="Arial" w:cs="Arial"/>
          <w:sz w:val="17"/>
          <w:szCs w:val="17"/>
          <w:lang w:val="en-US"/>
        </w:rPr>
        <w:t>,</w:t>
      </w:r>
      <w:r w:rsidRPr="00004937">
        <w:rPr>
          <w:rFonts w:ascii="Arial" w:hAnsi="Arial" w:cs="Arial"/>
          <w:sz w:val="17"/>
          <w:szCs w:val="17"/>
          <w:lang w:val="en-US"/>
        </w:rPr>
        <w:t>500.</w:t>
      </w:r>
    </w:p>
  </w:endnote>
  <w:endnote w:id="73">
    <w:p w14:paraId="4344A051" w14:textId="02AD9BEE" w:rsidR="00E608B0" w:rsidRPr="00004937" w:rsidRDefault="00E608B0" w:rsidP="00EE6658">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The E</w:t>
      </w:r>
      <w:r w:rsidRPr="00004937">
        <w:rPr>
          <w:rFonts w:ascii="Arial" w:hAnsi="Arial" w:cs="Arial"/>
          <w:sz w:val="17"/>
          <w:szCs w:val="17"/>
        </w:rPr>
        <w:t>uropean Commission</w:t>
      </w:r>
      <w:r w:rsidRPr="00004937">
        <w:rPr>
          <w:rFonts w:ascii="Arial" w:hAnsi="Arial" w:cs="Arial"/>
          <w:sz w:val="17"/>
          <w:szCs w:val="17"/>
          <w:lang w:val="en-US"/>
        </w:rPr>
        <w:t xml:space="preserve"> itself interpreted dominance as </w:t>
      </w:r>
      <w:r>
        <w:rPr>
          <w:rFonts w:ascii="Arial" w:hAnsi="Arial" w:cs="Arial"/>
          <w:sz w:val="17"/>
          <w:szCs w:val="17"/>
          <w:lang w:val="en-US"/>
        </w:rPr>
        <w:t>“</w:t>
      </w:r>
      <w:r w:rsidRPr="00004937">
        <w:rPr>
          <w:rFonts w:ascii="Arial" w:hAnsi="Arial" w:cs="Arial"/>
          <w:sz w:val="17"/>
          <w:szCs w:val="17"/>
        </w:rPr>
        <w:t>the market position of the dominant undertaking and its competitors, expansion and entry and countervailing buyer power</w:t>
      </w:r>
      <w:r>
        <w:rPr>
          <w:rFonts w:ascii="Arial" w:hAnsi="Arial" w:cs="Arial"/>
          <w:sz w:val="17"/>
          <w:szCs w:val="17"/>
          <w:lang w:val="en-CA"/>
        </w:rPr>
        <w:t>.”</w:t>
      </w:r>
      <w:r w:rsidRPr="00004937">
        <w:rPr>
          <w:rFonts w:ascii="Arial" w:hAnsi="Arial" w:cs="Arial"/>
          <w:sz w:val="17"/>
          <w:szCs w:val="17"/>
        </w:rPr>
        <w:t xml:space="preserve"> European Commission, op cit.</w:t>
      </w:r>
    </w:p>
  </w:endnote>
  <w:endnote w:id="74">
    <w:p w14:paraId="3AC718C5" w14:textId="6FCA26D4" w:rsidR="00E608B0" w:rsidRPr="00613B53" w:rsidRDefault="00E608B0" w:rsidP="007414AD">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This was true even under the laws</w:t>
      </w:r>
      <w:r>
        <w:rPr>
          <w:rFonts w:ascii="Arial" w:hAnsi="Arial" w:cs="Arial"/>
          <w:sz w:val="17"/>
          <w:szCs w:val="17"/>
          <w:lang w:val="en-US"/>
        </w:rPr>
        <w:t xml:space="preserve"> of the </w:t>
      </w:r>
      <w:r w:rsidRPr="00004937">
        <w:rPr>
          <w:rFonts w:ascii="Arial" w:hAnsi="Arial" w:cs="Arial"/>
          <w:sz w:val="17"/>
          <w:szCs w:val="17"/>
        </w:rPr>
        <w:t>European Commission</w:t>
      </w:r>
      <w:r>
        <w:rPr>
          <w:rFonts w:ascii="Arial" w:hAnsi="Arial" w:cs="Arial"/>
          <w:sz w:val="17"/>
          <w:szCs w:val="17"/>
          <w:lang w:val="en-CA"/>
        </w:rPr>
        <w:t xml:space="preserve"> and the United States</w:t>
      </w:r>
      <w:r>
        <w:rPr>
          <w:rFonts w:ascii="Arial" w:hAnsi="Arial" w:cs="Arial"/>
          <w:sz w:val="17"/>
          <w:szCs w:val="17"/>
          <w:lang w:val="en-US"/>
        </w:rPr>
        <w:t>;</w:t>
      </w:r>
      <w:r w:rsidRPr="00004937">
        <w:rPr>
          <w:rFonts w:ascii="Arial" w:hAnsi="Arial" w:cs="Arial"/>
          <w:sz w:val="17"/>
          <w:szCs w:val="17"/>
          <w:lang w:val="en-US"/>
        </w:rPr>
        <w:t xml:space="preserve"> </w:t>
      </w:r>
      <w:r w:rsidRPr="00004937">
        <w:rPr>
          <w:rFonts w:ascii="Arial" w:hAnsi="Arial" w:cs="Arial"/>
          <w:sz w:val="17"/>
          <w:szCs w:val="17"/>
        </w:rPr>
        <w:t xml:space="preserve">Cleary Gottlieb Steen and Hamilton LLP, “In </w:t>
      </w:r>
      <w:r>
        <w:rPr>
          <w:rFonts w:ascii="Arial" w:hAnsi="Arial" w:cs="Arial"/>
          <w:sz w:val="17"/>
          <w:szCs w:val="17"/>
          <w:lang w:val="en-CA"/>
        </w:rPr>
        <w:t>B</w:t>
      </w:r>
      <w:r w:rsidRPr="00004937">
        <w:rPr>
          <w:rFonts w:ascii="Arial" w:hAnsi="Arial" w:cs="Arial"/>
          <w:sz w:val="17"/>
          <w:szCs w:val="17"/>
        </w:rPr>
        <w:t xml:space="preserve">rief: Abuse of Dominance in USA,” </w:t>
      </w:r>
      <w:r w:rsidRPr="00E63A8C">
        <w:rPr>
          <w:rFonts w:ascii="Arial" w:hAnsi="Arial" w:cs="Arial"/>
          <w:sz w:val="17"/>
          <w:szCs w:val="17"/>
        </w:rPr>
        <w:t>Lexology</w:t>
      </w:r>
      <w:r w:rsidRPr="00004937">
        <w:rPr>
          <w:rFonts w:ascii="Arial" w:hAnsi="Arial" w:cs="Arial"/>
          <w:sz w:val="17"/>
          <w:szCs w:val="17"/>
        </w:rPr>
        <w:t>, March 19, 2020, accessed October 11, 2020, www.lexology.com/library/detail.aspx?g=582398d4-51b5-4c4e-82e9-e1f14a5da392; EC, op cit.; C</w:t>
      </w:r>
      <w:r w:rsidRPr="00004937">
        <w:rPr>
          <w:rFonts w:ascii="Arial" w:hAnsi="Arial" w:cs="Arial"/>
          <w:sz w:val="17"/>
          <w:szCs w:val="17"/>
          <w:lang w:val="en-US"/>
        </w:rPr>
        <w:t>ompetition Commission of India</w:t>
      </w:r>
      <w:r>
        <w:rPr>
          <w:rFonts w:ascii="Arial" w:hAnsi="Arial" w:cs="Arial"/>
          <w:sz w:val="17"/>
          <w:szCs w:val="17"/>
          <w:lang w:val="en-US"/>
        </w:rPr>
        <w:t>,</w:t>
      </w:r>
      <w:r w:rsidRPr="00004937">
        <w:rPr>
          <w:rFonts w:ascii="Arial" w:hAnsi="Arial" w:cs="Arial"/>
          <w:sz w:val="17"/>
          <w:szCs w:val="17"/>
        </w:rPr>
        <w:t xml:space="preserve"> op cit</w:t>
      </w:r>
      <w:r>
        <w:rPr>
          <w:rFonts w:ascii="Arial" w:hAnsi="Arial" w:cs="Arial"/>
          <w:sz w:val="17"/>
          <w:szCs w:val="17"/>
          <w:lang w:val="en-CA"/>
        </w:rPr>
        <w:t>.</w:t>
      </w:r>
    </w:p>
  </w:endnote>
  <w:endnote w:id="75">
    <w:p w14:paraId="4B8D09EE" w14:textId="4A2E7131" w:rsidR="00E608B0" w:rsidRPr="00004937" w:rsidRDefault="00E608B0" w:rsidP="00DC5392">
      <w:pPr>
        <w:pStyle w:val="EndnoteText"/>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Competition Commission of India, op. cit</w:t>
      </w:r>
      <w:r>
        <w:rPr>
          <w:rFonts w:ascii="Arial" w:hAnsi="Arial" w:cs="Arial"/>
          <w:sz w:val="17"/>
          <w:szCs w:val="17"/>
          <w:lang w:val="en-CA"/>
        </w:rPr>
        <w:t>.</w:t>
      </w:r>
    </w:p>
  </w:endnote>
  <w:endnote w:id="76">
    <w:p w14:paraId="030E1323" w14:textId="6525A863" w:rsidR="00E608B0" w:rsidRPr="00004937" w:rsidRDefault="00E608B0" w:rsidP="0094040B">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Pr>
          <w:rFonts w:ascii="Arial" w:hAnsi="Arial" w:cs="Arial"/>
          <w:sz w:val="17"/>
          <w:szCs w:val="17"/>
          <w:lang w:val="en-US"/>
        </w:rPr>
        <w:t>I</w:t>
      </w:r>
      <w:r w:rsidRPr="00004937">
        <w:rPr>
          <w:rFonts w:ascii="Arial" w:hAnsi="Arial" w:cs="Arial"/>
          <w:sz w:val="17"/>
          <w:szCs w:val="17"/>
          <w:lang w:val="en-US"/>
        </w:rPr>
        <w:t>bid</w:t>
      </w:r>
      <w:r>
        <w:rPr>
          <w:rFonts w:ascii="Arial" w:hAnsi="Arial" w:cs="Arial"/>
          <w:sz w:val="17"/>
          <w:szCs w:val="17"/>
          <w:lang w:val="en-US"/>
        </w:rPr>
        <w:t>.</w:t>
      </w:r>
    </w:p>
  </w:endnote>
  <w:endnote w:id="77">
    <w:p w14:paraId="4E00E9D3" w14:textId="7D740AA4" w:rsidR="00E608B0" w:rsidRPr="00004937" w:rsidRDefault="00E608B0" w:rsidP="006940B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Robert Pindyck and Daniel Rubinfeld, “Social Costs of Monopoly Power</w:t>
      </w:r>
      <w:r>
        <w:rPr>
          <w:rFonts w:ascii="Arial" w:hAnsi="Arial" w:cs="Arial"/>
          <w:sz w:val="17"/>
          <w:szCs w:val="17"/>
          <w:lang w:val="en-US"/>
        </w:rPr>
        <w:t>,</w:t>
      </w:r>
      <w:r w:rsidRPr="00004937">
        <w:rPr>
          <w:rFonts w:ascii="Arial" w:hAnsi="Arial" w:cs="Arial"/>
          <w:sz w:val="17"/>
          <w:szCs w:val="17"/>
          <w:lang w:val="en-US"/>
        </w:rPr>
        <w:t xml:space="preserve">” in </w:t>
      </w:r>
      <w:r w:rsidRPr="00004937">
        <w:rPr>
          <w:rFonts w:ascii="Arial" w:hAnsi="Arial" w:cs="Arial"/>
          <w:i/>
          <w:iCs/>
          <w:sz w:val="17"/>
          <w:szCs w:val="17"/>
          <w:lang w:val="en-US"/>
        </w:rPr>
        <w:t>Microeconomics,</w:t>
      </w:r>
      <w:r w:rsidRPr="00004937">
        <w:rPr>
          <w:rFonts w:ascii="Arial" w:hAnsi="Arial" w:cs="Arial"/>
          <w:sz w:val="17"/>
          <w:szCs w:val="17"/>
          <w:lang w:val="en-US"/>
        </w:rPr>
        <w:t xml:space="preserve"> 8th ed. (</w:t>
      </w:r>
      <w:r>
        <w:rPr>
          <w:rFonts w:ascii="Arial" w:hAnsi="Arial" w:cs="Arial"/>
          <w:sz w:val="17"/>
          <w:szCs w:val="17"/>
          <w:lang w:val="en-US"/>
        </w:rPr>
        <w:t>New Delhi</w:t>
      </w:r>
      <w:r w:rsidRPr="00004937">
        <w:rPr>
          <w:rFonts w:ascii="Arial" w:hAnsi="Arial" w:cs="Arial"/>
          <w:sz w:val="17"/>
          <w:szCs w:val="17"/>
          <w:lang w:val="en-US"/>
        </w:rPr>
        <w:t xml:space="preserve">, </w:t>
      </w:r>
      <w:r>
        <w:rPr>
          <w:rFonts w:ascii="Arial" w:hAnsi="Arial" w:cs="Arial"/>
          <w:sz w:val="17"/>
          <w:szCs w:val="17"/>
          <w:lang w:val="en-US"/>
        </w:rPr>
        <w:t>India</w:t>
      </w:r>
      <w:r w:rsidRPr="00004937">
        <w:rPr>
          <w:rFonts w:ascii="Arial" w:hAnsi="Arial" w:cs="Arial"/>
          <w:sz w:val="17"/>
          <w:szCs w:val="17"/>
          <w:lang w:val="en-US"/>
        </w:rPr>
        <w:t xml:space="preserve">: Pearson, 2017), chapter 10, 385–386. </w:t>
      </w:r>
    </w:p>
  </w:endnote>
  <w:endnote w:id="78">
    <w:p w14:paraId="47DBB3EE" w14:textId="202EE71D" w:rsidR="00E608B0" w:rsidRPr="00004937" w:rsidRDefault="00E608B0" w:rsidP="00F0649E">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Richard Nieva, op. cit</w:t>
      </w:r>
      <w:r>
        <w:rPr>
          <w:rFonts w:ascii="Arial" w:hAnsi="Arial" w:cs="Arial"/>
          <w:sz w:val="17"/>
          <w:szCs w:val="17"/>
          <w:lang w:val="en-US"/>
        </w:rPr>
        <w:t>.</w:t>
      </w:r>
      <w:r w:rsidRPr="00004937">
        <w:rPr>
          <w:rFonts w:ascii="Arial" w:hAnsi="Arial" w:cs="Arial"/>
          <w:sz w:val="17"/>
          <w:szCs w:val="17"/>
          <w:lang w:val="en-US"/>
        </w:rPr>
        <w:t xml:space="preserve">; “Antitrust: Commission Fines Google €1.49 Billion for Abusive Practices in Online Advertising,” European Commission, March 20, 2019, press release, accessed February 20, 2021, https://ec.europa.eu/commission/presscorner/detail/en/IP_19_1770; Sarah Perez, “Google Reaches $7.8 Million Settlement in Its Android Anti-Trust Case in Russia,” </w:t>
      </w:r>
      <w:r w:rsidRPr="00E63A8C">
        <w:rPr>
          <w:rFonts w:ascii="Arial" w:hAnsi="Arial" w:cs="Arial"/>
          <w:sz w:val="17"/>
          <w:szCs w:val="17"/>
          <w:lang w:val="en-US"/>
        </w:rPr>
        <w:t>Tech Crunch</w:t>
      </w:r>
      <w:r w:rsidRPr="00004937">
        <w:rPr>
          <w:rFonts w:ascii="Arial" w:hAnsi="Arial" w:cs="Arial"/>
          <w:sz w:val="17"/>
          <w:szCs w:val="17"/>
          <w:lang w:val="en-US"/>
        </w:rPr>
        <w:t>, April 17, 2017, accessed October 11, 2020, https://techcrunch.com/2017/04/17/google-reaches-7-8-million-settlement-in-its-android-antitrust-case-in-russia.</w:t>
      </w:r>
    </w:p>
  </w:endnote>
  <w:endnote w:id="79">
    <w:p w14:paraId="529286FE" w14:textId="46082E81" w:rsidR="00E608B0" w:rsidRPr="006D2384" w:rsidRDefault="00E608B0" w:rsidP="00133D9F">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Jai Vipra, op cit</w:t>
      </w:r>
      <w:r>
        <w:rPr>
          <w:rFonts w:ascii="Arial" w:hAnsi="Arial" w:cs="Arial"/>
          <w:sz w:val="17"/>
          <w:szCs w:val="17"/>
          <w:lang w:val="en-US"/>
        </w:rPr>
        <w:t>.</w:t>
      </w:r>
    </w:p>
  </w:endnote>
  <w:endnote w:id="80">
    <w:p w14:paraId="33C1CBBF" w14:textId="42ECE1B5" w:rsidR="00E608B0" w:rsidRPr="00004937" w:rsidRDefault="00E608B0">
      <w:pPr>
        <w:pStyle w:val="EndnoteText"/>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CA"/>
        </w:rPr>
        <w:t xml:space="preserve">€ = </w:t>
      </w:r>
      <w:r>
        <w:rPr>
          <w:rFonts w:ascii="Arial" w:hAnsi="Arial" w:cs="Arial"/>
          <w:sz w:val="17"/>
          <w:szCs w:val="17"/>
          <w:lang w:val="en-CA"/>
        </w:rPr>
        <w:t xml:space="preserve">EUR = </w:t>
      </w:r>
      <w:r w:rsidRPr="00004937">
        <w:rPr>
          <w:rFonts w:ascii="Arial" w:hAnsi="Arial" w:cs="Arial"/>
          <w:sz w:val="17"/>
          <w:szCs w:val="17"/>
          <w:lang w:val="en-CA"/>
        </w:rPr>
        <w:t>euro; US$1 = €0.85 on October 1, 2020.</w:t>
      </w:r>
    </w:p>
  </w:endnote>
  <w:endnote w:id="81">
    <w:p w14:paraId="5A51920B" w14:textId="2930634E" w:rsidR="00E608B0" w:rsidRPr="006D2384" w:rsidRDefault="00E608B0" w:rsidP="00133D9F">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Pr>
          <w:rFonts w:ascii="Arial" w:hAnsi="Arial" w:cs="Arial"/>
          <w:sz w:val="17"/>
          <w:szCs w:val="17"/>
          <w:lang w:val="en-CA"/>
        </w:rPr>
        <w:t>“</w:t>
      </w:r>
      <w:r w:rsidRPr="006D2384">
        <w:rPr>
          <w:rFonts w:ascii="Arial" w:hAnsi="Arial" w:cs="Arial"/>
          <w:sz w:val="17"/>
          <w:szCs w:val="17"/>
        </w:rPr>
        <w:t xml:space="preserve">Antitrust: Commission </w:t>
      </w:r>
      <w:r>
        <w:rPr>
          <w:rFonts w:ascii="Arial" w:hAnsi="Arial" w:cs="Arial"/>
          <w:sz w:val="17"/>
          <w:szCs w:val="17"/>
          <w:lang w:val="en-CA"/>
        </w:rPr>
        <w:t>F</w:t>
      </w:r>
      <w:r w:rsidRPr="006D2384">
        <w:rPr>
          <w:rFonts w:ascii="Arial" w:hAnsi="Arial" w:cs="Arial"/>
          <w:sz w:val="17"/>
          <w:szCs w:val="17"/>
        </w:rPr>
        <w:t xml:space="preserve">ines Google €1.49 </w:t>
      </w:r>
      <w:r>
        <w:rPr>
          <w:rFonts w:ascii="Arial" w:hAnsi="Arial" w:cs="Arial"/>
          <w:sz w:val="17"/>
          <w:szCs w:val="17"/>
          <w:lang w:val="en-CA"/>
        </w:rPr>
        <w:t>B</w:t>
      </w:r>
      <w:r w:rsidRPr="006D2384">
        <w:rPr>
          <w:rFonts w:ascii="Arial" w:hAnsi="Arial" w:cs="Arial"/>
          <w:sz w:val="17"/>
          <w:szCs w:val="17"/>
        </w:rPr>
        <w:t xml:space="preserve">illion for </w:t>
      </w:r>
      <w:r>
        <w:rPr>
          <w:rFonts w:ascii="Arial" w:hAnsi="Arial" w:cs="Arial"/>
          <w:sz w:val="17"/>
          <w:szCs w:val="17"/>
          <w:lang w:val="en-CA"/>
        </w:rPr>
        <w:t>A</w:t>
      </w:r>
      <w:r w:rsidRPr="006D2384">
        <w:rPr>
          <w:rFonts w:ascii="Arial" w:hAnsi="Arial" w:cs="Arial"/>
          <w:sz w:val="17"/>
          <w:szCs w:val="17"/>
        </w:rPr>
        <w:t xml:space="preserve">busive </w:t>
      </w:r>
      <w:r>
        <w:rPr>
          <w:rFonts w:ascii="Arial" w:hAnsi="Arial" w:cs="Arial"/>
          <w:sz w:val="17"/>
          <w:szCs w:val="17"/>
          <w:lang w:val="en-CA"/>
        </w:rPr>
        <w:t>P</w:t>
      </w:r>
      <w:r w:rsidRPr="006D2384">
        <w:rPr>
          <w:rFonts w:ascii="Arial" w:hAnsi="Arial" w:cs="Arial"/>
          <w:sz w:val="17"/>
          <w:szCs w:val="17"/>
        </w:rPr>
        <w:t xml:space="preserve">ractices in </w:t>
      </w:r>
      <w:r>
        <w:rPr>
          <w:rFonts w:ascii="Arial" w:hAnsi="Arial" w:cs="Arial"/>
          <w:sz w:val="17"/>
          <w:szCs w:val="17"/>
          <w:lang w:val="en-CA"/>
        </w:rPr>
        <w:t>O</w:t>
      </w:r>
      <w:r w:rsidRPr="006D2384">
        <w:rPr>
          <w:rFonts w:ascii="Arial" w:hAnsi="Arial" w:cs="Arial"/>
          <w:sz w:val="17"/>
          <w:szCs w:val="17"/>
        </w:rPr>
        <w:t xml:space="preserve">nline </w:t>
      </w:r>
      <w:r>
        <w:rPr>
          <w:rFonts w:ascii="Arial" w:hAnsi="Arial" w:cs="Arial"/>
          <w:sz w:val="17"/>
          <w:szCs w:val="17"/>
          <w:lang w:val="en-CA"/>
        </w:rPr>
        <w:t>A</w:t>
      </w:r>
      <w:r w:rsidRPr="006D2384">
        <w:rPr>
          <w:rFonts w:ascii="Arial" w:hAnsi="Arial" w:cs="Arial"/>
          <w:sz w:val="17"/>
          <w:szCs w:val="17"/>
        </w:rPr>
        <w:t>dvertising,</w:t>
      </w:r>
      <w:r>
        <w:rPr>
          <w:rFonts w:ascii="Arial" w:hAnsi="Arial" w:cs="Arial"/>
          <w:sz w:val="17"/>
          <w:szCs w:val="17"/>
          <w:lang w:val="en-CA"/>
        </w:rPr>
        <w:t>”</w:t>
      </w:r>
      <w:r w:rsidRPr="006D2384">
        <w:rPr>
          <w:rFonts w:ascii="Arial" w:hAnsi="Arial" w:cs="Arial"/>
          <w:sz w:val="17"/>
          <w:szCs w:val="17"/>
        </w:rPr>
        <w:t xml:space="preserve"> European Commission, March 20, 2019, press release, accessed February 20, 2021, </w:t>
      </w:r>
      <w:r w:rsidRPr="00004937">
        <w:rPr>
          <w:rFonts w:ascii="Arial" w:hAnsi="Arial" w:cs="Arial"/>
          <w:sz w:val="17"/>
          <w:szCs w:val="17"/>
        </w:rPr>
        <w:t>https://ec.europa.eu/commission/presscorner/detail/en/IP_19_1770</w:t>
      </w:r>
      <w:r>
        <w:rPr>
          <w:rFonts w:ascii="Arial" w:hAnsi="Arial" w:cs="Arial"/>
          <w:sz w:val="17"/>
          <w:szCs w:val="17"/>
          <w:lang w:val="en-CA"/>
        </w:rPr>
        <w:t>.</w:t>
      </w:r>
    </w:p>
  </w:endnote>
  <w:endnote w:id="82">
    <w:p w14:paraId="278DE380" w14:textId="37C5C80C" w:rsidR="00E608B0" w:rsidRPr="006D2384" w:rsidRDefault="00E608B0" w:rsidP="00C64F7C">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James Vincent, “</w:t>
      </w:r>
      <w:r w:rsidRPr="00004937">
        <w:rPr>
          <w:rFonts w:ascii="Arial" w:eastAsia="Times New Roman" w:hAnsi="Arial" w:cs="Arial"/>
          <w:sz w:val="17"/>
          <w:szCs w:val="17"/>
          <w:lang w:eastAsia="en-IN"/>
        </w:rPr>
        <w:t xml:space="preserve">Google </w:t>
      </w:r>
      <w:r>
        <w:rPr>
          <w:rFonts w:ascii="Arial" w:eastAsia="Times New Roman" w:hAnsi="Arial" w:cs="Arial"/>
          <w:sz w:val="17"/>
          <w:szCs w:val="17"/>
          <w:lang w:val="en-CA" w:eastAsia="en-IN"/>
        </w:rPr>
        <w:t>H</w:t>
      </w:r>
      <w:r w:rsidRPr="00004937">
        <w:rPr>
          <w:rFonts w:ascii="Arial" w:eastAsia="Times New Roman" w:hAnsi="Arial" w:cs="Arial"/>
          <w:sz w:val="17"/>
          <w:szCs w:val="17"/>
          <w:lang w:eastAsia="en-IN"/>
        </w:rPr>
        <w:t xml:space="preserve">it with €1.5 </w:t>
      </w:r>
      <w:r>
        <w:rPr>
          <w:rFonts w:ascii="Arial" w:eastAsia="Times New Roman" w:hAnsi="Arial" w:cs="Arial"/>
          <w:sz w:val="17"/>
          <w:szCs w:val="17"/>
          <w:lang w:val="en-CA" w:eastAsia="en-IN"/>
        </w:rPr>
        <w:t>B</w:t>
      </w:r>
      <w:r w:rsidRPr="00004937">
        <w:rPr>
          <w:rFonts w:ascii="Arial" w:eastAsia="Times New Roman" w:hAnsi="Arial" w:cs="Arial"/>
          <w:sz w:val="17"/>
          <w:szCs w:val="17"/>
          <w:lang w:eastAsia="en-IN"/>
        </w:rPr>
        <w:t xml:space="preserve">illion </w:t>
      </w:r>
      <w:r>
        <w:rPr>
          <w:rFonts w:ascii="Arial" w:eastAsia="Times New Roman" w:hAnsi="Arial" w:cs="Arial"/>
          <w:sz w:val="17"/>
          <w:szCs w:val="17"/>
          <w:lang w:val="en-CA" w:eastAsia="en-IN"/>
        </w:rPr>
        <w:t>A</w:t>
      </w:r>
      <w:r w:rsidRPr="00004937">
        <w:rPr>
          <w:rFonts w:ascii="Arial" w:eastAsia="Times New Roman" w:hAnsi="Arial" w:cs="Arial"/>
          <w:sz w:val="17"/>
          <w:szCs w:val="17"/>
          <w:lang w:eastAsia="en-IN"/>
        </w:rPr>
        <w:t xml:space="preserve">ntitrust </w:t>
      </w:r>
      <w:r>
        <w:rPr>
          <w:rFonts w:ascii="Arial" w:eastAsia="Times New Roman" w:hAnsi="Arial" w:cs="Arial"/>
          <w:sz w:val="17"/>
          <w:szCs w:val="17"/>
          <w:lang w:val="en-CA" w:eastAsia="en-IN"/>
        </w:rPr>
        <w:t>F</w:t>
      </w:r>
      <w:r w:rsidRPr="00004937">
        <w:rPr>
          <w:rFonts w:ascii="Arial" w:eastAsia="Times New Roman" w:hAnsi="Arial" w:cs="Arial"/>
          <w:sz w:val="17"/>
          <w:szCs w:val="17"/>
          <w:lang w:eastAsia="en-IN"/>
        </w:rPr>
        <w:t>ine by EU</w:t>
      </w:r>
      <w:r w:rsidRPr="00004937">
        <w:rPr>
          <w:rFonts w:ascii="Arial" w:hAnsi="Arial" w:cs="Arial"/>
          <w:sz w:val="17"/>
          <w:szCs w:val="17"/>
        </w:rPr>
        <w:t xml:space="preserve">,” </w:t>
      </w:r>
      <w:r w:rsidRPr="00E63A8C">
        <w:rPr>
          <w:rFonts w:ascii="Arial" w:hAnsi="Arial" w:cs="Arial"/>
          <w:sz w:val="17"/>
          <w:szCs w:val="17"/>
        </w:rPr>
        <w:t>The Verge</w:t>
      </w:r>
      <w:r w:rsidRPr="00004937">
        <w:rPr>
          <w:rFonts w:ascii="Arial" w:hAnsi="Arial" w:cs="Arial"/>
          <w:sz w:val="17"/>
          <w:szCs w:val="17"/>
        </w:rPr>
        <w:t>, March 20, 2019, accessed October 11, 2020, www.theverge.com/2019/3/20/18270891/google-eu-antitrust-fine-adsense-advertising</w:t>
      </w:r>
      <w:r>
        <w:rPr>
          <w:rFonts w:ascii="Arial" w:hAnsi="Arial" w:cs="Arial"/>
          <w:sz w:val="17"/>
          <w:szCs w:val="17"/>
          <w:lang w:val="en-CA"/>
        </w:rPr>
        <w:t>.</w:t>
      </w:r>
    </w:p>
  </w:endnote>
  <w:endnote w:id="83">
    <w:p w14:paraId="095D7BBF" w14:textId="6B5101D8" w:rsidR="00E608B0" w:rsidRPr="00004937" w:rsidRDefault="00E608B0" w:rsidP="00C64F7C">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Grady McGregor, op cit</w:t>
      </w:r>
      <w:r>
        <w:rPr>
          <w:rFonts w:ascii="Arial" w:hAnsi="Arial" w:cs="Arial"/>
          <w:sz w:val="17"/>
          <w:szCs w:val="17"/>
          <w:lang w:val="en-US"/>
        </w:rPr>
        <w:t>.</w:t>
      </w:r>
    </w:p>
  </w:endnote>
  <w:endnote w:id="84">
    <w:p w14:paraId="6261047C" w14:textId="6682CC7C" w:rsidR="00E608B0" w:rsidRPr="00004937" w:rsidRDefault="00E608B0" w:rsidP="00C64F7C">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Pr>
          <w:rFonts w:ascii="Arial" w:hAnsi="Arial" w:cs="Arial"/>
          <w:sz w:val="17"/>
          <w:szCs w:val="17"/>
          <w:lang w:val="en-US"/>
        </w:rPr>
        <w:t>I</w:t>
      </w:r>
      <w:r w:rsidRPr="00004937">
        <w:rPr>
          <w:rFonts w:ascii="Arial" w:hAnsi="Arial" w:cs="Arial"/>
          <w:sz w:val="17"/>
          <w:szCs w:val="17"/>
          <w:lang w:val="en-US"/>
        </w:rPr>
        <w:t>bid</w:t>
      </w:r>
      <w:r>
        <w:rPr>
          <w:rFonts w:ascii="Arial" w:hAnsi="Arial" w:cs="Arial"/>
          <w:sz w:val="17"/>
          <w:szCs w:val="17"/>
          <w:lang w:val="en-US"/>
        </w:rPr>
        <w:t>.</w:t>
      </w:r>
    </w:p>
  </w:endnote>
  <w:endnote w:id="85">
    <w:p w14:paraId="3EF5E86E" w14:textId="7AC8BCBF" w:rsidR="00E608B0" w:rsidRPr="00004937" w:rsidRDefault="00E608B0" w:rsidP="00C50966">
      <w:pPr>
        <w:pStyle w:val="EndnoteText"/>
        <w:jc w:val="both"/>
        <w:rPr>
          <w:rFonts w:ascii="Arial" w:hAnsi="Arial" w:cs="Arial"/>
          <w:sz w:val="17"/>
          <w:szCs w:val="17"/>
        </w:rPr>
      </w:pPr>
      <w:r w:rsidRPr="00004937">
        <w:rPr>
          <w:rStyle w:val="EndnoteReference"/>
          <w:rFonts w:ascii="Arial" w:hAnsi="Arial" w:cs="Arial"/>
          <w:sz w:val="17"/>
          <w:szCs w:val="17"/>
        </w:rPr>
        <w:endnoteRef/>
      </w:r>
      <w:r w:rsidRPr="00004937">
        <w:rPr>
          <w:rFonts w:ascii="Arial" w:hAnsi="Arial" w:cs="Arial"/>
          <w:sz w:val="17"/>
          <w:szCs w:val="17"/>
        </w:rPr>
        <w:t xml:space="preserve"> Search bias was the allegation that Google skewed results to favour its own properties, such as a shopping service, travel bookings</w:t>
      </w:r>
      <w:r>
        <w:rPr>
          <w:rFonts w:ascii="Arial" w:hAnsi="Arial" w:cs="Arial"/>
          <w:sz w:val="17"/>
          <w:szCs w:val="17"/>
          <w:lang w:val="en-CA"/>
        </w:rPr>
        <w:t>,</w:t>
      </w:r>
      <w:r w:rsidRPr="00004937">
        <w:rPr>
          <w:rFonts w:ascii="Arial" w:hAnsi="Arial" w:cs="Arial"/>
          <w:sz w:val="17"/>
          <w:szCs w:val="17"/>
        </w:rPr>
        <w:t xml:space="preserve"> and local business listings</w:t>
      </w:r>
      <w:r>
        <w:rPr>
          <w:rFonts w:ascii="Arial" w:hAnsi="Arial" w:cs="Arial"/>
          <w:sz w:val="17"/>
          <w:szCs w:val="17"/>
          <w:lang w:val="en-CA"/>
        </w:rPr>
        <w:t>; s</w:t>
      </w:r>
      <w:r w:rsidRPr="00004937">
        <w:rPr>
          <w:rFonts w:ascii="Arial" w:hAnsi="Arial" w:cs="Arial"/>
          <w:sz w:val="17"/>
          <w:szCs w:val="17"/>
        </w:rPr>
        <w:t xml:space="preserve">earch distribution </w:t>
      </w:r>
      <w:r>
        <w:rPr>
          <w:rFonts w:ascii="Arial" w:hAnsi="Arial" w:cs="Arial"/>
          <w:sz w:val="17"/>
          <w:szCs w:val="17"/>
          <w:lang w:val="en-CA"/>
        </w:rPr>
        <w:t>was based on</w:t>
      </w:r>
      <w:r w:rsidRPr="00004937">
        <w:rPr>
          <w:rFonts w:ascii="Arial" w:hAnsi="Arial" w:cs="Arial"/>
          <w:sz w:val="17"/>
          <w:szCs w:val="17"/>
        </w:rPr>
        <w:t xml:space="preserve"> agreements with device makers and other partners to provide Google </w:t>
      </w:r>
      <w:r>
        <w:rPr>
          <w:rFonts w:ascii="Arial" w:hAnsi="Arial" w:cs="Arial"/>
          <w:sz w:val="17"/>
          <w:szCs w:val="17"/>
          <w:lang w:val="en-CA"/>
        </w:rPr>
        <w:t>S</w:t>
      </w:r>
      <w:r w:rsidRPr="00004937">
        <w:rPr>
          <w:rFonts w:ascii="Arial" w:hAnsi="Arial" w:cs="Arial"/>
          <w:sz w:val="17"/>
          <w:szCs w:val="17"/>
        </w:rPr>
        <w:t>earch as a default to users</w:t>
      </w:r>
      <w:r>
        <w:rPr>
          <w:rFonts w:ascii="Arial" w:hAnsi="Arial" w:cs="Arial"/>
          <w:sz w:val="17"/>
          <w:szCs w:val="17"/>
          <w:lang w:val="en-CA"/>
        </w:rPr>
        <w:t>;</w:t>
      </w:r>
      <w:r w:rsidRPr="00004937">
        <w:rPr>
          <w:rFonts w:ascii="Arial" w:hAnsi="Arial" w:cs="Arial"/>
          <w:sz w:val="17"/>
          <w:szCs w:val="17"/>
        </w:rPr>
        <w:t xml:space="preserve"> David McLaughlin and Gerrit De Vynck, “Google’s </w:t>
      </w:r>
      <w:r>
        <w:rPr>
          <w:rFonts w:ascii="Arial" w:hAnsi="Arial" w:cs="Arial"/>
          <w:sz w:val="17"/>
          <w:szCs w:val="17"/>
          <w:lang w:val="en-CA"/>
        </w:rPr>
        <w:t>S</w:t>
      </w:r>
      <w:r w:rsidRPr="00004937">
        <w:rPr>
          <w:rFonts w:ascii="Arial" w:hAnsi="Arial" w:cs="Arial"/>
          <w:sz w:val="17"/>
          <w:szCs w:val="17"/>
        </w:rPr>
        <w:t xml:space="preserve">earch </w:t>
      </w:r>
      <w:r>
        <w:rPr>
          <w:rFonts w:ascii="Arial" w:hAnsi="Arial" w:cs="Arial"/>
          <w:sz w:val="17"/>
          <w:szCs w:val="17"/>
          <w:lang w:val="en-CA"/>
        </w:rPr>
        <w:t>B</w:t>
      </w:r>
      <w:r w:rsidRPr="00004937">
        <w:rPr>
          <w:rFonts w:ascii="Arial" w:hAnsi="Arial" w:cs="Arial"/>
          <w:sz w:val="17"/>
          <w:szCs w:val="17"/>
        </w:rPr>
        <w:t xml:space="preserve">usiness </w:t>
      </w:r>
      <w:r>
        <w:rPr>
          <w:rFonts w:ascii="Arial" w:hAnsi="Arial" w:cs="Arial"/>
          <w:sz w:val="17"/>
          <w:szCs w:val="17"/>
          <w:lang w:val="en-CA"/>
        </w:rPr>
        <w:t>T</w:t>
      </w:r>
      <w:r w:rsidRPr="00004937">
        <w:rPr>
          <w:rFonts w:ascii="Arial" w:hAnsi="Arial" w:cs="Arial"/>
          <w:sz w:val="17"/>
          <w:szCs w:val="17"/>
        </w:rPr>
        <w:t xml:space="preserve">argeted in US Anti-Trust </w:t>
      </w:r>
      <w:r>
        <w:rPr>
          <w:rFonts w:ascii="Arial" w:hAnsi="Arial" w:cs="Arial"/>
          <w:sz w:val="17"/>
          <w:szCs w:val="17"/>
          <w:lang w:val="en-CA"/>
        </w:rPr>
        <w:t>C</w:t>
      </w:r>
      <w:r w:rsidRPr="00004937">
        <w:rPr>
          <w:rFonts w:ascii="Arial" w:hAnsi="Arial" w:cs="Arial"/>
          <w:sz w:val="17"/>
          <w:szCs w:val="17"/>
        </w:rPr>
        <w:t xml:space="preserve">ase,” </w:t>
      </w:r>
      <w:r w:rsidRPr="00E63A8C">
        <w:rPr>
          <w:rFonts w:ascii="Arial" w:hAnsi="Arial" w:cs="Arial"/>
          <w:sz w:val="17"/>
          <w:szCs w:val="17"/>
        </w:rPr>
        <w:t>Bloomberg Quint</w:t>
      </w:r>
      <w:r w:rsidRPr="00004937">
        <w:rPr>
          <w:rFonts w:ascii="Arial" w:hAnsi="Arial" w:cs="Arial"/>
          <w:sz w:val="17"/>
          <w:szCs w:val="17"/>
        </w:rPr>
        <w:t>, September 25, 2020, accessed October 11, 2020, www.bloombergquint.com/technology/google-s-search-business-targeted-in-looming-u-s-antitrust-case.</w:t>
      </w:r>
    </w:p>
  </w:endnote>
  <w:endnote w:id="86">
    <w:p w14:paraId="7AE2A690" w14:textId="01FDE407" w:rsidR="00E608B0" w:rsidRPr="00004937" w:rsidRDefault="00E608B0" w:rsidP="00C50966">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Pr>
          <w:rFonts w:ascii="Arial" w:hAnsi="Arial" w:cs="Arial"/>
          <w:sz w:val="17"/>
          <w:szCs w:val="17"/>
          <w:lang w:val="en-CA"/>
        </w:rPr>
        <w:t>“</w:t>
      </w:r>
      <w:r w:rsidRPr="001F5746">
        <w:rPr>
          <w:rFonts w:ascii="Arial" w:hAnsi="Arial" w:cs="Arial"/>
          <w:sz w:val="17"/>
          <w:szCs w:val="17"/>
        </w:rPr>
        <w:t>Governance Prev Next Antitrust Case Against Google,</w:t>
      </w:r>
      <w:r>
        <w:rPr>
          <w:rFonts w:ascii="Arial" w:hAnsi="Arial" w:cs="Arial"/>
          <w:sz w:val="17"/>
          <w:szCs w:val="17"/>
          <w:lang w:val="en-CA"/>
        </w:rPr>
        <w:t>”</w:t>
      </w:r>
      <w:r w:rsidRPr="001F5746">
        <w:rPr>
          <w:rFonts w:ascii="Arial" w:hAnsi="Arial" w:cs="Arial"/>
          <w:sz w:val="17"/>
          <w:szCs w:val="17"/>
        </w:rPr>
        <w:t xml:space="preserve"> Drishti, May 28, 2020, accessed February 20, 2021</w:t>
      </w:r>
      <w:r>
        <w:rPr>
          <w:rFonts w:ascii="Arial" w:hAnsi="Arial" w:cs="Arial"/>
          <w:sz w:val="17"/>
          <w:szCs w:val="17"/>
          <w:lang w:val="en-CA"/>
        </w:rPr>
        <w:t xml:space="preserve">, </w:t>
      </w:r>
      <w:r w:rsidRPr="00004937">
        <w:rPr>
          <w:rFonts w:ascii="Arial" w:hAnsi="Arial" w:cs="Arial"/>
          <w:sz w:val="17"/>
          <w:szCs w:val="17"/>
        </w:rPr>
        <w:t>www.drishtiias.com/daily-updates/daily-news-analysis/antitrust-case-against-google</w:t>
      </w:r>
    </w:p>
  </w:endnote>
  <w:endnote w:id="87">
    <w:p w14:paraId="4364311D" w14:textId="689BDF65" w:rsidR="00E608B0" w:rsidRPr="00E63A8C" w:rsidRDefault="00E608B0" w:rsidP="00C50966">
      <w:pPr>
        <w:pStyle w:val="EndnoteText"/>
        <w:jc w:val="both"/>
        <w:rPr>
          <w:rFonts w:ascii="Arial" w:hAnsi="Arial" w:cs="Arial"/>
          <w:sz w:val="17"/>
          <w:szCs w:val="17"/>
          <w:lang w:val="en-CA"/>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Aditya Kalra and Nivedita Bhattacharjee, op cit</w:t>
      </w:r>
      <w:r>
        <w:rPr>
          <w:rFonts w:ascii="Arial" w:hAnsi="Arial" w:cs="Arial"/>
          <w:sz w:val="17"/>
          <w:szCs w:val="17"/>
          <w:lang w:val="en-CA"/>
        </w:rPr>
        <w:t>.</w:t>
      </w:r>
      <w:r w:rsidRPr="00004937">
        <w:rPr>
          <w:rFonts w:ascii="Arial" w:hAnsi="Arial" w:cs="Arial"/>
          <w:sz w:val="17"/>
          <w:szCs w:val="17"/>
          <w:lang w:val="en-US"/>
        </w:rPr>
        <w:t>; Sankalp Phartiyal, op cit</w:t>
      </w:r>
      <w:r>
        <w:rPr>
          <w:rFonts w:ascii="Arial" w:hAnsi="Arial" w:cs="Arial"/>
          <w:sz w:val="17"/>
          <w:szCs w:val="17"/>
          <w:lang w:val="en-US"/>
        </w:rPr>
        <w:t>.</w:t>
      </w:r>
    </w:p>
  </w:endnote>
  <w:endnote w:id="88">
    <w:p w14:paraId="139A8109" w14:textId="6B661730" w:rsidR="00E608B0" w:rsidRPr="00004937" w:rsidRDefault="00E608B0" w:rsidP="00C64F7C">
      <w:pPr>
        <w:pStyle w:val="EndnoteText"/>
        <w:jc w:val="both"/>
        <w:rPr>
          <w:rFonts w:ascii="Arial" w:hAnsi="Arial" w:cs="Arial"/>
          <w:sz w:val="17"/>
          <w:szCs w:val="17"/>
          <w:lang w:val="en-US"/>
        </w:rPr>
      </w:pPr>
      <w:r w:rsidRPr="00004937">
        <w:rPr>
          <w:rStyle w:val="EndnoteReference"/>
          <w:rFonts w:ascii="Arial" w:hAnsi="Arial" w:cs="Arial"/>
          <w:sz w:val="17"/>
          <w:szCs w:val="17"/>
        </w:rPr>
        <w:endnoteRef/>
      </w:r>
      <w:r w:rsidRPr="00004937">
        <w:rPr>
          <w:rFonts w:ascii="Arial" w:hAnsi="Arial" w:cs="Arial"/>
          <w:sz w:val="17"/>
          <w:szCs w:val="17"/>
        </w:rPr>
        <w:t xml:space="preserve"> </w:t>
      </w:r>
      <w:r w:rsidRPr="00004937">
        <w:rPr>
          <w:rFonts w:ascii="Arial" w:hAnsi="Arial" w:cs="Arial"/>
          <w:sz w:val="17"/>
          <w:szCs w:val="17"/>
          <w:lang w:val="en-US"/>
        </w:rPr>
        <w:t>Nayantara Rai, op cit</w:t>
      </w:r>
      <w:r>
        <w:rPr>
          <w:rFonts w:ascii="Arial" w:hAnsi="Arial" w:cs="Arial"/>
          <w:sz w:val="17"/>
          <w:szCs w:val="17"/>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5A742" w14:textId="77777777" w:rsidR="00776626" w:rsidRDefault="00776626" w:rsidP="00D75295">
      <w:r>
        <w:separator/>
      </w:r>
    </w:p>
  </w:footnote>
  <w:footnote w:type="continuationSeparator" w:id="0">
    <w:p w14:paraId="7D72FD5A" w14:textId="77777777" w:rsidR="00776626" w:rsidRDefault="00776626"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60E73DD" w:rsidR="00E608B0" w:rsidRPr="00C92CC4" w:rsidRDefault="00E608B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5</w:t>
    </w:r>
    <w:r>
      <w:rPr>
        <w:rFonts w:ascii="Arial" w:hAnsi="Arial"/>
        <w:b/>
      </w:rPr>
      <w:fldChar w:fldCharType="end"/>
    </w:r>
    <w:r>
      <w:rPr>
        <w:rFonts w:ascii="Arial" w:hAnsi="Arial"/>
        <w:b/>
      </w:rPr>
      <w:tab/>
    </w:r>
    <w:r w:rsidR="00902897">
      <w:rPr>
        <w:rFonts w:ascii="Arial" w:hAnsi="Arial"/>
        <w:b/>
      </w:rPr>
      <w:t>9B21M044</w:t>
    </w:r>
  </w:p>
  <w:p w14:paraId="2B53C0A0" w14:textId="77777777" w:rsidR="00E608B0" w:rsidRDefault="00E608B0" w:rsidP="00D13667">
    <w:pPr>
      <w:pStyle w:val="Header"/>
      <w:tabs>
        <w:tab w:val="clear" w:pos="4680"/>
      </w:tabs>
      <w:rPr>
        <w:sz w:val="18"/>
        <w:szCs w:val="18"/>
      </w:rPr>
    </w:pPr>
  </w:p>
  <w:p w14:paraId="47119730" w14:textId="77777777" w:rsidR="00E608B0" w:rsidRPr="00C92CC4" w:rsidRDefault="00E608B0"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86D0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7E9A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4ADB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13876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963CA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AA3E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A0C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5C4B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22BD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1F611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937"/>
    <w:rsid w:val="000067B9"/>
    <w:rsid w:val="00013360"/>
    <w:rsid w:val="00016759"/>
    <w:rsid w:val="000216CE"/>
    <w:rsid w:val="0002294D"/>
    <w:rsid w:val="00024ED4"/>
    <w:rsid w:val="00025DC7"/>
    <w:rsid w:val="00035F09"/>
    <w:rsid w:val="00044ECC"/>
    <w:rsid w:val="000531D3"/>
    <w:rsid w:val="0005646B"/>
    <w:rsid w:val="000574DA"/>
    <w:rsid w:val="000615D1"/>
    <w:rsid w:val="000635A6"/>
    <w:rsid w:val="0006665D"/>
    <w:rsid w:val="00072240"/>
    <w:rsid w:val="0008102D"/>
    <w:rsid w:val="0008693E"/>
    <w:rsid w:val="00086B26"/>
    <w:rsid w:val="00087DAC"/>
    <w:rsid w:val="00094C0E"/>
    <w:rsid w:val="000A146D"/>
    <w:rsid w:val="000A67FB"/>
    <w:rsid w:val="000B405A"/>
    <w:rsid w:val="000D00BD"/>
    <w:rsid w:val="000D2A2F"/>
    <w:rsid w:val="000D7091"/>
    <w:rsid w:val="000E23B2"/>
    <w:rsid w:val="000F0C22"/>
    <w:rsid w:val="000F6B09"/>
    <w:rsid w:val="000F6FDC"/>
    <w:rsid w:val="00102A2E"/>
    <w:rsid w:val="00104567"/>
    <w:rsid w:val="00104916"/>
    <w:rsid w:val="00104AA7"/>
    <w:rsid w:val="0012191D"/>
    <w:rsid w:val="00127041"/>
    <w:rsid w:val="0012732D"/>
    <w:rsid w:val="001279F4"/>
    <w:rsid w:val="00133D9F"/>
    <w:rsid w:val="00143F25"/>
    <w:rsid w:val="00152682"/>
    <w:rsid w:val="00154FC9"/>
    <w:rsid w:val="00157630"/>
    <w:rsid w:val="00183637"/>
    <w:rsid w:val="001901C0"/>
    <w:rsid w:val="0019241A"/>
    <w:rsid w:val="00192A18"/>
    <w:rsid w:val="001959FF"/>
    <w:rsid w:val="00195F3C"/>
    <w:rsid w:val="001A1426"/>
    <w:rsid w:val="001A22D1"/>
    <w:rsid w:val="001A752D"/>
    <w:rsid w:val="001A757E"/>
    <w:rsid w:val="001B5032"/>
    <w:rsid w:val="001C7777"/>
    <w:rsid w:val="001D344B"/>
    <w:rsid w:val="001E03F4"/>
    <w:rsid w:val="001E364F"/>
    <w:rsid w:val="001F4222"/>
    <w:rsid w:val="001F5746"/>
    <w:rsid w:val="00202F83"/>
    <w:rsid w:val="00203AA1"/>
    <w:rsid w:val="00213E98"/>
    <w:rsid w:val="002164CE"/>
    <w:rsid w:val="00226A90"/>
    <w:rsid w:val="00230150"/>
    <w:rsid w:val="0023081A"/>
    <w:rsid w:val="00231EA0"/>
    <w:rsid w:val="0023263C"/>
    <w:rsid w:val="00233111"/>
    <w:rsid w:val="002475E3"/>
    <w:rsid w:val="0025396C"/>
    <w:rsid w:val="00254760"/>
    <w:rsid w:val="00260FD7"/>
    <w:rsid w:val="0026280E"/>
    <w:rsid w:val="00265FA8"/>
    <w:rsid w:val="002831EB"/>
    <w:rsid w:val="002840A2"/>
    <w:rsid w:val="002A2FAF"/>
    <w:rsid w:val="002B358D"/>
    <w:rsid w:val="002B40FF"/>
    <w:rsid w:val="002C4E29"/>
    <w:rsid w:val="002D2123"/>
    <w:rsid w:val="002E6B15"/>
    <w:rsid w:val="002F460C"/>
    <w:rsid w:val="002F48D6"/>
    <w:rsid w:val="0030325B"/>
    <w:rsid w:val="00317391"/>
    <w:rsid w:val="00321026"/>
    <w:rsid w:val="00326216"/>
    <w:rsid w:val="00336580"/>
    <w:rsid w:val="00354899"/>
    <w:rsid w:val="00355FD6"/>
    <w:rsid w:val="003573C0"/>
    <w:rsid w:val="00364A5C"/>
    <w:rsid w:val="00373FB1"/>
    <w:rsid w:val="0038556B"/>
    <w:rsid w:val="003867A7"/>
    <w:rsid w:val="00396C76"/>
    <w:rsid w:val="003B30D8"/>
    <w:rsid w:val="003B61E0"/>
    <w:rsid w:val="003B7EF2"/>
    <w:rsid w:val="003C3FA4"/>
    <w:rsid w:val="003D0BA1"/>
    <w:rsid w:val="003D7307"/>
    <w:rsid w:val="003E2BC4"/>
    <w:rsid w:val="003E5BA2"/>
    <w:rsid w:val="003E6A40"/>
    <w:rsid w:val="003F1EF5"/>
    <w:rsid w:val="003F29B9"/>
    <w:rsid w:val="003F2B0C"/>
    <w:rsid w:val="004105B2"/>
    <w:rsid w:val="0041145A"/>
    <w:rsid w:val="00412900"/>
    <w:rsid w:val="00413EE6"/>
    <w:rsid w:val="00417EE6"/>
    <w:rsid w:val="00420679"/>
    <w:rsid w:val="004221E4"/>
    <w:rsid w:val="00427322"/>
    <w:rsid w:val="004273F8"/>
    <w:rsid w:val="0042788C"/>
    <w:rsid w:val="00430C00"/>
    <w:rsid w:val="00433C05"/>
    <w:rsid w:val="004355A3"/>
    <w:rsid w:val="00441FA0"/>
    <w:rsid w:val="00446546"/>
    <w:rsid w:val="0045132B"/>
    <w:rsid w:val="00452769"/>
    <w:rsid w:val="00454FA7"/>
    <w:rsid w:val="0045646A"/>
    <w:rsid w:val="00456853"/>
    <w:rsid w:val="0046095E"/>
    <w:rsid w:val="00461833"/>
    <w:rsid w:val="00465348"/>
    <w:rsid w:val="00475484"/>
    <w:rsid w:val="00492763"/>
    <w:rsid w:val="004979A5"/>
    <w:rsid w:val="004A25E0"/>
    <w:rsid w:val="004B1CCB"/>
    <w:rsid w:val="004B3CF4"/>
    <w:rsid w:val="004B5C53"/>
    <w:rsid w:val="004B632F"/>
    <w:rsid w:val="004C26B9"/>
    <w:rsid w:val="004C5CA8"/>
    <w:rsid w:val="004D3FB1"/>
    <w:rsid w:val="004D4CA7"/>
    <w:rsid w:val="004D6F21"/>
    <w:rsid w:val="004D73A5"/>
    <w:rsid w:val="004E66AF"/>
    <w:rsid w:val="00502499"/>
    <w:rsid w:val="00503E2A"/>
    <w:rsid w:val="005160F1"/>
    <w:rsid w:val="00524F2F"/>
    <w:rsid w:val="00527E5C"/>
    <w:rsid w:val="0053299B"/>
    <w:rsid w:val="00532CF5"/>
    <w:rsid w:val="005528CB"/>
    <w:rsid w:val="00566690"/>
    <w:rsid w:val="00566771"/>
    <w:rsid w:val="00572F1F"/>
    <w:rsid w:val="00574319"/>
    <w:rsid w:val="00581E2E"/>
    <w:rsid w:val="00584F15"/>
    <w:rsid w:val="00585184"/>
    <w:rsid w:val="00594CBE"/>
    <w:rsid w:val="0059514B"/>
    <w:rsid w:val="005A1B0F"/>
    <w:rsid w:val="005A5989"/>
    <w:rsid w:val="005B4CE6"/>
    <w:rsid w:val="005B5EFE"/>
    <w:rsid w:val="005C28F2"/>
    <w:rsid w:val="005D2E0E"/>
    <w:rsid w:val="005D7388"/>
    <w:rsid w:val="005E2BE1"/>
    <w:rsid w:val="005F0637"/>
    <w:rsid w:val="005F0D5B"/>
    <w:rsid w:val="00606A81"/>
    <w:rsid w:val="00613B53"/>
    <w:rsid w:val="006163F7"/>
    <w:rsid w:val="00627C63"/>
    <w:rsid w:val="006302AC"/>
    <w:rsid w:val="0063350B"/>
    <w:rsid w:val="00634620"/>
    <w:rsid w:val="00645B37"/>
    <w:rsid w:val="00652606"/>
    <w:rsid w:val="006577F5"/>
    <w:rsid w:val="006612E6"/>
    <w:rsid w:val="00672781"/>
    <w:rsid w:val="00692981"/>
    <w:rsid w:val="006940B6"/>
    <w:rsid w:val="006946EE"/>
    <w:rsid w:val="006A23C5"/>
    <w:rsid w:val="006A58A9"/>
    <w:rsid w:val="006A58E1"/>
    <w:rsid w:val="006A606D"/>
    <w:rsid w:val="006B3C55"/>
    <w:rsid w:val="006C0371"/>
    <w:rsid w:val="006C08B6"/>
    <w:rsid w:val="006C0B1A"/>
    <w:rsid w:val="006C6065"/>
    <w:rsid w:val="006C7F9F"/>
    <w:rsid w:val="006D2384"/>
    <w:rsid w:val="006D786E"/>
    <w:rsid w:val="006E2A11"/>
    <w:rsid w:val="006E2F6D"/>
    <w:rsid w:val="006E58F6"/>
    <w:rsid w:val="006E77E1"/>
    <w:rsid w:val="006E7FAE"/>
    <w:rsid w:val="006F131D"/>
    <w:rsid w:val="006F2828"/>
    <w:rsid w:val="007033E9"/>
    <w:rsid w:val="0070379B"/>
    <w:rsid w:val="007063D1"/>
    <w:rsid w:val="00711642"/>
    <w:rsid w:val="00721919"/>
    <w:rsid w:val="007373E4"/>
    <w:rsid w:val="007414AD"/>
    <w:rsid w:val="00743CB5"/>
    <w:rsid w:val="00747ED6"/>
    <w:rsid w:val="0075044C"/>
    <w:rsid w:val="007507C6"/>
    <w:rsid w:val="00751E0B"/>
    <w:rsid w:val="00752BCD"/>
    <w:rsid w:val="007559A6"/>
    <w:rsid w:val="00760FF7"/>
    <w:rsid w:val="00766DA1"/>
    <w:rsid w:val="00774D5E"/>
    <w:rsid w:val="00776626"/>
    <w:rsid w:val="00780D1C"/>
    <w:rsid w:val="00780D94"/>
    <w:rsid w:val="0078103A"/>
    <w:rsid w:val="00782679"/>
    <w:rsid w:val="007866A6"/>
    <w:rsid w:val="00786F18"/>
    <w:rsid w:val="00792028"/>
    <w:rsid w:val="007A130D"/>
    <w:rsid w:val="007A3222"/>
    <w:rsid w:val="007D1A2D"/>
    <w:rsid w:val="007D24F3"/>
    <w:rsid w:val="007D32E6"/>
    <w:rsid w:val="007D4102"/>
    <w:rsid w:val="007E54A7"/>
    <w:rsid w:val="007E59F3"/>
    <w:rsid w:val="007F43B7"/>
    <w:rsid w:val="00805143"/>
    <w:rsid w:val="00821FFC"/>
    <w:rsid w:val="00823C7D"/>
    <w:rsid w:val="008271CA"/>
    <w:rsid w:val="008467D5"/>
    <w:rsid w:val="00852059"/>
    <w:rsid w:val="00857D38"/>
    <w:rsid w:val="008640B1"/>
    <w:rsid w:val="00893631"/>
    <w:rsid w:val="00897802"/>
    <w:rsid w:val="008A4DC4"/>
    <w:rsid w:val="008B438C"/>
    <w:rsid w:val="008B6F6A"/>
    <w:rsid w:val="008C7FFE"/>
    <w:rsid w:val="008D06CA"/>
    <w:rsid w:val="008D3A46"/>
    <w:rsid w:val="008E0542"/>
    <w:rsid w:val="008E5157"/>
    <w:rsid w:val="008E6CC1"/>
    <w:rsid w:val="008E7BA5"/>
    <w:rsid w:val="008F1D25"/>
    <w:rsid w:val="008F2385"/>
    <w:rsid w:val="00902897"/>
    <w:rsid w:val="009067A4"/>
    <w:rsid w:val="009110A4"/>
    <w:rsid w:val="00912CA3"/>
    <w:rsid w:val="00925080"/>
    <w:rsid w:val="00930885"/>
    <w:rsid w:val="00933D68"/>
    <w:rsid w:val="009340DB"/>
    <w:rsid w:val="0094040B"/>
    <w:rsid w:val="00941655"/>
    <w:rsid w:val="009431D8"/>
    <w:rsid w:val="0094618C"/>
    <w:rsid w:val="0095684B"/>
    <w:rsid w:val="00966595"/>
    <w:rsid w:val="00970857"/>
    <w:rsid w:val="00972498"/>
    <w:rsid w:val="0097481F"/>
    <w:rsid w:val="00974CC6"/>
    <w:rsid w:val="00976AD4"/>
    <w:rsid w:val="009876B1"/>
    <w:rsid w:val="009912AB"/>
    <w:rsid w:val="00995547"/>
    <w:rsid w:val="009A067A"/>
    <w:rsid w:val="009A1DD4"/>
    <w:rsid w:val="009A312F"/>
    <w:rsid w:val="009A5348"/>
    <w:rsid w:val="009A6A1A"/>
    <w:rsid w:val="009B0AB7"/>
    <w:rsid w:val="009C0225"/>
    <w:rsid w:val="009C76D5"/>
    <w:rsid w:val="009D3D68"/>
    <w:rsid w:val="009E0B0C"/>
    <w:rsid w:val="009E1D12"/>
    <w:rsid w:val="009E3DEF"/>
    <w:rsid w:val="009E4254"/>
    <w:rsid w:val="009F5177"/>
    <w:rsid w:val="009F7AA4"/>
    <w:rsid w:val="00A05A30"/>
    <w:rsid w:val="00A10AD7"/>
    <w:rsid w:val="00A17BFC"/>
    <w:rsid w:val="00A323B0"/>
    <w:rsid w:val="00A32BB9"/>
    <w:rsid w:val="00A35206"/>
    <w:rsid w:val="00A36B54"/>
    <w:rsid w:val="00A559DB"/>
    <w:rsid w:val="00A569EA"/>
    <w:rsid w:val="00A676A0"/>
    <w:rsid w:val="00A71B6E"/>
    <w:rsid w:val="00A817B1"/>
    <w:rsid w:val="00A8289A"/>
    <w:rsid w:val="00A9190E"/>
    <w:rsid w:val="00A96D24"/>
    <w:rsid w:val="00AA3E6F"/>
    <w:rsid w:val="00AA3F92"/>
    <w:rsid w:val="00AB48FE"/>
    <w:rsid w:val="00AB508F"/>
    <w:rsid w:val="00AB5D07"/>
    <w:rsid w:val="00AB6EC8"/>
    <w:rsid w:val="00AC04D8"/>
    <w:rsid w:val="00AE2B66"/>
    <w:rsid w:val="00AF35FC"/>
    <w:rsid w:val="00AF5556"/>
    <w:rsid w:val="00B03639"/>
    <w:rsid w:val="00B06122"/>
    <w:rsid w:val="00B06133"/>
    <w:rsid w:val="00B0652A"/>
    <w:rsid w:val="00B30353"/>
    <w:rsid w:val="00B3515A"/>
    <w:rsid w:val="00B35653"/>
    <w:rsid w:val="00B4052C"/>
    <w:rsid w:val="00B40937"/>
    <w:rsid w:val="00B41581"/>
    <w:rsid w:val="00B41BAB"/>
    <w:rsid w:val="00B423EF"/>
    <w:rsid w:val="00B453DE"/>
    <w:rsid w:val="00B57088"/>
    <w:rsid w:val="00B62497"/>
    <w:rsid w:val="00B72597"/>
    <w:rsid w:val="00B87DC0"/>
    <w:rsid w:val="00B901F9"/>
    <w:rsid w:val="00BB7510"/>
    <w:rsid w:val="00BC3275"/>
    <w:rsid w:val="00BC4D98"/>
    <w:rsid w:val="00BD6EFB"/>
    <w:rsid w:val="00BD7E88"/>
    <w:rsid w:val="00BE3DF5"/>
    <w:rsid w:val="00BF5EAB"/>
    <w:rsid w:val="00C00D94"/>
    <w:rsid w:val="00C02410"/>
    <w:rsid w:val="00C035B9"/>
    <w:rsid w:val="00C06F9F"/>
    <w:rsid w:val="00C122BF"/>
    <w:rsid w:val="00C1584D"/>
    <w:rsid w:val="00C15BE2"/>
    <w:rsid w:val="00C23B03"/>
    <w:rsid w:val="00C25750"/>
    <w:rsid w:val="00C275E6"/>
    <w:rsid w:val="00C3447F"/>
    <w:rsid w:val="00C40212"/>
    <w:rsid w:val="00C44714"/>
    <w:rsid w:val="00C50966"/>
    <w:rsid w:val="00C56B53"/>
    <w:rsid w:val="00C64F7C"/>
    <w:rsid w:val="00C67102"/>
    <w:rsid w:val="00C71AF3"/>
    <w:rsid w:val="00C77670"/>
    <w:rsid w:val="00C81491"/>
    <w:rsid w:val="00C81676"/>
    <w:rsid w:val="00C85157"/>
    <w:rsid w:val="00C85B6F"/>
    <w:rsid w:val="00C85C5D"/>
    <w:rsid w:val="00C85E15"/>
    <w:rsid w:val="00C90590"/>
    <w:rsid w:val="00C92CC4"/>
    <w:rsid w:val="00CA0AFB"/>
    <w:rsid w:val="00CA2CE1"/>
    <w:rsid w:val="00CA3976"/>
    <w:rsid w:val="00CA50E3"/>
    <w:rsid w:val="00CA60E8"/>
    <w:rsid w:val="00CA757B"/>
    <w:rsid w:val="00CB3784"/>
    <w:rsid w:val="00CC1787"/>
    <w:rsid w:val="00CC182C"/>
    <w:rsid w:val="00CC31FC"/>
    <w:rsid w:val="00CD0824"/>
    <w:rsid w:val="00CD2908"/>
    <w:rsid w:val="00CD4768"/>
    <w:rsid w:val="00CD6310"/>
    <w:rsid w:val="00CD6E33"/>
    <w:rsid w:val="00CF5A1C"/>
    <w:rsid w:val="00D03A82"/>
    <w:rsid w:val="00D110FE"/>
    <w:rsid w:val="00D13667"/>
    <w:rsid w:val="00D15344"/>
    <w:rsid w:val="00D225C2"/>
    <w:rsid w:val="00D23F57"/>
    <w:rsid w:val="00D30B1A"/>
    <w:rsid w:val="00D31BEC"/>
    <w:rsid w:val="00D416FB"/>
    <w:rsid w:val="00D546D6"/>
    <w:rsid w:val="00D630CC"/>
    <w:rsid w:val="00D63150"/>
    <w:rsid w:val="00D636BA"/>
    <w:rsid w:val="00D64A32"/>
    <w:rsid w:val="00D64EFC"/>
    <w:rsid w:val="00D75295"/>
    <w:rsid w:val="00D76CE9"/>
    <w:rsid w:val="00D97F12"/>
    <w:rsid w:val="00DA24CF"/>
    <w:rsid w:val="00DA3E4C"/>
    <w:rsid w:val="00DA6095"/>
    <w:rsid w:val="00DB42E7"/>
    <w:rsid w:val="00DC09D8"/>
    <w:rsid w:val="00DC5392"/>
    <w:rsid w:val="00DE01A6"/>
    <w:rsid w:val="00DE7A98"/>
    <w:rsid w:val="00DF32C2"/>
    <w:rsid w:val="00DF7184"/>
    <w:rsid w:val="00E21C28"/>
    <w:rsid w:val="00E24D08"/>
    <w:rsid w:val="00E31DD3"/>
    <w:rsid w:val="00E471A7"/>
    <w:rsid w:val="00E56C8F"/>
    <w:rsid w:val="00E608B0"/>
    <w:rsid w:val="00E635CF"/>
    <w:rsid w:val="00E63A8C"/>
    <w:rsid w:val="00E71355"/>
    <w:rsid w:val="00E74FDB"/>
    <w:rsid w:val="00E93D3D"/>
    <w:rsid w:val="00E971EB"/>
    <w:rsid w:val="00E97335"/>
    <w:rsid w:val="00E97F6E"/>
    <w:rsid w:val="00EA3D29"/>
    <w:rsid w:val="00EA79E5"/>
    <w:rsid w:val="00EB1870"/>
    <w:rsid w:val="00EB1E3B"/>
    <w:rsid w:val="00EB3EA1"/>
    <w:rsid w:val="00EC1C58"/>
    <w:rsid w:val="00EC324B"/>
    <w:rsid w:val="00EC5961"/>
    <w:rsid w:val="00EC6E0A"/>
    <w:rsid w:val="00ED4E18"/>
    <w:rsid w:val="00ED7922"/>
    <w:rsid w:val="00EE02C4"/>
    <w:rsid w:val="00EE1F37"/>
    <w:rsid w:val="00EE6658"/>
    <w:rsid w:val="00EF04B3"/>
    <w:rsid w:val="00EF64B0"/>
    <w:rsid w:val="00EF7F79"/>
    <w:rsid w:val="00F0159C"/>
    <w:rsid w:val="00F0649E"/>
    <w:rsid w:val="00F07405"/>
    <w:rsid w:val="00F105B7"/>
    <w:rsid w:val="00F13220"/>
    <w:rsid w:val="00F1713A"/>
    <w:rsid w:val="00F17A21"/>
    <w:rsid w:val="00F3219B"/>
    <w:rsid w:val="00F36FC2"/>
    <w:rsid w:val="00F37B27"/>
    <w:rsid w:val="00F42694"/>
    <w:rsid w:val="00F46556"/>
    <w:rsid w:val="00F50E91"/>
    <w:rsid w:val="00F53699"/>
    <w:rsid w:val="00F5567A"/>
    <w:rsid w:val="00F56799"/>
    <w:rsid w:val="00F57D29"/>
    <w:rsid w:val="00F60786"/>
    <w:rsid w:val="00F65F10"/>
    <w:rsid w:val="00F91BC7"/>
    <w:rsid w:val="00F96201"/>
    <w:rsid w:val="00FA1BBC"/>
    <w:rsid w:val="00FA2FC5"/>
    <w:rsid w:val="00FA6435"/>
    <w:rsid w:val="00FB221E"/>
    <w:rsid w:val="00FD0B18"/>
    <w:rsid w:val="00FD2FAD"/>
    <w:rsid w:val="00FD3245"/>
    <w:rsid w:val="00FD3341"/>
    <w:rsid w:val="00FE714F"/>
    <w:rsid w:val="00FF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1A8386-B61C-4092-A335-CD0EE4F2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8E7BA5"/>
    <w:rPr>
      <w:lang w:val="en-GB"/>
    </w:rPr>
  </w:style>
  <w:style w:type="character" w:customStyle="1" w:styleId="CommentTextChar">
    <w:name w:val="Comment Text Char"/>
    <w:basedOn w:val="DefaultParagraphFont"/>
    <w:link w:val="CommentText"/>
    <w:rsid w:val="008E7BA5"/>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lang w:val="en-GB"/>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703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1376">
      <w:bodyDiv w:val="1"/>
      <w:marLeft w:val="0"/>
      <w:marRight w:val="0"/>
      <w:marTop w:val="0"/>
      <w:marBottom w:val="0"/>
      <w:divBdr>
        <w:top w:val="none" w:sz="0" w:space="0" w:color="auto"/>
        <w:left w:val="none" w:sz="0" w:space="0" w:color="auto"/>
        <w:bottom w:val="none" w:sz="0" w:space="0" w:color="auto"/>
        <w:right w:val="none" w:sz="0" w:space="0" w:color="auto"/>
      </w:divBdr>
    </w:div>
    <w:div w:id="79062354">
      <w:bodyDiv w:val="1"/>
      <w:marLeft w:val="0"/>
      <w:marRight w:val="0"/>
      <w:marTop w:val="0"/>
      <w:marBottom w:val="0"/>
      <w:divBdr>
        <w:top w:val="none" w:sz="0" w:space="0" w:color="auto"/>
        <w:left w:val="none" w:sz="0" w:space="0" w:color="auto"/>
        <w:bottom w:val="none" w:sz="0" w:space="0" w:color="auto"/>
        <w:right w:val="none" w:sz="0" w:space="0" w:color="auto"/>
      </w:divBdr>
      <w:divsChild>
        <w:div w:id="1241792870">
          <w:marLeft w:val="0"/>
          <w:marRight w:val="0"/>
          <w:marTop w:val="0"/>
          <w:marBottom w:val="0"/>
          <w:divBdr>
            <w:top w:val="none" w:sz="0" w:space="0" w:color="auto"/>
            <w:left w:val="none" w:sz="0" w:space="0" w:color="auto"/>
            <w:bottom w:val="none" w:sz="0" w:space="0" w:color="auto"/>
            <w:right w:val="none" w:sz="0" w:space="0" w:color="auto"/>
          </w:divBdr>
        </w:div>
      </w:divsChild>
    </w:div>
    <w:div w:id="168721091">
      <w:bodyDiv w:val="1"/>
      <w:marLeft w:val="0"/>
      <w:marRight w:val="0"/>
      <w:marTop w:val="0"/>
      <w:marBottom w:val="0"/>
      <w:divBdr>
        <w:top w:val="none" w:sz="0" w:space="0" w:color="auto"/>
        <w:left w:val="none" w:sz="0" w:space="0" w:color="auto"/>
        <w:bottom w:val="none" w:sz="0" w:space="0" w:color="auto"/>
        <w:right w:val="none" w:sz="0" w:space="0" w:color="auto"/>
      </w:divBdr>
    </w:div>
    <w:div w:id="246231733">
      <w:bodyDiv w:val="1"/>
      <w:marLeft w:val="0"/>
      <w:marRight w:val="0"/>
      <w:marTop w:val="0"/>
      <w:marBottom w:val="0"/>
      <w:divBdr>
        <w:top w:val="none" w:sz="0" w:space="0" w:color="auto"/>
        <w:left w:val="none" w:sz="0" w:space="0" w:color="auto"/>
        <w:bottom w:val="none" w:sz="0" w:space="0" w:color="auto"/>
        <w:right w:val="none" w:sz="0" w:space="0" w:color="auto"/>
      </w:divBdr>
    </w:div>
    <w:div w:id="606236205">
      <w:bodyDiv w:val="1"/>
      <w:marLeft w:val="0"/>
      <w:marRight w:val="0"/>
      <w:marTop w:val="0"/>
      <w:marBottom w:val="0"/>
      <w:divBdr>
        <w:top w:val="none" w:sz="0" w:space="0" w:color="auto"/>
        <w:left w:val="none" w:sz="0" w:space="0" w:color="auto"/>
        <w:bottom w:val="none" w:sz="0" w:space="0" w:color="auto"/>
        <w:right w:val="none" w:sz="0" w:space="0" w:color="auto"/>
      </w:divBdr>
      <w:divsChild>
        <w:div w:id="1344235895">
          <w:marLeft w:val="0"/>
          <w:marRight w:val="0"/>
          <w:marTop w:val="0"/>
          <w:marBottom w:val="0"/>
          <w:divBdr>
            <w:top w:val="none" w:sz="0" w:space="0" w:color="auto"/>
            <w:left w:val="none" w:sz="0" w:space="0" w:color="auto"/>
            <w:bottom w:val="none" w:sz="0" w:space="0" w:color="auto"/>
            <w:right w:val="none" w:sz="0" w:space="0" w:color="auto"/>
          </w:divBdr>
        </w:div>
      </w:divsChild>
    </w:div>
    <w:div w:id="613289594">
      <w:bodyDiv w:val="1"/>
      <w:marLeft w:val="0"/>
      <w:marRight w:val="0"/>
      <w:marTop w:val="0"/>
      <w:marBottom w:val="0"/>
      <w:divBdr>
        <w:top w:val="none" w:sz="0" w:space="0" w:color="auto"/>
        <w:left w:val="none" w:sz="0" w:space="0" w:color="auto"/>
        <w:bottom w:val="none" w:sz="0" w:space="0" w:color="auto"/>
        <w:right w:val="none" w:sz="0" w:space="0" w:color="auto"/>
      </w:divBdr>
    </w:div>
    <w:div w:id="751199188">
      <w:bodyDiv w:val="1"/>
      <w:marLeft w:val="0"/>
      <w:marRight w:val="0"/>
      <w:marTop w:val="0"/>
      <w:marBottom w:val="0"/>
      <w:divBdr>
        <w:top w:val="none" w:sz="0" w:space="0" w:color="auto"/>
        <w:left w:val="none" w:sz="0" w:space="0" w:color="auto"/>
        <w:bottom w:val="none" w:sz="0" w:space="0" w:color="auto"/>
        <w:right w:val="none" w:sz="0" w:space="0" w:color="auto"/>
      </w:divBdr>
    </w:div>
    <w:div w:id="794451690">
      <w:bodyDiv w:val="1"/>
      <w:marLeft w:val="0"/>
      <w:marRight w:val="0"/>
      <w:marTop w:val="0"/>
      <w:marBottom w:val="0"/>
      <w:divBdr>
        <w:top w:val="none" w:sz="0" w:space="0" w:color="auto"/>
        <w:left w:val="none" w:sz="0" w:space="0" w:color="auto"/>
        <w:bottom w:val="none" w:sz="0" w:space="0" w:color="auto"/>
        <w:right w:val="none" w:sz="0" w:space="0" w:color="auto"/>
      </w:divBdr>
      <w:divsChild>
        <w:div w:id="992443178">
          <w:marLeft w:val="0"/>
          <w:marRight w:val="0"/>
          <w:marTop w:val="0"/>
          <w:marBottom w:val="0"/>
          <w:divBdr>
            <w:top w:val="none" w:sz="0" w:space="0" w:color="auto"/>
            <w:left w:val="none" w:sz="0" w:space="0" w:color="auto"/>
            <w:bottom w:val="none" w:sz="0" w:space="0" w:color="auto"/>
            <w:right w:val="none" w:sz="0" w:space="0" w:color="auto"/>
          </w:divBdr>
        </w:div>
      </w:divsChild>
    </w:div>
    <w:div w:id="897781395">
      <w:bodyDiv w:val="1"/>
      <w:marLeft w:val="0"/>
      <w:marRight w:val="0"/>
      <w:marTop w:val="0"/>
      <w:marBottom w:val="0"/>
      <w:divBdr>
        <w:top w:val="none" w:sz="0" w:space="0" w:color="auto"/>
        <w:left w:val="none" w:sz="0" w:space="0" w:color="auto"/>
        <w:bottom w:val="none" w:sz="0" w:space="0" w:color="auto"/>
        <w:right w:val="none" w:sz="0" w:space="0" w:color="auto"/>
      </w:divBdr>
    </w:div>
    <w:div w:id="912399900">
      <w:bodyDiv w:val="1"/>
      <w:marLeft w:val="0"/>
      <w:marRight w:val="0"/>
      <w:marTop w:val="0"/>
      <w:marBottom w:val="0"/>
      <w:divBdr>
        <w:top w:val="none" w:sz="0" w:space="0" w:color="auto"/>
        <w:left w:val="none" w:sz="0" w:space="0" w:color="auto"/>
        <w:bottom w:val="none" w:sz="0" w:space="0" w:color="auto"/>
        <w:right w:val="none" w:sz="0" w:space="0" w:color="auto"/>
      </w:divBdr>
    </w:div>
    <w:div w:id="1119565630">
      <w:bodyDiv w:val="1"/>
      <w:marLeft w:val="0"/>
      <w:marRight w:val="0"/>
      <w:marTop w:val="0"/>
      <w:marBottom w:val="0"/>
      <w:divBdr>
        <w:top w:val="none" w:sz="0" w:space="0" w:color="auto"/>
        <w:left w:val="none" w:sz="0" w:space="0" w:color="auto"/>
        <w:bottom w:val="none" w:sz="0" w:space="0" w:color="auto"/>
        <w:right w:val="none" w:sz="0" w:space="0" w:color="auto"/>
      </w:divBdr>
      <w:divsChild>
        <w:div w:id="1157575325">
          <w:marLeft w:val="0"/>
          <w:marRight w:val="0"/>
          <w:marTop w:val="0"/>
          <w:marBottom w:val="0"/>
          <w:divBdr>
            <w:top w:val="none" w:sz="0" w:space="0" w:color="auto"/>
            <w:left w:val="none" w:sz="0" w:space="0" w:color="auto"/>
            <w:bottom w:val="none" w:sz="0" w:space="0" w:color="auto"/>
            <w:right w:val="none" w:sz="0" w:space="0" w:color="auto"/>
          </w:divBdr>
        </w:div>
      </w:divsChild>
    </w:div>
    <w:div w:id="1233197292">
      <w:bodyDiv w:val="1"/>
      <w:marLeft w:val="0"/>
      <w:marRight w:val="0"/>
      <w:marTop w:val="0"/>
      <w:marBottom w:val="0"/>
      <w:divBdr>
        <w:top w:val="none" w:sz="0" w:space="0" w:color="auto"/>
        <w:left w:val="none" w:sz="0" w:space="0" w:color="auto"/>
        <w:bottom w:val="none" w:sz="0" w:space="0" w:color="auto"/>
        <w:right w:val="none" w:sz="0" w:space="0" w:color="auto"/>
      </w:divBdr>
    </w:div>
    <w:div w:id="1446920045">
      <w:bodyDiv w:val="1"/>
      <w:marLeft w:val="0"/>
      <w:marRight w:val="0"/>
      <w:marTop w:val="0"/>
      <w:marBottom w:val="0"/>
      <w:divBdr>
        <w:top w:val="none" w:sz="0" w:space="0" w:color="auto"/>
        <w:left w:val="none" w:sz="0" w:space="0" w:color="auto"/>
        <w:bottom w:val="none" w:sz="0" w:space="0" w:color="auto"/>
        <w:right w:val="none" w:sz="0" w:space="0" w:color="auto"/>
      </w:divBdr>
    </w:div>
    <w:div w:id="155087296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1922198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14121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EB709-8ABE-44F5-B3D5-B65D016F3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4989</Words>
  <Characters>28439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McCutcheon, Amber</dc:creator>
  <cp:keywords/>
  <cp:lastModifiedBy>McCutcheon, Amber</cp:lastModifiedBy>
  <cp:revision>3</cp:revision>
  <dcterms:created xsi:type="dcterms:W3CDTF">2021-04-28T15:44:00Z</dcterms:created>
  <dcterms:modified xsi:type="dcterms:W3CDTF">2021-04-28T16:06:00Z</dcterms:modified>
</cp:coreProperties>
</file>