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DFB19" w14:textId="1B26A3B8" w:rsidR="00532643" w:rsidRPr="00633FF0" w:rsidRDefault="002440C5" w:rsidP="00C02410">
      <w:pPr>
        <w:pBdr>
          <w:bottom w:val="single" w:sz="18" w:space="1" w:color="auto"/>
        </w:pBdr>
        <w:tabs>
          <w:tab w:val="left" w:pos="-1440"/>
          <w:tab w:val="left" w:pos="-720"/>
          <w:tab w:val="left" w:pos="1"/>
        </w:tabs>
        <w:jc w:val="both"/>
        <w:rPr>
          <w:rFonts w:ascii="Arial" w:hAnsi="Arial"/>
          <w:b/>
          <w:noProof/>
          <w:sz w:val="24"/>
          <w:lang w:val="en-GB" w:eastAsia="en-CA"/>
        </w:rPr>
      </w:pPr>
      <w:r w:rsidRPr="002440C5">
        <w:rPr>
          <w:rFonts w:ascii="Arial" w:hAnsi="Arial"/>
          <w:b/>
          <w:noProof/>
          <w:sz w:val="24"/>
          <w:lang w:val="en-CA" w:eastAsia="en-CA"/>
        </w:rPr>
        <w:drawing>
          <wp:inline distT="0" distB="0" distL="0" distR="0" wp14:anchorId="5A1396B9" wp14:editId="3C8A27D3">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85D073D" w:rsidR="00C02410" w:rsidRPr="00633FF0" w:rsidRDefault="002440C5" w:rsidP="00C02410">
      <w:pPr>
        <w:pStyle w:val="ProductNumber"/>
        <w:rPr>
          <w:lang w:val="en-GB"/>
        </w:rPr>
      </w:pPr>
      <w:r>
        <w:rPr>
          <w:lang w:val="en-GB"/>
        </w:rPr>
        <w:t>9B21M048</w:t>
      </w:r>
    </w:p>
    <w:p w14:paraId="4E057522" w14:textId="7A113CB1" w:rsidR="00D75295" w:rsidRPr="00633FF0" w:rsidRDefault="00D75295" w:rsidP="00D75295">
      <w:pPr>
        <w:jc w:val="right"/>
        <w:rPr>
          <w:rFonts w:ascii="Arial" w:hAnsi="Arial"/>
          <w:b/>
          <w:lang w:val="en-GB"/>
        </w:rPr>
      </w:pPr>
    </w:p>
    <w:p w14:paraId="02524312" w14:textId="77777777" w:rsidR="001901C0" w:rsidRPr="00633FF0" w:rsidRDefault="001901C0" w:rsidP="00D75295">
      <w:pPr>
        <w:jc w:val="right"/>
        <w:rPr>
          <w:rFonts w:ascii="Arial" w:hAnsi="Arial"/>
          <w:b/>
          <w:lang w:val="en-GB"/>
        </w:rPr>
      </w:pPr>
    </w:p>
    <w:p w14:paraId="2F03D26A" w14:textId="2178BBBF" w:rsidR="00013360" w:rsidRPr="00633FF0" w:rsidRDefault="00532643" w:rsidP="00013360">
      <w:pPr>
        <w:pStyle w:val="CaseTitle"/>
        <w:spacing w:after="0" w:line="240" w:lineRule="auto"/>
        <w:rPr>
          <w:sz w:val="20"/>
          <w:szCs w:val="20"/>
          <w:lang w:val="en-GB"/>
        </w:rPr>
      </w:pPr>
      <w:r w:rsidRPr="00633FF0">
        <w:rPr>
          <w:lang w:val="en-GB"/>
        </w:rPr>
        <w:t>Bau</w:t>
      </w:r>
      <w:r w:rsidR="00BE143E">
        <w:rPr>
          <w:lang w:val="en-GB"/>
        </w:rPr>
        <w:t>Z</w:t>
      </w:r>
      <w:r w:rsidRPr="00633FF0">
        <w:rPr>
          <w:lang w:val="en-GB"/>
        </w:rPr>
        <w:t>entr</w:t>
      </w:r>
      <w:r w:rsidR="00BE143E">
        <w:rPr>
          <w:lang w:val="en-GB"/>
        </w:rPr>
        <w:t>AL</w:t>
      </w:r>
      <w:r w:rsidRPr="00633FF0">
        <w:rPr>
          <w:lang w:val="en-GB"/>
        </w:rPr>
        <w:t>: Compensation and Governance in the Family Firm</w:t>
      </w:r>
    </w:p>
    <w:p w14:paraId="40ABF6FD" w14:textId="77777777" w:rsidR="00CA3976" w:rsidRPr="00633FF0" w:rsidRDefault="00CA3976" w:rsidP="00013360">
      <w:pPr>
        <w:pStyle w:val="CaseTitle"/>
        <w:spacing w:after="0" w:line="240" w:lineRule="auto"/>
        <w:rPr>
          <w:sz w:val="20"/>
          <w:szCs w:val="20"/>
          <w:lang w:val="en-GB"/>
        </w:rPr>
      </w:pPr>
    </w:p>
    <w:p w14:paraId="202F1085" w14:textId="77777777" w:rsidR="00013360" w:rsidRPr="00633FF0" w:rsidRDefault="00013360" w:rsidP="00013360">
      <w:pPr>
        <w:pStyle w:val="CaseTitle"/>
        <w:spacing w:after="0" w:line="240" w:lineRule="auto"/>
        <w:rPr>
          <w:sz w:val="20"/>
          <w:szCs w:val="20"/>
          <w:lang w:val="en-GB"/>
        </w:rPr>
      </w:pPr>
    </w:p>
    <w:p w14:paraId="58B0C73F" w14:textId="023A46A5" w:rsidR="00086B26" w:rsidRPr="00633FF0" w:rsidRDefault="00532643" w:rsidP="00086B26">
      <w:pPr>
        <w:pStyle w:val="StyleCopyrightStatementAfter0ptBottomSinglesolidline1"/>
        <w:rPr>
          <w:lang w:val="en-GB"/>
        </w:rPr>
      </w:pPr>
      <w:r w:rsidRPr="00633FF0">
        <w:rPr>
          <w:lang w:val="en-GB"/>
        </w:rPr>
        <w:t xml:space="preserve">Stephen Sapp </w:t>
      </w:r>
      <w:r w:rsidR="00086B26" w:rsidRPr="00633FF0">
        <w:rPr>
          <w:lang w:val="en-GB"/>
        </w:rPr>
        <w:t>wrote this case solely to provide material for class discussion. The author do</w:t>
      </w:r>
      <w:r w:rsidRPr="00633FF0">
        <w:rPr>
          <w:lang w:val="en-GB"/>
        </w:rPr>
        <w:t>es</w:t>
      </w:r>
      <w:r w:rsidR="00086B26" w:rsidRPr="00633FF0">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077A50B8" w:rsidR="00086B26" w:rsidRPr="00633FF0" w:rsidRDefault="00086B26" w:rsidP="00086B26">
      <w:pPr>
        <w:pStyle w:val="StyleCopyrightStatementAfter0ptBottomSinglesolidline1"/>
        <w:rPr>
          <w:lang w:val="en-GB"/>
        </w:rPr>
      </w:pPr>
    </w:p>
    <w:p w14:paraId="6083F196" w14:textId="77777777" w:rsidR="002440C5" w:rsidRDefault="002440C5" w:rsidP="002440C5">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355C6682" w14:textId="77777777" w:rsidR="002440C5" w:rsidRDefault="002440C5" w:rsidP="002440C5">
      <w:pPr>
        <w:pStyle w:val="StyleStyleCopyrightStatementAfter0ptBottomSinglesolid"/>
        <w:rPr>
          <w:rFonts w:cs="Arial"/>
          <w:iCs w:val="0"/>
          <w:color w:val="auto"/>
          <w:szCs w:val="16"/>
        </w:rPr>
      </w:pPr>
    </w:p>
    <w:p w14:paraId="3922E14F" w14:textId="34D55B59" w:rsidR="00751E0B" w:rsidRPr="002440C5" w:rsidRDefault="002440C5"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633FF0">
        <w:rPr>
          <w:rFonts w:cs="Arial"/>
          <w:iCs w:val="0"/>
          <w:color w:val="auto"/>
          <w:szCs w:val="16"/>
          <w:lang w:val="en-GB"/>
        </w:rPr>
        <w:tab/>
      </w:r>
      <w:r w:rsidR="00532643" w:rsidRPr="00633FF0">
        <w:rPr>
          <w:rFonts w:cs="Arial"/>
          <w:iCs w:val="0"/>
          <w:color w:val="auto"/>
          <w:szCs w:val="16"/>
          <w:lang w:val="en-GB"/>
        </w:rPr>
        <w:t>Version: 2021-0</w:t>
      </w:r>
      <w:r w:rsidR="00A97DF5">
        <w:rPr>
          <w:rFonts w:cs="Arial"/>
          <w:iCs w:val="0"/>
          <w:color w:val="auto"/>
          <w:szCs w:val="16"/>
          <w:lang w:val="en-GB"/>
        </w:rPr>
        <w:t>5</w:t>
      </w:r>
      <w:r w:rsidR="00532643" w:rsidRPr="00633FF0">
        <w:rPr>
          <w:rFonts w:cs="Arial"/>
          <w:iCs w:val="0"/>
          <w:color w:val="auto"/>
          <w:szCs w:val="16"/>
          <w:lang w:val="en-GB"/>
        </w:rPr>
        <w:t>-</w:t>
      </w:r>
      <w:r w:rsidR="00A97DF5">
        <w:rPr>
          <w:rFonts w:cs="Arial"/>
          <w:iCs w:val="0"/>
          <w:color w:val="auto"/>
          <w:szCs w:val="16"/>
          <w:lang w:val="en-GB"/>
        </w:rPr>
        <w:t>06</w:t>
      </w:r>
    </w:p>
    <w:p w14:paraId="0A2A54E4" w14:textId="39B226BC" w:rsidR="00751E0B" w:rsidRPr="00633FF0" w:rsidRDefault="00751E0B" w:rsidP="00751E0B">
      <w:pPr>
        <w:pStyle w:val="StyleCopyrightStatementAfter0ptBottomSinglesolidline1"/>
        <w:rPr>
          <w:rFonts w:ascii="Times New Roman" w:hAnsi="Times New Roman"/>
          <w:sz w:val="20"/>
          <w:lang w:val="en-GB"/>
        </w:rPr>
      </w:pPr>
    </w:p>
    <w:p w14:paraId="0284DF4E" w14:textId="77777777" w:rsidR="00532643" w:rsidRPr="00633FF0" w:rsidRDefault="00532643" w:rsidP="00751E0B">
      <w:pPr>
        <w:pStyle w:val="StyleCopyrightStatementAfter0ptBottomSinglesolidline1"/>
        <w:rPr>
          <w:rFonts w:ascii="Times New Roman" w:hAnsi="Times New Roman"/>
          <w:sz w:val="20"/>
          <w:lang w:val="en-GB"/>
        </w:rPr>
      </w:pPr>
    </w:p>
    <w:p w14:paraId="07E985BC" w14:textId="6F40DE5E" w:rsidR="00532643" w:rsidRPr="00633FF0" w:rsidRDefault="00532643" w:rsidP="00532643">
      <w:pPr>
        <w:pStyle w:val="BodyTextMain"/>
        <w:rPr>
          <w:lang w:val="en-GB"/>
        </w:rPr>
      </w:pPr>
      <w:r w:rsidRPr="00633FF0">
        <w:rPr>
          <w:lang w:val="en-GB"/>
        </w:rPr>
        <w:t>It was June 12, 2017</w:t>
      </w:r>
      <w:r w:rsidR="007F2B13">
        <w:rPr>
          <w:lang w:val="en-GB"/>
        </w:rPr>
        <w:t>,</w:t>
      </w:r>
      <w:r w:rsidRPr="00633FF0">
        <w:rPr>
          <w:lang w:val="en-GB"/>
        </w:rPr>
        <w:t xml:space="preserve"> and Pieter Meister and Jens Schmidt</w:t>
      </w:r>
      <w:r w:rsidR="007F2B13">
        <w:rPr>
          <w:lang w:val="en-GB"/>
        </w:rPr>
        <w:t>, the chief executive officer</w:t>
      </w:r>
      <w:r w:rsidRPr="00633FF0">
        <w:rPr>
          <w:lang w:val="en-GB"/>
        </w:rPr>
        <w:t xml:space="preserve"> (CEO</w:t>
      </w:r>
      <w:r w:rsidR="007F2B13">
        <w:rPr>
          <w:lang w:val="en-GB"/>
        </w:rPr>
        <w:t>)</w:t>
      </w:r>
      <w:r w:rsidRPr="00633FF0">
        <w:rPr>
          <w:lang w:val="en-GB"/>
        </w:rPr>
        <w:t xml:space="preserve"> and </w:t>
      </w:r>
      <w:r w:rsidR="007F2B13">
        <w:rPr>
          <w:lang w:val="en-GB"/>
        </w:rPr>
        <w:t>chief financial officer (</w:t>
      </w:r>
      <w:r w:rsidRPr="00633FF0">
        <w:rPr>
          <w:lang w:val="en-GB"/>
        </w:rPr>
        <w:t>CFO</w:t>
      </w:r>
      <w:r w:rsidR="007F2B13">
        <w:rPr>
          <w:lang w:val="en-GB"/>
        </w:rPr>
        <w:t>)</w:t>
      </w:r>
      <w:r w:rsidR="00E250E7">
        <w:rPr>
          <w:lang w:val="en-GB"/>
        </w:rPr>
        <w:t>,</w:t>
      </w:r>
      <w:r w:rsidR="00E250E7" w:rsidRPr="00E250E7">
        <w:rPr>
          <w:lang w:val="en-GB"/>
        </w:rPr>
        <w:t xml:space="preserve"> </w:t>
      </w:r>
      <w:r w:rsidR="00E250E7">
        <w:rPr>
          <w:lang w:val="en-GB"/>
        </w:rPr>
        <w:t>respectively,</w:t>
      </w:r>
      <w:r w:rsidRPr="00633FF0">
        <w:rPr>
          <w:lang w:val="en-GB"/>
        </w:rPr>
        <w:t xml:space="preserve"> of </w:t>
      </w:r>
      <w:proofErr w:type="spellStart"/>
      <w:r w:rsidR="00CD671F">
        <w:rPr>
          <w:lang w:val="en-GB"/>
        </w:rPr>
        <w:t>BauZentral</w:t>
      </w:r>
      <w:proofErr w:type="spellEnd"/>
      <w:r w:rsidR="007F2B13">
        <w:rPr>
          <w:lang w:val="en-GB"/>
        </w:rPr>
        <w:t>,</w:t>
      </w:r>
      <w:r w:rsidRPr="00633FF0">
        <w:rPr>
          <w:lang w:val="en-GB"/>
        </w:rPr>
        <w:t xml:space="preserve"> were leaving the most recent meeting of the family shareholders.</w:t>
      </w:r>
      <w:r w:rsidR="00633FF0" w:rsidRPr="00633FF0">
        <w:rPr>
          <w:lang w:val="en-GB"/>
        </w:rPr>
        <w:t xml:space="preserve"> </w:t>
      </w:r>
      <w:r w:rsidRPr="00633FF0">
        <w:rPr>
          <w:lang w:val="en-GB"/>
        </w:rPr>
        <w:t xml:space="preserve">They were </w:t>
      </w:r>
      <w:r w:rsidR="006A6197">
        <w:rPr>
          <w:lang w:val="en-GB"/>
        </w:rPr>
        <w:t>reviewing</w:t>
      </w:r>
      <w:r w:rsidRPr="00633FF0">
        <w:rPr>
          <w:lang w:val="en-GB"/>
        </w:rPr>
        <w:t xml:space="preserve"> the </w:t>
      </w:r>
      <w:r w:rsidR="007F2B13">
        <w:rPr>
          <w:lang w:val="en-GB"/>
        </w:rPr>
        <w:t xml:space="preserve">meeting’s </w:t>
      </w:r>
      <w:r w:rsidRPr="00633FF0">
        <w:rPr>
          <w:lang w:val="en-GB"/>
        </w:rPr>
        <w:t>discussion</w:t>
      </w:r>
      <w:r w:rsidR="007F2B13">
        <w:rPr>
          <w:lang w:val="en-GB"/>
        </w:rPr>
        <w:t>,</w:t>
      </w:r>
      <w:r w:rsidRPr="00633FF0">
        <w:rPr>
          <w:lang w:val="en-GB"/>
        </w:rPr>
        <w:t xml:space="preserve"> regarding where the firm </w:t>
      </w:r>
      <w:r w:rsidR="006A6197" w:rsidRPr="00633FF0">
        <w:rPr>
          <w:lang w:val="en-GB"/>
        </w:rPr>
        <w:t>want</w:t>
      </w:r>
      <w:r w:rsidR="006A6197">
        <w:rPr>
          <w:lang w:val="en-GB"/>
        </w:rPr>
        <w:t>ed</w:t>
      </w:r>
      <w:r w:rsidR="006A6197" w:rsidRPr="00633FF0">
        <w:rPr>
          <w:lang w:val="en-GB"/>
        </w:rPr>
        <w:t xml:space="preserve"> </w:t>
      </w:r>
      <w:r w:rsidRPr="00633FF0">
        <w:rPr>
          <w:lang w:val="en-GB"/>
        </w:rPr>
        <w:t xml:space="preserve">to be in </w:t>
      </w:r>
      <w:r w:rsidR="007F2B13">
        <w:rPr>
          <w:lang w:val="en-GB"/>
        </w:rPr>
        <w:t>five</w:t>
      </w:r>
      <w:r w:rsidR="007F2B13" w:rsidRPr="00633FF0">
        <w:rPr>
          <w:lang w:val="en-GB"/>
        </w:rPr>
        <w:t xml:space="preserve"> </w:t>
      </w:r>
      <w:r w:rsidRPr="00633FF0">
        <w:rPr>
          <w:lang w:val="en-GB"/>
        </w:rPr>
        <w:t>years and how to get there.</w:t>
      </w:r>
      <w:r w:rsidR="00633FF0" w:rsidRPr="00633FF0">
        <w:rPr>
          <w:lang w:val="en-GB"/>
        </w:rPr>
        <w:t xml:space="preserve"> </w:t>
      </w:r>
      <w:r w:rsidRPr="00633FF0">
        <w:rPr>
          <w:lang w:val="en-GB"/>
        </w:rPr>
        <w:t xml:space="preserve">They knew they had </w:t>
      </w:r>
      <w:r w:rsidR="007F2B13">
        <w:rPr>
          <w:lang w:val="en-GB"/>
        </w:rPr>
        <w:t xml:space="preserve">only </w:t>
      </w:r>
      <w:r w:rsidRPr="00633FF0">
        <w:rPr>
          <w:lang w:val="en-GB"/>
        </w:rPr>
        <w:t xml:space="preserve">one month before the next meeting to </w:t>
      </w:r>
      <w:r w:rsidR="006A6197">
        <w:rPr>
          <w:lang w:val="en-GB"/>
        </w:rPr>
        <w:t>present their recommendations</w:t>
      </w:r>
      <w:r w:rsidRPr="00633FF0">
        <w:rPr>
          <w:lang w:val="en-GB"/>
        </w:rPr>
        <w:t xml:space="preserve"> on how to update the </w:t>
      </w:r>
      <w:r w:rsidR="006A6197">
        <w:rPr>
          <w:lang w:val="en-GB"/>
        </w:rPr>
        <w:t xml:space="preserve">firm’s </w:t>
      </w:r>
      <w:r w:rsidRPr="00633FF0">
        <w:rPr>
          <w:lang w:val="en-GB"/>
        </w:rPr>
        <w:t xml:space="preserve">organizational structure and employee compensation package to optimally manage the increasingly sprawling </w:t>
      </w:r>
      <w:proofErr w:type="spellStart"/>
      <w:r w:rsidR="00CD671F">
        <w:rPr>
          <w:lang w:val="en-GB"/>
        </w:rPr>
        <w:t>BauZentral</w:t>
      </w:r>
      <w:proofErr w:type="spellEnd"/>
      <w:r w:rsidRPr="00633FF0">
        <w:rPr>
          <w:lang w:val="en-GB"/>
        </w:rPr>
        <w:t xml:space="preserve"> business. </w:t>
      </w:r>
    </w:p>
    <w:p w14:paraId="24BC3053" w14:textId="77777777" w:rsidR="00532643" w:rsidRPr="00633FF0" w:rsidRDefault="00532643" w:rsidP="00532643">
      <w:pPr>
        <w:pStyle w:val="BodyTextMain"/>
        <w:rPr>
          <w:lang w:val="en-GB"/>
        </w:rPr>
      </w:pPr>
      <w:r w:rsidRPr="00633FF0">
        <w:rPr>
          <w:lang w:val="en-GB"/>
        </w:rPr>
        <w:t xml:space="preserve"> </w:t>
      </w:r>
    </w:p>
    <w:p w14:paraId="6296AE60" w14:textId="59293918" w:rsidR="00532643" w:rsidRPr="00633FF0" w:rsidRDefault="00532643" w:rsidP="00532643">
      <w:pPr>
        <w:pStyle w:val="BodyTextMain"/>
        <w:rPr>
          <w:lang w:val="en-GB"/>
        </w:rPr>
      </w:pPr>
      <w:r w:rsidRPr="00633FF0">
        <w:rPr>
          <w:lang w:val="en-GB"/>
        </w:rPr>
        <w:t xml:space="preserve">The challenges with managing the company </w:t>
      </w:r>
      <w:r w:rsidR="00404CD4">
        <w:rPr>
          <w:lang w:val="en-GB"/>
        </w:rPr>
        <w:t>were</w:t>
      </w:r>
      <w:r w:rsidRPr="00633FF0">
        <w:rPr>
          <w:lang w:val="en-GB"/>
        </w:rPr>
        <w:t xml:space="preserve"> a result of the significant acquisition strategy </w:t>
      </w:r>
      <w:r w:rsidR="00E250E7">
        <w:rPr>
          <w:lang w:val="en-GB"/>
        </w:rPr>
        <w:t>that</w:t>
      </w:r>
      <w:r w:rsidRPr="00633FF0">
        <w:rPr>
          <w:lang w:val="en-GB"/>
        </w:rPr>
        <w:t xml:space="preserve"> </w:t>
      </w:r>
      <w:r w:rsidR="00404CD4">
        <w:rPr>
          <w:lang w:val="en-GB"/>
        </w:rPr>
        <w:t xml:space="preserve">had </w:t>
      </w:r>
      <w:r w:rsidRPr="00633FF0">
        <w:rPr>
          <w:lang w:val="en-GB"/>
        </w:rPr>
        <w:t>started in the years before the retirement of the previous CEO, Josef Meister, Pieter</w:t>
      </w:r>
      <w:r w:rsidR="00404CD4">
        <w:rPr>
          <w:lang w:val="en-GB"/>
        </w:rPr>
        <w:t>’</w:t>
      </w:r>
      <w:r w:rsidRPr="00633FF0">
        <w:rPr>
          <w:lang w:val="en-GB"/>
        </w:rPr>
        <w:t>s father.</w:t>
      </w:r>
      <w:r w:rsidR="00633FF0" w:rsidRPr="00633FF0">
        <w:rPr>
          <w:lang w:val="en-GB"/>
        </w:rPr>
        <w:t xml:space="preserve"> </w:t>
      </w:r>
      <w:r w:rsidRPr="00633FF0">
        <w:rPr>
          <w:lang w:val="en-GB"/>
        </w:rPr>
        <w:t>Pieter</w:t>
      </w:r>
      <w:r w:rsidR="006A6197">
        <w:rPr>
          <w:lang w:val="en-GB"/>
        </w:rPr>
        <w:t>, who</w:t>
      </w:r>
      <w:r w:rsidRPr="00633FF0">
        <w:rPr>
          <w:lang w:val="en-GB"/>
        </w:rPr>
        <w:t xml:space="preserve"> had taken over in 2014 as the company was starting to deal with the growth associated with </w:t>
      </w:r>
      <w:r w:rsidR="006A6197">
        <w:rPr>
          <w:lang w:val="en-GB"/>
        </w:rPr>
        <w:t>its</w:t>
      </w:r>
      <w:r w:rsidR="006A6197" w:rsidRPr="00633FF0">
        <w:rPr>
          <w:lang w:val="en-GB"/>
        </w:rPr>
        <w:t xml:space="preserve"> </w:t>
      </w:r>
      <w:r w:rsidRPr="00633FF0">
        <w:rPr>
          <w:lang w:val="en-GB"/>
        </w:rPr>
        <w:t>successful international acquisition strategy</w:t>
      </w:r>
      <w:r w:rsidR="006A6197">
        <w:rPr>
          <w:lang w:val="en-GB"/>
        </w:rPr>
        <w:t>,</w:t>
      </w:r>
      <w:r w:rsidRPr="00633FF0">
        <w:rPr>
          <w:lang w:val="en-GB"/>
        </w:rPr>
        <w:t xml:space="preserve"> felt </w:t>
      </w:r>
      <w:r w:rsidR="00404CD4">
        <w:rPr>
          <w:lang w:val="en-GB"/>
        </w:rPr>
        <w:t xml:space="preserve">that for </w:t>
      </w:r>
      <w:r w:rsidRPr="00633FF0">
        <w:rPr>
          <w:lang w:val="en-GB"/>
        </w:rPr>
        <w:t>the company to survive</w:t>
      </w:r>
      <w:r w:rsidR="00404CD4">
        <w:rPr>
          <w:lang w:val="en-GB"/>
        </w:rPr>
        <w:t>, it needed to grow,</w:t>
      </w:r>
      <w:r w:rsidRPr="00633FF0">
        <w:rPr>
          <w:lang w:val="en-GB"/>
        </w:rPr>
        <w:t xml:space="preserve"> </w:t>
      </w:r>
      <w:r w:rsidR="00404CD4">
        <w:rPr>
          <w:lang w:val="en-GB"/>
        </w:rPr>
        <w:t xml:space="preserve">which </w:t>
      </w:r>
      <w:r w:rsidRPr="00633FF0">
        <w:rPr>
          <w:lang w:val="en-GB"/>
        </w:rPr>
        <w:t xml:space="preserve">meant expanding beyond </w:t>
      </w:r>
      <w:r w:rsidR="00404CD4">
        <w:rPr>
          <w:lang w:val="en-GB"/>
        </w:rPr>
        <w:t>its</w:t>
      </w:r>
      <w:r w:rsidR="00404CD4" w:rsidRPr="00633FF0">
        <w:rPr>
          <w:lang w:val="en-GB"/>
        </w:rPr>
        <w:t xml:space="preserve"> </w:t>
      </w:r>
      <w:r w:rsidRPr="00633FF0">
        <w:rPr>
          <w:lang w:val="en-GB"/>
        </w:rPr>
        <w:t>base in Switzerland.</w:t>
      </w:r>
    </w:p>
    <w:p w14:paraId="49AC8AFE" w14:textId="77777777" w:rsidR="00532643" w:rsidRPr="00633FF0" w:rsidRDefault="00532643" w:rsidP="00532643">
      <w:pPr>
        <w:pStyle w:val="BodyTextMain"/>
        <w:rPr>
          <w:lang w:val="en-GB"/>
        </w:rPr>
      </w:pPr>
    </w:p>
    <w:p w14:paraId="7B5CFE3F" w14:textId="65472BA3" w:rsidR="00532643" w:rsidRPr="00633FF0" w:rsidRDefault="00532643" w:rsidP="00532643">
      <w:pPr>
        <w:pStyle w:val="BodyTextMain"/>
        <w:rPr>
          <w:lang w:val="en-GB"/>
        </w:rPr>
      </w:pPr>
      <w:r w:rsidRPr="00633FF0">
        <w:rPr>
          <w:lang w:val="en-GB"/>
        </w:rPr>
        <w:t>Because these acquisitions were relatively recent, Pieter</w:t>
      </w:r>
      <w:r w:rsidR="00404CD4">
        <w:rPr>
          <w:lang w:val="en-GB"/>
        </w:rPr>
        <w:t>,</w:t>
      </w:r>
      <w:r w:rsidRPr="00633FF0">
        <w:rPr>
          <w:lang w:val="en-GB"/>
        </w:rPr>
        <w:t xml:space="preserve"> as the newly appointed CEO</w:t>
      </w:r>
      <w:r w:rsidR="00404CD4">
        <w:rPr>
          <w:lang w:val="en-GB"/>
        </w:rPr>
        <w:t>,</w:t>
      </w:r>
      <w:r w:rsidRPr="00633FF0">
        <w:rPr>
          <w:lang w:val="en-GB"/>
        </w:rPr>
        <w:t xml:space="preserve"> was tasked with </w:t>
      </w:r>
      <w:r w:rsidR="00404CD4" w:rsidRPr="00633FF0">
        <w:rPr>
          <w:lang w:val="en-GB"/>
        </w:rPr>
        <w:t>integrati</w:t>
      </w:r>
      <w:r w:rsidR="00404CD4">
        <w:rPr>
          <w:lang w:val="en-GB"/>
        </w:rPr>
        <w:t>ng</w:t>
      </w:r>
      <w:r w:rsidR="00404CD4" w:rsidRPr="00633FF0">
        <w:rPr>
          <w:lang w:val="en-GB"/>
        </w:rPr>
        <w:t xml:space="preserve"> </w:t>
      </w:r>
      <w:r w:rsidRPr="00633FF0">
        <w:rPr>
          <w:lang w:val="en-GB"/>
        </w:rPr>
        <w:t xml:space="preserve">these firms under the </w:t>
      </w:r>
      <w:proofErr w:type="spellStart"/>
      <w:r w:rsidR="00CD671F">
        <w:rPr>
          <w:lang w:val="en-GB"/>
        </w:rPr>
        <w:t>BauZentral</w:t>
      </w:r>
      <w:proofErr w:type="spellEnd"/>
      <w:r w:rsidRPr="00633FF0">
        <w:rPr>
          <w:lang w:val="en-GB"/>
        </w:rPr>
        <w:t xml:space="preserve"> umbrella.</w:t>
      </w:r>
      <w:r w:rsidR="00633FF0" w:rsidRPr="00633FF0">
        <w:rPr>
          <w:lang w:val="en-GB"/>
        </w:rPr>
        <w:t xml:space="preserve"> </w:t>
      </w:r>
      <w:r w:rsidR="00404CD4">
        <w:rPr>
          <w:lang w:val="en-GB"/>
        </w:rPr>
        <w:t xml:space="preserve">He needed to </w:t>
      </w:r>
      <w:r w:rsidR="00404CD4" w:rsidRPr="00633FF0">
        <w:rPr>
          <w:lang w:val="en-GB"/>
        </w:rPr>
        <w:t>ensur</w:t>
      </w:r>
      <w:r w:rsidR="00404CD4">
        <w:rPr>
          <w:lang w:val="en-GB"/>
        </w:rPr>
        <w:t>e</w:t>
      </w:r>
      <w:r w:rsidR="00404CD4" w:rsidRPr="00633FF0">
        <w:rPr>
          <w:lang w:val="en-GB"/>
        </w:rPr>
        <w:t xml:space="preserve"> </w:t>
      </w:r>
      <w:proofErr w:type="spellStart"/>
      <w:r w:rsidR="00CD671F">
        <w:rPr>
          <w:lang w:val="en-GB"/>
        </w:rPr>
        <w:t>BauZentral</w:t>
      </w:r>
      <w:proofErr w:type="spellEnd"/>
      <w:r w:rsidR="00404CD4">
        <w:rPr>
          <w:lang w:val="en-GB"/>
        </w:rPr>
        <w:t xml:space="preserve"> took</w:t>
      </w:r>
      <w:r w:rsidRPr="00633FF0">
        <w:rPr>
          <w:lang w:val="en-GB"/>
        </w:rPr>
        <w:t xml:space="preserve"> advantage of everything </w:t>
      </w:r>
      <w:r w:rsidR="00404CD4">
        <w:rPr>
          <w:lang w:val="en-GB"/>
        </w:rPr>
        <w:t>its</w:t>
      </w:r>
      <w:r w:rsidR="00404CD4" w:rsidRPr="00633FF0">
        <w:rPr>
          <w:lang w:val="en-GB"/>
        </w:rPr>
        <w:t xml:space="preserve"> </w:t>
      </w:r>
      <w:r w:rsidRPr="00633FF0">
        <w:rPr>
          <w:lang w:val="en-GB"/>
        </w:rPr>
        <w:t>acquisitions had to offer.</w:t>
      </w:r>
      <w:r w:rsidR="00633FF0" w:rsidRPr="00633FF0">
        <w:rPr>
          <w:lang w:val="en-GB"/>
        </w:rPr>
        <w:t xml:space="preserve"> </w:t>
      </w:r>
      <w:r w:rsidRPr="00633FF0">
        <w:rPr>
          <w:lang w:val="en-GB"/>
        </w:rPr>
        <w:t xml:space="preserve">Pieter knew he would </w:t>
      </w:r>
      <w:r w:rsidR="00404CD4">
        <w:rPr>
          <w:lang w:val="en-GB"/>
        </w:rPr>
        <w:t>need</w:t>
      </w:r>
      <w:r w:rsidR="00404CD4" w:rsidRPr="00633FF0">
        <w:rPr>
          <w:lang w:val="en-GB"/>
        </w:rPr>
        <w:t xml:space="preserve"> </w:t>
      </w:r>
      <w:r w:rsidRPr="00633FF0">
        <w:rPr>
          <w:lang w:val="en-GB"/>
        </w:rPr>
        <w:t>to restructure the organization to achieve the firm’s goals of growing its footprint around the world and becoming a truly global supplier</w:t>
      </w:r>
      <w:r w:rsidR="00404CD4">
        <w:rPr>
          <w:lang w:val="en-GB"/>
        </w:rPr>
        <w:t>,</w:t>
      </w:r>
      <w:r w:rsidRPr="00633FF0">
        <w:rPr>
          <w:lang w:val="en-GB"/>
        </w:rPr>
        <w:t xml:space="preserve"> while also respecting the family’s values. </w:t>
      </w:r>
    </w:p>
    <w:p w14:paraId="3992BE22" w14:textId="77777777" w:rsidR="00532643" w:rsidRPr="00633FF0" w:rsidRDefault="00532643" w:rsidP="00532643">
      <w:pPr>
        <w:pStyle w:val="BodyTextMain"/>
        <w:rPr>
          <w:lang w:val="en-GB"/>
        </w:rPr>
      </w:pPr>
    </w:p>
    <w:p w14:paraId="4D94F2F2" w14:textId="7661FB08" w:rsidR="00532643" w:rsidRPr="00155EA0" w:rsidRDefault="00532643" w:rsidP="00532643">
      <w:pPr>
        <w:pStyle w:val="BodyTextMain"/>
        <w:rPr>
          <w:spacing w:val="-2"/>
          <w:lang w:val="en-GB"/>
        </w:rPr>
      </w:pPr>
      <w:r w:rsidRPr="00155EA0">
        <w:rPr>
          <w:spacing w:val="-2"/>
          <w:lang w:val="en-GB"/>
        </w:rPr>
        <w:t xml:space="preserve">The problem was that the company had been structured to be a tightly held and </w:t>
      </w:r>
      <w:r w:rsidR="00404CD4" w:rsidRPr="00155EA0">
        <w:rPr>
          <w:spacing w:val="-2"/>
          <w:lang w:val="en-GB"/>
        </w:rPr>
        <w:t xml:space="preserve">tightly </w:t>
      </w:r>
      <w:r w:rsidRPr="00155EA0">
        <w:rPr>
          <w:spacing w:val="-2"/>
          <w:lang w:val="en-GB"/>
        </w:rPr>
        <w:t>controlled family business</w:t>
      </w:r>
      <w:r w:rsidR="00404CD4" w:rsidRPr="00155EA0">
        <w:rPr>
          <w:spacing w:val="-2"/>
          <w:lang w:val="en-GB"/>
        </w:rPr>
        <w:t>; however,</w:t>
      </w:r>
      <w:r w:rsidRPr="00155EA0">
        <w:rPr>
          <w:spacing w:val="-2"/>
          <w:lang w:val="en-GB"/>
        </w:rPr>
        <w:t xml:space="preserve"> </w:t>
      </w:r>
      <w:r w:rsidR="00404CD4" w:rsidRPr="00155EA0">
        <w:rPr>
          <w:spacing w:val="-2"/>
          <w:lang w:val="en-GB"/>
        </w:rPr>
        <w:t>t</w:t>
      </w:r>
      <w:r w:rsidRPr="00155EA0">
        <w:rPr>
          <w:spacing w:val="-2"/>
          <w:lang w:val="en-GB"/>
        </w:rPr>
        <w:t>his structure was ill-suited to the new reality.</w:t>
      </w:r>
      <w:r w:rsidR="00633FF0" w:rsidRPr="00155EA0">
        <w:rPr>
          <w:spacing w:val="-2"/>
          <w:lang w:val="en-GB"/>
        </w:rPr>
        <w:t xml:space="preserve"> </w:t>
      </w:r>
      <w:r w:rsidRPr="00155EA0">
        <w:rPr>
          <w:spacing w:val="-2"/>
          <w:lang w:val="en-GB"/>
        </w:rPr>
        <w:t xml:space="preserve">Rapid expansion across borders meant that </w:t>
      </w:r>
      <w:proofErr w:type="spellStart"/>
      <w:r w:rsidR="00CD671F" w:rsidRPr="00155EA0">
        <w:rPr>
          <w:spacing w:val="-2"/>
          <w:lang w:val="en-GB"/>
        </w:rPr>
        <w:t>BauZentral</w:t>
      </w:r>
      <w:proofErr w:type="spellEnd"/>
      <w:r w:rsidRPr="00155EA0">
        <w:rPr>
          <w:spacing w:val="-2"/>
          <w:lang w:val="en-GB"/>
        </w:rPr>
        <w:t xml:space="preserve"> needed to expand </w:t>
      </w:r>
      <w:r w:rsidR="00404CD4" w:rsidRPr="00155EA0">
        <w:rPr>
          <w:spacing w:val="-2"/>
          <w:lang w:val="en-GB"/>
        </w:rPr>
        <w:t xml:space="preserve">its </w:t>
      </w:r>
      <w:r w:rsidRPr="00155EA0">
        <w:rPr>
          <w:spacing w:val="-2"/>
          <w:lang w:val="en-GB"/>
        </w:rPr>
        <w:t xml:space="preserve">decision-making base to </w:t>
      </w:r>
      <w:r w:rsidR="00404CD4" w:rsidRPr="00155EA0">
        <w:rPr>
          <w:spacing w:val="-2"/>
          <w:lang w:val="en-GB"/>
        </w:rPr>
        <w:t>(</w:t>
      </w:r>
      <w:r w:rsidRPr="00155EA0">
        <w:rPr>
          <w:spacing w:val="-2"/>
          <w:lang w:val="en-GB"/>
        </w:rPr>
        <w:t xml:space="preserve">1) allow for the </w:t>
      </w:r>
      <w:r w:rsidR="00404CD4" w:rsidRPr="00155EA0">
        <w:rPr>
          <w:spacing w:val="-2"/>
          <w:lang w:val="en-GB"/>
        </w:rPr>
        <w:t xml:space="preserve">various </w:t>
      </w:r>
      <w:r w:rsidRPr="00155EA0">
        <w:rPr>
          <w:spacing w:val="-2"/>
          <w:lang w:val="en-GB"/>
        </w:rPr>
        <w:t>affiliates to feel more involved in the decision-making process</w:t>
      </w:r>
      <w:r w:rsidR="00404CD4" w:rsidRPr="00155EA0">
        <w:rPr>
          <w:spacing w:val="-2"/>
          <w:lang w:val="en-GB"/>
        </w:rPr>
        <w:t>;</w:t>
      </w:r>
      <w:r w:rsidRPr="00155EA0">
        <w:rPr>
          <w:spacing w:val="-2"/>
          <w:lang w:val="en-GB"/>
        </w:rPr>
        <w:t xml:space="preserve"> </w:t>
      </w:r>
      <w:r w:rsidR="00404CD4" w:rsidRPr="00155EA0">
        <w:rPr>
          <w:spacing w:val="-2"/>
          <w:lang w:val="en-GB"/>
        </w:rPr>
        <w:t>(</w:t>
      </w:r>
      <w:r w:rsidRPr="00155EA0">
        <w:rPr>
          <w:spacing w:val="-2"/>
          <w:lang w:val="en-GB"/>
        </w:rPr>
        <w:t>2) benefit from the foreign affiliates</w:t>
      </w:r>
      <w:r w:rsidR="00404CD4" w:rsidRPr="00155EA0">
        <w:rPr>
          <w:spacing w:val="-2"/>
          <w:lang w:val="en-GB"/>
        </w:rPr>
        <w:t>’</w:t>
      </w:r>
      <w:r w:rsidRPr="00155EA0">
        <w:rPr>
          <w:spacing w:val="-2"/>
          <w:lang w:val="en-GB"/>
        </w:rPr>
        <w:t xml:space="preserve"> unique knowledge of the local markets</w:t>
      </w:r>
      <w:r w:rsidR="00404CD4" w:rsidRPr="00155EA0">
        <w:rPr>
          <w:spacing w:val="-2"/>
          <w:lang w:val="en-GB"/>
        </w:rPr>
        <w:t>,</w:t>
      </w:r>
      <w:r w:rsidRPr="00155EA0">
        <w:rPr>
          <w:spacing w:val="-2"/>
          <w:lang w:val="en-GB"/>
        </w:rPr>
        <w:t xml:space="preserve"> which head office </w:t>
      </w:r>
      <w:r w:rsidR="00404CD4" w:rsidRPr="00155EA0">
        <w:rPr>
          <w:spacing w:val="-2"/>
          <w:lang w:val="en-GB"/>
        </w:rPr>
        <w:t xml:space="preserve">might </w:t>
      </w:r>
      <w:r w:rsidRPr="00155EA0">
        <w:rPr>
          <w:spacing w:val="-2"/>
          <w:lang w:val="en-GB"/>
        </w:rPr>
        <w:t>not fully appreciate</w:t>
      </w:r>
      <w:r w:rsidR="00404CD4" w:rsidRPr="00155EA0">
        <w:rPr>
          <w:spacing w:val="-2"/>
          <w:lang w:val="en-GB"/>
        </w:rPr>
        <w:t>;</w:t>
      </w:r>
      <w:r w:rsidRPr="00155EA0">
        <w:rPr>
          <w:spacing w:val="-2"/>
          <w:lang w:val="en-GB"/>
        </w:rPr>
        <w:t xml:space="preserve"> and </w:t>
      </w:r>
      <w:r w:rsidR="00404CD4" w:rsidRPr="00155EA0">
        <w:rPr>
          <w:spacing w:val="-2"/>
          <w:lang w:val="en-GB"/>
        </w:rPr>
        <w:t>(</w:t>
      </w:r>
      <w:r w:rsidRPr="00155EA0">
        <w:rPr>
          <w:spacing w:val="-2"/>
          <w:lang w:val="en-GB"/>
        </w:rPr>
        <w:t>3) allow those working at the affiliates to benefit financially from their role in making the expansions work in different countries.</w:t>
      </w:r>
      <w:r w:rsidR="00633FF0" w:rsidRPr="00155EA0">
        <w:rPr>
          <w:spacing w:val="-2"/>
          <w:lang w:val="en-GB"/>
        </w:rPr>
        <w:t xml:space="preserve"> </w:t>
      </w:r>
      <w:r w:rsidRPr="00155EA0">
        <w:rPr>
          <w:spacing w:val="-2"/>
          <w:lang w:val="en-GB"/>
        </w:rPr>
        <w:t xml:space="preserve">Pieter and Jens </w:t>
      </w:r>
      <w:r w:rsidR="00404CD4" w:rsidRPr="00155EA0">
        <w:rPr>
          <w:spacing w:val="-2"/>
          <w:lang w:val="en-GB"/>
        </w:rPr>
        <w:t xml:space="preserve">needed </w:t>
      </w:r>
      <w:r w:rsidRPr="00155EA0">
        <w:rPr>
          <w:spacing w:val="-2"/>
          <w:lang w:val="en-GB"/>
        </w:rPr>
        <w:t xml:space="preserve">to take a step back and determine what types of changes to the organization </w:t>
      </w:r>
      <w:r w:rsidR="00404CD4" w:rsidRPr="00155EA0">
        <w:rPr>
          <w:spacing w:val="-2"/>
          <w:lang w:val="en-GB"/>
        </w:rPr>
        <w:t xml:space="preserve">would help to </w:t>
      </w:r>
      <w:r w:rsidRPr="00155EA0">
        <w:rPr>
          <w:spacing w:val="-2"/>
          <w:lang w:val="en-GB"/>
        </w:rPr>
        <w:t>achieve these goals</w:t>
      </w:r>
      <w:r w:rsidR="00404CD4" w:rsidRPr="00155EA0">
        <w:rPr>
          <w:spacing w:val="-2"/>
          <w:lang w:val="en-GB"/>
        </w:rPr>
        <w:t>.</w:t>
      </w:r>
      <w:r w:rsidR="00633FF0" w:rsidRPr="00155EA0">
        <w:rPr>
          <w:spacing w:val="-2"/>
          <w:lang w:val="en-GB"/>
        </w:rPr>
        <w:t xml:space="preserve"> </w:t>
      </w:r>
      <w:r w:rsidRPr="00155EA0">
        <w:rPr>
          <w:spacing w:val="-2"/>
          <w:lang w:val="en-GB"/>
        </w:rPr>
        <w:t>How should the governance structure</w:t>
      </w:r>
      <w:r w:rsidR="00404CD4" w:rsidRPr="00155EA0">
        <w:rPr>
          <w:spacing w:val="-2"/>
          <w:lang w:val="en-GB"/>
        </w:rPr>
        <w:t xml:space="preserve"> be changed</w:t>
      </w:r>
      <w:r w:rsidRPr="00155EA0">
        <w:rPr>
          <w:spacing w:val="-2"/>
          <w:lang w:val="en-GB"/>
        </w:rPr>
        <w:t>?</w:t>
      </w:r>
      <w:r w:rsidR="00633FF0" w:rsidRPr="00155EA0">
        <w:rPr>
          <w:spacing w:val="-2"/>
          <w:lang w:val="en-GB"/>
        </w:rPr>
        <w:t xml:space="preserve"> </w:t>
      </w:r>
      <w:r w:rsidRPr="00155EA0">
        <w:rPr>
          <w:spacing w:val="-2"/>
          <w:lang w:val="en-GB"/>
        </w:rPr>
        <w:t>How should the compensation structure</w:t>
      </w:r>
      <w:r w:rsidR="00404CD4" w:rsidRPr="00155EA0">
        <w:rPr>
          <w:spacing w:val="-2"/>
          <w:lang w:val="en-GB"/>
        </w:rPr>
        <w:t xml:space="preserve"> be changed</w:t>
      </w:r>
      <w:r w:rsidRPr="00155EA0">
        <w:rPr>
          <w:spacing w:val="-2"/>
          <w:lang w:val="en-GB"/>
        </w:rPr>
        <w:t>?</w:t>
      </w:r>
    </w:p>
    <w:p w14:paraId="66390A86" w14:textId="77777777" w:rsidR="00532643" w:rsidRPr="00633FF0" w:rsidRDefault="00532643" w:rsidP="00532643">
      <w:pPr>
        <w:pStyle w:val="BodyTextMain"/>
        <w:rPr>
          <w:lang w:val="en-GB"/>
        </w:rPr>
      </w:pPr>
    </w:p>
    <w:p w14:paraId="3555A400" w14:textId="16E6E227" w:rsidR="00532643" w:rsidRDefault="00532643" w:rsidP="00532643">
      <w:pPr>
        <w:pStyle w:val="BodyTextMain"/>
        <w:rPr>
          <w:lang w:val="en-GB"/>
        </w:rPr>
      </w:pPr>
      <w:r w:rsidRPr="00633FF0">
        <w:rPr>
          <w:lang w:val="en-GB"/>
        </w:rPr>
        <w:t>Before working on the specifics, they felt it was important to better understand the environment in which they were operating.</w:t>
      </w:r>
    </w:p>
    <w:p w14:paraId="327EA0C6" w14:textId="77777777" w:rsidR="00832CCD" w:rsidRPr="00633FF0" w:rsidRDefault="00832CCD" w:rsidP="00532643">
      <w:pPr>
        <w:pStyle w:val="BodyTextMain"/>
        <w:rPr>
          <w:lang w:val="en-GB"/>
        </w:rPr>
      </w:pPr>
    </w:p>
    <w:p w14:paraId="6CE16AEA" w14:textId="77777777" w:rsidR="00532643" w:rsidRPr="00633FF0" w:rsidRDefault="00532643" w:rsidP="00532643">
      <w:pPr>
        <w:pStyle w:val="Casehead1"/>
        <w:rPr>
          <w:lang w:val="en-GB"/>
        </w:rPr>
      </w:pPr>
      <w:r w:rsidRPr="00633FF0">
        <w:rPr>
          <w:lang w:val="en-GB"/>
        </w:rPr>
        <w:lastRenderedPageBreak/>
        <w:t>Outlook for the Building Industry</w:t>
      </w:r>
    </w:p>
    <w:p w14:paraId="1ECF8A39" w14:textId="77777777" w:rsidR="00532643" w:rsidRPr="00633FF0" w:rsidRDefault="00532643" w:rsidP="00532643">
      <w:pPr>
        <w:pStyle w:val="BodyTextMain"/>
        <w:rPr>
          <w:lang w:val="en-GB"/>
        </w:rPr>
      </w:pPr>
    </w:p>
    <w:p w14:paraId="1AF65FE3" w14:textId="27E8548C" w:rsidR="00532643" w:rsidRPr="00633FF0" w:rsidRDefault="00532643" w:rsidP="00532643">
      <w:pPr>
        <w:pStyle w:val="BodyTextMain"/>
        <w:rPr>
          <w:lang w:val="en-GB"/>
        </w:rPr>
      </w:pPr>
      <w:r w:rsidRPr="00633FF0">
        <w:rPr>
          <w:lang w:val="en-GB"/>
        </w:rPr>
        <w:t xml:space="preserve">The building industry </w:t>
      </w:r>
      <w:r w:rsidR="00404CD4" w:rsidRPr="00633FF0">
        <w:rPr>
          <w:lang w:val="en-GB"/>
        </w:rPr>
        <w:t>ha</w:t>
      </w:r>
      <w:r w:rsidR="00404CD4">
        <w:rPr>
          <w:lang w:val="en-GB"/>
        </w:rPr>
        <w:t>d</w:t>
      </w:r>
      <w:r w:rsidR="00404CD4" w:rsidRPr="00633FF0">
        <w:rPr>
          <w:lang w:val="en-GB"/>
        </w:rPr>
        <w:t xml:space="preserve"> </w:t>
      </w:r>
      <w:r w:rsidRPr="00633FF0">
        <w:rPr>
          <w:lang w:val="en-GB"/>
        </w:rPr>
        <w:t>a marginally positive outlook globally for 2018 and beyond.</w:t>
      </w:r>
      <w:r w:rsidR="00633FF0" w:rsidRPr="00633FF0">
        <w:rPr>
          <w:lang w:val="en-GB"/>
        </w:rPr>
        <w:t xml:space="preserve"> </w:t>
      </w:r>
      <w:r w:rsidRPr="00633FF0">
        <w:rPr>
          <w:lang w:val="en-GB"/>
        </w:rPr>
        <w:t xml:space="preserve">Part of the reason for </w:t>
      </w:r>
      <w:proofErr w:type="spellStart"/>
      <w:r w:rsidR="00CD671F">
        <w:rPr>
          <w:lang w:val="en-GB"/>
        </w:rPr>
        <w:t>BauZentral</w:t>
      </w:r>
      <w:proofErr w:type="spellEnd"/>
      <w:r w:rsidRPr="00633FF0">
        <w:rPr>
          <w:lang w:val="en-GB"/>
        </w:rPr>
        <w:t xml:space="preserve"> looking to expand globally </w:t>
      </w:r>
      <w:r w:rsidR="00404CD4">
        <w:rPr>
          <w:lang w:val="en-GB"/>
        </w:rPr>
        <w:t>wa</w:t>
      </w:r>
      <w:r w:rsidR="00404CD4" w:rsidRPr="00633FF0">
        <w:rPr>
          <w:lang w:val="en-GB"/>
        </w:rPr>
        <w:t xml:space="preserve">s </w:t>
      </w:r>
      <w:r w:rsidRPr="00633FF0">
        <w:rPr>
          <w:lang w:val="en-GB"/>
        </w:rPr>
        <w:t xml:space="preserve">that Europe </w:t>
      </w:r>
      <w:r w:rsidR="00404CD4" w:rsidRPr="00633FF0">
        <w:rPr>
          <w:lang w:val="en-GB"/>
        </w:rPr>
        <w:t>ha</w:t>
      </w:r>
      <w:r w:rsidR="00404CD4">
        <w:rPr>
          <w:lang w:val="en-GB"/>
        </w:rPr>
        <w:t>d</w:t>
      </w:r>
      <w:r w:rsidR="00404CD4" w:rsidRPr="00633FF0">
        <w:rPr>
          <w:lang w:val="en-GB"/>
        </w:rPr>
        <w:t xml:space="preserve"> </w:t>
      </w:r>
      <w:r w:rsidRPr="00633FF0">
        <w:rPr>
          <w:lang w:val="en-GB"/>
        </w:rPr>
        <w:t xml:space="preserve">a marginally negative growth outlook </w:t>
      </w:r>
      <w:r w:rsidR="00A63BBA">
        <w:rPr>
          <w:lang w:val="en-GB"/>
        </w:rPr>
        <w:t>as perceived by</w:t>
      </w:r>
      <w:r w:rsidR="00A63BBA" w:rsidRPr="00633FF0">
        <w:rPr>
          <w:lang w:val="en-GB"/>
        </w:rPr>
        <w:t xml:space="preserve"> </w:t>
      </w:r>
      <w:r w:rsidRPr="00633FF0">
        <w:rPr>
          <w:lang w:val="en-GB"/>
        </w:rPr>
        <w:t xml:space="preserve">the rest of the world, especially </w:t>
      </w:r>
      <w:r w:rsidR="00A63BBA">
        <w:rPr>
          <w:lang w:val="en-GB"/>
        </w:rPr>
        <w:t xml:space="preserve">by the </w:t>
      </w:r>
      <w:r w:rsidRPr="00633FF0">
        <w:rPr>
          <w:lang w:val="en-GB"/>
        </w:rPr>
        <w:t xml:space="preserve">Asia-Pacific (APAC) </w:t>
      </w:r>
      <w:r w:rsidR="00A63BBA">
        <w:rPr>
          <w:lang w:val="en-GB"/>
        </w:rPr>
        <w:t>countries</w:t>
      </w:r>
      <w:r w:rsidR="00BB1E42">
        <w:rPr>
          <w:lang w:val="en-GB"/>
        </w:rPr>
        <w:t>,</w:t>
      </w:r>
      <w:r w:rsidR="00A63BBA">
        <w:rPr>
          <w:lang w:val="en-GB"/>
        </w:rPr>
        <w:t xml:space="preserve"> which were </w:t>
      </w:r>
      <w:r w:rsidRPr="00633FF0">
        <w:rPr>
          <w:lang w:val="en-GB"/>
        </w:rPr>
        <w:t>seeing improvements with marginally positive growth. Forecasts for the industry recognize</w:t>
      </w:r>
      <w:r w:rsidR="00A63BBA">
        <w:rPr>
          <w:lang w:val="en-GB"/>
        </w:rPr>
        <w:t>d that</w:t>
      </w:r>
      <w:r w:rsidRPr="00633FF0">
        <w:rPr>
          <w:lang w:val="en-GB"/>
        </w:rPr>
        <w:t xml:space="preserve"> the return of inflation</w:t>
      </w:r>
      <w:r w:rsidR="00A63BBA">
        <w:rPr>
          <w:lang w:val="en-GB"/>
        </w:rPr>
        <w:t>,</w:t>
      </w:r>
      <w:r w:rsidRPr="00633FF0">
        <w:rPr>
          <w:lang w:val="en-GB"/>
        </w:rPr>
        <w:t xml:space="preserve"> due to increasing energy costs</w:t>
      </w:r>
      <w:r w:rsidR="00A63BBA">
        <w:rPr>
          <w:lang w:val="en-GB"/>
        </w:rPr>
        <w:t>,</w:t>
      </w:r>
      <w:r w:rsidRPr="00633FF0">
        <w:rPr>
          <w:lang w:val="en-GB"/>
        </w:rPr>
        <w:t xml:space="preserve"> </w:t>
      </w:r>
      <w:r w:rsidR="00A63BBA" w:rsidRPr="00633FF0">
        <w:rPr>
          <w:lang w:val="en-GB"/>
        </w:rPr>
        <w:t>w</w:t>
      </w:r>
      <w:r w:rsidR="00A63BBA">
        <w:rPr>
          <w:lang w:val="en-GB"/>
        </w:rPr>
        <w:t>ould</w:t>
      </w:r>
      <w:r w:rsidR="00A63BBA" w:rsidRPr="00633FF0">
        <w:rPr>
          <w:lang w:val="en-GB"/>
        </w:rPr>
        <w:t xml:space="preserve"> </w:t>
      </w:r>
      <w:r w:rsidRPr="00633FF0">
        <w:rPr>
          <w:lang w:val="en-GB"/>
        </w:rPr>
        <w:t>likely limit any further progress in margins.</w:t>
      </w:r>
      <w:r w:rsidR="00633FF0" w:rsidRPr="00633FF0">
        <w:rPr>
          <w:lang w:val="en-GB"/>
        </w:rPr>
        <w:t xml:space="preserve"> </w:t>
      </w:r>
    </w:p>
    <w:p w14:paraId="78C93D43" w14:textId="77777777" w:rsidR="00532643" w:rsidRPr="00633FF0" w:rsidRDefault="00532643" w:rsidP="00532643">
      <w:pPr>
        <w:pStyle w:val="BodyTextMain"/>
        <w:rPr>
          <w:lang w:val="en-GB"/>
        </w:rPr>
      </w:pPr>
    </w:p>
    <w:p w14:paraId="5B401D36" w14:textId="02D92265" w:rsidR="00532643" w:rsidRPr="00633FF0" w:rsidRDefault="00A63BBA" w:rsidP="00532643">
      <w:pPr>
        <w:pStyle w:val="BodyTextMain"/>
        <w:rPr>
          <w:lang w:val="en-GB"/>
        </w:rPr>
      </w:pPr>
      <w:r>
        <w:rPr>
          <w:lang w:val="en-GB"/>
        </w:rPr>
        <w:t>Many</w:t>
      </w:r>
      <w:r w:rsidR="00532643" w:rsidRPr="00633FF0">
        <w:rPr>
          <w:lang w:val="en-GB"/>
        </w:rPr>
        <w:t xml:space="preserve"> assumed that</w:t>
      </w:r>
      <w:r>
        <w:rPr>
          <w:lang w:val="en-GB"/>
        </w:rPr>
        <w:t xml:space="preserve"> over 2018 and 2019,</w:t>
      </w:r>
      <w:r w:rsidR="00532643" w:rsidRPr="00633FF0">
        <w:rPr>
          <w:lang w:val="en-GB"/>
        </w:rPr>
        <w:t xml:space="preserve"> supportive macroeconomic fundamentals </w:t>
      </w:r>
      <w:r>
        <w:rPr>
          <w:lang w:val="en-GB"/>
        </w:rPr>
        <w:t xml:space="preserve">would be observed </w:t>
      </w:r>
      <w:r w:rsidR="00532643" w:rsidRPr="00633FF0">
        <w:rPr>
          <w:lang w:val="en-GB"/>
        </w:rPr>
        <w:t>in North America and continental Europe (except the U</w:t>
      </w:r>
      <w:r>
        <w:rPr>
          <w:lang w:val="en-GB"/>
        </w:rPr>
        <w:t xml:space="preserve">nited </w:t>
      </w:r>
      <w:r w:rsidR="00532643" w:rsidRPr="00633FF0">
        <w:rPr>
          <w:lang w:val="en-GB"/>
        </w:rPr>
        <w:t>K</w:t>
      </w:r>
      <w:r>
        <w:rPr>
          <w:lang w:val="en-GB"/>
        </w:rPr>
        <w:t>ingdom,</w:t>
      </w:r>
      <w:r w:rsidR="00532643" w:rsidRPr="00633FF0">
        <w:rPr>
          <w:lang w:val="en-GB"/>
        </w:rPr>
        <w:t xml:space="preserve"> </w:t>
      </w:r>
      <w:r>
        <w:rPr>
          <w:lang w:val="en-GB"/>
        </w:rPr>
        <w:t>which was experiencing</w:t>
      </w:r>
      <w:r w:rsidR="00532643" w:rsidRPr="00633FF0">
        <w:rPr>
          <w:lang w:val="en-GB"/>
        </w:rPr>
        <w:t xml:space="preserve"> increased uncertainty due to Brexit</w:t>
      </w:r>
      <w:r w:rsidR="00BB1E42">
        <w:rPr>
          <w:lang w:val="en-GB"/>
        </w:rPr>
        <w:t>, the withdrawal of the United Kingdom from the European Union in 2020</w:t>
      </w:r>
      <w:r w:rsidR="00532643" w:rsidRPr="00633FF0">
        <w:rPr>
          <w:lang w:val="en-GB"/>
        </w:rPr>
        <w:t>). APAC</w:t>
      </w:r>
      <w:r>
        <w:rPr>
          <w:lang w:val="en-GB"/>
        </w:rPr>
        <w:t xml:space="preserve"> countries</w:t>
      </w:r>
      <w:r w:rsidR="00532643" w:rsidRPr="00633FF0">
        <w:rPr>
          <w:lang w:val="en-GB"/>
        </w:rPr>
        <w:t xml:space="preserve"> </w:t>
      </w:r>
      <w:r>
        <w:rPr>
          <w:lang w:val="en-GB"/>
        </w:rPr>
        <w:t xml:space="preserve">were forecasting </w:t>
      </w:r>
      <w:r w:rsidR="00532643" w:rsidRPr="00633FF0">
        <w:rPr>
          <w:lang w:val="en-GB"/>
        </w:rPr>
        <w:t>a mild demand recovery and price stabilization.</w:t>
      </w:r>
      <w:r w:rsidR="00633FF0" w:rsidRPr="00633FF0">
        <w:rPr>
          <w:lang w:val="en-GB"/>
        </w:rPr>
        <w:t xml:space="preserve"> </w:t>
      </w:r>
      <w:r w:rsidR="00532643" w:rsidRPr="00633FF0">
        <w:rPr>
          <w:lang w:val="en-GB"/>
        </w:rPr>
        <w:t xml:space="preserve">On the downside, risks </w:t>
      </w:r>
      <w:r>
        <w:rPr>
          <w:lang w:val="en-GB"/>
        </w:rPr>
        <w:t xml:space="preserve">were </w:t>
      </w:r>
      <w:r w:rsidR="00532643" w:rsidRPr="00633FF0">
        <w:rPr>
          <w:lang w:val="en-GB"/>
        </w:rPr>
        <w:t xml:space="preserve">posed by the relaxed financial discipline in developed markets and overcapacity and political risk in emerging markets. Weakening political cohesion in continental Europe and the possibility of a hard Brexit </w:t>
      </w:r>
      <w:r w:rsidR="00BB1E42">
        <w:rPr>
          <w:lang w:val="en-GB"/>
        </w:rPr>
        <w:t xml:space="preserve">(i.e., a sharp break in the economic relationship between the United Kingdom and the European Union) </w:t>
      </w:r>
      <w:r w:rsidR="00532643" w:rsidRPr="00633FF0">
        <w:rPr>
          <w:lang w:val="en-GB"/>
        </w:rPr>
        <w:t>could impair business sentiment in those regions.</w:t>
      </w:r>
    </w:p>
    <w:p w14:paraId="45AD93C8" w14:textId="77777777" w:rsidR="00532643" w:rsidRPr="00633FF0" w:rsidRDefault="00532643" w:rsidP="00532643">
      <w:pPr>
        <w:pStyle w:val="BodyTextMain"/>
        <w:rPr>
          <w:lang w:val="en-GB"/>
        </w:rPr>
      </w:pPr>
    </w:p>
    <w:p w14:paraId="2F0B4077" w14:textId="5F09253A" w:rsidR="00532643" w:rsidRPr="00633FF0" w:rsidRDefault="00532643" w:rsidP="00532643">
      <w:pPr>
        <w:pStyle w:val="BodyTextMain"/>
        <w:rPr>
          <w:lang w:val="en-GB"/>
        </w:rPr>
      </w:pPr>
      <w:r w:rsidRPr="00633FF0">
        <w:rPr>
          <w:lang w:val="en-GB"/>
        </w:rPr>
        <w:t xml:space="preserve">With relatively weak growth forecasted, </w:t>
      </w:r>
      <w:r w:rsidR="00A63BBA">
        <w:rPr>
          <w:lang w:val="en-GB"/>
        </w:rPr>
        <w:t>many</w:t>
      </w:r>
      <w:r w:rsidRPr="00633FF0">
        <w:rPr>
          <w:lang w:val="en-GB"/>
        </w:rPr>
        <w:t xml:space="preserve"> believed that companies </w:t>
      </w:r>
      <w:r w:rsidR="00A63BBA" w:rsidRPr="00633FF0">
        <w:rPr>
          <w:lang w:val="en-GB"/>
        </w:rPr>
        <w:t>w</w:t>
      </w:r>
      <w:r w:rsidR="00A63BBA">
        <w:rPr>
          <w:lang w:val="en-GB"/>
        </w:rPr>
        <w:t>ould</w:t>
      </w:r>
      <w:r w:rsidR="00A63BBA" w:rsidRPr="00633FF0">
        <w:rPr>
          <w:lang w:val="en-GB"/>
        </w:rPr>
        <w:t xml:space="preserve"> </w:t>
      </w:r>
      <w:r w:rsidRPr="00633FF0">
        <w:rPr>
          <w:lang w:val="en-GB"/>
        </w:rPr>
        <w:t>continue to use their cash flow to undertake growth opportunities.</w:t>
      </w:r>
      <w:r w:rsidR="00633FF0" w:rsidRPr="00633FF0">
        <w:rPr>
          <w:lang w:val="en-GB"/>
        </w:rPr>
        <w:t xml:space="preserve"> </w:t>
      </w:r>
      <w:r w:rsidRPr="00633FF0">
        <w:rPr>
          <w:lang w:val="en-GB"/>
        </w:rPr>
        <w:t xml:space="preserve">The forecast for continued market consolidation in developed markets </w:t>
      </w:r>
      <w:r w:rsidR="00A63BBA" w:rsidRPr="00633FF0">
        <w:rPr>
          <w:lang w:val="en-GB"/>
        </w:rPr>
        <w:t>w</w:t>
      </w:r>
      <w:r w:rsidR="00A63BBA">
        <w:rPr>
          <w:lang w:val="en-GB"/>
        </w:rPr>
        <w:t>ould</w:t>
      </w:r>
      <w:r w:rsidR="00A63BBA" w:rsidRPr="00633FF0">
        <w:rPr>
          <w:lang w:val="en-GB"/>
        </w:rPr>
        <w:t xml:space="preserve"> </w:t>
      </w:r>
      <w:r w:rsidRPr="00633FF0">
        <w:rPr>
          <w:lang w:val="en-GB"/>
        </w:rPr>
        <w:t>mainly involve small, regional manufacturers and distributors.</w:t>
      </w:r>
      <w:r w:rsidR="00633FF0" w:rsidRPr="00633FF0">
        <w:rPr>
          <w:lang w:val="en-GB"/>
        </w:rPr>
        <w:t xml:space="preserve"> </w:t>
      </w:r>
      <w:proofErr w:type="spellStart"/>
      <w:r w:rsidR="00CD671F">
        <w:rPr>
          <w:lang w:val="en-GB"/>
        </w:rPr>
        <w:t>BauZentral</w:t>
      </w:r>
      <w:r w:rsidR="00A63BBA">
        <w:rPr>
          <w:lang w:val="en-GB"/>
        </w:rPr>
        <w:t>’s</w:t>
      </w:r>
      <w:proofErr w:type="spellEnd"/>
      <w:r w:rsidR="00A63BBA">
        <w:rPr>
          <w:lang w:val="en-GB"/>
        </w:rPr>
        <w:t xml:space="preserve"> growth strategy</w:t>
      </w:r>
      <w:r w:rsidRPr="00633FF0">
        <w:rPr>
          <w:lang w:val="en-GB"/>
        </w:rPr>
        <w:t xml:space="preserve"> </w:t>
      </w:r>
      <w:r w:rsidR="00A63BBA" w:rsidRPr="00633FF0">
        <w:rPr>
          <w:lang w:val="en-GB"/>
        </w:rPr>
        <w:t>follow</w:t>
      </w:r>
      <w:r w:rsidR="00A63BBA">
        <w:rPr>
          <w:lang w:val="en-GB"/>
        </w:rPr>
        <w:t>ed</w:t>
      </w:r>
      <w:r w:rsidR="00A63BBA" w:rsidRPr="00633FF0">
        <w:rPr>
          <w:lang w:val="en-GB"/>
        </w:rPr>
        <w:t xml:space="preserve"> </w:t>
      </w:r>
      <w:r w:rsidRPr="00633FF0">
        <w:rPr>
          <w:lang w:val="en-GB"/>
        </w:rPr>
        <w:t>this pattern</w:t>
      </w:r>
      <w:r w:rsidR="00A63BBA">
        <w:rPr>
          <w:lang w:val="en-GB"/>
        </w:rPr>
        <w:t>.</w:t>
      </w:r>
      <w:r w:rsidRPr="00633FF0">
        <w:rPr>
          <w:rStyle w:val="FootnoteReference"/>
          <w:lang w:val="en-GB"/>
        </w:rPr>
        <w:footnoteReference w:id="1"/>
      </w:r>
      <w:r w:rsidR="00633FF0" w:rsidRPr="00633FF0">
        <w:rPr>
          <w:lang w:val="en-GB"/>
        </w:rPr>
        <w:t xml:space="preserve"> </w:t>
      </w:r>
    </w:p>
    <w:p w14:paraId="5DB4E2C8" w14:textId="77777777" w:rsidR="00532643" w:rsidRPr="002440C5" w:rsidRDefault="00532643" w:rsidP="00532643">
      <w:pPr>
        <w:pStyle w:val="BodyTextMain"/>
        <w:rPr>
          <w:sz w:val="14"/>
          <w:szCs w:val="14"/>
          <w:lang w:val="en-GB"/>
        </w:rPr>
      </w:pPr>
    </w:p>
    <w:p w14:paraId="7F6CEC6B" w14:textId="77777777" w:rsidR="00532643" w:rsidRPr="002440C5" w:rsidRDefault="00532643" w:rsidP="00532643">
      <w:pPr>
        <w:pStyle w:val="BodyTextMain"/>
        <w:rPr>
          <w:sz w:val="14"/>
          <w:szCs w:val="14"/>
          <w:lang w:val="en-GB"/>
        </w:rPr>
      </w:pPr>
    </w:p>
    <w:p w14:paraId="10B6B5F1" w14:textId="786F8684" w:rsidR="00532643" w:rsidRPr="00633FF0" w:rsidRDefault="00CD671F" w:rsidP="00532643">
      <w:pPr>
        <w:pStyle w:val="Casehead1"/>
        <w:rPr>
          <w:lang w:val="en-GB"/>
        </w:rPr>
      </w:pPr>
      <w:r>
        <w:rPr>
          <w:lang w:val="en-GB"/>
        </w:rPr>
        <w:t>BauZentral</w:t>
      </w:r>
    </w:p>
    <w:p w14:paraId="4C6E95C6" w14:textId="77777777" w:rsidR="00532643" w:rsidRPr="002440C5" w:rsidRDefault="00532643" w:rsidP="002440C5">
      <w:pPr>
        <w:pStyle w:val="BodyTextMain"/>
        <w:rPr>
          <w:sz w:val="14"/>
          <w:szCs w:val="14"/>
          <w:lang w:val="en-GB"/>
        </w:rPr>
      </w:pPr>
    </w:p>
    <w:p w14:paraId="4974A1C0" w14:textId="7C17DF1A" w:rsidR="00532643" w:rsidRPr="00633FF0" w:rsidRDefault="00532643" w:rsidP="00532643">
      <w:pPr>
        <w:pStyle w:val="BodyTextMain"/>
        <w:rPr>
          <w:lang w:val="en-GB"/>
        </w:rPr>
      </w:pPr>
      <w:r w:rsidRPr="00633FF0">
        <w:rPr>
          <w:lang w:val="en-GB"/>
        </w:rPr>
        <w:t>The company started as a small electrical company in Zug, Switzerland</w:t>
      </w:r>
      <w:r w:rsidR="005A4A21">
        <w:rPr>
          <w:lang w:val="en-GB"/>
        </w:rPr>
        <w:t>,</w:t>
      </w:r>
      <w:r w:rsidRPr="00633FF0">
        <w:rPr>
          <w:lang w:val="en-GB"/>
        </w:rPr>
        <w:t xml:space="preserve"> in 1952.</w:t>
      </w:r>
      <w:r w:rsidR="00633FF0" w:rsidRPr="00633FF0">
        <w:rPr>
          <w:lang w:val="en-GB"/>
        </w:rPr>
        <w:t xml:space="preserve"> </w:t>
      </w:r>
      <w:r w:rsidRPr="00633FF0">
        <w:rPr>
          <w:lang w:val="en-GB"/>
        </w:rPr>
        <w:t>Since that time</w:t>
      </w:r>
      <w:r w:rsidR="005A4A21">
        <w:rPr>
          <w:lang w:val="en-GB"/>
        </w:rPr>
        <w:t>,</w:t>
      </w:r>
      <w:r w:rsidRPr="00633FF0">
        <w:rPr>
          <w:lang w:val="en-GB"/>
        </w:rPr>
        <w:t xml:space="preserve"> it </w:t>
      </w:r>
      <w:r w:rsidR="005A4A21" w:rsidRPr="00633FF0">
        <w:rPr>
          <w:lang w:val="en-GB"/>
        </w:rPr>
        <w:t>h</w:t>
      </w:r>
      <w:r w:rsidR="005A4A21">
        <w:rPr>
          <w:lang w:val="en-GB"/>
        </w:rPr>
        <w:t>ad</w:t>
      </w:r>
      <w:r w:rsidR="005A4A21" w:rsidRPr="00633FF0">
        <w:rPr>
          <w:lang w:val="en-GB"/>
        </w:rPr>
        <w:t xml:space="preserve"> </w:t>
      </w:r>
      <w:r w:rsidRPr="00633FF0">
        <w:rPr>
          <w:lang w:val="en-GB"/>
        </w:rPr>
        <w:t>grown to become a multinational enterprise with its headquarters in Switzerland but</w:t>
      </w:r>
      <w:r w:rsidR="00A97DF5">
        <w:rPr>
          <w:lang w:val="en-GB"/>
        </w:rPr>
        <w:t xml:space="preserve"> with</w:t>
      </w:r>
      <w:r w:rsidRPr="00633FF0">
        <w:rPr>
          <w:lang w:val="en-GB"/>
        </w:rPr>
        <w:t xml:space="preserve"> production facilities and sales offices in various countries. </w:t>
      </w:r>
      <w:proofErr w:type="spellStart"/>
      <w:r w:rsidR="00CD671F">
        <w:rPr>
          <w:lang w:val="en-GB"/>
        </w:rPr>
        <w:t>BauZentral</w:t>
      </w:r>
      <w:r w:rsidRPr="00633FF0">
        <w:rPr>
          <w:lang w:val="en-GB"/>
        </w:rPr>
        <w:t>’s</w:t>
      </w:r>
      <w:proofErr w:type="spellEnd"/>
      <w:r w:rsidRPr="00633FF0">
        <w:rPr>
          <w:lang w:val="en-GB"/>
        </w:rPr>
        <w:t xml:space="preserve"> three product lines </w:t>
      </w:r>
      <w:r w:rsidR="005A4A21">
        <w:rPr>
          <w:lang w:val="en-GB"/>
        </w:rPr>
        <w:t>we</w:t>
      </w:r>
      <w:r w:rsidR="005A4A21" w:rsidRPr="00633FF0">
        <w:rPr>
          <w:lang w:val="en-GB"/>
        </w:rPr>
        <w:t xml:space="preserve">re </w:t>
      </w:r>
      <w:r w:rsidRPr="00633FF0">
        <w:rPr>
          <w:lang w:val="en-GB"/>
        </w:rPr>
        <w:t>electrical systems, plumbing systems</w:t>
      </w:r>
      <w:r w:rsidR="005A4A21">
        <w:rPr>
          <w:lang w:val="en-GB"/>
        </w:rPr>
        <w:t>,</w:t>
      </w:r>
      <w:r w:rsidRPr="00633FF0">
        <w:rPr>
          <w:lang w:val="en-GB"/>
        </w:rPr>
        <w:t xml:space="preserve"> and smart security and energy solutions.</w:t>
      </w:r>
      <w:r w:rsidR="00633FF0" w:rsidRPr="00633FF0">
        <w:rPr>
          <w:lang w:val="en-GB"/>
        </w:rPr>
        <w:t xml:space="preserve"> </w:t>
      </w:r>
      <w:proofErr w:type="spellStart"/>
      <w:r w:rsidR="00CD671F">
        <w:rPr>
          <w:lang w:val="en-GB"/>
        </w:rPr>
        <w:t>BauZentral</w:t>
      </w:r>
      <w:proofErr w:type="spellEnd"/>
      <w:r w:rsidRPr="00633FF0">
        <w:rPr>
          <w:lang w:val="en-GB"/>
        </w:rPr>
        <w:t xml:space="preserve"> products </w:t>
      </w:r>
      <w:r w:rsidR="005A4A21">
        <w:rPr>
          <w:lang w:val="en-GB"/>
        </w:rPr>
        <w:t>we</w:t>
      </w:r>
      <w:r w:rsidR="005A4A21" w:rsidRPr="00633FF0">
        <w:rPr>
          <w:lang w:val="en-GB"/>
        </w:rPr>
        <w:t xml:space="preserve">re </w:t>
      </w:r>
      <w:r w:rsidRPr="00633FF0">
        <w:rPr>
          <w:lang w:val="en-GB"/>
        </w:rPr>
        <w:t>used in Europe, North America, Africa, Asia</w:t>
      </w:r>
      <w:r w:rsidR="005A4A21">
        <w:rPr>
          <w:lang w:val="en-GB"/>
        </w:rPr>
        <w:t>,</w:t>
      </w:r>
      <w:r w:rsidRPr="00633FF0">
        <w:rPr>
          <w:lang w:val="en-GB"/>
        </w:rPr>
        <w:t xml:space="preserve"> and Australia.</w:t>
      </w:r>
      <w:r w:rsidR="00633FF0" w:rsidRPr="00633FF0">
        <w:rPr>
          <w:lang w:val="en-GB"/>
        </w:rPr>
        <w:t xml:space="preserve"> </w:t>
      </w:r>
    </w:p>
    <w:p w14:paraId="1A6E0DE8" w14:textId="77777777" w:rsidR="00532643" w:rsidRPr="002440C5" w:rsidRDefault="00532643" w:rsidP="00532643">
      <w:pPr>
        <w:pStyle w:val="BodyTextMain"/>
        <w:rPr>
          <w:sz w:val="14"/>
          <w:szCs w:val="14"/>
          <w:lang w:val="en-GB"/>
        </w:rPr>
      </w:pPr>
    </w:p>
    <w:p w14:paraId="0B1837E1" w14:textId="66EED7DD" w:rsidR="00532643" w:rsidRPr="00633FF0" w:rsidRDefault="00CD671F" w:rsidP="00532643">
      <w:pPr>
        <w:pStyle w:val="BodyTextMain"/>
        <w:rPr>
          <w:lang w:val="en-GB"/>
        </w:rPr>
      </w:pPr>
      <w:proofErr w:type="spellStart"/>
      <w:r>
        <w:rPr>
          <w:lang w:val="en-GB"/>
        </w:rPr>
        <w:t>BauZentral</w:t>
      </w:r>
      <w:proofErr w:type="spellEnd"/>
      <w:r w:rsidR="00532643" w:rsidRPr="00633FF0">
        <w:rPr>
          <w:lang w:val="en-GB"/>
        </w:rPr>
        <w:t xml:space="preserve"> </w:t>
      </w:r>
      <w:r w:rsidR="005A4A21" w:rsidRPr="00633FF0">
        <w:rPr>
          <w:lang w:val="en-GB"/>
        </w:rPr>
        <w:t>ha</w:t>
      </w:r>
      <w:r w:rsidR="005A4A21">
        <w:rPr>
          <w:lang w:val="en-GB"/>
        </w:rPr>
        <w:t>d</w:t>
      </w:r>
      <w:r w:rsidR="005A4A21" w:rsidRPr="00633FF0">
        <w:rPr>
          <w:lang w:val="en-GB"/>
        </w:rPr>
        <w:t xml:space="preserve"> </w:t>
      </w:r>
      <w:r w:rsidR="00532643" w:rsidRPr="00633FF0">
        <w:rPr>
          <w:lang w:val="en-GB"/>
        </w:rPr>
        <w:t xml:space="preserve">an established position and reputation in Europe. Despite the strong position in </w:t>
      </w:r>
      <w:r w:rsidR="005A4A21">
        <w:rPr>
          <w:lang w:val="en-GB"/>
        </w:rPr>
        <w:t>its</w:t>
      </w:r>
      <w:r w:rsidR="005A4A21" w:rsidRPr="00633FF0">
        <w:rPr>
          <w:lang w:val="en-GB"/>
        </w:rPr>
        <w:t xml:space="preserve"> </w:t>
      </w:r>
      <w:r w:rsidR="00532643" w:rsidRPr="00633FF0">
        <w:rPr>
          <w:lang w:val="en-GB"/>
        </w:rPr>
        <w:t xml:space="preserve">domestic market, </w:t>
      </w:r>
      <w:r w:rsidR="005A4A21">
        <w:rPr>
          <w:lang w:val="en-GB"/>
        </w:rPr>
        <w:t>the company’s</w:t>
      </w:r>
      <w:r w:rsidR="005A4A21" w:rsidRPr="00633FF0">
        <w:rPr>
          <w:lang w:val="en-GB"/>
        </w:rPr>
        <w:t xml:space="preserve"> </w:t>
      </w:r>
      <w:r w:rsidR="00532643" w:rsidRPr="00633FF0">
        <w:rPr>
          <w:lang w:val="en-GB"/>
        </w:rPr>
        <w:t xml:space="preserve">strategy </w:t>
      </w:r>
      <w:r w:rsidR="005A4A21">
        <w:rPr>
          <w:lang w:val="en-GB"/>
        </w:rPr>
        <w:t>wa</w:t>
      </w:r>
      <w:r w:rsidR="005A4A21" w:rsidRPr="00633FF0">
        <w:rPr>
          <w:lang w:val="en-GB"/>
        </w:rPr>
        <w:t xml:space="preserve">s </w:t>
      </w:r>
      <w:r w:rsidR="00532643" w:rsidRPr="00633FF0">
        <w:rPr>
          <w:lang w:val="en-GB"/>
        </w:rPr>
        <w:t xml:space="preserve">to increase turnover and market share as much as possible in each market in which it </w:t>
      </w:r>
      <w:r w:rsidR="005A4A21" w:rsidRPr="00633FF0">
        <w:rPr>
          <w:lang w:val="en-GB"/>
        </w:rPr>
        <w:t>operat</w:t>
      </w:r>
      <w:r w:rsidR="005A4A21">
        <w:rPr>
          <w:lang w:val="en-GB"/>
        </w:rPr>
        <w:t>ed</w:t>
      </w:r>
      <w:r w:rsidR="00532643" w:rsidRPr="00633FF0">
        <w:rPr>
          <w:lang w:val="en-GB"/>
        </w:rPr>
        <w:t xml:space="preserve">. The </w:t>
      </w:r>
      <w:r w:rsidR="005A4A21">
        <w:rPr>
          <w:lang w:val="en-GB"/>
        </w:rPr>
        <w:t xml:space="preserve">company’s </w:t>
      </w:r>
      <w:r w:rsidR="00532643" w:rsidRPr="00633FF0">
        <w:rPr>
          <w:lang w:val="en-GB"/>
        </w:rPr>
        <w:t xml:space="preserve">global focus </w:t>
      </w:r>
      <w:r w:rsidR="005A4A21">
        <w:rPr>
          <w:lang w:val="en-GB"/>
        </w:rPr>
        <w:t>wa</w:t>
      </w:r>
      <w:r w:rsidR="005A4A21" w:rsidRPr="00633FF0">
        <w:rPr>
          <w:lang w:val="en-GB"/>
        </w:rPr>
        <w:t xml:space="preserve">s </w:t>
      </w:r>
      <w:r w:rsidR="00532643" w:rsidRPr="00633FF0">
        <w:rPr>
          <w:lang w:val="en-GB"/>
        </w:rPr>
        <w:t xml:space="preserve">highlighted by the </w:t>
      </w:r>
      <w:proofErr w:type="spellStart"/>
      <w:r>
        <w:rPr>
          <w:lang w:val="en-GB"/>
        </w:rPr>
        <w:t>BauZentral</w:t>
      </w:r>
      <w:proofErr w:type="spellEnd"/>
      <w:r w:rsidR="00532643" w:rsidRPr="00633FF0">
        <w:rPr>
          <w:lang w:val="en-GB"/>
        </w:rPr>
        <w:t xml:space="preserve"> Group having sales offices and production facilities in various countries.</w:t>
      </w:r>
      <w:r w:rsidR="00633FF0" w:rsidRPr="00633FF0">
        <w:rPr>
          <w:lang w:val="en-GB"/>
        </w:rPr>
        <w:t xml:space="preserve"> </w:t>
      </w:r>
      <w:r w:rsidR="00532643" w:rsidRPr="00633FF0">
        <w:rPr>
          <w:lang w:val="en-GB"/>
        </w:rPr>
        <w:t xml:space="preserve">Each production facility </w:t>
      </w:r>
      <w:r w:rsidR="005A4A21" w:rsidRPr="00633FF0">
        <w:rPr>
          <w:lang w:val="en-GB"/>
        </w:rPr>
        <w:t>ha</w:t>
      </w:r>
      <w:r w:rsidR="005A4A21">
        <w:rPr>
          <w:lang w:val="en-GB"/>
        </w:rPr>
        <w:t>d</w:t>
      </w:r>
      <w:r w:rsidR="005A4A21" w:rsidRPr="00633FF0">
        <w:rPr>
          <w:lang w:val="en-GB"/>
        </w:rPr>
        <w:t xml:space="preserve"> </w:t>
      </w:r>
      <w:r w:rsidR="00532643" w:rsidRPr="00633FF0">
        <w:rPr>
          <w:lang w:val="en-GB"/>
        </w:rPr>
        <w:t>its own specialty</w:t>
      </w:r>
      <w:r w:rsidR="005A4A21">
        <w:rPr>
          <w:lang w:val="en-GB"/>
        </w:rPr>
        <w:t>,</w:t>
      </w:r>
      <w:r w:rsidR="00633FF0" w:rsidRPr="00633FF0">
        <w:rPr>
          <w:lang w:val="en-GB"/>
        </w:rPr>
        <w:t xml:space="preserve"> </w:t>
      </w:r>
      <w:r w:rsidR="005A4A21">
        <w:rPr>
          <w:lang w:val="en-GB"/>
        </w:rPr>
        <w:t>which</w:t>
      </w:r>
      <w:r w:rsidR="00532643" w:rsidRPr="00633FF0">
        <w:rPr>
          <w:lang w:val="en-GB"/>
        </w:rPr>
        <w:t xml:space="preserve"> allowed </w:t>
      </w:r>
      <w:proofErr w:type="spellStart"/>
      <w:r>
        <w:rPr>
          <w:lang w:val="en-GB"/>
        </w:rPr>
        <w:t>BauZentral</w:t>
      </w:r>
      <w:proofErr w:type="spellEnd"/>
      <w:r w:rsidR="00532643" w:rsidRPr="00633FF0">
        <w:rPr>
          <w:lang w:val="en-GB"/>
        </w:rPr>
        <w:t xml:space="preserve"> to expand its product offerings globally using products manufactured in the most efficient manner at its different facilities.</w:t>
      </w:r>
      <w:r w:rsidR="00633FF0" w:rsidRPr="00633FF0">
        <w:rPr>
          <w:lang w:val="en-GB"/>
        </w:rPr>
        <w:t xml:space="preserve"> </w:t>
      </w:r>
      <w:r w:rsidR="00532643" w:rsidRPr="00633FF0">
        <w:rPr>
          <w:lang w:val="en-GB"/>
        </w:rPr>
        <w:t xml:space="preserve">From its headquarters in Switzerland, </w:t>
      </w:r>
      <w:proofErr w:type="spellStart"/>
      <w:r>
        <w:rPr>
          <w:lang w:val="en-GB"/>
        </w:rPr>
        <w:t>BauZentral</w:t>
      </w:r>
      <w:proofErr w:type="spellEnd"/>
      <w:r w:rsidR="00532643" w:rsidRPr="00633FF0">
        <w:rPr>
          <w:lang w:val="en-GB"/>
        </w:rPr>
        <w:t xml:space="preserve"> </w:t>
      </w:r>
      <w:r w:rsidR="005A4A21" w:rsidRPr="00633FF0">
        <w:rPr>
          <w:lang w:val="en-GB"/>
        </w:rPr>
        <w:t>manage</w:t>
      </w:r>
      <w:r w:rsidR="005A4A21">
        <w:rPr>
          <w:lang w:val="en-GB"/>
        </w:rPr>
        <w:t>d</w:t>
      </w:r>
      <w:r w:rsidR="005A4A21" w:rsidRPr="00633FF0">
        <w:rPr>
          <w:lang w:val="en-GB"/>
        </w:rPr>
        <w:t xml:space="preserve"> </w:t>
      </w:r>
      <w:r w:rsidR="00532643" w:rsidRPr="00633FF0">
        <w:rPr>
          <w:lang w:val="en-GB"/>
        </w:rPr>
        <w:t>the entire process</w:t>
      </w:r>
      <w:r w:rsidR="005A4A21">
        <w:rPr>
          <w:lang w:val="en-GB"/>
        </w:rPr>
        <w:t>,</w:t>
      </w:r>
      <w:r w:rsidR="00532643" w:rsidRPr="00633FF0">
        <w:rPr>
          <w:lang w:val="en-GB"/>
        </w:rPr>
        <w:t xml:space="preserve"> from product development to manufacturing to sales.</w:t>
      </w:r>
    </w:p>
    <w:p w14:paraId="3B2467DD" w14:textId="77777777" w:rsidR="00532643" w:rsidRPr="002440C5" w:rsidRDefault="00532643" w:rsidP="00532643">
      <w:pPr>
        <w:pStyle w:val="BodyTextMain"/>
        <w:rPr>
          <w:sz w:val="14"/>
          <w:szCs w:val="14"/>
          <w:lang w:val="en-GB"/>
        </w:rPr>
      </w:pPr>
    </w:p>
    <w:p w14:paraId="7EB15ACE" w14:textId="046453CD" w:rsidR="00532643" w:rsidRPr="00633FF0" w:rsidRDefault="00532643" w:rsidP="00532643">
      <w:pPr>
        <w:pStyle w:val="BodyTextMain"/>
        <w:rPr>
          <w:lang w:val="en-GB"/>
        </w:rPr>
      </w:pPr>
      <w:r w:rsidRPr="00633FF0">
        <w:rPr>
          <w:lang w:val="en-GB"/>
        </w:rPr>
        <w:t xml:space="preserve">To succeed with this business model, </w:t>
      </w:r>
      <w:proofErr w:type="spellStart"/>
      <w:r w:rsidR="00CD671F">
        <w:rPr>
          <w:lang w:val="en-GB"/>
        </w:rPr>
        <w:t>BauZentral</w:t>
      </w:r>
      <w:proofErr w:type="spellEnd"/>
      <w:r w:rsidRPr="00633FF0">
        <w:rPr>
          <w:lang w:val="en-GB"/>
        </w:rPr>
        <w:t xml:space="preserve"> develop</w:t>
      </w:r>
      <w:r w:rsidR="005A4A21">
        <w:rPr>
          <w:lang w:val="en-GB"/>
        </w:rPr>
        <w:t>ed</w:t>
      </w:r>
      <w:r w:rsidRPr="00633FF0">
        <w:rPr>
          <w:lang w:val="en-GB"/>
        </w:rPr>
        <w:t xml:space="preserve"> a highly engaged team who </w:t>
      </w:r>
      <w:r w:rsidR="005A4A21">
        <w:rPr>
          <w:lang w:val="en-GB"/>
        </w:rPr>
        <w:t>we</w:t>
      </w:r>
      <w:r w:rsidR="005A4A21" w:rsidRPr="00633FF0">
        <w:rPr>
          <w:lang w:val="en-GB"/>
        </w:rPr>
        <w:t xml:space="preserve">re </w:t>
      </w:r>
      <w:r w:rsidRPr="00633FF0">
        <w:rPr>
          <w:lang w:val="en-GB"/>
        </w:rPr>
        <w:t xml:space="preserve">all ambassadors of the </w:t>
      </w:r>
      <w:proofErr w:type="spellStart"/>
      <w:r w:rsidR="00CD671F">
        <w:rPr>
          <w:lang w:val="en-GB"/>
        </w:rPr>
        <w:t>BauZentral</w:t>
      </w:r>
      <w:proofErr w:type="spellEnd"/>
      <w:r w:rsidRPr="00633FF0">
        <w:rPr>
          <w:lang w:val="en-GB"/>
        </w:rPr>
        <w:t xml:space="preserve"> brand and work</w:t>
      </w:r>
      <w:r w:rsidR="005A4A21">
        <w:rPr>
          <w:lang w:val="en-GB"/>
        </w:rPr>
        <w:t>ed</w:t>
      </w:r>
      <w:r w:rsidRPr="00633FF0">
        <w:rPr>
          <w:lang w:val="en-GB"/>
        </w:rPr>
        <w:t xml:space="preserve"> to sell its products globally</w:t>
      </w:r>
      <w:r w:rsidR="005A4A21">
        <w:rPr>
          <w:lang w:val="en-GB"/>
        </w:rPr>
        <w:t>,</w:t>
      </w:r>
      <w:r w:rsidRPr="00633FF0">
        <w:rPr>
          <w:lang w:val="en-GB"/>
        </w:rPr>
        <w:t xml:space="preserve"> not just in the home market where they were originally developed.</w:t>
      </w:r>
      <w:r w:rsidR="00633FF0" w:rsidRPr="00633FF0">
        <w:rPr>
          <w:lang w:val="en-GB"/>
        </w:rPr>
        <w:t xml:space="preserve"> </w:t>
      </w:r>
      <w:r w:rsidRPr="00633FF0">
        <w:rPr>
          <w:lang w:val="en-GB"/>
        </w:rPr>
        <w:t xml:space="preserve">Although the company originally focused on production, it </w:t>
      </w:r>
      <w:r w:rsidR="005A4A21">
        <w:rPr>
          <w:lang w:val="en-GB"/>
        </w:rPr>
        <w:t>wa</w:t>
      </w:r>
      <w:r w:rsidR="005A4A21" w:rsidRPr="00633FF0">
        <w:rPr>
          <w:lang w:val="en-GB"/>
        </w:rPr>
        <w:t xml:space="preserve">s </w:t>
      </w:r>
      <w:r w:rsidRPr="00633FF0">
        <w:rPr>
          <w:lang w:val="en-GB"/>
        </w:rPr>
        <w:t xml:space="preserve">now more actively </w:t>
      </w:r>
      <w:r w:rsidR="00C15E7E" w:rsidRPr="00633FF0">
        <w:rPr>
          <w:lang w:val="en-GB"/>
        </w:rPr>
        <w:t>focus</w:t>
      </w:r>
      <w:r w:rsidR="00C15E7E">
        <w:rPr>
          <w:lang w:val="en-GB"/>
        </w:rPr>
        <w:t>ed</w:t>
      </w:r>
      <w:r w:rsidR="00C15E7E" w:rsidRPr="00633FF0">
        <w:rPr>
          <w:lang w:val="en-GB"/>
        </w:rPr>
        <w:t xml:space="preserve"> </w:t>
      </w:r>
      <w:r w:rsidR="005A4A21">
        <w:rPr>
          <w:lang w:val="en-GB"/>
        </w:rPr>
        <w:t>on</w:t>
      </w:r>
      <w:r w:rsidR="005A4A21" w:rsidRPr="00633FF0">
        <w:rPr>
          <w:lang w:val="en-GB"/>
        </w:rPr>
        <w:t xml:space="preserve"> </w:t>
      </w:r>
      <w:r w:rsidRPr="00633FF0">
        <w:rPr>
          <w:lang w:val="en-GB"/>
        </w:rPr>
        <w:t>improving its sales and marketing to take advantage of its newly acquired and growing production expertise.</w:t>
      </w:r>
      <w:r w:rsidR="00633FF0" w:rsidRPr="00633FF0">
        <w:rPr>
          <w:lang w:val="en-GB"/>
        </w:rPr>
        <w:t xml:space="preserve"> </w:t>
      </w:r>
      <w:r w:rsidRPr="00633FF0">
        <w:rPr>
          <w:lang w:val="en-GB"/>
        </w:rPr>
        <w:t xml:space="preserve">As the size of the organization increased, it </w:t>
      </w:r>
      <w:r w:rsidR="005A4A21" w:rsidRPr="00633FF0">
        <w:rPr>
          <w:lang w:val="en-GB"/>
        </w:rPr>
        <w:t>bec</w:t>
      </w:r>
      <w:r w:rsidR="005A4A21">
        <w:rPr>
          <w:lang w:val="en-GB"/>
        </w:rPr>
        <w:t>a</w:t>
      </w:r>
      <w:r w:rsidR="005A4A21" w:rsidRPr="00633FF0">
        <w:rPr>
          <w:lang w:val="en-GB"/>
        </w:rPr>
        <w:t xml:space="preserve">me </w:t>
      </w:r>
      <w:r w:rsidRPr="00633FF0">
        <w:rPr>
          <w:lang w:val="en-GB"/>
        </w:rPr>
        <w:t>more difficult to integrate the processes and procedures.</w:t>
      </w:r>
      <w:r w:rsidR="00633FF0" w:rsidRPr="00633FF0">
        <w:rPr>
          <w:lang w:val="en-GB"/>
        </w:rPr>
        <w:t xml:space="preserve"> </w:t>
      </w:r>
      <w:r w:rsidRPr="00633FF0">
        <w:rPr>
          <w:lang w:val="en-GB"/>
        </w:rPr>
        <w:t xml:space="preserve">The challenge facing Pieter </w:t>
      </w:r>
      <w:r w:rsidR="005A4A21">
        <w:rPr>
          <w:lang w:val="en-GB"/>
        </w:rPr>
        <w:t>w</w:t>
      </w:r>
      <w:r w:rsidR="00C15E7E">
        <w:rPr>
          <w:lang w:val="en-GB"/>
        </w:rPr>
        <w:t>a</w:t>
      </w:r>
      <w:r w:rsidR="005A4A21" w:rsidRPr="00633FF0">
        <w:rPr>
          <w:lang w:val="en-GB"/>
        </w:rPr>
        <w:t xml:space="preserve">s </w:t>
      </w:r>
      <w:r w:rsidRPr="00633FF0">
        <w:rPr>
          <w:lang w:val="en-GB"/>
        </w:rPr>
        <w:t xml:space="preserve">to </w:t>
      </w:r>
      <w:r w:rsidR="005A4A21">
        <w:rPr>
          <w:lang w:val="en-GB"/>
        </w:rPr>
        <w:t>determine</w:t>
      </w:r>
      <w:r w:rsidRPr="00633FF0">
        <w:rPr>
          <w:lang w:val="en-GB"/>
        </w:rPr>
        <w:t xml:space="preserve"> how to keep the different teams acting in the best interests of their local customers while </w:t>
      </w:r>
      <w:r w:rsidR="005A4A21">
        <w:rPr>
          <w:lang w:val="en-GB"/>
        </w:rPr>
        <w:t>maintain</w:t>
      </w:r>
      <w:r w:rsidR="005A4A21" w:rsidRPr="00633FF0">
        <w:rPr>
          <w:lang w:val="en-GB"/>
        </w:rPr>
        <w:t xml:space="preserve">ing </w:t>
      </w:r>
      <w:r w:rsidRPr="00633FF0">
        <w:rPr>
          <w:lang w:val="en-GB"/>
        </w:rPr>
        <w:t xml:space="preserve">the company’s global focus and thus </w:t>
      </w:r>
      <w:r w:rsidR="00C15E7E">
        <w:rPr>
          <w:lang w:val="en-GB"/>
        </w:rPr>
        <w:t xml:space="preserve">considering </w:t>
      </w:r>
      <w:r w:rsidRPr="00633FF0">
        <w:rPr>
          <w:lang w:val="en-GB"/>
        </w:rPr>
        <w:t xml:space="preserve">how </w:t>
      </w:r>
      <w:r w:rsidR="005A4A21">
        <w:rPr>
          <w:lang w:val="en-GB"/>
        </w:rPr>
        <w:t>its</w:t>
      </w:r>
      <w:r w:rsidR="005A4A21" w:rsidRPr="00633FF0">
        <w:rPr>
          <w:lang w:val="en-GB"/>
        </w:rPr>
        <w:t xml:space="preserve"> </w:t>
      </w:r>
      <w:r w:rsidRPr="00633FF0">
        <w:rPr>
          <w:lang w:val="en-GB"/>
        </w:rPr>
        <w:t>decisions impact</w:t>
      </w:r>
      <w:r w:rsidR="005A4A21">
        <w:rPr>
          <w:lang w:val="en-GB"/>
        </w:rPr>
        <w:t>ed</w:t>
      </w:r>
      <w:r w:rsidRPr="00633FF0">
        <w:rPr>
          <w:lang w:val="en-GB"/>
        </w:rPr>
        <w:t xml:space="preserve"> both the local market and the global firm (i.e., </w:t>
      </w:r>
      <w:proofErr w:type="spellStart"/>
      <w:r w:rsidR="00CD671F">
        <w:rPr>
          <w:lang w:val="en-GB"/>
        </w:rPr>
        <w:t>BauZentral</w:t>
      </w:r>
      <w:proofErr w:type="spellEnd"/>
      <w:r w:rsidR="005A4A21">
        <w:rPr>
          <w:lang w:val="en-GB"/>
        </w:rPr>
        <w:t xml:space="preserve"> needed </w:t>
      </w:r>
      <w:r w:rsidRPr="00633FF0">
        <w:rPr>
          <w:lang w:val="en-GB"/>
        </w:rPr>
        <w:t>to think globally and act locally</w:t>
      </w:r>
      <w:r w:rsidR="00C77C49">
        <w:rPr>
          <w:lang w:val="en-GB"/>
        </w:rPr>
        <w:t>,</w:t>
      </w:r>
      <w:r w:rsidRPr="00633FF0">
        <w:rPr>
          <w:lang w:val="en-GB"/>
        </w:rPr>
        <w:t xml:space="preserve"> </w:t>
      </w:r>
      <w:r w:rsidR="005A4A21">
        <w:rPr>
          <w:lang w:val="en-GB"/>
        </w:rPr>
        <w:t xml:space="preserve">but it was </w:t>
      </w:r>
      <w:r w:rsidRPr="00633FF0">
        <w:rPr>
          <w:lang w:val="en-GB"/>
        </w:rPr>
        <w:t>thinking local</w:t>
      </w:r>
      <w:r w:rsidR="005A4A21">
        <w:rPr>
          <w:lang w:val="en-GB"/>
        </w:rPr>
        <w:t>ly</w:t>
      </w:r>
      <w:r w:rsidRPr="00633FF0">
        <w:rPr>
          <w:lang w:val="en-GB"/>
        </w:rPr>
        <w:t xml:space="preserve"> and acting local</w:t>
      </w:r>
      <w:r w:rsidR="005A4A21">
        <w:rPr>
          <w:lang w:val="en-GB"/>
        </w:rPr>
        <w:t>ly</w:t>
      </w:r>
      <w:r w:rsidRPr="00633FF0">
        <w:rPr>
          <w:lang w:val="en-GB"/>
        </w:rPr>
        <w:t xml:space="preserve">). </w:t>
      </w:r>
    </w:p>
    <w:p w14:paraId="09A21737" w14:textId="17EF9679" w:rsidR="00532643" w:rsidRPr="00633FF0" w:rsidRDefault="00532643" w:rsidP="00532643">
      <w:pPr>
        <w:pStyle w:val="BodyTextMain"/>
        <w:rPr>
          <w:lang w:val="en-GB"/>
        </w:rPr>
      </w:pPr>
      <w:r w:rsidRPr="00633FF0">
        <w:rPr>
          <w:lang w:val="en-GB"/>
        </w:rPr>
        <w:lastRenderedPageBreak/>
        <w:t xml:space="preserve">The </w:t>
      </w:r>
      <w:proofErr w:type="spellStart"/>
      <w:r w:rsidR="00CD671F">
        <w:rPr>
          <w:lang w:val="en-GB"/>
        </w:rPr>
        <w:t>BauZentral</w:t>
      </w:r>
      <w:proofErr w:type="spellEnd"/>
      <w:r w:rsidRPr="00633FF0">
        <w:rPr>
          <w:lang w:val="en-GB"/>
        </w:rPr>
        <w:t xml:space="preserve"> group </w:t>
      </w:r>
      <w:r w:rsidR="005A4A21">
        <w:rPr>
          <w:lang w:val="en-GB"/>
        </w:rPr>
        <w:t>identified</w:t>
      </w:r>
      <w:r w:rsidR="005A4A21" w:rsidRPr="00633FF0">
        <w:rPr>
          <w:lang w:val="en-GB"/>
        </w:rPr>
        <w:t xml:space="preserve"> </w:t>
      </w:r>
      <w:r w:rsidRPr="00633FF0">
        <w:rPr>
          <w:lang w:val="en-GB"/>
        </w:rPr>
        <w:t xml:space="preserve">several trends influencing its business: global economic growth, technological developments, financial systems, </w:t>
      </w:r>
      <w:r w:rsidR="005A4A21">
        <w:rPr>
          <w:lang w:val="en-GB"/>
        </w:rPr>
        <w:t xml:space="preserve">the </w:t>
      </w:r>
      <w:r w:rsidRPr="00633FF0">
        <w:rPr>
          <w:lang w:val="en-GB"/>
        </w:rPr>
        <w:t>quest for energy, worldwide conglomeration, and demand for safety.</w:t>
      </w:r>
      <w:r w:rsidR="00633FF0" w:rsidRPr="00633FF0">
        <w:rPr>
          <w:lang w:val="en-GB"/>
        </w:rPr>
        <w:t xml:space="preserve"> </w:t>
      </w:r>
    </w:p>
    <w:p w14:paraId="2A6144AA" w14:textId="434F525E" w:rsidR="00532643" w:rsidRPr="00633FF0" w:rsidRDefault="00532643" w:rsidP="00532643">
      <w:pPr>
        <w:pStyle w:val="BodyTextMain"/>
        <w:rPr>
          <w:lang w:val="en-GB"/>
        </w:rPr>
      </w:pPr>
    </w:p>
    <w:p w14:paraId="5517B2A5" w14:textId="77777777" w:rsidR="00532643" w:rsidRPr="00633FF0" w:rsidRDefault="00532643" w:rsidP="00532643">
      <w:pPr>
        <w:pStyle w:val="BodyTextMain"/>
        <w:rPr>
          <w:lang w:val="en-GB"/>
        </w:rPr>
      </w:pPr>
    </w:p>
    <w:p w14:paraId="7094039F" w14:textId="7563E479" w:rsidR="00532643" w:rsidRPr="00633FF0" w:rsidRDefault="00532643" w:rsidP="00532643">
      <w:pPr>
        <w:pStyle w:val="Casehead2"/>
        <w:rPr>
          <w:lang w:val="en-GB"/>
        </w:rPr>
      </w:pPr>
      <w:r w:rsidRPr="00633FF0">
        <w:rPr>
          <w:lang w:val="en-GB"/>
        </w:rPr>
        <w:t xml:space="preserve">Global </w:t>
      </w:r>
      <w:r w:rsidR="005A4A21" w:rsidRPr="00633FF0">
        <w:rPr>
          <w:lang w:val="en-GB"/>
        </w:rPr>
        <w:t>Economic Growth</w:t>
      </w:r>
    </w:p>
    <w:p w14:paraId="795BF11B" w14:textId="77777777" w:rsidR="00532643" w:rsidRPr="00633FF0" w:rsidRDefault="00532643" w:rsidP="00532643">
      <w:pPr>
        <w:pStyle w:val="BodyTextMain"/>
        <w:rPr>
          <w:lang w:val="en-GB"/>
        </w:rPr>
      </w:pPr>
    </w:p>
    <w:p w14:paraId="573D8CDF" w14:textId="5D6C5FDF" w:rsidR="00532643" w:rsidRPr="00633FF0" w:rsidRDefault="00532643" w:rsidP="00532643">
      <w:pPr>
        <w:pStyle w:val="BodyTextMain"/>
        <w:rPr>
          <w:lang w:val="en-GB"/>
        </w:rPr>
      </w:pPr>
      <w:r w:rsidRPr="00633FF0">
        <w:rPr>
          <w:lang w:val="en-GB"/>
        </w:rPr>
        <w:t>Due to world population growth, industrialization</w:t>
      </w:r>
      <w:r w:rsidR="005A4A21">
        <w:rPr>
          <w:lang w:val="en-GB"/>
        </w:rPr>
        <w:t>,</w:t>
      </w:r>
      <w:r w:rsidRPr="00633FF0">
        <w:rPr>
          <w:lang w:val="en-GB"/>
        </w:rPr>
        <w:t xml:space="preserve"> and </w:t>
      </w:r>
      <w:r w:rsidR="005A4A21">
        <w:rPr>
          <w:lang w:val="en-GB"/>
        </w:rPr>
        <w:t xml:space="preserve">the </w:t>
      </w:r>
      <w:r w:rsidRPr="00633FF0">
        <w:rPr>
          <w:lang w:val="en-GB"/>
        </w:rPr>
        <w:t xml:space="preserve">technological revolution, the world economy </w:t>
      </w:r>
      <w:r w:rsidR="00200FEE" w:rsidRPr="00633FF0">
        <w:rPr>
          <w:lang w:val="en-GB"/>
        </w:rPr>
        <w:t>w</w:t>
      </w:r>
      <w:r w:rsidR="00200FEE">
        <w:rPr>
          <w:lang w:val="en-GB"/>
        </w:rPr>
        <w:t>ould</w:t>
      </w:r>
      <w:r w:rsidR="00200FEE" w:rsidRPr="00633FF0">
        <w:rPr>
          <w:lang w:val="en-GB"/>
        </w:rPr>
        <w:t xml:space="preserve"> </w:t>
      </w:r>
      <w:r w:rsidRPr="00633FF0">
        <w:rPr>
          <w:lang w:val="en-GB"/>
        </w:rPr>
        <w:t xml:space="preserve">continue to grow. </w:t>
      </w:r>
      <w:r w:rsidR="005D18AE" w:rsidRPr="005D18AE">
        <w:t xml:space="preserve">Although the CEO and CFO saw growth in </w:t>
      </w:r>
      <w:proofErr w:type="spellStart"/>
      <w:r w:rsidR="00CD671F">
        <w:t>BauZentral</w:t>
      </w:r>
      <w:r w:rsidR="005D18AE" w:rsidRPr="005D18AE">
        <w:t>’s</w:t>
      </w:r>
      <w:proofErr w:type="spellEnd"/>
      <w:r w:rsidR="005D18AE" w:rsidRPr="005D18AE">
        <w:t xml:space="preserve"> markets, the majority of this growth would take place outside of the European Union.</w:t>
      </w:r>
    </w:p>
    <w:p w14:paraId="6F522EC9" w14:textId="5B28EF35" w:rsidR="00532643" w:rsidRPr="00633FF0" w:rsidRDefault="00532643" w:rsidP="00532643">
      <w:pPr>
        <w:pStyle w:val="BodyTextMain"/>
        <w:rPr>
          <w:lang w:val="en-GB"/>
        </w:rPr>
      </w:pPr>
    </w:p>
    <w:p w14:paraId="4C6DA67C" w14:textId="77777777" w:rsidR="00532643" w:rsidRPr="00633FF0" w:rsidRDefault="00532643" w:rsidP="00532643">
      <w:pPr>
        <w:pStyle w:val="BodyTextMain"/>
        <w:rPr>
          <w:lang w:val="en-GB"/>
        </w:rPr>
      </w:pPr>
    </w:p>
    <w:p w14:paraId="3ED9C4D0" w14:textId="182277D2" w:rsidR="00532643" w:rsidRPr="00633FF0" w:rsidRDefault="00532643" w:rsidP="00532643">
      <w:pPr>
        <w:pStyle w:val="Casehead2"/>
        <w:rPr>
          <w:lang w:val="en-GB"/>
        </w:rPr>
      </w:pPr>
      <w:r w:rsidRPr="00633FF0">
        <w:rPr>
          <w:lang w:val="en-GB"/>
        </w:rPr>
        <w:t xml:space="preserve">Technological </w:t>
      </w:r>
      <w:r w:rsidR="005A4A21" w:rsidRPr="00633FF0">
        <w:rPr>
          <w:lang w:val="en-GB"/>
        </w:rPr>
        <w:t>Developments</w:t>
      </w:r>
    </w:p>
    <w:p w14:paraId="436039B4" w14:textId="77777777" w:rsidR="00532643" w:rsidRPr="00633FF0" w:rsidRDefault="00532643" w:rsidP="00532643">
      <w:pPr>
        <w:pStyle w:val="BodyTextMain"/>
        <w:rPr>
          <w:lang w:val="en-GB"/>
        </w:rPr>
      </w:pPr>
    </w:p>
    <w:p w14:paraId="5D927592" w14:textId="21A6C588" w:rsidR="00532643" w:rsidRPr="00633FF0" w:rsidRDefault="00532643" w:rsidP="00532643">
      <w:pPr>
        <w:pStyle w:val="BodyTextMain"/>
        <w:rPr>
          <w:lang w:val="en-GB"/>
        </w:rPr>
      </w:pPr>
      <w:r w:rsidRPr="00633FF0">
        <w:rPr>
          <w:lang w:val="en-GB"/>
        </w:rPr>
        <w:t xml:space="preserve">Technology </w:t>
      </w:r>
      <w:r w:rsidR="00D27DF7">
        <w:rPr>
          <w:lang w:val="en-GB"/>
        </w:rPr>
        <w:t xml:space="preserve">had </w:t>
      </w:r>
      <w:r w:rsidR="005A4A21" w:rsidRPr="00633FF0">
        <w:rPr>
          <w:lang w:val="en-GB"/>
        </w:rPr>
        <w:t>enable</w:t>
      </w:r>
      <w:r w:rsidR="005A4A21">
        <w:rPr>
          <w:lang w:val="en-GB"/>
        </w:rPr>
        <w:t>d</w:t>
      </w:r>
      <w:r w:rsidR="005A4A21" w:rsidRPr="00633FF0">
        <w:rPr>
          <w:lang w:val="en-GB"/>
        </w:rPr>
        <w:t xml:space="preserve"> </w:t>
      </w:r>
      <w:proofErr w:type="spellStart"/>
      <w:r w:rsidR="00CD671F">
        <w:rPr>
          <w:lang w:val="en-GB"/>
        </w:rPr>
        <w:t>BauZentral</w:t>
      </w:r>
      <w:proofErr w:type="spellEnd"/>
      <w:r w:rsidR="00D27DF7" w:rsidRPr="00633FF0">
        <w:rPr>
          <w:lang w:val="en-GB"/>
        </w:rPr>
        <w:t xml:space="preserve"> </w:t>
      </w:r>
      <w:r w:rsidRPr="00633FF0">
        <w:rPr>
          <w:lang w:val="en-GB"/>
        </w:rPr>
        <w:t xml:space="preserve">to do things </w:t>
      </w:r>
      <w:r w:rsidR="00D27DF7">
        <w:rPr>
          <w:lang w:val="en-GB"/>
        </w:rPr>
        <w:t xml:space="preserve">that its management </w:t>
      </w:r>
      <w:r w:rsidRPr="00633FF0">
        <w:rPr>
          <w:lang w:val="en-GB"/>
        </w:rPr>
        <w:t xml:space="preserve">previously could not </w:t>
      </w:r>
      <w:r w:rsidR="00D27DF7">
        <w:rPr>
          <w:lang w:val="en-GB"/>
        </w:rPr>
        <w:t xml:space="preserve">have </w:t>
      </w:r>
      <w:r w:rsidRPr="00633FF0">
        <w:rPr>
          <w:lang w:val="en-GB"/>
        </w:rPr>
        <w:t>imagine</w:t>
      </w:r>
      <w:r w:rsidR="00D27DF7">
        <w:rPr>
          <w:lang w:val="en-GB"/>
        </w:rPr>
        <w:t>d</w:t>
      </w:r>
      <w:r w:rsidRPr="00633FF0">
        <w:rPr>
          <w:lang w:val="en-GB"/>
        </w:rPr>
        <w:t xml:space="preserve">. </w:t>
      </w:r>
      <w:r w:rsidR="001E5A55">
        <w:rPr>
          <w:lang w:val="en-GB"/>
        </w:rPr>
        <w:t>Technology</w:t>
      </w:r>
      <w:r w:rsidR="001E5A55" w:rsidRPr="00633FF0">
        <w:rPr>
          <w:lang w:val="en-GB"/>
        </w:rPr>
        <w:t xml:space="preserve"> </w:t>
      </w:r>
      <w:r w:rsidR="00D27DF7" w:rsidRPr="00633FF0">
        <w:rPr>
          <w:lang w:val="en-GB"/>
        </w:rPr>
        <w:t>change</w:t>
      </w:r>
      <w:r w:rsidR="00D27DF7">
        <w:rPr>
          <w:lang w:val="en-GB"/>
        </w:rPr>
        <w:t>d</w:t>
      </w:r>
      <w:r w:rsidR="00D27DF7" w:rsidRPr="00633FF0">
        <w:rPr>
          <w:lang w:val="en-GB"/>
        </w:rPr>
        <w:t xml:space="preserve"> </w:t>
      </w:r>
      <w:r w:rsidRPr="00633FF0">
        <w:rPr>
          <w:lang w:val="en-GB"/>
        </w:rPr>
        <w:t>products, services</w:t>
      </w:r>
      <w:r w:rsidR="001E5A55">
        <w:rPr>
          <w:lang w:val="en-GB"/>
        </w:rPr>
        <w:t>,</w:t>
      </w:r>
      <w:r w:rsidRPr="00633FF0">
        <w:rPr>
          <w:lang w:val="en-GB"/>
        </w:rPr>
        <w:t xml:space="preserve"> and processes in an unbelievably fast way. New materials </w:t>
      </w:r>
      <w:r w:rsidR="00D27DF7">
        <w:rPr>
          <w:lang w:val="en-GB"/>
        </w:rPr>
        <w:t>we</w:t>
      </w:r>
      <w:r w:rsidR="00D27DF7" w:rsidRPr="00633FF0">
        <w:rPr>
          <w:lang w:val="en-GB"/>
        </w:rPr>
        <w:t xml:space="preserve">re </w:t>
      </w:r>
      <w:r w:rsidRPr="00633FF0">
        <w:rPr>
          <w:lang w:val="en-GB"/>
        </w:rPr>
        <w:t xml:space="preserve">being developed, production technology </w:t>
      </w:r>
      <w:r w:rsidR="00D27DF7">
        <w:rPr>
          <w:lang w:val="en-GB"/>
        </w:rPr>
        <w:t xml:space="preserve">was </w:t>
      </w:r>
      <w:r w:rsidR="001E5A55">
        <w:rPr>
          <w:lang w:val="en-GB"/>
        </w:rPr>
        <w:t>becom</w:t>
      </w:r>
      <w:r w:rsidR="001E5A55" w:rsidRPr="00633FF0">
        <w:rPr>
          <w:lang w:val="en-GB"/>
        </w:rPr>
        <w:t xml:space="preserve">ing </w:t>
      </w:r>
      <w:r w:rsidR="001E5A55">
        <w:rPr>
          <w:lang w:val="en-GB"/>
        </w:rPr>
        <w:t>less expensive,</w:t>
      </w:r>
      <w:r w:rsidRPr="00633FF0">
        <w:rPr>
          <w:lang w:val="en-GB"/>
        </w:rPr>
        <w:t xml:space="preserve"> and new supply chains and sales channels </w:t>
      </w:r>
      <w:r w:rsidR="00D27DF7">
        <w:rPr>
          <w:lang w:val="en-GB"/>
        </w:rPr>
        <w:t>we</w:t>
      </w:r>
      <w:r w:rsidR="00D27DF7" w:rsidRPr="00633FF0">
        <w:rPr>
          <w:lang w:val="en-GB"/>
        </w:rPr>
        <w:t xml:space="preserve">re </w:t>
      </w:r>
      <w:r w:rsidRPr="00633FF0">
        <w:rPr>
          <w:lang w:val="en-GB"/>
        </w:rPr>
        <w:t>emerging.</w:t>
      </w:r>
    </w:p>
    <w:p w14:paraId="56B5514E" w14:textId="77471C97" w:rsidR="00532643" w:rsidRPr="00633FF0" w:rsidRDefault="00532643" w:rsidP="00532643">
      <w:pPr>
        <w:pStyle w:val="BodyTextMain"/>
        <w:rPr>
          <w:lang w:val="en-GB"/>
        </w:rPr>
      </w:pPr>
    </w:p>
    <w:p w14:paraId="7E20D268" w14:textId="77777777" w:rsidR="00532643" w:rsidRPr="00633FF0" w:rsidRDefault="00532643" w:rsidP="00532643">
      <w:pPr>
        <w:pStyle w:val="BodyTextMain"/>
        <w:rPr>
          <w:lang w:val="en-GB"/>
        </w:rPr>
      </w:pPr>
    </w:p>
    <w:p w14:paraId="04FD136D" w14:textId="38BE4524" w:rsidR="00532643" w:rsidRPr="00633FF0" w:rsidRDefault="00532643" w:rsidP="00532643">
      <w:pPr>
        <w:pStyle w:val="Casehead2"/>
        <w:rPr>
          <w:lang w:val="en-GB"/>
        </w:rPr>
      </w:pPr>
      <w:r w:rsidRPr="00633FF0">
        <w:rPr>
          <w:lang w:val="en-GB"/>
        </w:rPr>
        <w:t xml:space="preserve">Financial </w:t>
      </w:r>
      <w:r w:rsidR="005A4A21" w:rsidRPr="00633FF0">
        <w:rPr>
          <w:lang w:val="en-GB"/>
        </w:rPr>
        <w:t>Systems</w:t>
      </w:r>
    </w:p>
    <w:p w14:paraId="7BDEFA43" w14:textId="77777777" w:rsidR="00532643" w:rsidRPr="00633FF0" w:rsidRDefault="00532643" w:rsidP="00532643">
      <w:pPr>
        <w:pStyle w:val="BodyTextMain"/>
        <w:rPr>
          <w:lang w:val="en-GB"/>
        </w:rPr>
      </w:pPr>
    </w:p>
    <w:p w14:paraId="3433C8FD" w14:textId="5E4FA5A3" w:rsidR="00532643" w:rsidRPr="00633FF0" w:rsidRDefault="00532643" w:rsidP="00532643">
      <w:pPr>
        <w:pStyle w:val="BodyTextMain"/>
        <w:rPr>
          <w:lang w:val="en-GB"/>
        </w:rPr>
      </w:pPr>
      <w:r w:rsidRPr="00633FF0">
        <w:rPr>
          <w:lang w:val="en-GB"/>
        </w:rPr>
        <w:t>The world</w:t>
      </w:r>
      <w:r w:rsidR="001E5A55">
        <w:rPr>
          <w:lang w:val="en-GB"/>
        </w:rPr>
        <w:t>’s</w:t>
      </w:r>
      <w:r w:rsidRPr="00633FF0">
        <w:rPr>
          <w:lang w:val="en-GB"/>
        </w:rPr>
        <w:t xml:space="preserve"> financial systems </w:t>
      </w:r>
      <w:r w:rsidR="001E5A55">
        <w:rPr>
          <w:lang w:val="en-GB"/>
        </w:rPr>
        <w:t>we</w:t>
      </w:r>
      <w:r w:rsidR="001E5A55" w:rsidRPr="00633FF0">
        <w:rPr>
          <w:lang w:val="en-GB"/>
        </w:rPr>
        <w:t xml:space="preserve">re </w:t>
      </w:r>
      <w:r w:rsidRPr="00633FF0">
        <w:rPr>
          <w:lang w:val="en-GB"/>
        </w:rPr>
        <w:t xml:space="preserve">being challenged. A lack of trust resulted in </w:t>
      </w:r>
      <w:r w:rsidR="00D27DF7" w:rsidRPr="00633FF0">
        <w:rPr>
          <w:lang w:val="en-GB"/>
        </w:rPr>
        <w:t>increas</w:t>
      </w:r>
      <w:r w:rsidR="00D27DF7">
        <w:rPr>
          <w:lang w:val="en-GB"/>
        </w:rPr>
        <w:t>ed</w:t>
      </w:r>
      <w:r w:rsidR="00D27DF7" w:rsidRPr="00633FF0">
        <w:rPr>
          <w:lang w:val="en-GB"/>
        </w:rPr>
        <w:t xml:space="preserve"> </w:t>
      </w:r>
      <w:r w:rsidRPr="00633FF0">
        <w:rPr>
          <w:lang w:val="en-GB"/>
        </w:rPr>
        <w:t>rules and legislation. As a result</w:t>
      </w:r>
      <w:r w:rsidR="001E5A55">
        <w:rPr>
          <w:lang w:val="en-GB"/>
        </w:rPr>
        <w:t>,</w:t>
      </w:r>
      <w:r w:rsidRPr="00633FF0">
        <w:rPr>
          <w:lang w:val="en-GB"/>
        </w:rPr>
        <w:t xml:space="preserve"> it </w:t>
      </w:r>
      <w:r w:rsidR="00D27DF7">
        <w:rPr>
          <w:lang w:val="en-GB"/>
        </w:rPr>
        <w:t>could</w:t>
      </w:r>
      <w:r w:rsidR="00D27DF7" w:rsidRPr="00633FF0">
        <w:rPr>
          <w:lang w:val="en-GB"/>
        </w:rPr>
        <w:t xml:space="preserve"> </w:t>
      </w:r>
      <w:r w:rsidRPr="00633FF0">
        <w:rPr>
          <w:lang w:val="en-GB"/>
        </w:rPr>
        <w:t xml:space="preserve">be more difficult for companies to finance </w:t>
      </w:r>
      <w:r w:rsidR="00200FEE">
        <w:rPr>
          <w:lang w:val="en-GB"/>
        </w:rPr>
        <w:t xml:space="preserve">their </w:t>
      </w:r>
      <w:r w:rsidRPr="00633FF0">
        <w:rPr>
          <w:lang w:val="en-GB"/>
        </w:rPr>
        <w:t xml:space="preserve">future growth. </w:t>
      </w:r>
    </w:p>
    <w:p w14:paraId="41B25412" w14:textId="11C5DEAF" w:rsidR="00532643" w:rsidRPr="00633FF0" w:rsidRDefault="00532643" w:rsidP="00532643">
      <w:pPr>
        <w:pStyle w:val="BodyTextMain"/>
        <w:rPr>
          <w:lang w:val="en-GB"/>
        </w:rPr>
      </w:pPr>
    </w:p>
    <w:p w14:paraId="6EFC9E49" w14:textId="77777777" w:rsidR="00532643" w:rsidRPr="00633FF0" w:rsidRDefault="00532643" w:rsidP="00532643">
      <w:pPr>
        <w:pStyle w:val="BodyTextMain"/>
        <w:rPr>
          <w:lang w:val="en-GB"/>
        </w:rPr>
      </w:pPr>
    </w:p>
    <w:p w14:paraId="71501F49" w14:textId="3EC185E8" w:rsidR="00532643" w:rsidRPr="00633FF0" w:rsidRDefault="005A4A21" w:rsidP="00532643">
      <w:pPr>
        <w:pStyle w:val="Casehead2"/>
        <w:rPr>
          <w:lang w:val="en-GB"/>
        </w:rPr>
      </w:pPr>
      <w:r>
        <w:rPr>
          <w:lang w:val="en-GB"/>
        </w:rPr>
        <w:t xml:space="preserve">The </w:t>
      </w:r>
      <w:r w:rsidR="00532643" w:rsidRPr="00633FF0">
        <w:rPr>
          <w:lang w:val="en-GB"/>
        </w:rPr>
        <w:t xml:space="preserve">Quest for </w:t>
      </w:r>
      <w:r w:rsidRPr="00633FF0">
        <w:rPr>
          <w:lang w:val="en-GB"/>
        </w:rPr>
        <w:t>Energy</w:t>
      </w:r>
    </w:p>
    <w:p w14:paraId="29CD312D" w14:textId="77777777" w:rsidR="00532643" w:rsidRPr="00633FF0" w:rsidRDefault="00532643" w:rsidP="00532643">
      <w:pPr>
        <w:pStyle w:val="BodyTextMain"/>
        <w:rPr>
          <w:lang w:val="en-GB"/>
        </w:rPr>
      </w:pPr>
    </w:p>
    <w:p w14:paraId="3FE4565A" w14:textId="0253B5D6" w:rsidR="00532643" w:rsidRPr="00155EA0" w:rsidRDefault="00200FEE" w:rsidP="00532643">
      <w:pPr>
        <w:pStyle w:val="BodyTextMain"/>
        <w:rPr>
          <w:spacing w:val="-4"/>
          <w:lang w:val="en-GB"/>
        </w:rPr>
      </w:pPr>
      <w:r w:rsidRPr="00155EA0">
        <w:rPr>
          <w:spacing w:val="-4"/>
          <w:lang w:val="en-GB"/>
        </w:rPr>
        <w:t xml:space="preserve">A </w:t>
      </w:r>
      <w:r w:rsidR="00532643" w:rsidRPr="00155EA0">
        <w:rPr>
          <w:spacing w:val="-4"/>
          <w:lang w:val="en-GB"/>
        </w:rPr>
        <w:t xml:space="preserve">worldwide quest for energy </w:t>
      </w:r>
      <w:r w:rsidRPr="00155EA0">
        <w:rPr>
          <w:spacing w:val="-4"/>
          <w:lang w:val="en-GB"/>
        </w:rPr>
        <w:t>would</w:t>
      </w:r>
      <w:r w:rsidR="00532643" w:rsidRPr="00155EA0">
        <w:rPr>
          <w:spacing w:val="-4"/>
          <w:lang w:val="en-GB"/>
        </w:rPr>
        <w:t xml:space="preserve"> change the energy supply industry. Renewable energy </w:t>
      </w:r>
      <w:r w:rsidRPr="00155EA0">
        <w:rPr>
          <w:spacing w:val="-4"/>
          <w:lang w:val="en-GB"/>
        </w:rPr>
        <w:t xml:space="preserve">was </w:t>
      </w:r>
      <w:r w:rsidR="00D27DF7" w:rsidRPr="00155EA0">
        <w:rPr>
          <w:spacing w:val="-4"/>
          <w:lang w:val="en-GB"/>
        </w:rPr>
        <w:t xml:space="preserve">becoming </w:t>
      </w:r>
      <w:r w:rsidR="00532643" w:rsidRPr="00155EA0">
        <w:rPr>
          <w:spacing w:val="-4"/>
          <w:lang w:val="en-GB"/>
        </w:rPr>
        <w:t>more important</w:t>
      </w:r>
      <w:r w:rsidR="00D27DF7" w:rsidRPr="00155EA0">
        <w:rPr>
          <w:spacing w:val="-4"/>
          <w:lang w:val="en-GB"/>
        </w:rPr>
        <w:t>,</w:t>
      </w:r>
      <w:r w:rsidR="00532643" w:rsidRPr="00155EA0">
        <w:rPr>
          <w:spacing w:val="-4"/>
          <w:lang w:val="en-GB"/>
        </w:rPr>
        <w:t xml:space="preserve"> and market</w:t>
      </w:r>
      <w:r w:rsidR="001E5A55" w:rsidRPr="00155EA0">
        <w:rPr>
          <w:spacing w:val="-4"/>
          <w:lang w:val="en-GB"/>
        </w:rPr>
        <w:t>-</w:t>
      </w:r>
      <w:r w:rsidR="00532643" w:rsidRPr="00155EA0">
        <w:rPr>
          <w:spacing w:val="-4"/>
          <w:lang w:val="en-GB"/>
        </w:rPr>
        <w:t xml:space="preserve">changing developments </w:t>
      </w:r>
      <w:r w:rsidRPr="00155EA0">
        <w:rPr>
          <w:spacing w:val="-4"/>
          <w:lang w:val="en-GB"/>
        </w:rPr>
        <w:t xml:space="preserve">were </w:t>
      </w:r>
      <w:r w:rsidR="00532643" w:rsidRPr="00155EA0">
        <w:rPr>
          <w:spacing w:val="-4"/>
          <w:lang w:val="en-GB"/>
        </w:rPr>
        <w:t xml:space="preserve">taking place in the nuclear and fossil energy </w:t>
      </w:r>
      <w:r w:rsidR="001E5A55" w:rsidRPr="00155EA0">
        <w:rPr>
          <w:spacing w:val="-4"/>
          <w:lang w:val="en-GB"/>
        </w:rPr>
        <w:t>industries</w:t>
      </w:r>
      <w:r w:rsidR="00532643" w:rsidRPr="00155EA0">
        <w:rPr>
          <w:spacing w:val="-4"/>
          <w:lang w:val="en-GB"/>
        </w:rPr>
        <w:t>.</w:t>
      </w:r>
    </w:p>
    <w:p w14:paraId="35D18DB8" w14:textId="1F1F3936" w:rsidR="00532643" w:rsidRPr="00633FF0" w:rsidRDefault="00532643" w:rsidP="00532643">
      <w:pPr>
        <w:pStyle w:val="BodyTextMain"/>
        <w:rPr>
          <w:lang w:val="en-GB"/>
        </w:rPr>
      </w:pPr>
    </w:p>
    <w:p w14:paraId="0BE2814C" w14:textId="77777777" w:rsidR="00532643" w:rsidRPr="00633FF0" w:rsidRDefault="00532643" w:rsidP="00532643">
      <w:pPr>
        <w:pStyle w:val="BodyTextMain"/>
        <w:rPr>
          <w:lang w:val="en-GB"/>
        </w:rPr>
      </w:pPr>
    </w:p>
    <w:p w14:paraId="43368936" w14:textId="69FD6C13" w:rsidR="00532643" w:rsidRPr="00633FF0" w:rsidRDefault="00532643" w:rsidP="00532643">
      <w:pPr>
        <w:pStyle w:val="Casehead2"/>
        <w:rPr>
          <w:lang w:val="en-GB"/>
        </w:rPr>
      </w:pPr>
      <w:r w:rsidRPr="00633FF0">
        <w:rPr>
          <w:lang w:val="en-GB"/>
        </w:rPr>
        <w:t xml:space="preserve">Worldwide </w:t>
      </w:r>
      <w:r w:rsidR="005A4A21" w:rsidRPr="00633FF0">
        <w:rPr>
          <w:lang w:val="en-GB"/>
        </w:rPr>
        <w:t>Conglomeration</w:t>
      </w:r>
    </w:p>
    <w:p w14:paraId="1E3AAD64" w14:textId="77777777" w:rsidR="00532643" w:rsidRPr="002440C5" w:rsidRDefault="00532643" w:rsidP="00532643">
      <w:pPr>
        <w:pStyle w:val="BodyTextMain"/>
        <w:rPr>
          <w:sz w:val="14"/>
          <w:szCs w:val="14"/>
          <w:lang w:val="en-GB"/>
        </w:rPr>
      </w:pPr>
    </w:p>
    <w:p w14:paraId="4C1AA7D3" w14:textId="0E4FBBDC" w:rsidR="00532643" w:rsidRPr="00633FF0" w:rsidRDefault="00200FEE" w:rsidP="00532643">
      <w:pPr>
        <w:pStyle w:val="BodyTextMain"/>
        <w:rPr>
          <w:lang w:val="en-GB"/>
        </w:rPr>
      </w:pPr>
      <w:r>
        <w:rPr>
          <w:lang w:val="en-GB"/>
        </w:rPr>
        <w:t>U</w:t>
      </w:r>
      <w:r w:rsidR="00532643" w:rsidRPr="00633FF0">
        <w:rPr>
          <w:lang w:val="en-GB"/>
        </w:rPr>
        <w:t xml:space="preserve">rbanization </w:t>
      </w:r>
      <w:r>
        <w:rPr>
          <w:lang w:val="en-GB"/>
        </w:rPr>
        <w:t xml:space="preserve">was occurring </w:t>
      </w:r>
      <w:r w:rsidR="00532643" w:rsidRPr="00633FF0">
        <w:rPr>
          <w:lang w:val="en-GB"/>
        </w:rPr>
        <w:t xml:space="preserve">all around the world. </w:t>
      </w:r>
      <w:r w:rsidR="001E5A55">
        <w:rPr>
          <w:lang w:val="en-GB"/>
        </w:rPr>
        <w:t>Urbanization</w:t>
      </w:r>
      <w:r w:rsidR="001E5A55" w:rsidRPr="00633FF0">
        <w:rPr>
          <w:lang w:val="en-GB"/>
        </w:rPr>
        <w:t xml:space="preserve"> </w:t>
      </w:r>
      <w:r>
        <w:rPr>
          <w:lang w:val="en-GB"/>
        </w:rPr>
        <w:t>wa</w:t>
      </w:r>
      <w:r w:rsidRPr="00633FF0">
        <w:rPr>
          <w:lang w:val="en-GB"/>
        </w:rPr>
        <w:t xml:space="preserve">s </w:t>
      </w:r>
      <w:r w:rsidR="00532643" w:rsidRPr="00633FF0">
        <w:rPr>
          <w:lang w:val="en-GB"/>
        </w:rPr>
        <w:t>changing housing needs, infrastructure</w:t>
      </w:r>
      <w:r w:rsidR="001E5A55">
        <w:rPr>
          <w:lang w:val="en-GB"/>
        </w:rPr>
        <w:t>,</w:t>
      </w:r>
      <w:r w:rsidR="00532643" w:rsidRPr="00633FF0">
        <w:rPr>
          <w:lang w:val="en-GB"/>
        </w:rPr>
        <w:t xml:space="preserve"> and transport. In parallel, conglomeration </w:t>
      </w:r>
      <w:r>
        <w:rPr>
          <w:lang w:val="en-GB"/>
        </w:rPr>
        <w:t>wa</w:t>
      </w:r>
      <w:r w:rsidRPr="00633FF0">
        <w:rPr>
          <w:lang w:val="en-GB"/>
        </w:rPr>
        <w:t xml:space="preserve">s </w:t>
      </w:r>
      <w:r w:rsidR="00532643" w:rsidRPr="00633FF0">
        <w:rPr>
          <w:lang w:val="en-GB"/>
        </w:rPr>
        <w:t>creating huge companies with higher demands.</w:t>
      </w:r>
    </w:p>
    <w:p w14:paraId="35A522F8" w14:textId="75CF46CA" w:rsidR="00532643" w:rsidRPr="002440C5" w:rsidRDefault="00532643" w:rsidP="00532643">
      <w:pPr>
        <w:pStyle w:val="BodyTextMain"/>
        <w:rPr>
          <w:sz w:val="14"/>
          <w:szCs w:val="14"/>
          <w:lang w:val="en-GB"/>
        </w:rPr>
      </w:pPr>
    </w:p>
    <w:p w14:paraId="2BDBAA98" w14:textId="77777777" w:rsidR="00532643" w:rsidRPr="002440C5" w:rsidRDefault="00532643" w:rsidP="00532643">
      <w:pPr>
        <w:pStyle w:val="BodyTextMain"/>
        <w:rPr>
          <w:sz w:val="14"/>
          <w:szCs w:val="14"/>
          <w:lang w:val="en-GB"/>
        </w:rPr>
      </w:pPr>
    </w:p>
    <w:p w14:paraId="1B3B4B5A" w14:textId="2AFE69AD" w:rsidR="00532643" w:rsidRPr="00633FF0" w:rsidRDefault="00532643" w:rsidP="00532643">
      <w:pPr>
        <w:pStyle w:val="Casehead2"/>
        <w:rPr>
          <w:lang w:val="en-GB"/>
        </w:rPr>
      </w:pPr>
      <w:r w:rsidRPr="00633FF0">
        <w:rPr>
          <w:lang w:val="en-GB"/>
        </w:rPr>
        <w:t xml:space="preserve">Demand for </w:t>
      </w:r>
      <w:r w:rsidR="005A4A21" w:rsidRPr="00633FF0">
        <w:rPr>
          <w:lang w:val="en-GB"/>
        </w:rPr>
        <w:t>Safety</w:t>
      </w:r>
    </w:p>
    <w:p w14:paraId="4CC68B92" w14:textId="77777777" w:rsidR="00532643" w:rsidRPr="002440C5" w:rsidRDefault="00532643" w:rsidP="00532643">
      <w:pPr>
        <w:pStyle w:val="BodyTextMain"/>
        <w:rPr>
          <w:sz w:val="14"/>
          <w:szCs w:val="14"/>
          <w:lang w:val="en-GB"/>
        </w:rPr>
      </w:pPr>
    </w:p>
    <w:p w14:paraId="77E52BA3" w14:textId="2F52F6BD" w:rsidR="00532643" w:rsidRPr="00633FF0" w:rsidRDefault="00200FEE" w:rsidP="00532643">
      <w:pPr>
        <w:pStyle w:val="BodyTextMain"/>
        <w:rPr>
          <w:lang w:val="en-GB"/>
        </w:rPr>
      </w:pPr>
      <w:r>
        <w:rPr>
          <w:lang w:val="en-GB"/>
        </w:rPr>
        <w:t>Demand was</w:t>
      </w:r>
      <w:r w:rsidR="00532643" w:rsidRPr="00633FF0">
        <w:rPr>
          <w:lang w:val="en-GB"/>
        </w:rPr>
        <w:t xml:space="preserve"> increasing for more regulation and legislation to create a feeling of safety. As a result</w:t>
      </w:r>
      <w:r w:rsidR="001E5A55">
        <w:rPr>
          <w:lang w:val="en-GB"/>
        </w:rPr>
        <w:t>,</w:t>
      </w:r>
      <w:r w:rsidR="00532643" w:rsidRPr="00633FF0">
        <w:rPr>
          <w:lang w:val="en-GB"/>
        </w:rPr>
        <w:t xml:space="preserve"> there </w:t>
      </w:r>
      <w:r w:rsidR="00DD12EC">
        <w:rPr>
          <w:lang w:val="en-GB"/>
        </w:rPr>
        <w:t>wa</w:t>
      </w:r>
      <w:r w:rsidR="00DD12EC" w:rsidRPr="00633FF0">
        <w:rPr>
          <w:lang w:val="en-GB"/>
        </w:rPr>
        <w:t xml:space="preserve">s </w:t>
      </w:r>
      <w:r w:rsidR="00532643" w:rsidRPr="00633FF0">
        <w:rPr>
          <w:lang w:val="en-GB"/>
        </w:rPr>
        <w:t>an increased requirement for approved and certified products.</w:t>
      </w:r>
    </w:p>
    <w:p w14:paraId="2DC816FC" w14:textId="64F7B6AA" w:rsidR="00532643" w:rsidRPr="002440C5" w:rsidRDefault="00532643" w:rsidP="00532643">
      <w:pPr>
        <w:pStyle w:val="BodyTextMain"/>
        <w:rPr>
          <w:sz w:val="14"/>
          <w:szCs w:val="14"/>
          <w:lang w:val="en-GB"/>
        </w:rPr>
      </w:pPr>
    </w:p>
    <w:p w14:paraId="56D4A939" w14:textId="77777777" w:rsidR="00532643" w:rsidRPr="002440C5" w:rsidRDefault="00532643" w:rsidP="00532643">
      <w:pPr>
        <w:pStyle w:val="BodyTextMain"/>
        <w:rPr>
          <w:sz w:val="14"/>
          <w:szCs w:val="14"/>
          <w:lang w:val="en-GB"/>
        </w:rPr>
      </w:pPr>
    </w:p>
    <w:p w14:paraId="7026844E" w14:textId="34EE57CA" w:rsidR="00532643" w:rsidRPr="00633FF0" w:rsidRDefault="00532643" w:rsidP="00B74ECF">
      <w:pPr>
        <w:pStyle w:val="Casehead2"/>
        <w:keepNext/>
        <w:rPr>
          <w:lang w:val="en-GB"/>
        </w:rPr>
      </w:pPr>
      <w:r w:rsidRPr="00633FF0">
        <w:rPr>
          <w:lang w:val="en-GB"/>
        </w:rPr>
        <w:t>Reorganization</w:t>
      </w:r>
    </w:p>
    <w:p w14:paraId="10AE9E79" w14:textId="77777777" w:rsidR="00532643" w:rsidRPr="002440C5" w:rsidRDefault="00532643" w:rsidP="00B74ECF">
      <w:pPr>
        <w:pStyle w:val="BodyTextMain"/>
        <w:keepNext/>
        <w:rPr>
          <w:sz w:val="14"/>
          <w:szCs w:val="14"/>
          <w:lang w:val="en-GB"/>
        </w:rPr>
      </w:pPr>
    </w:p>
    <w:p w14:paraId="16023E6F" w14:textId="16AF63D6" w:rsidR="00532643" w:rsidRPr="002440C5" w:rsidRDefault="00532643" w:rsidP="00B74ECF">
      <w:pPr>
        <w:pStyle w:val="BodyTextMain"/>
        <w:keepNext/>
        <w:rPr>
          <w:spacing w:val="-2"/>
          <w:kern w:val="22"/>
          <w:lang w:val="en-GB"/>
        </w:rPr>
      </w:pPr>
      <w:r w:rsidRPr="002440C5">
        <w:rPr>
          <w:spacing w:val="-2"/>
          <w:kern w:val="22"/>
          <w:lang w:val="en-GB"/>
        </w:rPr>
        <w:t>To start addressing the concerns related to the struggles of managing this growth, Pieter had started restructuring the most senior levels of the organization.</w:t>
      </w:r>
      <w:r w:rsidR="00633FF0" w:rsidRPr="002440C5">
        <w:rPr>
          <w:spacing w:val="-2"/>
          <w:kern w:val="22"/>
          <w:lang w:val="en-GB"/>
        </w:rPr>
        <w:t xml:space="preserve"> </w:t>
      </w:r>
      <w:r w:rsidRPr="002440C5">
        <w:rPr>
          <w:spacing w:val="-2"/>
          <w:kern w:val="22"/>
          <w:lang w:val="en-GB"/>
        </w:rPr>
        <w:t>Specifically, the global operations were divided into four regions based on geographic, cultural</w:t>
      </w:r>
      <w:r w:rsidR="0077172D" w:rsidRPr="002440C5">
        <w:rPr>
          <w:spacing w:val="-2"/>
          <w:kern w:val="22"/>
          <w:lang w:val="en-GB"/>
        </w:rPr>
        <w:t>,</w:t>
      </w:r>
      <w:r w:rsidRPr="002440C5">
        <w:rPr>
          <w:spacing w:val="-2"/>
          <w:kern w:val="22"/>
          <w:lang w:val="en-GB"/>
        </w:rPr>
        <w:t xml:space="preserve"> and product similarities: Eastern Europe, Western Europe, North America</w:t>
      </w:r>
      <w:r w:rsidR="00DD12EC" w:rsidRPr="002440C5">
        <w:rPr>
          <w:spacing w:val="-2"/>
          <w:kern w:val="22"/>
          <w:lang w:val="en-GB"/>
        </w:rPr>
        <w:t>,</w:t>
      </w:r>
      <w:r w:rsidRPr="002440C5">
        <w:rPr>
          <w:spacing w:val="-2"/>
          <w:kern w:val="22"/>
          <w:lang w:val="en-GB"/>
        </w:rPr>
        <w:t xml:space="preserve"> and the Rest of the World.</w:t>
      </w:r>
      <w:r w:rsidR="00633FF0" w:rsidRPr="002440C5">
        <w:rPr>
          <w:spacing w:val="-2"/>
          <w:kern w:val="22"/>
          <w:lang w:val="en-GB"/>
        </w:rPr>
        <w:t xml:space="preserve"> </w:t>
      </w:r>
      <w:r w:rsidR="00DD12EC" w:rsidRPr="002440C5">
        <w:rPr>
          <w:spacing w:val="-2"/>
          <w:kern w:val="22"/>
          <w:lang w:val="en-GB"/>
        </w:rPr>
        <w:t>Each region had a three-person r</w:t>
      </w:r>
      <w:r w:rsidRPr="002440C5">
        <w:rPr>
          <w:spacing w:val="-2"/>
          <w:kern w:val="22"/>
          <w:lang w:val="en-GB"/>
        </w:rPr>
        <w:t xml:space="preserve">egional </w:t>
      </w:r>
      <w:r w:rsidR="00DD12EC" w:rsidRPr="002440C5">
        <w:rPr>
          <w:spacing w:val="-2"/>
          <w:kern w:val="22"/>
          <w:lang w:val="en-GB"/>
        </w:rPr>
        <w:t>m</w:t>
      </w:r>
      <w:r w:rsidRPr="002440C5">
        <w:rPr>
          <w:spacing w:val="-2"/>
          <w:kern w:val="22"/>
          <w:lang w:val="en-GB"/>
        </w:rPr>
        <w:t xml:space="preserve">anagement </w:t>
      </w:r>
      <w:r w:rsidR="00DD12EC" w:rsidRPr="002440C5">
        <w:rPr>
          <w:spacing w:val="-2"/>
          <w:kern w:val="22"/>
          <w:lang w:val="en-GB"/>
        </w:rPr>
        <w:t>b</w:t>
      </w:r>
      <w:r w:rsidRPr="002440C5">
        <w:rPr>
          <w:spacing w:val="-2"/>
          <w:kern w:val="22"/>
          <w:lang w:val="en-GB"/>
        </w:rPr>
        <w:t xml:space="preserve">oard </w:t>
      </w:r>
      <w:r w:rsidR="00DD12EC" w:rsidRPr="002440C5">
        <w:rPr>
          <w:spacing w:val="-2"/>
          <w:kern w:val="22"/>
          <w:lang w:val="en-GB"/>
        </w:rPr>
        <w:t xml:space="preserve">that was responsible for making its region’s daily decisions and for </w:t>
      </w:r>
      <w:r w:rsidRPr="002440C5">
        <w:rPr>
          <w:spacing w:val="-2"/>
          <w:kern w:val="22"/>
          <w:lang w:val="en-GB"/>
        </w:rPr>
        <w:t>overseeing strategic and operational decisions.</w:t>
      </w:r>
      <w:r w:rsidR="00633FF0" w:rsidRPr="002440C5">
        <w:rPr>
          <w:spacing w:val="-2"/>
          <w:kern w:val="22"/>
          <w:lang w:val="en-GB"/>
        </w:rPr>
        <w:t xml:space="preserve"> </w:t>
      </w:r>
      <w:r w:rsidRPr="002440C5">
        <w:rPr>
          <w:spacing w:val="-2"/>
          <w:kern w:val="22"/>
          <w:lang w:val="en-GB"/>
        </w:rPr>
        <w:t>These regional boards all report</w:t>
      </w:r>
      <w:r w:rsidR="00DD12EC" w:rsidRPr="002440C5">
        <w:rPr>
          <w:spacing w:val="-2"/>
          <w:kern w:val="22"/>
          <w:lang w:val="en-GB"/>
        </w:rPr>
        <w:t>ed</w:t>
      </w:r>
      <w:r w:rsidRPr="002440C5">
        <w:rPr>
          <w:spacing w:val="-2"/>
          <w:kern w:val="22"/>
          <w:lang w:val="en-GB"/>
        </w:rPr>
        <w:t xml:space="preserve"> to the main </w:t>
      </w:r>
      <w:r w:rsidR="00DD12EC" w:rsidRPr="002440C5">
        <w:rPr>
          <w:spacing w:val="-2"/>
          <w:kern w:val="22"/>
          <w:lang w:val="en-GB"/>
        </w:rPr>
        <w:t>m</w:t>
      </w:r>
      <w:r w:rsidRPr="002440C5">
        <w:rPr>
          <w:spacing w:val="-2"/>
          <w:kern w:val="22"/>
          <w:lang w:val="en-GB"/>
        </w:rPr>
        <w:t xml:space="preserve">anagement </w:t>
      </w:r>
      <w:r w:rsidR="00DD12EC" w:rsidRPr="002440C5">
        <w:rPr>
          <w:spacing w:val="-2"/>
          <w:kern w:val="22"/>
          <w:lang w:val="en-GB"/>
        </w:rPr>
        <w:t>b</w:t>
      </w:r>
      <w:r w:rsidRPr="002440C5">
        <w:rPr>
          <w:spacing w:val="-2"/>
          <w:kern w:val="22"/>
          <w:lang w:val="en-GB"/>
        </w:rPr>
        <w:t xml:space="preserve">oard located at the </w:t>
      </w:r>
      <w:r w:rsidR="00DD12EC" w:rsidRPr="002440C5">
        <w:rPr>
          <w:spacing w:val="-2"/>
          <w:kern w:val="22"/>
          <w:lang w:val="en-GB"/>
        </w:rPr>
        <w:t>h</w:t>
      </w:r>
      <w:r w:rsidRPr="002440C5">
        <w:rPr>
          <w:spacing w:val="-2"/>
          <w:kern w:val="22"/>
          <w:lang w:val="en-GB"/>
        </w:rPr>
        <w:t xml:space="preserve">ead </w:t>
      </w:r>
      <w:r w:rsidR="00DD12EC" w:rsidRPr="002440C5">
        <w:rPr>
          <w:spacing w:val="-2"/>
          <w:kern w:val="22"/>
          <w:lang w:val="en-GB"/>
        </w:rPr>
        <w:t>o</w:t>
      </w:r>
      <w:r w:rsidRPr="002440C5">
        <w:rPr>
          <w:spacing w:val="-2"/>
          <w:kern w:val="22"/>
          <w:lang w:val="en-GB"/>
        </w:rPr>
        <w:t>ffice in Zug.</w:t>
      </w:r>
    </w:p>
    <w:p w14:paraId="6F21DDD2" w14:textId="77777777" w:rsidR="00532643" w:rsidRPr="00633FF0" w:rsidRDefault="00532643" w:rsidP="00532643">
      <w:pPr>
        <w:pStyle w:val="BodyTextMain"/>
        <w:rPr>
          <w:lang w:val="en-GB"/>
        </w:rPr>
      </w:pPr>
    </w:p>
    <w:p w14:paraId="0147B5A8" w14:textId="6672966D" w:rsidR="00532643" w:rsidRPr="00633FF0" w:rsidRDefault="00532643" w:rsidP="00532643">
      <w:pPr>
        <w:pStyle w:val="BodyTextMain"/>
        <w:rPr>
          <w:lang w:val="en-GB"/>
        </w:rPr>
      </w:pPr>
      <w:r w:rsidRPr="00633FF0">
        <w:rPr>
          <w:lang w:val="en-GB"/>
        </w:rPr>
        <w:lastRenderedPageBreak/>
        <w:t xml:space="preserve">Although this structure provided clear reporting relationships for senior managers and </w:t>
      </w:r>
      <w:r w:rsidR="00DD12EC">
        <w:rPr>
          <w:lang w:val="en-GB"/>
        </w:rPr>
        <w:t>put</w:t>
      </w:r>
      <w:r w:rsidR="00DD12EC" w:rsidRPr="00633FF0">
        <w:rPr>
          <w:lang w:val="en-GB"/>
        </w:rPr>
        <w:t xml:space="preserve"> </w:t>
      </w:r>
      <w:r w:rsidRPr="00633FF0">
        <w:rPr>
          <w:lang w:val="en-GB"/>
        </w:rPr>
        <w:t>local managers in charge of operations at the regional level, it left as an open question how to most efficiently run the individual operations within each region.</w:t>
      </w:r>
      <w:r w:rsidR="00633FF0" w:rsidRPr="00633FF0">
        <w:rPr>
          <w:lang w:val="en-GB"/>
        </w:rPr>
        <w:t xml:space="preserve"> </w:t>
      </w:r>
      <w:r w:rsidRPr="00633FF0">
        <w:rPr>
          <w:lang w:val="en-GB"/>
        </w:rPr>
        <w:t>As this new structure started to demonstrate its value, the focus moved to how to increase and improve individual employee engagement.</w:t>
      </w:r>
      <w:r w:rsidR="00633FF0" w:rsidRPr="00633FF0">
        <w:rPr>
          <w:lang w:val="en-GB"/>
        </w:rPr>
        <w:t xml:space="preserve"> </w:t>
      </w:r>
      <w:r w:rsidRPr="00633FF0">
        <w:rPr>
          <w:lang w:val="en-GB"/>
        </w:rPr>
        <w:t xml:space="preserve">A consulting firm interviewed </w:t>
      </w:r>
      <w:proofErr w:type="spellStart"/>
      <w:r w:rsidR="00CD671F">
        <w:rPr>
          <w:lang w:val="en-GB"/>
        </w:rPr>
        <w:t>BauZentral</w:t>
      </w:r>
      <w:r w:rsidR="00DD12EC">
        <w:rPr>
          <w:lang w:val="en-GB"/>
        </w:rPr>
        <w:t>’s</w:t>
      </w:r>
      <w:proofErr w:type="spellEnd"/>
      <w:r w:rsidR="00DD12EC" w:rsidRPr="00633FF0">
        <w:rPr>
          <w:lang w:val="en-GB"/>
        </w:rPr>
        <w:t xml:space="preserve"> </w:t>
      </w:r>
      <w:r w:rsidRPr="00633FF0">
        <w:rPr>
          <w:lang w:val="en-GB"/>
        </w:rPr>
        <w:t>employees to better understand their views on this rapid growth.</w:t>
      </w:r>
      <w:r w:rsidR="00633FF0" w:rsidRPr="00633FF0">
        <w:rPr>
          <w:lang w:val="en-GB"/>
        </w:rPr>
        <w:t xml:space="preserve"> </w:t>
      </w:r>
      <w:r w:rsidR="00DD12EC">
        <w:rPr>
          <w:lang w:val="en-GB"/>
        </w:rPr>
        <w:t>Al</w:t>
      </w:r>
      <w:r w:rsidRPr="00633FF0">
        <w:rPr>
          <w:lang w:val="en-GB"/>
        </w:rPr>
        <w:t>though employees felt engaged, they were not entirely satisfied with their remuneration.</w:t>
      </w:r>
      <w:r w:rsidR="00633FF0" w:rsidRPr="00633FF0">
        <w:rPr>
          <w:lang w:val="en-GB"/>
        </w:rPr>
        <w:t xml:space="preserve"> </w:t>
      </w:r>
      <w:r w:rsidRPr="00633FF0">
        <w:rPr>
          <w:lang w:val="en-GB"/>
        </w:rPr>
        <w:t>This</w:t>
      </w:r>
      <w:r w:rsidR="00DD12EC">
        <w:rPr>
          <w:lang w:val="en-GB"/>
        </w:rPr>
        <w:t xml:space="preserve"> finding</w:t>
      </w:r>
      <w:r w:rsidRPr="00633FF0">
        <w:rPr>
          <w:lang w:val="en-GB"/>
        </w:rPr>
        <w:t xml:space="preserve"> suggested that </w:t>
      </w:r>
      <w:proofErr w:type="spellStart"/>
      <w:r w:rsidR="00CD671F">
        <w:rPr>
          <w:lang w:val="en-GB"/>
        </w:rPr>
        <w:t>BauZentral</w:t>
      </w:r>
      <w:proofErr w:type="spellEnd"/>
      <w:r w:rsidRPr="00633FF0">
        <w:rPr>
          <w:lang w:val="en-GB"/>
        </w:rPr>
        <w:t xml:space="preserve"> </w:t>
      </w:r>
      <w:r w:rsidR="00DD12EC" w:rsidRPr="00633FF0">
        <w:rPr>
          <w:lang w:val="en-GB"/>
        </w:rPr>
        <w:t>m</w:t>
      </w:r>
      <w:r w:rsidR="00DD12EC">
        <w:rPr>
          <w:lang w:val="en-GB"/>
        </w:rPr>
        <w:t>ight</w:t>
      </w:r>
      <w:r w:rsidR="00DD12EC" w:rsidRPr="00633FF0">
        <w:rPr>
          <w:lang w:val="en-GB"/>
        </w:rPr>
        <w:t xml:space="preserve"> </w:t>
      </w:r>
      <w:r w:rsidRPr="00633FF0">
        <w:rPr>
          <w:lang w:val="en-GB"/>
        </w:rPr>
        <w:t xml:space="preserve">want to consider changing the compensation and incentive structure to both improve employee compensation and align </w:t>
      </w:r>
      <w:r w:rsidR="00200FEE">
        <w:rPr>
          <w:lang w:val="en-GB"/>
        </w:rPr>
        <w:t xml:space="preserve">the </w:t>
      </w:r>
      <w:r w:rsidRPr="00633FF0">
        <w:rPr>
          <w:lang w:val="en-GB"/>
        </w:rPr>
        <w:t>compensation with the firm’s long</w:t>
      </w:r>
      <w:r w:rsidR="00DD12EC">
        <w:rPr>
          <w:lang w:val="en-GB"/>
        </w:rPr>
        <w:t>-</w:t>
      </w:r>
      <w:r w:rsidRPr="00633FF0">
        <w:rPr>
          <w:lang w:val="en-GB"/>
        </w:rPr>
        <w:t xml:space="preserve">term goals by </w:t>
      </w:r>
      <w:r w:rsidR="00DD12EC">
        <w:rPr>
          <w:lang w:val="en-GB"/>
        </w:rPr>
        <w:t>nurturing</w:t>
      </w:r>
      <w:r w:rsidR="00DD12EC" w:rsidRPr="00633FF0">
        <w:rPr>
          <w:lang w:val="en-GB"/>
        </w:rPr>
        <w:t xml:space="preserve"> </w:t>
      </w:r>
      <w:r w:rsidR="00200FEE">
        <w:rPr>
          <w:lang w:val="en-GB"/>
        </w:rPr>
        <w:t xml:space="preserve">in </w:t>
      </w:r>
      <w:r w:rsidRPr="00633FF0">
        <w:rPr>
          <w:lang w:val="en-GB"/>
        </w:rPr>
        <w:t>their employees a stronger connection with the firm and its success.</w:t>
      </w:r>
      <w:r w:rsidR="00633FF0" w:rsidRPr="00633FF0">
        <w:rPr>
          <w:lang w:val="en-GB"/>
        </w:rPr>
        <w:t xml:space="preserve"> </w:t>
      </w:r>
    </w:p>
    <w:p w14:paraId="3710A4F4" w14:textId="77777777" w:rsidR="00532643" w:rsidRPr="00633FF0" w:rsidRDefault="00532643" w:rsidP="00532643">
      <w:pPr>
        <w:pStyle w:val="BodyTextMain"/>
        <w:rPr>
          <w:lang w:val="en-GB"/>
        </w:rPr>
      </w:pPr>
    </w:p>
    <w:p w14:paraId="149503F4" w14:textId="1A0CF28B" w:rsidR="00532643" w:rsidRPr="00633FF0" w:rsidRDefault="00532643" w:rsidP="00532643">
      <w:pPr>
        <w:pStyle w:val="BodyTextMain"/>
        <w:rPr>
          <w:lang w:val="en-GB"/>
        </w:rPr>
      </w:pPr>
      <w:r w:rsidRPr="00633FF0">
        <w:rPr>
          <w:lang w:val="en-GB"/>
        </w:rPr>
        <w:t>Pieter</w:t>
      </w:r>
      <w:r w:rsidR="00DD12EC">
        <w:rPr>
          <w:lang w:val="en-GB"/>
        </w:rPr>
        <w:t>,</w:t>
      </w:r>
      <w:r w:rsidRPr="00633FF0">
        <w:rPr>
          <w:lang w:val="en-GB"/>
        </w:rPr>
        <w:t xml:space="preserve"> as the CEO, </w:t>
      </w:r>
      <w:r w:rsidR="00DD12EC">
        <w:rPr>
          <w:lang w:val="en-GB"/>
        </w:rPr>
        <w:t xml:space="preserve">and as </w:t>
      </w:r>
      <w:r w:rsidRPr="00633FF0">
        <w:rPr>
          <w:lang w:val="en-GB"/>
        </w:rPr>
        <w:t>a family member and shareholder</w:t>
      </w:r>
      <w:r w:rsidR="00DD12EC">
        <w:rPr>
          <w:lang w:val="en-GB"/>
        </w:rPr>
        <w:t>,</w:t>
      </w:r>
      <w:r w:rsidRPr="00633FF0">
        <w:rPr>
          <w:lang w:val="en-GB"/>
        </w:rPr>
        <w:t xml:space="preserve"> knew </w:t>
      </w:r>
      <w:r w:rsidR="00874288">
        <w:rPr>
          <w:lang w:val="en-GB"/>
        </w:rPr>
        <w:t xml:space="preserve">that </w:t>
      </w:r>
      <w:r w:rsidRPr="00633FF0">
        <w:rPr>
          <w:lang w:val="en-GB"/>
        </w:rPr>
        <w:t xml:space="preserve">any decision would </w:t>
      </w:r>
      <w:r w:rsidR="00DD12EC">
        <w:rPr>
          <w:lang w:val="en-GB"/>
        </w:rPr>
        <w:t>need</w:t>
      </w:r>
      <w:r w:rsidR="00DD12EC" w:rsidRPr="00633FF0">
        <w:rPr>
          <w:lang w:val="en-GB"/>
        </w:rPr>
        <w:t xml:space="preserve"> </w:t>
      </w:r>
      <w:r w:rsidRPr="00633FF0">
        <w:rPr>
          <w:lang w:val="en-GB"/>
        </w:rPr>
        <w:t xml:space="preserve">to address as many of the family values as possible while simultaneously </w:t>
      </w:r>
      <w:r w:rsidR="00DD12EC">
        <w:rPr>
          <w:lang w:val="en-GB"/>
        </w:rPr>
        <w:t>address</w:t>
      </w:r>
      <w:r w:rsidR="00DD12EC" w:rsidRPr="00633FF0">
        <w:rPr>
          <w:lang w:val="en-GB"/>
        </w:rPr>
        <w:t xml:space="preserve">ing </w:t>
      </w:r>
      <w:r w:rsidRPr="00633FF0">
        <w:rPr>
          <w:lang w:val="en-GB"/>
        </w:rPr>
        <w:t>the business concerns.</w:t>
      </w:r>
      <w:r w:rsidR="00633FF0" w:rsidRPr="00633FF0">
        <w:rPr>
          <w:lang w:val="en-GB"/>
        </w:rPr>
        <w:t xml:space="preserve"> </w:t>
      </w:r>
      <w:r w:rsidRPr="00633FF0">
        <w:rPr>
          <w:lang w:val="en-GB"/>
        </w:rPr>
        <w:t>Jens, as the CFO</w:t>
      </w:r>
      <w:r w:rsidR="00DD12EC">
        <w:rPr>
          <w:lang w:val="en-GB"/>
        </w:rPr>
        <w:t>,</w:t>
      </w:r>
      <w:r w:rsidRPr="00633FF0">
        <w:rPr>
          <w:lang w:val="en-GB"/>
        </w:rPr>
        <w:t xml:space="preserve"> and </w:t>
      </w:r>
      <w:r w:rsidR="00DD12EC">
        <w:rPr>
          <w:lang w:val="en-GB"/>
        </w:rPr>
        <w:t xml:space="preserve">as </w:t>
      </w:r>
      <w:r w:rsidRPr="00633FF0">
        <w:rPr>
          <w:lang w:val="en-GB"/>
        </w:rPr>
        <w:t>one of the few non-family shareholders</w:t>
      </w:r>
      <w:r w:rsidR="00DD12EC">
        <w:rPr>
          <w:lang w:val="en-GB"/>
        </w:rPr>
        <w:t>,</w:t>
      </w:r>
      <w:r w:rsidRPr="00633FF0">
        <w:rPr>
          <w:lang w:val="en-GB"/>
        </w:rPr>
        <w:t xml:space="preserve"> knew that he </w:t>
      </w:r>
      <w:r w:rsidR="00DD12EC">
        <w:rPr>
          <w:lang w:val="en-GB"/>
        </w:rPr>
        <w:t>needed</w:t>
      </w:r>
      <w:r w:rsidR="00DD12EC" w:rsidRPr="00633FF0">
        <w:rPr>
          <w:lang w:val="en-GB"/>
        </w:rPr>
        <w:t xml:space="preserve"> </w:t>
      </w:r>
      <w:r w:rsidRPr="00633FF0">
        <w:rPr>
          <w:lang w:val="en-GB"/>
        </w:rPr>
        <w:t>to ensure the firm was meeting its financial goals while also addressing the family</w:t>
      </w:r>
      <w:r w:rsidR="00DD12EC">
        <w:rPr>
          <w:lang w:val="en-GB"/>
        </w:rPr>
        <w:t>’s</w:t>
      </w:r>
      <w:r w:rsidRPr="00633FF0">
        <w:rPr>
          <w:lang w:val="en-GB"/>
        </w:rPr>
        <w:t xml:space="preserve"> values.</w:t>
      </w:r>
      <w:r w:rsidR="00633FF0" w:rsidRPr="00633FF0">
        <w:rPr>
          <w:lang w:val="en-GB"/>
        </w:rPr>
        <w:t xml:space="preserve"> </w:t>
      </w:r>
      <w:r w:rsidRPr="00633FF0">
        <w:rPr>
          <w:lang w:val="en-GB"/>
        </w:rPr>
        <w:t xml:space="preserve">This </w:t>
      </w:r>
      <w:r w:rsidR="00DD12EC">
        <w:rPr>
          <w:lang w:val="en-GB"/>
        </w:rPr>
        <w:t xml:space="preserve">balance </w:t>
      </w:r>
      <w:r w:rsidRPr="00633FF0">
        <w:rPr>
          <w:lang w:val="en-GB"/>
        </w:rPr>
        <w:t xml:space="preserve">was challenging because the family goals </w:t>
      </w:r>
      <w:r w:rsidR="00DD12EC">
        <w:rPr>
          <w:lang w:val="en-GB"/>
        </w:rPr>
        <w:t>we</w:t>
      </w:r>
      <w:r w:rsidR="00DD12EC" w:rsidRPr="00633FF0">
        <w:rPr>
          <w:lang w:val="en-GB"/>
        </w:rPr>
        <w:t xml:space="preserve">re </w:t>
      </w:r>
      <w:r w:rsidRPr="00633FF0">
        <w:rPr>
          <w:lang w:val="en-GB"/>
        </w:rPr>
        <w:t xml:space="preserve">not </w:t>
      </w:r>
      <w:r w:rsidR="00DD12EC">
        <w:rPr>
          <w:lang w:val="en-GB"/>
        </w:rPr>
        <w:t>always</w:t>
      </w:r>
      <w:r w:rsidR="00DD12EC" w:rsidRPr="00633FF0">
        <w:rPr>
          <w:lang w:val="en-GB"/>
        </w:rPr>
        <w:t xml:space="preserve"> </w:t>
      </w:r>
      <w:r w:rsidRPr="00633FF0">
        <w:rPr>
          <w:lang w:val="en-GB"/>
        </w:rPr>
        <w:t xml:space="preserve">easily quantifiable and achieving these non-financial goals </w:t>
      </w:r>
      <w:r w:rsidR="00DD12EC" w:rsidRPr="00633FF0">
        <w:rPr>
          <w:lang w:val="en-GB"/>
        </w:rPr>
        <w:t>w</w:t>
      </w:r>
      <w:r w:rsidR="00DD12EC">
        <w:rPr>
          <w:lang w:val="en-GB"/>
        </w:rPr>
        <w:t>ould</w:t>
      </w:r>
      <w:r w:rsidR="00DD12EC" w:rsidRPr="00633FF0">
        <w:rPr>
          <w:lang w:val="en-GB"/>
        </w:rPr>
        <w:t xml:space="preserve"> </w:t>
      </w:r>
      <w:r w:rsidRPr="00633FF0">
        <w:rPr>
          <w:lang w:val="en-GB"/>
        </w:rPr>
        <w:t>have financial implications.</w:t>
      </w:r>
      <w:r w:rsidR="00633FF0" w:rsidRPr="00633FF0">
        <w:rPr>
          <w:lang w:val="en-GB"/>
        </w:rPr>
        <w:t xml:space="preserve"> </w:t>
      </w:r>
    </w:p>
    <w:p w14:paraId="33C56861" w14:textId="77777777" w:rsidR="00532643" w:rsidRPr="00633FF0" w:rsidRDefault="00532643" w:rsidP="00532643">
      <w:pPr>
        <w:pStyle w:val="BodyTextMain"/>
        <w:rPr>
          <w:lang w:val="en-GB"/>
        </w:rPr>
      </w:pPr>
    </w:p>
    <w:p w14:paraId="374228AE" w14:textId="77777777" w:rsidR="00532643" w:rsidRPr="00633FF0" w:rsidRDefault="00532643" w:rsidP="00532643">
      <w:pPr>
        <w:pStyle w:val="BodyTextMain"/>
        <w:rPr>
          <w:lang w:val="en-GB"/>
        </w:rPr>
      </w:pPr>
    </w:p>
    <w:p w14:paraId="001F7415" w14:textId="5501BC92" w:rsidR="00532643" w:rsidRPr="00633FF0" w:rsidRDefault="00532643" w:rsidP="00532643">
      <w:pPr>
        <w:pStyle w:val="Casehead1"/>
        <w:rPr>
          <w:lang w:val="en-GB"/>
        </w:rPr>
      </w:pPr>
      <w:r w:rsidRPr="00633FF0">
        <w:rPr>
          <w:lang w:val="en-GB"/>
        </w:rPr>
        <w:t xml:space="preserve">Ownership Structure of </w:t>
      </w:r>
      <w:r w:rsidR="00CD671F">
        <w:rPr>
          <w:lang w:val="en-GB"/>
        </w:rPr>
        <w:t>BauZentral</w:t>
      </w:r>
    </w:p>
    <w:p w14:paraId="51B4E713" w14:textId="77777777" w:rsidR="00532643" w:rsidRPr="00633FF0" w:rsidRDefault="00532643" w:rsidP="00532643">
      <w:pPr>
        <w:pStyle w:val="BodyTextMain"/>
        <w:rPr>
          <w:lang w:val="en-GB"/>
        </w:rPr>
      </w:pPr>
    </w:p>
    <w:p w14:paraId="2411AC81" w14:textId="3EAC193C" w:rsidR="00532643" w:rsidRPr="00633FF0" w:rsidRDefault="00532643" w:rsidP="00532643">
      <w:pPr>
        <w:pStyle w:val="BodyTextMain"/>
        <w:rPr>
          <w:lang w:val="en-GB"/>
        </w:rPr>
      </w:pPr>
      <w:r w:rsidRPr="00633FF0">
        <w:rPr>
          <w:lang w:val="en-GB"/>
        </w:rPr>
        <w:t xml:space="preserve">To understand how decisions </w:t>
      </w:r>
      <w:r w:rsidR="00DD12EC">
        <w:rPr>
          <w:lang w:val="en-GB"/>
        </w:rPr>
        <w:t>we</w:t>
      </w:r>
      <w:r w:rsidR="00DD12EC" w:rsidRPr="00633FF0">
        <w:rPr>
          <w:lang w:val="en-GB"/>
        </w:rPr>
        <w:t xml:space="preserve">re </w:t>
      </w:r>
      <w:r w:rsidRPr="00633FF0">
        <w:rPr>
          <w:lang w:val="en-GB"/>
        </w:rPr>
        <w:t>made</w:t>
      </w:r>
      <w:r w:rsidR="001E2371">
        <w:rPr>
          <w:lang w:val="en-GB"/>
        </w:rPr>
        <w:t xml:space="preserve"> at </w:t>
      </w:r>
      <w:proofErr w:type="spellStart"/>
      <w:r w:rsidR="00CD671F">
        <w:rPr>
          <w:lang w:val="en-GB"/>
        </w:rPr>
        <w:t>BauZentral</w:t>
      </w:r>
      <w:proofErr w:type="spellEnd"/>
      <w:r w:rsidRPr="00633FF0">
        <w:rPr>
          <w:lang w:val="en-GB"/>
        </w:rPr>
        <w:t xml:space="preserve">, it </w:t>
      </w:r>
      <w:r w:rsidR="00926245">
        <w:rPr>
          <w:lang w:val="en-GB"/>
        </w:rPr>
        <w:t>wa</w:t>
      </w:r>
      <w:r w:rsidR="00926245" w:rsidRPr="00633FF0">
        <w:rPr>
          <w:lang w:val="en-GB"/>
        </w:rPr>
        <w:t xml:space="preserve">s </w:t>
      </w:r>
      <w:r w:rsidRPr="00633FF0">
        <w:rPr>
          <w:lang w:val="en-GB"/>
        </w:rPr>
        <w:t xml:space="preserve">important to </w:t>
      </w:r>
      <w:r w:rsidR="001E2371">
        <w:rPr>
          <w:lang w:val="en-GB"/>
        </w:rPr>
        <w:t xml:space="preserve">first </w:t>
      </w:r>
      <w:r w:rsidRPr="00633FF0">
        <w:rPr>
          <w:lang w:val="en-GB"/>
        </w:rPr>
        <w:t>understand the structure of the family ownership and thus how the family owners</w:t>
      </w:r>
      <w:r w:rsidR="00926245">
        <w:rPr>
          <w:lang w:val="en-GB"/>
        </w:rPr>
        <w:t xml:space="preserve"> made decisions</w:t>
      </w:r>
      <w:r w:rsidRPr="00633FF0">
        <w:rPr>
          <w:lang w:val="en-GB"/>
        </w:rPr>
        <w:t>.</w:t>
      </w:r>
      <w:r w:rsidR="00633FF0" w:rsidRPr="00633FF0">
        <w:rPr>
          <w:lang w:val="en-GB"/>
        </w:rPr>
        <w:t xml:space="preserve"> </w:t>
      </w:r>
      <w:r w:rsidR="00926245">
        <w:rPr>
          <w:lang w:val="en-GB"/>
        </w:rPr>
        <w:t>T</w:t>
      </w:r>
      <w:r w:rsidR="001E2371">
        <w:rPr>
          <w:lang w:val="en-GB"/>
        </w:rPr>
        <w:t xml:space="preserve">he family had </w:t>
      </w:r>
      <w:r w:rsidRPr="00633FF0">
        <w:rPr>
          <w:lang w:val="en-GB"/>
        </w:rPr>
        <w:t xml:space="preserve">established </w:t>
      </w:r>
      <w:r w:rsidR="00926245">
        <w:rPr>
          <w:lang w:val="en-GB"/>
        </w:rPr>
        <w:t xml:space="preserve">a trust </w:t>
      </w:r>
      <w:r w:rsidRPr="00633FF0">
        <w:rPr>
          <w:lang w:val="en-GB"/>
        </w:rPr>
        <w:t xml:space="preserve">to hold all of the shares on behalf of the </w:t>
      </w:r>
      <w:r w:rsidR="001E2371">
        <w:rPr>
          <w:lang w:val="en-GB"/>
        </w:rPr>
        <w:t>f</w:t>
      </w:r>
      <w:r w:rsidRPr="00633FF0">
        <w:rPr>
          <w:lang w:val="en-GB"/>
        </w:rPr>
        <w:t xml:space="preserve">amily </w:t>
      </w:r>
      <w:r w:rsidR="001E2371">
        <w:rPr>
          <w:lang w:val="en-GB"/>
        </w:rPr>
        <w:t>m</w:t>
      </w:r>
      <w:r w:rsidRPr="00633FF0">
        <w:rPr>
          <w:lang w:val="en-GB"/>
        </w:rPr>
        <w:t xml:space="preserve">embers. Although the shares </w:t>
      </w:r>
      <w:r w:rsidR="001E2371">
        <w:rPr>
          <w:lang w:val="en-GB"/>
        </w:rPr>
        <w:t>had</w:t>
      </w:r>
      <w:r w:rsidRPr="00633FF0">
        <w:rPr>
          <w:lang w:val="en-GB"/>
        </w:rPr>
        <w:t xml:space="preserve"> the economic rights to dividend payments from the firm</w:t>
      </w:r>
      <w:r w:rsidR="001E2371">
        <w:rPr>
          <w:lang w:val="en-GB"/>
        </w:rPr>
        <w:t>,</w:t>
      </w:r>
      <w:r w:rsidRPr="00633FF0">
        <w:rPr>
          <w:lang w:val="en-GB"/>
        </w:rPr>
        <w:t xml:space="preserve"> the dividends </w:t>
      </w:r>
      <w:r w:rsidR="001E2371">
        <w:rPr>
          <w:lang w:val="en-GB"/>
        </w:rPr>
        <w:t>we</w:t>
      </w:r>
      <w:r w:rsidR="001E2371" w:rsidRPr="00633FF0">
        <w:rPr>
          <w:lang w:val="en-GB"/>
        </w:rPr>
        <w:t xml:space="preserve">re </w:t>
      </w:r>
      <w:r w:rsidRPr="00633FF0">
        <w:rPr>
          <w:lang w:val="en-GB"/>
        </w:rPr>
        <w:t xml:space="preserve">spread across 18 </w:t>
      </w:r>
      <w:r w:rsidR="00200FEE">
        <w:rPr>
          <w:lang w:val="en-GB"/>
        </w:rPr>
        <w:t xml:space="preserve">family </w:t>
      </w:r>
      <w:r w:rsidRPr="00633FF0">
        <w:rPr>
          <w:lang w:val="en-GB"/>
        </w:rPr>
        <w:t>shareholders according to their percentage ownership.</w:t>
      </w:r>
      <w:r w:rsidR="00633FF0" w:rsidRPr="00633FF0">
        <w:rPr>
          <w:lang w:val="en-GB"/>
        </w:rPr>
        <w:t xml:space="preserve"> </w:t>
      </w:r>
      <w:r w:rsidRPr="00633FF0">
        <w:rPr>
          <w:lang w:val="en-GB"/>
        </w:rPr>
        <w:t xml:space="preserve">The decision-making, however, </w:t>
      </w:r>
      <w:r w:rsidR="001E2371">
        <w:rPr>
          <w:lang w:val="en-GB"/>
        </w:rPr>
        <w:t>wa</w:t>
      </w:r>
      <w:r w:rsidR="001E2371" w:rsidRPr="00633FF0">
        <w:rPr>
          <w:lang w:val="en-GB"/>
        </w:rPr>
        <w:t xml:space="preserve">s </w:t>
      </w:r>
      <w:r w:rsidRPr="00633FF0">
        <w:rPr>
          <w:lang w:val="en-GB"/>
        </w:rPr>
        <w:t xml:space="preserve">controlled by the </w:t>
      </w:r>
      <w:r w:rsidR="001E2371">
        <w:rPr>
          <w:lang w:val="en-GB"/>
        </w:rPr>
        <w:t xml:space="preserve">trust’s </w:t>
      </w:r>
      <w:r w:rsidRPr="00633FF0">
        <w:rPr>
          <w:lang w:val="en-GB"/>
        </w:rPr>
        <w:t xml:space="preserve">four </w:t>
      </w:r>
      <w:r w:rsidR="001E2371">
        <w:rPr>
          <w:lang w:val="en-GB"/>
        </w:rPr>
        <w:t>t</w:t>
      </w:r>
      <w:r w:rsidRPr="00633FF0">
        <w:rPr>
          <w:lang w:val="en-GB"/>
        </w:rPr>
        <w:t>rustees</w:t>
      </w:r>
      <w:r w:rsidR="001E2371">
        <w:rPr>
          <w:lang w:val="en-GB"/>
        </w:rPr>
        <w:t xml:space="preserve">, </w:t>
      </w:r>
      <w:r w:rsidRPr="00633FF0">
        <w:rPr>
          <w:lang w:val="en-GB"/>
        </w:rPr>
        <w:t xml:space="preserve">or </w:t>
      </w:r>
      <w:r w:rsidR="001E2371">
        <w:rPr>
          <w:lang w:val="en-GB"/>
        </w:rPr>
        <w:t>b</w:t>
      </w:r>
      <w:r w:rsidRPr="00633FF0">
        <w:rPr>
          <w:lang w:val="en-GB"/>
        </w:rPr>
        <w:t xml:space="preserve">oard members, all of whom </w:t>
      </w:r>
      <w:r w:rsidR="001E2371">
        <w:rPr>
          <w:lang w:val="en-GB"/>
        </w:rPr>
        <w:t>we</w:t>
      </w:r>
      <w:r w:rsidR="001E2371" w:rsidRPr="00633FF0">
        <w:rPr>
          <w:lang w:val="en-GB"/>
        </w:rPr>
        <w:t xml:space="preserve">re </w:t>
      </w:r>
      <w:r w:rsidRPr="00633FF0">
        <w:rPr>
          <w:lang w:val="en-GB"/>
        </w:rPr>
        <w:t xml:space="preserve">shareholders </w:t>
      </w:r>
      <w:r w:rsidR="001E2371">
        <w:rPr>
          <w:lang w:val="en-GB"/>
        </w:rPr>
        <w:t>who had been</w:t>
      </w:r>
      <w:r w:rsidRPr="00633FF0">
        <w:rPr>
          <w:lang w:val="en-GB"/>
        </w:rPr>
        <w:t xml:space="preserve"> elected by the 18 </w:t>
      </w:r>
      <w:r w:rsidR="001E2371">
        <w:rPr>
          <w:lang w:val="en-GB"/>
        </w:rPr>
        <w:t xml:space="preserve">family </w:t>
      </w:r>
      <w:r w:rsidRPr="00633FF0">
        <w:rPr>
          <w:lang w:val="en-GB"/>
        </w:rPr>
        <w:t xml:space="preserve">shareholders. The four </w:t>
      </w:r>
      <w:r w:rsidR="001E2371">
        <w:rPr>
          <w:lang w:val="en-GB"/>
        </w:rPr>
        <w:t>t</w:t>
      </w:r>
      <w:r w:rsidRPr="00633FF0">
        <w:rPr>
          <w:lang w:val="en-GB"/>
        </w:rPr>
        <w:t xml:space="preserve">rustees each </w:t>
      </w:r>
      <w:r w:rsidR="001E2371" w:rsidRPr="00633FF0">
        <w:rPr>
          <w:lang w:val="en-GB"/>
        </w:rPr>
        <w:t>ha</w:t>
      </w:r>
      <w:r w:rsidR="001E2371">
        <w:rPr>
          <w:lang w:val="en-GB"/>
        </w:rPr>
        <w:t>d</w:t>
      </w:r>
      <w:r w:rsidR="001E2371" w:rsidRPr="00633FF0">
        <w:rPr>
          <w:lang w:val="en-GB"/>
        </w:rPr>
        <w:t xml:space="preserve"> </w:t>
      </w:r>
      <w:r w:rsidRPr="00633FF0">
        <w:rPr>
          <w:lang w:val="en-GB"/>
        </w:rPr>
        <w:t>one vote.</w:t>
      </w:r>
      <w:r w:rsidR="00633FF0" w:rsidRPr="00633FF0">
        <w:rPr>
          <w:lang w:val="en-GB"/>
        </w:rPr>
        <w:t xml:space="preserve"> </w:t>
      </w:r>
      <w:r w:rsidRPr="00633FF0">
        <w:rPr>
          <w:lang w:val="en-GB"/>
        </w:rPr>
        <w:t xml:space="preserve">The 18 shareholders </w:t>
      </w:r>
      <w:r w:rsidR="001E2371" w:rsidRPr="00633FF0">
        <w:rPr>
          <w:lang w:val="en-GB"/>
        </w:rPr>
        <w:t>d</w:t>
      </w:r>
      <w:r w:rsidR="001E2371">
        <w:rPr>
          <w:lang w:val="en-GB"/>
        </w:rPr>
        <w:t>id</w:t>
      </w:r>
      <w:r w:rsidR="001E2371" w:rsidRPr="00633FF0">
        <w:rPr>
          <w:lang w:val="en-GB"/>
        </w:rPr>
        <w:t xml:space="preserve"> </w:t>
      </w:r>
      <w:r w:rsidRPr="00633FF0">
        <w:rPr>
          <w:lang w:val="en-GB"/>
        </w:rPr>
        <w:t xml:space="preserve">not have the same number of shares and voting rights when voting for the </w:t>
      </w:r>
      <w:r w:rsidR="001E2371">
        <w:rPr>
          <w:lang w:val="en-GB"/>
        </w:rPr>
        <w:t>t</w:t>
      </w:r>
      <w:r w:rsidRPr="00633FF0">
        <w:rPr>
          <w:lang w:val="en-GB"/>
        </w:rPr>
        <w:t>rustees.</w:t>
      </w:r>
      <w:r w:rsidR="00633FF0" w:rsidRPr="00633FF0">
        <w:rPr>
          <w:lang w:val="en-GB"/>
        </w:rPr>
        <w:t xml:space="preserve"> </w:t>
      </w:r>
      <w:r w:rsidRPr="00633FF0">
        <w:rPr>
          <w:lang w:val="en-GB"/>
        </w:rPr>
        <w:t xml:space="preserve">Specifically, </w:t>
      </w:r>
      <w:r w:rsidR="001E2371">
        <w:rPr>
          <w:lang w:val="en-GB"/>
        </w:rPr>
        <w:t>two</w:t>
      </w:r>
      <w:r w:rsidRPr="00633FF0">
        <w:rPr>
          <w:lang w:val="en-GB"/>
        </w:rPr>
        <w:t xml:space="preserve"> sisters</w:t>
      </w:r>
      <w:r w:rsidR="00633FF0" w:rsidRPr="00633FF0">
        <w:rPr>
          <w:lang w:val="en-GB"/>
        </w:rPr>
        <w:t xml:space="preserve"> </w:t>
      </w:r>
      <w:r w:rsidR="001E2371">
        <w:rPr>
          <w:lang w:val="en-GB"/>
        </w:rPr>
        <w:t xml:space="preserve">(who were also board members) </w:t>
      </w:r>
      <w:r w:rsidRPr="00633FF0">
        <w:rPr>
          <w:lang w:val="en-GB"/>
        </w:rPr>
        <w:t>each own</w:t>
      </w:r>
      <w:r w:rsidR="001E2371">
        <w:rPr>
          <w:lang w:val="en-GB"/>
        </w:rPr>
        <w:t>ed</w:t>
      </w:r>
      <w:r w:rsidRPr="00633FF0">
        <w:rPr>
          <w:lang w:val="en-GB"/>
        </w:rPr>
        <w:t xml:space="preserve"> 25</w:t>
      </w:r>
      <w:r w:rsidR="001E2371">
        <w:rPr>
          <w:lang w:val="en-GB"/>
        </w:rPr>
        <w:t xml:space="preserve"> per cent</w:t>
      </w:r>
      <w:r w:rsidRPr="00633FF0">
        <w:rPr>
          <w:lang w:val="en-GB"/>
        </w:rPr>
        <w:t xml:space="preserve"> of the voting rights, </w:t>
      </w:r>
      <w:r w:rsidR="001E2371">
        <w:rPr>
          <w:lang w:val="en-GB"/>
        </w:rPr>
        <w:t xml:space="preserve">and </w:t>
      </w:r>
      <w:r w:rsidRPr="00633FF0">
        <w:rPr>
          <w:lang w:val="en-GB"/>
        </w:rPr>
        <w:t>the remaining 50</w:t>
      </w:r>
      <w:r w:rsidR="001E2371">
        <w:rPr>
          <w:lang w:val="en-GB"/>
        </w:rPr>
        <w:t xml:space="preserve"> per cent of voting rights</w:t>
      </w:r>
      <w:r w:rsidRPr="00633FF0">
        <w:rPr>
          <w:lang w:val="en-GB"/>
        </w:rPr>
        <w:t xml:space="preserve"> </w:t>
      </w:r>
      <w:r w:rsidR="001E2371">
        <w:rPr>
          <w:lang w:val="en-GB"/>
        </w:rPr>
        <w:t>we</w:t>
      </w:r>
      <w:r w:rsidR="001E2371" w:rsidRPr="00633FF0">
        <w:rPr>
          <w:lang w:val="en-GB"/>
        </w:rPr>
        <w:t xml:space="preserve">re </w:t>
      </w:r>
      <w:r w:rsidRPr="00633FF0">
        <w:rPr>
          <w:lang w:val="en-GB"/>
        </w:rPr>
        <w:t>split among the remaining 16 shareholders in stakes ranging from 1</w:t>
      </w:r>
      <w:r w:rsidR="001E2371">
        <w:rPr>
          <w:lang w:val="en-GB"/>
        </w:rPr>
        <w:t xml:space="preserve"> per cent</w:t>
      </w:r>
      <w:r w:rsidRPr="00633FF0">
        <w:rPr>
          <w:lang w:val="en-GB"/>
        </w:rPr>
        <w:t xml:space="preserve"> to 14</w:t>
      </w:r>
      <w:r w:rsidR="001E2371">
        <w:rPr>
          <w:lang w:val="en-GB"/>
        </w:rPr>
        <w:t xml:space="preserve"> per cent</w:t>
      </w:r>
      <w:r w:rsidRPr="00633FF0">
        <w:rPr>
          <w:lang w:val="en-GB"/>
        </w:rPr>
        <w:t xml:space="preserve">. As the owner of the shares, the </w:t>
      </w:r>
      <w:r w:rsidR="001E2371">
        <w:rPr>
          <w:lang w:val="en-GB"/>
        </w:rPr>
        <w:t>t</w:t>
      </w:r>
      <w:r w:rsidRPr="00633FF0">
        <w:rPr>
          <w:lang w:val="en-GB"/>
        </w:rPr>
        <w:t xml:space="preserve">rust </w:t>
      </w:r>
      <w:r w:rsidR="001E2371">
        <w:rPr>
          <w:lang w:val="en-GB"/>
        </w:rPr>
        <w:t>was required to</w:t>
      </w:r>
      <w:r w:rsidR="001E2371" w:rsidRPr="00633FF0">
        <w:rPr>
          <w:lang w:val="en-GB"/>
        </w:rPr>
        <w:t xml:space="preserve"> approv</w:t>
      </w:r>
      <w:r w:rsidR="001E2371">
        <w:rPr>
          <w:lang w:val="en-GB"/>
        </w:rPr>
        <w:t>e</w:t>
      </w:r>
      <w:r w:rsidR="001E2371" w:rsidRPr="00633FF0">
        <w:rPr>
          <w:lang w:val="en-GB"/>
        </w:rPr>
        <w:t xml:space="preserve"> </w:t>
      </w:r>
      <w:r w:rsidRPr="00633FF0">
        <w:rPr>
          <w:lang w:val="en-GB"/>
        </w:rPr>
        <w:t>all major decisions.</w:t>
      </w:r>
      <w:r w:rsidR="00633FF0" w:rsidRPr="00633FF0">
        <w:rPr>
          <w:lang w:val="en-GB"/>
        </w:rPr>
        <w:t xml:space="preserve"> </w:t>
      </w:r>
      <w:r w:rsidRPr="00633FF0">
        <w:rPr>
          <w:lang w:val="en-GB"/>
        </w:rPr>
        <w:t xml:space="preserve">The </w:t>
      </w:r>
      <w:r w:rsidR="001E2371">
        <w:rPr>
          <w:lang w:val="en-GB"/>
        </w:rPr>
        <w:t>b</w:t>
      </w:r>
      <w:r w:rsidRPr="00633FF0">
        <w:rPr>
          <w:lang w:val="en-GB"/>
        </w:rPr>
        <w:t xml:space="preserve">oard of the </w:t>
      </w:r>
      <w:r w:rsidR="001E2371">
        <w:rPr>
          <w:lang w:val="en-GB"/>
        </w:rPr>
        <w:t>t</w:t>
      </w:r>
      <w:r w:rsidRPr="00633FF0">
        <w:rPr>
          <w:lang w:val="en-GB"/>
        </w:rPr>
        <w:t xml:space="preserve">rust </w:t>
      </w:r>
      <w:r w:rsidR="001E2371" w:rsidRPr="00633FF0">
        <w:rPr>
          <w:lang w:val="en-GB"/>
        </w:rPr>
        <w:t>ha</w:t>
      </w:r>
      <w:r w:rsidR="001E2371">
        <w:rPr>
          <w:lang w:val="en-GB"/>
        </w:rPr>
        <w:t>d</w:t>
      </w:r>
      <w:r w:rsidR="001E2371" w:rsidRPr="00633FF0">
        <w:rPr>
          <w:lang w:val="en-GB"/>
        </w:rPr>
        <w:t xml:space="preserve"> </w:t>
      </w:r>
      <w:r w:rsidRPr="00633FF0">
        <w:rPr>
          <w:lang w:val="en-GB"/>
        </w:rPr>
        <w:t xml:space="preserve">significant confidence in </w:t>
      </w:r>
      <w:r w:rsidR="001E2371">
        <w:rPr>
          <w:lang w:val="en-GB"/>
        </w:rPr>
        <w:t>its</w:t>
      </w:r>
      <w:r w:rsidR="001E2371" w:rsidRPr="00633FF0">
        <w:rPr>
          <w:lang w:val="en-GB"/>
        </w:rPr>
        <w:t xml:space="preserve"> </w:t>
      </w:r>
      <w:r w:rsidRPr="00633FF0">
        <w:rPr>
          <w:lang w:val="en-GB"/>
        </w:rPr>
        <w:t>family CEO</w:t>
      </w:r>
      <w:r w:rsidR="001E2371">
        <w:rPr>
          <w:lang w:val="en-GB"/>
        </w:rPr>
        <w:t>,</w:t>
      </w:r>
      <w:r w:rsidRPr="00633FF0">
        <w:rPr>
          <w:lang w:val="en-GB"/>
        </w:rPr>
        <w:t xml:space="preserve"> so his recommendations </w:t>
      </w:r>
      <w:r w:rsidR="001E2371" w:rsidRPr="00633FF0">
        <w:rPr>
          <w:lang w:val="en-GB"/>
        </w:rPr>
        <w:t>h</w:t>
      </w:r>
      <w:r w:rsidR="001E2371">
        <w:rPr>
          <w:lang w:val="en-GB"/>
        </w:rPr>
        <w:t>e</w:t>
      </w:r>
      <w:r w:rsidR="001E2371" w:rsidRPr="00633FF0">
        <w:rPr>
          <w:lang w:val="en-GB"/>
        </w:rPr>
        <w:t xml:space="preserve">ld </w:t>
      </w:r>
      <w:r w:rsidRPr="00633FF0">
        <w:rPr>
          <w:lang w:val="en-GB"/>
        </w:rPr>
        <w:t xml:space="preserve">substantial sway with the </w:t>
      </w:r>
      <w:r w:rsidR="001E2371">
        <w:rPr>
          <w:lang w:val="en-GB"/>
        </w:rPr>
        <w:t>b</w:t>
      </w:r>
      <w:r w:rsidRPr="00633FF0">
        <w:rPr>
          <w:lang w:val="en-GB"/>
        </w:rPr>
        <w:t xml:space="preserve">oard of the </w:t>
      </w:r>
      <w:r w:rsidR="001E2371">
        <w:rPr>
          <w:lang w:val="en-GB"/>
        </w:rPr>
        <w:t>t</w:t>
      </w:r>
      <w:r w:rsidRPr="00633FF0">
        <w:rPr>
          <w:lang w:val="en-GB"/>
        </w:rPr>
        <w:t>rust and the shareholders.</w:t>
      </w:r>
      <w:r w:rsidR="00633FF0" w:rsidRPr="00633FF0">
        <w:rPr>
          <w:lang w:val="en-GB"/>
        </w:rPr>
        <w:t xml:space="preserve"> </w:t>
      </w:r>
      <w:r w:rsidRPr="00633FF0">
        <w:rPr>
          <w:lang w:val="en-GB"/>
        </w:rPr>
        <w:t xml:space="preserve">Consequently, the CEO wanted to </w:t>
      </w:r>
      <w:r w:rsidR="001E2371">
        <w:rPr>
          <w:lang w:val="en-GB"/>
        </w:rPr>
        <w:t>en</w:t>
      </w:r>
      <w:r w:rsidRPr="00633FF0">
        <w:rPr>
          <w:lang w:val="en-GB"/>
        </w:rPr>
        <w:t xml:space="preserve">sure that he presented </w:t>
      </w:r>
      <w:r w:rsidR="001E2371" w:rsidRPr="00633FF0">
        <w:rPr>
          <w:lang w:val="en-GB"/>
        </w:rPr>
        <w:t xml:space="preserve">the best recommendation possible </w:t>
      </w:r>
      <w:r w:rsidRPr="00633FF0">
        <w:rPr>
          <w:lang w:val="en-GB"/>
        </w:rPr>
        <w:t xml:space="preserve">to the </w:t>
      </w:r>
      <w:r w:rsidR="001E2371">
        <w:rPr>
          <w:lang w:val="en-GB"/>
        </w:rPr>
        <w:t>b</w:t>
      </w:r>
      <w:r w:rsidR="001E2371" w:rsidRPr="00633FF0">
        <w:rPr>
          <w:lang w:val="en-GB"/>
        </w:rPr>
        <w:t>oard</w:t>
      </w:r>
      <w:r w:rsidRPr="00633FF0">
        <w:rPr>
          <w:lang w:val="en-GB"/>
        </w:rPr>
        <w:t>.</w:t>
      </w:r>
    </w:p>
    <w:p w14:paraId="5513A89A" w14:textId="77777777" w:rsidR="00532643" w:rsidRPr="00633FF0" w:rsidRDefault="00532643" w:rsidP="00532643">
      <w:pPr>
        <w:pStyle w:val="BodyTextMain"/>
        <w:rPr>
          <w:lang w:val="en-GB"/>
        </w:rPr>
      </w:pPr>
    </w:p>
    <w:p w14:paraId="6E3810AE" w14:textId="311FC0A0" w:rsidR="00532643" w:rsidRDefault="00532643" w:rsidP="00532643">
      <w:pPr>
        <w:pStyle w:val="BodyTextMain"/>
        <w:rPr>
          <w:lang w:val="en-GB"/>
        </w:rPr>
      </w:pPr>
      <w:r w:rsidRPr="00633FF0">
        <w:rPr>
          <w:lang w:val="en-GB"/>
        </w:rPr>
        <w:t xml:space="preserve">Although Pieter realized that the </w:t>
      </w:r>
      <w:r w:rsidR="001E2371">
        <w:rPr>
          <w:lang w:val="en-GB"/>
        </w:rPr>
        <w:t>b</w:t>
      </w:r>
      <w:r w:rsidRPr="00633FF0">
        <w:rPr>
          <w:lang w:val="en-GB"/>
        </w:rPr>
        <w:t xml:space="preserve">oard of the </w:t>
      </w:r>
      <w:r w:rsidR="001E2371">
        <w:rPr>
          <w:lang w:val="en-GB"/>
        </w:rPr>
        <w:t>t</w:t>
      </w:r>
      <w:r w:rsidRPr="00633FF0">
        <w:rPr>
          <w:lang w:val="en-GB"/>
        </w:rPr>
        <w:t xml:space="preserve">rust </w:t>
      </w:r>
      <w:r w:rsidR="001E2371" w:rsidRPr="00633FF0">
        <w:rPr>
          <w:lang w:val="en-GB"/>
        </w:rPr>
        <w:t>w</w:t>
      </w:r>
      <w:r w:rsidR="001E2371">
        <w:rPr>
          <w:lang w:val="en-GB"/>
        </w:rPr>
        <w:t>ould</w:t>
      </w:r>
      <w:r w:rsidR="001E2371" w:rsidRPr="00633FF0">
        <w:rPr>
          <w:lang w:val="en-GB"/>
        </w:rPr>
        <w:t xml:space="preserve"> </w:t>
      </w:r>
      <w:r w:rsidRPr="00633FF0">
        <w:rPr>
          <w:lang w:val="en-GB"/>
        </w:rPr>
        <w:t xml:space="preserve">ultimately </w:t>
      </w:r>
      <w:r w:rsidR="001E2371" w:rsidRPr="00633FF0">
        <w:rPr>
          <w:lang w:val="en-GB"/>
        </w:rPr>
        <w:t>guid</w:t>
      </w:r>
      <w:r w:rsidR="001E2371">
        <w:rPr>
          <w:lang w:val="en-GB"/>
        </w:rPr>
        <w:t>e</w:t>
      </w:r>
      <w:r w:rsidR="001E2371" w:rsidRPr="00633FF0">
        <w:rPr>
          <w:lang w:val="en-GB"/>
        </w:rPr>
        <w:t xml:space="preserve"> </w:t>
      </w:r>
      <w:r w:rsidRPr="00633FF0">
        <w:rPr>
          <w:lang w:val="en-GB"/>
        </w:rPr>
        <w:t>the decision-making process</w:t>
      </w:r>
      <w:r w:rsidR="00926245">
        <w:rPr>
          <w:lang w:val="en-GB"/>
        </w:rPr>
        <w:t>, he also knew that each family member did not interpret the family values similarly</w:t>
      </w:r>
      <w:r w:rsidRPr="00633FF0">
        <w:rPr>
          <w:lang w:val="en-GB"/>
        </w:rPr>
        <w:t>.</w:t>
      </w:r>
      <w:r w:rsidR="00633FF0" w:rsidRPr="00633FF0">
        <w:rPr>
          <w:lang w:val="en-GB"/>
        </w:rPr>
        <w:t xml:space="preserve"> </w:t>
      </w:r>
      <w:r w:rsidR="00926245">
        <w:rPr>
          <w:lang w:val="en-GB"/>
        </w:rPr>
        <w:t xml:space="preserve">For example, for </w:t>
      </w:r>
      <w:r w:rsidRPr="00633FF0">
        <w:rPr>
          <w:lang w:val="en-GB"/>
        </w:rPr>
        <w:t>some within the family</w:t>
      </w:r>
      <w:r w:rsidR="001E2371">
        <w:rPr>
          <w:lang w:val="en-GB"/>
        </w:rPr>
        <w:t>,</w:t>
      </w:r>
      <w:r w:rsidRPr="00633FF0">
        <w:rPr>
          <w:lang w:val="en-GB"/>
        </w:rPr>
        <w:t xml:space="preserve"> the financial trade-offs were most important</w:t>
      </w:r>
      <w:r w:rsidR="001E2371">
        <w:rPr>
          <w:lang w:val="en-GB"/>
        </w:rPr>
        <w:t>,</w:t>
      </w:r>
      <w:r w:rsidRPr="00633FF0">
        <w:rPr>
          <w:lang w:val="en-GB"/>
        </w:rPr>
        <w:t xml:space="preserve"> whereas others </w:t>
      </w:r>
      <w:r w:rsidR="001E2371">
        <w:rPr>
          <w:lang w:val="en-GB"/>
        </w:rPr>
        <w:t xml:space="preserve">put </w:t>
      </w:r>
      <w:r w:rsidRPr="00633FF0">
        <w:rPr>
          <w:lang w:val="en-GB"/>
        </w:rPr>
        <w:t>more weight on the less tangible outcomes</w:t>
      </w:r>
      <w:r w:rsidR="001E2371">
        <w:rPr>
          <w:lang w:val="en-GB"/>
        </w:rPr>
        <w:t>,</w:t>
      </w:r>
      <w:r w:rsidRPr="00633FF0">
        <w:rPr>
          <w:lang w:val="en-GB"/>
        </w:rPr>
        <w:t xml:space="preserve"> such as highly educated and engaged employees </w:t>
      </w:r>
      <w:r w:rsidR="002A49DC">
        <w:rPr>
          <w:lang w:val="en-GB"/>
        </w:rPr>
        <w:t xml:space="preserve">and </w:t>
      </w:r>
      <w:r w:rsidRPr="00633FF0">
        <w:rPr>
          <w:lang w:val="en-GB"/>
        </w:rPr>
        <w:t>a culture in which the employees work</w:t>
      </w:r>
      <w:r w:rsidR="002A49DC">
        <w:rPr>
          <w:lang w:val="en-GB"/>
        </w:rPr>
        <w:t>ed</w:t>
      </w:r>
      <w:r w:rsidRPr="00633FF0">
        <w:rPr>
          <w:lang w:val="en-GB"/>
        </w:rPr>
        <w:t xml:space="preserve"> on projects </w:t>
      </w:r>
      <w:r w:rsidR="002A49DC">
        <w:rPr>
          <w:lang w:val="en-GB"/>
        </w:rPr>
        <w:t xml:space="preserve">that supported </w:t>
      </w:r>
      <w:r w:rsidRPr="00633FF0">
        <w:rPr>
          <w:lang w:val="en-GB"/>
        </w:rPr>
        <w:t>society and family harmony.</w:t>
      </w:r>
      <w:r w:rsidR="00633FF0" w:rsidRPr="00633FF0">
        <w:rPr>
          <w:lang w:val="en-GB"/>
        </w:rPr>
        <w:t xml:space="preserve"> </w:t>
      </w:r>
      <w:r w:rsidR="00926245">
        <w:rPr>
          <w:lang w:val="en-GB"/>
        </w:rPr>
        <w:t>Any</w:t>
      </w:r>
      <w:r w:rsidR="00926245" w:rsidRPr="00633FF0">
        <w:rPr>
          <w:lang w:val="en-GB"/>
        </w:rPr>
        <w:t xml:space="preserve"> </w:t>
      </w:r>
      <w:r w:rsidR="002A49DC">
        <w:rPr>
          <w:lang w:val="en-GB"/>
        </w:rPr>
        <w:t xml:space="preserve">decisions stemming from family values </w:t>
      </w:r>
      <w:r w:rsidRPr="00633FF0">
        <w:rPr>
          <w:lang w:val="en-GB"/>
        </w:rPr>
        <w:t>required trade-offs</w:t>
      </w:r>
      <w:r w:rsidR="002A49DC">
        <w:rPr>
          <w:lang w:val="en-GB"/>
        </w:rPr>
        <w:t>,</w:t>
      </w:r>
      <w:r w:rsidRPr="00633FF0">
        <w:rPr>
          <w:lang w:val="en-GB"/>
        </w:rPr>
        <w:t xml:space="preserve"> which meant Pieter and Jens had their work cut out for them. </w:t>
      </w:r>
    </w:p>
    <w:p w14:paraId="2A2D946A" w14:textId="77777777" w:rsidR="002440C5" w:rsidRPr="00633FF0" w:rsidRDefault="002440C5" w:rsidP="00532643">
      <w:pPr>
        <w:pStyle w:val="BodyTextMain"/>
        <w:rPr>
          <w:lang w:val="en-GB"/>
        </w:rPr>
      </w:pPr>
    </w:p>
    <w:p w14:paraId="22EF6B84" w14:textId="4768F430" w:rsidR="00532643" w:rsidRPr="00633FF0" w:rsidRDefault="00532643" w:rsidP="00532643">
      <w:pPr>
        <w:pStyle w:val="BodyTextMain"/>
        <w:rPr>
          <w:lang w:val="en-GB"/>
        </w:rPr>
      </w:pPr>
      <w:r w:rsidRPr="00633FF0">
        <w:rPr>
          <w:lang w:val="en-GB"/>
        </w:rPr>
        <w:t xml:space="preserve">To prepare their recommendations, they needed to </w:t>
      </w:r>
      <w:r w:rsidR="002A49DC">
        <w:rPr>
          <w:lang w:val="en-GB"/>
        </w:rPr>
        <w:t xml:space="preserve">first </w:t>
      </w:r>
      <w:r w:rsidRPr="00633FF0">
        <w:rPr>
          <w:lang w:val="en-GB"/>
        </w:rPr>
        <w:t>ensure they had a solid understanding of all of the challenges ahead.</w:t>
      </w:r>
      <w:r w:rsidR="00633FF0" w:rsidRPr="00633FF0">
        <w:rPr>
          <w:lang w:val="en-GB"/>
        </w:rPr>
        <w:t xml:space="preserve"> </w:t>
      </w:r>
      <w:r w:rsidRPr="00633FF0">
        <w:rPr>
          <w:lang w:val="en-GB"/>
        </w:rPr>
        <w:t>To do this</w:t>
      </w:r>
      <w:r w:rsidR="00926245">
        <w:rPr>
          <w:lang w:val="en-GB"/>
        </w:rPr>
        <w:t>,</w:t>
      </w:r>
      <w:r w:rsidRPr="00633FF0">
        <w:rPr>
          <w:lang w:val="en-GB"/>
        </w:rPr>
        <w:t xml:space="preserve"> they started by looking at where the company was and where it </w:t>
      </w:r>
      <w:r w:rsidR="002A49DC">
        <w:rPr>
          <w:lang w:val="en-GB"/>
        </w:rPr>
        <w:t>wa</w:t>
      </w:r>
      <w:r w:rsidR="002A49DC" w:rsidRPr="00633FF0">
        <w:rPr>
          <w:lang w:val="en-GB"/>
        </w:rPr>
        <w:t xml:space="preserve">s </w:t>
      </w:r>
      <w:r w:rsidRPr="00633FF0">
        <w:rPr>
          <w:lang w:val="en-GB"/>
        </w:rPr>
        <w:t>going.</w:t>
      </w:r>
    </w:p>
    <w:p w14:paraId="55FC6943" w14:textId="77777777" w:rsidR="00532643" w:rsidRPr="00633FF0" w:rsidRDefault="00532643" w:rsidP="00532643">
      <w:pPr>
        <w:pStyle w:val="Casehead2"/>
        <w:rPr>
          <w:lang w:val="en-GB"/>
        </w:rPr>
      </w:pPr>
    </w:p>
    <w:p w14:paraId="52495ABC" w14:textId="77777777" w:rsidR="002A49DC" w:rsidRDefault="002A49DC" w:rsidP="00532643">
      <w:pPr>
        <w:pStyle w:val="Casehead1"/>
        <w:rPr>
          <w:lang w:val="en-GB"/>
        </w:rPr>
      </w:pPr>
    </w:p>
    <w:p w14:paraId="1042A998" w14:textId="760C55ED" w:rsidR="00532643" w:rsidRPr="00633FF0" w:rsidRDefault="00532643" w:rsidP="00532643">
      <w:pPr>
        <w:pStyle w:val="Casehead1"/>
        <w:rPr>
          <w:lang w:val="en-GB"/>
        </w:rPr>
      </w:pPr>
      <w:r w:rsidRPr="00633FF0">
        <w:rPr>
          <w:lang w:val="en-GB"/>
        </w:rPr>
        <w:t>Current Situation</w:t>
      </w:r>
    </w:p>
    <w:p w14:paraId="6870F7E5" w14:textId="77777777" w:rsidR="00532643" w:rsidRPr="00633FF0" w:rsidRDefault="00532643" w:rsidP="00532643">
      <w:pPr>
        <w:pStyle w:val="BodyTextMain"/>
        <w:rPr>
          <w:lang w:val="en-GB"/>
        </w:rPr>
      </w:pPr>
    </w:p>
    <w:p w14:paraId="50E2F790" w14:textId="1C3C67C0" w:rsidR="00532643" w:rsidRPr="00633FF0" w:rsidRDefault="00CD671F" w:rsidP="00532643">
      <w:pPr>
        <w:pStyle w:val="BodyTextMain"/>
        <w:rPr>
          <w:lang w:val="en-GB"/>
        </w:rPr>
      </w:pPr>
      <w:proofErr w:type="spellStart"/>
      <w:r>
        <w:rPr>
          <w:lang w:val="en-GB"/>
        </w:rPr>
        <w:t>BauZentral</w:t>
      </w:r>
      <w:r w:rsidR="002A49DC">
        <w:rPr>
          <w:lang w:val="en-GB"/>
        </w:rPr>
        <w:t>’s</w:t>
      </w:r>
      <w:proofErr w:type="spellEnd"/>
      <w:r w:rsidR="002A49DC" w:rsidRPr="00633FF0">
        <w:rPr>
          <w:lang w:val="en-GB"/>
        </w:rPr>
        <w:t xml:space="preserve"> </w:t>
      </w:r>
      <w:r w:rsidR="00532643" w:rsidRPr="00633FF0">
        <w:rPr>
          <w:lang w:val="en-GB"/>
        </w:rPr>
        <w:t xml:space="preserve">growth strategy created challenges </w:t>
      </w:r>
      <w:r w:rsidR="002A49DC">
        <w:rPr>
          <w:lang w:val="en-GB"/>
        </w:rPr>
        <w:t>in terms of</w:t>
      </w:r>
      <w:r w:rsidR="00532643" w:rsidRPr="00633FF0">
        <w:rPr>
          <w:lang w:val="en-GB"/>
        </w:rPr>
        <w:t xml:space="preserve"> integration.</w:t>
      </w:r>
      <w:r w:rsidR="00633FF0" w:rsidRPr="00633FF0">
        <w:rPr>
          <w:lang w:val="en-GB"/>
        </w:rPr>
        <w:t xml:space="preserve"> </w:t>
      </w:r>
      <w:r w:rsidR="00532643" w:rsidRPr="00633FF0">
        <w:rPr>
          <w:lang w:val="en-GB"/>
        </w:rPr>
        <w:t xml:space="preserve">The company </w:t>
      </w:r>
      <w:r w:rsidR="002A49DC">
        <w:rPr>
          <w:lang w:val="en-GB"/>
        </w:rPr>
        <w:t>wa</w:t>
      </w:r>
      <w:r w:rsidR="002A49DC" w:rsidRPr="00633FF0">
        <w:rPr>
          <w:lang w:val="en-GB"/>
        </w:rPr>
        <w:t xml:space="preserve">s </w:t>
      </w:r>
      <w:r w:rsidR="00532643" w:rsidRPr="00633FF0">
        <w:rPr>
          <w:lang w:val="en-GB"/>
        </w:rPr>
        <w:t xml:space="preserve">healthy financially (see Exhibits 1 and 2 for the firm’s </w:t>
      </w:r>
      <w:r w:rsidR="002A49DC">
        <w:rPr>
          <w:lang w:val="en-GB"/>
        </w:rPr>
        <w:t>balance sheet and i</w:t>
      </w:r>
      <w:r w:rsidR="00532643" w:rsidRPr="00633FF0">
        <w:rPr>
          <w:lang w:val="en-GB"/>
        </w:rPr>
        <w:t xml:space="preserve">ncome </w:t>
      </w:r>
      <w:r w:rsidR="002A49DC">
        <w:rPr>
          <w:lang w:val="en-GB"/>
        </w:rPr>
        <w:t>s</w:t>
      </w:r>
      <w:r w:rsidR="00532643" w:rsidRPr="00633FF0">
        <w:rPr>
          <w:lang w:val="en-GB"/>
        </w:rPr>
        <w:t xml:space="preserve">tatement), but </w:t>
      </w:r>
      <w:r w:rsidR="002A49DC">
        <w:rPr>
          <w:lang w:val="en-GB"/>
        </w:rPr>
        <w:t>experienced</w:t>
      </w:r>
      <w:r w:rsidR="00532643" w:rsidRPr="00633FF0">
        <w:rPr>
          <w:lang w:val="en-GB"/>
        </w:rPr>
        <w:t xml:space="preserve"> some challenges with respect to quality and service</w:t>
      </w:r>
      <w:r w:rsidR="002A49DC">
        <w:rPr>
          <w:lang w:val="en-GB"/>
        </w:rPr>
        <w:t>,</w:t>
      </w:r>
      <w:r w:rsidR="00532643" w:rsidRPr="00633FF0">
        <w:rPr>
          <w:lang w:val="en-GB"/>
        </w:rPr>
        <w:t xml:space="preserve"> due to inefficiencies in the system.</w:t>
      </w:r>
      <w:r w:rsidR="00633FF0" w:rsidRPr="00633FF0">
        <w:rPr>
          <w:lang w:val="en-GB"/>
        </w:rPr>
        <w:t xml:space="preserve"> </w:t>
      </w:r>
      <w:r w:rsidR="00532643" w:rsidRPr="00633FF0">
        <w:rPr>
          <w:lang w:val="en-GB"/>
        </w:rPr>
        <w:t xml:space="preserve">Growth was to be financed </w:t>
      </w:r>
      <w:r w:rsidR="00532643" w:rsidRPr="00633FF0">
        <w:rPr>
          <w:lang w:val="en-GB"/>
        </w:rPr>
        <w:lastRenderedPageBreak/>
        <w:t xml:space="preserve">internally to limit </w:t>
      </w:r>
      <w:proofErr w:type="spellStart"/>
      <w:r>
        <w:rPr>
          <w:lang w:val="en-GB"/>
        </w:rPr>
        <w:t>BauZentral</w:t>
      </w:r>
      <w:r w:rsidR="00532643" w:rsidRPr="00633FF0">
        <w:rPr>
          <w:lang w:val="en-GB"/>
        </w:rPr>
        <w:t>’s</w:t>
      </w:r>
      <w:proofErr w:type="spellEnd"/>
      <w:r w:rsidR="00532643" w:rsidRPr="00633FF0">
        <w:rPr>
          <w:lang w:val="en-GB"/>
        </w:rPr>
        <w:t xml:space="preserve"> exposure to market conditions. Although </w:t>
      </w:r>
      <w:r w:rsidR="002A49DC">
        <w:rPr>
          <w:lang w:val="en-GB"/>
        </w:rPr>
        <w:t>approximately</w:t>
      </w:r>
      <w:r w:rsidR="002A49DC" w:rsidRPr="00633FF0">
        <w:rPr>
          <w:lang w:val="en-GB"/>
        </w:rPr>
        <w:t xml:space="preserve"> </w:t>
      </w:r>
      <w:r w:rsidR="00532643" w:rsidRPr="00633FF0">
        <w:rPr>
          <w:lang w:val="en-GB"/>
        </w:rPr>
        <w:t>80</w:t>
      </w:r>
      <w:r w:rsidR="002A49DC">
        <w:rPr>
          <w:lang w:val="en-GB"/>
        </w:rPr>
        <w:t xml:space="preserve"> per cent</w:t>
      </w:r>
      <w:r w:rsidR="00532643" w:rsidRPr="00633FF0">
        <w:rPr>
          <w:lang w:val="en-GB"/>
        </w:rPr>
        <w:t xml:space="preserve"> of turnover </w:t>
      </w:r>
      <w:r w:rsidR="002A49DC" w:rsidRPr="00633FF0">
        <w:rPr>
          <w:lang w:val="en-GB"/>
        </w:rPr>
        <w:t>originate</w:t>
      </w:r>
      <w:r w:rsidR="002A49DC">
        <w:rPr>
          <w:lang w:val="en-GB"/>
        </w:rPr>
        <w:t>d</w:t>
      </w:r>
      <w:r w:rsidR="002A49DC" w:rsidRPr="00633FF0">
        <w:rPr>
          <w:lang w:val="en-GB"/>
        </w:rPr>
        <w:t xml:space="preserve"> </w:t>
      </w:r>
      <w:r w:rsidR="00532643" w:rsidRPr="00633FF0">
        <w:rPr>
          <w:lang w:val="en-GB"/>
        </w:rPr>
        <w:t xml:space="preserve">from two product groups, electrical and plumbing, high growth </w:t>
      </w:r>
      <w:r w:rsidR="002A49DC">
        <w:rPr>
          <w:lang w:val="en-GB"/>
        </w:rPr>
        <w:t xml:space="preserve">was </w:t>
      </w:r>
      <w:r w:rsidR="00532643" w:rsidRPr="00633FF0">
        <w:rPr>
          <w:lang w:val="en-GB"/>
        </w:rPr>
        <w:t>expected in the security and integrated smart systems.</w:t>
      </w:r>
      <w:r w:rsidR="00633FF0" w:rsidRPr="00633FF0">
        <w:rPr>
          <w:lang w:val="en-GB"/>
        </w:rPr>
        <w:t xml:space="preserve"> </w:t>
      </w:r>
    </w:p>
    <w:p w14:paraId="2E403451" w14:textId="77777777" w:rsidR="00532643" w:rsidRPr="00633FF0" w:rsidRDefault="00532643" w:rsidP="00532643">
      <w:pPr>
        <w:pStyle w:val="BodyTextMain"/>
        <w:rPr>
          <w:lang w:val="en-GB"/>
        </w:rPr>
      </w:pPr>
    </w:p>
    <w:p w14:paraId="7023DB91" w14:textId="3E1E5089" w:rsidR="00532643" w:rsidRPr="00633FF0" w:rsidRDefault="00532643" w:rsidP="00532643">
      <w:pPr>
        <w:pStyle w:val="BodyTextMain"/>
        <w:rPr>
          <w:lang w:val="en-GB"/>
        </w:rPr>
      </w:pPr>
      <w:r w:rsidRPr="00633FF0">
        <w:rPr>
          <w:lang w:val="en-GB"/>
        </w:rPr>
        <w:t xml:space="preserve">To increase sales across segments and geographic regions, it was necessary to </w:t>
      </w:r>
      <w:r w:rsidR="002A49DC">
        <w:rPr>
          <w:lang w:val="en-GB"/>
        </w:rPr>
        <w:t>determine</w:t>
      </w:r>
      <w:r w:rsidRPr="00633FF0">
        <w:rPr>
          <w:lang w:val="en-GB"/>
        </w:rPr>
        <w:t xml:space="preserve"> how to align organizational culture, structure</w:t>
      </w:r>
      <w:r w:rsidR="002A49DC">
        <w:rPr>
          <w:lang w:val="en-GB"/>
        </w:rPr>
        <w:t>,</w:t>
      </w:r>
      <w:r w:rsidRPr="00633FF0">
        <w:rPr>
          <w:lang w:val="en-GB"/>
        </w:rPr>
        <w:t xml:space="preserve"> and </w:t>
      </w:r>
      <w:r w:rsidR="002A49DC">
        <w:rPr>
          <w:lang w:val="en-GB"/>
        </w:rPr>
        <w:t>human resources (</w:t>
      </w:r>
      <w:r w:rsidRPr="00633FF0">
        <w:rPr>
          <w:lang w:val="en-GB"/>
        </w:rPr>
        <w:t>HR</w:t>
      </w:r>
      <w:r w:rsidR="002A49DC">
        <w:rPr>
          <w:lang w:val="en-GB"/>
        </w:rPr>
        <w:t>)</w:t>
      </w:r>
      <w:r w:rsidRPr="00633FF0">
        <w:rPr>
          <w:lang w:val="en-GB"/>
        </w:rPr>
        <w:t xml:space="preserve"> processes.</w:t>
      </w:r>
      <w:r w:rsidR="00633FF0" w:rsidRPr="00633FF0">
        <w:rPr>
          <w:lang w:val="en-GB"/>
        </w:rPr>
        <w:t xml:space="preserve"> </w:t>
      </w:r>
      <w:proofErr w:type="spellStart"/>
      <w:r w:rsidR="00CD671F">
        <w:rPr>
          <w:lang w:val="en-GB"/>
        </w:rPr>
        <w:t>BauZentral</w:t>
      </w:r>
      <w:proofErr w:type="spellEnd"/>
      <w:r w:rsidRPr="00633FF0">
        <w:rPr>
          <w:lang w:val="en-GB"/>
        </w:rPr>
        <w:t xml:space="preserve"> </w:t>
      </w:r>
      <w:r w:rsidR="002A49DC" w:rsidRPr="00633FF0">
        <w:rPr>
          <w:lang w:val="en-GB"/>
        </w:rPr>
        <w:t>spen</w:t>
      </w:r>
      <w:r w:rsidR="002A49DC">
        <w:rPr>
          <w:lang w:val="en-GB"/>
        </w:rPr>
        <w:t>t</w:t>
      </w:r>
      <w:r w:rsidR="002A49DC" w:rsidRPr="00633FF0">
        <w:rPr>
          <w:lang w:val="en-GB"/>
        </w:rPr>
        <w:t xml:space="preserve"> </w:t>
      </w:r>
      <w:r w:rsidRPr="00633FF0">
        <w:rPr>
          <w:lang w:val="en-GB"/>
        </w:rPr>
        <w:t>significant funds on training, development</w:t>
      </w:r>
      <w:r w:rsidR="002A49DC">
        <w:rPr>
          <w:lang w:val="en-GB"/>
        </w:rPr>
        <w:t>,</w:t>
      </w:r>
      <w:r w:rsidRPr="00633FF0">
        <w:rPr>
          <w:lang w:val="en-GB"/>
        </w:rPr>
        <w:t xml:space="preserve"> and monitoring, </w:t>
      </w:r>
      <w:r w:rsidR="002A49DC">
        <w:rPr>
          <w:lang w:val="en-GB"/>
        </w:rPr>
        <w:t>in an attempt to en</w:t>
      </w:r>
      <w:r w:rsidRPr="00633FF0">
        <w:rPr>
          <w:lang w:val="en-GB"/>
        </w:rPr>
        <w:t xml:space="preserve">sure </w:t>
      </w:r>
      <w:r w:rsidR="002A49DC">
        <w:rPr>
          <w:lang w:val="en-GB"/>
        </w:rPr>
        <w:t>it</w:t>
      </w:r>
      <w:r w:rsidR="002A49DC" w:rsidRPr="00633FF0">
        <w:rPr>
          <w:lang w:val="en-GB"/>
        </w:rPr>
        <w:t xml:space="preserve"> </w:t>
      </w:r>
      <w:r w:rsidRPr="00633FF0">
        <w:rPr>
          <w:lang w:val="en-GB"/>
        </w:rPr>
        <w:t>retain</w:t>
      </w:r>
      <w:r w:rsidR="002A49DC">
        <w:rPr>
          <w:lang w:val="en-GB"/>
        </w:rPr>
        <w:t>ed</w:t>
      </w:r>
      <w:r w:rsidRPr="00633FF0">
        <w:rPr>
          <w:lang w:val="en-GB"/>
        </w:rPr>
        <w:t xml:space="preserve"> the best people.</w:t>
      </w:r>
      <w:r w:rsidR="00633FF0" w:rsidRPr="00633FF0">
        <w:rPr>
          <w:lang w:val="en-GB"/>
        </w:rPr>
        <w:t xml:space="preserve"> </w:t>
      </w:r>
      <w:proofErr w:type="spellStart"/>
      <w:r w:rsidR="00CD671F">
        <w:rPr>
          <w:lang w:val="en-GB"/>
        </w:rPr>
        <w:t>BauZentral</w:t>
      </w:r>
      <w:r w:rsidR="002A49DC">
        <w:rPr>
          <w:lang w:val="en-GB"/>
        </w:rPr>
        <w:t>’s</w:t>
      </w:r>
      <w:proofErr w:type="spellEnd"/>
      <w:r w:rsidR="002A49DC">
        <w:rPr>
          <w:lang w:val="en-GB"/>
        </w:rPr>
        <w:t xml:space="preserve"> c</w:t>
      </w:r>
      <w:r w:rsidRPr="00633FF0">
        <w:rPr>
          <w:lang w:val="en-GB"/>
        </w:rPr>
        <w:t xml:space="preserve">urrent operations </w:t>
      </w:r>
      <w:r w:rsidR="002A49DC">
        <w:rPr>
          <w:lang w:val="en-GB"/>
        </w:rPr>
        <w:t>we</w:t>
      </w:r>
      <w:r w:rsidR="002A49DC" w:rsidRPr="00633FF0">
        <w:rPr>
          <w:lang w:val="en-GB"/>
        </w:rPr>
        <w:t xml:space="preserve">re </w:t>
      </w:r>
      <w:r w:rsidRPr="00633FF0">
        <w:rPr>
          <w:lang w:val="en-GB"/>
        </w:rPr>
        <w:t xml:space="preserve">in Switzerland, Czech Republic, Poland, Russia, the Netherlands, Italy, Germany, United Kingdom, Belgium, China, Turkey, France, United States of America, and Spain. </w:t>
      </w:r>
    </w:p>
    <w:p w14:paraId="2AAB4935" w14:textId="77777777" w:rsidR="00532643" w:rsidRPr="00633FF0" w:rsidRDefault="00532643" w:rsidP="00532643">
      <w:pPr>
        <w:pStyle w:val="BodyTextMain"/>
        <w:rPr>
          <w:lang w:val="en-GB"/>
        </w:rPr>
      </w:pPr>
    </w:p>
    <w:p w14:paraId="1FE25610" w14:textId="4F27C16F" w:rsidR="00532643" w:rsidRPr="00633FF0" w:rsidRDefault="002A49DC" w:rsidP="00532643">
      <w:pPr>
        <w:pStyle w:val="BodyTextMain"/>
        <w:rPr>
          <w:lang w:val="en-GB"/>
        </w:rPr>
      </w:pPr>
      <w:r>
        <w:rPr>
          <w:lang w:val="en-GB"/>
        </w:rPr>
        <w:t>The firm’s stated goals included (1) achieving a turnover of CHF125 million</w:t>
      </w:r>
      <w:r>
        <w:rPr>
          <w:rStyle w:val="FootnoteReference"/>
          <w:lang w:val="en-GB"/>
        </w:rPr>
        <w:footnoteReference w:id="2"/>
      </w:r>
      <w:r>
        <w:rPr>
          <w:lang w:val="en-GB"/>
        </w:rPr>
        <w:t xml:space="preserve"> in 2020; </w:t>
      </w:r>
      <w:r w:rsidR="001B3575">
        <w:rPr>
          <w:lang w:val="en-GB"/>
        </w:rPr>
        <w:t xml:space="preserve">(2) becoming among the top three players in the markets in which the company was active; (3) earning a 20 per cent return on invested capital (ROIC); (4) attaining 30 per cent of total turnover from products less than five years old; (5) attaining 35 per cent of total turnover in 2020 realized from outside the European Union; and (6) receiving no customer complaints. </w:t>
      </w:r>
    </w:p>
    <w:p w14:paraId="52087DD1" w14:textId="77777777" w:rsidR="002A49DC" w:rsidRDefault="002A49DC" w:rsidP="00532643">
      <w:pPr>
        <w:pStyle w:val="BodyTextMain"/>
        <w:rPr>
          <w:lang w:val="en-GB"/>
        </w:rPr>
      </w:pPr>
    </w:p>
    <w:p w14:paraId="490C5FAE" w14:textId="2C046B2B" w:rsidR="00532643" w:rsidRPr="00633FF0" w:rsidRDefault="00532643" w:rsidP="00532643">
      <w:pPr>
        <w:pStyle w:val="BodyTextMain"/>
        <w:rPr>
          <w:lang w:val="en-GB"/>
        </w:rPr>
      </w:pPr>
      <w:r w:rsidRPr="00633FF0">
        <w:rPr>
          <w:lang w:val="en-GB"/>
        </w:rPr>
        <w:t xml:space="preserve">To attain these goals, </w:t>
      </w:r>
      <w:proofErr w:type="spellStart"/>
      <w:r w:rsidR="00CD671F">
        <w:rPr>
          <w:lang w:val="en-GB"/>
        </w:rPr>
        <w:t>BauZentral</w:t>
      </w:r>
      <w:proofErr w:type="spellEnd"/>
      <w:r w:rsidRPr="00633FF0">
        <w:rPr>
          <w:lang w:val="en-GB"/>
        </w:rPr>
        <w:t xml:space="preserve"> acquired a large number of firms outside of Switzerland</w:t>
      </w:r>
      <w:r w:rsidR="00401E39">
        <w:rPr>
          <w:lang w:val="en-GB"/>
        </w:rPr>
        <w:t>, which</w:t>
      </w:r>
      <w:r w:rsidRPr="00633FF0">
        <w:rPr>
          <w:lang w:val="en-GB"/>
        </w:rPr>
        <w:t xml:space="preserve"> resulted in substantial changes in how the business </w:t>
      </w:r>
      <w:r w:rsidR="00401E39" w:rsidRPr="00633FF0">
        <w:rPr>
          <w:lang w:val="en-GB"/>
        </w:rPr>
        <w:t>operate</w:t>
      </w:r>
      <w:r w:rsidR="00401E39">
        <w:rPr>
          <w:lang w:val="en-GB"/>
        </w:rPr>
        <w:t>d</w:t>
      </w:r>
      <w:r w:rsidRPr="00633FF0">
        <w:rPr>
          <w:lang w:val="en-GB"/>
        </w:rPr>
        <w:t>. In their roles as CEO and CFO</w:t>
      </w:r>
      <w:r w:rsidR="00D9794B">
        <w:rPr>
          <w:lang w:val="en-GB"/>
        </w:rPr>
        <w:t>,</w:t>
      </w:r>
      <w:r w:rsidRPr="00633FF0">
        <w:rPr>
          <w:lang w:val="en-GB"/>
        </w:rPr>
        <w:t xml:space="preserve"> respectively</w:t>
      </w:r>
      <w:r w:rsidR="00401E39">
        <w:rPr>
          <w:lang w:val="en-GB"/>
        </w:rPr>
        <w:t>,</w:t>
      </w:r>
      <w:r w:rsidRPr="00633FF0">
        <w:rPr>
          <w:lang w:val="en-GB"/>
        </w:rPr>
        <w:t xml:space="preserve"> Pieter and Jens had spent the </w:t>
      </w:r>
      <w:r w:rsidR="00401E39">
        <w:rPr>
          <w:lang w:val="en-GB"/>
        </w:rPr>
        <w:t>p</w:t>
      </w:r>
      <w:r w:rsidR="00401E39" w:rsidRPr="00633FF0">
        <w:rPr>
          <w:lang w:val="en-GB"/>
        </w:rPr>
        <w:t xml:space="preserve">ast </w:t>
      </w:r>
      <w:r w:rsidRPr="00633FF0">
        <w:rPr>
          <w:lang w:val="en-GB"/>
        </w:rPr>
        <w:t>two years redefining the strategy for the company and working with their employees to determine how to restructure the firm</w:t>
      </w:r>
      <w:r w:rsidR="00401E39">
        <w:rPr>
          <w:lang w:val="en-GB"/>
        </w:rPr>
        <w:t>, both</w:t>
      </w:r>
      <w:r w:rsidRPr="00633FF0">
        <w:rPr>
          <w:lang w:val="en-GB"/>
        </w:rPr>
        <w:t xml:space="preserve"> to be more efficient and </w:t>
      </w:r>
      <w:r w:rsidR="00401E39">
        <w:rPr>
          <w:lang w:val="en-GB"/>
        </w:rPr>
        <w:t xml:space="preserve">to </w:t>
      </w:r>
      <w:r w:rsidRPr="00633FF0">
        <w:rPr>
          <w:lang w:val="en-GB"/>
        </w:rPr>
        <w:t xml:space="preserve">better execute its strategy. The integration of the recent acquisitions </w:t>
      </w:r>
      <w:r w:rsidR="00401E39" w:rsidRPr="00633FF0">
        <w:rPr>
          <w:lang w:val="en-GB"/>
        </w:rPr>
        <w:t>requir</w:t>
      </w:r>
      <w:r w:rsidR="00401E39">
        <w:rPr>
          <w:lang w:val="en-GB"/>
        </w:rPr>
        <w:t>ed</w:t>
      </w:r>
      <w:r w:rsidR="00401E39" w:rsidRPr="00633FF0">
        <w:rPr>
          <w:lang w:val="en-GB"/>
        </w:rPr>
        <w:t xml:space="preserve"> </w:t>
      </w:r>
      <w:r w:rsidRPr="00633FF0">
        <w:rPr>
          <w:lang w:val="en-GB"/>
        </w:rPr>
        <w:t>more time than Pieter and Jens had foreseen.</w:t>
      </w:r>
      <w:r w:rsidR="00633FF0" w:rsidRPr="00633FF0">
        <w:rPr>
          <w:lang w:val="en-GB"/>
        </w:rPr>
        <w:t xml:space="preserve"> </w:t>
      </w:r>
      <w:r w:rsidRPr="00633FF0">
        <w:rPr>
          <w:lang w:val="en-GB"/>
        </w:rPr>
        <w:t xml:space="preserve">Pieter and Jens </w:t>
      </w:r>
      <w:r w:rsidR="00401E39">
        <w:rPr>
          <w:lang w:val="en-GB"/>
        </w:rPr>
        <w:t xml:space="preserve">realized that </w:t>
      </w:r>
      <w:r w:rsidRPr="00633FF0">
        <w:rPr>
          <w:lang w:val="en-GB"/>
        </w:rPr>
        <w:t>to better use their time, they need</w:t>
      </w:r>
      <w:r w:rsidR="00401E39">
        <w:rPr>
          <w:lang w:val="en-GB"/>
        </w:rPr>
        <w:t>ed</w:t>
      </w:r>
      <w:r w:rsidRPr="00633FF0">
        <w:rPr>
          <w:lang w:val="en-GB"/>
        </w:rPr>
        <w:t xml:space="preserve"> to delegate more authority to their employees in the different markets.</w:t>
      </w:r>
      <w:r w:rsidR="00633FF0" w:rsidRPr="00633FF0">
        <w:rPr>
          <w:lang w:val="en-GB"/>
        </w:rPr>
        <w:t xml:space="preserve"> </w:t>
      </w:r>
    </w:p>
    <w:p w14:paraId="7ABF7511" w14:textId="77777777" w:rsidR="00532643" w:rsidRPr="00633FF0" w:rsidRDefault="00532643" w:rsidP="00532643">
      <w:pPr>
        <w:pStyle w:val="BodyTextMain"/>
        <w:rPr>
          <w:lang w:val="en-GB"/>
        </w:rPr>
      </w:pPr>
    </w:p>
    <w:p w14:paraId="1DFB0BBB" w14:textId="40900A77" w:rsidR="00532643" w:rsidRPr="00633FF0" w:rsidRDefault="00401E39" w:rsidP="00532643">
      <w:pPr>
        <w:pStyle w:val="BodyTextMain"/>
        <w:rPr>
          <w:lang w:val="en-GB"/>
        </w:rPr>
      </w:pPr>
      <w:r>
        <w:rPr>
          <w:lang w:val="en-GB"/>
        </w:rPr>
        <w:t xml:space="preserve">Both Pieter and Jens </w:t>
      </w:r>
      <w:r w:rsidR="00532643" w:rsidRPr="00633FF0">
        <w:rPr>
          <w:lang w:val="en-GB"/>
        </w:rPr>
        <w:t>felt there had to be a better way to run their rapidly growing operations.</w:t>
      </w:r>
      <w:r w:rsidR="00633FF0" w:rsidRPr="00633FF0">
        <w:rPr>
          <w:lang w:val="en-GB"/>
        </w:rPr>
        <w:t xml:space="preserve"> </w:t>
      </w:r>
      <w:r w:rsidR="00532643" w:rsidRPr="00633FF0">
        <w:rPr>
          <w:lang w:val="en-GB"/>
        </w:rPr>
        <w:t xml:space="preserve">Although they had recently updated their senior management structure by introducing the </w:t>
      </w:r>
      <w:r>
        <w:rPr>
          <w:lang w:val="en-GB"/>
        </w:rPr>
        <w:t>r</w:t>
      </w:r>
      <w:r w:rsidR="00532643" w:rsidRPr="00633FF0">
        <w:rPr>
          <w:lang w:val="en-GB"/>
        </w:rPr>
        <w:t xml:space="preserve">egional </w:t>
      </w:r>
      <w:r>
        <w:rPr>
          <w:lang w:val="en-GB"/>
        </w:rPr>
        <w:t>m</w:t>
      </w:r>
      <w:r w:rsidR="00532643" w:rsidRPr="00633FF0">
        <w:rPr>
          <w:lang w:val="en-GB"/>
        </w:rPr>
        <w:t xml:space="preserve">anagement </w:t>
      </w:r>
      <w:r>
        <w:rPr>
          <w:lang w:val="en-GB"/>
        </w:rPr>
        <w:t>b</w:t>
      </w:r>
      <w:r w:rsidR="00532643" w:rsidRPr="00633FF0">
        <w:rPr>
          <w:lang w:val="en-GB"/>
        </w:rPr>
        <w:t>oard</w:t>
      </w:r>
      <w:r>
        <w:rPr>
          <w:lang w:val="en-GB"/>
        </w:rPr>
        <w:t>s</w:t>
      </w:r>
      <w:r w:rsidR="00532643" w:rsidRPr="00633FF0">
        <w:rPr>
          <w:lang w:val="en-GB"/>
        </w:rPr>
        <w:t>, Pieter and Jens felt it would be beneficial for the employees to play an increasing role in decision-making.</w:t>
      </w:r>
      <w:r w:rsidR="00633FF0" w:rsidRPr="00633FF0">
        <w:rPr>
          <w:lang w:val="en-GB"/>
        </w:rPr>
        <w:t xml:space="preserve"> </w:t>
      </w:r>
      <w:r w:rsidR="00532643" w:rsidRPr="00633FF0">
        <w:rPr>
          <w:lang w:val="en-GB"/>
        </w:rPr>
        <w:t xml:space="preserve">They wanted their employees to be entrepreneurial and </w:t>
      </w:r>
      <w:r>
        <w:rPr>
          <w:lang w:val="en-GB"/>
        </w:rPr>
        <w:t xml:space="preserve">to </w:t>
      </w:r>
      <w:r w:rsidR="00532643" w:rsidRPr="00633FF0">
        <w:rPr>
          <w:lang w:val="en-GB"/>
        </w:rPr>
        <w:t xml:space="preserve">act as if </w:t>
      </w:r>
      <w:proofErr w:type="spellStart"/>
      <w:r w:rsidR="00CD671F">
        <w:rPr>
          <w:lang w:val="en-GB"/>
        </w:rPr>
        <w:t>BauZentral</w:t>
      </w:r>
      <w:proofErr w:type="spellEnd"/>
      <w:r w:rsidRPr="00633FF0">
        <w:rPr>
          <w:lang w:val="en-GB"/>
        </w:rPr>
        <w:t xml:space="preserve"> </w:t>
      </w:r>
      <w:r w:rsidR="00532643" w:rsidRPr="00633FF0">
        <w:rPr>
          <w:lang w:val="en-GB"/>
        </w:rPr>
        <w:t>were their own company.</w:t>
      </w:r>
      <w:r w:rsidR="00633FF0" w:rsidRPr="00633FF0">
        <w:rPr>
          <w:lang w:val="en-GB"/>
        </w:rPr>
        <w:t xml:space="preserve"> </w:t>
      </w:r>
      <w:r w:rsidR="00532643" w:rsidRPr="00633FF0">
        <w:rPr>
          <w:lang w:val="en-GB"/>
        </w:rPr>
        <w:t>They wanted the employees to take initiatives consistent with the overall company vision while also recognizing the unique needs of their local markets.</w:t>
      </w:r>
      <w:r w:rsidR="00633FF0" w:rsidRPr="00633FF0">
        <w:rPr>
          <w:lang w:val="en-GB"/>
        </w:rPr>
        <w:t xml:space="preserve"> </w:t>
      </w:r>
    </w:p>
    <w:p w14:paraId="42FDD6D5" w14:textId="77777777" w:rsidR="00532643" w:rsidRPr="00633FF0" w:rsidRDefault="00532643" w:rsidP="00532643">
      <w:pPr>
        <w:pStyle w:val="BodyTextMain"/>
        <w:rPr>
          <w:lang w:val="en-GB"/>
        </w:rPr>
      </w:pPr>
    </w:p>
    <w:p w14:paraId="1F277150" w14:textId="58559AE9" w:rsidR="00532643" w:rsidRPr="00633FF0" w:rsidRDefault="00532643" w:rsidP="00532643">
      <w:pPr>
        <w:pStyle w:val="BodyTextMain"/>
        <w:rPr>
          <w:lang w:val="en-GB"/>
        </w:rPr>
      </w:pPr>
      <w:r w:rsidRPr="00633FF0">
        <w:rPr>
          <w:lang w:val="en-GB"/>
        </w:rPr>
        <w:t>By setting up processes to unite all employees to consider the company’s vision in unison with their own goals</w:t>
      </w:r>
      <w:r w:rsidR="00401E39">
        <w:rPr>
          <w:lang w:val="en-GB"/>
        </w:rPr>
        <w:t>,</w:t>
      </w:r>
      <w:r w:rsidRPr="00633FF0">
        <w:rPr>
          <w:lang w:val="en-GB"/>
        </w:rPr>
        <w:t xml:space="preserve"> </w:t>
      </w:r>
      <w:r w:rsidR="00401E39">
        <w:rPr>
          <w:lang w:val="en-GB"/>
        </w:rPr>
        <w:t>Pieter and Jens</w:t>
      </w:r>
      <w:r w:rsidR="00401E39" w:rsidRPr="00633FF0">
        <w:rPr>
          <w:lang w:val="en-GB"/>
        </w:rPr>
        <w:t xml:space="preserve"> </w:t>
      </w:r>
      <w:r w:rsidRPr="00633FF0">
        <w:rPr>
          <w:lang w:val="en-GB"/>
        </w:rPr>
        <w:t xml:space="preserve">hoped to reduce the overall complexity of the organization and </w:t>
      </w:r>
      <w:r w:rsidR="00401E39">
        <w:rPr>
          <w:lang w:val="en-GB"/>
        </w:rPr>
        <w:t xml:space="preserve">to </w:t>
      </w:r>
      <w:r w:rsidRPr="00633FF0">
        <w:rPr>
          <w:lang w:val="en-GB"/>
        </w:rPr>
        <w:t>make the employees feel closer to the firm.</w:t>
      </w:r>
      <w:r w:rsidR="00633FF0" w:rsidRPr="00633FF0">
        <w:rPr>
          <w:lang w:val="en-GB"/>
        </w:rPr>
        <w:t xml:space="preserve"> </w:t>
      </w:r>
      <w:r w:rsidRPr="00633FF0">
        <w:rPr>
          <w:lang w:val="en-GB"/>
        </w:rPr>
        <w:t>Specifically, they felt that giving their employees the opportunity to build some ownership in the firm would help create engagement.</w:t>
      </w:r>
      <w:r w:rsidR="00633FF0" w:rsidRPr="00633FF0">
        <w:rPr>
          <w:lang w:val="en-GB"/>
        </w:rPr>
        <w:t xml:space="preserve"> </w:t>
      </w:r>
      <w:r w:rsidRPr="00633FF0">
        <w:rPr>
          <w:lang w:val="en-GB"/>
        </w:rPr>
        <w:t xml:space="preserve">Although the firm </w:t>
      </w:r>
      <w:r w:rsidR="00401E39" w:rsidRPr="00633FF0">
        <w:rPr>
          <w:lang w:val="en-GB"/>
        </w:rPr>
        <w:t>ha</w:t>
      </w:r>
      <w:r w:rsidR="00401E39">
        <w:rPr>
          <w:lang w:val="en-GB"/>
        </w:rPr>
        <w:t>d</w:t>
      </w:r>
      <w:r w:rsidR="00401E39" w:rsidRPr="00633FF0">
        <w:rPr>
          <w:lang w:val="en-GB"/>
        </w:rPr>
        <w:t xml:space="preserve"> </w:t>
      </w:r>
      <w:r w:rsidRPr="00633FF0">
        <w:rPr>
          <w:lang w:val="en-GB"/>
        </w:rPr>
        <w:t xml:space="preserve">a global focus, it </w:t>
      </w:r>
      <w:r w:rsidR="00401E39">
        <w:rPr>
          <w:lang w:val="en-GB"/>
        </w:rPr>
        <w:t>wa</w:t>
      </w:r>
      <w:r w:rsidR="00401E39" w:rsidRPr="00633FF0">
        <w:rPr>
          <w:lang w:val="en-GB"/>
        </w:rPr>
        <w:t xml:space="preserve">s </w:t>
      </w:r>
      <w:r w:rsidRPr="00633FF0">
        <w:rPr>
          <w:lang w:val="en-GB"/>
        </w:rPr>
        <w:t xml:space="preserve">also important to recognize that </w:t>
      </w:r>
      <w:r w:rsidR="000A02F4">
        <w:rPr>
          <w:lang w:val="en-GB"/>
        </w:rPr>
        <w:t>it</w:t>
      </w:r>
      <w:r w:rsidR="000A02F4" w:rsidRPr="00633FF0">
        <w:rPr>
          <w:lang w:val="en-GB"/>
        </w:rPr>
        <w:t xml:space="preserve"> </w:t>
      </w:r>
      <w:r w:rsidR="00401E39">
        <w:rPr>
          <w:lang w:val="en-GB"/>
        </w:rPr>
        <w:t>w</w:t>
      </w:r>
      <w:r w:rsidR="000A02F4">
        <w:rPr>
          <w:lang w:val="en-GB"/>
        </w:rPr>
        <w:t>as</w:t>
      </w:r>
      <w:r w:rsidR="00401E39" w:rsidRPr="00633FF0">
        <w:rPr>
          <w:lang w:val="en-GB"/>
        </w:rPr>
        <w:t xml:space="preserve"> </w:t>
      </w:r>
      <w:r w:rsidRPr="00633FF0">
        <w:rPr>
          <w:lang w:val="en-GB"/>
        </w:rPr>
        <w:t>also competing locally.</w:t>
      </w:r>
      <w:r w:rsidR="00633FF0" w:rsidRPr="00633FF0">
        <w:rPr>
          <w:lang w:val="en-GB"/>
        </w:rPr>
        <w:t xml:space="preserve"> </w:t>
      </w:r>
    </w:p>
    <w:p w14:paraId="4732CBED" w14:textId="77777777" w:rsidR="00532643" w:rsidRPr="00633FF0" w:rsidRDefault="00532643" w:rsidP="00532643">
      <w:pPr>
        <w:pStyle w:val="BodyTextMain"/>
        <w:rPr>
          <w:lang w:val="en-GB"/>
        </w:rPr>
      </w:pPr>
    </w:p>
    <w:p w14:paraId="02C60FFA" w14:textId="70EE59C2" w:rsidR="00532643" w:rsidRDefault="00532643" w:rsidP="00532643">
      <w:pPr>
        <w:pStyle w:val="BodyTextMain"/>
        <w:rPr>
          <w:lang w:val="en-GB"/>
        </w:rPr>
      </w:pPr>
      <w:r w:rsidRPr="00633FF0">
        <w:rPr>
          <w:lang w:val="en-GB"/>
        </w:rPr>
        <w:t>An obvious solution was to change the compensation structure.</w:t>
      </w:r>
      <w:r w:rsidR="00633FF0" w:rsidRPr="00633FF0">
        <w:rPr>
          <w:lang w:val="en-GB"/>
        </w:rPr>
        <w:t xml:space="preserve"> </w:t>
      </w:r>
      <w:r w:rsidRPr="00633FF0">
        <w:rPr>
          <w:lang w:val="en-GB"/>
        </w:rPr>
        <w:t xml:space="preserve">A challenge in this regard </w:t>
      </w:r>
      <w:r w:rsidR="00401E39">
        <w:rPr>
          <w:lang w:val="en-GB"/>
        </w:rPr>
        <w:t>wa</w:t>
      </w:r>
      <w:r w:rsidR="00401E39" w:rsidRPr="00633FF0">
        <w:rPr>
          <w:lang w:val="en-GB"/>
        </w:rPr>
        <w:t xml:space="preserve">s </w:t>
      </w:r>
      <w:r w:rsidRPr="00633FF0">
        <w:rPr>
          <w:lang w:val="en-GB"/>
        </w:rPr>
        <w:t>that</w:t>
      </w:r>
      <w:r w:rsidR="000A02F4">
        <w:rPr>
          <w:lang w:val="en-GB"/>
        </w:rPr>
        <w:t>,</w:t>
      </w:r>
      <w:r w:rsidRPr="00633FF0">
        <w:rPr>
          <w:lang w:val="en-GB"/>
        </w:rPr>
        <w:t xml:space="preserve"> </w:t>
      </w:r>
      <w:r w:rsidR="000A02F4">
        <w:rPr>
          <w:lang w:val="en-GB"/>
        </w:rPr>
        <w:t xml:space="preserve">in the past, </w:t>
      </w:r>
      <w:proofErr w:type="spellStart"/>
      <w:r w:rsidR="00CD671F">
        <w:rPr>
          <w:lang w:val="en-GB"/>
        </w:rPr>
        <w:t>BauZentral</w:t>
      </w:r>
      <w:proofErr w:type="spellEnd"/>
      <w:r w:rsidRPr="00633FF0">
        <w:rPr>
          <w:lang w:val="en-GB"/>
        </w:rPr>
        <w:t xml:space="preserve"> had experimented with a flexible rewards system </w:t>
      </w:r>
      <w:r w:rsidR="000A02F4">
        <w:rPr>
          <w:lang w:val="en-GB"/>
        </w:rPr>
        <w:t>but</w:t>
      </w:r>
      <w:r w:rsidRPr="00633FF0">
        <w:rPr>
          <w:lang w:val="en-GB"/>
        </w:rPr>
        <w:t xml:space="preserve"> it had not worked.</w:t>
      </w:r>
      <w:r w:rsidR="00633FF0" w:rsidRPr="00633FF0">
        <w:rPr>
          <w:lang w:val="en-GB"/>
        </w:rPr>
        <w:t xml:space="preserve"> </w:t>
      </w:r>
      <w:r w:rsidRPr="00633FF0">
        <w:rPr>
          <w:lang w:val="en-GB"/>
        </w:rPr>
        <w:t xml:space="preserve">It had </w:t>
      </w:r>
      <w:r w:rsidR="00401E39">
        <w:rPr>
          <w:lang w:val="en-GB"/>
        </w:rPr>
        <w:t xml:space="preserve">failed to </w:t>
      </w:r>
      <w:r w:rsidRPr="00633FF0">
        <w:rPr>
          <w:lang w:val="en-GB"/>
        </w:rPr>
        <w:t>drive the desired alignment between employees and owners.</w:t>
      </w:r>
      <w:r w:rsidR="00633FF0" w:rsidRPr="00633FF0">
        <w:rPr>
          <w:lang w:val="en-GB"/>
        </w:rPr>
        <w:t xml:space="preserve"> </w:t>
      </w:r>
      <w:r w:rsidRPr="00633FF0">
        <w:rPr>
          <w:lang w:val="en-GB"/>
        </w:rPr>
        <w:t>The employees could not see the direct link between their efforts and changes in their compensation.</w:t>
      </w:r>
    </w:p>
    <w:p w14:paraId="1C0CD64C" w14:textId="77777777" w:rsidR="00401E39" w:rsidRPr="00633FF0" w:rsidRDefault="00401E39" w:rsidP="00532643">
      <w:pPr>
        <w:pStyle w:val="BodyTextMain"/>
        <w:rPr>
          <w:lang w:val="en-GB"/>
        </w:rPr>
      </w:pPr>
    </w:p>
    <w:p w14:paraId="0838E63C" w14:textId="02F66237" w:rsidR="00532643" w:rsidRPr="00633FF0" w:rsidRDefault="00532643" w:rsidP="00532643">
      <w:pPr>
        <w:pStyle w:val="BodyTextMain"/>
        <w:rPr>
          <w:lang w:val="en-GB"/>
        </w:rPr>
      </w:pPr>
      <w:r w:rsidRPr="00633FF0">
        <w:rPr>
          <w:lang w:val="en-GB"/>
        </w:rPr>
        <w:t xml:space="preserve">Starting from scratch, Pieter and Jens knew </w:t>
      </w:r>
      <w:r w:rsidR="00401E39">
        <w:rPr>
          <w:lang w:val="en-GB"/>
        </w:rPr>
        <w:t>the importance of</w:t>
      </w:r>
      <w:r w:rsidRPr="00633FF0">
        <w:rPr>
          <w:lang w:val="en-GB"/>
        </w:rPr>
        <w:t xml:space="preserve"> clearly </w:t>
      </w:r>
      <w:r w:rsidR="00401E39" w:rsidRPr="00633FF0">
        <w:rPr>
          <w:lang w:val="en-GB"/>
        </w:rPr>
        <w:t>defin</w:t>
      </w:r>
      <w:r w:rsidR="00401E39">
        <w:rPr>
          <w:lang w:val="en-GB"/>
        </w:rPr>
        <w:t>ing</w:t>
      </w:r>
      <w:r w:rsidR="00401E39" w:rsidRPr="00633FF0">
        <w:rPr>
          <w:lang w:val="en-GB"/>
        </w:rPr>
        <w:t xml:space="preserve"> </w:t>
      </w:r>
      <w:r w:rsidRPr="00633FF0">
        <w:rPr>
          <w:lang w:val="en-GB"/>
        </w:rPr>
        <w:t xml:space="preserve">goals before deciding on any incentive structure. The goals of the business and the shareholders </w:t>
      </w:r>
      <w:r w:rsidR="00401E39">
        <w:rPr>
          <w:lang w:val="en-GB"/>
        </w:rPr>
        <w:t>we</w:t>
      </w:r>
      <w:r w:rsidR="00401E39" w:rsidRPr="00633FF0">
        <w:rPr>
          <w:lang w:val="en-GB"/>
        </w:rPr>
        <w:t>re</w:t>
      </w:r>
      <w:r w:rsidR="00401E39">
        <w:rPr>
          <w:lang w:val="en-GB"/>
        </w:rPr>
        <w:t xml:space="preserve"> to share wealth with the people who had helped to create it, to engage with the employees, and to align the employees’ goals with </w:t>
      </w:r>
      <w:proofErr w:type="spellStart"/>
      <w:r w:rsidR="00CD671F">
        <w:rPr>
          <w:lang w:val="en-GB"/>
        </w:rPr>
        <w:t>BauZentral</w:t>
      </w:r>
      <w:r w:rsidR="00401E39">
        <w:rPr>
          <w:lang w:val="en-GB"/>
        </w:rPr>
        <w:t>’s</w:t>
      </w:r>
      <w:proofErr w:type="spellEnd"/>
      <w:r w:rsidR="00401E39">
        <w:rPr>
          <w:lang w:val="en-GB"/>
        </w:rPr>
        <w:t xml:space="preserve"> long-term goals.</w:t>
      </w:r>
      <w:r w:rsidRPr="00633FF0">
        <w:rPr>
          <w:lang w:val="en-GB"/>
        </w:rPr>
        <w:t xml:space="preserve"> </w:t>
      </w:r>
    </w:p>
    <w:p w14:paraId="7793D8CD" w14:textId="77777777" w:rsidR="00532643" w:rsidRPr="00633FF0" w:rsidRDefault="00532643" w:rsidP="00532643">
      <w:pPr>
        <w:pStyle w:val="BodyTextMain"/>
        <w:rPr>
          <w:lang w:val="en-GB"/>
        </w:rPr>
      </w:pPr>
    </w:p>
    <w:p w14:paraId="7DF1388A" w14:textId="6E313DFA" w:rsidR="00532643" w:rsidRPr="00633FF0" w:rsidRDefault="00532643" w:rsidP="00532643">
      <w:pPr>
        <w:pStyle w:val="BodyTextMain"/>
        <w:rPr>
          <w:lang w:val="en-GB"/>
        </w:rPr>
      </w:pPr>
      <w:r w:rsidRPr="00633FF0">
        <w:rPr>
          <w:lang w:val="en-GB"/>
        </w:rPr>
        <w:lastRenderedPageBreak/>
        <w:t>To accomplish their goals of increased employee participation within their new organizational structure, Pieter and Jens needed to consider the potential impact these decisions would have on the firm’s decision-making. Pieter and Jens had started discussions with the family shareholders regarding increasing employee</w:t>
      </w:r>
      <w:r w:rsidR="00401E39">
        <w:rPr>
          <w:lang w:val="en-GB"/>
        </w:rPr>
        <w:t>s’</w:t>
      </w:r>
      <w:r w:rsidRPr="00633FF0">
        <w:rPr>
          <w:lang w:val="en-GB"/>
        </w:rPr>
        <w:t xml:space="preserve"> participation. </w:t>
      </w:r>
      <w:r w:rsidR="00401E39">
        <w:rPr>
          <w:lang w:val="en-GB"/>
        </w:rPr>
        <w:t>Alt</w:t>
      </w:r>
      <w:r w:rsidR="00401E39" w:rsidRPr="00633FF0">
        <w:rPr>
          <w:lang w:val="en-GB"/>
        </w:rPr>
        <w:t xml:space="preserve">hough </w:t>
      </w:r>
      <w:r w:rsidRPr="00633FF0">
        <w:rPr>
          <w:lang w:val="en-GB"/>
        </w:rPr>
        <w:t xml:space="preserve">the family shareholders did not reject the idea, Pieter and Jens knew that the proposal would </w:t>
      </w:r>
      <w:r w:rsidR="00401E39">
        <w:rPr>
          <w:lang w:val="en-GB"/>
        </w:rPr>
        <w:t>need</w:t>
      </w:r>
      <w:r w:rsidR="00401E39" w:rsidRPr="00633FF0">
        <w:rPr>
          <w:lang w:val="en-GB"/>
        </w:rPr>
        <w:t xml:space="preserve"> </w:t>
      </w:r>
      <w:r w:rsidRPr="00633FF0">
        <w:rPr>
          <w:lang w:val="en-GB"/>
        </w:rPr>
        <w:t xml:space="preserve">to </w:t>
      </w:r>
      <w:proofErr w:type="gramStart"/>
      <w:r w:rsidRPr="00633FF0">
        <w:rPr>
          <w:lang w:val="en-GB"/>
        </w:rPr>
        <w:t>take into account</w:t>
      </w:r>
      <w:proofErr w:type="gramEnd"/>
      <w:r w:rsidRPr="00633FF0">
        <w:rPr>
          <w:lang w:val="en-GB"/>
        </w:rPr>
        <w:t xml:space="preserve"> the </w:t>
      </w:r>
      <w:r w:rsidR="00401E39">
        <w:rPr>
          <w:lang w:val="en-GB"/>
        </w:rPr>
        <w:t xml:space="preserve">family’s </w:t>
      </w:r>
      <w:r w:rsidRPr="00633FF0">
        <w:rPr>
          <w:lang w:val="en-GB"/>
        </w:rPr>
        <w:t>overall goals as outlined in the family constitution</w:t>
      </w:r>
      <w:r w:rsidR="00401E39">
        <w:rPr>
          <w:lang w:val="en-GB"/>
        </w:rPr>
        <w:t>,</w:t>
      </w:r>
      <w:r w:rsidRPr="00633FF0">
        <w:rPr>
          <w:lang w:val="en-GB"/>
        </w:rPr>
        <w:t xml:space="preserve"> which had been updated following the passing of Pieter’s father</w:t>
      </w:r>
      <w:r w:rsidR="00633FF0" w:rsidRPr="00633FF0">
        <w:rPr>
          <w:lang w:val="en-GB"/>
        </w:rPr>
        <w:t xml:space="preserve"> </w:t>
      </w:r>
      <w:r w:rsidRPr="00633FF0">
        <w:rPr>
          <w:lang w:val="en-GB"/>
        </w:rPr>
        <w:t xml:space="preserve">(more details on the firm’s </w:t>
      </w:r>
      <w:r w:rsidR="000A02F4">
        <w:rPr>
          <w:lang w:val="en-GB"/>
        </w:rPr>
        <w:t>f</w:t>
      </w:r>
      <w:r w:rsidRPr="00633FF0">
        <w:rPr>
          <w:lang w:val="en-GB"/>
        </w:rPr>
        <w:t xml:space="preserve">amily </w:t>
      </w:r>
      <w:r w:rsidR="000A02F4">
        <w:rPr>
          <w:lang w:val="en-GB"/>
        </w:rPr>
        <w:t>c</w:t>
      </w:r>
      <w:r w:rsidRPr="00633FF0">
        <w:rPr>
          <w:lang w:val="en-GB"/>
        </w:rPr>
        <w:t xml:space="preserve">onstitution can be found in Exhibit </w:t>
      </w:r>
      <w:r w:rsidR="005D18AE">
        <w:rPr>
          <w:lang w:val="en-GB"/>
        </w:rPr>
        <w:t>3</w:t>
      </w:r>
      <w:r w:rsidRPr="00633FF0">
        <w:rPr>
          <w:lang w:val="en-GB"/>
        </w:rPr>
        <w:t>)</w:t>
      </w:r>
      <w:r w:rsidR="00A2073D">
        <w:rPr>
          <w:lang w:val="en-GB"/>
        </w:rPr>
        <w:t>:</w:t>
      </w:r>
    </w:p>
    <w:p w14:paraId="2A1300F1" w14:textId="77777777" w:rsidR="00532643" w:rsidRPr="00633FF0" w:rsidRDefault="00532643" w:rsidP="00532643">
      <w:pPr>
        <w:pStyle w:val="BodyTextMain"/>
        <w:rPr>
          <w:lang w:val="en-GB"/>
        </w:rPr>
      </w:pPr>
    </w:p>
    <w:p w14:paraId="3617EC4D" w14:textId="732C77CB" w:rsidR="00532643" w:rsidRPr="00633FF0" w:rsidRDefault="00532643" w:rsidP="00532643">
      <w:pPr>
        <w:pStyle w:val="BodyTextMain"/>
        <w:ind w:left="720"/>
        <w:rPr>
          <w:lang w:val="en-GB"/>
        </w:rPr>
      </w:pPr>
      <w:r w:rsidRPr="00633FF0">
        <w:rPr>
          <w:lang w:val="en-GB"/>
        </w:rPr>
        <w:t>As a family company we are part of society, we are very aware of our surroundings, our position and responsibility</w:t>
      </w:r>
      <w:proofErr w:type="gramStart"/>
      <w:r w:rsidRPr="00633FF0">
        <w:rPr>
          <w:lang w:val="en-GB"/>
        </w:rPr>
        <w:t>.</w:t>
      </w:r>
      <w:r w:rsidR="00401E39">
        <w:rPr>
          <w:lang w:val="en-GB"/>
        </w:rPr>
        <w:t xml:space="preserve"> . . .</w:t>
      </w:r>
      <w:proofErr w:type="gramEnd"/>
      <w:r w:rsidRPr="00633FF0">
        <w:rPr>
          <w:lang w:val="en-GB"/>
        </w:rPr>
        <w:t xml:space="preserve"> We act in accordance with this responsibility and make sure we share the value we create, in the right balance, with our customers, employees and all other stakeholders. We have created this sustainable value for over 70 years and we are determined to make a difference for years to come.</w:t>
      </w:r>
    </w:p>
    <w:p w14:paraId="4ED11C24" w14:textId="77777777" w:rsidR="00532643" w:rsidRPr="00633FF0" w:rsidRDefault="00532643" w:rsidP="00532643">
      <w:pPr>
        <w:pStyle w:val="BodyTextMain"/>
        <w:rPr>
          <w:lang w:val="en-GB"/>
        </w:rPr>
      </w:pPr>
    </w:p>
    <w:p w14:paraId="47316692" w14:textId="77777777" w:rsidR="00532643" w:rsidRPr="00633FF0" w:rsidRDefault="00532643" w:rsidP="00532643">
      <w:pPr>
        <w:pStyle w:val="Casehead2"/>
        <w:rPr>
          <w:rFonts w:ascii="Times New Roman" w:hAnsi="Times New Roman" w:cs="Times New Roman"/>
          <w:b w:val="0"/>
          <w:sz w:val="22"/>
          <w:szCs w:val="22"/>
          <w:lang w:val="en-GB"/>
        </w:rPr>
      </w:pPr>
      <w:r w:rsidRPr="00633FF0">
        <w:rPr>
          <w:rFonts w:ascii="Times New Roman" w:hAnsi="Times New Roman" w:cs="Times New Roman"/>
          <w:b w:val="0"/>
          <w:sz w:val="22"/>
          <w:szCs w:val="22"/>
          <w:lang w:val="en-GB"/>
        </w:rPr>
        <w:t>Subject to some constraints:</w:t>
      </w:r>
    </w:p>
    <w:p w14:paraId="4D38D28B" w14:textId="77777777" w:rsidR="00532643" w:rsidRPr="00633FF0" w:rsidRDefault="00532643" w:rsidP="00532643">
      <w:pPr>
        <w:pStyle w:val="Casehead2"/>
        <w:rPr>
          <w:lang w:val="en-GB"/>
        </w:rPr>
      </w:pPr>
    </w:p>
    <w:p w14:paraId="17F200BB" w14:textId="0BFC992A" w:rsidR="00532643" w:rsidRPr="00633FF0" w:rsidRDefault="00532643" w:rsidP="00532643">
      <w:pPr>
        <w:pStyle w:val="BodyTextMain"/>
        <w:ind w:left="720"/>
        <w:rPr>
          <w:lang w:val="en-GB"/>
        </w:rPr>
      </w:pPr>
      <w:r w:rsidRPr="00633FF0">
        <w:rPr>
          <w:lang w:val="en-GB"/>
        </w:rPr>
        <w:t>It is our aim that our company remains independent as long as that is possible within the continuity thought. The family does not need to have 100% of the shares, the family always wants to retain control. As a family we want to continue to determine the direction.</w:t>
      </w:r>
    </w:p>
    <w:p w14:paraId="3A12BE6E" w14:textId="77777777" w:rsidR="00532643" w:rsidRPr="00633FF0" w:rsidRDefault="00532643" w:rsidP="00532643">
      <w:pPr>
        <w:pStyle w:val="BodyTextMain"/>
        <w:ind w:left="720"/>
        <w:rPr>
          <w:lang w:val="en-GB"/>
        </w:rPr>
      </w:pPr>
    </w:p>
    <w:p w14:paraId="7C205A26" w14:textId="62C99F88" w:rsidR="00532643" w:rsidRPr="00633FF0" w:rsidRDefault="00532643" w:rsidP="00532643">
      <w:pPr>
        <w:pStyle w:val="BodyTextMain"/>
        <w:ind w:left="720"/>
        <w:rPr>
          <w:lang w:val="en-GB"/>
        </w:rPr>
      </w:pPr>
      <w:r w:rsidRPr="00633FF0">
        <w:rPr>
          <w:lang w:val="en-GB"/>
        </w:rPr>
        <w:t>To be able to transfer our business to future generations, we balance entrepreneurship with a responsible approach to risk. We see it as a strength that some of us are very entrepreneurial while others pay more attention to the risks.</w:t>
      </w:r>
    </w:p>
    <w:p w14:paraId="002F5BFE" w14:textId="77777777" w:rsidR="00532643" w:rsidRPr="00633FF0" w:rsidRDefault="00532643" w:rsidP="00532643">
      <w:pPr>
        <w:pStyle w:val="BodyTextMain"/>
        <w:rPr>
          <w:lang w:val="en-GB"/>
        </w:rPr>
      </w:pPr>
    </w:p>
    <w:p w14:paraId="33E8E03D" w14:textId="25D326AD" w:rsidR="00532643" w:rsidRPr="00633FF0" w:rsidRDefault="00532643" w:rsidP="00532643">
      <w:pPr>
        <w:pStyle w:val="BodyTextMain"/>
        <w:rPr>
          <w:lang w:val="en-GB"/>
        </w:rPr>
      </w:pPr>
      <w:r w:rsidRPr="00633FF0">
        <w:rPr>
          <w:lang w:val="en-GB"/>
        </w:rPr>
        <w:t xml:space="preserve">Although it </w:t>
      </w:r>
      <w:r w:rsidR="00401E39">
        <w:rPr>
          <w:lang w:val="en-GB"/>
        </w:rPr>
        <w:t>wa</w:t>
      </w:r>
      <w:r w:rsidR="00401E39" w:rsidRPr="00633FF0">
        <w:rPr>
          <w:lang w:val="en-GB"/>
        </w:rPr>
        <w:t xml:space="preserve">s </w:t>
      </w:r>
      <w:r w:rsidRPr="00633FF0">
        <w:rPr>
          <w:lang w:val="en-GB"/>
        </w:rPr>
        <w:t xml:space="preserve">clear that the </w:t>
      </w:r>
      <w:r w:rsidR="00401E39">
        <w:rPr>
          <w:lang w:val="en-GB"/>
        </w:rPr>
        <w:t>f</w:t>
      </w:r>
      <w:r w:rsidRPr="00633FF0">
        <w:rPr>
          <w:lang w:val="en-GB"/>
        </w:rPr>
        <w:t xml:space="preserve">amily </w:t>
      </w:r>
      <w:r w:rsidR="00401E39">
        <w:rPr>
          <w:lang w:val="en-GB"/>
        </w:rPr>
        <w:t>c</w:t>
      </w:r>
      <w:r w:rsidRPr="00633FF0">
        <w:rPr>
          <w:lang w:val="en-GB"/>
        </w:rPr>
        <w:t>onstitution provided some guidance</w:t>
      </w:r>
      <w:r w:rsidR="00401E39">
        <w:rPr>
          <w:lang w:val="en-GB"/>
        </w:rPr>
        <w:t>,</w:t>
      </w:r>
      <w:r w:rsidRPr="00633FF0">
        <w:rPr>
          <w:rStyle w:val="FootnoteReference"/>
          <w:lang w:val="en-GB"/>
        </w:rPr>
        <w:footnoteReference w:id="3"/>
      </w:r>
      <w:r w:rsidRPr="00633FF0">
        <w:rPr>
          <w:lang w:val="en-GB"/>
        </w:rPr>
        <w:t xml:space="preserve"> these goals </w:t>
      </w:r>
      <w:r w:rsidR="00401E39">
        <w:rPr>
          <w:lang w:val="en-GB"/>
        </w:rPr>
        <w:t>we</w:t>
      </w:r>
      <w:r w:rsidR="00401E39" w:rsidRPr="00633FF0">
        <w:rPr>
          <w:lang w:val="en-GB"/>
        </w:rPr>
        <w:t xml:space="preserve">re </w:t>
      </w:r>
      <w:r w:rsidRPr="00633FF0">
        <w:rPr>
          <w:lang w:val="en-GB"/>
        </w:rPr>
        <w:t>not easily measurable</w:t>
      </w:r>
      <w:r w:rsidR="000A02F4">
        <w:rPr>
          <w:lang w:val="en-GB"/>
        </w:rPr>
        <w:t>,</w:t>
      </w:r>
      <w:r w:rsidRPr="00633FF0">
        <w:rPr>
          <w:lang w:val="en-GB"/>
        </w:rPr>
        <w:t xml:space="preserve"> </w:t>
      </w:r>
      <w:r w:rsidR="000A02F4">
        <w:rPr>
          <w:lang w:val="en-GB"/>
        </w:rPr>
        <w:t>and</w:t>
      </w:r>
      <w:r w:rsidR="000A02F4" w:rsidRPr="00633FF0">
        <w:rPr>
          <w:lang w:val="en-GB"/>
        </w:rPr>
        <w:t xml:space="preserve"> </w:t>
      </w:r>
      <w:r w:rsidRPr="00633FF0">
        <w:rPr>
          <w:lang w:val="en-GB"/>
        </w:rPr>
        <w:t>Pieter and Jens recognized the need to be thoughtful in their evaluation of the different alternatives.</w:t>
      </w:r>
      <w:r w:rsidR="00633FF0" w:rsidRPr="00633FF0">
        <w:rPr>
          <w:lang w:val="en-GB"/>
        </w:rPr>
        <w:t xml:space="preserve"> </w:t>
      </w:r>
      <w:r w:rsidRPr="00633FF0">
        <w:rPr>
          <w:lang w:val="en-GB"/>
        </w:rPr>
        <w:t xml:space="preserve">The different priorities and values across all of these stakeholders clearly meant </w:t>
      </w:r>
      <w:r w:rsidR="00401E39">
        <w:rPr>
          <w:lang w:val="en-GB"/>
        </w:rPr>
        <w:t xml:space="preserve">that </w:t>
      </w:r>
      <w:r w:rsidRPr="00633FF0">
        <w:rPr>
          <w:lang w:val="en-GB"/>
        </w:rPr>
        <w:t>trade-offs would be required.</w:t>
      </w:r>
      <w:r w:rsidR="00633FF0" w:rsidRPr="00633FF0">
        <w:rPr>
          <w:lang w:val="en-GB"/>
        </w:rPr>
        <w:t xml:space="preserve"> </w:t>
      </w:r>
      <w:r w:rsidRPr="00633FF0">
        <w:rPr>
          <w:lang w:val="en-GB"/>
        </w:rPr>
        <w:t>For the next family meeting</w:t>
      </w:r>
      <w:r w:rsidR="00401E39">
        <w:rPr>
          <w:lang w:val="en-GB"/>
        </w:rPr>
        <w:t>,</w:t>
      </w:r>
      <w:r w:rsidRPr="00633FF0">
        <w:rPr>
          <w:lang w:val="en-GB"/>
        </w:rPr>
        <w:t xml:space="preserve"> Pieter and Jens had promised to </w:t>
      </w:r>
      <w:r w:rsidR="00401E39">
        <w:rPr>
          <w:lang w:val="en-GB"/>
        </w:rPr>
        <w:t>present</w:t>
      </w:r>
      <w:r w:rsidR="00401E39" w:rsidRPr="00633FF0">
        <w:rPr>
          <w:lang w:val="en-GB"/>
        </w:rPr>
        <w:t xml:space="preserve"> </w:t>
      </w:r>
      <w:r w:rsidRPr="00633FF0">
        <w:rPr>
          <w:lang w:val="en-GB"/>
        </w:rPr>
        <w:t>a set of alternatives to increase employee engagement going forward and an analysis of their pros and cons.</w:t>
      </w:r>
    </w:p>
    <w:p w14:paraId="07EF4A26" w14:textId="4F255CC9" w:rsidR="00532643" w:rsidRPr="00633FF0" w:rsidRDefault="00532643" w:rsidP="00532643">
      <w:pPr>
        <w:pStyle w:val="BodyTextMain"/>
        <w:rPr>
          <w:lang w:val="en-GB"/>
        </w:rPr>
      </w:pPr>
    </w:p>
    <w:p w14:paraId="64BE232C" w14:textId="77777777" w:rsidR="00532643" w:rsidRPr="00633FF0" w:rsidRDefault="00532643" w:rsidP="00532643">
      <w:pPr>
        <w:pStyle w:val="BodyTextMain"/>
        <w:rPr>
          <w:lang w:val="en-GB"/>
        </w:rPr>
      </w:pPr>
    </w:p>
    <w:p w14:paraId="01FC4855" w14:textId="1896A258" w:rsidR="00532643" w:rsidRPr="00633FF0" w:rsidRDefault="00532643" w:rsidP="00342A67">
      <w:pPr>
        <w:pStyle w:val="Casehead1"/>
        <w:rPr>
          <w:lang w:val="en-GB"/>
        </w:rPr>
      </w:pPr>
      <w:r w:rsidRPr="00633FF0">
        <w:rPr>
          <w:lang w:val="en-GB"/>
        </w:rPr>
        <w:t>Alternatives to Increase Employee Engagement</w:t>
      </w:r>
    </w:p>
    <w:p w14:paraId="466FA504" w14:textId="77777777" w:rsidR="00532643" w:rsidRPr="00633FF0" w:rsidRDefault="00532643" w:rsidP="00532643">
      <w:pPr>
        <w:pStyle w:val="BodyTextMain"/>
        <w:rPr>
          <w:lang w:val="en-GB"/>
        </w:rPr>
      </w:pPr>
    </w:p>
    <w:p w14:paraId="441A76E0" w14:textId="6EF9E0FA" w:rsidR="00532643" w:rsidRPr="00633FF0" w:rsidRDefault="00532643" w:rsidP="00532643">
      <w:pPr>
        <w:pStyle w:val="BodyTextMain"/>
        <w:rPr>
          <w:lang w:val="en-GB"/>
        </w:rPr>
      </w:pPr>
      <w:r w:rsidRPr="00633FF0">
        <w:rPr>
          <w:lang w:val="en-GB"/>
        </w:rPr>
        <w:t xml:space="preserve">Some of the potential alternatives </w:t>
      </w:r>
      <w:r w:rsidR="00401E39">
        <w:rPr>
          <w:lang w:val="en-GB"/>
        </w:rPr>
        <w:t>that</w:t>
      </w:r>
      <w:r w:rsidR="00401E39" w:rsidRPr="00633FF0">
        <w:rPr>
          <w:lang w:val="en-GB"/>
        </w:rPr>
        <w:t xml:space="preserve"> </w:t>
      </w:r>
      <w:r w:rsidRPr="00633FF0">
        <w:rPr>
          <w:lang w:val="en-GB"/>
        </w:rPr>
        <w:t>needed to be evaluated were</w:t>
      </w:r>
      <w:r w:rsidR="00401E39">
        <w:rPr>
          <w:lang w:val="en-GB"/>
        </w:rPr>
        <w:t xml:space="preserve"> a pension-based employee stock ownership program, long-term incentive plans, restricted stock units, short-term incentives, better working conditions, and continuing education opportunities.</w:t>
      </w:r>
    </w:p>
    <w:p w14:paraId="464F59D9" w14:textId="77777777" w:rsidR="00532643" w:rsidRPr="00633FF0" w:rsidRDefault="00532643" w:rsidP="00532643">
      <w:pPr>
        <w:pStyle w:val="BodyTextMain"/>
        <w:rPr>
          <w:lang w:val="en-GB"/>
        </w:rPr>
      </w:pPr>
    </w:p>
    <w:p w14:paraId="15EE5B06" w14:textId="77777777" w:rsidR="00A2073D" w:rsidRDefault="00A2073D" w:rsidP="003661A3">
      <w:pPr>
        <w:pStyle w:val="Casehead2"/>
        <w:rPr>
          <w:lang w:val="en-GB"/>
        </w:rPr>
      </w:pPr>
    </w:p>
    <w:p w14:paraId="0529B3D7" w14:textId="5B91E097" w:rsidR="00401E39" w:rsidRDefault="00532643" w:rsidP="003661A3">
      <w:pPr>
        <w:pStyle w:val="Casehead2"/>
        <w:rPr>
          <w:lang w:val="en-GB"/>
        </w:rPr>
      </w:pPr>
      <w:r w:rsidRPr="00633FF0">
        <w:rPr>
          <w:lang w:val="en-GB"/>
        </w:rPr>
        <w:t xml:space="preserve">Pension-based Employee Stock Ownership Program </w:t>
      </w:r>
    </w:p>
    <w:p w14:paraId="06FC29AB" w14:textId="77777777" w:rsidR="00401E39" w:rsidRDefault="00401E39" w:rsidP="00532643">
      <w:pPr>
        <w:pStyle w:val="BodyTextMain"/>
        <w:rPr>
          <w:lang w:val="en-GB"/>
        </w:rPr>
      </w:pPr>
    </w:p>
    <w:p w14:paraId="6D36B7F1" w14:textId="5C6B502A" w:rsidR="00532643" w:rsidRPr="00633FF0" w:rsidRDefault="00401E39" w:rsidP="00532643">
      <w:pPr>
        <w:pStyle w:val="BodyTextMain"/>
        <w:rPr>
          <w:lang w:val="en-GB"/>
        </w:rPr>
      </w:pPr>
      <w:r>
        <w:rPr>
          <w:lang w:val="en-GB"/>
        </w:rPr>
        <w:t xml:space="preserve">A pension-based stock ownership program </w:t>
      </w:r>
      <w:r w:rsidR="00581D0B">
        <w:rPr>
          <w:lang w:val="en-GB"/>
        </w:rPr>
        <w:t xml:space="preserve">would </w:t>
      </w:r>
      <w:r>
        <w:rPr>
          <w:lang w:val="en-GB"/>
        </w:rPr>
        <w:t>g</w:t>
      </w:r>
      <w:r w:rsidR="00581D0B">
        <w:rPr>
          <w:lang w:val="en-GB"/>
        </w:rPr>
        <w:t>i</w:t>
      </w:r>
      <w:r>
        <w:rPr>
          <w:lang w:val="en-GB"/>
        </w:rPr>
        <w:t xml:space="preserve">ve </w:t>
      </w:r>
      <w:r w:rsidR="00532643" w:rsidRPr="00633FF0">
        <w:rPr>
          <w:lang w:val="en-GB"/>
        </w:rPr>
        <w:t>the employees ownership in the firm as part of their compensation or pension plan</w:t>
      </w:r>
      <w:r w:rsidR="00455C8C">
        <w:rPr>
          <w:lang w:val="en-GB"/>
        </w:rPr>
        <w:t>,</w:t>
      </w:r>
      <w:r w:rsidR="00532643" w:rsidRPr="00633FF0">
        <w:rPr>
          <w:lang w:val="en-GB"/>
        </w:rPr>
        <w:t xml:space="preserve"> so they </w:t>
      </w:r>
      <w:r w:rsidR="00455C8C">
        <w:rPr>
          <w:lang w:val="en-GB"/>
        </w:rPr>
        <w:t xml:space="preserve">could </w:t>
      </w:r>
      <w:r w:rsidR="00532643" w:rsidRPr="00633FF0">
        <w:rPr>
          <w:lang w:val="en-GB"/>
        </w:rPr>
        <w:t xml:space="preserve">feel more connected to the firm and jointly benefit as the firm </w:t>
      </w:r>
      <w:r w:rsidR="00581D0B" w:rsidRPr="00633FF0">
        <w:rPr>
          <w:lang w:val="en-GB"/>
        </w:rPr>
        <w:t>gr</w:t>
      </w:r>
      <w:r w:rsidR="00581D0B">
        <w:rPr>
          <w:lang w:val="en-GB"/>
        </w:rPr>
        <w:t>e</w:t>
      </w:r>
      <w:r w:rsidR="00581D0B" w:rsidRPr="00633FF0">
        <w:rPr>
          <w:lang w:val="en-GB"/>
        </w:rPr>
        <w:t xml:space="preserve">w </w:t>
      </w:r>
      <w:r w:rsidR="00532643" w:rsidRPr="00633FF0">
        <w:rPr>
          <w:lang w:val="en-GB"/>
        </w:rPr>
        <w:t xml:space="preserve">and </w:t>
      </w:r>
      <w:r w:rsidR="00581D0B" w:rsidRPr="00633FF0">
        <w:rPr>
          <w:lang w:val="en-GB"/>
        </w:rPr>
        <w:t>increase</w:t>
      </w:r>
      <w:r w:rsidR="00581D0B">
        <w:rPr>
          <w:lang w:val="en-GB"/>
        </w:rPr>
        <w:t>d</w:t>
      </w:r>
      <w:r w:rsidR="00581D0B" w:rsidRPr="00633FF0">
        <w:rPr>
          <w:lang w:val="en-GB"/>
        </w:rPr>
        <w:t xml:space="preserve"> </w:t>
      </w:r>
      <w:r w:rsidR="00532643" w:rsidRPr="00633FF0">
        <w:rPr>
          <w:lang w:val="en-GB"/>
        </w:rPr>
        <w:t>in value.</w:t>
      </w:r>
      <w:r w:rsidR="00633FF0" w:rsidRPr="00633FF0">
        <w:rPr>
          <w:lang w:val="en-GB"/>
        </w:rPr>
        <w:t xml:space="preserve"> </w:t>
      </w:r>
      <w:r w:rsidR="00532643" w:rsidRPr="00633FF0">
        <w:rPr>
          <w:lang w:val="en-GB"/>
        </w:rPr>
        <w:t xml:space="preserve">The shares that </w:t>
      </w:r>
      <w:r w:rsidR="00455C8C" w:rsidRPr="00633FF0">
        <w:rPr>
          <w:lang w:val="en-GB"/>
        </w:rPr>
        <w:t>c</w:t>
      </w:r>
      <w:r w:rsidR="00455C8C">
        <w:rPr>
          <w:lang w:val="en-GB"/>
        </w:rPr>
        <w:t>ould</w:t>
      </w:r>
      <w:r w:rsidR="00455C8C" w:rsidRPr="00633FF0">
        <w:rPr>
          <w:lang w:val="en-GB"/>
        </w:rPr>
        <w:t xml:space="preserve"> </w:t>
      </w:r>
      <w:r w:rsidR="00532643" w:rsidRPr="00633FF0">
        <w:rPr>
          <w:lang w:val="en-GB"/>
        </w:rPr>
        <w:t xml:space="preserve">be </w:t>
      </w:r>
      <w:r w:rsidR="00455C8C">
        <w:rPr>
          <w:lang w:val="en-GB"/>
        </w:rPr>
        <w:t>added to</w:t>
      </w:r>
      <w:r w:rsidR="00532643" w:rsidRPr="00633FF0">
        <w:rPr>
          <w:lang w:val="en-GB"/>
        </w:rPr>
        <w:t xml:space="preserve"> the </w:t>
      </w:r>
      <w:r w:rsidR="00455C8C">
        <w:rPr>
          <w:lang w:val="en-GB"/>
        </w:rPr>
        <w:t>p</w:t>
      </w:r>
      <w:r w:rsidR="00532643" w:rsidRPr="00633FF0">
        <w:rPr>
          <w:lang w:val="en-GB"/>
        </w:rPr>
        <w:t xml:space="preserve">ension fund </w:t>
      </w:r>
      <w:r w:rsidR="00455C8C" w:rsidRPr="00633FF0">
        <w:rPr>
          <w:lang w:val="en-GB"/>
        </w:rPr>
        <w:t>c</w:t>
      </w:r>
      <w:r w:rsidR="00455C8C">
        <w:rPr>
          <w:lang w:val="en-GB"/>
        </w:rPr>
        <w:t>ould</w:t>
      </w:r>
      <w:r w:rsidR="00455C8C" w:rsidRPr="00633FF0">
        <w:rPr>
          <w:lang w:val="en-GB"/>
        </w:rPr>
        <w:t xml:space="preserve"> </w:t>
      </w:r>
      <w:r w:rsidR="00532643" w:rsidRPr="00633FF0">
        <w:rPr>
          <w:lang w:val="en-GB"/>
        </w:rPr>
        <w:t>be real shares or phantom shares</w:t>
      </w:r>
      <w:r w:rsidR="00455C8C">
        <w:rPr>
          <w:lang w:val="en-GB"/>
        </w:rPr>
        <w:t>.</w:t>
      </w:r>
      <w:r w:rsidR="00532643" w:rsidRPr="00633FF0">
        <w:rPr>
          <w:rStyle w:val="FootnoteReference"/>
          <w:lang w:val="en-GB"/>
        </w:rPr>
        <w:footnoteReference w:id="4"/>
      </w:r>
      <w:r w:rsidR="00633FF0" w:rsidRPr="00633FF0">
        <w:rPr>
          <w:lang w:val="en-GB"/>
        </w:rPr>
        <w:t xml:space="preserve"> </w:t>
      </w:r>
      <w:r w:rsidR="00532643" w:rsidRPr="00633FF0">
        <w:rPr>
          <w:lang w:val="en-GB"/>
        </w:rPr>
        <w:t xml:space="preserve">The costs to the firm of such a plan </w:t>
      </w:r>
      <w:r w:rsidR="00455C8C" w:rsidRPr="00633FF0">
        <w:rPr>
          <w:lang w:val="en-GB"/>
        </w:rPr>
        <w:t>c</w:t>
      </w:r>
      <w:r w:rsidR="00455C8C">
        <w:rPr>
          <w:lang w:val="en-GB"/>
        </w:rPr>
        <w:t>ould</w:t>
      </w:r>
      <w:r w:rsidR="00455C8C" w:rsidRPr="00633FF0">
        <w:rPr>
          <w:lang w:val="en-GB"/>
        </w:rPr>
        <w:t xml:space="preserve"> </w:t>
      </w:r>
      <w:r w:rsidR="00532643" w:rsidRPr="00633FF0">
        <w:rPr>
          <w:lang w:val="en-GB"/>
        </w:rPr>
        <w:t xml:space="preserve">be mitigated if the shares </w:t>
      </w:r>
      <w:r w:rsidR="00455C8C">
        <w:rPr>
          <w:lang w:val="en-GB"/>
        </w:rPr>
        <w:t>we</w:t>
      </w:r>
      <w:r w:rsidR="00455C8C" w:rsidRPr="00633FF0">
        <w:rPr>
          <w:lang w:val="en-GB"/>
        </w:rPr>
        <w:t xml:space="preserve">re </w:t>
      </w:r>
      <w:r w:rsidR="00455C8C">
        <w:rPr>
          <w:lang w:val="en-GB"/>
        </w:rPr>
        <w:t>deposited</w:t>
      </w:r>
      <w:r w:rsidR="00455C8C" w:rsidRPr="00633FF0">
        <w:rPr>
          <w:lang w:val="en-GB"/>
        </w:rPr>
        <w:t xml:space="preserve"> </w:t>
      </w:r>
      <w:r w:rsidR="00532643" w:rsidRPr="00633FF0">
        <w:rPr>
          <w:lang w:val="en-GB"/>
        </w:rPr>
        <w:t>into a pension plan and thus could be classified as a pension expense.</w:t>
      </w:r>
      <w:r w:rsidR="00633FF0" w:rsidRPr="00633FF0">
        <w:rPr>
          <w:lang w:val="en-GB"/>
        </w:rPr>
        <w:t xml:space="preserve"> </w:t>
      </w:r>
      <w:proofErr w:type="spellStart"/>
      <w:r w:rsidR="00CD671F">
        <w:rPr>
          <w:lang w:val="en-GB"/>
        </w:rPr>
        <w:t>BauZentral</w:t>
      </w:r>
      <w:proofErr w:type="spellEnd"/>
      <w:r w:rsidR="00532643" w:rsidRPr="00633FF0">
        <w:rPr>
          <w:lang w:val="en-GB"/>
        </w:rPr>
        <w:t xml:space="preserve"> could also grant different shares </w:t>
      </w:r>
      <w:r w:rsidR="00532643" w:rsidRPr="00633FF0">
        <w:rPr>
          <w:lang w:val="en-GB"/>
        </w:rPr>
        <w:lastRenderedPageBreak/>
        <w:t xml:space="preserve">for each region if </w:t>
      </w:r>
      <w:r w:rsidR="00455C8C">
        <w:rPr>
          <w:lang w:val="en-GB"/>
        </w:rPr>
        <w:t>the company wanted</w:t>
      </w:r>
      <w:r w:rsidR="00532643" w:rsidRPr="00633FF0">
        <w:rPr>
          <w:lang w:val="en-GB"/>
        </w:rPr>
        <w:t xml:space="preserve"> to allow for different returns in different markets.</w:t>
      </w:r>
      <w:r w:rsidR="00633FF0" w:rsidRPr="00633FF0">
        <w:rPr>
          <w:lang w:val="en-GB"/>
        </w:rPr>
        <w:t xml:space="preserve"> </w:t>
      </w:r>
      <w:r w:rsidR="00532643" w:rsidRPr="00633FF0">
        <w:rPr>
          <w:lang w:val="en-GB"/>
        </w:rPr>
        <w:t xml:space="preserve">By having the shares in a pension plan, the employees </w:t>
      </w:r>
      <w:r w:rsidR="00581D0B">
        <w:rPr>
          <w:lang w:val="en-GB"/>
        </w:rPr>
        <w:t xml:space="preserve">would </w:t>
      </w:r>
      <w:r w:rsidR="00532643" w:rsidRPr="00633FF0">
        <w:rPr>
          <w:lang w:val="en-GB"/>
        </w:rPr>
        <w:t>have less direct control over the shares</w:t>
      </w:r>
      <w:r w:rsidR="00455C8C">
        <w:rPr>
          <w:lang w:val="en-GB"/>
        </w:rPr>
        <w:t>,</w:t>
      </w:r>
      <w:r w:rsidR="00532643" w:rsidRPr="00633FF0">
        <w:rPr>
          <w:lang w:val="en-GB"/>
        </w:rPr>
        <w:t xml:space="preserve"> as the votes for the shares </w:t>
      </w:r>
      <w:r w:rsidR="00455C8C">
        <w:rPr>
          <w:lang w:val="en-GB"/>
        </w:rPr>
        <w:t>might</w:t>
      </w:r>
      <w:r w:rsidR="00455C8C" w:rsidRPr="00633FF0">
        <w:rPr>
          <w:lang w:val="en-GB"/>
        </w:rPr>
        <w:t xml:space="preserve"> </w:t>
      </w:r>
      <w:r w:rsidR="00532643" w:rsidRPr="00633FF0">
        <w:rPr>
          <w:lang w:val="en-GB"/>
        </w:rPr>
        <w:t>be help</w:t>
      </w:r>
      <w:r w:rsidR="00581D0B">
        <w:rPr>
          <w:lang w:val="en-GB"/>
        </w:rPr>
        <w:t>ed</w:t>
      </w:r>
      <w:r w:rsidR="00532643" w:rsidRPr="00633FF0">
        <w:rPr>
          <w:lang w:val="en-GB"/>
        </w:rPr>
        <w:t xml:space="preserve"> by pension fund </w:t>
      </w:r>
      <w:r w:rsidR="004E6D37">
        <w:rPr>
          <w:lang w:val="en-GB"/>
        </w:rPr>
        <w:t xml:space="preserve">trustees, </w:t>
      </w:r>
      <w:r w:rsidR="00532643" w:rsidRPr="00633FF0">
        <w:rPr>
          <w:lang w:val="en-GB"/>
        </w:rPr>
        <w:t xml:space="preserve">who could be </w:t>
      </w:r>
      <w:r w:rsidR="004E6D37">
        <w:rPr>
          <w:lang w:val="en-GB"/>
        </w:rPr>
        <w:t xml:space="preserve">family </w:t>
      </w:r>
      <w:r w:rsidR="00532643" w:rsidRPr="00633FF0">
        <w:rPr>
          <w:lang w:val="en-GB"/>
        </w:rPr>
        <w:t>members of the owners</w:t>
      </w:r>
      <w:r w:rsidR="004E6D37">
        <w:rPr>
          <w:lang w:val="en-GB"/>
        </w:rPr>
        <w:t>,</w:t>
      </w:r>
      <w:r w:rsidR="00532643" w:rsidRPr="00633FF0">
        <w:rPr>
          <w:lang w:val="en-GB"/>
        </w:rPr>
        <w:t xml:space="preserve"> so the employees </w:t>
      </w:r>
      <w:r w:rsidR="004E6D37">
        <w:rPr>
          <w:lang w:val="en-GB"/>
        </w:rPr>
        <w:t>could</w:t>
      </w:r>
      <w:r w:rsidR="004E6D37" w:rsidRPr="00633FF0">
        <w:rPr>
          <w:lang w:val="en-GB"/>
        </w:rPr>
        <w:t xml:space="preserve"> </w:t>
      </w:r>
      <w:r w:rsidR="00532643" w:rsidRPr="00633FF0">
        <w:rPr>
          <w:lang w:val="en-GB"/>
        </w:rPr>
        <w:t>feel disconnected from the ownership.</w:t>
      </w:r>
      <w:r w:rsidR="00633FF0" w:rsidRPr="00633FF0">
        <w:rPr>
          <w:lang w:val="en-GB"/>
        </w:rPr>
        <w:t xml:space="preserve"> </w:t>
      </w:r>
      <w:r w:rsidR="00532643" w:rsidRPr="00633FF0">
        <w:rPr>
          <w:lang w:val="en-GB"/>
        </w:rPr>
        <w:t xml:space="preserve">They </w:t>
      </w:r>
      <w:r w:rsidR="004E6D37" w:rsidRPr="00633FF0">
        <w:rPr>
          <w:lang w:val="en-GB"/>
        </w:rPr>
        <w:t>w</w:t>
      </w:r>
      <w:r w:rsidR="004E6D37">
        <w:rPr>
          <w:lang w:val="en-GB"/>
        </w:rPr>
        <w:t>ould</w:t>
      </w:r>
      <w:r w:rsidR="00532643" w:rsidRPr="00633FF0">
        <w:rPr>
          <w:lang w:val="en-GB"/>
        </w:rPr>
        <w:t>, however, benefit financially if their decisions increase</w:t>
      </w:r>
      <w:r w:rsidR="004E6D37">
        <w:rPr>
          <w:lang w:val="en-GB"/>
        </w:rPr>
        <w:t>d</w:t>
      </w:r>
      <w:r w:rsidR="00532643" w:rsidRPr="00633FF0">
        <w:rPr>
          <w:lang w:val="en-GB"/>
        </w:rPr>
        <w:t xml:space="preserve"> the value of </w:t>
      </w:r>
      <w:proofErr w:type="spellStart"/>
      <w:r w:rsidR="00CD671F">
        <w:rPr>
          <w:lang w:val="en-GB"/>
        </w:rPr>
        <w:t>BauZentral</w:t>
      </w:r>
      <w:proofErr w:type="spellEnd"/>
      <w:r w:rsidR="00532643" w:rsidRPr="00633FF0">
        <w:rPr>
          <w:lang w:val="en-GB"/>
        </w:rPr>
        <w:t>.</w:t>
      </w:r>
    </w:p>
    <w:p w14:paraId="673B77C8" w14:textId="77777777" w:rsidR="00532643" w:rsidRPr="00633FF0" w:rsidRDefault="00532643" w:rsidP="00532643">
      <w:pPr>
        <w:pStyle w:val="BodyTextMain"/>
        <w:rPr>
          <w:lang w:val="en-GB"/>
        </w:rPr>
      </w:pPr>
    </w:p>
    <w:p w14:paraId="0B431C68" w14:textId="77777777" w:rsidR="004E6D37" w:rsidRDefault="004E6D37" w:rsidP="00532643">
      <w:pPr>
        <w:pStyle w:val="BodyTextMain"/>
        <w:rPr>
          <w:lang w:val="en-GB"/>
        </w:rPr>
      </w:pPr>
    </w:p>
    <w:p w14:paraId="75C770FD" w14:textId="77777777" w:rsidR="004E6D37" w:rsidRDefault="00532643" w:rsidP="00532643">
      <w:pPr>
        <w:pStyle w:val="BodyTextMain"/>
        <w:rPr>
          <w:lang w:val="en-GB"/>
        </w:rPr>
      </w:pPr>
      <w:r w:rsidRPr="003661A3">
        <w:rPr>
          <w:rStyle w:val="Casehead2Char"/>
        </w:rPr>
        <w:t>Long-Term Incentive Plans (LTIPs)</w:t>
      </w:r>
      <w:r w:rsidRPr="00633FF0">
        <w:rPr>
          <w:lang w:val="en-GB"/>
        </w:rPr>
        <w:t xml:space="preserve"> </w:t>
      </w:r>
    </w:p>
    <w:p w14:paraId="4E90EA87" w14:textId="77777777" w:rsidR="004E6D37" w:rsidRDefault="004E6D37" w:rsidP="00532643">
      <w:pPr>
        <w:pStyle w:val="BodyTextMain"/>
        <w:rPr>
          <w:lang w:val="en-GB"/>
        </w:rPr>
      </w:pPr>
    </w:p>
    <w:p w14:paraId="6F6F2EC3" w14:textId="5660C3B6" w:rsidR="00532643" w:rsidRPr="00633FF0" w:rsidRDefault="004E6D37" w:rsidP="00532643">
      <w:pPr>
        <w:pStyle w:val="BodyTextMain"/>
        <w:rPr>
          <w:lang w:val="en-GB"/>
        </w:rPr>
      </w:pPr>
      <w:r>
        <w:rPr>
          <w:lang w:val="en-GB"/>
        </w:rPr>
        <w:t>Long-term incentive plans (LTIPs)</w:t>
      </w:r>
      <w:r w:rsidR="00532643" w:rsidRPr="00633FF0">
        <w:rPr>
          <w:lang w:val="en-GB"/>
        </w:rPr>
        <w:t xml:space="preserve"> </w:t>
      </w:r>
      <w:r>
        <w:rPr>
          <w:lang w:val="en-GB"/>
        </w:rPr>
        <w:t xml:space="preserve">had a long-term focus and </w:t>
      </w:r>
      <w:r w:rsidR="00532643" w:rsidRPr="00633FF0">
        <w:rPr>
          <w:lang w:val="en-GB"/>
        </w:rPr>
        <w:t>directly reward</w:t>
      </w:r>
      <w:r>
        <w:rPr>
          <w:lang w:val="en-GB"/>
        </w:rPr>
        <w:t>ed</w:t>
      </w:r>
      <w:r w:rsidR="00532643" w:rsidRPr="00633FF0">
        <w:rPr>
          <w:lang w:val="en-GB"/>
        </w:rPr>
        <w:t xml:space="preserve"> employees for </w:t>
      </w:r>
      <w:r>
        <w:rPr>
          <w:lang w:val="en-GB"/>
        </w:rPr>
        <w:t xml:space="preserve">their </w:t>
      </w:r>
      <w:r w:rsidR="00532643" w:rsidRPr="00633FF0">
        <w:rPr>
          <w:lang w:val="en-GB"/>
        </w:rPr>
        <w:t xml:space="preserve">performance. </w:t>
      </w:r>
    </w:p>
    <w:p w14:paraId="1761D964" w14:textId="77777777" w:rsidR="00532643" w:rsidRPr="00633FF0" w:rsidRDefault="00532643" w:rsidP="00532643">
      <w:pPr>
        <w:pStyle w:val="BodyTextMain"/>
        <w:rPr>
          <w:lang w:val="en-GB"/>
        </w:rPr>
      </w:pPr>
    </w:p>
    <w:p w14:paraId="19965C93" w14:textId="77777777" w:rsidR="004E6D37" w:rsidRDefault="004E6D37" w:rsidP="00342A67">
      <w:pPr>
        <w:pStyle w:val="BodyTextMain"/>
        <w:rPr>
          <w:lang w:val="en-GB"/>
        </w:rPr>
      </w:pPr>
    </w:p>
    <w:p w14:paraId="5ED1EFD6" w14:textId="77777777" w:rsidR="004E6D37" w:rsidRDefault="00532643" w:rsidP="003661A3">
      <w:pPr>
        <w:pStyle w:val="Casehead2"/>
        <w:rPr>
          <w:lang w:val="en-GB"/>
        </w:rPr>
      </w:pPr>
      <w:r w:rsidRPr="00633FF0">
        <w:rPr>
          <w:lang w:val="en-GB"/>
        </w:rPr>
        <w:t xml:space="preserve">Restricted Stock Units (RSUs) </w:t>
      </w:r>
    </w:p>
    <w:p w14:paraId="674AA40A" w14:textId="77777777" w:rsidR="004E6D37" w:rsidRDefault="004E6D37" w:rsidP="00342A67">
      <w:pPr>
        <w:pStyle w:val="BodyTextMain"/>
        <w:rPr>
          <w:lang w:val="en-GB"/>
        </w:rPr>
      </w:pPr>
    </w:p>
    <w:p w14:paraId="1FDD9032" w14:textId="6D4E8154" w:rsidR="00532643" w:rsidRPr="00633FF0" w:rsidRDefault="004E6D37" w:rsidP="00342A67">
      <w:pPr>
        <w:pStyle w:val="BodyTextMain"/>
        <w:rPr>
          <w:lang w:val="en-GB"/>
        </w:rPr>
      </w:pPr>
      <w:r>
        <w:rPr>
          <w:lang w:val="en-GB"/>
        </w:rPr>
        <w:t xml:space="preserve">Restricted stock units (RSUs) could </w:t>
      </w:r>
      <w:r w:rsidR="00532643" w:rsidRPr="00633FF0">
        <w:rPr>
          <w:lang w:val="en-GB"/>
        </w:rPr>
        <w:t>be either shares or phantom shares.</w:t>
      </w:r>
      <w:r w:rsidR="00633FF0" w:rsidRPr="00633FF0">
        <w:rPr>
          <w:lang w:val="en-GB"/>
        </w:rPr>
        <w:t xml:space="preserve"> </w:t>
      </w:r>
      <w:r w:rsidR="00532643" w:rsidRPr="00633FF0">
        <w:rPr>
          <w:lang w:val="en-GB"/>
        </w:rPr>
        <w:t>As above, the shares could be for different business segments or markets.</w:t>
      </w:r>
      <w:r w:rsidR="00633FF0" w:rsidRPr="00633FF0">
        <w:rPr>
          <w:lang w:val="en-GB"/>
        </w:rPr>
        <w:t xml:space="preserve"> </w:t>
      </w:r>
      <w:r w:rsidR="00532643" w:rsidRPr="00633FF0">
        <w:rPr>
          <w:lang w:val="en-GB"/>
        </w:rPr>
        <w:t>If the employees</w:t>
      </w:r>
      <w:r>
        <w:rPr>
          <w:lang w:val="en-GB"/>
        </w:rPr>
        <w:t xml:space="preserve"> owned RSUs</w:t>
      </w:r>
      <w:r w:rsidR="00532643" w:rsidRPr="00633FF0">
        <w:rPr>
          <w:lang w:val="en-GB"/>
        </w:rPr>
        <w:t xml:space="preserve">, a market </w:t>
      </w:r>
      <w:r>
        <w:rPr>
          <w:lang w:val="en-GB"/>
        </w:rPr>
        <w:t xml:space="preserve">would need to be </w:t>
      </w:r>
      <w:r w:rsidR="00532643" w:rsidRPr="00633FF0">
        <w:rPr>
          <w:lang w:val="en-GB"/>
        </w:rPr>
        <w:t xml:space="preserve">set up to allow employees to sell the shares they </w:t>
      </w:r>
      <w:r>
        <w:rPr>
          <w:lang w:val="en-GB"/>
        </w:rPr>
        <w:t>had</w:t>
      </w:r>
      <w:r w:rsidRPr="00633FF0">
        <w:rPr>
          <w:lang w:val="en-GB"/>
        </w:rPr>
        <w:t xml:space="preserve"> </w:t>
      </w:r>
      <w:r w:rsidR="00532643" w:rsidRPr="00633FF0">
        <w:rPr>
          <w:lang w:val="en-GB"/>
        </w:rPr>
        <w:t>received for good performance</w:t>
      </w:r>
      <w:r>
        <w:rPr>
          <w:lang w:val="en-GB"/>
        </w:rPr>
        <w:t>,</w:t>
      </w:r>
      <w:r w:rsidR="00532643" w:rsidRPr="00633FF0">
        <w:rPr>
          <w:lang w:val="en-GB"/>
        </w:rPr>
        <w:t xml:space="preserve"> and the price would </w:t>
      </w:r>
      <w:r>
        <w:rPr>
          <w:lang w:val="en-GB"/>
        </w:rPr>
        <w:t>need</w:t>
      </w:r>
      <w:r w:rsidRPr="00633FF0">
        <w:rPr>
          <w:lang w:val="en-GB"/>
        </w:rPr>
        <w:t xml:space="preserve"> </w:t>
      </w:r>
      <w:r w:rsidR="00532643" w:rsidRPr="00633FF0">
        <w:rPr>
          <w:lang w:val="en-GB"/>
        </w:rPr>
        <w:t xml:space="preserve">to reflect the changes in company value the employee </w:t>
      </w:r>
      <w:r w:rsidRPr="00633FF0">
        <w:rPr>
          <w:lang w:val="en-GB"/>
        </w:rPr>
        <w:t>ha</w:t>
      </w:r>
      <w:r>
        <w:rPr>
          <w:lang w:val="en-GB"/>
        </w:rPr>
        <w:t>d</w:t>
      </w:r>
      <w:r w:rsidRPr="00633FF0">
        <w:rPr>
          <w:lang w:val="en-GB"/>
        </w:rPr>
        <w:t xml:space="preserve"> </w:t>
      </w:r>
      <w:r w:rsidR="00532643" w:rsidRPr="00633FF0">
        <w:rPr>
          <w:lang w:val="en-GB"/>
        </w:rPr>
        <w:t>been involved in generating.</w:t>
      </w:r>
    </w:p>
    <w:p w14:paraId="11F190DA" w14:textId="77777777" w:rsidR="00532643" w:rsidRPr="00633FF0" w:rsidRDefault="00532643" w:rsidP="00342A67">
      <w:pPr>
        <w:pStyle w:val="BodyTextMain"/>
        <w:rPr>
          <w:lang w:val="en-GB"/>
        </w:rPr>
      </w:pPr>
    </w:p>
    <w:p w14:paraId="7B4EC7FE" w14:textId="7EAB9E65" w:rsidR="00532643" w:rsidRPr="00633FF0" w:rsidRDefault="00532643" w:rsidP="00342A67">
      <w:pPr>
        <w:pStyle w:val="BodyTextMain"/>
        <w:rPr>
          <w:lang w:val="en-GB"/>
        </w:rPr>
      </w:pPr>
      <w:r w:rsidRPr="00633FF0">
        <w:rPr>
          <w:lang w:val="en-GB"/>
        </w:rPr>
        <w:t xml:space="preserve">Options, </w:t>
      </w:r>
      <w:r w:rsidR="004E6D37">
        <w:rPr>
          <w:lang w:val="en-GB"/>
        </w:rPr>
        <w:t>s</w:t>
      </w:r>
      <w:r w:rsidRPr="00633FF0">
        <w:rPr>
          <w:lang w:val="en-GB"/>
        </w:rPr>
        <w:t xml:space="preserve">tock </w:t>
      </w:r>
      <w:r w:rsidR="004E6D37">
        <w:rPr>
          <w:lang w:val="en-GB"/>
        </w:rPr>
        <w:t>a</w:t>
      </w:r>
      <w:r w:rsidRPr="00633FF0">
        <w:rPr>
          <w:lang w:val="en-GB"/>
        </w:rPr>
        <w:t xml:space="preserve">ppreciation </w:t>
      </w:r>
      <w:r w:rsidR="004E6D37">
        <w:rPr>
          <w:lang w:val="en-GB"/>
        </w:rPr>
        <w:t>r</w:t>
      </w:r>
      <w:r w:rsidRPr="00633FF0">
        <w:rPr>
          <w:lang w:val="en-GB"/>
        </w:rPr>
        <w:t xml:space="preserve">ights, </w:t>
      </w:r>
      <w:r w:rsidR="004E6D37">
        <w:rPr>
          <w:lang w:val="en-GB"/>
        </w:rPr>
        <w:t>and p</w:t>
      </w:r>
      <w:r w:rsidRPr="00633FF0">
        <w:rPr>
          <w:lang w:val="en-GB"/>
        </w:rPr>
        <w:t xml:space="preserve">erformance-based shares also </w:t>
      </w:r>
      <w:r w:rsidR="004E6D37" w:rsidRPr="00633FF0">
        <w:rPr>
          <w:lang w:val="en-GB"/>
        </w:rPr>
        <w:t>f</w:t>
      </w:r>
      <w:r w:rsidR="004E6D37">
        <w:rPr>
          <w:lang w:val="en-GB"/>
        </w:rPr>
        <w:t>e</w:t>
      </w:r>
      <w:r w:rsidR="004E6D37" w:rsidRPr="00633FF0">
        <w:rPr>
          <w:lang w:val="en-GB"/>
        </w:rPr>
        <w:t xml:space="preserve">ll </w:t>
      </w:r>
      <w:r w:rsidRPr="00633FF0">
        <w:rPr>
          <w:lang w:val="en-GB"/>
        </w:rPr>
        <w:t xml:space="preserve">into this category. These </w:t>
      </w:r>
      <w:r w:rsidR="004E6D37">
        <w:rPr>
          <w:lang w:val="en-GB"/>
        </w:rPr>
        <w:t xml:space="preserve">alternatives </w:t>
      </w:r>
      <w:r w:rsidRPr="00633FF0">
        <w:rPr>
          <w:lang w:val="en-GB"/>
        </w:rPr>
        <w:t xml:space="preserve">would be similar to shares but would have a value </w:t>
      </w:r>
      <w:r w:rsidR="004E6D37">
        <w:rPr>
          <w:lang w:val="en-GB"/>
        </w:rPr>
        <w:t xml:space="preserve">only </w:t>
      </w:r>
      <w:r w:rsidRPr="00633FF0">
        <w:rPr>
          <w:lang w:val="en-GB"/>
        </w:rPr>
        <w:t xml:space="preserve">if the value of the firm </w:t>
      </w:r>
      <w:r w:rsidR="004E6D37" w:rsidRPr="00633FF0">
        <w:rPr>
          <w:lang w:val="en-GB"/>
        </w:rPr>
        <w:t>increase</w:t>
      </w:r>
      <w:r w:rsidR="004E6D37">
        <w:rPr>
          <w:lang w:val="en-GB"/>
        </w:rPr>
        <w:t>d</w:t>
      </w:r>
      <w:r w:rsidRPr="00633FF0">
        <w:rPr>
          <w:lang w:val="en-GB"/>
        </w:rPr>
        <w:t>.</w:t>
      </w:r>
      <w:r w:rsidR="00633FF0" w:rsidRPr="00633FF0">
        <w:rPr>
          <w:lang w:val="en-GB"/>
        </w:rPr>
        <w:t xml:space="preserve"> </w:t>
      </w:r>
      <w:r w:rsidRPr="00633FF0">
        <w:rPr>
          <w:lang w:val="en-GB"/>
        </w:rPr>
        <w:t>The employee would receive the cash value of the increase in the stock price over the life of the security.</w:t>
      </w:r>
    </w:p>
    <w:p w14:paraId="185B6272" w14:textId="6981A598" w:rsidR="00532643" w:rsidRDefault="00532643" w:rsidP="00E46546">
      <w:pPr>
        <w:pStyle w:val="BodyTextMain"/>
        <w:jc w:val="left"/>
        <w:rPr>
          <w:lang w:val="en-GB"/>
        </w:rPr>
      </w:pPr>
    </w:p>
    <w:p w14:paraId="2DBAA970" w14:textId="77777777" w:rsidR="00E46546" w:rsidRPr="00633FF0" w:rsidRDefault="00E46546" w:rsidP="00155EA0">
      <w:pPr>
        <w:pStyle w:val="BodyTextMain"/>
        <w:jc w:val="left"/>
        <w:rPr>
          <w:lang w:val="en-GB"/>
        </w:rPr>
      </w:pPr>
    </w:p>
    <w:p w14:paraId="223973B1" w14:textId="77777777" w:rsidR="004E6D37" w:rsidRDefault="00532643" w:rsidP="003661A3">
      <w:pPr>
        <w:pStyle w:val="Casehead2"/>
        <w:rPr>
          <w:lang w:val="en-GB"/>
        </w:rPr>
      </w:pPr>
      <w:r w:rsidRPr="00633FF0">
        <w:rPr>
          <w:lang w:val="en-GB"/>
        </w:rPr>
        <w:t xml:space="preserve">Short-term Incentives </w:t>
      </w:r>
    </w:p>
    <w:p w14:paraId="65F309A3" w14:textId="77777777" w:rsidR="004E6D37" w:rsidRPr="002440C5" w:rsidRDefault="004E6D37" w:rsidP="00532643">
      <w:pPr>
        <w:pStyle w:val="BodyTextMain"/>
        <w:rPr>
          <w:sz w:val="14"/>
          <w:szCs w:val="14"/>
          <w:lang w:val="en-GB"/>
        </w:rPr>
      </w:pPr>
    </w:p>
    <w:p w14:paraId="04DC7CF8" w14:textId="1BA26E6F" w:rsidR="00532643" w:rsidRPr="00633FF0" w:rsidRDefault="004E6D37" w:rsidP="00532643">
      <w:pPr>
        <w:pStyle w:val="BodyTextMain"/>
        <w:rPr>
          <w:lang w:val="en-GB"/>
        </w:rPr>
      </w:pPr>
      <w:r>
        <w:rPr>
          <w:lang w:val="en-GB"/>
        </w:rPr>
        <w:t>Short-term incentives</w:t>
      </w:r>
      <w:r w:rsidR="00532643" w:rsidRPr="00633FF0">
        <w:rPr>
          <w:lang w:val="en-GB"/>
        </w:rPr>
        <w:t xml:space="preserve"> directly reward</w:t>
      </w:r>
      <w:r>
        <w:rPr>
          <w:lang w:val="en-GB"/>
        </w:rPr>
        <w:t>ed</w:t>
      </w:r>
      <w:r w:rsidR="00532643" w:rsidRPr="00633FF0">
        <w:rPr>
          <w:lang w:val="en-GB"/>
        </w:rPr>
        <w:t xml:space="preserve"> employees for their recent performance.</w:t>
      </w:r>
      <w:r w:rsidR="00633FF0" w:rsidRPr="00633FF0">
        <w:rPr>
          <w:lang w:val="en-GB"/>
        </w:rPr>
        <w:t xml:space="preserve"> </w:t>
      </w:r>
      <w:r w:rsidR="00532643" w:rsidRPr="00633FF0">
        <w:rPr>
          <w:lang w:val="en-GB"/>
        </w:rPr>
        <w:t xml:space="preserve">These </w:t>
      </w:r>
      <w:r>
        <w:rPr>
          <w:lang w:val="en-GB"/>
        </w:rPr>
        <w:t>incentives we</w:t>
      </w:r>
      <w:r w:rsidRPr="00633FF0">
        <w:rPr>
          <w:lang w:val="en-GB"/>
        </w:rPr>
        <w:t xml:space="preserve">re </w:t>
      </w:r>
      <w:r>
        <w:rPr>
          <w:lang w:val="en-GB"/>
        </w:rPr>
        <w:t xml:space="preserve">typically </w:t>
      </w:r>
      <w:r w:rsidR="00A97DF5" w:rsidRPr="00A97DF5">
        <w:t>in the form of cash bonuses</w:t>
      </w:r>
      <w:r w:rsidR="00A97DF5" w:rsidRPr="00A97DF5">
        <w:rPr>
          <w:lang w:val="en-GB"/>
        </w:rPr>
        <w:t xml:space="preserve"> </w:t>
      </w:r>
      <w:r>
        <w:rPr>
          <w:lang w:val="en-GB"/>
        </w:rPr>
        <w:t xml:space="preserve">given </w:t>
      </w:r>
      <w:r w:rsidR="00532643" w:rsidRPr="00633FF0">
        <w:rPr>
          <w:lang w:val="en-GB"/>
        </w:rPr>
        <w:t xml:space="preserve">directly to the employees for meeting </w:t>
      </w:r>
      <w:r>
        <w:rPr>
          <w:lang w:val="en-GB"/>
        </w:rPr>
        <w:t xml:space="preserve">the company’s </w:t>
      </w:r>
      <w:r w:rsidR="00532643" w:rsidRPr="00633FF0">
        <w:rPr>
          <w:lang w:val="en-GB"/>
        </w:rPr>
        <w:t>current targets.</w:t>
      </w:r>
      <w:r w:rsidR="00633FF0" w:rsidRPr="00633FF0">
        <w:rPr>
          <w:lang w:val="en-GB"/>
        </w:rPr>
        <w:t xml:space="preserve"> </w:t>
      </w:r>
      <w:r>
        <w:rPr>
          <w:lang w:val="en-GB"/>
        </w:rPr>
        <w:t>Such incentives</w:t>
      </w:r>
      <w:r w:rsidRPr="00633FF0">
        <w:rPr>
          <w:lang w:val="en-GB"/>
        </w:rPr>
        <w:t xml:space="preserve"> align</w:t>
      </w:r>
      <w:r>
        <w:rPr>
          <w:lang w:val="en-GB"/>
        </w:rPr>
        <w:t>ed</w:t>
      </w:r>
      <w:r w:rsidRPr="00633FF0">
        <w:rPr>
          <w:lang w:val="en-GB"/>
        </w:rPr>
        <w:t xml:space="preserve"> </w:t>
      </w:r>
      <w:r w:rsidR="00581D0B">
        <w:rPr>
          <w:lang w:val="en-GB"/>
        </w:rPr>
        <w:t xml:space="preserve">employees’ </w:t>
      </w:r>
      <w:r w:rsidR="00532643" w:rsidRPr="00633FF0">
        <w:rPr>
          <w:lang w:val="en-GB"/>
        </w:rPr>
        <w:t xml:space="preserve">short-term interests with </w:t>
      </w:r>
      <w:r w:rsidR="00581D0B">
        <w:rPr>
          <w:lang w:val="en-GB"/>
        </w:rPr>
        <w:t xml:space="preserve">the interests of </w:t>
      </w:r>
      <w:r w:rsidR="00532643" w:rsidRPr="00633FF0">
        <w:rPr>
          <w:lang w:val="en-GB"/>
        </w:rPr>
        <w:t>the firm</w:t>
      </w:r>
      <w:r w:rsidR="00A2073D">
        <w:rPr>
          <w:lang w:val="en-GB"/>
        </w:rPr>
        <w:t>,</w:t>
      </w:r>
      <w:r w:rsidR="00532643" w:rsidRPr="00633FF0">
        <w:rPr>
          <w:lang w:val="en-GB"/>
        </w:rPr>
        <w:t xml:space="preserve"> but it </w:t>
      </w:r>
      <w:r w:rsidR="00D91B81">
        <w:rPr>
          <w:lang w:val="en-GB"/>
        </w:rPr>
        <w:t>wa</w:t>
      </w:r>
      <w:r w:rsidR="00D91B81" w:rsidRPr="00633FF0">
        <w:rPr>
          <w:lang w:val="en-GB"/>
        </w:rPr>
        <w:t xml:space="preserve">s </w:t>
      </w:r>
      <w:r>
        <w:rPr>
          <w:lang w:val="en-GB"/>
        </w:rPr>
        <w:t>un</w:t>
      </w:r>
      <w:r w:rsidR="00532643" w:rsidRPr="00633FF0">
        <w:rPr>
          <w:lang w:val="en-GB"/>
        </w:rPr>
        <w:t xml:space="preserve">clear </w:t>
      </w:r>
      <w:r w:rsidR="00A97DF5" w:rsidRPr="00A97DF5">
        <w:rPr>
          <w:lang w:val="en-GB"/>
        </w:rPr>
        <w:t>whether this option (short-term incentives) represent</w:t>
      </w:r>
      <w:r w:rsidR="00A97DF5">
        <w:rPr>
          <w:lang w:val="en-GB"/>
        </w:rPr>
        <w:t>ed</w:t>
      </w:r>
      <w:r w:rsidR="00A97DF5" w:rsidRPr="00A97DF5">
        <w:rPr>
          <w:lang w:val="en-GB"/>
        </w:rPr>
        <w:t xml:space="preserve"> a long-term incentive</w:t>
      </w:r>
      <w:r w:rsidR="00532643" w:rsidRPr="00633FF0">
        <w:rPr>
          <w:lang w:val="en-GB"/>
        </w:rPr>
        <w:t>.</w:t>
      </w:r>
      <w:r w:rsidR="00633FF0" w:rsidRPr="00633FF0">
        <w:rPr>
          <w:lang w:val="en-GB"/>
        </w:rPr>
        <w:t xml:space="preserve"> </w:t>
      </w:r>
      <w:r>
        <w:rPr>
          <w:lang w:val="en-GB"/>
        </w:rPr>
        <w:t>This alternative</w:t>
      </w:r>
      <w:r w:rsidRPr="00633FF0">
        <w:rPr>
          <w:lang w:val="en-GB"/>
        </w:rPr>
        <w:t xml:space="preserve"> avoid</w:t>
      </w:r>
      <w:r>
        <w:rPr>
          <w:lang w:val="en-GB"/>
        </w:rPr>
        <w:t>ed</w:t>
      </w:r>
      <w:r w:rsidRPr="00633FF0">
        <w:rPr>
          <w:lang w:val="en-GB"/>
        </w:rPr>
        <w:t xml:space="preserve"> </w:t>
      </w:r>
      <w:r w:rsidR="00532643" w:rsidRPr="00633FF0">
        <w:rPr>
          <w:lang w:val="en-GB"/>
        </w:rPr>
        <w:t xml:space="preserve">issues with ownership rights but </w:t>
      </w:r>
      <w:r>
        <w:rPr>
          <w:lang w:val="en-GB"/>
        </w:rPr>
        <w:t>could</w:t>
      </w:r>
      <w:r w:rsidRPr="00633FF0">
        <w:rPr>
          <w:lang w:val="en-GB"/>
        </w:rPr>
        <w:t xml:space="preserve"> </w:t>
      </w:r>
      <w:r w:rsidR="00532643" w:rsidRPr="00633FF0">
        <w:rPr>
          <w:lang w:val="en-GB"/>
        </w:rPr>
        <w:t>lead to a short-term focus in decisions.</w:t>
      </w:r>
    </w:p>
    <w:p w14:paraId="19B2E97F" w14:textId="77777777" w:rsidR="00532643" w:rsidRPr="002440C5" w:rsidRDefault="00532643" w:rsidP="00532643">
      <w:pPr>
        <w:pStyle w:val="BodyTextMain"/>
        <w:jc w:val="left"/>
        <w:rPr>
          <w:sz w:val="14"/>
          <w:szCs w:val="14"/>
          <w:lang w:val="en-GB"/>
        </w:rPr>
      </w:pPr>
    </w:p>
    <w:p w14:paraId="70AE0393" w14:textId="77777777" w:rsidR="004E6D37" w:rsidRPr="002440C5" w:rsidRDefault="004E6D37" w:rsidP="00532643">
      <w:pPr>
        <w:pStyle w:val="BodyTextMain"/>
        <w:rPr>
          <w:sz w:val="14"/>
          <w:szCs w:val="14"/>
          <w:lang w:val="en-GB"/>
        </w:rPr>
      </w:pPr>
    </w:p>
    <w:p w14:paraId="58404C29" w14:textId="6921E14A" w:rsidR="004E6D37" w:rsidRDefault="00532643" w:rsidP="003661A3">
      <w:pPr>
        <w:pStyle w:val="Casehead2"/>
        <w:rPr>
          <w:lang w:val="en-GB"/>
        </w:rPr>
      </w:pPr>
      <w:r w:rsidRPr="00633FF0">
        <w:rPr>
          <w:lang w:val="en-GB"/>
        </w:rPr>
        <w:t xml:space="preserve">Better </w:t>
      </w:r>
      <w:r w:rsidR="004E6D37" w:rsidRPr="00633FF0">
        <w:rPr>
          <w:lang w:val="en-GB"/>
        </w:rPr>
        <w:t>Working Conditio</w:t>
      </w:r>
      <w:r w:rsidRPr="00633FF0">
        <w:rPr>
          <w:lang w:val="en-GB"/>
        </w:rPr>
        <w:t xml:space="preserve">ns </w:t>
      </w:r>
    </w:p>
    <w:p w14:paraId="3A3E05C1" w14:textId="77777777" w:rsidR="004E6D37" w:rsidRPr="002440C5" w:rsidRDefault="004E6D37" w:rsidP="00532643">
      <w:pPr>
        <w:pStyle w:val="BodyTextMain"/>
        <w:rPr>
          <w:sz w:val="14"/>
          <w:szCs w:val="14"/>
          <w:lang w:val="en-GB"/>
        </w:rPr>
      </w:pPr>
    </w:p>
    <w:p w14:paraId="7FB477D6" w14:textId="0AA68B50" w:rsidR="00532643" w:rsidRPr="002440C5" w:rsidRDefault="004E6D37" w:rsidP="00532643">
      <w:pPr>
        <w:pStyle w:val="BodyTextMain"/>
        <w:rPr>
          <w:spacing w:val="-2"/>
          <w:kern w:val="22"/>
          <w:lang w:val="en-GB"/>
        </w:rPr>
      </w:pPr>
      <w:r w:rsidRPr="002440C5">
        <w:rPr>
          <w:spacing w:val="-2"/>
          <w:kern w:val="22"/>
          <w:lang w:val="en-GB"/>
        </w:rPr>
        <w:t>Better working conditions included</w:t>
      </w:r>
      <w:r w:rsidR="00532643" w:rsidRPr="002440C5">
        <w:rPr>
          <w:spacing w:val="-2"/>
          <w:kern w:val="22"/>
          <w:lang w:val="en-GB"/>
        </w:rPr>
        <w:t xml:space="preserve"> child care, nicer surroundings, shorter hours, </w:t>
      </w:r>
      <w:r w:rsidRPr="002440C5">
        <w:rPr>
          <w:spacing w:val="-2"/>
          <w:kern w:val="22"/>
          <w:lang w:val="en-GB"/>
        </w:rPr>
        <w:t xml:space="preserve">and </w:t>
      </w:r>
      <w:r w:rsidR="00532643" w:rsidRPr="002440C5">
        <w:rPr>
          <w:spacing w:val="-2"/>
          <w:kern w:val="22"/>
          <w:lang w:val="en-GB"/>
        </w:rPr>
        <w:t>more flexible hours.</w:t>
      </w:r>
      <w:r w:rsidR="00633FF0" w:rsidRPr="002440C5">
        <w:rPr>
          <w:spacing w:val="-2"/>
          <w:kern w:val="22"/>
          <w:lang w:val="en-GB"/>
        </w:rPr>
        <w:t xml:space="preserve"> </w:t>
      </w:r>
      <w:r w:rsidR="00A97DF5" w:rsidRPr="002440C5">
        <w:rPr>
          <w:spacing w:val="-2"/>
          <w:kern w:val="22"/>
          <w:lang w:val="en-GB"/>
        </w:rPr>
        <w:t>These factors could make employees more dedicated to the firm and happier, which was a good thing, as happier employees usually meant a lower turnover rate and greater commitment to the firm; however, it was unclear whether this would mean employees would be more likely to make decisions as if they were owners</w:t>
      </w:r>
      <w:r w:rsidR="00532643" w:rsidRPr="002440C5">
        <w:rPr>
          <w:spacing w:val="-2"/>
          <w:kern w:val="22"/>
          <w:lang w:val="en-GB"/>
        </w:rPr>
        <w:t xml:space="preserve">. </w:t>
      </w:r>
    </w:p>
    <w:p w14:paraId="4966509E" w14:textId="77777777" w:rsidR="00532643" w:rsidRPr="002440C5" w:rsidRDefault="00532643" w:rsidP="00532643">
      <w:pPr>
        <w:pStyle w:val="BodyTextMain"/>
        <w:rPr>
          <w:sz w:val="14"/>
          <w:szCs w:val="14"/>
          <w:lang w:val="en-GB"/>
        </w:rPr>
      </w:pPr>
    </w:p>
    <w:p w14:paraId="46F661BD" w14:textId="77777777" w:rsidR="007D44D5" w:rsidRPr="002440C5" w:rsidRDefault="007D44D5" w:rsidP="00532643">
      <w:pPr>
        <w:pStyle w:val="BodyTextMain"/>
        <w:rPr>
          <w:sz w:val="14"/>
          <w:szCs w:val="14"/>
          <w:lang w:val="en-GB"/>
        </w:rPr>
      </w:pPr>
    </w:p>
    <w:p w14:paraId="12447E52" w14:textId="4E5E605D" w:rsidR="007D44D5" w:rsidRDefault="00532643" w:rsidP="003661A3">
      <w:pPr>
        <w:pStyle w:val="Casehead2"/>
        <w:rPr>
          <w:lang w:val="en-GB"/>
        </w:rPr>
      </w:pPr>
      <w:r w:rsidRPr="00633FF0">
        <w:rPr>
          <w:lang w:val="en-GB"/>
        </w:rPr>
        <w:t xml:space="preserve">Continuing Education </w:t>
      </w:r>
      <w:r w:rsidR="007D44D5" w:rsidRPr="00633FF0">
        <w:rPr>
          <w:lang w:val="en-GB"/>
        </w:rPr>
        <w:t>Opportunities</w:t>
      </w:r>
    </w:p>
    <w:p w14:paraId="153AC5B8" w14:textId="77777777" w:rsidR="007D44D5" w:rsidRPr="002440C5" w:rsidRDefault="007D44D5" w:rsidP="00532643">
      <w:pPr>
        <w:pStyle w:val="BodyTextMain"/>
        <w:rPr>
          <w:sz w:val="14"/>
          <w:szCs w:val="14"/>
          <w:lang w:val="en-GB"/>
        </w:rPr>
      </w:pPr>
    </w:p>
    <w:p w14:paraId="752F8B3F" w14:textId="007EE7DD" w:rsidR="00532643" w:rsidRPr="00633FF0" w:rsidRDefault="007D44D5" w:rsidP="00532643">
      <w:pPr>
        <w:pStyle w:val="BodyTextMain"/>
        <w:rPr>
          <w:lang w:val="en-GB"/>
        </w:rPr>
      </w:pPr>
      <w:r>
        <w:rPr>
          <w:lang w:val="en-GB"/>
        </w:rPr>
        <w:t>Continuing education opportunities</w:t>
      </w:r>
      <w:r w:rsidR="00532643" w:rsidRPr="00633FF0">
        <w:rPr>
          <w:lang w:val="en-GB"/>
        </w:rPr>
        <w:t xml:space="preserve"> help</w:t>
      </w:r>
      <w:r>
        <w:rPr>
          <w:lang w:val="en-GB"/>
        </w:rPr>
        <w:t>ed to</w:t>
      </w:r>
      <w:r w:rsidR="00532643" w:rsidRPr="00633FF0">
        <w:rPr>
          <w:lang w:val="en-GB"/>
        </w:rPr>
        <w:t xml:space="preserve"> increase </w:t>
      </w:r>
      <w:r w:rsidR="00D97BDD">
        <w:rPr>
          <w:lang w:val="en-GB"/>
        </w:rPr>
        <w:t xml:space="preserve">both </w:t>
      </w:r>
      <w:r w:rsidR="00532643" w:rsidRPr="00633FF0">
        <w:rPr>
          <w:lang w:val="en-GB"/>
        </w:rPr>
        <w:t>the value of the employees</w:t>
      </w:r>
      <w:r w:rsidR="00D97BDD">
        <w:rPr>
          <w:lang w:val="en-GB"/>
        </w:rPr>
        <w:t xml:space="preserve"> </w:t>
      </w:r>
      <w:r w:rsidR="00D97BDD">
        <w:rPr>
          <w:lang w:val="en-GB"/>
        </w:rPr>
        <w:t>and</w:t>
      </w:r>
      <w:r w:rsidR="00D97BDD">
        <w:rPr>
          <w:lang w:val="en-GB"/>
        </w:rPr>
        <w:t xml:space="preserve"> </w:t>
      </w:r>
      <w:r w:rsidR="00D97BDD" w:rsidRPr="00633FF0">
        <w:rPr>
          <w:lang w:val="en-GB"/>
        </w:rPr>
        <w:t>employee commitment to the firm</w:t>
      </w:r>
      <w:r w:rsidR="00532643" w:rsidRPr="00633FF0">
        <w:rPr>
          <w:lang w:val="en-GB"/>
        </w:rPr>
        <w:t>.</w:t>
      </w:r>
      <w:r w:rsidR="00633FF0" w:rsidRPr="00633FF0">
        <w:rPr>
          <w:lang w:val="en-GB"/>
        </w:rPr>
        <w:t xml:space="preserve"> </w:t>
      </w:r>
      <w:r w:rsidR="00D97BDD">
        <w:rPr>
          <w:lang w:val="en-GB"/>
        </w:rPr>
        <w:t>However, i</w:t>
      </w:r>
      <w:r w:rsidR="00532643" w:rsidRPr="00633FF0">
        <w:rPr>
          <w:lang w:val="en-GB"/>
        </w:rPr>
        <w:t xml:space="preserve">t </w:t>
      </w:r>
      <w:r w:rsidR="00416E28">
        <w:rPr>
          <w:lang w:val="en-GB"/>
        </w:rPr>
        <w:t>was</w:t>
      </w:r>
      <w:r w:rsidR="00532643" w:rsidRPr="00633FF0">
        <w:rPr>
          <w:lang w:val="en-GB"/>
        </w:rPr>
        <w:t xml:space="preserve"> </w:t>
      </w:r>
      <w:r>
        <w:rPr>
          <w:lang w:val="en-GB"/>
        </w:rPr>
        <w:t>un</w:t>
      </w:r>
      <w:r w:rsidR="00532643" w:rsidRPr="00633FF0">
        <w:rPr>
          <w:lang w:val="en-GB"/>
        </w:rPr>
        <w:t>clear how long</w:t>
      </w:r>
      <w:r w:rsidR="00416E28">
        <w:rPr>
          <w:lang w:val="en-GB"/>
        </w:rPr>
        <w:t>-</w:t>
      </w:r>
      <w:r w:rsidR="00532643" w:rsidRPr="00633FF0">
        <w:rPr>
          <w:lang w:val="en-GB"/>
        </w:rPr>
        <w:t>term the commitment to the firm and its success</w:t>
      </w:r>
      <w:r w:rsidR="00D97BDD">
        <w:rPr>
          <w:lang w:val="en-GB"/>
        </w:rPr>
        <w:t xml:space="preserve"> would actually be</w:t>
      </w:r>
      <w:r w:rsidR="00532643" w:rsidRPr="00633FF0">
        <w:rPr>
          <w:lang w:val="en-GB"/>
        </w:rPr>
        <w:t>.</w:t>
      </w:r>
    </w:p>
    <w:p w14:paraId="3BFDE586" w14:textId="77777777" w:rsidR="00532643" w:rsidRPr="002440C5" w:rsidRDefault="00532643" w:rsidP="00532643">
      <w:pPr>
        <w:pStyle w:val="BodyTextMain"/>
        <w:rPr>
          <w:sz w:val="14"/>
          <w:szCs w:val="14"/>
          <w:lang w:val="en-GB"/>
        </w:rPr>
      </w:pPr>
    </w:p>
    <w:p w14:paraId="165B266A" w14:textId="33CDBD08" w:rsidR="00532643" w:rsidRPr="00633FF0" w:rsidRDefault="00532643" w:rsidP="00532643">
      <w:pPr>
        <w:pStyle w:val="BodyTextMain"/>
        <w:rPr>
          <w:lang w:val="en-GB"/>
        </w:rPr>
      </w:pPr>
      <w:r w:rsidRPr="00633FF0">
        <w:rPr>
          <w:lang w:val="en-GB"/>
        </w:rPr>
        <w:t xml:space="preserve">To evaluate these alternatives, it </w:t>
      </w:r>
      <w:r w:rsidR="007D44D5">
        <w:rPr>
          <w:lang w:val="en-GB"/>
        </w:rPr>
        <w:t>wa</w:t>
      </w:r>
      <w:r w:rsidR="007D44D5" w:rsidRPr="00633FF0">
        <w:rPr>
          <w:lang w:val="en-GB"/>
        </w:rPr>
        <w:t xml:space="preserve">s </w:t>
      </w:r>
      <w:r w:rsidRPr="00633FF0">
        <w:rPr>
          <w:lang w:val="en-GB"/>
        </w:rPr>
        <w:t>important to understand the trade-offs.</w:t>
      </w:r>
      <w:r w:rsidR="00633FF0" w:rsidRPr="00633FF0">
        <w:rPr>
          <w:lang w:val="en-GB"/>
        </w:rPr>
        <w:t xml:space="preserve"> </w:t>
      </w:r>
      <w:r w:rsidR="007D44D5">
        <w:rPr>
          <w:lang w:val="en-GB"/>
        </w:rPr>
        <w:t>S</w:t>
      </w:r>
      <w:r w:rsidR="007D44D5" w:rsidRPr="00633FF0">
        <w:rPr>
          <w:lang w:val="en-GB"/>
        </w:rPr>
        <w:t xml:space="preserve">atisfying each stakeholder group </w:t>
      </w:r>
      <w:r w:rsidR="007D44D5">
        <w:rPr>
          <w:lang w:val="en-GB"/>
        </w:rPr>
        <w:t xml:space="preserve">had </w:t>
      </w:r>
      <w:r w:rsidRPr="00633FF0">
        <w:rPr>
          <w:lang w:val="en-GB"/>
        </w:rPr>
        <w:t>both monetary</w:t>
      </w:r>
      <w:r w:rsidR="00633FF0" w:rsidRPr="00633FF0">
        <w:rPr>
          <w:lang w:val="en-GB"/>
        </w:rPr>
        <w:t xml:space="preserve"> </w:t>
      </w:r>
      <w:r w:rsidRPr="00633FF0">
        <w:rPr>
          <w:lang w:val="en-GB"/>
        </w:rPr>
        <w:t xml:space="preserve">and non-monetary costs and benefits. Some key </w:t>
      </w:r>
      <w:r w:rsidR="00A97DF5">
        <w:rPr>
          <w:lang w:val="en-GB"/>
        </w:rPr>
        <w:t>considerations</w:t>
      </w:r>
      <w:r w:rsidRPr="00633FF0">
        <w:rPr>
          <w:lang w:val="en-GB"/>
        </w:rPr>
        <w:t xml:space="preserve"> for the final proposal</w:t>
      </w:r>
      <w:r w:rsidR="00CC2A24">
        <w:rPr>
          <w:lang w:val="en-GB"/>
        </w:rPr>
        <w:t xml:space="preserve"> were </w:t>
      </w:r>
      <w:r w:rsidR="00A97DF5">
        <w:rPr>
          <w:lang w:val="en-GB"/>
        </w:rPr>
        <w:t xml:space="preserve">1) </w:t>
      </w:r>
      <w:r w:rsidR="00CC2A24">
        <w:rPr>
          <w:lang w:val="en-GB"/>
        </w:rPr>
        <w:t>t</w:t>
      </w:r>
      <w:r w:rsidRPr="00633FF0">
        <w:rPr>
          <w:lang w:val="en-GB"/>
        </w:rPr>
        <w:t xml:space="preserve">he proposed alternatives </w:t>
      </w:r>
      <w:r w:rsidR="00CC2A24">
        <w:rPr>
          <w:lang w:val="en-GB"/>
        </w:rPr>
        <w:t>had to</w:t>
      </w:r>
      <w:r w:rsidR="00CC2A24" w:rsidRPr="00633FF0">
        <w:rPr>
          <w:lang w:val="en-GB"/>
        </w:rPr>
        <w:t xml:space="preserve"> </w:t>
      </w:r>
      <w:r w:rsidRPr="00633FF0">
        <w:rPr>
          <w:lang w:val="en-GB"/>
        </w:rPr>
        <w:t>provide</w:t>
      </w:r>
      <w:r w:rsidR="007D44D5">
        <w:rPr>
          <w:lang w:val="en-GB"/>
        </w:rPr>
        <w:t xml:space="preserve"> equal treatment for all employees</w:t>
      </w:r>
      <w:r w:rsidR="00A97DF5">
        <w:rPr>
          <w:lang w:val="en-GB"/>
        </w:rPr>
        <w:t>;</w:t>
      </w:r>
      <w:r w:rsidR="007D44D5">
        <w:rPr>
          <w:lang w:val="en-GB"/>
        </w:rPr>
        <w:t xml:space="preserve"> </w:t>
      </w:r>
      <w:r w:rsidR="00A97DF5">
        <w:rPr>
          <w:lang w:val="en-GB"/>
        </w:rPr>
        <w:t xml:space="preserve">2) </w:t>
      </w:r>
      <w:r w:rsidR="007D44D5">
        <w:rPr>
          <w:lang w:val="en-GB"/>
        </w:rPr>
        <w:t>a well-prepared solution (as a participation scheme could be introduced only once)</w:t>
      </w:r>
      <w:r w:rsidR="00A97DF5">
        <w:rPr>
          <w:lang w:val="en-GB"/>
        </w:rPr>
        <w:t>; and 3)</w:t>
      </w:r>
      <w:r w:rsidR="007D44D5">
        <w:rPr>
          <w:lang w:val="en-GB"/>
        </w:rPr>
        <w:t xml:space="preserve"> protection for employees against themselves.</w:t>
      </w:r>
      <w:r w:rsidRPr="00633FF0">
        <w:rPr>
          <w:lang w:val="en-GB"/>
        </w:rPr>
        <w:t xml:space="preserve"> </w:t>
      </w:r>
    </w:p>
    <w:p w14:paraId="7BE33A71" w14:textId="7C2FF059" w:rsidR="00532643" w:rsidRPr="00633FF0" w:rsidRDefault="00342A67" w:rsidP="00342A67">
      <w:pPr>
        <w:pStyle w:val="Casehead1"/>
        <w:rPr>
          <w:lang w:val="en-GB"/>
        </w:rPr>
      </w:pPr>
      <w:r w:rsidRPr="00633FF0">
        <w:rPr>
          <w:lang w:val="en-GB"/>
        </w:rPr>
        <w:lastRenderedPageBreak/>
        <w:t>Some issues to consider</w:t>
      </w:r>
    </w:p>
    <w:p w14:paraId="5745F33E" w14:textId="77777777" w:rsidR="00532643" w:rsidRPr="00633FF0" w:rsidRDefault="00532643" w:rsidP="00532643">
      <w:pPr>
        <w:pStyle w:val="BodyTextMain"/>
        <w:rPr>
          <w:lang w:val="en-GB"/>
        </w:rPr>
      </w:pPr>
    </w:p>
    <w:p w14:paraId="31916478" w14:textId="6F5268C9" w:rsidR="00532643" w:rsidRPr="00633FF0" w:rsidRDefault="00342A67" w:rsidP="00532643">
      <w:pPr>
        <w:pStyle w:val="Casehead2"/>
        <w:rPr>
          <w:lang w:val="en-GB"/>
        </w:rPr>
      </w:pPr>
      <w:r w:rsidRPr="00633FF0">
        <w:rPr>
          <w:lang w:val="en-GB"/>
        </w:rPr>
        <w:t xml:space="preserve">Pride of </w:t>
      </w:r>
      <w:r w:rsidR="007D44D5" w:rsidRPr="00633FF0">
        <w:rPr>
          <w:lang w:val="en-GB"/>
        </w:rPr>
        <w:t>Ownership</w:t>
      </w:r>
    </w:p>
    <w:p w14:paraId="31C82C5B" w14:textId="77777777" w:rsidR="00532643" w:rsidRPr="00633FF0" w:rsidRDefault="00532643" w:rsidP="00342A67">
      <w:pPr>
        <w:pStyle w:val="BodyTextMain"/>
        <w:rPr>
          <w:lang w:val="en-GB"/>
        </w:rPr>
      </w:pPr>
    </w:p>
    <w:p w14:paraId="675A73F3" w14:textId="470221A5" w:rsidR="00532643" w:rsidRPr="00633FF0" w:rsidRDefault="00532643" w:rsidP="00532643">
      <w:pPr>
        <w:pStyle w:val="BodyTextMain"/>
        <w:rPr>
          <w:lang w:val="en-GB"/>
        </w:rPr>
      </w:pPr>
      <w:r w:rsidRPr="00633FF0">
        <w:rPr>
          <w:lang w:val="en-GB"/>
        </w:rPr>
        <w:t>Entrepreneurs often share</w:t>
      </w:r>
      <w:r w:rsidR="007D44D5">
        <w:rPr>
          <w:lang w:val="en-GB"/>
        </w:rPr>
        <w:t>d</w:t>
      </w:r>
      <w:r w:rsidRPr="00633FF0">
        <w:rPr>
          <w:lang w:val="en-GB"/>
        </w:rPr>
        <w:t xml:space="preserve"> ownership with key members of management to give </w:t>
      </w:r>
      <w:r w:rsidR="00D91B81">
        <w:rPr>
          <w:lang w:val="en-GB"/>
        </w:rPr>
        <w:t>them</w:t>
      </w:r>
      <w:r w:rsidR="00D91B81" w:rsidRPr="00633FF0">
        <w:rPr>
          <w:lang w:val="en-GB"/>
        </w:rPr>
        <w:t xml:space="preserve"> </w:t>
      </w:r>
      <w:r w:rsidRPr="00633FF0">
        <w:rPr>
          <w:lang w:val="en-GB"/>
        </w:rPr>
        <w:t xml:space="preserve">a stake in the company’s success, </w:t>
      </w:r>
      <w:r w:rsidR="007D44D5">
        <w:rPr>
          <w:lang w:val="en-GB"/>
        </w:rPr>
        <w:t xml:space="preserve">to provide incentives to </w:t>
      </w:r>
      <w:r w:rsidRPr="00633FF0">
        <w:rPr>
          <w:lang w:val="en-GB"/>
        </w:rPr>
        <w:t>retain them</w:t>
      </w:r>
      <w:r w:rsidR="007D44D5">
        <w:rPr>
          <w:lang w:val="en-GB"/>
        </w:rPr>
        <w:t>,</w:t>
      </w:r>
      <w:r w:rsidRPr="00633FF0">
        <w:rPr>
          <w:lang w:val="en-GB"/>
        </w:rPr>
        <w:t xml:space="preserve"> and </w:t>
      </w:r>
      <w:r w:rsidR="007D44D5">
        <w:rPr>
          <w:lang w:val="en-GB"/>
        </w:rPr>
        <w:t xml:space="preserve">to </w:t>
      </w:r>
      <w:r w:rsidRPr="00633FF0">
        <w:rPr>
          <w:lang w:val="en-GB"/>
        </w:rPr>
        <w:t xml:space="preserve">add to their compensation without adding to payroll. Members of management usually </w:t>
      </w:r>
      <w:r w:rsidR="007D44D5" w:rsidRPr="00633FF0">
        <w:rPr>
          <w:lang w:val="en-GB"/>
        </w:rPr>
        <w:t>t</w:t>
      </w:r>
      <w:r w:rsidR="007D44D5">
        <w:rPr>
          <w:lang w:val="en-GB"/>
        </w:rPr>
        <w:t>ook</w:t>
      </w:r>
      <w:r w:rsidR="007D44D5" w:rsidRPr="00633FF0">
        <w:rPr>
          <w:lang w:val="en-GB"/>
        </w:rPr>
        <w:t xml:space="preserve"> </w:t>
      </w:r>
      <w:r w:rsidRPr="00633FF0">
        <w:rPr>
          <w:lang w:val="en-GB"/>
        </w:rPr>
        <w:t xml:space="preserve">pride in ownership, and </w:t>
      </w:r>
      <w:r w:rsidR="007D44D5" w:rsidRPr="00633FF0">
        <w:rPr>
          <w:lang w:val="en-GB"/>
        </w:rPr>
        <w:t>str</w:t>
      </w:r>
      <w:r w:rsidR="007D44D5">
        <w:rPr>
          <w:lang w:val="en-GB"/>
        </w:rPr>
        <w:t>o</w:t>
      </w:r>
      <w:r w:rsidR="007D44D5" w:rsidRPr="00633FF0">
        <w:rPr>
          <w:lang w:val="en-GB"/>
        </w:rPr>
        <w:t xml:space="preserve">ve </w:t>
      </w:r>
      <w:r w:rsidRPr="00633FF0">
        <w:rPr>
          <w:lang w:val="en-GB"/>
        </w:rPr>
        <w:t>to build the value of the enterprise for both their benefit and that of the other shareholders.</w:t>
      </w:r>
      <w:r w:rsidR="00633FF0" w:rsidRPr="00633FF0">
        <w:rPr>
          <w:lang w:val="en-GB"/>
        </w:rPr>
        <w:t xml:space="preserve"> </w:t>
      </w:r>
      <w:r w:rsidR="007D44D5">
        <w:rPr>
          <w:lang w:val="en-GB"/>
        </w:rPr>
        <w:t>A</w:t>
      </w:r>
      <w:r w:rsidRPr="00633FF0">
        <w:rPr>
          <w:lang w:val="en-GB"/>
        </w:rPr>
        <w:t xml:space="preserve"> tax-deferred wealth enhancement </w:t>
      </w:r>
      <w:r w:rsidR="007D44D5">
        <w:rPr>
          <w:lang w:val="en-GB"/>
        </w:rPr>
        <w:t xml:space="preserve">was often involved, </w:t>
      </w:r>
      <w:r w:rsidRPr="00633FF0">
        <w:rPr>
          <w:lang w:val="en-GB"/>
        </w:rPr>
        <w:t xml:space="preserve">as it </w:t>
      </w:r>
      <w:r w:rsidR="007D44D5" w:rsidRPr="00633FF0">
        <w:rPr>
          <w:lang w:val="en-GB"/>
        </w:rPr>
        <w:t>allow</w:t>
      </w:r>
      <w:r w:rsidR="007D44D5">
        <w:rPr>
          <w:lang w:val="en-GB"/>
        </w:rPr>
        <w:t>ed</w:t>
      </w:r>
      <w:r w:rsidR="007D44D5" w:rsidRPr="00633FF0">
        <w:rPr>
          <w:lang w:val="en-GB"/>
        </w:rPr>
        <w:t xml:space="preserve"> </w:t>
      </w:r>
      <w:r w:rsidRPr="00633FF0">
        <w:rPr>
          <w:lang w:val="en-GB"/>
        </w:rPr>
        <w:t xml:space="preserve">for capital gains to be postponed until the divestiture of the assets. However, sharing ownership with others </w:t>
      </w:r>
      <w:r w:rsidR="007D44D5">
        <w:rPr>
          <w:lang w:val="en-GB"/>
        </w:rPr>
        <w:t>came</w:t>
      </w:r>
      <w:r w:rsidR="007D44D5" w:rsidRPr="00633FF0">
        <w:rPr>
          <w:lang w:val="en-GB"/>
        </w:rPr>
        <w:t xml:space="preserve"> </w:t>
      </w:r>
      <w:r w:rsidRPr="00633FF0">
        <w:rPr>
          <w:lang w:val="en-GB"/>
        </w:rPr>
        <w:t>at a cost and with risk</w:t>
      </w:r>
      <w:r w:rsidR="007D44D5">
        <w:rPr>
          <w:lang w:val="en-GB"/>
        </w:rPr>
        <w:t>—</w:t>
      </w:r>
      <w:r w:rsidRPr="00633FF0">
        <w:rPr>
          <w:lang w:val="en-GB"/>
        </w:rPr>
        <w:t>the decision-making process</w:t>
      </w:r>
      <w:r w:rsidR="007D44D5">
        <w:rPr>
          <w:lang w:val="en-GB"/>
        </w:rPr>
        <w:t xml:space="preserve"> needed to consider more </w:t>
      </w:r>
      <w:r w:rsidR="00D91B81">
        <w:rPr>
          <w:lang w:val="en-GB"/>
        </w:rPr>
        <w:t>shareholders</w:t>
      </w:r>
      <w:r w:rsidRPr="00633FF0">
        <w:rPr>
          <w:lang w:val="en-GB"/>
        </w:rPr>
        <w:t>.</w:t>
      </w:r>
      <w:r w:rsidR="00633FF0" w:rsidRPr="00633FF0">
        <w:rPr>
          <w:lang w:val="en-GB"/>
        </w:rPr>
        <w:t xml:space="preserve"> </w:t>
      </w:r>
      <w:r w:rsidRPr="00633FF0">
        <w:rPr>
          <w:lang w:val="en-GB"/>
        </w:rPr>
        <w:t xml:space="preserve">To mitigate the risks of ownership, </w:t>
      </w:r>
      <w:proofErr w:type="spellStart"/>
      <w:r w:rsidR="00CD671F">
        <w:rPr>
          <w:lang w:val="en-GB"/>
        </w:rPr>
        <w:t>BauZentral</w:t>
      </w:r>
      <w:proofErr w:type="spellEnd"/>
      <w:r w:rsidR="007D44D5">
        <w:rPr>
          <w:lang w:val="en-GB"/>
        </w:rPr>
        <w:t xml:space="preserve"> could </w:t>
      </w:r>
      <w:r w:rsidRPr="00633FF0">
        <w:rPr>
          <w:lang w:val="en-GB"/>
        </w:rPr>
        <w:t xml:space="preserve">use </w:t>
      </w:r>
      <w:r w:rsidR="007D44D5">
        <w:rPr>
          <w:lang w:val="en-GB"/>
        </w:rPr>
        <w:t>options</w:t>
      </w:r>
      <w:r w:rsidR="007D44D5" w:rsidRPr="00633FF0">
        <w:rPr>
          <w:lang w:val="en-GB"/>
        </w:rPr>
        <w:t xml:space="preserve"> </w:t>
      </w:r>
      <w:r w:rsidRPr="00633FF0">
        <w:rPr>
          <w:lang w:val="en-GB"/>
        </w:rPr>
        <w:t xml:space="preserve">such as pensions or </w:t>
      </w:r>
      <w:r w:rsidR="007D44D5">
        <w:rPr>
          <w:lang w:val="en-GB"/>
        </w:rPr>
        <w:t>t</w:t>
      </w:r>
      <w:r w:rsidRPr="00633FF0">
        <w:rPr>
          <w:lang w:val="en-GB"/>
        </w:rPr>
        <w:t xml:space="preserve">rusts to hold the shares or </w:t>
      </w:r>
      <w:r w:rsidR="007D44D5">
        <w:rPr>
          <w:lang w:val="en-GB"/>
        </w:rPr>
        <w:t>p</w:t>
      </w:r>
      <w:r w:rsidRPr="00633FF0">
        <w:rPr>
          <w:lang w:val="en-GB"/>
        </w:rPr>
        <w:t>hantom stock plans.</w:t>
      </w:r>
      <w:r w:rsidR="00633FF0" w:rsidRPr="00633FF0">
        <w:rPr>
          <w:lang w:val="en-GB"/>
        </w:rPr>
        <w:t xml:space="preserve"> </w:t>
      </w:r>
      <w:r w:rsidRPr="00633FF0">
        <w:rPr>
          <w:lang w:val="en-GB"/>
        </w:rPr>
        <w:t>These plans allow</w:t>
      </w:r>
      <w:r w:rsidR="007D44D5">
        <w:rPr>
          <w:lang w:val="en-GB"/>
        </w:rPr>
        <w:t>ed</w:t>
      </w:r>
      <w:r w:rsidRPr="00633FF0">
        <w:rPr>
          <w:lang w:val="en-GB"/>
        </w:rPr>
        <w:t xml:space="preserve"> employees to benefit from the appreciation of the </w:t>
      </w:r>
      <w:r w:rsidR="00D91B81">
        <w:rPr>
          <w:lang w:val="en-GB"/>
        </w:rPr>
        <w:t xml:space="preserve">company’s </w:t>
      </w:r>
      <w:r w:rsidRPr="00633FF0">
        <w:rPr>
          <w:lang w:val="en-GB"/>
        </w:rPr>
        <w:t xml:space="preserve">value but it </w:t>
      </w:r>
      <w:r w:rsidR="007D44D5" w:rsidRPr="00633FF0">
        <w:rPr>
          <w:lang w:val="en-GB"/>
        </w:rPr>
        <w:t>d</w:t>
      </w:r>
      <w:r w:rsidR="007D44D5">
        <w:rPr>
          <w:lang w:val="en-GB"/>
        </w:rPr>
        <w:t>id</w:t>
      </w:r>
      <w:r w:rsidR="007D44D5" w:rsidRPr="00633FF0">
        <w:rPr>
          <w:lang w:val="en-GB"/>
        </w:rPr>
        <w:t xml:space="preserve"> </w:t>
      </w:r>
      <w:r w:rsidRPr="00633FF0">
        <w:rPr>
          <w:lang w:val="en-GB"/>
        </w:rPr>
        <w:t>not confer ownership and control rights to the employees.</w:t>
      </w:r>
    </w:p>
    <w:p w14:paraId="141F29C4" w14:textId="50D359BF" w:rsidR="00532643" w:rsidRPr="00633FF0" w:rsidRDefault="00532643" w:rsidP="00532643">
      <w:pPr>
        <w:pStyle w:val="BodyTextMain"/>
        <w:rPr>
          <w:lang w:val="en-GB"/>
        </w:rPr>
      </w:pPr>
    </w:p>
    <w:p w14:paraId="5726DB43" w14:textId="77777777" w:rsidR="00342A67" w:rsidRPr="00633FF0" w:rsidRDefault="00342A67" w:rsidP="00532643">
      <w:pPr>
        <w:pStyle w:val="BodyTextMain"/>
        <w:rPr>
          <w:lang w:val="en-GB"/>
        </w:rPr>
      </w:pPr>
    </w:p>
    <w:p w14:paraId="0A91FAAE" w14:textId="235EF32A" w:rsidR="00532643" w:rsidRPr="00633FF0" w:rsidRDefault="00342A67" w:rsidP="00B74ECF">
      <w:pPr>
        <w:pStyle w:val="Casehead2"/>
        <w:keepNext/>
        <w:rPr>
          <w:lang w:val="en-GB"/>
        </w:rPr>
      </w:pPr>
      <w:r w:rsidRPr="00633FF0">
        <w:rPr>
          <w:lang w:val="en-GB"/>
        </w:rPr>
        <w:t>Control</w:t>
      </w:r>
    </w:p>
    <w:p w14:paraId="1D4A9AB6" w14:textId="77777777" w:rsidR="00532643" w:rsidRPr="00633FF0" w:rsidRDefault="00532643" w:rsidP="00B74ECF">
      <w:pPr>
        <w:pStyle w:val="BodyTextMain"/>
        <w:keepNext/>
        <w:rPr>
          <w:lang w:val="en-GB"/>
        </w:rPr>
      </w:pPr>
    </w:p>
    <w:p w14:paraId="521E061E" w14:textId="5C6F2ACE" w:rsidR="00532643" w:rsidRPr="00633FF0" w:rsidRDefault="00A97DF5" w:rsidP="00B74ECF">
      <w:pPr>
        <w:pStyle w:val="BodyTextMain"/>
        <w:keepNext/>
        <w:rPr>
          <w:lang w:val="en-GB"/>
        </w:rPr>
      </w:pPr>
      <w:r w:rsidRPr="00A97DF5">
        <w:rPr>
          <w:lang w:val="en-GB"/>
        </w:rPr>
        <w:t>Adding shareholders to a closely held company came with risks. New shareholders ha</w:t>
      </w:r>
      <w:r>
        <w:rPr>
          <w:lang w:val="en-GB"/>
        </w:rPr>
        <w:t>d</w:t>
      </w:r>
      <w:r w:rsidRPr="00A97DF5">
        <w:rPr>
          <w:lang w:val="en-GB"/>
        </w:rPr>
        <w:t xml:space="preserve"> a right to have access to sensitive information and a vote on key corporate decisions. This may </w:t>
      </w:r>
      <w:r>
        <w:rPr>
          <w:lang w:val="en-GB"/>
        </w:rPr>
        <w:t xml:space="preserve">have </w:t>
      </w:r>
      <w:r w:rsidRPr="00A97DF5">
        <w:rPr>
          <w:lang w:val="en-GB"/>
        </w:rPr>
        <w:t>led</w:t>
      </w:r>
      <w:r>
        <w:rPr>
          <w:lang w:val="en-GB"/>
        </w:rPr>
        <w:t xml:space="preserve"> </w:t>
      </w:r>
      <w:r w:rsidRPr="00A97DF5">
        <w:rPr>
          <w:lang w:val="en-GB"/>
        </w:rPr>
        <w:t xml:space="preserve">to disagreements among owners at very sensitive times such as mergers and corporate restructurings. During times of great opportunity or distress </w:t>
      </w:r>
      <w:r>
        <w:rPr>
          <w:lang w:val="en-GB"/>
        </w:rPr>
        <w:t xml:space="preserve">from </w:t>
      </w:r>
      <w:r w:rsidRPr="00A97DF5">
        <w:rPr>
          <w:lang w:val="en-GB"/>
        </w:rPr>
        <w:t>having additional shareholders could make it more difficult to successfully navigate the opportunities and risks</w:t>
      </w:r>
      <w:r w:rsidR="00532643" w:rsidRPr="00633FF0">
        <w:rPr>
          <w:lang w:val="en-GB"/>
        </w:rPr>
        <w:t>.</w:t>
      </w:r>
      <w:r w:rsidR="00633FF0" w:rsidRPr="00633FF0">
        <w:rPr>
          <w:lang w:val="en-GB"/>
        </w:rPr>
        <w:t xml:space="preserve"> </w:t>
      </w:r>
      <w:r w:rsidR="00532643" w:rsidRPr="00633FF0">
        <w:rPr>
          <w:lang w:val="en-GB"/>
        </w:rPr>
        <w:t xml:space="preserve">However, for </w:t>
      </w:r>
      <w:r w:rsidR="007D44D5">
        <w:rPr>
          <w:lang w:val="en-GB"/>
        </w:rPr>
        <w:t>employee stock ownership plans (</w:t>
      </w:r>
      <w:r w:rsidR="00532643" w:rsidRPr="00633FF0">
        <w:rPr>
          <w:lang w:val="en-GB"/>
        </w:rPr>
        <w:t>ESOPs</w:t>
      </w:r>
      <w:r w:rsidR="007D44D5">
        <w:rPr>
          <w:lang w:val="en-GB"/>
        </w:rPr>
        <w:t>)</w:t>
      </w:r>
      <w:r w:rsidR="00532643" w:rsidRPr="00633FF0">
        <w:rPr>
          <w:lang w:val="en-GB"/>
        </w:rPr>
        <w:t xml:space="preserve"> to be effective</w:t>
      </w:r>
      <w:r w:rsidR="007D44D5">
        <w:rPr>
          <w:lang w:val="en-GB"/>
        </w:rPr>
        <w:t>,</w:t>
      </w:r>
      <w:r w:rsidR="00532643" w:rsidRPr="00633FF0">
        <w:rPr>
          <w:lang w:val="en-GB"/>
        </w:rPr>
        <w:t xml:space="preserve"> the employees </w:t>
      </w:r>
      <w:r w:rsidR="007D44D5">
        <w:rPr>
          <w:lang w:val="en-GB"/>
        </w:rPr>
        <w:t>would need to</w:t>
      </w:r>
      <w:r w:rsidR="007D44D5" w:rsidRPr="00633FF0">
        <w:rPr>
          <w:lang w:val="en-GB"/>
        </w:rPr>
        <w:t xml:space="preserve"> </w:t>
      </w:r>
      <w:r w:rsidR="00532643" w:rsidRPr="00633FF0">
        <w:rPr>
          <w:lang w:val="en-GB"/>
        </w:rPr>
        <w:t xml:space="preserve">have detailed information on the firm’s operations, feel their opinions and decisions </w:t>
      </w:r>
      <w:r w:rsidR="007D44D5">
        <w:rPr>
          <w:lang w:val="en-GB"/>
        </w:rPr>
        <w:t>have been</w:t>
      </w:r>
      <w:r w:rsidR="007D44D5" w:rsidRPr="00633FF0">
        <w:rPr>
          <w:lang w:val="en-GB"/>
        </w:rPr>
        <w:t xml:space="preserve"> </w:t>
      </w:r>
      <w:r w:rsidR="00532643" w:rsidRPr="00633FF0">
        <w:rPr>
          <w:lang w:val="en-GB"/>
        </w:rPr>
        <w:t>listened to</w:t>
      </w:r>
      <w:r w:rsidR="007D44D5">
        <w:rPr>
          <w:lang w:val="en-GB"/>
        </w:rPr>
        <w:t>,</w:t>
      </w:r>
      <w:r w:rsidR="00532643" w:rsidRPr="00633FF0">
        <w:rPr>
          <w:lang w:val="en-GB"/>
        </w:rPr>
        <w:t xml:space="preserve"> and be able to see the impact of their decisions</w:t>
      </w:r>
      <w:r w:rsidR="007D44D5">
        <w:rPr>
          <w:lang w:val="en-GB"/>
        </w:rPr>
        <w:t>, all of which</w:t>
      </w:r>
      <w:r w:rsidR="00532643" w:rsidRPr="00633FF0">
        <w:rPr>
          <w:lang w:val="en-GB"/>
        </w:rPr>
        <w:t xml:space="preserve"> had been missing in the previous attempt at employing an</w:t>
      </w:r>
      <w:r w:rsidR="007D44D5">
        <w:rPr>
          <w:lang w:val="en-GB"/>
        </w:rPr>
        <w:t xml:space="preserve"> ESOP</w:t>
      </w:r>
      <w:r w:rsidR="00532643" w:rsidRPr="00633FF0">
        <w:rPr>
          <w:lang w:val="en-GB"/>
        </w:rPr>
        <w:t>.</w:t>
      </w:r>
    </w:p>
    <w:p w14:paraId="64DD8A1B" w14:textId="7CDEFCA8" w:rsidR="00532643" w:rsidRPr="00633FF0" w:rsidRDefault="00532643" w:rsidP="00532643">
      <w:pPr>
        <w:pStyle w:val="BodyTextMain"/>
        <w:rPr>
          <w:lang w:val="en-GB"/>
        </w:rPr>
      </w:pPr>
    </w:p>
    <w:p w14:paraId="118FBB69" w14:textId="77777777" w:rsidR="00342A67" w:rsidRPr="00633FF0" w:rsidRDefault="00342A67" w:rsidP="00532643">
      <w:pPr>
        <w:pStyle w:val="BodyTextMain"/>
        <w:rPr>
          <w:lang w:val="en-GB"/>
        </w:rPr>
      </w:pPr>
    </w:p>
    <w:p w14:paraId="22082C84" w14:textId="48FC1ED0" w:rsidR="00532643" w:rsidRPr="00633FF0" w:rsidRDefault="00532643" w:rsidP="00532643">
      <w:pPr>
        <w:pStyle w:val="Casehead2"/>
        <w:rPr>
          <w:lang w:val="en-GB"/>
        </w:rPr>
      </w:pPr>
      <w:r w:rsidRPr="00633FF0">
        <w:rPr>
          <w:lang w:val="en-GB"/>
        </w:rPr>
        <w:t xml:space="preserve">Stock </w:t>
      </w:r>
      <w:r w:rsidR="00342A67" w:rsidRPr="00633FF0">
        <w:rPr>
          <w:lang w:val="en-GB"/>
        </w:rPr>
        <w:t xml:space="preserve">but </w:t>
      </w:r>
      <w:r w:rsidR="007D44D5" w:rsidRPr="00633FF0">
        <w:rPr>
          <w:lang w:val="en-GB"/>
        </w:rPr>
        <w:t>Not</w:t>
      </w:r>
      <w:r w:rsidR="00342A67" w:rsidRPr="00633FF0">
        <w:rPr>
          <w:lang w:val="en-GB"/>
        </w:rPr>
        <w:t xml:space="preserve"> Stock</w:t>
      </w:r>
    </w:p>
    <w:p w14:paraId="2EA07D59" w14:textId="77777777" w:rsidR="00532643" w:rsidRPr="002440C5" w:rsidRDefault="00532643" w:rsidP="00532643">
      <w:pPr>
        <w:pStyle w:val="BodyTextMain"/>
        <w:rPr>
          <w:sz w:val="14"/>
          <w:szCs w:val="14"/>
          <w:lang w:val="en-GB"/>
        </w:rPr>
      </w:pPr>
    </w:p>
    <w:p w14:paraId="044FEA7D" w14:textId="41001CB1" w:rsidR="00A97DF5" w:rsidRPr="002440C5" w:rsidRDefault="00A97DF5" w:rsidP="00A97DF5">
      <w:pPr>
        <w:pStyle w:val="BodyTextMain"/>
        <w:rPr>
          <w:spacing w:val="-2"/>
          <w:kern w:val="22"/>
          <w:lang w:val="en-GB"/>
        </w:rPr>
      </w:pPr>
      <w:r w:rsidRPr="002440C5">
        <w:rPr>
          <w:spacing w:val="-2"/>
          <w:kern w:val="22"/>
          <w:lang w:val="en-GB"/>
        </w:rPr>
        <w:t>Phantom stock was a form of equity-linked compensation where the holder had the right to receive cash at a future point in time where the amount was based on the value of the company’s stock after the date the phantom stock was granted. Stock appreciation rights (SARs) were close cousins of phantom stock since their cash value was based upon the change in the stock price from the time the SAR was granted. In both cases, the payment was made in cash but the amount of cash was based on the stock price performance of the firm.</w:t>
      </w:r>
    </w:p>
    <w:p w14:paraId="3C598E9D" w14:textId="77777777" w:rsidR="00A97DF5" w:rsidRPr="002440C5" w:rsidRDefault="00A97DF5" w:rsidP="00A97DF5">
      <w:pPr>
        <w:pStyle w:val="BodyTextMain"/>
        <w:rPr>
          <w:sz w:val="14"/>
          <w:szCs w:val="14"/>
          <w:lang w:val="en-GB"/>
        </w:rPr>
      </w:pPr>
    </w:p>
    <w:p w14:paraId="38D440C5" w14:textId="663E715F" w:rsidR="00532643" w:rsidRPr="00633FF0" w:rsidRDefault="00A97DF5" w:rsidP="00A97DF5">
      <w:pPr>
        <w:pStyle w:val="BodyTextMain"/>
        <w:rPr>
          <w:lang w:val="en-GB"/>
        </w:rPr>
      </w:pPr>
      <w:r w:rsidRPr="00A97DF5">
        <w:rPr>
          <w:lang w:val="en-GB"/>
        </w:rPr>
        <w:t xml:space="preserve">The cash payments </w:t>
      </w:r>
      <w:r>
        <w:rPr>
          <w:lang w:val="en-GB"/>
        </w:rPr>
        <w:t>we</w:t>
      </w:r>
      <w:r w:rsidRPr="00A97DF5">
        <w:rPr>
          <w:lang w:val="en-GB"/>
        </w:rPr>
        <w:t>re equal to the cash the recipients would have received if they had owned the same percentage of the corporation’s stock (or the appreciation in value of an equivalent amount of stock). Some plans also include</w:t>
      </w:r>
      <w:r>
        <w:rPr>
          <w:lang w:val="en-GB"/>
        </w:rPr>
        <w:t>d</w:t>
      </w:r>
      <w:r w:rsidRPr="00A97DF5">
        <w:rPr>
          <w:lang w:val="en-GB"/>
        </w:rPr>
        <w:t xml:space="preserve"> the PS or SAR holder receiving dividends that would have been paid to shareholders between the time of granting and the vesting of the PS and/or SAR. Implementing a phantom stock plan should </w:t>
      </w:r>
      <w:r>
        <w:rPr>
          <w:lang w:val="en-GB"/>
        </w:rPr>
        <w:t xml:space="preserve">have </w:t>
      </w:r>
      <w:r w:rsidRPr="00A97DF5">
        <w:rPr>
          <w:lang w:val="en-GB"/>
        </w:rPr>
        <w:t>cost less in legal and accounting fees than a formal stock option plan</w:t>
      </w:r>
      <w:r>
        <w:rPr>
          <w:lang w:val="en-GB"/>
        </w:rPr>
        <w:t>,</w:t>
      </w:r>
      <w:r w:rsidRPr="00A97DF5">
        <w:rPr>
          <w:lang w:val="en-GB"/>
        </w:rPr>
        <w:t xml:space="preserve"> but more than simply selling stock to an employee. It ha</w:t>
      </w:r>
      <w:r>
        <w:rPr>
          <w:lang w:val="en-GB"/>
        </w:rPr>
        <w:t>d</w:t>
      </w:r>
      <w:r w:rsidRPr="00A97DF5">
        <w:rPr>
          <w:lang w:val="en-GB"/>
        </w:rPr>
        <w:t xml:space="preserve">, however, the advantage that no shares and thus no voting rights </w:t>
      </w:r>
      <w:r>
        <w:rPr>
          <w:lang w:val="en-GB"/>
        </w:rPr>
        <w:t>we</w:t>
      </w:r>
      <w:r w:rsidRPr="00A97DF5">
        <w:rPr>
          <w:lang w:val="en-GB"/>
        </w:rPr>
        <w:t>re given to the employees</w:t>
      </w:r>
      <w:r w:rsidR="00532643" w:rsidRPr="00633FF0">
        <w:rPr>
          <w:lang w:val="en-GB"/>
        </w:rPr>
        <w:t xml:space="preserve">. Phantom stock </w:t>
      </w:r>
      <w:r w:rsidR="006E492E">
        <w:rPr>
          <w:lang w:val="en-GB"/>
        </w:rPr>
        <w:t>offered</w:t>
      </w:r>
      <w:r w:rsidR="006E492E" w:rsidRPr="00633FF0">
        <w:rPr>
          <w:lang w:val="en-GB"/>
        </w:rPr>
        <w:t xml:space="preserve"> </w:t>
      </w:r>
      <w:r w:rsidR="00532643" w:rsidRPr="00633FF0">
        <w:rPr>
          <w:lang w:val="en-GB"/>
        </w:rPr>
        <w:t>a way to share in the financial success of a business while avoiding the risks inherent in having additional shareholders.</w:t>
      </w:r>
    </w:p>
    <w:p w14:paraId="41C587A7" w14:textId="606B9A0B" w:rsidR="00532643" w:rsidRPr="002440C5" w:rsidRDefault="00532643" w:rsidP="00532643">
      <w:pPr>
        <w:pStyle w:val="BodyTextMain"/>
        <w:rPr>
          <w:sz w:val="14"/>
          <w:szCs w:val="14"/>
          <w:lang w:val="en-GB"/>
        </w:rPr>
      </w:pPr>
    </w:p>
    <w:p w14:paraId="1B017908" w14:textId="77777777" w:rsidR="00342A67" w:rsidRPr="002440C5" w:rsidRDefault="00342A67" w:rsidP="00532643">
      <w:pPr>
        <w:pStyle w:val="BodyTextMain"/>
        <w:rPr>
          <w:sz w:val="14"/>
          <w:szCs w:val="14"/>
          <w:lang w:val="en-GB"/>
        </w:rPr>
      </w:pPr>
    </w:p>
    <w:p w14:paraId="51F1F373" w14:textId="49254EFC" w:rsidR="00532643" w:rsidRPr="00633FF0" w:rsidRDefault="00342A67" w:rsidP="00532643">
      <w:pPr>
        <w:pStyle w:val="Casehead2"/>
        <w:rPr>
          <w:lang w:val="en-GB"/>
        </w:rPr>
      </w:pPr>
      <w:r w:rsidRPr="00633FF0">
        <w:rPr>
          <w:lang w:val="en-GB"/>
        </w:rPr>
        <w:t>Valuation</w:t>
      </w:r>
    </w:p>
    <w:p w14:paraId="4A155E31" w14:textId="77777777" w:rsidR="00532643" w:rsidRPr="002440C5" w:rsidRDefault="00532643" w:rsidP="00532643">
      <w:pPr>
        <w:pStyle w:val="BodyTextMain"/>
        <w:rPr>
          <w:sz w:val="14"/>
          <w:szCs w:val="14"/>
          <w:lang w:val="en-GB"/>
        </w:rPr>
      </w:pPr>
    </w:p>
    <w:p w14:paraId="30CB485B" w14:textId="7DD45884" w:rsidR="00532643" w:rsidRPr="00633FF0" w:rsidRDefault="00532643" w:rsidP="00532643">
      <w:pPr>
        <w:pStyle w:val="BodyTextMain"/>
        <w:rPr>
          <w:lang w:val="en-GB"/>
        </w:rPr>
      </w:pPr>
      <w:r w:rsidRPr="00633FF0">
        <w:rPr>
          <w:lang w:val="en-GB"/>
        </w:rPr>
        <w:t>A</w:t>
      </w:r>
      <w:r w:rsidR="006E492E">
        <w:rPr>
          <w:lang w:val="en-GB"/>
        </w:rPr>
        <w:t>n</w:t>
      </w:r>
      <w:r w:rsidRPr="00633FF0">
        <w:rPr>
          <w:lang w:val="en-GB"/>
        </w:rPr>
        <w:t xml:space="preserve"> important </w:t>
      </w:r>
      <w:r w:rsidR="006E492E">
        <w:rPr>
          <w:lang w:val="en-GB"/>
        </w:rPr>
        <w:t xml:space="preserve">but thus far neglected </w:t>
      </w:r>
      <w:r w:rsidRPr="00633FF0">
        <w:rPr>
          <w:lang w:val="en-GB"/>
        </w:rPr>
        <w:t xml:space="preserve">aspect of these discussions </w:t>
      </w:r>
      <w:r w:rsidR="006E492E">
        <w:rPr>
          <w:lang w:val="en-GB"/>
        </w:rPr>
        <w:t xml:space="preserve">was </w:t>
      </w:r>
      <w:r w:rsidRPr="00633FF0">
        <w:rPr>
          <w:lang w:val="en-GB"/>
        </w:rPr>
        <w:t xml:space="preserve">how to value the shares. It </w:t>
      </w:r>
      <w:r w:rsidR="00D91B81">
        <w:rPr>
          <w:lang w:val="en-GB"/>
        </w:rPr>
        <w:t>wa</w:t>
      </w:r>
      <w:r w:rsidR="00D91B81" w:rsidRPr="00633FF0">
        <w:rPr>
          <w:lang w:val="en-GB"/>
        </w:rPr>
        <w:t xml:space="preserve">s </w:t>
      </w:r>
      <w:r w:rsidRPr="00633FF0">
        <w:rPr>
          <w:lang w:val="en-GB"/>
        </w:rPr>
        <w:t xml:space="preserve">important </w:t>
      </w:r>
      <w:r w:rsidR="006E492E">
        <w:rPr>
          <w:lang w:val="en-GB"/>
        </w:rPr>
        <w:t>to value them</w:t>
      </w:r>
      <w:r w:rsidRPr="00633FF0">
        <w:rPr>
          <w:lang w:val="en-GB"/>
        </w:rPr>
        <w:t xml:space="preserve"> in a way that </w:t>
      </w:r>
      <w:r w:rsidR="006E492E">
        <w:rPr>
          <w:lang w:val="en-GB"/>
        </w:rPr>
        <w:t>wa</w:t>
      </w:r>
      <w:r w:rsidR="006E492E" w:rsidRPr="00633FF0">
        <w:rPr>
          <w:lang w:val="en-GB"/>
        </w:rPr>
        <w:t xml:space="preserve">s </w:t>
      </w:r>
      <w:r w:rsidRPr="00633FF0">
        <w:rPr>
          <w:lang w:val="en-GB"/>
        </w:rPr>
        <w:t>deemed fair and equitable on all sides.</w:t>
      </w:r>
      <w:r w:rsidR="00633FF0" w:rsidRPr="00633FF0">
        <w:rPr>
          <w:lang w:val="en-GB"/>
        </w:rPr>
        <w:t xml:space="preserve"> </w:t>
      </w:r>
      <w:r w:rsidRPr="00633FF0">
        <w:rPr>
          <w:lang w:val="en-GB"/>
        </w:rPr>
        <w:t xml:space="preserve">The </w:t>
      </w:r>
      <w:r w:rsidR="005B0AA2" w:rsidRPr="00633FF0">
        <w:rPr>
          <w:lang w:val="en-GB"/>
        </w:rPr>
        <w:t>valu</w:t>
      </w:r>
      <w:r w:rsidR="005B0AA2">
        <w:rPr>
          <w:lang w:val="en-GB"/>
        </w:rPr>
        <w:t>ation</w:t>
      </w:r>
      <w:r w:rsidR="005B0AA2" w:rsidRPr="00633FF0">
        <w:rPr>
          <w:lang w:val="en-GB"/>
        </w:rPr>
        <w:t xml:space="preserve"> </w:t>
      </w:r>
      <w:r w:rsidRPr="00633FF0">
        <w:rPr>
          <w:lang w:val="en-GB"/>
        </w:rPr>
        <w:t xml:space="preserve">of shares </w:t>
      </w:r>
      <w:r w:rsidR="006E492E">
        <w:rPr>
          <w:lang w:val="en-GB"/>
        </w:rPr>
        <w:t>wa</w:t>
      </w:r>
      <w:r w:rsidR="006E492E" w:rsidRPr="00633FF0">
        <w:rPr>
          <w:lang w:val="en-GB"/>
        </w:rPr>
        <w:t xml:space="preserve">s </w:t>
      </w:r>
      <w:r w:rsidRPr="00633FF0">
        <w:rPr>
          <w:lang w:val="en-GB"/>
        </w:rPr>
        <w:t>relatively simple for publicly listed companies</w:t>
      </w:r>
      <w:r w:rsidR="006E492E">
        <w:rPr>
          <w:lang w:val="en-GB"/>
        </w:rPr>
        <w:t>:</w:t>
      </w:r>
      <w:r w:rsidRPr="00633FF0">
        <w:rPr>
          <w:lang w:val="en-GB"/>
        </w:rPr>
        <w:t xml:space="preserve"> use the stock price on the relevant day.</w:t>
      </w:r>
      <w:r w:rsidR="00633FF0" w:rsidRPr="00633FF0">
        <w:rPr>
          <w:lang w:val="en-GB"/>
        </w:rPr>
        <w:t xml:space="preserve"> </w:t>
      </w:r>
      <w:r w:rsidRPr="00633FF0">
        <w:rPr>
          <w:lang w:val="en-GB"/>
        </w:rPr>
        <w:t xml:space="preserve">However, as long as the company </w:t>
      </w:r>
      <w:r w:rsidR="006E492E" w:rsidRPr="00633FF0">
        <w:rPr>
          <w:lang w:val="en-GB"/>
        </w:rPr>
        <w:t>remain</w:t>
      </w:r>
      <w:r w:rsidR="006E492E">
        <w:rPr>
          <w:lang w:val="en-GB"/>
        </w:rPr>
        <w:t>ed</w:t>
      </w:r>
      <w:r w:rsidR="006E492E" w:rsidRPr="00633FF0">
        <w:rPr>
          <w:lang w:val="en-GB"/>
        </w:rPr>
        <w:t xml:space="preserve"> </w:t>
      </w:r>
      <w:r w:rsidRPr="00633FF0">
        <w:rPr>
          <w:lang w:val="en-GB"/>
        </w:rPr>
        <w:t xml:space="preserve">private, no public source </w:t>
      </w:r>
      <w:r w:rsidR="006E492E">
        <w:rPr>
          <w:lang w:val="en-GB"/>
        </w:rPr>
        <w:t>was available for</w:t>
      </w:r>
      <w:r w:rsidR="006E492E" w:rsidRPr="00633FF0">
        <w:rPr>
          <w:lang w:val="en-GB"/>
        </w:rPr>
        <w:t xml:space="preserve"> </w:t>
      </w:r>
      <w:r w:rsidRPr="00633FF0">
        <w:rPr>
          <w:lang w:val="en-GB"/>
        </w:rPr>
        <w:t xml:space="preserve">a “fair market value” </w:t>
      </w:r>
      <w:r w:rsidR="006E492E">
        <w:rPr>
          <w:lang w:val="en-GB"/>
        </w:rPr>
        <w:t>of the</w:t>
      </w:r>
      <w:r w:rsidR="006E492E" w:rsidRPr="00633FF0">
        <w:rPr>
          <w:lang w:val="en-GB"/>
        </w:rPr>
        <w:t xml:space="preserve"> </w:t>
      </w:r>
      <w:r w:rsidRPr="00633FF0">
        <w:rPr>
          <w:lang w:val="en-GB"/>
        </w:rPr>
        <w:t>shares.</w:t>
      </w:r>
      <w:r w:rsidR="00633FF0" w:rsidRPr="00633FF0">
        <w:rPr>
          <w:lang w:val="en-GB"/>
        </w:rPr>
        <w:t xml:space="preserve"> </w:t>
      </w:r>
      <w:r w:rsidR="006E492E">
        <w:rPr>
          <w:lang w:val="en-GB"/>
        </w:rPr>
        <w:t xml:space="preserve">Instead, </w:t>
      </w:r>
      <w:r w:rsidRPr="00633FF0">
        <w:rPr>
          <w:lang w:val="en-GB"/>
        </w:rPr>
        <w:t xml:space="preserve">different models </w:t>
      </w:r>
      <w:r w:rsidR="006E492E">
        <w:rPr>
          <w:lang w:val="en-GB"/>
        </w:rPr>
        <w:t xml:space="preserve">would need </w:t>
      </w:r>
      <w:r w:rsidRPr="00633FF0">
        <w:rPr>
          <w:lang w:val="en-GB"/>
        </w:rPr>
        <w:t>to be used to determine value.</w:t>
      </w:r>
    </w:p>
    <w:p w14:paraId="7C700EF1" w14:textId="45F8A773" w:rsidR="00532643" w:rsidRPr="00633FF0" w:rsidRDefault="00532643" w:rsidP="00532643">
      <w:pPr>
        <w:pStyle w:val="BodyTextMain"/>
        <w:rPr>
          <w:lang w:val="en-GB"/>
        </w:rPr>
      </w:pPr>
      <w:bookmarkStart w:id="0" w:name="_GoBack"/>
      <w:bookmarkEnd w:id="0"/>
      <w:r w:rsidRPr="00633FF0">
        <w:rPr>
          <w:lang w:val="en-GB"/>
        </w:rPr>
        <w:lastRenderedPageBreak/>
        <w:t xml:space="preserve">Internally, the family </w:t>
      </w:r>
      <w:r w:rsidR="006E492E" w:rsidRPr="00633FF0">
        <w:rPr>
          <w:lang w:val="en-GB"/>
        </w:rPr>
        <w:t>use</w:t>
      </w:r>
      <w:r w:rsidR="006E492E">
        <w:rPr>
          <w:lang w:val="en-GB"/>
        </w:rPr>
        <w:t>d</w:t>
      </w:r>
      <w:r w:rsidR="006E492E" w:rsidRPr="00633FF0">
        <w:rPr>
          <w:lang w:val="en-GB"/>
        </w:rPr>
        <w:t xml:space="preserve"> </w:t>
      </w:r>
      <w:r w:rsidRPr="00633FF0">
        <w:rPr>
          <w:lang w:val="en-GB"/>
        </w:rPr>
        <w:t xml:space="preserve">the formula shown in Exhibit 4 to establish the value of the shares if a family member </w:t>
      </w:r>
      <w:r w:rsidR="006E492E" w:rsidRPr="00633FF0">
        <w:rPr>
          <w:lang w:val="en-GB"/>
        </w:rPr>
        <w:t>wishe</w:t>
      </w:r>
      <w:r w:rsidR="006E492E">
        <w:rPr>
          <w:lang w:val="en-GB"/>
        </w:rPr>
        <w:t>d</w:t>
      </w:r>
      <w:r w:rsidR="006E492E" w:rsidRPr="00633FF0">
        <w:rPr>
          <w:lang w:val="en-GB"/>
        </w:rPr>
        <w:t xml:space="preserve"> </w:t>
      </w:r>
      <w:r w:rsidRPr="00633FF0">
        <w:rPr>
          <w:lang w:val="en-GB"/>
        </w:rPr>
        <w:t xml:space="preserve">to buy or sell shares at any point in time. </w:t>
      </w:r>
    </w:p>
    <w:p w14:paraId="71FA2870" w14:textId="77777777" w:rsidR="00532643" w:rsidRPr="00633FF0" w:rsidRDefault="00532643" w:rsidP="00532643">
      <w:pPr>
        <w:pStyle w:val="BodyTextMain"/>
        <w:rPr>
          <w:lang w:val="en-GB"/>
        </w:rPr>
      </w:pPr>
    </w:p>
    <w:p w14:paraId="24EE43DB" w14:textId="5654AC60" w:rsidR="00532643" w:rsidRPr="00633FF0" w:rsidRDefault="00532643" w:rsidP="00532643">
      <w:pPr>
        <w:pStyle w:val="BodyTextMain"/>
        <w:rPr>
          <w:lang w:val="en-GB"/>
        </w:rPr>
      </w:pPr>
      <w:r w:rsidRPr="00633FF0">
        <w:rPr>
          <w:lang w:val="en-GB"/>
        </w:rPr>
        <w:t xml:space="preserve">The valuation </w:t>
      </w:r>
      <w:r w:rsidR="006E492E">
        <w:rPr>
          <w:lang w:val="en-GB"/>
        </w:rPr>
        <w:t>wa</w:t>
      </w:r>
      <w:r w:rsidR="006E492E" w:rsidRPr="00633FF0">
        <w:rPr>
          <w:lang w:val="en-GB"/>
        </w:rPr>
        <w:t xml:space="preserve">s </w:t>
      </w:r>
      <w:r w:rsidRPr="00633FF0">
        <w:rPr>
          <w:lang w:val="en-GB"/>
        </w:rPr>
        <w:t xml:space="preserve">currently 34.146 million </w:t>
      </w:r>
      <w:r w:rsidR="006E492E">
        <w:rPr>
          <w:lang w:val="en-GB"/>
        </w:rPr>
        <w:t>×</w:t>
      </w:r>
      <w:r w:rsidRPr="00633FF0">
        <w:rPr>
          <w:lang w:val="en-GB"/>
        </w:rPr>
        <w:t xml:space="preserve"> 1.8568 = </w:t>
      </w:r>
      <w:r w:rsidR="006E492E">
        <w:rPr>
          <w:lang w:val="en-GB"/>
        </w:rPr>
        <w:t>CHF</w:t>
      </w:r>
      <w:r w:rsidRPr="00633FF0">
        <w:rPr>
          <w:lang w:val="en-GB"/>
        </w:rPr>
        <w:t xml:space="preserve">63.4 million or an </w:t>
      </w:r>
      <w:r w:rsidR="006E492E">
        <w:rPr>
          <w:lang w:val="en-GB"/>
        </w:rPr>
        <w:t>e</w:t>
      </w:r>
      <w:r w:rsidRPr="00633FF0">
        <w:rPr>
          <w:lang w:val="en-GB"/>
        </w:rPr>
        <w:t xml:space="preserve">nterprise </w:t>
      </w:r>
      <w:r w:rsidR="006E492E">
        <w:rPr>
          <w:lang w:val="en-GB"/>
        </w:rPr>
        <w:t>v</w:t>
      </w:r>
      <w:r w:rsidRPr="00633FF0">
        <w:rPr>
          <w:lang w:val="en-GB"/>
        </w:rPr>
        <w:t>alue of CHF74 million (using 2015 debt levels).</w:t>
      </w:r>
      <w:r w:rsidR="00633FF0" w:rsidRPr="00633FF0">
        <w:rPr>
          <w:lang w:val="en-GB"/>
        </w:rPr>
        <w:t xml:space="preserve"> </w:t>
      </w:r>
      <w:r w:rsidRPr="00633FF0">
        <w:rPr>
          <w:lang w:val="en-GB"/>
        </w:rPr>
        <w:t xml:space="preserve">This </w:t>
      </w:r>
      <w:r w:rsidR="006E492E">
        <w:rPr>
          <w:lang w:val="en-GB"/>
        </w:rPr>
        <w:t xml:space="preserve">valuation </w:t>
      </w:r>
      <w:r w:rsidRPr="00633FF0">
        <w:rPr>
          <w:lang w:val="en-GB"/>
        </w:rPr>
        <w:t xml:space="preserve">gives an </w:t>
      </w:r>
      <w:r w:rsidR="006E492E">
        <w:rPr>
          <w:lang w:val="en-GB"/>
        </w:rPr>
        <w:t>Enterprise Value ÷ Earnings before Interest, Taxes, Depreciation, and Amortization (</w:t>
      </w:r>
      <w:r w:rsidRPr="00633FF0">
        <w:rPr>
          <w:lang w:val="en-GB"/>
        </w:rPr>
        <w:t>EV</w:t>
      </w:r>
      <w:r w:rsidR="006E492E">
        <w:rPr>
          <w:lang w:val="en-GB"/>
        </w:rPr>
        <w:t xml:space="preserve"> ÷ </w:t>
      </w:r>
      <w:r w:rsidRPr="00633FF0">
        <w:rPr>
          <w:lang w:val="en-GB"/>
        </w:rPr>
        <w:t>EBITDA</w:t>
      </w:r>
      <w:r w:rsidR="006E492E">
        <w:rPr>
          <w:lang w:val="en-GB"/>
        </w:rPr>
        <w:t>)</w:t>
      </w:r>
      <w:r w:rsidRPr="00633FF0">
        <w:rPr>
          <w:lang w:val="en-GB"/>
        </w:rPr>
        <w:t xml:space="preserve"> of </w:t>
      </w:r>
      <w:r w:rsidR="006E492E">
        <w:rPr>
          <w:lang w:val="en-GB"/>
        </w:rPr>
        <w:t>approximately</w:t>
      </w:r>
      <w:r w:rsidR="006E492E" w:rsidRPr="00633FF0">
        <w:rPr>
          <w:lang w:val="en-GB"/>
        </w:rPr>
        <w:t xml:space="preserve"> </w:t>
      </w:r>
      <w:r w:rsidRPr="00633FF0">
        <w:rPr>
          <w:lang w:val="en-GB"/>
        </w:rPr>
        <w:t>7.9 times.</w:t>
      </w:r>
      <w:r w:rsidR="00633FF0" w:rsidRPr="00633FF0">
        <w:rPr>
          <w:lang w:val="en-GB"/>
        </w:rPr>
        <w:t xml:space="preserve"> </w:t>
      </w:r>
      <w:r w:rsidRPr="00633FF0">
        <w:rPr>
          <w:lang w:val="en-GB"/>
        </w:rPr>
        <w:t xml:space="preserve">This </w:t>
      </w:r>
      <w:r w:rsidR="006E492E">
        <w:rPr>
          <w:lang w:val="en-GB"/>
        </w:rPr>
        <w:t xml:space="preserve">valuation </w:t>
      </w:r>
      <w:r w:rsidR="005B0AA2">
        <w:rPr>
          <w:lang w:val="en-GB"/>
        </w:rPr>
        <w:t>wa</w:t>
      </w:r>
      <w:r w:rsidR="005B0AA2" w:rsidRPr="00633FF0">
        <w:rPr>
          <w:lang w:val="en-GB"/>
        </w:rPr>
        <w:t xml:space="preserve">s </w:t>
      </w:r>
      <w:r w:rsidRPr="00633FF0">
        <w:rPr>
          <w:lang w:val="en-GB"/>
        </w:rPr>
        <w:t xml:space="preserve">below the average multiple for its publicly listed peers </w:t>
      </w:r>
      <w:r w:rsidR="006E492E">
        <w:rPr>
          <w:lang w:val="en-GB"/>
        </w:rPr>
        <w:t xml:space="preserve">(see </w:t>
      </w:r>
      <w:r w:rsidRPr="00633FF0">
        <w:rPr>
          <w:lang w:val="en-GB"/>
        </w:rPr>
        <w:t xml:space="preserve">Exhibit </w:t>
      </w:r>
      <w:r w:rsidR="005D18AE">
        <w:rPr>
          <w:lang w:val="en-GB"/>
        </w:rPr>
        <w:t>5</w:t>
      </w:r>
      <w:r w:rsidR="006E492E">
        <w:rPr>
          <w:lang w:val="en-GB"/>
        </w:rPr>
        <w:t>)</w:t>
      </w:r>
      <w:r w:rsidRPr="00633FF0">
        <w:rPr>
          <w:lang w:val="en-GB"/>
        </w:rPr>
        <w:t>.</w:t>
      </w:r>
      <w:r w:rsidR="00633FF0" w:rsidRPr="00633FF0">
        <w:rPr>
          <w:lang w:val="en-GB"/>
        </w:rPr>
        <w:t xml:space="preserve"> </w:t>
      </w:r>
      <w:r w:rsidRPr="00633FF0">
        <w:rPr>
          <w:lang w:val="en-GB"/>
        </w:rPr>
        <w:t xml:space="preserve">Given that </w:t>
      </w:r>
      <w:proofErr w:type="spellStart"/>
      <w:r w:rsidR="00CD671F">
        <w:rPr>
          <w:lang w:val="en-GB"/>
        </w:rPr>
        <w:t>BauZentral</w:t>
      </w:r>
      <w:proofErr w:type="spellEnd"/>
      <w:r w:rsidRPr="00633FF0">
        <w:rPr>
          <w:lang w:val="en-GB"/>
        </w:rPr>
        <w:t xml:space="preserve"> </w:t>
      </w:r>
      <w:r w:rsidR="006E492E">
        <w:rPr>
          <w:lang w:val="en-GB"/>
        </w:rPr>
        <w:t>wa</w:t>
      </w:r>
      <w:r w:rsidR="006E492E" w:rsidRPr="00633FF0">
        <w:rPr>
          <w:lang w:val="en-GB"/>
        </w:rPr>
        <w:t xml:space="preserve">s </w:t>
      </w:r>
      <w:r w:rsidRPr="00633FF0">
        <w:rPr>
          <w:lang w:val="en-GB"/>
        </w:rPr>
        <w:t>smaller than its peers, privately owned</w:t>
      </w:r>
      <w:r w:rsidR="006E492E">
        <w:rPr>
          <w:lang w:val="en-GB"/>
        </w:rPr>
        <w:t>,</w:t>
      </w:r>
      <w:r w:rsidRPr="00633FF0">
        <w:rPr>
          <w:lang w:val="en-GB"/>
        </w:rPr>
        <w:t xml:space="preserve"> and controlled by the family, a significant discount in its valuation </w:t>
      </w:r>
      <w:r w:rsidR="006E492E">
        <w:rPr>
          <w:lang w:val="en-GB"/>
        </w:rPr>
        <w:t xml:space="preserve">was to be expected, </w:t>
      </w:r>
      <w:r w:rsidRPr="00633FF0">
        <w:rPr>
          <w:lang w:val="en-GB"/>
        </w:rPr>
        <w:t xml:space="preserve">compared </w:t>
      </w:r>
      <w:r w:rsidR="006E492E">
        <w:rPr>
          <w:lang w:val="en-GB"/>
        </w:rPr>
        <w:t>with</w:t>
      </w:r>
      <w:r w:rsidR="006E492E" w:rsidRPr="00633FF0">
        <w:rPr>
          <w:lang w:val="en-GB"/>
        </w:rPr>
        <w:t xml:space="preserve"> </w:t>
      </w:r>
      <w:r w:rsidRPr="00633FF0">
        <w:rPr>
          <w:lang w:val="en-GB"/>
        </w:rPr>
        <w:t>more widely held, larger publicly listed firms.</w:t>
      </w:r>
    </w:p>
    <w:p w14:paraId="63ADE313" w14:textId="77777777" w:rsidR="00532643" w:rsidRPr="00633FF0" w:rsidRDefault="00532643" w:rsidP="00532643">
      <w:pPr>
        <w:pStyle w:val="BodyTextMain"/>
        <w:rPr>
          <w:lang w:val="en-GB"/>
        </w:rPr>
      </w:pPr>
    </w:p>
    <w:p w14:paraId="20ED4AC9" w14:textId="040AF3D2" w:rsidR="00532643" w:rsidRDefault="00532643" w:rsidP="00532643">
      <w:pPr>
        <w:pStyle w:val="BodyTextMain"/>
        <w:rPr>
          <w:lang w:val="en-GB"/>
        </w:rPr>
      </w:pPr>
      <w:r w:rsidRPr="00633FF0">
        <w:rPr>
          <w:lang w:val="en-GB"/>
        </w:rPr>
        <w:t xml:space="preserve">Over the years the valuation formula </w:t>
      </w:r>
      <w:r w:rsidR="006E492E">
        <w:rPr>
          <w:lang w:val="en-GB"/>
        </w:rPr>
        <w:t>had</w:t>
      </w:r>
      <w:r w:rsidR="006E492E" w:rsidRPr="00633FF0">
        <w:rPr>
          <w:lang w:val="en-GB"/>
        </w:rPr>
        <w:t xml:space="preserve"> </w:t>
      </w:r>
      <w:r w:rsidRPr="00633FF0">
        <w:rPr>
          <w:lang w:val="en-GB"/>
        </w:rPr>
        <w:t xml:space="preserve">changed, but the changes </w:t>
      </w:r>
      <w:r w:rsidR="006E492E">
        <w:rPr>
          <w:lang w:val="en-GB"/>
        </w:rPr>
        <w:t>were</w:t>
      </w:r>
      <w:r w:rsidRPr="00633FF0">
        <w:rPr>
          <w:lang w:val="en-GB"/>
        </w:rPr>
        <w:t xml:space="preserve"> minor</w:t>
      </w:r>
      <w:r w:rsidR="006E492E">
        <w:rPr>
          <w:lang w:val="en-GB"/>
        </w:rPr>
        <w:t>,</w:t>
      </w:r>
      <w:r w:rsidRPr="00633FF0">
        <w:rPr>
          <w:lang w:val="en-GB"/>
        </w:rPr>
        <w:t xml:space="preserve"> as the family felt the formula </w:t>
      </w:r>
      <w:r w:rsidR="006E492E" w:rsidRPr="00633FF0">
        <w:rPr>
          <w:lang w:val="en-GB"/>
        </w:rPr>
        <w:t>provide</w:t>
      </w:r>
      <w:r w:rsidR="006E492E">
        <w:rPr>
          <w:lang w:val="en-GB"/>
        </w:rPr>
        <w:t>d</w:t>
      </w:r>
      <w:r w:rsidR="006E492E" w:rsidRPr="00633FF0">
        <w:rPr>
          <w:lang w:val="en-GB"/>
        </w:rPr>
        <w:t xml:space="preserve"> </w:t>
      </w:r>
      <w:r w:rsidRPr="00633FF0">
        <w:rPr>
          <w:lang w:val="en-GB"/>
        </w:rPr>
        <w:t xml:space="preserve">a good average </w:t>
      </w:r>
      <w:r w:rsidR="006E492E">
        <w:rPr>
          <w:lang w:val="en-GB"/>
        </w:rPr>
        <w:t>that was both</w:t>
      </w:r>
      <w:r w:rsidRPr="00633FF0">
        <w:rPr>
          <w:lang w:val="en-GB"/>
        </w:rPr>
        <w:t xml:space="preserve"> stable and representative.</w:t>
      </w:r>
      <w:r w:rsidR="00633FF0" w:rsidRPr="00633FF0">
        <w:rPr>
          <w:lang w:val="en-GB"/>
        </w:rPr>
        <w:t xml:space="preserve"> </w:t>
      </w:r>
      <w:r w:rsidRPr="00633FF0">
        <w:rPr>
          <w:lang w:val="en-GB"/>
        </w:rPr>
        <w:t xml:space="preserve">A key concern </w:t>
      </w:r>
      <w:r w:rsidR="006E492E">
        <w:rPr>
          <w:lang w:val="en-GB"/>
        </w:rPr>
        <w:t>wa</w:t>
      </w:r>
      <w:r w:rsidR="006E492E" w:rsidRPr="00633FF0">
        <w:rPr>
          <w:lang w:val="en-GB"/>
        </w:rPr>
        <w:t xml:space="preserve">s </w:t>
      </w:r>
      <w:r w:rsidRPr="00633FF0">
        <w:rPr>
          <w:lang w:val="en-GB"/>
        </w:rPr>
        <w:t>that both Pieter and Jens recognize</w:t>
      </w:r>
      <w:r w:rsidR="006E492E">
        <w:rPr>
          <w:lang w:val="en-GB"/>
        </w:rPr>
        <w:t>d</w:t>
      </w:r>
      <w:r w:rsidRPr="00633FF0">
        <w:rPr>
          <w:lang w:val="en-GB"/>
        </w:rPr>
        <w:t xml:space="preserve"> that this </w:t>
      </w:r>
      <w:r w:rsidR="005B0AA2">
        <w:rPr>
          <w:lang w:val="en-GB"/>
        </w:rPr>
        <w:t xml:space="preserve">formula did </w:t>
      </w:r>
      <w:r w:rsidRPr="00633FF0">
        <w:rPr>
          <w:lang w:val="en-GB"/>
        </w:rPr>
        <w:t xml:space="preserve">not </w:t>
      </w:r>
      <w:r w:rsidR="005B0AA2">
        <w:rPr>
          <w:lang w:val="en-GB"/>
        </w:rPr>
        <w:t xml:space="preserve">represent </w:t>
      </w:r>
      <w:r w:rsidRPr="00633FF0">
        <w:rPr>
          <w:lang w:val="en-GB"/>
        </w:rPr>
        <w:t>a fair market valuation (a condition required under some shareholder plans).</w:t>
      </w:r>
      <w:r w:rsidR="00633FF0" w:rsidRPr="00633FF0">
        <w:rPr>
          <w:lang w:val="en-GB"/>
        </w:rPr>
        <w:t xml:space="preserve"> </w:t>
      </w:r>
      <w:r w:rsidRPr="00633FF0">
        <w:rPr>
          <w:lang w:val="en-GB"/>
        </w:rPr>
        <w:t xml:space="preserve">Internally, </w:t>
      </w:r>
      <w:r w:rsidR="006E492E">
        <w:rPr>
          <w:lang w:val="en-GB"/>
        </w:rPr>
        <w:t>some</w:t>
      </w:r>
      <w:r w:rsidRPr="00633FF0">
        <w:rPr>
          <w:lang w:val="en-GB"/>
        </w:rPr>
        <w:t xml:space="preserve"> felt that </w:t>
      </w:r>
      <w:r w:rsidR="006E492E">
        <w:rPr>
          <w:lang w:val="en-GB"/>
        </w:rPr>
        <w:t xml:space="preserve">even more important was having </w:t>
      </w:r>
      <w:r w:rsidRPr="00633FF0">
        <w:rPr>
          <w:lang w:val="en-GB"/>
        </w:rPr>
        <w:t xml:space="preserve">stability in the valuation (i.e., the lack of sensitivity to time and market conditions). </w:t>
      </w:r>
    </w:p>
    <w:p w14:paraId="1E2D1158" w14:textId="77777777" w:rsidR="00D67587" w:rsidRDefault="00D67587" w:rsidP="00532643">
      <w:pPr>
        <w:pStyle w:val="BodyTextMain"/>
        <w:rPr>
          <w:lang w:val="en-GB"/>
        </w:rPr>
      </w:pPr>
    </w:p>
    <w:p w14:paraId="41FF1A09" w14:textId="77777777" w:rsidR="00D67587" w:rsidRPr="00633FF0" w:rsidRDefault="00D67587" w:rsidP="00532643">
      <w:pPr>
        <w:pStyle w:val="BodyTextMain"/>
        <w:rPr>
          <w:lang w:val="en-GB"/>
        </w:rPr>
      </w:pPr>
    </w:p>
    <w:p w14:paraId="417BA5BB" w14:textId="77777777" w:rsidR="00532643" w:rsidRPr="00633FF0" w:rsidRDefault="00532643" w:rsidP="00532643">
      <w:pPr>
        <w:pStyle w:val="Casehead1"/>
        <w:rPr>
          <w:lang w:val="en-GB"/>
        </w:rPr>
      </w:pPr>
      <w:r w:rsidRPr="00633FF0">
        <w:rPr>
          <w:lang w:val="en-GB"/>
        </w:rPr>
        <w:t>Conclusion</w:t>
      </w:r>
    </w:p>
    <w:p w14:paraId="3F91D68B" w14:textId="77777777" w:rsidR="00532643" w:rsidRPr="00633FF0" w:rsidRDefault="00532643" w:rsidP="00532643">
      <w:pPr>
        <w:pStyle w:val="Casehead1"/>
        <w:rPr>
          <w:lang w:val="en-GB"/>
        </w:rPr>
      </w:pPr>
    </w:p>
    <w:p w14:paraId="2C183161" w14:textId="7296A688" w:rsidR="00532643" w:rsidRPr="00633FF0" w:rsidRDefault="00532643" w:rsidP="00532643">
      <w:pPr>
        <w:pStyle w:val="BodyTextMain"/>
        <w:rPr>
          <w:lang w:val="en-GB"/>
        </w:rPr>
      </w:pPr>
      <w:r w:rsidRPr="00633FF0">
        <w:rPr>
          <w:lang w:val="en-GB"/>
        </w:rPr>
        <w:t xml:space="preserve">As the firm </w:t>
      </w:r>
      <w:r w:rsidR="006E492E" w:rsidRPr="00633FF0">
        <w:rPr>
          <w:lang w:val="en-GB"/>
        </w:rPr>
        <w:t>continue</w:t>
      </w:r>
      <w:r w:rsidR="006E492E">
        <w:rPr>
          <w:lang w:val="en-GB"/>
        </w:rPr>
        <w:t>d</w:t>
      </w:r>
      <w:r w:rsidR="006E492E" w:rsidRPr="00633FF0">
        <w:rPr>
          <w:lang w:val="en-GB"/>
        </w:rPr>
        <w:t xml:space="preserve"> </w:t>
      </w:r>
      <w:r w:rsidRPr="00633FF0">
        <w:rPr>
          <w:lang w:val="en-GB"/>
        </w:rPr>
        <w:t xml:space="preserve">to work on integrating its recent acquisitions, Pieter and Jens </w:t>
      </w:r>
      <w:r w:rsidR="006E492E">
        <w:rPr>
          <w:lang w:val="en-GB"/>
        </w:rPr>
        <w:t xml:space="preserve">needed </w:t>
      </w:r>
      <w:r w:rsidR="00D67587">
        <w:rPr>
          <w:lang w:val="en-GB"/>
        </w:rPr>
        <w:t xml:space="preserve">to </w:t>
      </w:r>
      <w:r w:rsidRPr="00633FF0">
        <w:rPr>
          <w:lang w:val="en-GB"/>
        </w:rPr>
        <w:t>consider the best way to move forward with more actively involving employees in the company and providing the employees with the opportunity to benefit from their efforts.</w:t>
      </w:r>
    </w:p>
    <w:p w14:paraId="6403A883" w14:textId="77777777" w:rsidR="00532643" w:rsidRPr="00633FF0" w:rsidRDefault="00532643">
      <w:pPr>
        <w:spacing w:after="200" w:line="276" w:lineRule="auto"/>
        <w:rPr>
          <w:sz w:val="22"/>
          <w:szCs w:val="22"/>
          <w:lang w:val="en-GB"/>
        </w:rPr>
      </w:pPr>
      <w:r w:rsidRPr="00633FF0">
        <w:rPr>
          <w:lang w:val="en-GB"/>
        </w:rPr>
        <w:br w:type="page"/>
      </w:r>
    </w:p>
    <w:p w14:paraId="5468B311" w14:textId="0965B26C" w:rsidR="00532643" w:rsidRPr="00633FF0" w:rsidRDefault="00532643" w:rsidP="00342A67">
      <w:pPr>
        <w:pStyle w:val="ExhibitHeading"/>
        <w:rPr>
          <w:lang w:val="en-GB"/>
        </w:rPr>
      </w:pPr>
      <w:r w:rsidRPr="00633FF0">
        <w:rPr>
          <w:lang w:val="en-GB"/>
        </w:rPr>
        <w:lastRenderedPageBreak/>
        <w:t>Exhibit 1</w:t>
      </w:r>
      <w:r w:rsidR="00342A67" w:rsidRPr="00633FF0">
        <w:rPr>
          <w:lang w:val="en-GB"/>
        </w:rPr>
        <w:t xml:space="preserve">: </w:t>
      </w:r>
      <w:r w:rsidR="00CD671F">
        <w:rPr>
          <w:lang w:val="en-GB"/>
        </w:rPr>
        <w:t>BauZentral</w:t>
      </w:r>
      <w:r w:rsidR="006E492E">
        <w:rPr>
          <w:lang w:val="en-GB"/>
        </w:rPr>
        <w:t xml:space="preserve"> </w:t>
      </w:r>
      <w:r w:rsidRPr="00633FF0">
        <w:rPr>
          <w:lang w:val="en-GB"/>
        </w:rPr>
        <w:t>Balance Sheet</w:t>
      </w:r>
      <w:r w:rsidR="004768BB">
        <w:rPr>
          <w:lang w:val="en-GB"/>
        </w:rPr>
        <w:t>,</w:t>
      </w:r>
      <w:r w:rsidR="006E492E">
        <w:rPr>
          <w:lang w:val="en-GB"/>
        </w:rPr>
        <w:t xml:space="preserve"> 2015–2017 (IN CHF)</w:t>
      </w:r>
      <w:r w:rsidRPr="00633FF0">
        <w:rPr>
          <w:lang w:val="en-GB"/>
        </w:rPr>
        <w:t xml:space="preserve"> </w:t>
      </w:r>
    </w:p>
    <w:p w14:paraId="4FAA7EEC" w14:textId="77777777" w:rsidR="00532643" w:rsidRPr="00633FF0" w:rsidRDefault="00532643" w:rsidP="00342A67">
      <w:pPr>
        <w:pStyle w:val="ExhibitText"/>
        <w:rPr>
          <w:lang w:val="en-GB"/>
        </w:rPr>
      </w:pPr>
    </w:p>
    <w:tbl>
      <w:tblPr>
        <w:tblStyle w:val="TableGrid"/>
        <w:tblW w:w="8944" w:type="dxa"/>
        <w:jc w:val="center"/>
        <w:tblLayout w:type="fixed"/>
        <w:tblLook w:val="04A0" w:firstRow="1" w:lastRow="0" w:firstColumn="1" w:lastColumn="0" w:noHBand="0" w:noVBand="1"/>
      </w:tblPr>
      <w:tblGrid>
        <w:gridCol w:w="3055"/>
        <w:gridCol w:w="1963"/>
        <w:gridCol w:w="1963"/>
        <w:gridCol w:w="1963"/>
      </w:tblGrid>
      <w:tr w:rsidR="00342A67" w:rsidRPr="00633FF0" w14:paraId="639C8761" w14:textId="77777777" w:rsidTr="00BB0AC3">
        <w:trPr>
          <w:trHeight w:val="300"/>
          <w:jc w:val="center"/>
        </w:trPr>
        <w:tc>
          <w:tcPr>
            <w:tcW w:w="3055" w:type="dxa"/>
            <w:noWrap/>
            <w:hideMark/>
          </w:tcPr>
          <w:p w14:paraId="5AD40537" w14:textId="77777777" w:rsidR="00342A67" w:rsidRPr="00633FF0" w:rsidRDefault="00342A67" w:rsidP="00404CD4">
            <w:pPr>
              <w:pStyle w:val="ExhibitText"/>
              <w:rPr>
                <w:lang w:val="en-GB"/>
              </w:rPr>
            </w:pPr>
            <w:r w:rsidRPr="00633FF0">
              <w:rPr>
                <w:lang w:val="en-GB"/>
              </w:rPr>
              <w:t> </w:t>
            </w:r>
          </w:p>
        </w:tc>
        <w:tc>
          <w:tcPr>
            <w:tcW w:w="1963" w:type="dxa"/>
            <w:noWrap/>
            <w:hideMark/>
          </w:tcPr>
          <w:p w14:paraId="28375D24" w14:textId="77777777" w:rsidR="00342A67" w:rsidRPr="00BB0AC3" w:rsidRDefault="00342A67" w:rsidP="00BB0AC3">
            <w:pPr>
              <w:pStyle w:val="ExhibitText"/>
              <w:jc w:val="center"/>
              <w:rPr>
                <w:b/>
                <w:lang w:val="en-GB"/>
              </w:rPr>
            </w:pPr>
            <w:r w:rsidRPr="00BB0AC3">
              <w:rPr>
                <w:b/>
                <w:lang w:val="en-GB"/>
              </w:rPr>
              <w:t>2017</w:t>
            </w:r>
          </w:p>
        </w:tc>
        <w:tc>
          <w:tcPr>
            <w:tcW w:w="1963" w:type="dxa"/>
            <w:noWrap/>
            <w:hideMark/>
          </w:tcPr>
          <w:p w14:paraId="7A624858" w14:textId="77777777" w:rsidR="00342A67" w:rsidRPr="00BB0AC3" w:rsidRDefault="00342A67" w:rsidP="00BB0AC3">
            <w:pPr>
              <w:pStyle w:val="ExhibitText"/>
              <w:jc w:val="center"/>
              <w:rPr>
                <w:b/>
                <w:lang w:val="en-GB"/>
              </w:rPr>
            </w:pPr>
            <w:r w:rsidRPr="00BB0AC3">
              <w:rPr>
                <w:b/>
                <w:lang w:val="en-GB"/>
              </w:rPr>
              <w:t>2016</w:t>
            </w:r>
          </w:p>
        </w:tc>
        <w:tc>
          <w:tcPr>
            <w:tcW w:w="1963" w:type="dxa"/>
            <w:noWrap/>
            <w:hideMark/>
          </w:tcPr>
          <w:p w14:paraId="3434AB4D" w14:textId="77777777" w:rsidR="00342A67" w:rsidRPr="00BB0AC3" w:rsidRDefault="00342A67" w:rsidP="00BB0AC3">
            <w:pPr>
              <w:pStyle w:val="ExhibitText"/>
              <w:jc w:val="center"/>
              <w:rPr>
                <w:b/>
                <w:lang w:val="en-GB"/>
              </w:rPr>
            </w:pPr>
            <w:r w:rsidRPr="00BB0AC3">
              <w:rPr>
                <w:b/>
                <w:lang w:val="en-GB"/>
              </w:rPr>
              <w:t>2015</w:t>
            </w:r>
          </w:p>
        </w:tc>
      </w:tr>
      <w:tr w:rsidR="00342A67" w:rsidRPr="00633FF0" w14:paraId="1A510AA6" w14:textId="77777777" w:rsidTr="00BB0AC3">
        <w:trPr>
          <w:trHeight w:val="315"/>
          <w:jc w:val="center"/>
        </w:trPr>
        <w:tc>
          <w:tcPr>
            <w:tcW w:w="3055" w:type="dxa"/>
            <w:noWrap/>
            <w:hideMark/>
          </w:tcPr>
          <w:p w14:paraId="07028F59" w14:textId="77777777" w:rsidR="00342A67" w:rsidRPr="00633FF0" w:rsidRDefault="00342A67" w:rsidP="00404CD4">
            <w:pPr>
              <w:pStyle w:val="ExhibitText"/>
              <w:rPr>
                <w:lang w:val="en-GB"/>
              </w:rPr>
            </w:pPr>
            <w:r w:rsidRPr="00633FF0">
              <w:rPr>
                <w:lang w:val="en-GB"/>
              </w:rPr>
              <w:t> </w:t>
            </w:r>
          </w:p>
        </w:tc>
        <w:tc>
          <w:tcPr>
            <w:tcW w:w="1963" w:type="dxa"/>
            <w:noWrap/>
            <w:hideMark/>
          </w:tcPr>
          <w:p w14:paraId="690D6607" w14:textId="60B77FAD" w:rsidR="00342A67" w:rsidRPr="00633FF0" w:rsidRDefault="00342A67" w:rsidP="000E3DCC">
            <w:pPr>
              <w:pStyle w:val="ExhibitText"/>
              <w:jc w:val="right"/>
              <w:rPr>
                <w:bCs/>
                <w:lang w:val="en-GB"/>
              </w:rPr>
            </w:pPr>
          </w:p>
        </w:tc>
        <w:tc>
          <w:tcPr>
            <w:tcW w:w="1963" w:type="dxa"/>
            <w:noWrap/>
            <w:hideMark/>
          </w:tcPr>
          <w:p w14:paraId="7F0FC0DB" w14:textId="7AA9F97E" w:rsidR="00342A67" w:rsidRPr="00633FF0" w:rsidRDefault="00342A67" w:rsidP="000E3DCC">
            <w:pPr>
              <w:pStyle w:val="ExhibitText"/>
              <w:jc w:val="right"/>
              <w:rPr>
                <w:bCs/>
                <w:lang w:val="en-GB"/>
              </w:rPr>
            </w:pPr>
          </w:p>
        </w:tc>
        <w:tc>
          <w:tcPr>
            <w:tcW w:w="1963" w:type="dxa"/>
            <w:noWrap/>
            <w:hideMark/>
          </w:tcPr>
          <w:p w14:paraId="6CE14CED" w14:textId="65D55B52" w:rsidR="00342A67" w:rsidRPr="00633FF0" w:rsidRDefault="00342A67" w:rsidP="000E3DCC">
            <w:pPr>
              <w:pStyle w:val="ExhibitText"/>
              <w:jc w:val="right"/>
              <w:rPr>
                <w:bCs/>
                <w:lang w:val="en-GB"/>
              </w:rPr>
            </w:pPr>
          </w:p>
        </w:tc>
      </w:tr>
      <w:tr w:rsidR="00342A67" w:rsidRPr="00633FF0" w14:paraId="4B98125C" w14:textId="77777777" w:rsidTr="00BB0AC3">
        <w:trPr>
          <w:trHeight w:val="300"/>
          <w:jc w:val="center"/>
        </w:trPr>
        <w:tc>
          <w:tcPr>
            <w:tcW w:w="3055" w:type="dxa"/>
            <w:noWrap/>
            <w:hideMark/>
          </w:tcPr>
          <w:p w14:paraId="3212412C" w14:textId="77777777" w:rsidR="00342A67" w:rsidRPr="00633FF0" w:rsidRDefault="00342A67" w:rsidP="00404CD4">
            <w:pPr>
              <w:pStyle w:val="ExhibitText"/>
              <w:rPr>
                <w:lang w:val="en-GB"/>
              </w:rPr>
            </w:pPr>
            <w:r w:rsidRPr="00633FF0">
              <w:rPr>
                <w:bCs/>
                <w:u w:val="single"/>
                <w:lang w:val="en-GB"/>
              </w:rPr>
              <w:t>Assets</w:t>
            </w:r>
          </w:p>
        </w:tc>
        <w:tc>
          <w:tcPr>
            <w:tcW w:w="1963" w:type="dxa"/>
            <w:noWrap/>
            <w:hideMark/>
          </w:tcPr>
          <w:p w14:paraId="19DC4E4A" w14:textId="77777777" w:rsidR="00342A67" w:rsidRPr="00633FF0" w:rsidRDefault="00342A67" w:rsidP="000E3DCC">
            <w:pPr>
              <w:pStyle w:val="ExhibitText"/>
              <w:jc w:val="right"/>
              <w:rPr>
                <w:lang w:val="en-GB"/>
              </w:rPr>
            </w:pPr>
            <w:r w:rsidRPr="00633FF0">
              <w:rPr>
                <w:lang w:val="en-GB"/>
              </w:rPr>
              <w:t> </w:t>
            </w:r>
          </w:p>
        </w:tc>
        <w:tc>
          <w:tcPr>
            <w:tcW w:w="1963" w:type="dxa"/>
            <w:noWrap/>
            <w:hideMark/>
          </w:tcPr>
          <w:p w14:paraId="21559A92" w14:textId="77777777" w:rsidR="00342A67" w:rsidRPr="00633FF0" w:rsidRDefault="00342A67" w:rsidP="000E3DCC">
            <w:pPr>
              <w:pStyle w:val="ExhibitText"/>
              <w:jc w:val="right"/>
              <w:rPr>
                <w:lang w:val="en-GB"/>
              </w:rPr>
            </w:pPr>
            <w:r w:rsidRPr="00633FF0">
              <w:rPr>
                <w:lang w:val="en-GB"/>
              </w:rPr>
              <w:t> </w:t>
            </w:r>
          </w:p>
        </w:tc>
        <w:tc>
          <w:tcPr>
            <w:tcW w:w="1963" w:type="dxa"/>
            <w:noWrap/>
            <w:hideMark/>
          </w:tcPr>
          <w:p w14:paraId="5FBF5E78" w14:textId="77777777" w:rsidR="00342A67" w:rsidRPr="00633FF0" w:rsidRDefault="00342A67" w:rsidP="000E3DCC">
            <w:pPr>
              <w:pStyle w:val="ExhibitText"/>
              <w:jc w:val="right"/>
              <w:rPr>
                <w:bCs/>
                <w:lang w:val="en-GB"/>
              </w:rPr>
            </w:pPr>
            <w:r w:rsidRPr="00633FF0">
              <w:rPr>
                <w:bCs/>
                <w:lang w:val="en-GB"/>
              </w:rPr>
              <w:t> </w:t>
            </w:r>
          </w:p>
        </w:tc>
      </w:tr>
      <w:tr w:rsidR="00342A67" w:rsidRPr="00633FF0" w14:paraId="2D3BA434" w14:textId="77777777" w:rsidTr="00BB0AC3">
        <w:trPr>
          <w:trHeight w:val="300"/>
          <w:jc w:val="center"/>
        </w:trPr>
        <w:tc>
          <w:tcPr>
            <w:tcW w:w="3055" w:type="dxa"/>
            <w:noWrap/>
            <w:hideMark/>
          </w:tcPr>
          <w:p w14:paraId="24053B6D" w14:textId="77777777" w:rsidR="00342A67" w:rsidRPr="00633FF0" w:rsidRDefault="00342A67" w:rsidP="00404CD4">
            <w:pPr>
              <w:pStyle w:val="ExhibitText"/>
              <w:rPr>
                <w:bCs/>
                <w:lang w:val="en-GB"/>
              </w:rPr>
            </w:pPr>
            <w:r w:rsidRPr="00633FF0">
              <w:rPr>
                <w:bCs/>
                <w:lang w:val="en-GB"/>
              </w:rPr>
              <w:t>Fixed assets</w:t>
            </w:r>
          </w:p>
        </w:tc>
        <w:tc>
          <w:tcPr>
            <w:tcW w:w="1963" w:type="dxa"/>
            <w:noWrap/>
            <w:hideMark/>
          </w:tcPr>
          <w:p w14:paraId="6E48BAD0" w14:textId="77777777" w:rsidR="00342A67" w:rsidRPr="00633FF0" w:rsidRDefault="00342A67" w:rsidP="000E3DCC">
            <w:pPr>
              <w:pStyle w:val="ExhibitText"/>
              <w:jc w:val="right"/>
              <w:rPr>
                <w:lang w:val="en-GB"/>
              </w:rPr>
            </w:pPr>
            <w:r w:rsidRPr="00633FF0">
              <w:rPr>
                <w:lang w:val="en-GB"/>
              </w:rPr>
              <w:t> </w:t>
            </w:r>
          </w:p>
        </w:tc>
        <w:tc>
          <w:tcPr>
            <w:tcW w:w="1963" w:type="dxa"/>
            <w:noWrap/>
            <w:hideMark/>
          </w:tcPr>
          <w:p w14:paraId="1468F7F5" w14:textId="77777777" w:rsidR="00342A67" w:rsidRPr="00633FF0" w:rsidRDefault="00342A67" w:rsidP="000E3DCC">
            <w:pPr>
              <w:pStyle w:val="ExhibitText"/>
              <w:jc w:val="right"/>
              <w:rPr>
                <w:lang w:val="en-GB"/>
              </w:rPr>
            </w:pPr>
            <w:r w:rsidRPr="00633FF0">
              <w:rPr>
                <w:lang w:val="en-GB"/>
              </w:rPr>
              <w:t> </w:t>
            </w:r>
          </w:p>
        </w:tc>
        <w:tc>
          <w:tcPr>
            <w:tcW w:w="1963" w:type="dxa"/>
            <w:noWrap/>
            <w:hideMark/>
          </w:tcPr>
          <w:p w14:paraId="201DAB26" w14:textId="77777777" w:rsidR="00342A67" w:rsidRPr="00633FF0" w:rsidRDefault="00342A67" w:rsidP="000E3DCC">
            <w:pPr>
              <w:pStyle w:val="ExhibitText"/>
              <w:jc w:val="right"/>
              <w:rPr>
                <w:bCs/>
                <w:lang w:val="en-GB"/>
              </w:rPr>
            </w:pPr>
            <w:r w:rsidRPr="00633FF0">
              <w:rPr>
                <w:bCs/>
                <w:lang w:val="en-GB"/>
              </w:rPr>
              <w:t> </w:t>
            </w:r>
          </w:p>
        </w:tc>
      </w:tr>
      <w:tr w:rsidR="00342A67" w:rsidRPr="00633FF0" w14:paraId="57B41B94" w14:textId="77777777" w:rsidTr="00BB0AC3">
        <w:trPr>
          <w:trHeight w:val="285"/>
          <w:jc w:val="center"/>
        </w:trPr>
        <w:tc>
          <w:tcPr>
            <w:tcW w:w="3055" w:type="dxa"/>
            <w:noWrap/>
            <w:hideMark/>
          </w:tcPr>
          <w:p w14:paraId="641718BC" w14:textId="344A95BD" w:rsidR="00342A67" w:rsidRPr="00633FF0" w:rsidRDefault="005B0AA2" w:rsidP="00BB0AC3">
            <w:pPr>
              <w:pStyle w:val="ExhibitText"/>
              <w:tabs>
                <w:tab w:val="left" w:pos="158"/>
              </w:tabs>
              <w:rPr>
                <w:lang w:val="en-GB"/>
              </w:rPr>
            </w:pPr>
            <w:r>
              <w:rPr>
                <w:lang w:val="en-GB"/>
              </w:rPr>
              <w:tab/>
            </w:r>
            <w:r w:rsidR="00342A67" w:rsidRPr="00633FF0">
              <w:rPr>
                <w:lang w:val="en-GB"/>
              </w:rPr>
              <w:t>Intangible assets</w:t>
            </w:r>
          </w:p>
        </w:tc>
        <w:tc>
          <w:tcPr>
            <w:tcW w:w="1963" w:type="dxa"/>
            <w:noWrap/>
            <w:hideMark/>
          </w:tcPr>
          <w:p w14:paraId="1C048763" w14:textId="632BBB88" w:rsidR="00342A67" w:rsidRPr="00633FF0" w:rsidRDefault="00342A67" w:rsidP="000E3DCC">
            <w:pPr>
              <w:pStyle w:val="ExhibitText"/>
              <w:tabs>
                <w:tab w:val="decimal" w:pos="882"/>
              </w:tabs>
              <w:jc w:val="right"/>
              <w:rPr>
                <w:lang w:val="en-GB"/>
              </w:rPr>
            </w:pPr>
            <w:r w:rsidRPr="00633FF0">
              <w:rPr>
                <w:lang w:val="en-GB"/>
              </w:rPr>
              <w:t>1</w:t>
            </w:r>
            <w:r w:rsidR="006E492E">
              <w:rPr>
                <w:lang w:val="en-GB"/>
              </w:rPr>
              <w:t>,</w:t>
            </w:r>
            <w:r w:rsidRPr="00633FF0">
              <w:rPr>
                <w:lang w:val="en-GB"/>
              </w:rPr>
              <w:t>344</w:t>
            </w:r>
            <w:r w:rsidR="005D18AE">
              <w:rPr>
                <w:lang w:val="en-GB"/>
              </w:rPr>
              <w:t>,</w:t>
            </w:r>
            <w:r w:rsidRPr="00633FF0">
              <w:rPr>
                <w:lang w:val="en-GB"/>
              </w:rPr>
              <w:t>381</w:t>
            </w:r>
          </w:p>
        </w:tc>
        <w:tc>
          <w:tcPr>
            <w:tcW w:w="1963" w:type="dxa"/>
            <w:hideMark/>
          </w:tcPr>
          <w:p w14:paraId="1DB5A1CF" w14:textId="08CF3326" w:rsidR="00342A67" w:rsidRPr="00633FF0" w:rsidRDefault="00342A67" w:rsidP="000E3DCC">
            <w:pPr>
              <w:pStyle w:val="ExhibitText"/>
              <w:tabs>
                <w:tab w:val="decimal" w:pos="836"/>
              </w:tabs>
              <w:jc w:val="right"/>
              <w:rPr>
                <w:lang w:val="en-GB"/>
              </w:rPr>
            </w:pPr>
            <w:r w:rsidRPr="00633FF0">
              <w:rPr>
                <w:lang w:val="en-GB"/>
              </w:rPr>
              <w:t>1</w:t>
            </w:r>
            <w:r w:rsidR="006E492E">
              <w:rPr>
                <w:lang w:val="en-GB"/>
              </w:rPr>
              <w:t>,</w:t>
            </w:r>
            <w:r w:rsidRPr="00633FF0">
              <w:rPr>
                <w:lang w:val="en-GB"/>
              </w:rPr>
              <w:t>531</w:t>
            </w:r>
            <w:r w:rsidR="005D18AE">
              <w:rPr>
                <w:lang w:val="en-GB"/>
              </w:rPr>
              <w:t>,</w:t>
            </w:r>
            <w:r w:rsidRPr="00633FF0">
              <w:rPr>
                <w:lang w:val="en-GB"/>
              </w:rPr>
              <w:t>280</w:t>
            </w:r>
          </w:p>
        </w:tc>
        <w:tc>
          <w:tcPr>
            <w:tcW w:w="1963" w:type="dxa"/>
            <w:noWrap/>
            <w:hideMark/>
          </w:tcPr>
          <w:p w14:paraId="01BA008F" w14:textId="1CB870B8" w:rsidR="00342A67" w:rsidRPr="00633FF0" w:rsidRDefault="00342A67" w:rsidP="000E3DCC">
            <w:pPr>
              <w:pStyle w:val="ExhibitText"/>
              <w:tabs>
                <w:tab w:val="decimal" w:pos="1018"/>
              </w:tabs>
              <w:jc w:val="right"/>
              <w:rPr>
                <w:lang w:val="en-GB"/>
              </w:rPr>
            </w:pPr>
            <w:r w:rsidRPr="00633FF0">
              <w:rPr>
                <w:lang w:val="en-GB"/>
              </w:rPr>
              <w:t>1</w:t>
            </w:r>
            <w:r w:rsidR="006E492E">
              <w:rPr>
                <w:lang w:val="en-GB"/>
              </w:rPr>
              <w:t>,</w:t>
            </w:r>
            <w:r w:rsidRPr="00633FF0">
              <w:rPr>
                <w:lang w:val="en-GB"/>
              </w:rPr>
              <w:t>556</w:t>
            </w:r>
            <w:r w:rsidR="005D18AE">
              <w:rPr>
                <w:lang w:val="en-GB"/>
              </w:rPr>
              <w:t>,</w:t>
            </w:r>
            <w:r w:rsidRPr="00633FF0">
              <w:rPr>
                <w:lang w:val="en-GB"/>
              </w:rPr>
              <w:t>056</w:t>
            </w:r>
          </w:p>
        </w:tc>
      </w:tr>
      <w:tr w:rsidR="00342A67" w:rsidRPr="00633FF0" w14:paraId="12012D2A" w14:textId="77777777" w:rsidTr="00BB0AC3">
        <w:trPr>
          <w:trHeight w:val="285"/>
          <w:jc w:val="center"/>
        </w:trPr>
        <w:tc>
          <w:tcPr>
            <w:tcW w:w="3055" w:type="dxa"/>
            <w:noWrap/>
            <w:hideMark/>
          </w:tcPr>
          <w:p w14:paraId="3392EE5C" w14:textId="2C5F53B8" w:rsidR="00342A67" w:rsidRPr="00633FF0" w:rsidRDefault="005B0AA2" w:rsidP="00BB0AC3">
            <w:pPr>
              <w:pStyle w:val="ExhibitText"/>
              <w:tabs>
                <w:tab w:val="left" w:pos="158"/>
              </w:tabs>
              <w:rPr>
                <w:lang w:val="en-GB"/>
              </w:rPr>
            </w:pPr>
            <w:r>
              <w:rPr>
                <w:lang w:val="en-GB"/>
              </w:rPr>
              <w:tab/>
            </w:r>
            <w:r w:rsidR="00342A67" w:rsidRPr="00633FF0">
              <w:rPr>
                <w:lang w:val="en-GB"/>
              </w:rPr>
              <w:t>Tangible fixed assets</w:t>
            </w:r>
          </w:p>
        </w:tc>
        <w:tc>
          <w:tcPr>
            <w:tcW w:w="1963" w:type="dxa"/>
            <w:hideMark/>
          </w:tcPr>
          <w:p w14:paraId="71D81335" w14:textId="11F6118D" w:rsidR="00342A67" w:rsidRPr="00633FF0" w:rsidRDefault="00342A67" w:rsidP="000E3DCC">
            <w:pPr>
              <w:pStyle w:val="ExhibitText"/>
              <w:tabs>
                <w:tab w:val="decimal" w:pos="882"/>
              </w:tabs>
              <w:jc w:val="right"/>
              <w:rPr>
                <w:lang w:val="en-GB"/>
              </w:rPr>
            </w:pPr>
            <w:r w:rsidRPr="00633FF0">
              <w:rPr>
                <w:lang w:val="en-GB"/>
              </w:rPr>
              <w:t>18</w:t>
            </w:r>
            <w:r w:rsidR="006E492E">
              <w:rPr>
                <w:lang w:val="en-GB"/>
              </w:rPr>
              <w:t>,</w:t>
            </w:r>
            <w:r w:rsidRPr="00633FF0">
              <w:rPr>
                <w:lang w:val="en-GB"/>
              </w:rPr>
              <w:t>870</w:t>
            </w:r>
            <w:r w:rsidR="005D18AE">
              <w:rPr>
                <w:lang w:val="en-GB"/>
              </w:rPr>
              <w:t>,</w:t>
            </w:r>
            <w:r w:rsidRPr="00633FF0">
              <w:rPr>
                <w:lang w:val="en-GB"/>
              </w:rPr>
              <w:t>898</w:t>
            </w:r>
          </w:p>
        </w:tc>
        <w:tc>
          <w:tcPr>
            <w:tcW w:w="1963" w:type="dxa"/>
            <w:hideMark/>
          </w:tcPr>
          <w:p w14:paraId="221CBE77" w14:textId="6B185BBC" w:rsidR="00342A67" w:rsidRPr="00633FF0" w:rsidRDefault="00342A67" w:rsidP="000E3DCC">
            <w:pPr>
              <w:pStyle w:val="ExhibitText"/>
              <w:tabs>
                <w:tab w:val="decimal" w:pos="836"/>
              </w:tabs>
              <w:jc w:val="right"/>
              <w:rPr>
                <w:lang w:val="en-GB"/>
              </w:rPr>
            </w:pPr>
            <w:r w:rsidRPr="00633FF0">
              <w:rPr>
                <w:lang w:val="en-GB"/>
              </w:rPr>
              <w:t>19</w:t>
            </w:r>
            <w:r w:rsidR="006E492E">
              <w:rPr>
                <w:lang w:val="en-GB"/>
              </w:rPr>
              <w:t>,</w:t>
            </w:r>
            <w:r w:rsidRPr="00633FF0">
              <w:rPr>
                <w:lang w:val="en-GB"/>
              </w:rPr>
              <w:t>092</w:t>
            </w:r>
            <w:r w:rsidR="005D18AE">
              <w:rPr>
                <w:lang w:val="en-GB"/>
              </w:rPr>
              <w:t>,</w:t>
            </w:r>
            <w:r w:rsidRPr="00633FF0">
              <w:rPr>
                <w:lang w:val="en-GB"/>
              </w:rPr>
              <w:t>841</w:t>
            </w:r>
          </w:p>
        </w:tc>
        <w:tc>
          <w:tcPr>
            <w:tcW w:w="1963" w:type="dxa"/>
            <w:noWrap/>
            <w:hideMark/>
          </w:tcPr>
          <w:p w14:paraId="41631A9F" w14:textId="3B145429" w:rsidR="00342A67" w:rsidRPr="00633FF0" w:rsidRDefault="00342A67" w:rsidP="000E3DCC">
            <w:pPr>
              <w:pStyle w:val="ExhibitText"/>
              <w:tabs>
                <w:tab w:val="decimal" w:pos="1018"/>
              </w:tabs>
              <w:jc w:val="right"/>
              <w:rPr>
                <w:lang w:val="en-GB"/>
              </w:rPr>
            </w:pPr>
            <w:r w:rsidRPr="00633FF0">
              <w:rPr>
                <w:lang w:val="en-GB"/>
              </w:rPr>
              <w:t>23</w:t>
            </w:r>
            <w:r w:rsidR="006E492E">
              <w:rPr>
                <w:lang w:val="en-GB"/>
              </w:rPr>
              <w:t>,</w:t>
            </w:r>
            <w:r w:rsidRPr="00633FF0">
              <w:rPr>
                <w:lang w:val="en-GB"/>
              </w:rPr>
              <w:t>287</w:t>
            </w:r>
            <w:r w:rsidR="005D18AE">
              <w:rPr>
                <w:lang w:val="en-GB"/>
              </w:rPr>
              <w:t>,</w:t>
            </w:r>
            <w:r w:rsidRPr="00633FF0">
              <w:rPr>
                <w:lang w:val="en-GB"/>
              </w:rPr>
              <w:t>294</w:t>
            </w:r>
          </w:p>
        </w:tc>
      </w:tr>
      <w:tr w:rsidR="00342A67" w:rsidRPr="00633FF0" w14:paraId="0FA20DB0" w14:textId="77777777" w:rsidTr="00BB0AC3">
        <w:trPr>
          <w:trHeight w:val="300"/>
          <w:jc w:val="center"/>
        </w:trPr>
        <w:tc>
          <w:tcPr>
            <w:tcW w:w="3055" w:type="dxa"/>
            <w:noWrap/>
            <w:hideMark/>
          </w:tcPr>
          <w:p w14:paraId="522E7135" w14:textId="601B8E70" w:rsidR="00342A67" w:rsidRPr="00633FF0" w:rsidRDefault="005B0AA2" w:rsidP="00BB0AC3">
            <w:pPr>
              <w:pStyle w:val="ExhibitText"/>
              <w:tabs>
                <w:tab w:val="left" w:pos="158"/>
              </w:tabs>
              <w:rPr>
                <w:lang w:val="en-GB"/>
              </w:rPr>
            </w:pPr>
            <w:r>
              <w:rPr>
                <w:lang w:val="en-GB"/>
              </w:rPr>
              <w:tab/>
            </w:r>
            <w:r w:rsidR="00342A67" w:rsidRPr="00633FF0">
              <w:rPr>
                <w:lang w:val="en-GB"/>
              </w:rPr>
              <w:t>Financial fixed assets</w:t>
            </w:r>
          </w:p>
        </w:tc>
        <w:tc>
          <w:tcPr>
            <w:tcW w:w="1963" w:type="dxa"/>
            <w:hideMark/>
          </w:tcPr>
          <w:p w14:paraId="29C5DE4F" w14:textId="70CC54A2" w:rsidR="00342A67" w:rsidRPr="00633FF0" w:rsidRDefault="00342A67" w:rsidP="000E3DCC">
            <w:pPr>
              <w:pStyle w:val="ExhibitText"/>
              <w:tabs>
                <w:tab w:val="decimal" w:pos="882"/>
              </w:tabs>
              <w:jc w:val="right"/>
              <w:rPr>
                <w:lang w:val="en-GB"/>
              </w:rPr>
            </w:pPr>
            <w:r w:rsidRPr="00633FF0">
              <w:rPr>
                <w:lang w:val="en-GB"/>
              </w:rPr>
              <w:t>1</w:t>
            </w:r>
            <w:r w:rsidR="006E492E">
              <w:rPr>
                <w:lang w:val="en-GB"/>
              </w:rPr>
              <w:t>,</w:t>
            </w:r>
            <w:r w:rsidRPr="00633FF0">
              <w:rPr>
                <w:lang w:val="en-GB"/>
              </w:rPr>
              <w:t>283</w:t>
            </w:r>
            <w:r w:rsidR="005D18AE">
              <w:rPr>
                <w:lang w:val="en-GB"/>
              </w:rPr>
              <w:t>,</w:t>
            </w:r>
            <w:r w:rsidRPr="00633FF0">
              <w:rPr>
                <w:lang w:val="en-GB"/>
              </w:rPr>
              <w:t>774</w:t>
            </w:r>
          </w:p>
        </w:tc>
        <w:tc>
          <w:tcPr>
            <w:tcW w:w="1963" w:type="dxa"/>
            <w:hideMark/>
          </w:tcPr>
          <w:p w14:paraId="20949CA5" w14:textId="776D363D" w:rsidR="00342A67" w:rsidRPr="00633FF0" w:rsidRDefault="00342A67" w:rsidP="000E3DCC">
            <w:pPr>
              <w:pStyle w:val="ExhibitText"/>
              <w:tabs>
                <w:tab w:val="decimal" w:pos="836"/>
              </w:tabs>
              <w:jc w:val="right"/>
              <w:rPr>
                <w:lang w:val="en-GB"/>
              </w:rPr>
            </w:pPr>
            <w:r w:rsidRPr="00633FF0">
              <w:rPr>
                <w:lang w:val="en-GB"/>
              </w:rPr>
              <w:t>1</w:t>
            </w:r>
            <w:r w:rsidR="006E492E">
              <w:rPr>
                <w:lang w:val="en-GB"/>
              </w:rPr>
              <w:t>,</w:t>
            </w:r>
            <w:r w:rsidRPr="00633FF0">
              <w:rPr>
                <w:lang w:val="en-GB"/>
              </w:rPr>
              <w:t>071</w:t>
            </w:r>
            <w:r w:rsidR="005D18AE">
              <w:rPr>
                <w:lang w:val="en-GB"/>
              </w:rPr>
              <w:t>,</w:t>
            </w:r>
            <w:r w:rsidRPr="00633FF0">
              <w:rPr>
                <w:lang w:val="en-GB"/>
              </w:rPr>
              <w:t>011</w:t>
            </w:r>
          </w:p>
        </w:tc>
        <w:tc>
          <w:tcPr>
            <w:tcW w:w="1963" w:type="dxa"/>
            <w:noWrap/>
            <w:hideMark/>
          </w:tcPr>
          <w:p w14:paraId="35DD8E1F" w14:textId="515BD363" w:rsidR="00342A67" w:rsidRPr="00633FF0" w:rsidRDefault="00342A67" w:rsidP="000E3DCC">
            <w:pPr>
              <w:pStyle w:val="ExhibitText"/>
              <w:tabs>
                <w:tab w:val="decimal" w:pos="1018"/>
              </w:tabs>
              <w:jc w:val="right"/>
              <w:rPr>
                <w:lang w:val="en-GB"/>
              </w:rPr>
            </w:pPr>
            <w:r w:rsidRPr="00633FF0">
              <w:rPr>
                <w:lang w:val="en-GB"/>
              </w:rPr>
              <w:t>1</w:t>
            </w:r>
            <w:r w:rsidR="006E492E">
              <w:rPr>
                <w:lang w:val="en-GB"/>
              </w:rPr>
              <w:t>,</w:t>
            </w:r>
            <w:r w:rsidRPr="00633FF0">
              <w:rPr>
                <w:lang w:val="en-GB"/>
              </w:rPr>
              <w:t>633</w:t>
            </w:r>
            <w:r w:rsidR="005D18AE">
              <w:rPr>
                <w:lang w:val="en-GB"/>
              </w:rPr>
              <w:t>,</w:t>
            </w:r>
            <w:r w:rsidRPr="00633FF0">
              <w:rPr>
                <w:lang w:val="en-GB"/>
              </w:rPr>
              <w:t>464</w:t>
            </w:r>
          </w:p>
        </w:tc>
      </w:tr>
      <w:tr w:rsidR="00342A67" w:rsidRPr="00633FF0" w14:paraId="60A6CD06" w14:textId="77777777" w:rsidTr="00BB0AC3">
        <w:trPr>
          <w:trHeight w:val="300"/>
          <w:jc w:val="center"/>
        </w:trPr>
        <w:tc>
          <w:tcPr>
            <w:tcW w:w="3055" w:type="dxa"/>
            <w:noWrap/>
            <w:hideMark/>
          </w:tcPr>
          <w:p w14:paraId="56F3D34E" w14:textId="77777777" w:rsidR="00342A67" w:rsidRPr="00633FF0" w:rsidRDefault="00342A67" w:rsidP="00404CD4">
            <w:pPr>
              <w:pStyle w:val="ExhibitText"/>
              <w:rPr>
                <w:i/>
                <w:iCs/>
                <w:lang w:val="en-GB"/>
              </w:rPr>
            </w:pPr>
            <w:r w:rsidRPr="00633FF0">
              <w:rPr>
                <w:i/>
                <w:iCs/>
                <w:lang w:val="en-GB"/>
              </w:rPr>
              <w:t>Total fixed assets</w:t>
            </w:r>
          </w:p>
        </w:tc>
        <w:tc>
          <w:tcPr>
            <w:tcW w:w="1963" w:type="dxa"/>
            <w:hideMark/>
          </w:tcPr>
          <w:p w14:paraId="4F8E5C0A" w14:textId="1761C0BA" w:rsidR="00342A67" w:rsidRPr="00633FF0" w:rsidRDefault="00342A67" w:rsidP="000E3DCC">
            <w:pPr>
              <w:pStyle w:val="ExhibitText"/>
              <w:tabs>
                <w:tab w:val="decimal" w:pos="882"/>
              </w:tabs>
              <w:jc w:val="right"/>
              <w:rPr>
                <w:bCs/>
                <w:lang w:val="en-GB"/>
              </w:rPr>
            </w:pPr>
            <w:r w:rsidRPr="00633FF0">
              <w:rPr>
                <w:bCs/>
                <w:lang w:val="en-GB"/>
              </w:rPr>
              <w:t>21</w:t>
            </w:r>
            <w:r w:rsidR="006E492E">
              <w:rPr>
                <w:bCs/>
                <w:lang w:val="en-GB"/>
              </w:rPr>
              <w:t>,</w:t>
            </w:r>
            <w:r w:rsidRPr="00633FF0">
              <w:rPr>
                <w:bCs/>
                <w:lang w:val="en-GB"/>
              </w:rPr>
              <w:t>499</w:t>
            </w:r>
            <w:r w:rsidR="005D18AE">
              <w:rPr>
                <w:bCs/>
                <w:lang w:val="en-GB"/>
              </w:rPr>
              <w:t>,</w:t>
            </w:r>
            <w:r w:rsidRPr="00633FF0">
              <w:rPr>
                <w:bCs/>
                <w:lang w:val="en-GB"/>
              </w:rPr>
              <w:t>053</w:t>
            </w:r>
          </w:p>
        </w:tc>
        <w:tc>
          <w:tcPr>
            <w:tcW w:w="1963" w:type="dxa"/>
            <w:hideMark/>
          </w:tcPr>
          <w:p w14:paraId="48AA3D2F" w14:textId="0EB9CE8F" w:rsidR="00342A67" w:rsidRPr="00633FF0" w:rsidRDefault="00342A67" w:rsidP="000E3DCC">
            <w:pPr>
              <w:pStyle w:val="ExhibitText"/>
              <w:tabs>
                <w:tab w:val="decimal" w:pos="836"/>
              </w:tabs>
              <w:jc w:val="right"/>
              <w:rPr>
                <w:bCs/>
                <w:lang w:val="en-GB"/>
              </w:rPr>
            </w:pPr>
            <w:r w:rsidRPr="00633FF0">
              <w:rPr>
                <w:bCs/>
                <w:lang w:val="en-GB"/>
              </w:rPr>
              <w:t>21</w:t>
            </w:r>
            <w:r w:rsidR="006E492E">
              <w:rPr>
                <w:bCs/>
                <w:lang w:val="en-GB"/>
              </w:rPr>
              <w:t>,</w:t>
            </w:r>
            <w:r w:rsidRPr="00633FF0">
              <w:rPr>
                <w:bCs/>
                <w:lang w:val="en-GB"/>
              </w:rPr>
              <w:t>695</w:t>
            </w:r>
            <w:r w:rsidR="005D18AE">
              <w:rPr>
                <w:bCs/>
                <w:lang w:val="en-GB"/>
              </w:rPr>
              <w:t>,</w:t>
            </w:r>
            <w:r w:rsidRPr="00633FF0">
              <w:rPr>
                <w:bCs/>
                <w:lang w:val="en-GB"/>
              </w:rPr>
              <w:t>132</w:t>
            </w:r>
          </w:p>
        </w:tc>
        <w:tc>
          <w:tcPr>
            <w:tcW w:w="1963" w:type="dxa"/>
            <w:noWrap/>
            <w:hideMark/>
          </w:tcPr>
          <w:p w14:paraId="263F2CCF" w14:textId="27B53E4A" w:rsidR="00342A67" w:rsidRPr="00633FF0" w:rsidRDefault="00342A67" w:rsidP="000E3DCC">
            <w:pPr>
              <w:pStyle w:val="ExhibitText"/>
              <w:tabs>
                <w:tab w:val="decimal" w:pos="1018"/>
              </w:tabs>
              <w:jc w:val="right"/>
              <w:rPr>
                <w:bCs/>
                <w:lang w:val="en-GB"/>
              </w:rPr>
            </w:pPr>
            <w:r w:rsidRPr="00633FF0">
              <w:rPr>
                <w:bCs/>
                <w:lang w:val="en-GB"/>
              </w:rPr>
              <w:t>26</w:t>
            </w:r>
            <w:r w:rsidR="006E492E">
              <w:rPr>
                <w:bCs/>
                <w:lang w:val="en-GB"/>
              </w:rPr>
              <w:t>,</w:t>
            </w:r>
            <w:r w:rsidRPr="00633FF0">
              <w:rPr>
                <w:bCs/>
                <w:lang w:val="en-GB"/>
              </w:rPr>
              <w:t>476</w:t>
            </w:r>
            <w:r w:rsidR="005D18AE">
              <w:rPr>
                <w:bCs/>
                <w:lang w:val="en-GB"/>
              </w:rPr>
              <w:t>,</w:t>
            </w:r>
            <w:r w:rsidRPr="00633FF0">
              <w:rPr>
                <w:bCs/>
                <w:lang w:val="en-GB"/>
              </w:rPr>
              <w:t>813</w:t>
            </w:r>
          </w:p>
        </w:tc>
      </w:tr>
      <w:tr w:rsidR="00342A67" w:rsidRPr="00633FF0" w14:paraId="27D676B4" w14:textId="77777777" w:rsidTr="00BB0AC3">
        <w:trPr>
          <w:trHeight w:val="300"/>
          <w:jc w:val="center"/>
        </w:trPr>
        <w:tc>
          <w:tcPr>
            <w:tcW w:w="3055" w:type="dxa"/>
            <w:noWrap/>
            <w:hideMark/>
          </w:tcPr>
          <w:p w14:paraId="7A14587C" w14:textId="77777777" w:rsidR="00342A67" w:rsidRPr="00633FF0" w:rsidRDefault="00342A67" w:rsidP="00404CD4">
            <w:pPr>
              <w:pStyle w:val="ExhibitText"/>
              <w:rPr>
                <w:lang w:val="en-GB"/>
              </w:rPr>
            </w:pPr>
            <w:r w:rsidRPr="00633FF0">
              <w:rPr>
                <w:bCs/>
                <w:lang w:val="en-GB"/>
              </w:rPr>
              <w:t>Current assets</w:t>
            </w:r>
          </w:p>
        </w:tc>
        <w:tc>
          <w:tcPr>
            <w:tcW w:w="1963" w:type="dxa"/>
            <w:noWrap/>
            <w:hideMark/>
          </w:tcPr>
          <w:p w14:paraId="2D0EBD08" w14:textId="77777777" w:rsidR="00342A67" w:rsidRPr="00633FF0" w:rsidRDefault="00342A67" w:rsidP="000E3DCC">
            <w:pPr>
              <w:pStyle w:val="ExhibitText"/>
              <w:tabs>
                <w:tab w:val="decimal" w:pos="882"/>
              </w:tabs>
              <w:jc w:val="right"/>
              <w:rPr>
                <w:lang w:val="en-GB"/>
              </w:rPr>
            </w:pPr>
            <w:r w:rsidRPr="00633FF0">
              <w:rPr>
                <w:lang w:val="en-GB"/>
              </w:rPr>
              <w:t> </w:t>
            </w:r>
          </w:p>
        </w:tc>
        <w:tc>
          <w:tcPr>
            <w:tcW w:w="1963" w:type="dxa"/>
            <w:noWrap/>
            <w:hideMark/>
          </w:tcPr>
          <w:p w14:paraId="4558E969" w14:textId="77777777" w:rsidR="00342A67" w:rsidRPr="00633FF0" w:rsidRDefault="00342A67" w:rsidP="000E3DCC">
            <w:pPr>
              <w:pStyle w:val="ExhibitText"/>
              <w:tabs>
                <w:tab w:val="decimal" w:pos="836"/>
              </w:tabs>
              <w:jc w:val="right"/>
              <w:rPr>
                <w:lang w:val="en-GB"/>
              </w:rPr>
            </w:pPr>
            <w:r w:rsidRPr="00633FF0">
              <w:rPr>
                <w:lang w:val="en-GB"/>
              </w:rPr>
              <w:t> </w:t>
            </w:r>
          </w:p>
        </w:tc>
        <w:tc>
          <w:tcPr>
            <w:tcW w:w="1963" w:type="dxa"/>
            <w:noWrap/>
            <w:hideMark/>
          </w:tcPr>
          <w:p w14:paraId="2052E98D" w14:textId="77777777" w:rsidR="00342A67" w:rsidRPr="00633FF0" w:rsidRDefault="00342A67" w:rsidP="000E3DCC">
            <w:pPr>
              <w:pStyle w:val="ExhibitText"/>
              <w:tabs>
                <w:tab w:val="decimal" w:pos="1018"/>
              </w:tabs>
              <w:jc w:val="right"/>
              <w:rPr>
                <w:bCs/>
                <w:lang w:val="en-GB"/>
              </w:rPr>
            </w:pPr>
            <w:r w:rsidRPr="00633FF0">
              <w:rPr>
                <w:bCs/>
                <w:lang w:val="en-GB"/>
              </w:rPr>
              <w:t> </w:t>
            </w:r>
          </w:p>
        </w:tc>
      </w:tr>
      <w:tr w:rsidR="00342A67" w:rsidRPr="00633FF0" w14:paraId="20536E16" w14:textId="77777777" w:rsidTr="00BB0AC3">
        <w:trPr>
          <w:trHeight w:val="300"/>
          <w:jc w:val="center"/>
        </w:trPr>
        <w:tc>
          <w:tcPr>
            <w:tcW w:w="3055" w:type="dxa"/>
            <w:noWrap/>
            <w:hideMark/>
          </w:tcPr>
          <w:p w14:paraId="69949EDF" w14:textId="1C343B4D" w:rsidR="00342A67" w:rsidRPr="00633FF0" w:rsidRDefault="005B0AA2" w:rsidP="00BB0AC3">
            <w:pPr>
              <w:pStyle w:val="ExhibitText"/>
              <w:tabs>
                <w:tab w:val="left" w:pos="158"/>
                <w:tab w:val="left" w:pos="248"/>
              </w:tabs>
              <w:rPr>
                <w:lang w:val="en-GB"/>
              </w:rPr>
            </w:pPr>
            <w:r>
              <w:rPr>
                <w:lang w:val="en-GB"/>
              </w:rPr>
              <w:tab/>
            </w:r>
            <w:r w:rsidR="00342A67" w:rsidRPr="00633FF0">
              <w:rPr>
                <w:lang w:val="en-GB"/>
              </w:rPr>
              <w:t>Stock</w:t>
            </w:r>
          </w:p>
        </w:tc>
        <w:tc>
          <w:tcPr>
            <w:tcW w:w="1963" w:type="dxa"/>
            <w:hideMark/>
          </w:tcPr>
          <w:p w14:paraId="5B0DEBFC" w14:textId="77777777" w:rsidR="00342A67" w:rsidRPr="00633FF0" w:rsidRDefault="00342A67" w:rsidP="000E3DCC">
            <w:pPr>
              <w:pStyle w:val="ExhibitText"/>
              <w:tabs>
                <w:tab w:val="decimal" w:pos="882"/>
              </w:tabs>
              <w:jc w:val="right"/>
              <w:rPr>
                <w:bCs/>
                <w:lang w:val="en-GB"/>
              </w:rPr>
            </w:pPr>
            <w:r w:rsidRPr="00633FF0">
              <w:rPr>
                <w:bCs/>
                <w:lang w:val="en-GB"/>
              </w:rPr>
              <w:t> </w:t>
            </w:r>
          </w:p>
        </w:tc>
        <w:tc>
          <w:tcPr>
            <w:tcW w:w="1963" w:type="dxa"/>
            <w:hideMark/>
          </w:tcPr>
          <w:p w14:paraId="1AF99F77" w14:textId="77777777" w:rsidR="00342A67" w:rsidRPr="00633FF0" w:rsidRDefault="00342A67" w:rsidP="000E3DCC">
            <w:pPr>
              <w:pStyle w:val="ExhibitText"/>
              <w:tabs>
                <w:tab w:val="decimal" w:pos="836"/>
              </w:tabs>
              <w:jc w:val="right"/>
              <w:rPr>
                <w:lang w:val="en-GB"/>
              </w:rPr>
            </w:pPr>
            <w:r w:rsidRPr="00633FF0">
              <w:rPr>
                <w:lang w:val="en-GB"/>
              </w:rPr>
              <w:t> </w:t>
            </w:r>
          </w:p>
        </w:tc>
        <w:tc>
          <w:tcPr>
            <w:tcW w:w="1963" w:type="dxa"/>
            <w:noWrap/>
            <w:hideMark/>
          </w:tcPr>
          <w:p w14:paraId="1823612B" w14:textId="3958A4E3" w:rsidR="00342A67" w:rsidRPr="00633FF0" w:rsidRDefault="00342A67" w:rsidP="000E3DCC">
            <w:pPr>
              <w:pStyle w:val="ExhibitText"/>
              <w:tabs>
                <w:tab w:val="decimal" w:pos="1018"/>
              </w:tabs>
              <w:jc w:val="right"/>
              <w:rPr>
                <w:lang w:val="en-GB"/>
              </w:rPr>
            </w:pPr>
            <w:r w:rsidRPr="00633FF0">
              <w:rPr>
                <w:lang w:val="en-GB"/>
              </w:rPr>
              <w:t>19</w:t>
            </w:r>
            <w:r w:rsidR="006E492E">
              <w:rPr>
                <w:lang w:val="en-GB"/>
              </w:rPr>
              <w:t>,</w:t>
            </w:r>
            <w:r w:rsidRPr="00633FF0">
              <w:rPr>
                <w:lang w:val="en-GB"/>
              </w:rPr>
              <w:t>885</w:t>
            </w:r>
            <w:r w:rsidR="005D18AE">
              <w:rPr>
                <w:lang w:val="en-GB"/>
              </w:rPr>
              <w:t>,</w:t>
            </w:r>
            <w:r w:rsidRPr="00633FF0">
              <w:rPr>
                <w:lang w:val="en-GB"/>
              </w:rPr>
              <w:t>117</w:t>
            </w:r>
          </w:p>
        </w:tc>
      </w:tr>
      <w:tr w:rsidR="00342A67" w:rsidRPr="00633FF0" w14:paraId="79012DCC" w14:textId="77777777" w:rsidTr="00BB0AC3">
        <w:trPr>
          <w:trHeight w:val="285"/>
          <w:jc w:val="center"/>
        </w:trPr>
        <w:tc>
          <w:tcPr>
            <w:tcW w:w="3055" w:type="dxa"/>
            <w:noWrap/>
            <w:hideMark/>
          </w:tcPr>
          <w:p w14:paraId="3BB31610" w14:textId="1AD3BFEF" w:rsidR="00342A67" w:rsidRPr="00633FF0" w:rsidRDefault="005B0AA2" w:rsidP="00BB0AC3">
            <w:pPr>
              <w:pStyle w:val="ExhibitText"/>
              <w:tabs>
                <w:tab w:val="left" w:pos="158"/>
                <w:tab w:val="left" w:pos="248"/>
              </w:tabs>
              <w:rPr>
                <w:lang w:val="en-GB"/>
              </w:rPr>
            </w:pPr>
            <w:r>
              <w:rPr>
                <w:lang w:val="en-GB"/>
              </w:rPr>
              <w:tab/>
            </w:r>
            <w:r w:rsidR="00342A67" w:rsidRPr="00633FF0">
              <w:rPr>
                <w:lang w:val="en-GB"/>
              </w:rPr>
              <w:t>Trade debtors</w:t>
            </w:r>
          </w:p>
        </w:tc>
        <w:tc>
          <w:tcPr>
            <w:tcW w:w="1963" w:type="dxa"/>
            <w:noWrap/>
            <w:hideMark/>
          </w:tcPr>
          <w:p w14:paraId="32BECE88" w14:textId="77777777" w:rsidR="00342A67" w:rsidRPr="00633FF0" w:rsidRDefault="00342A67" w:rsidP="000E3DCC">
            <w:pPr>
              <w:pStyle w:val="ExhibitText"/>
              <w:tabs>
                <w:tab w:val="decimal" w:pos="882"/>
              </w:tabs>
              <w:jc w:val="right"/>
              <w:rPr>
                <w:lang w:val="en-GB"/>
              </w:rPr>
            </w:pPr>
            <w:r w:rsidRPr="00633FF0">
              <w:rPr>
                <w:lang w:val="en-GB"/>
              </w:rPr>
              <w:t> </w:t>
            </w:r>
          </w:p>
        </w:tc>
        <w:tc>
          <w:tcPr>
            <w:tcW w:w="1963" w:type="dxa"/>
            <w:noWrap/>
            <w:hideMark/>
          </w:tcPr>
          <w:p w14:paraId="4C7FF32E" w14:textId="77777777" w:rsidR="00342A67" w:rsidRPr="00633FF0" w:rsidRDefault="00342A67" w:rsidP="000E3DCC">
            <w:pPr>
              <w:pStyle w:val="ExhibitText"/>
              <w:tabs>
                <w:tab w:val="decimal" w:pos="836"/>
              </w:tabs>
              <w:jc w:val="right"/>
              <w:rPr>
                <w:lang w:val="en-GB"/>
              </w:rPr>
            </w:pPr>
            <w:r w:rsidRPr="00633FF0">
              <w:rPr>
                <w:lang w:val="en-GB"/>
              </w:rPr>
              <w:t> </w:t>
            </w:r>
          </w:p>
        </w:tc>
        <w:tc>
          <w:tcPr>
            <w:tcW w:w="1963" w:type="dxa"/>
            <w:noWrap/>
            <w:hideMark/>
          </w:tcPr>
          <w:p w14:paraId="33590427" w14:textId="42CE76DF" w:rsidR="00342A67" w:rsidRPr="00633FF0" w:rsidRDefault="00342A67" w:rsidP="000E3DCC">
            <w:pPr>
              <w:pStyle w:val="ExhibitText"/>
              <w:tabs>
                <w:tab w:val="decimal" w:pos="1018"/>
              </w:tabs>
              <w:jc w:val="right"/>
              <w:rPr>
                <w:lang w:val="en-GB"/>
              </w:rPr>
            </w:pPr>
            <w:r w:rsidRPr="00633FF0">
              <w:rPr>
                <w:lang w:val="en-GB"/>
              </w:rPr>
              <w:t>11</w:t>
            </w:r>
            <w:r w:rsidR="006E492E">
              <w:rPr>
                <w:lang w:val="en-GB"/>
              </w:rPr>
              <w:t>,</w:t>
            </w:r>
            <w:r w:rsidRPr="00633FF0">
              <w:rPr>
                <w:lang w:val="en-GB"/>
              </w:rPr>
              <w:t>385</w:t>
            </w:r>
            <w:r w:rsidR="005D18AE">
              <w:rPr>
                <w:lang w:val="en-GB"/>
              </w:rPr>
              <w:t>,</w:t>
            </w:r>
            <w:r w:rsidRPr="00633FF0">
              <w:rPr>
                <w:lang w:val="en-GB"/>
              </w:rPr>
              <w:t>267</w:t>
            </w:r>
          </w:p>
        </w:tc>
      </w:tr>
      <w:tr w:rsidR="00342A67" w:rsidRPr="00633FF0" w14:paraId="506E4DF8" w14:textId="77777777" w:rsidTr="00BB0AC3">
        <w:trPr>
          <w:trHeight w:val="285"/>
          <w:jc w:val="center"/>
        </w:trPr>
        <w:tc>
          <w:tcPr>
            <w:tcW w:w="3055" w:type="dxa"/>
            <w:noWrap/>
            <w:hideMark/>
          </w:tcPr>
          <w:p w14:paraId="3D46DEF3" w14:textId="4876E7D3" w:rsidR="00342A67" w:rsidRPr="00633FF0" w:rsidRDefault="005B0AA2" w:rsidP="00BB0AC3">
            <w:pPr>
              <w:pStyle w:val="ExhibitText"/>
              <w:tabs>
                <w:tab w:val="left" w:pos="158"/>
                <w:tab w:val="left" w:pos="248"/>
              </w:tabs>
              <w:rPr>
                <w:lang w:val="en-GB"/>
              </w:rPr>
            </w:pPr>
            <w:r>
              <w:rPr>
                <w:lang w:val="en-GB"/>
              </w:rPr>
              <w:tab/>
            </w:r>
            <w:r w:rsidR="00342A67" w:rsidRPr="00633FF0">
              <w:rPr>
                <w:lang w:val="en-GB"/>
              </w:rPr>
              <w:t>Loans to affiliated companies</w:t>
            </w:r>
          </w:p>
        </w:tc>
        <w:tc>
          <w:tcPr>
            <w:tcW w:w="1963" w:type="dxa"/>
            <w:noWrap/>
            <w:hideMark/>
          </w:tcPr>
          <w:p w14:paraId="5B90DE78" w14:textId="77777777" w:rsidR="00342A67" w:rsidRPr="00633FF0" w:rsidRDefault="00342A67" w:rsidP="000E3DCC">
            <w:pPr>
              <w:pStyle w:val="ExhibitText"/>
              <w:tabs>
                <w:tab w:val="decimal" w:pos="882"/>
              </w:tabs>
              <w:jc w:val="right"/>
              <w:rPr>
                <w:lang w:val="en-GB"/>
              </w:rPr>
            </w:pPr>
            <w:r w:rsidRPr="00633FF0">
              <w:rPr>
                <w:lang w:val="en-GB"/>
              </w:rPr>
              <w:t> </w:t>
            </w:r>
          </w:p>
        </w:tc>
        <w:tc>
          <w:tcPr>
            <w:tcW w:w="1963" w:type="dxa"/>
            <w:noWrap/>
            <w:hideMark/>
          </w:tcPr>
          <w:p w14:paraId="02D56B89" w14:textId="77777777" w:rsidR="00342A67" w:rsidRPr="00633FF0" w:rsidRDefault="00342A67" w:rsidP="000E3DCC">
            <w:pPr>
              <w:pStyle w:val="ExhibitText"/>
              <w:tabs>
                <w:tab w:val="decimal" w:pos="836"/>
              </w:tabs>
              <w:jc w:val="right"/>
              <w:rPr>
                <w:lang w:val="en-GB"/>
              </w:rPr>
            </w:pPr>
            <w:r w:rsidRPr="00633FF0">
              <w:rPr>
                <w:lang w:val="en-GB"/>
              </w:rPr>
              <w:t> </w:t>
            </w:r>
          </w:p>
        </w:tc>
        <w:tc>
          <w:tcPr>
            <w:tcW w:w="1963" w:type="dxa"/>
            <w:noWrap/>
            <w:hideMark/>
          </w:tcPr>
          <w:p w14:paraId="03EDAF64" w14:textId="03FDAF9C" w:rsidR="00342A67" w:rsidRPr="00633FF0" w:rsidRDefault="00342A67" w:rsidP="000E3DCC">
            <w:pPr>
              <w:pStyle w:val="ExhibitText"/>
              <w:tabs>
                <w:tab w:val="decimal" w:pos="1018"/>
              </w:tabs>
              <w:jc w:val="right"/>
              <w:rPr>
                <w:lang w:val="en-GB"/>
              </w:rPr>
            </w:pPr>
            <w:r w:rsidRPr="00633FF0">
              <w:rPr>
                <w:lang w:val="en-GB"/>
              </w:rPr>
              <w:t>7</w:t>
            </w:r>
            <w:r w:rsidR="006E492E">
              <w:rPr>
                <w:lang w:val="en-GB"/>
              </w:rPr>
              <w:t>,</w:t>
            </w:r>
            <w:r w:rsidRPr="00633FF0">
              <w:rPr>
                <w:lang w:val="en-GB"/>
              </w:rPr>
              <w:t>732</w:t>
            </w:r>
          </w:p>
        </w:tc>
      </w:tr>
      <w:tr w:rsidR="00342A67" w:rsidRPr="00633FF0" w14:paraId="6C112F39" w14:textId="77777777" w:rsidTr="00BB0AC3">
        <w:trPr>
          <w:trHeight w:val="285"/>
          <w:jc w:val="center"/>
        </w:trPr>
        <w:tc>
          <w:tcPr>
            <w:tcW w:w="3055" w:type="dxa"/>
            <w:noWrap/>
            <w:hideMark/>
          </w:tcPr>
          <w:p w14:paraId="32B1F73D" w14:textId="5B59382B" w:rsidR="00342A67" w:rsidRPr="00633FF0" w:rsidRDefault="00342A67" w:rsidP="00BB0AC3">
            <w:pPr>
              <w:pStyle w:val="ExhibitText"/>
              <w:tabs>
                <w:tab w:val="left" w:pos="158"/>
              </w:tabs>
              <w:ind w:left="158"/>
              <w:rPr>
                <w:lang w:val="en-GB"/>
              </w:rPr>
            </w:pPr>
            <w:r w:rsidRPr="00633FF0">
              <w:rPr>
                <w:lang w:val="en-GB"/>
              </w:rPr>
              <w:t>Other debtors, prepayments</w:t>
            </w:r>
            <w:r w:rsidR="00D67587">
              <w:rPr>
                <w:lang w:val="en-GB"/>
              </w:rPr>
              <w:t>,</w:t>
            </w:r>
            <w:r w:rsidR="009D112D">
              <w:rPr>
                <w:lang w:val="en-GB"/>
              </w:rPr>
              <w:t xml:space="preserve"> </w:t>
            </w:r>
            <w:r w:rsidR="009D112D" w:rsidRPr="00633FF0">
              <w:rPr>
                <w:lang w:val="en-GB"/>
              </w:rPr>
              <w:t>and accrued income</w:t>
            </w:r>
          </w:p>
        </w:tc>
        <w:tc>
          <w:tcPr>
            <w:tcW w:w="1963" w:type="dxa"/>
            <w:noWrap/>
            <w:hideMark/>
          </w:tcPr>
          <w:p w14:paraId="2FBA27D6" w14:textId="77777777" w:rsidR="00342A67" w:rsidRPr="00633FF0" w:rsidRDefault="00342A67" w:rsidP="000E3DCC">
            <w:pPr>
              <w:pStyle w:val="ExhibitText"/>
              <w:tabs>
                <w:tab w:val="decimal" w:pos="882"/>
              </w:tabs>
              <w:jc w:val="right"/>
              <w:rPr>
                <w:lang w:val="en-GB"/>
              </w:rPr>
            </w:pPr>
            <w:r w:rsidRPr="00633FF0">
              <w:rPr>
                <w:lang w:val="en-GB"/>
              </w:rPr>
              <w:t> </w:t>
            </w:r>
          </w:p>
        </w:tc>
        <w:tc>
          <w:tcPr>
            <w:tcW w:w="1963" w:type="dxa"/>
            <w:noWrap/>
            <w:hideMark/>
          </w:tcPr>
          <w:p w14:paraId="260AE6A6" w14:textId="77777777" w:rsidR="00342A67" w:rsidRPr="00633FF0" w:rsidRDefault="00342A67" w:rsidP="000E3DCC">
            <w:pPr>
              <w:pStyle w:val="ExhibitText"/>
              <w:tabs>
                <w:tab w:val="decimal" w:pos="836"/>
              </w:tabs>
              <w:jc w:val="right"/>
              <w:rPr>
                <w:lang w:val="en-GB"/>
              </w:rPr>
            </w:pPr>
            <w:r w:rsidRPr="00633FF0">
              <w:rPr>
                <w:lang w:val="en-GB"/>
              </w:rPr>
              <w:t> </w:t>
            </w:r>
          </w:p>
        </w:tc>
        <w:tc>
          <w:tcPr>
            <w:tcW w:w="1963" w:type="dxa"/>
            <w:noWrap/>
            <w:hideMark/>
          </w:tcPr>
          <w:p w14:paraId="1205300D" w14:textId="445E1617" w:rsidR="00342A67" w:rsidRPr="00633FF0" w:rsidRDefault="009D112D" w:rsidP="000E3DCC">
            <w:pPr>
              <w:pStyle w:val="ExhibitText"/>
              <w:tabs>
                <w:tab w:val="decimal" w:pos="1018"/>
              </w:tabs>
              <w:jc w:val="right"/>
              <w:rPr>
                <w:lang w:val="en-GB"/>
              </w:rPr>
            </w:pPr>
            <w:r w:rsidRPr="00633FF0">
              <w:rPr>
                <w:lang w:val="en-GB"/>
              </w:rPr>
              <w:t>2</w:t>
            </w:r>
            <w:r>
              <w:rPr>
                <w:lang w:val="en-GB"/>
              </w:rPr>
              <w:t>,</w:t>
            </w:r>
            <w:r w:rsidRPr="00633FF0">
              <w:rPr>
                <w:lang w:val="en-GB"/>
              </w:rPr>
              <w:t>551</w:t>
            </w:r>
            <w:r w:rsidR="005D18AE">
              <w:rPr>
                <w:lang w:val="en-GB"/>
              </w:rPr>
              <w:t>,</w:t>
            </w:r>
            <w:r w:rsidRPr="00633FF0">
              <w:rPr>
                <w:lang w:val="en-GB"/>
              </w:rPr>
              <w:t>805</w:t>
            </w:r>
            <w:r w:rsidR="00342A67" w:rsidRPr="00633FF0">
              <w:rPr>
                <w:lang w:val="en-GB"/>
              </w:rPr>
              <w:t> </w:t>
            </w:r>
          </w:p>
        </w:tc>
      </w:tr>
      <w:tr w:rsidR="00342A67" w:rsidRPr="00633FF0" w14:paraId="6BE02F0A" w14:textId="77777777" w:rsidTr="00BB0AC3">
        <w:trPr>
          <w:trHeight w:val="300"/>
          <w:jc w:val="center"/>
        </w:trPr>
        <w:tc>
          <w:tcPr>
            <w:tcW w:w="3055" w:type="dxa"/>
            <w:noWrap/>
            <w:hideMark/>
          </w:tcPr>
          <w:p w14:paraId="4420A442" w14:textId="77777777" w:rsidR="00342A67" w:rsidRPr="00633FF0" w:rsidRDefault="00342A67" w:rsidP="00404CD4">
            <w:pPr>
              <w:pStyle w:val="ExhibitText"/>
              <w:rPr>
                <w:i/>
                <w:iCs/>
                <w:lang w:val="en-GB"/>
              </w:rPr>
            </w:pPr>
            <w:r w:rsidRPr="00633FF0">
              <w:rPr>
                <w:i/>
                <w:iCs/>
                <w:lang w:val="en-GB"/>
              </w:rPr>
              <w:t>Total current assets</w:t>
            </w:r>
          </w:p>
        </w:tc>
        <w:tc>
          <w:tcPr>
            <w:tcW w:w="1963" w:type="dxa"/>
            <w:hideMark/>
          </w:tcPr>
          <w:p w14:paraId="4262F0EE" w14:textId="4948350D" w:rsidR="00342A67" w:rsidRPr="00633FF0" w:rsidRDefault="00342A67" w:rsidP="000E3DCC">
            <w:pPr>
              <w:pStyle w:val="ExhibitText"/>
              <w:tabs>
                <w:tab w:val="decimal" w:pos="882"/>
              </w:tabs>
              <w:jc w:val="right"/>
              <w:rPr>
                <w:bCs/>
                <w:lang w:val="en-GB"/>
              </w:rPr>
            </w:pPr>
            <w:r w:rsidRPr="00633FF0">
              <w:rPr>
                <w:bCs/>
                <w:lang w:val="en-GB"/>
              </w:rPr>
              <w:t>37</w:t>
            </w:r>
            <w:r w:rsidR="006E492E">
              <w:rPr>
                <w:bCs/>
                <w:lang w:val="en-GB"/>
              </w:rPr>
              <w:t>,</w:t>
            </w:r>
            <w:r w:rsidRPr="00633FF0">
              <w:rPr>
                <w:bCs/>
                <w:lang w:val="en-GB"/>
              </w:rPr>
              <w:t>774</w:t>
            </w:r>
            <w:r w:rsidR="005D18AE">
              <w:rPr>
                <w:bCs/>
                <w:lang w:val="en-GB"/>
              </w:rPr>
              <w:t>,</w:t>
            </w:r>
            <w:r w:rsidRPr="00633FF0">
              <w:rPr>
                <w:bCs/>
                <w:lang w:val="en-GB"/>
              </w:rPr>
              <w:t>751</w:t>
            </w:r>
          </w:p>
        </w:tc>
        <w:tc>
          <w:tcPr>
            <w:tcW w:w="1963" w:type="dxa"/>
            <w:hideMark/>
          </w:tcPr>
          <w:p w14:paraId="6948C9FD" w14:textId="005B651C" w:rsidR="00342A67" w:rsidRPr="00633FF0" w:rsidRDefault="00342A67" w:rsidP="000E3DCC">
            <w:pPr>
              <w:pStyle w:val="ExhibitText"/>
              <w:tabs>
                <w:tab w:val="decimal" w:pos="836"/>
              </w:tabs>
              <w:jc w:val="right"/>
              <w:rPr>
                <w:bCs/>
                <w:lang w:val="en-GB"/>
              </w:rPr>
            </w:pPr>
            <w:r w:rsidRPr="00633FF0">
              <w:rPr>
                <w:bCs/>
                <w:lang w:val="en-GB"/>
              </w:rPr>
              <w:t>35</w:t>
            </w:r>
            <w:r w:rsidR="006E492E">
              <w:rPr>
                <w:bCs/>
                <w:lang w:val="en-GB"/>
              </w:rPr>
              <w:t>,</w:t>
            </w:r>
            <w:r w:rsidRPr="00633FF0">
              <w:rPr>
                <w:bCs/>
                <w:lang w:val="en-GB"/>
              </w:rPr>
              <w:t>008</w:t>
            </w:r>
            <w:r w:rsidR="005D18AE">
              <w:rPr>
                <w:bCs/>
                <w:lang w:val="en-GB"/>
              </w:rPr>
              <w:t>,</w:t>
            </w:r>
            <w:r w:rsidRPr="00633FF0">
              <w:rPr>
                <w:bCs/>
                <w:lang w:val="en-GB"/>
              </w:rPr>
              <w:t>623</w:t>
            </w:r>
          </w:p>
        </w:tc>
        <w:tc>
          <w:tcPr>
            <w:tcW w:w="1963" w:type="dxa"/>
            <w:noWrap/>
            <w:hideMark/>
          </w:tcPr>
          <w:p w14:paraId="666FD8E1" w14:textId="6B5F1B12" w:rsidR="00342A67" w:rsidRPr="00633FF0" w:rsidRDefault="00342A67" w:rsidP="000E3DCC">
            <w:pPr>
              <w:pStyle w:val="ExhibitText"/>
              <w:tabs>
                <w:tab w:val="decimal" w:pos="1018"/>
              </w:tabs>
              <w:jc w:val="right"/>
              <w:rPr>
                <w:bCs/>
                <w:lang w:val="en-GB"/>
              </w:rPr>
            </w:pPr>
            <w:r w:rsidRPr="00633FF0">
              <w:rPr>
                <w:bCs/>
                <w:lang w:val="en-GB"/>
              </w:rPr>
              <w:t>33</w:t>
            </w:r>
            <w:r w:rsidR="006E492E">
              <w:rPr>
                <w:bCs/>
                <w:lang w:val="en-GB"/>
              </w:rPr>
              <w:t>,</w:t>
            </w:r>
            <w:r w:rsidRPr="00633FF0">
              <w:rPr>
                <w:bCs/>
                <w:lang w:val="en-GB"/>
              </w:rPr>
              <w:t>829</w:t>
            </w:r>
            <w:r w:rsidR="005D18AE">
              <w:rPr>
                <w:bCs/>
                <w:lang w:val="en-GB"/>
              </w:rPr>
              <w:t>,</w:t>
            </w:r>
            <w:r w:rsidRPr="00633FF0">
              <w:rPr>
                <w:bCs/>
                <w:lang w:val="en-GB"/>
              </w:rPr>
              <w:t>921</w:t>
            </w:r>
          </w:p>
        </w:tc>
      </w:tr>
      <w:tr w:rsidR="00342A67" w:rsidRPr="00633FF0" w14:paraId="1BCBC9F1" w14:textId="77777777" w:rsidTr="00BB0AC3">
        <w:trPr>
          <w:trHeight w:val="300"/>
          <w:jc w:val="center"/>
        </w:trPr>
        <w:tc>
          <w:tcPr>
            <w:tcW w:w="3055" w:type="dxa"/>
            <w:noWrap/>
            <w:hideMark/>
          </w:tcPr>
          <w:p w14:paraId="127983C7" w14:textId="77777777" w:rsidR="00342A67" w:rsidRPr="00633FF0" w:rsidRDefault="00342A67" w:rsidP="00404CD4">
            <w:pPr>
              <w:pStyle w:val="ExhibitText"/>
              <w:rPr>
                <w:lang w:val="en-GB"/>
              </w:rPr>
            </w:pPr>
            <w:r w:rsidRPr="00633FF0">
              <w:rPr>
                <w:lang w:val="en-GB"/>
              </w:rPr>
              <w:t> </w:t>
            </w:r>
          </w:p>
        </w:tc>
        <w:tc>
          <w:tcPr>
            <w:tcW w:w="1963" w:type="dxa"/>
            <w:noWrap/>
            <w:hideMark/>
          </w:tcPr>
          <w:p w14:paraId="3F17709E" w14:textId="77777777" w:rsidR="00342A67" w:rsidRPr="00633FF0" w:rsidRDefault="00342A67" w:rsidP="000E3DCC">
            <w:pPr>
              <w:pStyle w:val="ExhibitText"/>
              <w:tabs>
                <w:tab w:val="decimal" w:pos="882"/>
              </w:tabs>
              <w:jc w:val="right"/>
              <w:rPr>
                <w:lang w:val="en-GB"/>
              </w:rPr>
            </w:pPr>
            <w:r w:rsidRPr="00633FF0">
              <w:rPr>
                <w:lang w:val="en-GB"/>
              </w:rPr>
              <w:t> </w:t>
            </w:r>
          </w:p>
        </w:tc>
        <w:tc>
          <w:tcPr>
            <w:tcW w:w="1963" w:type="dxa"/>
            <w:noWrap/>
            <w:hideMark/>
          </w:tcPr>
          <w:p w14:paraId="47B8D0A5" w14:textId="77777777" w:rsidR="00342A67" w:rsidRPr="00633FF0" w:rsidRDefault="00342A67" w:rsidP="000E3DCC">
            <w:pPr>
              <w:pStyle w:val="ExhibitText"/>
              <w:tabs>
                <w:tab w:val="decimal" w:pos="836"/>
              </w:tabs>
              <w:jc w:val="right"/>
              <w:rPr>
                <w:lang w:val="en-GB"/>
              </w:rPr>
            </w:pPr>
            <w:r w:rsidRPr="00633FF0">
              <w:rPr>
                <w:lang w:val="en-GB"/>
              </w:rPr>
              <w:t> </w:t>
            </w:r>
          </w:p>
        </w:tc>
        <w:tc>
          <w:tcPr>
            <w:tcW w:w="1963" w:type="dxa"/>
            <w:noWrap/>
            <w:hideMark/>
          </w:tcPr>
          <w:p w14:paraId="7FAFF15F" w14:textId="77777777" w:rsidR="00342A67" w:rsidRPr="00633FF0" w:rsidRDefault="00342A67" w:rsidP="000E3DCC">
            <w:pPr>
              <w:pStyle w:val="ExhibitText"/>
              <w:tabs>
                <w:tab w:val="decimal" w:pos="1018"/>
              </w:tabs>
              <w:jc w:val="right"/>
              <w:rPr>
                <w:bCs/>
                <w:lang w:val="en-GB"/>
              </w:rPr>
            </w:pPr>
            <w:r w:rsidRPr="00633FF0">
              <w:rPr>
                <w:bCs/>
                <w:lang w:val="en-GB"/>
              </w:rPr>
              <w:t> </w:t>
            </w:r>
          </w:p>
        </w:tc>
      </w:tr>
      <w:tr w:rsidR="00342A67" w:rsidRPr="00633FF0" w14:paraId="1BA970F0" w14:textId="77777777" w:rsidTr="00BB0AC3">
        <w:trPr>
          <w:trHeight w:val="300"/>
          <w:jc w:val="center"/>
        </w:trPr>
        <w:tc>
          <w:tcPr>
            <w:tcW w:w="3055" w:type="dxa"/>
            <w:noWrap/>
            <w:hideMark/>
          </w:tcPr>
          <w:p w14:paraId="740EE2E9" w14:textId="33C59186" w:rsidR="00342A67" w:rsidRPr="00633FF0" w:rsidRDefault="00342A67" w:rsidP="00404CD4">
            <w:pPr>
              <w:pStyle w:val="ExhibitText"/>
              <w:rPr>
                <w:bCs/>
                <w:lang w:val="en-GB"/>
              </w:rPr>
            </w:pPr>
            <w:r w:rsidRPr="00633FF0">
              <w:rPr>
                <w:bCs/>
                <w:lang w:val="en-GB"/>
              </w:rPr>
              <w:t xml:space="preserve">Cash and cash equivalents </w:t>
            </w:r>
          </w:p>
        </w:tc>
        <w:tc>
          <w:tcPr>
            <w:tcW w:w="1963" w:type="dxa"/>
            <w:noWrap/>
            <w:hideMark/>
          </w:tcPr>
          <w:p w14:paraId="5305E8B7" w14:textId="06637611" w:rsidR="00342A67" w:rsidRPr="00633FF0" w:rsidRDefault="00342A67" w:rsidP="000E3DCC">
            <w:pPr>
              <w:pStyle w:val="ExhibitText"/>
              <w:tabs>
                <w:tab w:val="decimal" w:pos="882"/>
              </w:tabs>
              <w:jc w:val="right"/>
              <w:rPr>
                <w:lang w:val="en-GB"/>
              </w:rPr>
            </w:pPr>
            <w:r w:rsidRPr="00633FF0">
              <w:rPr>
                <w:lang w:val="en-GB"/>
              </w:rPr>
              <w:t>2</w:t>
            </w:r>
            <w:r w:rsidR="006E492E">
              <w:rPr>
                <w:lang w:val="en-GB"/>
              </w:rPr>
              <w:t>,</w:t>
            </w:r>
            <w:r w:rsidRPr="00633FF0">
              <w:rPr>
                <w:lang w:val="en-GB"/>
              </w:rPr>
              <w:t>959</w:t>
            </w:r>
            <w:r w:rsidR="005D18AE">
              <w:rPr>
                <w:lang w:val="en-GB"/>
              </w:rPr>
              <w:t>,</w:t>
            </w:r>
            <w:r w:rsidRPr="00633FF0">
              <w:rPr>
                <w:lang w:val="en-GB"/>
              </w:rPr>
              <w:t xml:space="preserve">334 </w:t>
            </w:r>
          </w:p>
        </w:tc>
        <w:tc>
          <w:tcPr>
            <w:tcW w:w="1963" w:type="dxa"/>
            <w:noWrap/>
            <w:hideMark/>
          </w:tcPr>
          <w:p w14:paraId="158E4289" w14:textId="0C9E528F" w:rsidR="00342A67" w:rsidRPr="00633FF0" w:rsidRDefault="00342A67" w:rsidP="000E3DCC">
            <w:pPr>
              <w:pStyle w:val="ExhibitText"/>
              <w:tabs>
                <w:tab w:val="decimal" w:pos="836"/>
              </w:tabs>
              <w:jc w:val="right"/>
              <w:rPr>
                <w:lang w:val="en-GB"/>
              </w:rPr>
            </w:pPr>
            <w:r w:rsidRPr="00633FF0">
              <w:rPr>
                <w:lang w:val="en-GB"/>
              </w:rPr>
              <w:t>2</w:t>
            </w:r>
            <w:r w:rsidR="006E492E">
              <w:rPr>
                <w:lang w:val="en-GB"/>
              </w:rPr>
              <w:t>,</w:t>
            </w:r>
            <w:r w:rsidRPr="00633FF0">
              <w:rPr>
                <w:lang w:val="en-GB"/>
              </w:rPr>
              <w:t>772</w:t>
            </w:r>
            <w:r w:rsidR="005D18AE">
              <w:rPr>
                <w:lang w:val="en-GB"/>
              </w:rPr>
              <w:t>,</w:t>
            </w:r>
            <w:r w:rsidRPr="00633FF0">
              <w:rPr>
                <w:lang w:val="en-GB"/>
              </w:rPr>
              <w:t>546</w:t>
            </w:r>
          </w:p>
        </w:tc>
        <w:tc>
          <w:tcPr>
            <w:tcW w:w="1963" w:type="dxa"/>
            <w:noWrap/>
            <w:hideMark/>
          </w:tcPr>
          <w:p w14:paraId="174DB870" w14:textId="6E5CE256" w:rsidR="00342A67" w:rsidRPr="00633FF0" w:rsidRDefault="00342A67" w:rsidP="000E3DCC">
            <w:pPr>
              <w:pStyle w:val="ExhibitText"/>
              <w:tabs>
                <w:tab w:val="decimal" w:pos="1018"/>
              </w:tabs>
              <w:jc w:val="right"/>
              <w:rPr>
                <w:lang w:val="en-GB"/>
              </w:rPr>
            </w:pPr>
            <w:r w:rsidRPr="00633FF0">
              <w:rPr>
                <w:lang w:val="en-GB"/>
              </w:rPr>
              <w:t>2</w:t>
            </w:r>
            <w:r w:rsidR="006E492E">
              <w:rPr>
                <w:lang w:val="en-GB"/>
              </w:rPr>
              <w:t>,</w:t>
            </w:r>
            <w:r w:rsidRPr="00633FF0">
              <w:rPr>
                <w:lang w:val="en-GB"/>
              </w:rPr>
              <w:t>750</w:t>
            </w:r>
            <w:r w:rsidR="005D18AE">
              <w:rPr>
                <w:lang w:val="en-GB"/>
              </w:rPr>
              <w:t>,</w:t>
            </w:r>
            <w:r w:rsidRPr="00633FF0">
              <w:rPr>
                <w:lang w:val="en-GB"/>
              </w:rPr>
              <w:t>212</w:t>
            </w:r>
          </w:p>
        </w:tc>
      </w:tr>
      <w:tr w:rsidR="00342A67" w:rsidRPr="00633FF0" w14:paraId="19CB2569" w14:textId="77777777" w:rsidTr="00BB0AC3">
        <w:trPr>
          <w:trHeight w:val="315"/>
          <w:jc w:val="center"/>
        </w:trPr>
        <w:tc>
          <w:tcPr>
            <w:tcW w:w="3055" w:type="dxa"/>
            <w:noWrap/>
            <w:hideMark/>
          </w:tcPr>
          <w:p w14:paraId="4E5E6F45" w14:textId="77777777" w:rsidR="00342A67" w:rsidRPr="00633FF0" w:rsidRDefault="00342A67" w:rsidP="00404CD4">
            <w:pPr>
              <w:pStyle w:val="ExhibitText"/>
              <w:rPr>
                <w:bCs/>
                <w:lang w:val="en-GB"/>
              </w:rPr>
            </w:pPr>
            <w:r w:rsidRPr="00633FF0">
              <w:rPr>
                <w:bCs/>
                <w:lang w:val="en-GB"/>
              </w:rPr>
              <w:t> </w:t>
            </w:r>
          </w:p>
        </w:tc>
        <w:tc>
          <w:tcPr>
            <w:tcW w:w="1963" w:type="dxa"/>
            <w:noWrap/>
            <w:hideMark/>
          </w:tcPr>
          <w:p w14:paraId="7352FE48" w14:textId="77777777" w:rsidR="00342A67" w:rsidRPr="00633FF0" w:rsidRDefault="00342A67" w:rsidP="000E3DCC">
            <w:pPr>
              <w:pStyle w:val="ExhibitText"/>
              <w:tabs>
                <w:tab w:val="decimal" w:pos="882"/>
              </w:tabs>
              <w:jc w:val="right"/>
              <w:rPr>
                <w:bCs/>
                <w:lang w:val="en-GB"/>
              </w:rPr>
            </w:pPr>
            <w:r w:rsidRPr="00633FF0">
              <w:rPr>
                <w:bCs/>
                <w:lang w:val="en-GB"/>
              </w:rPr>
              <w:t> </w:t>
            </w:r>
          </w:p>
        </w:tc>
        <w:tc>
          <w:tcPr>
            <w:tcW w:w="1963" w:type="dxa"/>
            <w:noWrap/>
            <w:hideMark/>
          </w:tcPr>
          <w:p w14:paraId="4ADE1409" w14:textId="77777777" w:rsidR="00342A67" w:rsidRPr="00633FF0" w:rsidRDefault="00342A67" w:rsidP="000E3DCC">
            <w:pPr>
              <w:pStyle w:val="ExhibitText"/>
              <w:tabs>
                <w:tab w:val="decimal" w:pos="836"/>
              </w:tabs>
              <w:jc w:val="right"/>
              <w:rPr>
                <w:lang w:val="en-GB"/>
              </w:rPr>
            </w:pPr>
            <w:r w:rsidRPr="00633FF0">
              <w:rPr>
                <w:lang w:val="en-GB"/>
              </w:rPr>
              <w:t> </w:t>
            </w:r>
          </w:p>
        </w:tc>
        <w:tc>
          <w:tcPr>
            <w:tcW w:w="1963" w:type="dxa"/>
            <w:noWrap/>
            <w:hideMark/>
          </w:tcPr>
          <w:p w14:paraId="3496D737" w14:textId="77777777" w:rsidR="00342A67" w:rsidRPr="00633FF0" w:rsidRDefault="00342A67" w:rsidP="000E3DCC">
            <w:pPr>
              <w:pStyle w:val="ExhibitText"/>
              <w:tabs>
                <w:tab w:val="decimal" w:pos="1018"/>
              </w:tabs>
              <w:jc w:val="right"/>
              <w:rPr>
                <w:bCs/>
                <w:lang w:val="en-GB"/>
              </w:rPr>
            </w:pPr>
            <w:r w:rsidRPr="00633FF0">
              <w:rPr>
                <w:bCs/>
                <w:lang w:val="en-GB"/>
              </w:rPr>
              <w:t> </w:t>
            </w:r>
          </w:p>
        </w:tc>
      </w:tr>
      <w:tr w:rsidR="00342A67" w:rsidRPr="00633FF0" w14:paraId="29C43CC3" w14:textId="77777777" w:rsidTr="00BB0AC3">
        <w:trPr>
          <w:trHeight w:val="315"/>
          <w:jc w:val="center"/>
        </w:trPr>
        <w:tc>
          <w:tcPr>
            <w:tcW w:w="3055" w:type="dxa"/>
            <w:noWrap/>
            <w:hideMark/>
          </w:tcPr>
          <w:p w14:paraId="2166EB1D" w14:textId="77777777" w:rsidR="00342A67" w:rsidRPr="00633FF0" w:rsidRDefault="00342A67" w:rsidP="00404CD4">
            <w:pPr>
              <w:pStyle w:val="ExhibitText"/>
              <w:rPr>
                <w:bCs/>
                <w:lang w:val="en-GB"/>
              </w:rPr>
            </w:pPr>
            <w:r w:rsidRPr="00633FF0">
              <w:rPr>
                <w:bCs/>
                <w:lang w:val="en-GB"/>
              </w:rPr>
              <w:t>Total assets</w:t>
            </w:r>
          </w:p>
        </w:tc>
        <w:tc>
          <w:tcPr>
            <w:tcW w:w="1963" w:type="dxa"/>
            <w:noWrap/>
            <w:hideMark/>
          </w:tcPr>
          <w:p w14:paraId="03933569" w14:textId="2CD27D47" w:rsidR="00342A67" w:rsidRPr="00633FF0" w:rsidRDefault="00342A67" w:rsidP="000E3DCC">
            <w:pPr>
              <w:pStyle w:val="ExhibitText"/>
              <w:tabs>
                <w:tab w:val="decimal" w:pos="882"/>
              </w:tabs>
              <w:jc w:val="right"/>
              <w:rPr>
                <w:bCs/>
                <w:lang w:val="en-GB"/>
              </w:rPr>
            </w:pPr>
            <w:r w:rsidRPr="00633FF0">
              <w:rPr>
                <w:bCs/>
                <w:lang w:val="en-GB"/>
              </w:rPr>
              <w:t>62</w:t>
            </w:r>
            <w:r w:rsidR="006E492E">
              <w:rPr>
                <w:bCs/>
                <w:lang w:val="en-GB"/>
              </w:rPr>
              <w:t>,</w:t>
            </w:r>
            <w:r w:rsidRPr="00633FF0">
              <w:rPr>
                <w:bCs/>
                <w:lang w:val="en-GB"/>
              </w:rPr>
              <w:t>233</w:t>
            </w:r>
            <w:r w:rsidR="005D18AE">
              <w:rPr>
                <w:bCs/>
                <w:lang w:val="en-GB"/>
              </w:rPr>
              <w:t>,</w:t>
            </w:r>
            <w:r w:rsidRPr="00633FF0">
              <w:rPr>
                <w:bCs/>
                <w:lang w:val="en-GB"/>
              </w:rPr>
              <w:t>138</w:t>
            </w:r>
          </w:p>
        </w:tc>
        <w:tc>
          <w:tcPr>
            <w:tcW w:w="1963" w:type="dxa"/>
            <w:noWrap/>
            <w:hideMark/>
          </w:tcPr>
          <w:p w14:paraId="3507712B" w14:textId="5D0D76FC" w:rsidR="00342A67" w:rsidRPr="00633FF0" w:rsidRDefault="00342A67" w:rsidP="000E3DCC">
            <w:pPr>
              <w:pStyle w:val="ExhibitText"/>
              <w:tabs>
                <w:tab w:val="decimal" w:pos="836"/>
              </w:tabs>
              <w:jc w:val="right"/>
              <w:rPr>
                <w:bCs/>
                <w:lang w:val="en-GB"/>
              </w:rPr>
            </w:pPr>
            <w:r w:rsidRPr="00633FF0">
              <w:rPr>
                <w:bCs/>
                <w:lang w:val="en-GB"/>
              </w:rPr>
              <w:t> 59</w:t>
            </w:r>
            <w:r w:rsidR="006E492E">
              <w:rPr>
                <w:bCs/>
                <w:lang w:val="en-GB"/>
              </w:rPr>
              <w:t>,</w:t>
            </w:r>
            <w:r w:rsidRPr="00633FF0">
              <w:rPr>
                <w:bCs/>
                <w:lang w:val="en-GB"/>
              </w:rPr>
              <w:t>476</w:t>
            </w:r>
            <w:r w:rsidR="005D18AE">
              <w:rPr>
                <w:bCs/>
                <w:lang w:val="en-GB"/>
              </w:rPr>
              <w:t>,</w:t>
            </w:r>
            <w:r w:rsidRPr="00633FF0">
              <w:rPr>
                <w:bCs/>
                <w:lang w:val="en-GB"/>
              </w:rPr>
              <w:t>301</w:t>
            </w:r>
          </w:p>
        </w:tc>
        <w:tc>
          <w:tcPr>
            <w:tcW w:w="1963" w:type="dxa"/>
            <w:noWrap/>
            <w:hideMark/>
          </w:tcPr>
          <w:p w14:paraId="3B543D66" w14:textId="2107C6B8" w:rsidR="00342A67" w:rsidRPr="00633FF0" w:rsidRDefault="00342A67" w:rsidP="000E3DCC">
            <w:pPr>
              <w:pStyle w:val="ExhibitText"/>
              <w:tabs>
                <w:tab w:val="decimal" w:pos="1018"/>
              </w:tabs>
              <w:jc w:val="right"/>
              <w:rPr>
                <w:bCs/>
                <w:lang w:val="en-GB"/>
              </w:rPr>
            </w:pPr>
            <w:r w:rsidRPr="00633FF0">
              <w:rPr>
                <w:bCs/>
                <w:lang w:val="en-GB"/>
              </w:rPr>
              <w:t>63</w:t>
            </w:r>
            <w:r w:rsidR="006E492E">
              <w:rPr>
                <w:bCs/>
                <w:lang w:val="en-GB"/>
              </w:rPr>
              <w:t>,</w:t>
            </w:r>
            <w:r w:rsidRPr="00633FF0">
              <w:rPr>
                <w:bCs/>
                <w:lang w:val="en-GB"/>
              </w:rPr>
              <w:t>056</w:t>
            </w:r>
            <w:r w:rsidR="005D18AE">
              <w:rPr>
                <w:bCs/>
                <w:lang w:val="en-GB"/>
              </w:rPr>
              <w:t>,</w:t>
            </w:r>
            <w:r w:rsidRPr="00633FF0">
              <w:rPr>
                <w:bCs/>
                <w:lang w:val="en-GB"/>
              </w:rPr>
              <w:t>946</w:t>
            </w:r>
          </w:p>
        </w:tc>
      </w:tr>
      <w:tr w:rsidR="00342A67" w:rsidRPr="00633FF0" w14:paraId="36D76449" w14:textId="77777777" w:rsidTr="00BB0AC3">
        <w:trPr>
          <w:trHeight w:val="315"/>
          <w:jc w:val="center"/>
        </w:trPr>
        <w:tc>
          <w:tcPr>
            <w:tcW w:w="3055" w:type="dxa"/>
            <w:noWrap/>
            <w:hideMark/>
          </w:tcPr>
          <w:p w14:paraId="685BBBFC" w14:textId="77777777" w:rsidR="00342A67" w:rsidRPr="00633FF0" w:rsidRDefault="00342A67" w:rsidP="00404CD4">
            <w:pPr>
              <w:pStyle w:val="ExhibitText"/>
              <w:rPr>
                <w:bCs/>
                <w:lang w:val="en-GB"/>
              </w:rPr>
            </w:pPr>
            <w:r w:rsidRPr="00633FF0">
              <w:rPr>
                <w:bCs/>
                <w:lang w:val="en-GB"/>
              </w:rPr>
              <w:t> </w:t>
            </w:r>
          </w:p>
        </w:tc>
        <w:tc>
          <w:tcPr>
            <w:tcW w:w="1963" w:type="dxa"/>
            <w:hideMark/>
          </w:tcPr>
          <w:p w14:paraId="31D5561D" w14:textId="77777777" w:rsidR="00342A67" w:rsidRPr="00633FF0" w:rsidRDefault="00342A67" w:rsidP="000E3DCC">
            <w:pPr>
              <w:pStyle w:val="ExhibitText"/>
              <w:tabs>
                <w:tab w:val="decimal" w:pos="882"/>
              </w:tabs>
              <w:jc w:val="right"/>
              <w:rPr>
                <w:lang w:val="en-GB"/>
              </w:rPr>
            </w:pPr>
            <w:r w:rsidRPr="00633FF0">
              <w:rPr>
                <w:lang w:val="en-GB"/>
              </w:rPr>
              <w:t> </w:t>
            </w:r>
          </w:p>
        </w:tc>
        <w:tc>
          <w:tcPr>
            <w:tcW w:w="1963" w:type="dxa"/>
            <w:noWrap/>
            <w:hideMark/>
          </w:tcPr>
          <w:p w14:paraId="49C798E8" w14:textId="77777777" w:rsidR="00342A67" w:rsidRPr="00633FF0" w:rsidRDefault="00342A67" w:rsidP="000E3DCC">
            <w:pPr>
              <w:pStyle w:val="ExhibitText"/>
              <w:tabs>
                <w:tab w:val="decimal" w:pos="836"/>
              </w:tabs>
              <w:jc w:val="right"/>
              <w:rPr>
                <w:lang w:val="en-GB"/>
              </w:rPr>
            </w:pPr>
            <w:r w:rsidRPr="00633FF0">
              <w:rPr>
                <w:lang w:val="en-GB"/>
              </w:rPr>
              <w:t> </w:t>
            </w:r>
          </w:p>
        </w:tc>
        <w:tc>
          <w:tcPr>
            <w:tcW w:w="1963" w:type="dxa"/>
            <w:noWrap/>
            <w:hideMark/>
          </w:tcPr>
          <w:p w14:paraId="3F979FB9" w14:textId="77777777" w:rsidR="00342A67" w:rsidRPr="00633FF0" w:rsidRDefault="00342A67" w:rsidP="000E3DCC">
            <w:pPr>
              <w:pStyle w:val="ExhibitText"/>
              <w:tabs>
                <w:tab w:val="decimal" w:pos="1018"/>
              </w:tabs>
              <w:jc w:val="right"/>
              <w:rPr>
                <w:bCs/>
                <w:lang w:val="en-GB"/>
              </w:rPr>
            </w:pPr>
            <w:r w:rsidRPr="00633FF0">
              <w:rPr>
                <w:bCs/>
                <w:lang w:val="en-GB"/>
              </w:rPr>
              <w:t> </w:t>
            </w:r>
          </w:p>
        </w:tc>
      </w:tr>
      <w:tr w:rsidR="00342A67" w:rsidRPr="00633FF0" w14:paraId="07D21669" w14:textId="77777777" w:rsidTr="00BB0AC3">
        <w:trPr>
          <w:trHeight w:val="300"/>
          <w:jc w:val="center"/>
        </w:trPr>
        <w:tc>
          <w:tcPr>
            <w:tcW w:w="3055" w:type="dxa"/>
            <w:noWrap/>
            <w:hideMark/>
          </w:tcPr>
          <w:p w14:paraId="002F0377" w14:textId="77777777" w:rsidR="00342A67" w:rsidRPr="00633FF0" w:rsidRDefault="00342A67" w:rsidP="00404CD4">
            <w:pPr>
              <w:pStyle w:val="ExhibitText"/>
              <w:rPr>
                <w:lang w:val="en-GB"/>
              </w:rPr>
            </w:pPr>
            <w:r w:rsidRPr="00633FF0">
              <w:rPr>
                <w:bCs/>
                <w:u w:val="single"/>
                <w:lang w:val="en-GB"/>
              </w:rPr>
              <w:t>Liabilities</w:t>
            </w:r>
          </w:p>
        </w:tc>
        <w:tc>
          <w:tcPr>
            <w:tcW w:w="1963" w:type="dxa"/>
            <w:hideMark/>
          </w:tcPr>
          <w:p w14:paraId="1222D05D" w14:textId="77777777" w:rsidR="00342A67" w:rsidRPr="00633FF0" w:rsidRDefault="00342A67" w:rsidP="000E3DCC">
            <w:pPr>
              <w:pStyle w:val="ExhibitText"/>
              <w:tabs>
                <w:tab w:val="decimal" w:pos="882"/>
              </w:tabs>
              <w:jc w:val="right"/>
              <w:rPr>
                <w:lang w:val="en-GB"/>
              </w:rPr>
            </w:pPr>
            <w:r w:rsidRPr="00633FF0">
              <w:rPr>
                <w:lang w:val="en-GB"/>
              </w:rPr>
              <w:t> </w:t>
            </w:r>
          </w:p>
        </w:tc>
        <w:tc>
          <w:tcPr>
            <w:tcW w:w="1963" w:type="dxa"/>
            <w:noWrap/>
            <w:hideMark/>
          </w:tcPr>
          <w:p w14:paraId="0C1CFD83" w14:textId="77777777" w:rsidR="00342A67" w:rsidRPr="00633FF0" w:rsidRDefault="00342A67" w:rsidP="000E3DCC">
            <w:pPr>
              <w:pStyle w:val="ExhibitText"/>
              <w:tabs>
                <w:tab w:val="decimal" w:pos="836"/>
              </w:tabs>
              <w:jc w:val="right"/>
              <w:rPr>
                <w:lang w:val="en-GB"/>
              </w:rPr>
            </w:pPr>
            <w:r w:rsidRPr="00633FF0">
              <w:rPr>
                <w:lang w:val="en-GB"/>
              </w:rPr>
              <w:t> </w:t>
            </w:r>
          </w:p>
        </w:tc>
        <w:tc>
          <w:tcPr>
            <w:tcW w:w="1963" w:type="dxa"/>
            <w:noWrap/>
            <w:hideMark/>
          </w:tcPr>
          <w:p w14:paraId="6E066EB5" w14:textId="77777777" w:rsidR="00342A67" w:rsidRPr="00633FF0" w:rsidRDefault="00342A67" w:rsidP="000E3DCC">
            <w:pPr>
              <w:pStyle w:val="ExhibitText"/>
              <w:tabs>
                <w:tab w:val="decimal" w:pos="1018"/>
              </w:tabs>
              <w:jc w:val="right"/>
              <w:rPr>
                <w:bCs/>
                <w:lang w:val="en-GB"/>
              </w:rPr>
            </w:pPr>
            <w:r w:rsidRPr="00633FF0">
              <w:rPr>
                <w:bCs/>
                <w:lang w:val="en-GB"/>
              </w:rPr>
              <w:t> </w:t>
            </w:r>
          </w:p>
        </w:tc>
      </w:tr>
      <w:tr w:rsidR="00342A67" w:rsidRPr="00633FF0" w14:paraId="461B5B4B" w14:textId="77777777" w:rsidTr="00BB0AC3">
        <w:trPr>
          <w:trHeight w:val="300"/>
          <w:jc w:val="center"/>
        </w:trPr>
        <w:tc>
          <w:tcPr>
            <w:tcW w:w="3055" w:type="dxa"/>
            <w:noWrap/>
            <w:hideMark/>
          </w:tcPr>
          <w:p w14:paraId="21B268FA" w14:textId="77777777" w:rsidR="00342A67" w:rsidRPr="00633FF0" w:rsidRDefault="00342A67" w:rsidP="00404CD4">
            <w:pPr>
              <w:pStyle w:val="ExhibitText"/>
              <w:rPr>
                <w:bCs/>
                <w:lang w:val="en-GB"/>
              </w:rPr>
            </w:pPr>
            <w:r w:rsidRPr="00633FF0">
              <w:rPr>
                <w:bCs/>
                <w:lang w:val="en-GB"/>
              </w:rPr>
              <w:t>Group equity</w:t>
            </w:r>
          </w:p>
        </w:tc>
        <w:tc>
          <w:tcPr>
            <w:tcW w:w="1963" w:type="dxa"/>
            <w:noWrap/>
            <w:hideMark/>
          </w:tcPr>
          <w:p w14:paraId="356E5C7E" w14:textId="77777777" w:rsidR="00342A67" w:rsidRPr="00633FF0" w:rsidRDefault="00342A67" w:rsidP="000E3DCC">
            <w:pPr>
              <w:pStyle w:val="ExhibitText"/>
              <w:tabs>
                <w:tab w:val="decimal" w:pos="882"/>
              </w:tabs>
              <w:jc w:val="right"/>
              <w:rPr>
                <w:lang w:val="en-GB"/>
              </w:rPr>
            </w:pPr>
            <w:r w:rsidRPr="00633FF0">
              <w:rPr>
                <w:lang w:val="en-GB"/>
              </w:rPr>
              <w:t> </w:t>
            </w:r>
          </w:p>
        </w:tc>
        <w:tc>
          <w:tcPr>
            <w:tcW w:w="1963" w:type="dxa"/>
            <w:noWrap/>
            <w:hideMark/>
          </w:tcPr>
          <w:p w14:paraId="3D869DA1" w14:textId="77777777" w:rsidR="00342A67" w:rsidRPr="00633FF0" w:rsidRDefault="00342A67" w:rsidP="000E3DCC">
            <w:pPr>
              <w:pStyle w:val="ExhibitText"/>
              <w:tabs>
                <w:tab w:val="decimal" w:pos="836"/>
              </w:tabs>
              <w:jc w:val="right"/>
              <w:rPr>
                <w:lang w:val="en-GB"/>
              </w:rPr>
            </w:pPr>
            <w:r w:rsidRPr="00633FF0">
              <w:rPr>
                <w:lang w:val="en-GB"/>
              </w:rPr>
              <w:t> </w:t>
            </w:r>
          </w:p>
        </w:tc>
        <w:tc>
          <w:tcPr>
            <w:tcW w:w="1963" w:type="dxa"/>
            <w:noWrap/>
            <w:hideMark/>
          </w:tcPr>
          <w:p w14:paraId="47E56332" w14:textId="77777777" w:rsidR="00342A67" w:rsidRPr="00633FF0" w:rsidRDefault="00342A67" w:rsidP="000E3DCC">
            <w:pPr>
              <w:pStyle w:val="ExhibitText"/>
              <w:tabs>
                <w:tab w:val="decimal" w:pos="1018"/>
              </w:tabs>
              <w:jc w:val="right"/>
              <w:rPr>
                <w:bCs/>
                <w:lang w:val="en-GB"/>
              </w:rPr>
            </w:pPr>
            <w:r w:rsidRPr="00633FF0">
              <w:rPr>
                <w:bCs/>
                <w:lang w:val="en-GB"/>
              </w:rPr>
              <w:t> </w:t>
            </w:r>
          </w:p>
        </w:tc>
      </w:tr>
      <w:tr w:rsidR="00342A67" w:rsidRPr="00633FF0" w14:paraId="41BC82E6" w14:textId="77777777" w:rsidTr="00BB0AC3">
        <w:trPr>
          <w:trHeight w:val="285"/>
          <w:jc w:val="center"/>
        </w:trPr>
        <w:tc>
          <w:tcPr>
            <w:tcW w:w="3055" w:type="dxa"/>
            <w:noWrap/>
            <w:hideMark/>
          </w:tcPr>
          <w:p w14:paraId="228A15D4" w14:textId="1D7AA105" w:rsidR="00342A67" w:rsidRPr="00633FF0" w:rsidRDefault="00342A67" w:rsidP="00D82EA0">
            <w:pPr>
              <w:pStyle w:val="ExhibitText"/>
              <w:rPr>
                <w:lang w:val="en-GB"/>
              </w:rPr>
            </w:pPr>
            <w:r w:rsidRPr="00633FF0">
              <w:rPr>
                <w:lang w:val="en-GB"/>
              </w:rPr>
              <w:t>Shareholders</w:t>
            </w:r>
            <w:r w:rsidR="00D67587">
              <w:rPr>
                <w:lang w:val="en-GB"/>
              </w:rPr>
              <w:t>’</w:t>
            </w:r>
            <w:r w:rsidRPr="00633FF0">
              <w:rPr>
                <w:lang w:val="en-GB"/>
              </w:rPr>
              <w:t xml:space="preserve"> equity</w:t>
            </w:r>
          </w:p>
        </w:tc>
        <w:tc>
          <w:tcPr>
            <w:tcW w:w="1963" w:type="dxa"/>
            <w:hideMark/>
          </w:tcPr>
          <w:p w14:paraId="5124EFDF" w14:textId="45229C10" w:rsidR="00342A67" w:rsidRPr="00633FF0" w:rsidRDefault="00342A67" w:rsidP="000E3DCC">
            <w:pPr>
              <w:pStyle w:val="ExhibitText"/>
              <w:tabs>
                <w:tab w:val="decimal" w:pos="882"/>
              </w:tabs>
              <w:jc w:val="right"/>
              <w:rPr>
                <w:lang w:val="en-GB"/>
              </w:rPr>
            </w:pPr>
            <w:r w:rsidRPr="00633FF0">
              <w:rPr>
                <w:lang w:val="en-GB"/>
              </w:rPr>
              <w:t>30</w:t>
            </w:r>
            <w:r w:rsidR="006E492E">
              <w:rPr>
                <w:lang w:val="en-GB"/>
              </w:rPr>
              <w:t>,</w:t>
            </w:r>
            <w:r w:rsidRPr="00633FF0">
              <w:rPr>
                <w:lang w:val="en-GB"/>
              </w:rPr>
              <w:t>978</w:t>
            </w:r>
            <w:r w:rsidR="005D18AE">
              <w:rPr>
                <w:lang w:val="en-GB"/>
              </w:rPr>
              <w:t>,</w:t>
            </w:r>
            <w:r w:rsidRPr="00633FF0">
              <w:rPr>
                <w:lang w:val="en-GB"/>
              </w:rPr>
              <w:t>013</w:t>
            </w:r>
          </w:p>
        </w:tc>
        <w:tc>
          <w:tcPr>
            <w:tcW w:w="1963" w:type="dxa"/>
            <w:noWrap/>
            <w:hideMark/>
          </w:tcPr>
          <w:p w14:paraId="27D9B197" w14:textId="455649AE" w:rsidR="00342A67" w:rsidRPr="00633FF0" w:rsidRDefault="00342A67" w:rsidP="000E3DCC">
            <w:pPr>
              <w:pStyle w:val="ExhibitText"/>
              <w:tabs>
                <w:tab w:val="decimal" w:pos="836"/>
              </w:tabs>
              <w:jc w:val="right"/>
              <w:rPr>
                <w:lang w:val="en-GB"/>
              </w:rPr>
            </w:pPr>
            <w:r w:rsidRPr="00633FF0">
              <w:rPr>
                <w:lang w:val="en-GB"/>
              </w:rPr>
              <w:t>28</w:t>
            </w:r>
            <w:r w:rsidR="006E492E">
              <w:rPr>
                <w:lang w:val="en-GB"/>
              </w:rPr>
              <w:t>,</w:t>
            </w:r>
            <w:r w:rsidRPr="00633FF0">
              <w:rPr>
                <w:lang w:val="en-GB"/>
              </w:rPr>
              <w:t>384</w:t>
            </w:r>
            <w:r w:rsidR="005D18AE">
              <w:rPr>
                <w:lang w:val="en-GB"/>
              </w:rPr>
              <w:t>,</w:t>
            </w:r>
            <w:r w:rsidRPr="00633FF0">
              <w:rPr>
                <w:lang w:val="en-GB"/>
              </w:rPr>
              <w:t>730</w:t>
            </w:r>
          </w:p>
        </w:tc>
        <w:tc>
          <w:tcPr>
            <w:tcW w:w="1963" w:type="dxa"/>
            <w:noWrap/>
            <w:hideMark/>
          </w:tcPr>
          <w:p w14:paraId="4719BEE0" w14:textId="5DF04B36" w:rsidR="00342A67" w:rsidRPr="00633FF0" w:rsidRDefault="00342A67" w:rsidP="000E3DCC">
            <w:pPr>
              <w:pStyle w:val="ExhibitText"/>
              <w:tabs>
                <w:tab w:val="decimal" w:pos="1018"/>
              </w:tabs>
              <w:jc w:val="right"/>
              <w:rPr>
                <w:lang w:val="en-GB"/>
              </w:rPr>
            </w:pPr>
            <w:r w:rsidRPr="00633FF0">
              <w:rPr>
                <w:lang w:val="en-GB"/>
              </w:rPr>
              <w:t>28</w:t>
            </w:r>
            <w:r w:rsidR="006E492E">
              <w:rPr>
                <w:lang w:val="en-GB"/>
              </w:rPr>
              <w:t>,</w:t>
            </w:r>
            <w:r w:rsidRPr="00633FF0">
              <w:rPr>
                <w:lang w:val="en-GB"/>
              </w:rPr>
              <w:t>068</w:t>
            </w:r>
            <w:r w:rsidR="005D18AE">
              <w:rPr>
                <w:lang w:val="en-GB"/>
              </w:rPr>
              <w:t>,</w:t>
            </w:r>
            <w:r w:rsidRPr="00633FF0">
              <w:rPr>
                <w:lang w:val="en-GB"/>
              </w:rPr>
              <w:t>541</w:t>
            </w:r>
          </w:p>
        </w:tc>
      </w:tr>
      <w:tr w:rsidR="00342A67" w:rsidRPr="00633FF0" w14:paraId="083D7B36" w14:textId="77777777" w:rsidTr="00BB0AC3">
        <w:trPr>
          <w:trHeight w:val="300"/>
          <w:jc w:val="center"/>
        </w:trPr>
        <w:tc>
          <w:tcPr>
            <w:tcW w:w="3055" w:type="dxa"/>
            <w:noWrap/>
            <w:hideMark/>
          </w:tcPr>
          <w:p w14:paraId="77F67E21" w14:textId="77777777" w:rsidR="00342A67" w:rsidRPr="00633FF0" w:rsidRDefault="00342A67" w:rsidP="00404CD4">
            <w:pPr>
              <w:pStyle w:val="ExhibitText"/>
              <w:rPr>
                <w:lang w:val="en-GB"/>
              </w:rPr>
            </w:pPr>
            <w:r w:rsidRPr="00633FF0">
              <w:rPr>
                <w:lang w:val="en-GB"/>
              </w:rPr>
              <w:t>Minority interests</w:t>
            </w:r>
          </w:p>
        </w:tc>
        <w:tc>
          <w:tcPr>
            <w:tcW w:w="1963" w:type="dxa"/>
            <w:hideMark/>
          </w:tcPr>
          <w:p w14:paraId="45FD599A" w14:textId="6F0898D1" w:rsidR="00342A67" w:rsidRPr="00633FF0" w:rsidRDefault="00342A67" w:rsidP="000E3DCC">
            <w:pPr>
              <w:pStyle w:val="ExhibitText"/>
              <w:tabs>
                <w:tab w:val="decimal" w:pos="882"/>
              </w:tabs>
              <w:jc w:val="right"/>
              <w:rPr>
                <w:lang w:val="en-GB"/>
              </w:rPr>
            </w:pPr>
            <w:r w:rsidRPr="00633FF0">
              <w:rPr>
                <w:lang w:val="en-GB"/>
              </w:rPr>
              <w:t>3</w:t>
            </w:r>
            <w:r w:rsidR="006E492E">
              <w:rPr>
                <w:lang w:val="en-GB"/>
              </w:rPr>
              <w:t>,</w:t>
            </w:r>
            <w:r w:rsidRPr="00633FF0">
              <w:rPr>
                <w:lang w:val="en-GB"/>
              </w:rPr>
              <w:t>168</w:t>
            </w:r>
            <w:r w:rsidR="005D18AE">
              <w:rPr>
                <w:lang w:val="en-GB"/>
              </w:rPr>
              <w:t>,</w:t>
            </w:r>
            <w:r w:rsidRPr="00633FF0">
              <w:rPr>
                <w:lang w:val="en-GB"/>
              </w:rPr>
              <w:t>226</w:t>
            </w:r>
          </w:p>
        </w:tc>
        <w:tc>
          <w:tcPr>
            <w:tcW w:w="1963" w:type="dxa"/>
            <w:hideMark/>
          </w:tcPr>
          <w:p w14:paraId="32E340BC" w14:textId="1FF5D08E" w:rsidR="00342A67" w:rsidRPr="00633FF0" w:rsidRDefault="00342A67" w:rsidP="000E3DCC">
            <w:pPr>
              <w:pStyle w:val="ExhibitText"/>
              <w:tabs>
                <w:tab w:val="decimal" w:pos="836"/>
              </w:tabs>
              <w:jc w:val="right"/>
              <w:rPr>
                <w:lang w:val="en-GB"/>
              </w:rPr>
            </w:pPr>
            <w:r w:rsidRPr="00633FF0">
              <w:rPr>
                <w:lang w:val="en-GB"/>
              </w:rPr>
              <w:t>2</w:t>
            </w:r>
            <w:r w:rsidR="006E492E">
              <w:rPr>
                <w:lang w:val="en-GB"/>
              </w:rPr>
              <w:t>,</w:t>
            </w:r>
            <w:r w:rsidRPr="00633FF0">
              <w:rPr>
                <w:lang w:val="en-GB"/>
              </w:rPr>
              <w:t>369</w:t>
            </w:r>
            <w:r w:rsidR="005D18AE">
              <w:rPr>
                <w:lang w:val="en-GB"/>
              </w:rPr>
              <w:t>,</w:t>
            </w:r>
            <w:r w:rsidRPr="00633FF0">
              <w:rPr>
                <w:lang w:val="en-GB"/>
              </w:rPr>
              <w:t>309</w:t>
            </w:r>
          </w:p>
        </w:tc>
        <w:tc>
          <w:tcPr>
            <w:tcW w:w="1963" w:type="dxa"/>
            <w:noWrap/>
            <w:hideMark/>
          </w:tcPr>
          <w:p w14:paraId="08E9B125" w14:textId="2EEDE31F" w:rsidR="00342A67" w:rsidRPr="00633FF0" w:rsidRDefault="00342A67" w:rsidP="000E3DCC">
            <w:pPr>
              <w:pStyle w:val="ExhibitText"/>
              <w:tabs>
                <w:tab w:val="decimal" w:pos="1018"/>
              </w:tabs>
              <w:jc w:val="right"/>
              <w:rPr>
                <w:lang w:val="en-GB"/>
              </w:rPr>
            </w:pPr>
            <w:r w:rsidRPr="00633FF0">
              <w:rPr>
                <w:lang w:val="en-GB"/>
              </w:rPr>
              <w:t>2</w:t>
            </w:r>
            <w:r w:rsidR="006E492E">
              <w:rPr>
                <w:lang w:val="en-GB"/>
              </w:rPr>
              <w:t>,</w:t>
            </w:r>
            <w:r w:rsidRPr="00633FF0">
              <w:rPr>
                <w:lang w:val="en-GB"/>
              </w:rPr>
              <w:t>515</w:t>
            </w:r>
            <w:r w:rsidR="005D18AE">
              <w:rPr>
                <w:lang w:val="en-GB"/>
              </w:rPr>
              <w:t>,</w:t>
            </w:r>
            <w:r w:rsidRPr="00633FF0">
              <w:rPr>
                <w:lang w:val="en-GB"/>
              </w:rPr>
              <w:t>572</w:t>
            </w:r>
          </w:p>
        </w:tc>
      </w:tr>
      <w:tr w:rsidR="00342A67" w:rsidRPr="00633FF0" w14:paraId="6B94DE4D" w14:textId="77777777" w:rsidTr="00BB0AC3">
        <w:trPr>
          <w:trHeight w:val="300"/>
          <w:jc w:val="center"/>
        </w:trPr>
        <w:tc>
          <w:tcPr>
            <w:tcW w:w="3055" w:type="dxa"/>
            <w:noWrap/>
            <w:hideMark/>
          </w:tcPr>
          <w:p w14:paraId="39AC84E2" w14:textId="77777777" w:rsidR="00342A67" w:rsidRPr="00633FF0" w:rsidRDefault="00342A67" w:rsidP="00404CD4">
            <w:pPr>
              <w:pStyle w:val="ExhibitText"/>
              <w:rPr>
                <w:i/>
                <w:iCs/>
                <w:lang w:val="en-GB"/>
              </w:rPr>
            </w:pPr>
            <w:r w:rsidRPr="00633FF0">
              <w:rPr>
                <w:i/>
                <w:iCs/>
                <w:lang w:val="en-GB"/>
              </w:rPr>
              <w:t>Total group equity</w:t>
            </w:r>
          </w:p>
        </w:tc>
        <w:tc>
          <w:tcPr>
            <w:tcW w:w="1963" w:type="dxa"/>
            <w:hideMark/>
          </w:tcPr>
          <w:p w14:paraId="0BE7B1FA" w14:textId="7A383DC9" w:rsidR="00342A67" w:rsidRPr="00633FF0" w:rsidRDefault="00342A67" w:rsidP="000E3DCC">
            <w:pPr>
              <w:pStyle w:val="ExhibitText"/>
              <w:tabs>
                <w:tab w:val="decimal" w:pos="882"/>
              </w:tabs>
              <w:jc w:val="right"/>
              <w:rPr>
                <w:bCs/>
                <w:lang w:val="en-GB"/>
              </w:rPr>
            </w:pPr>
            <w:r w:rsidRPr="00633FF0">
              <w:rPr>
                <w:bCs/>
                <w:lang w:val="en-GB"/>
              </w:rPr>
              <w:t>34</w:t>
            </w:r>
            <w:r w:rsidR="004E687F">
              <w:rPr>
                <w:bCs/>
                <w:lang w:val="en-GB"/>
              </w:rPr>
              <w:t>,</w:t>
            </w:r>
            <w:r w:rsidRPr="00633FF0">
              <w:rPr>
                <w:bCs/>
                <w:lang w:val="en-GB"/>
              </w:rPr>
              <w:t>146</w:t>
            </w:r>
            <w:r w:rsidR="005D18AE">
              <w:rPr>
                <w:bCs/>
                <w:lang w:val="en-GB"/>
              </w:rPr>
              <w:t>,</w:t>
            </w:r>
            <w:r w:rsidRPr="00633FF0">
              <w:rPr>
                <w:bCs/>
                <w:lang w:val="en-GB"/>
              </w:rPr>
              <w:t>239</w:t>
            </w:r>
          </w:p>
        </w:tc>
        <w:tc>
          <w:tcPr>
            <w:tcW w:w="1963" w:type="dxa"/>
            <w:noWrap/>
            <w:hideMark/>
          </w:tcPr>
          <w:p w14:paraId="64BCC96D" w14:textId="7B20F236" w:rsidR="00342A67" w:rsidRPr="00633FF0" w:rsidRDefault="00342A67" w:rsidP="000E3DCC">
            <w:pPr>
              <w:pStyle w:val="ExhibitText"/>
              <w:tabs>
                <w:tab w:val="decimal" w:pos="836"/>
              </w:tabs>
              <w:jc w:val="right"/>
              <w:rPr>
                <w:bCs/>
                <w:lang w:val="en-GB"/>
              </w:rPr>
            </w:pPr>
            <w:r w:rsidRPr="00633FF0">
              <w:rPr>
                <w:bCs/>
                <w:lang w:val="en-GB"/>
              </w:rPr>
              <w:t>30</w:t>
            </w:r>
            <w:r w:rsidR="006E492E">
              <w:rPr>
                <w:bCs/>
                <w:lang w:val="en-GB"/>
              </w:rPr>
              <w:t>,</w:t>
            </w:r>
            <w:r w:rsidRPr="00633FF0">
              <w:rPr>
                <w:bCs/>
                <w:lang w:val="en-GB"/>
              </w:rPr>
              <w:t>754</w:t>
            </w:r>
            <w:r w:rsidR="005D18AE">
              <w:rPr>
                <w:bCs/>
                <w:lang w:val="en-GB"/>
              </w:rPr>
              <w:t>,</w:t>
            </w:r>
            <w:r w:rsidRPr="00633FF0">
              <w:rPr>
                <w:bCs/>
                <w:lang w:val="en-GB"/>
              </w:rPr>
              <w:t>039</w:t>
            </w:r>
          </w:p>
        </w:tc>
        <w:tc>
          <w:tcPr>
            <w:tcW w:w="1963" w:type="dxa"/>
            <w:noWrap/>
            <w:hideMark/>
          </w:tcPr>
          <w:p w14:paraId="3B028AD5" w14:textId="5D09331F" w:rsidR="00342A67" w:rsidRPr="00633FF0" w:rsidRDefault="00342A67" w:rsidP="000E3DCC">
            <w:pPr>
              <w:pStyle w:val="ExhibitText"/>
              <w:tabs>
                <w:tab w:val="decimal" w:pos="1018"/>
              </w:tabs>
              <w:jc w:val="right"/>
              <w:rPr>
                <w:bCs/>
                <w:lang w:val="en-GB"/>
              </w:rPr>
            </w:pPr>
            <w:r w:rsidRPr="00633FF0">
              <w:rPr>
                <w:bCs/>
                <w:lang w:val="en-GB"/>
              </w:rPr>
              <w:t>30</w:t>
            </w:r>
            <w:r w:rsidR="006E492E">
              <w:rPr>
                <w:bCs/>
                <w:lang w:val="en-GB"/>
              </w:rPr>
              <w:t>,</w:t>
            </w:r>
            <w:r w:rsidRPr="00633FF0">
              <w:rPr>
                <w:bCs/>
                <w:lang w:val="en-GB"/>
              </w:rPr>
              <w:t>584</w:t>
            </w:r>
            <w:r w:rsidR="005D18AE">
              <w:rPr>
                <w:bCs/>
                <w:lang w:val="en-GB"/>
              </w:rPr>
              <w:t>,</w:t>
            </w:r>
            <w:r w:rsidRPr="00633FF0">
              <w:rPr>
                <w:bCs/>
                <w:lang w:val="en-GB"/>
              </w:rPr>
              <w:t>113</w:t>
            </w:r>
          </w:p>
        </w:tc>
      </w:tr>
      <w:tr w:rsidR="00342A67" w:rsidRPr="00633FF0" w14:paraId="7DB816F2" w14:textId="77777777" w:rsidTr="00BB0AC3">
        <w:trPr>
          <w:trHeight w:val="300"/>
          <w:jc w:val="center"/>
        </w:trPr>
        <w:tc>
          <w:tcPr>
            <w:tcW w:w="3055" w:type="dxa"/>
            <w:noWrap/>
            <w:hideMark/>
          </w:tcPr>
          <w:p w14:paraId="49211068" w14:textId="77777777" w:rsidR="00342A67" w:rsidRPr="00633FF0" w:rsidRDefault="00342A67" w:rsidP="00404CD4">
            <w:pPr>
              <w:pStyle w:val="ExhibitText"/>
              <w:rPr>
                <w:bCs/>
                <w:lang w:val="en-GB"/>
              </w:rPr>
            </w:pPr>
            <w:r w:rsidRPr="00633FF0">
              <w:rPr>
                <w:bCs/>
                <w:lang w:val="en-GB"/>
              </w:rPr>
              <w:t>Provisions</w:t>
            </w:r>
          </w:p>
        </w:tc>
        <w:tc>
          <w:tcPr>
            <w:tcW w:w="1963" w:type="dxa"/>
            <w:hideMark/>
          </w:tcPr>
          <w:p w14:paraId="6F6B176F" w14:textId="5F67DA6B" w:rsidR="00342A67" w:rsidRPr="00633FF0" w:rsidRDefault="00342A67" w:rsidP="000E3DCC">
            <w:pPr>
              <w:pStyle w:val="ExhibitText"/>
              <w:tabs>
                <w:tab w:val="decimal" w:pos="882"/>
              </w:tabs>
              <w:jc w:val="right"/>
              <w:rPr>
                <w:lang w:val="en-GB"/>
              </w:rPr>
            </w:pPr>
            <w:r w:rsidRPr="00633FF0">
              <w:rPr>
                <w:lang w:val="en-GB"/>
              </w:rPr>
              <w:t>4</w:t>
            </w:r>
            <w:r w:rsidR="006E492E">
              <w:rPr>
                <w:lang w:val="en-GB"/>
              </w:rPr>
              <w:t>,</w:t>
            </w:r>
            <w:r w:rsidRPr="00633FF0">
              <w:rPr>
                <w:lang w:val="en-GB"/>
              </w:rPr>
              <w:t>165</w:t>
            </w:r>
            <w:r w:rsidR="005D18AE">
              <w:rPr>
                <w:lang w:val="en-GB"/>
              </w:rPr>
              <w:t>,</w:t>
            </w:r>
            <w:r w:rsidRPr="00633FF0">
              <w:rPr>
                <w:lang w:val="en-GB"/>
              </w:rPr>
              <w:t>118</w:t>
            </w:r>
          </w:p>
        </w:tc>
        <w:tc>
          <w:tcPr>
            <w:tcW w:w="1963" w:type="dxa"/>
            <w:noWrap/>
            <w:hideMark/>
          </w:tcPr>
          <w:p w14:paraId="0BD65A43" w14:textId="4A4169FE" w:rsidR="00342A67" w:rsidRPr="00633FF0" w:rsidRDefault="00342A67" w:rsidP="000E3DCC">
            <w:pPr>
              <w:pStyle w:val="ExhibitText"/>
              <w:tabs>
                <w:tab w:val="decimal" w:pos="836"/>
              </w:tabs>
              <w:jc w:val="right"/>
              <w:rPr>
                <w:lang w:val="en-GB"/>
              </w:rPr>
            </w:pPr>
            <w:r w:rsidRPr="00633FF0">
              <w:rPr>
                <w:lang w:val="en-GB"/>
              </w:rPr>
              <w:t>4</w:t>
            </w:r>
            <w:r w:rsidR="006E492E">
              <w:rPr>
                <w:lang w:val="en-GB"/>
              </w:rPr>
              <w:t>,</w:t>
            </w:r>
            <w:r w:rsidRPr="00633FF0">
              <w:rPr>
                <w:lang w:val="en-GB"/>
              </w:rPr>
              <w:t>224</w:t>
            </w:r>
            <w:r w:rsidR="005D18AE">
              <w:rPr>
                <w:lang w:val="en-GB"/>
              </w:rPr>
              <w:t>,</w:t>
            </w:r>
            <w:r w:rsidRPr="00633FF0">
              <w:rPr>
                <w:lang w:val="en-GB"/>
              </w:rPr>
              <w:t>844</w:t>
            </w:r>
          </w:p>
        </w:tc>
        <w:tc>
          <w:tcPr>
            <w:tcW w:w="1963" w:type="dxa"/>
            <w:noWrap/>
            <w:hideMark/>
          </w:tcPr>
          <w:p w14:paraId="06E797D2" w14:textId="6CA76ACE" w:rsidR="00342A67" w:rsidRPr="00633FF0" w:rsidRDefault="00342A67" w:rsidP="000E3DCC">
            <w:pPr>
              <w:pStyle w:val="ExhibitText"/>
              <w:tabs>
                <w:tab w:val="decimal" w:pos="1018"/>
              </w:tabs>
              <w:jc w:val="right"/>
              <w:rPr>
                <w:lang w:val="en-GB"/>
              </w:rPr>
            </w:pPr>
            <w:r w:rsidRPr="00633FF0">
              <w:rPr>
                <w:lang w:val="en-GB"/>
              </w:rPr>
              <w:t xml:space="preserve"> 4</w:t>
            </w:r>
            <w:r w:rsidR="006E492E">
              <w:rPr>
                <w:lang w:val="en-GB"/>
              </w:rPr>
              <w:t>,</w:t>
            </w:r>
            <w:r w:rsidRPr="00633FF0">
              <w:rPr>
                <w:lang w:val="en-GB"/>
              </w:rPr>
              <w:t>832</w:t>
            </w:r>
            <w:r w:rsidR="005D18AE">
              <w:rPr>
                <w:lang w:val="en-GB"/>
              </w:rPr>
              <w:t>,</w:t>
            </w:r>
            <w:r w:rsidRPr="00633FF0">
              <w:rPr>
                <w:lang w:val="en-GB"/>
              </w:rPr>
              <w:t xml:space="preserve">096 </w:t>
            </w:r>
          </w:p>
        </w:tc>
      </w:tr>
      <w:tr w:rsidR="00342A67" w:rsidRPr="00633FF0" w14:paraId="5F2BCA54" w14:textId="77777777" w:rsidTr="00BB0AC3">
        <w:trPr>
          <w:trHeight w:val="285"/>
          <w:jc w:val="center"/>
        </w:trPr>
        <w:tc>
          <w:tcPr>
            <w:tcW w:w="3055" w:type="dxa"/>
            <w:noWrap/>
            <w:hideMark/>
          </w:tcPr>
          <w:p w14:paraId="1A5542F1" w14:textId="77777777" w:rsidR="00342A67" w:rsidRPr="00633FF0" w:rsidRDefault="00342A67" w:rsidP="00404CD4">
            <w:pPr>
              <w:pStyle w:val="ExhibitText"/>
              <w:rPr>
                <w:lang w:val="en-GB"/>
              </w:rPr>
            </w:pPr>
            <w:r w:rsidRPr="00633FF0">
              <w:rPr>
                <w:lang w:val="en-GB"/>
              </w:rPr>
              <w:t> </w:t>
            </w:r>
          </w:p>
        </w:tc>
        <w:tc>
          <w:tcPr>
            <w:tcW w:w="1963" w:type="dxa"/>
            <w:hideMark/>
          </w:tcPr>
          <w:p w14:paraId="1C03E8F8" w14:textId="77777777" w:rsidR="00342A67" w:rsidRPr="00633FF0" w:rsidRDefault="00342A67" w:rsidP="000E3DCC">
            <w:pPr>
              <w:pStyle w:val="ExhibitText"/>
              <w:tabs>
                <w:tab w:val="decimal" w:pos="882"/>
              </w:tabs>
              <w:jc w:val="right"/>
              <w:rPr>
                <w:lang w:val="en-GB"/>
              </w:rPr>
            </w:pPr>
            <w:r w:rsidRPr="00633FF0">
              <w:rPr>
                <w:lang w:val="en-GB"/>
              </w:rPr>
              <w:t> </w:t>
            </w:r>
          </w:p>
        </w:tc>
        <w:tc>
          <w:tcPr>
            <w:tcW w:w="1963" w:type="dxa"/>
            <w:noWrap/>
            <w:hideMark/>
          </w:tcPr>
          <w:p w14:paraId="5FCB3CA7" w14:textId="77777777" w:rsidR="00342A67" w:rsidRPr="00633FF0" w:rsidRDefault="00342A67" w:rsidP="000E3DCC">
            <w:pPr>
              <w:pStyle w:val="ExhibitText"/>
              <w:tabs>
                <w:tab w:val="decimal" w:pos="836"/>
              </w:tabs>
              <w:jc w:val="right"/>
              <w:rPr>
                <w:lang w:val="en-GB"/>
              </w:rPr>
            </w:pPr>
            <w:r w:rsidRPr="00633FF0">
              <w:rPr>
                <w:lang w:val="en-GB"/>
              </w:rPr>
              <w:t> </w:t>
            </w:r>
          </w:p>
        </w:tc>
        <w:tc>
          <w:tcPr>
            <w:tcW w:w="1963" w:type="dxa"/>
            <w:noWrap/>
            <w:hideMark/>
          </w:tcPr>
          <w:p w14:paraId="2025A4B0" w14:textId="77777777" w:rsidR="00342A67" w:rsidRPr="00633FF0" w:rsidRDefault="00342A67" w:rsidP="000E3DCC">
            <w:pPr>
              <w:pStyle w:val="ExhibitText"/>
              <w:tabs>
                <w:tab w:val="decimal" w:pos="1018"/>
              </w:tabs>
              <w:jc w:val="right"/>
              <w:rPr>
                <w:lang w:val="en-GB"/>
              </w:rPr>
            </w:pPr>
            <w:r w:rsidRPr="00633FF0">
              <w:rPr>
                <w:lang w:val="en-GB"/>
              </w:rPr>
              <w:t> </w:t>
            </w:r>
          </w:p>
        </w:tc>
      </w:tr>
      <w:tr w:rsidR="00342A67" w:rsidRPr="00633FF0" w14:paraId="0DF67A9E" w14:textId="77777777" w:rsidTr="00BB0AC3">
        <w:trPr>
          <w:trHeight w:val="300"/>
          <w:jc w:val="center"/>
        </w:trPr>
        <w:tc>
          <w:tcPr>
            <w:tcW w:w="3055" w:type="dxa"/>
            <w:noWrap/>
            <w:hideMark/>
          </w:tcPr>
          <w:p w14:paraId="2DFDE2EA" w14:textId="77777777" w:rsidR="00342A67" w:rsidRPr="00633FF0" w:rsidRDefault="00342A67" w:rsidP="00404CD4">
            <w:pPr>
              <w:pStyle w:val="ExhibitText"/>
              <w:rPr>
                <w:bCs/>
                <w:lang w:val="en-GB"/>
              </w:rPr>
            </w:pPr>
            <w:r w:rsidRPr="00633FF0">
              <w:rPr>
                <w:bCs/>
                <w:lang w:val="en-GB"/>
              </w:rPr>
              <w:t>Non-current liabilities</w:t>
            </w:r>
          </w:p>
        </w:tc>
        <w:tc>
          <w:tcPr>
            <w:tcW w:w="1963" w:type="dxa"/>
            <w:hideMark/>
          </w:tcPr>
          <w:p w14:paraId="421A4F29" w14:textId="7CCD4C53" w:rsidR="00342A67" w:rsidRPr="00633FF0" w:rsidRDefault="00342A67" w:rsidP="000E3DCC">
            <w:pPr>
              <w:pStyle w:val="ExhibitText"/>
              <w:tabs>
                <w:tab w:val="decimal" w:pos="882"/>
              </w:tabs>
              <w:jc w:val="right"/>
              <w:rPr>
                <w:lang w:val="en-GB"/>
              </w:rPr>
            </w:pPr>
            <w:r w:rsidRPr="00633FF0">
              <w:rPr>
                <w:lang w:val="en-GB"/>
              </w:rPr>
              <w:t>3</w:t>
            </w:r>
            <w:r w:rsidR="006E492E">
              <w:rPr>
                <w:lang w:val="en-GB"/>
              </w:rPr>
              <w:t>,</w:t>
            </w:r>
            <w:r w:rsidRPr="00633FF0">
              <w:rPr>
                <w:lang w:val="en-GB"/>
              </w:rPr>
              <w:t>661</w:t>
            </w:r>
            <w:r w:rsidR="005D18AE">
              <w:rPr>
                <w:lang w:val="en-GB"/>
              </w:rPr>
              <w:t>,</w:t>
            </w:r>
            <w:r w:rsidRPr="00633FF0">
              <w:rPr>
                <w:lang w:val="en-GB"/>
              </w:rPr>
              <w:t>619</w:t>
            </w:r>
          </w:p>
        </w:tc>
        <w:tc>
          <w:tcPr>
            <w:tcW w:w="1963" w:type="dxa"/>
            <w:hideMark/>
          </w:tcPr>
          <w:p w14:paraId="05EF5449" w14:textId="07ACCA07" w:rsidR="00342A67" w:rsidRPr="00633FF0" w:rsidRDefault="00342A67" w:rsidP="000E3DCC">
            <w:pPr>
              <w:pStyle w:val="ExhibitText"/>
              <w:tabs>
                <w:tab w:val="decimal" w:pos="836"/>
              </w:tabs>
              <w:jc w:val="right"/>
              <w:rPr>
                <w:lang w:val="en-GB"/>
              </w:rPr>
            </w:pPr>
            <w:r w:rsidRPr="00633FF0">
              <w:rPr>
                <w:lang w:val="en-GB"/>
              </w:rPr>
              <w:t>5</w:t>
            </w:r>
            <w:r w:rsidR="006E492E">
              <w:rPr>
                <w:lang w:val="en-GB"/>
              </w:rPr>
              <w:t>,</w:t>
            </w:r>
            <w:r w:rsidRPr="00633FF0">
              <w:rPr>
                <w:lang w:val="en-GB"/>
              </w:rPr>
              <w:t>259</w:t>
            </w:r>
            <w:r w:rsidR="005D18AE">
              <w:rPr>
                <w:lang w:val="en-GB"/>
              </w:rPr>
              <w:t>,</w:t>
            </w:r>
            <w:r w:rsidRPr="00633FF0">
              <w:rPr>
                <w:lang w:val="en-GB"/>
              </w:rPr>
              <w:t>725</w:t>
            </w:r>
          </w:p>
        </w:tc>
        <w:tc>
          <w:tcPr>
            <w:tcW w:w="1963" w:type="dxa"/>
            <w:noWrap/>
            <w:hideMark/>
          </w:tcPr>
          <w:p w14:paraId="795005AB" w14:textId="7A28E142" w:rsidR="00342A67" w:rsidRPr="00633FF0" w:rsidRDefault="00342A67" w:rsidP="000E3DCC">
            <w:pPr>
              <w:pStyle w:val="ExhibitText"/>
              <w:tabs>
                <w:tab w:val="decimal" w:pos="1018"/>
              </w:tabs>
              <w:jc w:val="right"/>
              <w:rPr>
                <w:lang w:val="en-GB"/>
              </w:rPr>
            </w:pPr>
            <w:r w:rsidRPr="00633FF0">
              <w:rPr>
                <w:lang w:val="en-GB"/>
              </w:rPr>
              <w:t>5</w:t>
            </w:r>
            <w:r w:rsidR="006E492E">
              <w:rPr>
                <w:lang w:val="en-GB"/>
              </w:rPr>
              <w:t>,</w:t>
            </w:r>
            <w:r w:rsidRPr="00633FF0">
              <w:rPr>
                <w:lang w:val="en-GB"/>
              </w:rPr>
              <w:t>687</w:t>
            </w:r>
            <w:r w:rsidR="005D18AE">
              <w:rPr>
                <w:lang w:val="en-GB"/>
              </w:rPr>
              <w:t>,</w:t>
            </w:r>
            <w:r w:rsidRPr="00633FF0">
              <w:rPr>
                <w:lang w:val="en-GB"/>
              </w:rPr>
              <w:t>487</w:t>
            </w:r>
          </w:p>
        </w:tc>
      </w:tr>
      <w:tr w:rsidR="00342A67" w:rsidRPr="00633FF0" w14:paraId="340565A5" w14:textId="77777777" w:rsidTr="00BB0AC3">
        <w:trPr>
          <w:trHeight w:val="300"/>
          <w:jc w:val="center"/>
        </w:trPr>
        <w:tc>
          <w:tcPr>
            <w:tcW w:w="3055" w:type="dxa"/>
            <w:noWrap/>
            <w:hideMark/>
          </w:tcPr>
          <w:p w14:paraId="43CABEDD" w14:textId="77777777" w:rsidR="00342A67" w:rsidRPr="00633FF0" w:rsidRDefault="00342A67" w:rsidP="00404CD4">
            <w:pPr>
              <w:pStyle w:val="ExhibitText"/>
              <w:rPr>
                <w:bCs/>
                <w:lang w:val="en-GB"/>
              </w:rPr>
            </w:pPr>
            <w:r w:rsidRPr="00633FF0">
              <w:rPr>
                <w:bCs/>
                <w:lang w:val="en-GB"/>
              </w:rPr>
              <w:t>Current liabilities</w:t>
            </w:r>
          </w:p>
        </w:tc>
        <w:tc>
          <w:tcPr>
            <w:tcW w:w="1963" w:type="dxa"/>
            <w:noWrap/>
            <w:hideMark/>
          </w:tcPr>
          <w:p w14:paraId="772C8D40" w14:textId="77777777" w:rsidR="00342A67" w:rsidRPr="00633FF0" w:rsidRDefault="00342A67" w:rsidP="000E3DCC">
            <w:pPr>
              <w:pStyle w:val="ExhibitText"/>
              <w:tabs>
                <w:tab w:val="decimal" w:pos="882"/>
              </w:tabs>
              <w:jc w:val="right"/>
              <w:rPr>
                <w:lang w:val="en-GB"/>
              </w:rPr>
            </w:pPr>
            <w:r w:rsidRPr="00633FF0">
              <w:rPr>
                <w:lang w:val="en-GB"/>
              </w:rPr>
              <w:t> </w:t>
            </w:r>
          </w:p>
        </w:tc>
        <w:tc>
          <w:tcPr>
            <w:tcW w:w="1963" w:type="dxa"/>
            <w:noWrap/>
            <w:hideMark/>
          </w:tcPr>
          <w:p w14:paraId="774F129C" w14:textId="77777777" w:rsidR="00342A67" w:rsidRPr="00633FF0" w:rsidRDefault="00342A67" w:rsidP="000E3DCC">
            <w:pPr>
              <w:pStyle w:val="ExhibitText"/>
              <w:tabs>
                <w:tab w:val="decimal" w:pos="836"/>
              </w:tabs>
              <w:jc w:val="right"/>
              <w:rPr>
                <w:lang w:val="en-GB"/>
              </w:rPr>
            </w:pPr>
            <w:r w:rsidRPr="00633FF0">
              <w:rPr>
                <w:lang w:val="en-GB"/>
              </w:rPr>
              <w:t> </w:t>
            </w:r>
          </w:p>
        </w:tc>
        <w:tc>
          <w:tcPr>
            <w:tcW w:w="1963" w:type="dxa"/>
            <w:noWrap/>
            <w:hideMark/>
          </w:tcPr>
          <w:p w14:paraId="574CAFE9" w14:textId="77777777" w:rsidR="00342A67" w:rsidRPr="00633FF0" w:rsidRDefault="00342A67" w:rsidP="000E3DCC">
            <w:pPr>
              <w:pStyle w:val="ExhibitText"/>
              <w:tabs>
                <w:tab w:val="decimal" w:pos="1018"/>
              </w:tabs>
              <w:jc w:val="right"/>
              <w:rPr>
                <w:lang w:val="en-GB"/>
              </w:rPr>
            </w:pPr>
            <w:r w:rsidRPr="00633FF0">
              <w:rPr>
                <w:lang w:val="en-GB"/>
              </w:rPr>
              <w:t> </w:t>
            </w:r>
          </w:p>
        </w:tc>
      </w:tr>
      <w:tr w:rsidR="00342A67" w:rsidRPr="00633FF0" w14:paraId="002F7B18" w14:textId="77777777" w:rsidTr="000E3DCC">
        <w:trPr>
          <w:trHeight w:val="570"/>
          <w:jc w:val="center"/>
        </w:trPr>
        <w:tc>
          <w:tcPr>
            <w:tcW w:w="3055" w:type="dxa"/>
            <w:hideMark/>
          </w:tcPr>
          <w:p w14:paraId="4E194947" w14:textId="77777777" w:rsidR="00342A67" w:rsidRPr="00633FF0" w:rsidRDefault="00342A67" w:rsidP="00BB0AC3">
            <w:pPr>
              <w:pStyle w:val="ExhibitText"/>
              <w:jc w:val="left"/>
              <w:rPr>
                <w:lang w:val="en-GB"/>
              </w:rPr>
            </w:pPr>
            <w:r w:rsidRPr="00633FF0">
              <w:rPr>
                <w:lang w:val="en-GB"/>
              </w:rPr>
              <w:t>Amounts payable to credit institutions</w:t>
            </w:r>
          </w:p>
        </w:tc>
        <w:tc>
          <w:tcPr>
            <w:tcW w:w="1963" w:type="dxa"/>
            <w:noWrap/>
            <w:hideMark/>
          </w:tcPr>
          <w:p w14:paraId="612C0758" w14:textId="77777777" w:rsidR="00342A67" w:rsidRPr="00633FF0" w:rsidRDefault="00342A67" w:rsidP="000E3DCC">
            <w:pPr>
              <w:pStyle w:val="ExhibitText"/>
              <w:tabs>
                <w:tab w:val="decimal" w:pos="882"/>
              </w:tabs>
              <w:jc w:val="right"/>
              <w:rPr>
                <w:lang w:val="en-GB"/>
              </w:rPr>
            </w:pPr>
            <w:r w:rsidRPr="00633FF0">
              <w:rPr>
                <w:lang w:val="en-GB"/>
              </w:rPr>
              <w:t> </w:t>
            </w:r>
          </w:p>
        </w:tc>
        <w:tc>
          <w:tcPr>
            <w:tcW w:w="1963" w:type="dxa"/>
            <w:noWrap/>
            <w:hideMark/>
          </w:tcPr>
          <w:p w14:paraId="5854681E" w14:textId="77777777" w:rsidR="00342A67" w:rsidRPr="00633FF0" w:rsidRDefault="00342A67" w:rsidP="000E3DCC">
            <w:pPr>
              <w:pStyle w:val="ExhibitText"/>
              <w:tabs>
                <w:tab w:val="decimal" w:pos="836"/>
              </w:tabs>
              <w:jc w:val="right"/>
              <w:rPr>
                <w:lang w:val="en-GB"/>
              </w:rPr>
            </w:pPr>
            <w:r w:rsidRPr="00633FF0">
              <w:rPr>
                <w:lang w:val="en-GB"/>
              </w:rPr>
              <w:t> </w:t>
            </w:r>
          </w:p>
        </w:tc>
        <w:tc>
          <w:tcPr>
            <w:tcW w:w="1963" w:type="dxa"/>
            <w:noWrap/>
            <w:vAlign w:val="center"/>
            <w:hideMark/>
          </w:tcPr>
          <w:p w14:paraId="48F528EA" w14:textId="4E9D7D07" w:rsidR="00342A67" w:rsidRPr="00633FF0" w:rsidRDefault="00342A67" w:rsidP="000E3DCC">
            <w:pPr>
              <w:pStyle w:val="ExhibitText"/>
              <w:tabs>
                <w:tab w:val="decimal" w:pos="1018"/>
              </w:tabs>
              <w:jc w:val="right"/>
              <w:rPr>
                <w:lang w:val="en-GB"/>
              </w:rPr>
            </w:pPr>
            <w:r w:rsidRPr="00633FF0">
              <w:rPr>
                <w:lang w:val="en-GB"/>
              </w:rPr>
              <w:t>1</w:t>
            </w:r>
            <w:r w:rsidR="006E492E">
              <w:rPr>
                <w:lang w:val="en-GB"/>
              </w:rPr>
              <w:t>,</w:t>
            </w:r>
            <w:r w:rsidRPr="00633FF0">
              <w:rPr>
                <w:lang w:val="en-GB"/>
              </w:rPr>
              <w:t>407</w:t>
            </w:r>
            <w:r w:rsidR="005D18AE">
              <w:rPr>
                <w:lang w:val="en-GB"/>
              </w:rPr>
              <w:t>,</w:t>
            </w:r>
            <w:r w:rsidRPr="00633FF0">
              <w:rPr>
                <w:lang w:val="en-GB"/>
              </w:rPr>
              <w:t>098</w:t>
            </w:r>
          </w:p>
        </w:tc>
      </w:tr>
      <w:tr w:rsidR="00342A67" w:rsidRPr="00633FF0" w14:paraId="0DD702B3" w14:textId="77777777" w:rsidTr="00BB0AC3">
        <w:trPr>
          <w:trHeight w:val="285"/>
          <w:jc w:val="center"/>
        </w:trPr>
        <w:tc>
          <w:tcPr>
            <w:tcW w:w="3055" w:type="dxa"/>
            <w:noWrap/>
            <w:hideMark/>
          </w:tcPr>
          <w:p w14:paraId="3891F247" w14:textId="77777777" w:rsidR="00342A67" w:rsidRPr="00633FF0" w:rsidRDefault="00342A67" w:rsidP="00404CD4">
            <w:pPr>
              <w:pStyle w:val="ExhibitText"/>
              <w:rPr>
                <w:lang w:val="en-GB"/>
              </w:rPr>
            </w:pPr>
            <w:r w:rsidRPr="00633FF0">
              <w:rPr>
                <w:lang w:val="en-GB"/>
              </w:rPr>
              <w:t>Mortgages and other loans</w:t>
            </w:r>
          </w:p>
        </w:tc>
        <w:tc>
          <w:tcPr>
            <w:tcW w:w="1963" w:type="dxa"/>
            <w:noWrap/>
            <w:hideMark/>
          </w:tcPr>
          <w:p w14:paraId="28798688" w14:textId="77777777" w:rsidR="00342A67" w:rsidRPr="00633FF0" w:rsidRDefault="00342A67" w:rsidP="000E3DCC">
            <w:pPr>
              <w:pStyle w:val="ExhibitText"/>
              <w:tabs>
                <w:tab w:val="decimal" w:pos="882"/>
              </w:tabs>
              <w:jc w:val="right"/>
              <w:rPr>
                <w:lang w:val="en-GB"/>
              </w:rPr>
            </w:pPr>
            <w:r w:rsidRPr="00633FF0">
              <w:rPr>
                <w:lang w:val="en-GB"/>
              </w:rPr>
              <w:t> </w:t>
            </w:r>
          </w:p>
        </w:tc>
        <w:tc>
          <w:tcPr>
            <w:tcW w:w="1963" w:type="dxa"/>
            <w:noWrap/>
            <w:hideMark/>
          </w:tcPr>
          <w:p w14:paraId="5ADECE9D" w14:textId="77777777" w:rsidR="00342A67" w:rsidRPr="00633FF0" w:rsidRDefault="00342A67" w:rsidP="000E3DCC">
            <w:pPr>
              <w:pStyle w:val="ExhibitText"/>
              <w:tabs>
                <w:tab w:val="decimal" w:pos="836"/>
              </w:tabs>
              <w:jc w:val="right"/>
              <w:rPr>
                <w:lang w:val="en-GB"/>
              </w:rPr>
            </w:pPr>
            <w:r w:rsidRPr="00633FF0">
              <w:rPr>
                <w:lang w:val="en-GB"/>
              </w:rPr>
              <w:t> </w:t>
            </w:r>
          </w:p>
        </w:tc>
        <w:tc>
          <w:tcPr>
            <w:tcW w:w="1963" w:type="dxa"/>
            <w:noWrap/>
            <w:hideMark/>
          </w:tcPr>
          <w:p w14:paraId="69236498" w14:textId="41EB8C62" w:rsidR="00342A67" w:rsidRPr="00633FF0" w:rsidRDefault="00342A67" w:rsidP="000E3DCC">
            <w:pPr>
              <w:pStyle w:val="ExhibitText"/>
              <w:tabs>
                <w:tab w:val="decimal" w:pos="1018"/>
              </w:tabs>
              <w:jc w:val="right"/>
              <w:rPr>
                <w:lang w:val="en-GB"/>
              </w:rPr>
            </w:pPr>
            <w:r w:rsidRPr="00633FF0">
              <w:rPr>
                <w:lang w:val="en-GB"/>
              </w:rPr>
              <w:t>2</w:t>
            </w:r>
            <w:r w:rsidR="006E492E">
              <w:rPr>
                <w:lang w:val="en-GB"/>
              </w:rPr>
              <w:t>,</w:t>
            </w:r>
            <w:r w:rsidRPr="00633FF0">
              <w:rPr>
                <w:lang w:val="en-GB"/>
              </w:rPr>
              <w:t>407</w:t>
            </w:r>
            <w:r w:rsidR="005D18AE">
              <w:rPr>
                <w:lang w:val="en-GB"/>
              </w:rPr>
              <w:t>,</w:t>
            </w:r>
            <w:r w:rsidRPr="00633FF0">
              <w:rPr>
                <w:lang w:val="en-GB"/>
              </w:rPr>
              <w:t>636</w:t>
            </w:r>
          </w:p>
        </w:tc>
      </w:tr>
      <w:tr w:rsidR="00342A67" w:rsidRPr="00633FF0" w14:paraId="638398CD" w14:textId="77777777" w:rsidTr="00BB0AC3">
        <w:trPr>
          <w:trHeight w:val="285"/>
          <w:jc w:val="center"/>
        </w:trPr>
        <w:tc>
          <w:tcPr>
            <w:tcW w:w="3055" w:type="dxa"/>
            <w:noWrap/>
            <w:hideMark/>
          </w:tcPr>
          <w:p w14:paraId="0C8F3A96" w14:textId="77777777" w:rsidR="00342A67" w:rsidRPr="00633FF0" w:rsidRDefault="00342A67" w:rsidP="00404CD4">
            <w:pPr>
              <w:pStyle w:val="ExhibitText"/>
              <w:rPr>
                <w:lang w:val="en-GB"/>
              </w:rPr>
            </w:pPr>
            <w:r w:rsidRPr="00633FF0">
              <w:rPr>
                <w:lang w:val="en-GB"/>
              </w:rPr>
              <w:t>Creditors</w:t>
            </w:r>
          </w:p>
        </w:tc>
        <w:tc>
          <w:tcPr>
            <w:tcW w:w="1963" w:type="dxa"/>
            <w:noWrap/>
            <w:hideMark/>
          </w:tcPr>
          <w:p w14:paraId="1271C1CD" w14:textId="77777777" w:rsidR="00342A67" w:rsidRPr="00633FF0" w:rsidRDefault="00342A67" w:rsidP="000E3DCC">
            <w:pPr>
              <w:pStyle w:val="ExhibitText"/>
              <w:tabs>
                <w:tab w:val="decimal" w:pos="882"/>
              </w:tabs>
              <w:jc w:val="right"/>
              <w:rPr>
                <w:lang w:val="en-GB"/>
              </w:rPr>
            </w:pPr>
            <w:r w:rsidRPr="00633FF0">
              <w:rPr>
                <w:lang w:val="en-GB"/>
              </w:rPr>
              <w:t> </w:t>
            </w:r>
          </w:p>
        </w:tc>
        <w:tc>
          <w:tcPr>
            <w:tcW w:w="1963" w:type="dxa"/>
            <w:noWrap/>
            <w:hideMark/>
          </w:tcPr>
          <w:p w14:paraId="613F289A" w14:textId="77777777" w:rsidR="00342A67" w:rsidRPr="00633FF0" w:rsidRDefault="00342A67" w:rsidP="000E3DCC">
            <w:pPr>
              <w:pStyle w:val="ExhibitText"/>
              <w:tabs>
                <w:tab w:val="decimal" w:pos="836"/>
              </w:tabs>
              <w:jc w:val="right"/>
              <w:rPr>
                <w:lang w:val="en-GB"/>
              </w:rPr>
            </w:pPr>
            <w:r w:rsidRPr="00633FF0">
              <w:rPr>
                <w:lang w:val="en-GB"/>
              </w:rPr>
              <w:t> </w:t>
            </w:r>
          </w:p>
        </w:tc>
        <w:tc>
          <w:tcPr>
            <w:tcW w:w="1963" w:type="dxa"/>
            <w:noWrap/>
            <w:hideMark/>
          </w:tcPr>
          <w:p w14:paraId="246F790C" w14:textId="294274E2" w:rsidR="00342A67" w:rsidRPr="00633FF0" w:rsidRDefault="00342A67" w:rsidP="000E3DCC">
            <w:pPr>
              <w:pStyle w:val="ExhibitText"/>
              <w:tabs>
                <w:tab w:val="decimal" w:pos="1018"/>
              </w:tabs>
              <w:jc w:val="right"/>
              <w:rPr>
                <w:lang w:val="en-GB"/>
              </w:rPr>
            </w:pPr>
            <w:r w:rsidRPr="00633FF0">
              <w:rPr>
                <w:lang w:val="en-GB"/>
              </w:rPr>
              <w:t>8</w:t>
            </w:r>
            <w:r w:rsidR="006E492E">
              <w:rPr>
                <w:lang w:val="en-GB"/>
              </w:rPr>
              <w:t>,</w:t>
            </w:r>
            <w:r w:rsidRPr="00633FF0">
              <w:rPr>
                <w:lang w:val="en-GB"/>
              </w:rPr>
              <w:t>001</w:t>
            </w:r>
            <w:r w:rsidR="005D18AE">
              <w:rPr>
                <w:lang w:val="en-GB"/>
              </w:rPr>
              <w:t>,</w:t>
            </w:r>
            <w:r w:rsidRPr="00633FF0">
              <w:rPr>
                <w:lang w:val="en-GB"/>
              </w:rPr>
              <w:t>602</w:t>
            </w:r>
          </w:p>
        </w:tc>
      </w:tr>
      <w:tr w:rsidR="00342A67" w:rsidRPr="00633FF0" w14:paraId="282CFE2C" w14:textId="77777777" w:rsidTr="000E3DCC">
        <w:trPr>
          <w:trHeight w:val="285"/>
          <w:jc w:val="center"/>
        </w:trPr>
        <w:tc>
          <w:tcPr>
            <w:tcW w:w="3055" w:type="dxa"/>
            <w:noWrap/>
            <w:hideMark/>
          </w:tcPr>
          <w:p w14:paraId="4A89C956" w14:textId="187F9264" w:rsidR="00342A67" w:rsidRPr="00633FF0" w:rsidRDefault="00342A67" w:rsidP="00404CD4">
            <w:pPr>
              <w:pStyle w:val="ExhibitText"/>
              <w:rPr>
                <w:lang w:val="en-GB"/>
              </w:rPr>
            </w:pPr>
            <w:r w:rsidRPr="00633FF0">
              <w:rPr>
                <w:lang w:val="en-GB"/>
              </w:rPr>
              <w:t>Other liabilities, accruals</w:t>
            </w:r>
            <w:r w:rsidR="00D67587">
              <w:rPr>
                <w:lang w:val="en-GB"/>
              </w:rPr>
              <w:t>, and deferred income</w:t>
            </w:r>
          </w:p>
        </w:tc>
        <w:tc>
          <w:tcPr>
            <w:tcW w:w="1963" w:type="dxa"/>
            <w:noWrap/>
            <w:hideMark/>
          </w:tcPr>
          <w:p w14:paraId="7E7E151B" w14:textId="77777777" w:rsidR="00342A67" w:rsidRPr="00633FF0" w:rsidRDefault="00342A67" w:rsidP="000E3DCC">
            <w:pPr>
              <w:pStyle w:val="ExhibitText"/>
              <w:tabs>
                <w:tab w:val="decimal" w:pos="882"/>
              </w:tabs>
              <w:jc w:val="right"/>
              <w:rPr>
                <w:lang w:val="en-GB"/>
              </w:rPr>
            </w:pPr>
            <w:r w:rsidRPr="00633FF0">
              <w:rPr>
                <w:lang w:val="en-GB"/>
              </w:rPr>
              <w:t> </w:t>
            </w:r>
          </w:p>
        </w:tc>
        <w:tc>
          <w:tcPr>
            <w:tcW w:w="1963" w:type="dxa"/>
            <w:noWrap/>
            <w:hideMark/>
          </w:tcPr>
          <w:p w14:paraId="070DBA4B" w14:textId="77777777" w:rsidR="00342A67" w:rsidRPr="00633FF0" w:rsidRDefault="00342A67" w:rsidP="000E3DCC">
            <w:pPr>
              <w:pStyle w:val="ExhibitText"/>
              <w:tabs>
                <w:tab w:val="decimal" w:pos="836"/>
              </w:tabs>
              <w:jc w:val="right"/>
              <w:rPr>
                <w:lang w:val="en-GB"/>
              </w:rPr>
            </w:pPr>
            <w:r w:rsidRPr="00633FF0">
              <w:rPr>
                <w:lang w:val="en-GB"/>
              </w:rPr>
              <w:t> </w:t>
            </w:r>
          </w:p>
        </w:tc>
        <w:tc>
          <w:tcPr>
            <w:tcW w:w="1963" w:type="dxa"/>
            <w:noWrap/>
            <w:vAlign w:val="center"/>
            <w:hideMark/>
          </w:tcPr>
          <w:p w14:paraId="717171F0" w14:textId="0775C476" w:rsidR="00342A67" w:rsidRPr="00633FF0" w:rsidRDefault="00D67587" w:rsidP="000E3DCC">
            <w:pPr>
              <w:pStyle w:val="ExhibitText"/>
              <w:tabs>
                <w:tab w:val="decimal" w:pos="1018"/>
              </w:tabs>
              <w:jc w:val="right"/>
              <w:rPr>
                <w:lang w:val="en-GB"/>
              </w:rPr>
            </w:pPr>
            <w:r w:rsidRPr="00633FF0">
              <w:rPr>
                <w:lang w:val="en-GB"/>
              </w:rPr>
              <w:t>10</w:t>
            </w:r>
            <w:r>
              <w:rPr>
                <w:lang w:val="en-GB"/>
              </w:rPr>
              <w:t>,</w:t>
            </w:r>
            <w:r w:rsidRPr="00633FF0">
              <w:rPr>
                <w:lang w:val="en-GB"/>
              </w:rPr>
              <w:t>136</w:t>
            </w:r>
            <w:r>
              <w:rPr>
                <w:lang w:val="en-GB"/>
              </w:rPr>
              <w:t>,</w:t>
            </w:r>
            <w:r w:rsidRPr="00633FF0">
              <w:rPr>
                <w:lang w:val="en-GB"/>
              </w:rPr>
              <w:t>913</w:t>
            </w:r>
            <w:r w:rsidR="00342A67" w:rsidRPr="00633FF0">
              <w:rPr>
                <w:lang w:val="en-GB"/>
              </w:rPr>
              <w:t> </w:t>
            </w:r>
          </w:p>
        </w:tc>
      </w:tr>
      <w:tr w:rsidR="00342A67" w:rsidRPr="00633FF0" w14:paraId="65A03936" w14:textId="77777777" w:rsidTr="00BB0AC3">
        <w:trPr>
          <w:trHeight w:val="300"/>
          <w:jc w:val="center"/>
        </w:trPr>
        <w:tc>
          <w:tcPr>
            <w:tcW w:w="3055" w:type="dxa"/>
            <w:noWrap/>
            <w:hideMark/>
          </w:tcPr>
          <w:p w14:paraId="5664A94A" w14:textId="77777777" w:rsidR="00342A67" w:rsidRPr="00633FF0" w:rsidRDefault="00342A67" w:rsidP="00404CD4">
            <w:pPr>
              <w:pStyle w:val="ExhibitText"/>
              <w:rPr>
                <w:i/>
                <w:iCs/>
                <w:lang w:val="en-GB"/>
              </w:rPr>
            </w:pPr>
            <w:r w:rsidRPr="00633FF0">
              <w:rPr>
                <w:i/>
                <w:iCs/>
                <w:lang w:val="en-GB"/>
              </w:rPr>
              <w:t>Total current liabilities</w:t>
            </w:r>
          </w:p>
        </w:tc>
        <w:tc>
          <w:tcPr>
            <w:tcW w:w="1963" w:type="dxa"/>
            <w:hideMark/>
          </w:tcPr>
          <w:p w14:paraId="3F92D17F" w14:textId="79C3CD91" w:rsidR="00342A67" w:rsidRPr="00633FF0" w:rsidRDefault="00342A67" w:rsidP="000E3DCC">
            <w:pPr>
              <w:pStyle w:val="ExhibitText"/>
              <w:tabs>
                <w:tab w:val="decimal" w:pos="882"/>
              </w:tabs>
              <w:jc w:val="right"/>
              <w:rPr>
                <w:bCs/>
                <w:lang w:val="en-GB"/>
              </w:rPr>
            </w:pPr>
            <w:r w:rsidRPr="00633FF0">
              <w:rPr>
                <w:bCs/>
                <w:lang w:val="en-GB"/>
              </w:rPr>
              <w:t>20</w:t>
            </w:r>
            <w:r w:rsidR="006E492E">
              <w:rPr>
                <w:bCs/>
                <w:lang w:val="en-GB"/>
              </w:rPr>
              <w:t>,</w:t>
            </w:r>
            <w:r w:rsidRPr="00633FF0">
              <w:rPr>
                <w:bCs/>
                <w:lang w:val="en-GB"/>
              </w:rPr>
              <w:t>260</w:t>
            </w:r>
            <w:r w:rsidR="005D18AE">
              <w:rPr>
                <w:bCs/>
                <w:lang w:val="en-GB"/>
              </w:rPr>
              <w:t>,</w:t>
            </w:r>
            <w:r w:rsidRPr="00633FF0">
              <w:rPr>
                <w:bCs/>
                <w:lang w:val="en-GB"/>
              </w:rPr>
              <w:t>162</w:t>
            </w:r>
          </w:p>
        </w:tc>
        <w:tc>
          <w:tcPr>
            <w:tcW w:w="1963" w:type="dxa"/>
            <w:noWrap/>
            <w:hideMark/>
          </w:tcPr>
          <w:p w14:paraId="6F331951" w14:textId="186EB42C" w:rsidR="00342A67" w:rsidRPr="00633FF0" w:rsidRDefault="00342A67" w:rsidP="000E3DCC">
            <w:pPr>
              <w:pStyle w:val="ExhibitText"/>
              <w:tabs>
                <w:tab w:val="decimal" w:pos="836"/>
              </w:tabs>
              <w:jc w:val="right"/>
              <w:rPr>
                <w:bCs/>
                <w:lang w:val="en-GB"/>
              </w:rPr>
            </w:pPr>
            <w:r w:rsidRPr="00633FF0">
              <w:rPr>
                <w:bCs/>
                <w:lang w:val="en-GB"/>
              </w:rPr>
              <w:t>19</w:t>
            </w:r>
            <w:r w:rsidR="006E492E">
              <w:rPr>
                <w:bCs/>
                <w:lang w:val="en-GB"/>
              </w:rPr>
              <w:t>,</w:t>
            </w:r>
            <w:r w:rsidRPr="00633FF0">
              <w:rPr>
                <w:bCs/>
                <w:lang w:val="en-GB"/>
              </w:rPr>
              <w:t>237</w:t>
            </w:r>
            <w:r w:rsidR="005D18AE">
              <w:rPr>
                <w:bCs/>
                <w:lang w:val="en-GB"/>
              </w:rPr>
              <w:t>,</w:t>
            </w:r>
            <w:r w:rsidRPr="00633FF0">
              <w:rPr>
                <w:bCs/>
                <w:lang w:val="en-GB"/>
              </w:rPr>
              <w:t>693</w:t>
            </w:r>
          </w:p>
        </w:tc>
        <w:tc>
          <w:tcPr>
            <w:tcW w:w="1963" w:type="dxa"/>
            <w:noWrap/>
            <w:hideMark/>
          </w:tcPr>
          <w:p w14:paraId="5C4BDE69" w14:textId="696F02B3" w:rsidR="00342A67" w:rsidRPr="00633FF0" w:rsidRDefault="00342A67" w:rsidP="000E3DCC">
            <w:pPr>
              <w:pStyle w:val="ExhibitText"/>
              <w:tabs>
                <w:tab w:val="decimal" w:pos="1018"/>
              </w:tabs>
              <w:jc w:val="right"/>
              <w:rPr>
                <w:bCs/>
                <w:lang w:val="en-GB"/>
              </w:rPr>
            </w:pPr>
            <w:r w:rsidRPr="00633FF0">
              <w:rPr>
                <w:bCs/>
                <w:lang w:val="en-GB"/>
              </w:rPr>
              <w:t>21</w:t>
            </w:r>
            <w:r w:rsidR="006E492E">
              <w:rPr>
                <w:bCs/>
                <w:lang w:val="en-GB"/>
              </w:rPr>
              <w:t>,</w:t>
            </w:r>
            <w:r w:rsidRPr="00633FF0">
              <w:rPr>
                <w:bCs/>
                <w:lang w:val="en-GB"/>
              </w:rPr>
              <w:t>953</w:t>
            </w:r>
            <w:r w:rsidR="005D18AE">
              <w:rPr>
                <w:bCs/>
                <w:lang w:val="en-GB"/>
              </w:rPr>
              <w:t>,</w:t>
            </w:r>
            <w:r w:rsidRPr="00633FF0">
              <w:rPr>
                <w:bCs/>
                <w:lang w:val="en-GB"/>
              </w:rPr>
              <w:t>249</w:t>
            </w:r>
          </w:p>
        </w:tc>
      </w:tr>
      <w:tr w:rsidR="00342A67" w:rsidRPr="00633FF0" w14:paraId="639BE776" w14:textId="77777777" w:rsidTr="00BB0AC3">
        <w:trPr>
          <w:trHeight w:val="315"/>
          <w:jc w:val="center"/>
        </w:trPr>
        <w:tc>
          <w:tcPr>
            <w:tcW w:w="3055" w:type="dxa"/>
            <w:noWrap/>
            <w:hideMark/>
          </w:tcPr>
          <w:p w14:paraId="4EBFA901" w14:textId="4F9F3BBE" w:rsidR="00342A67" w:rsidRPr="00633FF0" w:rsidRDefault="00342A67" w:rsidP="00404CD4">
            <w:pPr>
              <w:pStyle w:val="ExhibitText"/>
              <w:rPr>
                <w:bCs/>
                <w:lang w:val="en-GB"/>
              </w:rPr>
            </w:pPr>
            <w:r w:rsidRPr="00633FF0">
              <w:rPr>
                <w:bCs/>
                <w:lang w:val="en-GB"/>
              </w:rPr>
              <w:t>Total liabilities</w:t>
            </w:r>
            <w:r w:rsidR="00A2018A">
              <w:rPr>
                <w:bCs/>
                <w:lang w:val="en-GB"/>
              </w:rPr>
              <w:t>*</w:t>
            </w:r>
          </w:p>
        </w:tc>
        <w:tc>
          <w:tcPr>
            <w:tcW w:w="1963" w:type="dxa"/>
            <w:hideMark/>
          </w:tcPr>
          <w:p w14:paraId="47D7B005" w14:textId="3A2C941B" w:rsidR="00342A67" w:rsidRPr="00633FF0" w:rsidRDefault="00342A67" w:rsidP="000E3DCC">
            <w:pPr>
              <w:pStyle w:val="ExhibitText"/>
              <w:tabs>
                <w:tab w:val="decimal" w:pos="882"/>
              </w:tabs>
              <w:jc w:val="right"/>
              <w:rPr>
                <w:bCs/>
                <w:lang w:val="en-GB"/>
              </w:rPr>
            </w:pPr>
            <w:r w:rsidRPr="00633FF0">
              <w:rPr>
                <w:bCs/>
                <w:lang w:val="en-GB"/>
              </w:rPr>
              <w:t> 62</w:t>
            </w:r>
            <w:r w:rsidR="006E492E">
              <w:rPr>
                <w:bCs/>
                <w:lang w:val="en-GB"/>
              </w:rPr>
              <w:t>,</w:t>
            </w:r>
            <w:r w:rsidRPr="00633FF0">
              <w:rPr>
                <w:bCs/>
                <w:lang w:val="en-GB"/>
              </w:rPr>
              <w:t>233</w:t>
            </w:r>
            <w:r w:rsidR="005D18AE">
              <w:rPr>
                <w:bCs/>
                <w:lang w:val="en-GB"/>
              </w:rPr>
              <w:t>,</w:t>
            </w:r>
            <w:r w:rsidRPr="00633FF0">
              <w:rPr>
                <w:bCs/>
                <w:lang w:val="en-GB"/>
              </w:rPr>
              <w:t>138</w:t>
            </w:r>
          </w:p>
        </w:tc>
        <w:tc>
          <w:tcPr>
            <w:tcW w:w="1963" w:type="dxa"/>
            <w:hideMark/>
          </w:tcPr>
          <w:p w14:paraId="6940E1C3" w14:textId="7590AB34" w:rsidR="00342A67" w:rsidRPr="00633FF0" w:rsidRDefault="00342A67" w:rsidP="000E3DCC">
            <w:pPr>
              <w:pStyle w:val="ExhibitText"/>
              <w:tabs>
                <w:tab w:val="decimal" w:pos="836"/>
              </w:tabs>
              <w:jc w:val="right"/>
              <w:rPr>
                <w:bCs/>
                <w:lang w:val="en-GB"/>
              </w:rPr>
            </w:pPr>
            <w:r w:rsidRPr="00633FF0">
              <w:rPr>
                <w:bCs/>
                <w:lang w:val="en-GB"/>
              </w:rPr>
              <w:t>59</w:t>
            </w:r>
            <w:r w:rsidR="006E492E">
              <w:rPr>
                <w:bCs/>
                <w:lang w:val="en-GB"/>
              </w:rPr>
              <w:t>,</w:t>
            </w:r>
            <w:r w:rsidRPr="00633FF0">
              <w:rPr>
                <w:bCs/>
                <w:lang w:val="en-GB"/>
              </w:rPr>
              <w:t>476</w:t>
            </w:r>
            <w:r w:rsidR="005D18AE">
              <w:rPr>
                <w:bCs/>
                <w:lang w:val="en-GB"/>
              </w:rPr>
              <w:t>,</w:t>
            </w:r>
            <w:r w:rsidRPr="00633FF0">
              <w:rPr>
                <w:bCs/>
                <w:lang w:val="en-GB"/>
              </w:rPr>
              <w:t>301</w:t>
            </w:r>
          </w:p>
        </w:tc>
        <w:tc>
          <w:tcPr>
            <w:tcW w:w="1963" w:type="dxa"/>
            <w:noWrap/>
            <w:hideMark/>
          </w:tcPr>
          <w:p w14:paraId="2353DEED" w14:textId="1799BAA0" w:rsidR="00342A67" w:rsidRPr="00633FF0" w:rsidRDefault="00342A67" w:rsidP="000E3DCC">
            <w:pPr>
              <w:pStyle w:val="ExhibitText"/>
              <w:tabs>
                <w:tab w:val="decimal" w:pos="1018"/>
              </w:tabs>
              <w:jc w:val="right"/>
              <w:rPr>
                <w:bCs/>
                <w:lang w:val="en-GB"/>
              </w:rPr>
            </w:pPr>
            <w:r w:rsidRPr="00633FF0">
              <w:rPr>
                <w:bCs/>
                <w:lang w:val="en-GB"/>
              </w:rPr>
              <w:t>63</w:t>
            </w:r>
            <w:r w:rsidR="006E492E">
              <w:rPr>
                <w:bCs/>
                <w:lang w:val="en-GB"/>
              </w:rPr>
              <w:t>,</w:t>
            </w:r>
            <w:r w:rsidRPr="00633FF0">
              <w:rPr>
                <w:bCs/>
                <w:lang w:val="en-GB"/>
              </w:rPr>
              <w:t>056</w:t>
            </w:r>
            <w:r w:rsidR="005D18AE">
              <w:rPr>
                <w:bCs/>
                <w:lang w:val="en-GB"/>
              </w:rPr>
              <w:t>,</w:t>
            </w:r>
            <w:r w:rsidRPr="00633FF0">
              <w:rPr>
                <w:bCs/>
                <w:lang w:val="en-GB"/>
              </w:rPr>
              <w:t>946</w:t>
            </w:r>
          </w:p>
        </w:tc>
      </w:tr>
    </w:tbl>
    <w:p w14:paraId="4AAC319A" w14:textId="77777777" w:rsidR="00342A67" w:rsidRPr="00633FF0" w:rsidRDefault="00342A67" w:rsidP="00342A67">
      <w:pPr>
        <w:pStyle w:val="ExhibitText"/>
        <w:rPr>
          <w:lang w:val="en-GB"/>
        </w:rPr>
      </w:pPr>
    </w:p>
    <w:p w14:paraId="430B9779" w14:textId="6BFE96D2" w:rsidR="00A2018A" w:rsidRDefault="00A2018A" w:rsidP="00C60015">
      <w:pPr>
        <w:pStyle w:val="Footnote"/>
        <w:rPr>
          <w:lang w:val="en-GB"/>
        </w:rPr>
      </w:pPr>
      <w:r>
        <w:t xml:space="preserve">Note: </w:t>
      </w:r>
      <w:r>
        <w:t>*This</w:t>
      </w:r>
      <w:r>
        <w:t xml:space="preserve"> is the sum of Total group equity, Provisions, Non-current liabilities, and Total current liabilities.</w:t>
      </w:r>
      <w:r w:rsidR="006C5DD1">
        <w:t xml:space="preserve"> </w:t>
      </w:r>
      <w:r w:rsidR="006C5DD1" w:rsidRPr="006C5DD1">
        <w:t>The Total Liabilities are 30,754,039 + 4,224,844 + 5,259,725+19,237,693 = 59,476,301.</w:t>
      </w:r>
    </w:p>
    <w:p w14:paraId="219C5641" w14:textId="0ABDC4B9" w:rsidR="004768BB" w:rsidRDefault="00532643" w:rsidP="00C60015">
      <w:pPr>
        <w:pStyle w:val="Footnote"/>
        <w:rPr>
          <w:lang w:val="en-GB"/>
        </w:rPr>
      </w:pPr>
      <w:r w:rsidRPr="00633FF0">
        <w:rPr>
          <w:lang w:val="en-GB"/>
        </w:rPr>
        <w:t xml:space="preserve">Source: </w:t>
      </w:r>
      <w:r w:rsidR="008302A0">
        <w:rPr>
          <w:lang w:val="en-GB"/>
        </w:rPr>
        <w:t>Company</w:t>
      </w:r>
      <w:r w:rsidR="008302A0" w:rsidRPr="00633FF0">
        <w:rPr>
          <w:lang w:val="en-GB"/>
        </w:rPr>
        <w:t xml:space="preserve"> </w:t>
      </w:r>
      <w:r w:rsidR="008302A0">
        <w:rPr>
          <w:lang w:val="en-GB"/>
        </w:rPr>
        <w:t>d</w:t>
      </w:r>
      <w:r w:rsidRPr="00633FF0">
        <w:rPr>
          <w:lang w:val="en-GB"/>
        </w:rPr>
        <w:t>ocuments</w:t>
      </w:r>
      <w:r w:rsidR="008302A0">
        <w:rPr>
          <w:lang w:val="en-GB"/>
        </w:rPr>
        <w:t>.</w:t>
      </w:r>
      <w:r w:rsidR="004768BB">
        <w:rPr>
          <w:lang w:val="en-GB"/>
        </w:rPr>
        <w:br w:type="page"/>
      </w:r>
    </w:p>
    <w:p w14:paraId="578C4549" w14:textId="047FF0BF" w:rsidR="00532643" w:rsidRPr="00633FF0" w:rsidRDefault="00532643" w:rsidP="006D2379">
      <w:pPr>
        <w:pStyle w:val="ExhibitHeading"/>
        <w:rPr>
          <w:lang w:val="en-GB"/>
        </w:rPr>
      </w:pPr>
      <w:r w:rsidRPr="00633FF0">
        <w:rPr>
          <w:lang w:val="en-GB"/>
        </w:rPr>
        <w:lastRenderedPageBreak/>
        <w:t>Exhibit 2</w:t>
      </w:r>
      <w:r w:rsidR="006D2379" w:rsidRPr="00633FF0">
        <w:rPr>
          <w:lang w:val="en-GB"/>
        </w:rPr>
        <w:t xml:space="preserve">: </w:t>
      </w:r>
      <w:r w:rsidR="00CD671F">
        <w:rPr>
          <w:lang w:val="en-GB"/>
        </w:rPr>
        <w:t>BauZentral</w:t>
      </w:r>
      <w:r w:rsidR="004768BB">
        <w:rPr>
          <w:lang w:val="en-GB"/>
        </w:rPr>
        <w:t xml:space="preserve"> </w:t>
      </w:r>
      <w:r w:rsidRPr="00633FF0">
        <w:rPr>
          <w:lang w:val="en-GB"/>
        </w:rPr>
        <w:t>income Statement</w:t>
      </w:r>
      <w:r w:rsidR="004768BB">
        <w:rPr>
          <w:lang w:val="en-GB"/>
        </w:rPr>
        <w:t>, 2015–2017 (IN CHF)</w:t>
      </w:r>
    </w:p>
    <w:p w14:paraId="3B4AF3A3" w14:textId="77777777" w:rsidR="00532643" w:rsidRPr="00633FF0" w:rsidRDefault="00532643" w:rsidP="006D2379">
      <w:pPr>
        <w:pStyle w:val="ExhibitText"/>
        <w:rPr>
          <w:lang w:val="en-GB"/>
        </w:rPr>
      </w:pPr>
    </w:p>
    <w:tbl>
      <w:tblPr>
        <w:tblStyle w:val="TableGrid"/>
        <w:tblW w:w="0" w:type="auto"/>
        <w:jc w:val="center"/>
        <w:tblLayout w:type="fixed"/>
        <w:tblLook w:val="04A0" w:firstRow="1" w:lastRow="0" w:firstColumn="1" w:lastColumn="0" w:noHBand="0" w:noVBand="1"/>
      </w:tblPr>
      <w:tblGrid>
        <w:gridCol w:w="2968"/>
        <w:gridCol w:w="390"/>
        <w:gridCol w:w="268"/>
        <w:gridCol w:w="1908"/>
        <w:gridCol w:w="1908"/>
        <w:gridCol w:w="1908"/>
      </w:tblGrid>
      <w:tr w:rsidR="004768BB" w:rsidRPr="00633FF0" w14:paraId="640CDAA1" w14:textId="77777777" w:rsidTr="00B74ECF">
        <w:trPr>
          <w:trHeight w:val="300"/>
          <w:jc w:val="center"/>
        </w:trPr>
        <w:tc>
          <w:tcPr>
            <w:tcW w:w="2968" w:type="dxa"/>
            <w:noWrap/>
            <w:hideMark/>
          </w:tcPr>
          <w:p w14:paraId="45718031" w14:textId="77777777" w:rsidR="006D2379" w:rsidRPr="00633FF0" w:rsidRDefault="006D2379" w:rsidP="00404CD4">
            <w:pPr>
              <w:pStyle w:val="ExhibitText"/>
              <w:rPr>
                <w:lang w:val="en-GB"/>
              </w:rPr>
            </w:pPr>
            <w:r w:rsidRPr="00633FF0">
              <w:rPr>
                <w:lang w:val="en-GB"/>
              </w:rPr>
              <w:t> </w:t>
            </w:r>
          </w:p>
        </w:tc>
        <w:tc>
          <w:tcPr>
            <w:tcW w:w="390" w:type="dxa"/>
            <w:noWrap/>
            <w:hideMark/>
          </w:tcPr>
          <w:p w14:paraId="2E4FB8AF" w14:textId="77777777" w:rsidR="006D2379" w:rsidRPr="00633FF0" w:rsidRDefault="006D2379" w:rsidP="00404CD4">
            <w:pPr>
              <w:pStyle w:val="ExhibitText"/>
              <w:rPr>
                <w:lang w:val="en-GB"/>
              </w:rPr>
            </w:pPr>
            <w:r w:rsidRPr="00633FF0">
              <w:rPr>
                <w:lang w:val="en-GB"/>
              </w:rPr>
              <w:t> </w:t>
            </w:r>
          </w:p>
        </w:tc>
        <w:tc>
          <w:tcPr>
            <w:tcW w:w="268" w:type="dxa"/>
            <w:noWrap/>
            <w:hideMark/>
          </w:tcPr>
          <w:p w14:paraId="436CE618" w14:textId="77777777" w:rsidR="006D2379" w:rsidRPr="00633FF0" w:rsidRDefault="006D2379" w:rsidP="00404CD4">
            <w:pPr>
              <w:pStyle w:val="ExhibitText"/>
              <w:rPr>
                <w:lang w:val="en-GB"/>
              </w:rPr>
            </w:pPr>
            <w:r w:rsidRPr="00633FF0">
              <w:rPr>
                <w:lang w:val="en-GB"/>
              </w:rPr>
              <w:t> </w:t>
            </w:r>
          </w:p>
        </w:tc>
        <w:tc>
          <w:tcPr>
            <w:tcW w:w="1908" w:type="dxa"/>
            <w:noWrap/>
            <w:hideMark/>
          </w:tcPr>
          <w:p w14:paraId="43C3FC5D" w14:textId="77777777" w:rsidR="006D2379" w:rsidRPr="00B74ECF" w:rsidRDefault="006D2379" w:rsidP="00B74ECF">
            <w:pPr>
              <w:pStyle w:val="ExhibitText"/>
              <w:jc w:val="center"/>
              <w:rPr>
                <w:b/>
                <w:lang w:val="en-GB"/>
              </w:rPr>
            </w:pPr>
            <w:r w:rsidRPr="00B74ECF">
              <w:rPr>
                <w:b/>
                <w:lang w:val="en-GB"/>
              </w:rPr>
              <w:t>2017</w:t>
            </w:r>
          </w:p>
        </w:tc>
        <w:tc>
          <w:tcPr>
            <w:tcW w:w="1908" w:type="dxa"/>
            <w:noWrap/>
            <w:hideMark/>
          </w:tcPr>
          <w:p w14:paraId="556C6646" w14:textId="5DC1C9E2" w:rsidR="006D2379" w:rsidRPr="00B74ECF" w:rsidRDefault="006D2379" w:rsidP="00B74ECF">
            <w:pPr>
              <w:pStyle w:val="ExhibitText"/>
              <w:jc w:val="center"/>
              <w:rPr>
                <w:b/>
                <w:lang w:val="en-GB"/>
              </w:rPr>
            </w:pPr>
            <w:r w:rsidRPr="00B74ECF">
              <w:rPr>
                <w:b/>
                <w:lang w:val="en-GB"/>
              </w:rPr>
              <w:t>2016*</w:t>
            </w:r>
          </w:p>
        </w:tc>
        <w:tc>
          <w:tcPr>
            <w:tcW w:w="1908" w:type="dxa"/>
            <w:noWrap/>
            <w:hideMark/>
          </w:tcPr>
          <w:p w14:paraId="1DC32FC8" w14:textId="77777777" w:rsidR="006D2379" w:rsidRPr="00B74ECF" w:rsidRDefault="006D2379" w:rsidP="00B74ECF">
            <w:pPr>
              <w:pStyle w:val="ExhibitText"/>
              <w:jc w:val="center"/>
              <w:rPr>
                <w:b/>
                <w:lang w:val="en-GB"/>
              </w:rPr>
            </w:pPr>
            <w:r w:rsidRPr="00B74ECF">
              <w:rPr>
                <w:b/>
                <w:lang w:val="en-GB"/>
              </w:rPr>
              <w:t>2015</w:t>
            </w:r>
          </w:p>
        </w:tc>
      </w:tr>
      <w:tr w:rsidR="004768BB" w:rsidRPr="00633FF0" w14:paraId="68D12317" w14:textId="77777777" w:rsidTr="00B74ECF">
        <w:trPr>
          <w:trHeight w:val="300"/>
          <w:jc w:val="center"/>
        </w:trPr>
        <w:tc>
          <w:tcPr>
            <w:tcW w:w="2968" w:type="dxa"/>
            <w:noWrap/>
            <w:hideMark/>
          </w:tcPr>
          <w:p w14:paraId="7C178F08" w14:textId="594C6E93" w:rsidR="006D2379" w:rsidRPr="00633FF0" w:rsidRDefault="006D2379" w:rsidP="00404CD4">
            <w:pPr>
              <w:pStyle w:val="ExhibitText"/>
              <w:rPr>
                <w:lang w:val="en-GB"/>
              </w:rPr>
            </w:pPr>
            <w:r w:rsidRPr="00633FF0">
              <w:rPr>
                <w:lang w:val="en-GB"/>
              </w:rPr>
              <w:t xml:space="preserve">Net turnover </w:t>
            </w:r>
          </w:p>
        </w:tc>
        <w:tc>
          <w:tcPr>
            <w:tcW w:w="390" w:type="dxa"/>
            <w:noWrap/>
            <w:hideMark/>
          </w:tcPr>
          <w:p w14:paraId="2ED72CB4" w14:textId="77777777" w:rsidR="006D2379" w:rsidRPr="00633FF0" w:rsidRDefault="006D2379" w:rsidP="00404CD4">
            <w:pPr>
              <w:pStyle w:val="ExhibitText"/>
              <w:rPr>
                <w:lang w:val="en-GB"/>
              </w:rPr>
            </w:pPr>
          </w:p>
        </w:tc>
        <w:tc>
          <w:tcPr>
            <w:tcW w:w="268" w:type="dxa"/>
            <w:noWrap/>
            <w:hideMark/>
          </w:tcPr>
          <w:p w14:paraId="0FDAC68B" w14:textId="77777777" w:rsidR="006D2379" w:rsidRPr="00633FF0" w:rsidRDefault="006D2379" w:rsidP="00404CD4">
            <w:pPr>
              <w:pStyle w:val="ExhibitText"/>
              <w:rPr>
                <w:lang w:val="en-GB"/>
              </w:rPr>
            </w:pPr>
            <w:r w:rsidRPr="00633FF0">
              <w:rPr>
                <w:lang w:val="en-GB"/>
              </w:rPr>
              <w:t> </w:t>
            </w:r>
          </w:p>
        </w:tc>
        <w:tc>
          <w:tcPr>
            <w:tcW w:w="1908" w:type="dxa"/>
            <w:noWrap/>
            <w:hideMark/>
          </w:tcPr>
          <w:p w14:paraId="56FF6B1B" w14:textId="3B437E25" w:rsidR="006D2379" w:rsidRPr="00633FF0" w:rsidRDefault="004768BB" w:rsidP="000E3DCC">
            <w:pPr>
              <w:pStyle w:val="ExhibitText"/>
              <w:tabs>
                <w:tab w:val="left" w:pos="0"/>
                <w:tab w:val="decimal" w:pos="1148"/>
              </w:tabs>
              <w:jc w:val="right"/>
              <w:rPr>
                <w:lang w:val="en-GB"/>
              </w:rPr>
            </w:pPr>
            <w:r>
              <w:rPr>
                <w:lang w:val="en-GB"/>
              </w:rPr>
              <w:tab/>
            </w:r>
            <w:r w:rsidR="006D2379" w:rsidRPr="00633FF0">
              <w:rPr>
                <w:lang w:val="en-GB"/>
              </w:rPr>
              <w:t>101</w:t>
            </w:r>
            <w:r>
              <w:rPr>
                <w:lang w:val="en-GB"/>
              </w:rPr>
              <w:t>,</w:t>
            </w:r>
            <w:r w:rsidR="006D2379" w:rsidRPr="00633FF0">
              <w:rPr>
                <w:lang w:val="en-GB"/>
              </w:rPr>
              <w:t>662</w:t>
            </w:r>
            <w:r w:rsidR="00016953">
              <w:rPr>
                <w:lang w:val="en-GB"/>
              </w:rPr>
              <w:t>,</w:t>
            </w:r>
            <w:r w:rsidR="006D2379" w:rsidRPr="00633FF0">
              <w:rPr>
                <w:lang w:val="en-GB"/>
              </w:rPr>
              <w:t>509</w:t>
            </w:r>
          </w:p>
        </w:tc>
        <w:tc>
          <w:tcPr>
            <w:tcW w:w="1908" w:type="dxa"/>
            <w:noWrap/>
            <w:hideMark/>
          </w:tcPr>
          <w:p w14:paraId="2A66083C" w14:textId="274B121B" w:rsidR="006D2379" w:rsidRPr="00633FF0" w:rsidRDefault="006D2379" w:rsidP="000E3DCC">
            <w:pPr>
              <w:pStyle w:val="ExhibitText"/>
              <w:tabs>
                <w:tab w:val="decimal" w:pos="986"/>
              </w:tabs>
              <w:jc w:val="right"/>
              <w:rPr>
                <w:lang w:val="en-GB"/>
              </w:rPr>
            </w:pPr>
            <w:r w:rsidRPr="00633FF0">
              <w:rPr>
                <w:lang w:val="en-GB"/>
              </w:rPr>
              <w:t>98</w:t>
            </w:r>
            <w:r w:rsidR="004768BB">
              <w:rPr>
                <w:lang w:val="en-GB"/>
              </w:rPr>
              <w:t>,</w:t>
            </w:r>
            <w:r w:rsidRPr="00633FF0">
              <w:rPr>
                <w:lang w:val="en-GB"/>
              </w:rPr>
              <w:t>114</w:t>
            </w:r>
            <w:r w:rsidR="00016953">
              <w:rPr>
                <w:lang w:val="en-GB"/>
              </w:rPr>
              <w:t>,</w:t>
            </w:r>
            <w:r w:rsidRPr="00633FF0">
              <w:rPr>
                <w:lang w:val="en-GB"/>
              </w:rPr>
              <w:t>246</w:t>
            </w:r>
          </w:p>
        </w:tc>
        <w:tc>
          <w:tcPr>
            <w:tcW w:w="1908" w:type="dxa"/>
            <w:noWrap/>
            <w:hideMark/>
          </w:tcPr>
          <w:p w14:paraId="41E0D17B" w14:textId="06026649" w:rsidR="006D2379" w:rsidRPr="00633FF0" w:rsidRDefault="006D2379" w:rsidP="000E3DCC">
            <w:pPr>
              <w:pStyle w:val="ExhibitText"/>
              <w:tabs>
                <w:tab w:val="decimal" w:pos="808"/>
              </w:tabs>
              <w:jc w:val="right"/>
              <w:rPr>
                <w:lang w:val="en-GB"/>
              </w:rPr>
            </w:pPr>
            <w:r w:rsidRPr="00633FF0">
              <w:rPr>
                <w:lang w:val="en-GB"/>
              </w:rPr>
              <w:t>88</w:t>
            </w:r>
            <w:r w:rsidR="004768BB">
              <w:rPr>
                <w:lang w:val="en-GB"/>
              </w:rPr>
              <w:t>,</w:t>
            </w:r>
            <w:r w:rsidRPr="00633FF0">
              <w:rPr>
                <w:lang w:val="en-GB"/>
              </w:rPr>
              <w:t>659</w:t>
            </w:r>
            <w:r w:rsidR="00016953">
              <w:rPr>
                <w:lang w:val="en-GB"/>
              </w:rPr>
              <w:t>,</w:t>
            </w:r>
            <w:r w:rsidRPr="00633FF0">
              <w:rPr>
                <w:lang w:val="en-GB"/>
              </w:rPr>
              <w:t>032</w:t>
            </w:r>
          </w:p>
        </w:tc>
      </w:tr>
      <w:tr w:rsidR="004768BB" w:rsidRPr="00633FF0" w14:paraId="66188A27" w14:textId="77777777" w:rsidTr="00B74ECF">
        <w:trPr>
          <w:trHeight w:val="570"/>
          <w:jc w:val="center"/>
        </w:trPr>
        <w:tc>
          <w:tcPr>
            <w:tcW w:w="2968" w:type="dxa"/>
            <w:hideMark/>
          </w:tcPr>
          <w:p w14:paraId="3A3C072B" w14:textId="77777777" w:rsidR="006D2379" w:rsidRPr="00633FF0" w:rsidRDefault="006D2379" w:rsidP="00B74ECF">
            <w:pPr>
              <w:pStyle w:val="ExhibitText"/>
              <w:jc w:val="left"/>
              <w:rPr>
                <w:lang w:val="en-GB"/>
              </w:rPr>
            </w:pPr>
            <w:r w:rsidRPr="00633FF0">
              <w:rPr>
                <w:lang w:val="en-GB"/>
              </w:rPr>
              <w:t>Changes in inventories of finished products and work in progress</w:t>
            </w:r>
          </w:p>
        </w:tc>
        <w:tc>
          <w:tcPr>
            <w:tcW w:w="390" w:type="dxa"/>
            <w:noWrap/>
            <w:hideMark/>
          </w:tcPr>
          <w:p w14:paraId="2BEBBFFC" w14:textId="77777777" w:rsidR="006D2379" w:rsidRPr="00633FF0" w:rsidRDefault="006D2379" w:rsidP="00404CD4">
            <w:pPr>
              <w:pStyle w:val="ExhibitText"/>
              <w:rPr>
                <w:lang w:val="en-GB"/>
              </w:rPr>
            </w:pPr>
            <w:r w:rsidRPr="00633FF0">
              <w:rPr>
                <w:lang w:val="en-GB"/>
              </w:rPr>
              <w:t> </w:t>
            </w:r>
          </w:p>
        </w:tc>
        <w:tc>
          <w:tcPr>
            <w:tcW w:w="268" w:type="dxa"/>
            <w:noWrap/>
            <w:hideMark/>
          </w:tcPr>
          <w:p w14:paraId="0E30E557" w14:textId="77777777" w:rsidR="006D2379" w:rsidRPr="00633FF0" w:rsidRDefault="006D2379" w:rsidP="00404CD4">
            <w:pPr>
              <w:pStyle w:val="ExhibitText"/>
              <w:rPr>
                <w:lang w:val="en-GB"/>
              </w:rPr>
            </w:pPr>
            <w:r w:rsidRPr="00633FF0">
              <w:rPr>
                <w:lang w:val="en-GB"/>
              </w:rPr>
              <w:t> </w:t>
            </w:r>
          </w:p>
        </w:tc>
        <w:tc>
          <w:tcPr>
            <w:tcW w:w="1908" w:type="dxa"/>
            <w:noWrap/>
            <w:hideMark/>
          </w:tcPr>
          <w:p w14:paraId="04DAF654" w14:textId="251AB525" w:rsidR="006D2379" w:rsidRPr="00633FF0" w:rsidRDefault="004768BB" w:rsidP="000E3DCC">
            <w:pPr>
              <w:pStyle w:val="ExhibitText"/>
              <w:tabs>
                <w:tab w:val="left" w:pos="0"/>
                <w:tab w:val="decimal" w:pos="1148"/>
              </w:tabs>
              <w:jc w:val="right"/>
              <w:rPr>
                <w:lang w:val="en-GB"/>
              </w:rPr>
            </w:pPr>
            <w:r>
              <w:rPr>
                <w:lang w:val="en-GB"/>
              </w:rPr>
              <w:tab/>
              <w:t>(</w:t>
            </w:r>
            <w:r w:rsidR="006D2379" w:rsidRPr="00633FF0">
              <w:rPr>
                <w:lang w:val="en-GB"/>
              </w:rPr>
              <w:t>2</w:t>
            </w:r>
            <w:r>
              <w:rPr>
                <w:lang w:val="en-GB"/>
              </w:rPr>
              <w:t>,</w:t>
            </w:r>
            <w:r w:rsidR="006D2379" w:rsidRPr="00633FF0">
              <w:rPr>
                <w:lang w:val="en-GB"/>
              </w:rPr>
              <w:t>401</w:t>
            </w:r>
            <w:r w:rsidR="00016953">
              <w:rPr>
                <w:lang w:val="en-GB"/>
              </w:rPr>
              <w:t>,</w:t>
            </w:r>
            <w:r w:rsidR="006D2379" w:rsidRPr="00633FF0">
              <w:rPr>
                <w:lang w:val="en-GB"/>
              </w:rPr>
              <w:t>129</w:t>
            </w:r>
            <w:r>
              <w:rPr>
                <w:lang w:val="en-GB"/>
              </w:rPr>
              <w:t>)</w:t>
            </w:r>
          </w:p>
        </w:tc>
        <w:tc>
          <w:tcPr>
            <w:tcW w:w="1908" w:type="dxa"/>
            <w:noWrap/>
            <w:hideMark/>
          </w:tcPr>
          <w:p w14:paraId="346B7C56" w14:textId="0CA40FE1" w:rsidR="006D2379" w:rsidRPr="00633FF0" w:rsidRDefault="006D2379" w:rsidP="000E3DCC">
            <w:pPr>
              <w:pStyle w:val="ExhibitText"/>
              <w:tabs>
                <w:tab w:val="decimal" w:pos="986"/>
              </w:tabs>
              <w:jc w:val="right"/>
              <w:rPr>
                <w:lang w:val="en-GB"/>
              </w:rPr>
            </w:pPr>
            <w:r w:rsidRPr="00633FF0">
              <w:rPr>
                <w:lang w:val="en-GB"/>
              </w:rPr>
              <w:t>2</w:t>
            </w:r>
            <w:r w:rsidR="004768BB">
              <w:rPr>
                <w:lang w:val="en-GB"/>
              </w:rPr>
              <w:t>,</w:t>
            </w:r>
            <w:r w:rsidRPr="00633FF0">
              <w:rPr>
                <w:lang w:val="en-GB"/>
              </w:rPr>
              <w:t>679</w:t>
            </w:r>
            <w:r w:rsidR="00016953">
              <w:rPr>
                <w:lang w:val="en-GB"/>
              </w:rPr>
              <w:t>,</w:t>
            </w:r>
            <w:r w:rsidRPr="00633FF0">
              <w:rPr>
                <w:lang w:val="en-GB"/>
              </w:rPr>
              <w:t>790</w:t>
            </w:r>
          </w:p>
        </w:tc>
        <w:tc>
          <w:tcPr>
            <w:tcW w:w="1908" w:type="dxa"/>
            <w:noWrap/>
            <w:hideMark/>
          </w:tcPr>
          <w:p w14:paraId="4B17AB6E" w14:textId="0D01F080" w:rsidR="006D2379" w:rsidRPr="00633FF0" w:rsidRDefault="006D2379" w:rsidP="000E3DCC">
            <w:pPr>
              <w:pStyle w:val="ExhibitText"/>
              <w:tabs>
                <w:tab w:val="decimal" w:pos="808"/>
              </w:tabs>
              <w:jc w:val="right"/>
              <w:rPr>
                <w:lang w:val="en-GB"/>
              </w:rPr>
            </w:pPr>
            <w:r w:rsidRPr="00633FF0">
              <w:rPr>
                <w:lang w:val="en-GB"/>
              </w:rPr>
              <w:t> </w:t>
            </w:r>
            <w:r w:rsidR="001F1DB5">
              <w:rPr>
                <w:lang w:val="en-GB"/>
              </w:rPr>
              <w:t>-</w:t>
            </w:r>
          </w:p>
        </w:tc>
      </w:tr>
      <w:tr w:rsidR="004768BB" w:rsidRPr="00633FF0" w14:paraId="0BB1E98A" w14:textId="77777777" w:rsidTr="00B74ECF">
        <w:trPr>
          <w:trHeight w:val="300"/>
          <w:jc w:val="center"/>
        </w:trPr>
        <w:tc>
          <w:tcPr>
            <w:tcW w:w="2968" w:type="dxa"/>
            <w:noWrap/>
          </w:tcPr>
          <w:p w14:paraId="5678E949" w14:textId="77777777" w:rsidR="006D2379" w:rsidRPr="00633FF0" w:rsidRDefault="006D2379" w:rsidP="00404CD4">
            <w:pPr>
              <w:pStyle w:val="ExhibitText"/>
              <w:rPr>
                <w:bCs/>
                <w:lang w:val="en-GB"/>
              </w:rPr>
            </w:pPr>
            <w:r w:rsidRPr="00633FF0">
              <w:rPr>
                <w:lang w:val="en-GB"/>
              </w:rPr>
              <w:t>Other operating income</w:t>
            </w:r>
          </w:p>
        </w:tc>
        <w:tc>
          <w:tcPr>
            <w:tcW w:w="390" w:type="dxa"/>
            <w:noWrap/>
          </w:tcPr>
          <w:p w14:paraId="779A7DAB" w14:textId="77777777" w:rsidR="006D2379" w:rsidRPr="00633FF0" w:rsidRDefault="006D2379" w:rsidP="00404CD4">
            <w:pPr>
              <w:pStyle w:val="ExhibitText"/>
              <w:rPr>
                <w:lang w:val="en-GB"/>
              </w:rPr>
            </w:pPr>
          </w:p>
        </w:tc>
        <w:tc>
          <w:tcPr>
            <w:tcW w:w="268" w:type="dxa"/>
            <w:noWrap/>
          </w:tcPr>
          <w:p w14:paraId="7CD3F564" w14:textId="77777777" w:rsidR="006D2379" w:rsidRPr="00633FF0" w:rsidRDefault="006D2379" w:rsidP="00404CD4">
            <w:pPr>
              <w:pStyle w:val="ExhibitText"/>
              <w:rPr>
                <w:lang w:val="en-GB"/>
              </w:rPr>
            </w:pPr>
          </w:p>
        </w:tc>
        <w:tc>
          <w:tcPr>
            <w:tcW w:w="1908" w:type="dxa"/>
            <w:noWrap/>
          </w:tcPr>
          <w:p w14:paraId="6A79E94C" w14:textId="1E741619" w:rsidR="006D2379" w:rsidRPr="00633FF0" w:rsidRDefault="004768BB" w:rsidP="000E3DCC">
            <w:pPr>
              <w:pStyle w:val="ExhibitText"/>
              <w:tabs>
                <w:tab w:val="left" w:pos="0"/>
                <w:tab w:val="decimal" w:pos="1148"/>
              </w:tabs>
              <w:jc w:val="right"/>
              <w:rPr>
                <w:bCs/>
                <w:lang w:val="en-GB"/>
              </w:rPr>
            </w:pPr>
            <w:r>
              <w:rPr>
                <w:lang w:val="en-GB"/>
              </w:rPr>
              <w:tab/>
            </w:r>
            <w:r w:rsidR="006D2379" w:rsidRPr="00633FF0">
              <w:rPr>
                <w:lang w:val="en-GB"/>
              </w:rPr>
              <w:t>642</w:t>
            </w:r>
            <w:r w:rsidR="00016953">
              <w:rPr>
                <w:lang w:val="en-GB"/>
              </w:rPr>
              <w:t>,</w:t>
            </w:r>
            <w:r w:rsidR="006D2379" w:rsidRPr="00633FF0">
              <w:rPr>
                <w:lang w:val="en-GB"/>
              </w:rPr>
              <w:t>332</w:t>
            </w:r>
          </w:p>
        </w:tc>
        <w:tc>
          <w:tcPr>
            <w:tcW w:w="1908" w:type="dxa"/>
            <w:noWrap/>
          </w:tcPr>
          <w:p w14:paraId="0201360D" w14:textId="66808E61" w:rsidR="006D2379" w:rsidRPr="00633FF0" w:rsidRDefault="006D2379" w:rsidP="000E3DCC">
            <w:pPr>
              <w:pStyle w:val="ExhibitText"/>
              <w:tabs>
                <w:tab w:val="decimal" w:pos="986"/>
              </w:tabs>
              <w:jc w:val="right"/>
              <w:rPr>
                <w:lang w:val="en-GB"/>
              </w:rPr>
            </w:pPr>
            <w:r w:rsidRPr="00633FF0">
              <w:rPr>
                <w:lang w:val="en-GB"/>
              </w:rPr>
              <w:t>1</w:t>
            </w:r>
            <w:r w:rsidR="004768BB">
              <w:rPr>
                <w:lang w:val="en-GB"/>
              </w:rPr>
              <w:t>,</w:t>
            </w:r>
            <w:r w:rsidRPr="00633FF0">
              <w:rPr>
                <w:lang w:val="en-GB"/>
              </w:rPr>
              <w:t>465</w:t>
            </w:r>
            <w:r w:rsidR="00016953">
              <w:rPr>
                <w:lang w:val="en-GB"/>
              </w:rPr>
              <w:t>,</w:t>
            </w:r>
            <w:r w:rsidRPr="00633FF0">
              <w:rPr>
                <w:lang w:val="en-GB"/>
              </w:rPr>
              <w:t>064</w:t>
            </w:r>
          </w:p>
        </w:tc>
        <w:tc>
          <w:tcPr>
            <w:tcW w:w="1908" w:type="dxa"/>
            <w:noWrap/>
          </w:tcPr>
          <w:p w14:paraId="5D972D4E" w14:textId="6CE2FC26" w:rsidR="006D2379" w:rsidRPr="00633FF0" w:rsidRDefault="006D2379" w:rsidP="000E3DCC">
            <w:pPr>
              <w:pStyle w:val="ExhibitText"/>
              <w:tabs>
                <w:tab w:val="decimal" w:pos="808"/>
              </w:tabs>
              <w:jc w:val="right"/>
              <w:rPr>
                <w:bCs/>
                <w:lang w:val="en-GB"/>
              </w:rPr>
            </w:pPr>
            <w:r w:rsidRPr="00633FF0">
              <w:rPr>
                <w:lang w:val="en-GB"/>
              </w:rPr>
              <w:t>1</w:t>
            </w:r>
            <w:r w:rsidR="004768BB">
              <w:rPr>
                <w:lang w:val="en-GB"/>
              </w:rPr>
              <w:t>,</w:t>
            </w:r>
            <w:r w:rsidRPr="00633FF0">
              <w:rPr>
                <w:lang w:val="en-GB"/>
              </w:rPr>
              <w:t>099</w:t>
            </w:r>
            <w:r w:rsidR="00016953">
              <w:rPr>
                <w:lang w:val="en-GB"/>
              </w:rPr>
              <w:t>,</w:t>
            </w:r>
            <w:r w:rsidRPr="00633FF0">
              <w:rPr>
                <w:lang w:val="en-GB"/>
              </w:rPr>
              <w:t>309</w:t>
            </w:r>
          </w:p>
        </w:tc>
      </w:tr>
      <w:tr w:rsidR="004768BB" w:rsidRPr="00633FF0" w14:paraId="2B6CBC93" w14:textId="77777777" w:rsidTr="00B74ECF">
        <w:trPr>
          <w:trHeight w:val="300"/>
          <w:jc w:val="center"/>
        </w:trPr>
        <w:tc>
          <w:tcPr>
            <w:tcW w:w="2968" w:type="dxa"/>
            <w:noWrap/>
          </w:tcPr>
          <w:p w14:paraId="43590004" w14:textId="77777777" w:rsidR="006D2379" w:rsidRPr="00633FF0" w:rsidRDefault="006D2379" w:rsidP="00404CD4">
            <w:pPr>
              <w:pStyle w:val="ExhibitText"/>
              <w:rPr>
                <w:bCs/>
                <w:lang w:val="en-GB"/>
              </w:rPr>
            </w:pPr>
            <w:r w:rsidRPr="00633FF0">
              <w:rPr>
                <w:bCs/>
                <w:lang w:val="en-GB"/>
              </w:rPr>
              <w:t>Total operating income</w:t>
            </w:r>
          </w:p>
        </w:tc>
        <w:tc>
          <w:tcPr>
            <w:tcW w:w="390" w:type="dxa"/>
            <w:noWrap/>
          </w:tcPr>
          <w:p w14:paraId="48626BB9" w14:textId="77777777" w:rsidR="006D2379" w:rsidRPr="00633FF0" w:rsidRDefault="006D2379" w:rsidP="00404CD4">
            <w:pPr>
              <w:pStyle w:val="ExhibitText"/>
              <w:rPr>
                <w:lang w:val="en-GB"/>
              </w:rPr>
            </w:pPr>
          </w:p>
        </w:tc>
        <w:tc>
          <w:tcPr>
            <w:tcW w:w="268" w:type="dxa"/>
            <w:noWrap/>
          </w:tcPr>
          <w:p w14:paraId="02CB82FC" w14:textId="77777777" w:rsidR="006D2379" w:rsidRPr="00633FF0" w:rsidRDefault="006D2379" w:rsidP="00404CD4">
            <w:pPr>
              <w:pStyle w:val="ExhibitText"/>
              <w:rPr>
                <w:lang w:val="en-GB"/>
              </w:rPr>
            </w:pPr>
          </w:p>
        </w:tc>
        <w:tc>
          <w:tcPr>
            <w:tcW w:w="1908" w:type="dxa"/>
            <w:noWrap/>
          </w:tcPr>
          <w:p w14:paraId="546CAACD" w14:textId="5AF020A2" w:rsidR="006D2379" w:rsidRPr="00633FF0" w:rsidRDefault="006D2379" w:rsidP="000E3DCC">
            <w:pPr>
              <w:pStyle w:val="ExhibitText"/>
              <w:tabs>
                <w:tab w:val="left" w:pos="0"/>
                <w:tab w:val="decimal" w:pos="1148"/>
              </w:tabs>
              <w:jc w:val="right"/>
              <w:rPr>
                <w:bCs/>
                <w:lang w:val="en-GB"/>
              </w:rPr>
            </w:pPr>
            <w:r w:rsidRPr="00633FF0">
              <w:rPr>
                <w:bCs/>
                <w:lang w:val="en-GB"/>
              </w:rPr>
              <w:t xml:space="preserve"> </w:t>
            </w:r>
            <w:r w:rsidR="004768BB">
              <w:rPr>
                <w:bCs/>
                <w:lang w:val="en-GB"/>
              </w:rPr>
              <w:tab/>
            </w:r>
            <w:r w:rsidRPr="00633FF0">
              <w:rPr>
                <w:bCs/>
                <w:lang w:val="en-GB"/>
              </w:rPr>
              <w:t>99</w:t>
            </w:r>
            <w:r w:rsidR="004768BB">
              <w:rPr>
                <w:bCs/>
                <w:lang w:val="en-GB"/>
              </w:rPr>
              <w:t>,</w:t>
            </w:r>
            <w:r w:rsidRPr="00633FF0">
              <w:rPr>
                <w:bCs/>
                <w:lang w:val="en-GB"/>
              </w:rPr>
              <w:t>903</w:t>
            </w:r>
            <w:r w:rsidR="00016953">
              <w:rPr>
                <w:bCs/>
                <w:lang w:val="en-GB"/>
              </w:rPr>
              <w:t>,</w:t>
            </w:r>
            <w:r w:rsidRPr="00633FF0">
              <w:rPr>
                <w:bCs/>
                <w:lang w:val="en-GB"/>
              </w:rPr>
              <w:t>712</w:t>
            </w:r>
          </w:p>
        </w:tc>
        <w:tc>
          <w:tcPr>
            <w:tcW w:w="1908" w:type="dxa"/>
            <w:noWrap/>
          </w:tcPr>
          <w:p w14:paraId="4E82BAAA" w14:textId="4920D72B" w:rsidR="006D2379" w:rsidRPr="00633FF0" w:rsidRDefault="006D2379" w:rsidP="000E3DCC">
            <w:pPr>
              <w:pStyle w:val="ExhibitText"/>
              <w:tabs>
                <w:tab w:val="decimal" w:pos="986"/>
              </w:tabs>
              <w:jc w:val="right"/>
              <w:rPr>
                <w:lang w:val="en-GB"/>
              </w:rPr>
            </w:pPr>
            <w:r w:rsidRPr="00633FF0">
              <w:rPr>
                <w:lang w:val="en-GB"/>
              </w:rPr>
              <w:t>102</w:t>
            </w:r>
            <w:r w:rsidR="004768BB">
              <w:rPr>
                <w:lang w:val="en-GB"/>
              </w:rPr>
              <w:t>,</w:t>
            </w:r>
            <w:r w:rsidRPr="00633FF0">
              <w:rPr>
                <w:lang w:val="en-GB"/>
              </w:rPr>
              <w:t>259</w:t>
            </w:r>
            <w:r w:rsidR="00016953">
              <w:rPr>
                <w:lang w:val="en-GB"/>
              </w:rPr>
              <w:t>,</w:t>
            </w:r>
            <w:r w:rsidRPr="00633FF0">
              <w:rPr>
                <w:lang w:val="en-GB"/>
              </w:rPr>
              <w:t>100</w:t>
            </w:r>
          </w:p>
        </w:tc>
        <w:tc>
          <w:tcPr>
            <w:tcW w:w="1908" w:type="dxa"/>
            <w:noWrap/>
          </w:tcPr>
          <w:p w14:paraId="14556768" w14:textId="0BEB712E" w:rsidR="006D2379" w:rsidRPr="00633FF0" w:rsidRDefault="006D2379" w:rsidP="000E3DCC">
            <w:pPr>
              <w:pStyle w:val="ExhibitText"/>
              <w:tabs>
                <w:tab w:val="decimal" w:pos="808"/>
              </w:tabs>
              <w:jc w:val="right"/>
              <w:rPr>
                <w:bCs/>
                <w:lang w:val="en-GB"/>
              </w:rPr>
            </w:pPr>
            <w:r w:rsidRPr="00633FF0">
              <w:rPr>
                <w:bCs/>
                <w:lang w:val="en-GB"/>
              </w:rPr>
              <w:t>89</w:t>
            </w:r>
            <w:r w:rsidR="004768BB">
              <w:rPr>
                <w:bCs/>
                <w:lang w:val="en-GB"/>
              </w:rPr>
              <w:t>,</w:t>
            </w:r>
            <w:r w:rsidRPr="00633FF0">
              <w:rPr>
                <w:bCs/>
                <w:lang w:val="en-GB"/>
              </w:rPr>
              <w:t>758</w:t>
            </w:r>
            <w:r w:rsidR="00016953">
              <w:rPr>
                <w:bCs/>
                <w:lang w:val="en-GB"/>
              </w:rPr>
              <w:t>,</w:t>
            </w:r>
            <w:r w:rsidRPr="00633FF0">
              <w:rPr>
                <w:bCs/>
                <w:lang w:val="en-GB"/>
              </w:rPr>
              <w:t>340</w:t>
            </w:r>
          </w:p>
        </w:tc>
      </w:tr>
      <w:tr w:rsidR="004768BB" w:rsidRPr="00633FF0" w14:paraId="1BDD31AD" w14:textId="77777777" w:rsidTr="00B74ECF">
        <w:trPr>
          <w:trHeight w:val="300"/>
          <w:jc w:val="center"/>
        </w:trPr>
        <w:tc>
          <w:tcPr>
            <w:tcW w:w="2968" w:type="dxa"/>
            <w:noWrap/>
          </w:tcPr>
          <w:p w14:paraId="058B2B4C" w14:textId="77777777" w:rsidR="006D2379" w:rsidRPr="00633FF0" w:rsidRDefault="006D2379" w:rsidP="00404CD4">
            <w:pPr>
              <w:pStyle w:val="ExhibitText"/>
              <w:rPr>
                <w:bCs/>
                <w:lang w:val="en-GB"/>
              </w:rPr>
            </w:pPr>
          </w:p>
        </w:tc>
        <w:tc>
          <w:tcPr>
            <w:tcW w:w="390" w:type="dxa"/>
            <w:noWrap/>
          </w:tcPr>
          <w:p w14:paraId="4708B88F" w14:textId="77777777" w:rsidR="006D2379" w:rsidRPr="00633FF0" w:rsidRDefault="006D2379" w:rsidP="00404CD4">
            <w:pPr>
              <w:pStyle w:val="ExhibitText"/>
              <w:rPr>
                <w:lang w:val="en-GB"/>
              </w:rPr>
            </w:pPr>
          </w:p>
        </w:tc>
        <w:tc>
          <w:tcPr>
            <w:tcW w:w="268" w:type="dxa"/>
            <w:noWrap/>
          </w:tcPr>
          <w:p w14:paraId="349D1766" w14:textId="77777777" w:rsidR="006D2379" w:rsidRPr="00633FF0" w:rsidRDefault="006D2379" w:rsidP="00404CD4">
            <w:pPr>
              <w:pStyle w:val="ExhibitText"/>
              <w:rPr>
                <w:lang w:val="en-GB"/>
              </w:rPr>
            </w:pPr>
          </w:p>
        </w:tc>
        <w:tc>
          <w:tcPr>
            <w:tcW w:w="1908" w:type="dxa"/>
            <w:noWrap/>
          </w:tcPr>
          <w:p w14:paraId="0997688B" w14:textId="77777777" w:rsidR="006D2379" w:rsidRPr="00633FF0" w:rsidRDefault="006D2379" w:rsidP="000E3DCC">
            <w:pPr>
              <w:pStyle w:val="ExhibitText"/>
              <w:tabs>
                <w:tab w:val="left" w:pos="0"/>
                <w:tab w:val="decimal" w:pos="1148"/>
              </w:tabs>
              <w:jc w:val="right"/>
              <w:rPr>
                <w:bCs/>
                <w:lang w:val="en-GB"/>
              </w:rPr>
            </w:pPr>
          </w:p>
        </w:tc>
        <w:tc>
          <w:tcPr>
            <w:tcW w:w="1908" w:type="dxa"/>
            <w:noWrap/>
          </w:tcPr>
          <w:p w14:paraId="582F93D6" w14:textId="77777777" w:rsidR="006D2379" w:rsidRPr="00633FF0" w:rsidRDefault="006D2379" w:rsidP="000E3DCC">
            <w:pPr>
              <w:pStyle w:val="ExhibitText"/>
              <w:tabs>
                <w:tab w:val="decimal" w:pos="986"/>
              </w:tabs>
              <w:jc w:val="right"/>
              <w:rPr>
                <w:lang w:val="en-GB"/>
              </w:rPr>
            </w:pPr>
          </w:p>
        </w:tc>
        <w:tc>
          <w:tcPr>
            <w:tcW w:w="1908" w:type="dxa"/>
            <w:noWrap/>
          </w:tcPr>
          <w:p w14:paraId="2EB9757E" w14:textId="77777777" w:rsidR="006D2379" w:rsidRPr="00633FF0" w:rsidRDefault="006D2379" w:rsidP="000E3DCC">
            <w:pPr>
              <w:pStyle w:val="ExhibitText"/>
              <w:tabs>
                <w:tab w:val="decimal" w:pos="808"/>
              </w:tabs>
              <w:jc w:val="right"/>
              <w:rPr>
                <w:bCs/>
                <w:lang w:val="en-GB"/>
              </w:rPr>
            </w:pPr>
          </w:p>
        </w:tc>
      </w:tr>
      <w:tr w:rsidR="004768BB" w:rsidRPr="00633FF0" w14:paraId="48130DBD" w14:textId="77777777" w:rsidTr="00B74ECF">
        <w:trPr>
          <w:trHeight w:val="570"/>
          <w:jc w:val="center"/>
        </w:trPr>
        <w:tc>
          <w:tcPr>
            <w:tcW w:w="2968" w:type="dxa"/>
            <w:hideMark/>
          </w:tcPr>
          <w:p w14:paraId="0FC77798" w14:textId="643AEEB1" w:rsidR="006D2379" w:rsidRPr="00633FF0" w:rsidRDefault="006D2379" w:rsidP="00B74ECF">
            <w:pPr>
              <w:pStyle w:val="ExhibitText"/>
              <w:jc w:val="left"/>
              <w:rPr>
                <w:lang w:val="en-GB"/>
              </w:rPr>
            </w:pPr>
            <w:r w:rsidRPr="00633FF0">
              <w:rPr>
                <w:lang w:val="en-GB"/>
              </w:rPr>
              <w:t xml:space="preserve">Cost of raw materials and consumables </w:t>
            </w:r>
          </w:p>
        </w:tc>
        <w:tc>
          <w:tcPr>
            <w:tcW w:w="390" w:type="dxa"/>
            <w:noWrap/>
            <w:hideMark/>
          </w:tcPr>
          <w:p w14:paraId="7243A91B" w14:textId="77777777" w:rsidR="006D2379" w:rsidRPr="00633FF0" w:rsidRDefault="006D2379" w:rsidP="00404CD4">
            <w:pPr>
              <w:pStyle w:val="ExhibitText"/>
              <w:rPr>
                <w:lang w:val="en-GB"/>
              </w:rPr>
            </w:pPr>
            <w:r w:rsidRPr="00633FF0">
              <w:rPr>
                <w:lang w:val="en-GB"/>
              </w:rPr>
              <w:t> </w:t>
            </w:r>
          </w:p>
        </w:tc>
        <w:tc>
          <w:tcPr>
            <w:tcW w:w="268" w:type="dxa"/>
            <w:noWrap/>
            <w:hideMark/>
          </w:tcPr>
          <w:p w14:paraId="28BB5510" w14:textId="77777777" w:rsidR="006D2379" w:rsidRPr="00633FF0" w:rsidRDefault="006D2379" w:rsidP="00404CD4">
            <w:pPr>
              <w:pStyle w:val="ExhibitText"/>
              <w:rPr>
                <w:lang w:val="en-GB"/>
              </w:rPr>
            </w:pPr>
            <w:r w:rsidRPr="00633FF0">
              <w:rPr>
                <w:lang w:val="en-GB"/>
              </w:rPr>
              <w:t> </w:t>
            </w:r>
          </w:p>
        </w:tc>
        <w:tc>
          <w:tcPr>
            <w:tcW w:w="1908" w:type="dxa"/>
            <w:noWrap/>
            <w:hideMark/>
          </w:tcPr>
          <w:p w14:paraId="35BB2227" w14:textId="62619C0B" w:rsidR="006D2379" w:rsidRPr="00633FF0" w:rsidRDefault="004768BB" w:rsidP="000E3DCC">
            <w:pPr>
              <w:pStyle w:val="ExhibitText"/>
              <w:tabs>
                <w:tab w:val="left" w:pos="0"/>
                <w:tab w:val="decimal" w:pos="1148"/>
              </w:tabs>
              <w:jc w:val="right"/>
              <w:rPr>
                <w:lang w:val="en-GB"/>
              </w:rPr>
            </w:pPr>
            <w:r>
              <w:rPr>
                <w:lang w:val="en-GB"/>
              </w:rPr>
              <w:tab/>
            </w:r>
            <w:r w:rsidR="006D2379" w:rsidRPr="00633FF0">
              <w:rPr>
                <w:lang w:val="en-GB"/>
              </w:rPr>
              <w:t>38</w:t>
            </w:r>
            <w:r>
              <w:rPr>
                <w:lang w:val="en-GB"/>
              </w:rPr>
              <w:t>,</w:t>
            </w:r>
            <w:r w:rsidR="006D2379" w:rsidRPr="00633FF0">
              <w:rPr>
                <w:lang w:val="en-GB"/>
              </w:rPr>
              <w:t>156</w:t>
            </w:r>
            <w:r w:rsidR="00016953">
              <w:rPr>
                <w:lang w:val="en-GB"/>
              </w:rPr>
              <w:t>,</w:t>
            </w:r>
            <w:r w:rsidR="006D2379" w:rsidRPr="00633FF0">
              <w:rPr>
                <w:lang w:val="en-GB"/>
              </w:rPr>
              <w:t>929</w:t>
            </w:r>
          </w:p>
        </w:tc>
        <w:tc>
          <w:tcPr>
            <w:tcW w:w="1908" w:type="dxa"/>
            <w:noWrap/>
            <w:hideMark/>
          </w:tcPr>
          <w:p w14:paraId="69F5C0CE" w14:textId="55AC43E3" w:rsidR="006D2379" w:rsidRPr="00633FF0" w:rsidRDefault="006D2379" w:rsidP="000E3DCC">
            <w:pPr>
              <w:pStyle w:val="ExhibitText"/>
              <w:tabs>
                <w:tab w:val="decimal" w:pos="986"/>
              </w:tabs>
              <w:jc w:val="right"/>
              <w:rPr>
                <w:lang w:val="en-GB"/>
              </w:rPr>
            </w:pPr>
            <w:r w:rsidRPr="00633FF0">
              <w:rPr>
                <w:lang w:val="en-GB"/>
              </w:rPr>
              <w:t xml:space="preserve"> 43</w:t>
            </w:r>
            <w:r w:rsidR="004768BB">
              <w:rPr>
                <w:lang w:val="en-GB"/>
              </w:rPr>
              <w:t>,</w:t>
            </w:r>
            <w:r w:rsidRPr="00633FF0">
              <w:rPr>
                <w:lang w:val="en-GB"/>
              </w:rPr>
              <w:t>902</w:t>
            </w:r>
            <w:r w:rsidR="00016953">
              <w:rPr>
                <w:lang w:val="en-GB"/>
              </w:rPr>
              <w:t>,</w:t>
            </w:r>
            <w:r w:rsidRPr="00633FF0">
              <w:rPr>
                <w:lang w:val="en-GB"/>
              </w:rPr>
              <w:t>851</w:t>
            </w:r>
          </w:p>
        </w:tc>
        <w:tc>
          <w:tcPr>
            <w:tcW w:w="1908" w:type="dxa"/>
            <w:noWrap/>
            <w:hideMark/>
          </w:tcPr>
          <w:p w14:paraId="5D2DFB6B" w14:textId="4CB538E6" w:rsidR="006D2379" w:rsidRPr="00633FF0" w:rsidRDefault="006D2379" w:rsidP="000E3DCC">
            <w:pPr>
              <w:pStyle w:val="ExhibitText"/>
              <w:tabs>
                <w:tab w:val="decimal" w:pos="808"/>
              </w:tabs>
              <w:jc w:val="right"/>
              <w:rPr>
                <w:lang w:val="en-GB"/>
              </w:rPr>
            </w:pPr>
            <w:r w:rsidRPr="00633FF0">
              <w:rPr>
                <w:lang w:val="en-GB"/>
              </w:rPr>
              <w:t>35</w:t>
            </w:r>
            <w:r w:rsidR="004768BB">
              <w:rPr>
                <w:lang w:val="en-GB"/>
              </w:rPr>
              <w:t>,</w:t>
            </w:r>
            <w:r w:rsidRPr="00633FF0">
              <w:rPr>
                <w:lang w:val="en-GB"/>
              </w:rPr>
              <w:t>759</w:t>
            </w:r>
            <w:r w:rsidR="00016953">
              <w:rPr>
                <w:lang w:val="en-GB"/>
              </w:rPr>
              <w:t>,</w:t>
            </w:r>
            <w:r w:rsidRPr="00633FF0">
              <w:rPr>
                <w:lang w:val="en-GB"/>
              </w:rPr>
              <w:t>065</w:t>
            </w:r>
          </w:p>
        </w:tc>
      </w:tr>
      <w:tr w:rsidR="004768BB" w:rsidRPr="00633FF0" w14:paraId="1F28F841" w14:textId="77777777" w:rsidTr="00B74ECF">
        <w:trPr>
          <w:trHeight w:val="570"/>
          <w:jc w:val="center"/>
        </w:trPr>
        <w:tc>
          <w:tcPr>
            <w:tcW w:w="2968" w:type="dxa"/>
            <w:hideMark/>
          </w:tcPr>
          <w:p w14:paraId="1E02EBA5" w14:textId="1A49CA55" w:rsidR="006D2379" w:rsidRPr="00633FF0" w:rsidRDefault="006D2379" w:rsidP="00B74ECF">
            <w:pPr>
              <w:pStyle w:val="ExhibitText"/>
              <w:jc w:val="left"/>
              <w:rPr>
                <w:lang w:val="en-GB"/>
              </w:rPr>
            </w:pPr>
            <w:r w:rsidRPr="00633FF0">
              <w:rPr>
                <w:lang w:val="en-GB"/>
              </w:rPr>
              <w:t>Cost of outsourced work and other external costs</w:t>
            </w:r>
            <w:r w:rsidRPr="00633FF0">
              <w:rPr>
                <w:bCs/>
                <w:lang w:val="en-GB"/>
              </w:rPr>
              <w:t xml:space="preserve"> </w:t>
            </w:r>
          </w:p>
        </w:tc>
        <w:tc>
          <w:tcPr>
            <w:tcW w:w="390" w:type="dxa"/>
            <w:noWrap/>
          </w:tcPr>
          <w:p w14:paraId="7116E690" w14:textId="77777777" w:rsidR="006D2379" w:rsidRPr="00633FF0" w:rsidRDefault="006D2379" w:rsidP="00404CD4">
            <w:pPr>
              <w:pStyle w:val="ExhibitText"/>
              <w:rPr>
                <w:lang w:val="en-GB"/>
              </w:rPr>
            </w:pPr>
          </w:p>
        </w:tc>
        <w:tc>
          <w:tcPr>
            <w:tcW w:w="268" w:type="dxa"/>
            <w:noWrap/>
            <w:hideMark/>
          </w:tcPr>
          <w:p w14:paraId="16982969" w14:textId="77777777" w:rsidR="006D2379" w:rsidRPr="00633FF0" w:rsidRDefault="006D2379" w:rsidP="00404CD4">
            <w:pPr>
              <w:pStyle w:val="ExhibitText"/>
              <w:rPr>
                <w:lang w:val="en-GB"/>
              </w:rPr>
            </w:pPr>
            <w:r w:rsidRPr="00633FF0">
              <w:rPr>
                <w:lang w:val="en-GB"/>
              </w:rPr>
              <w:t> </w:t>
            </w:r>
          </w:p>
        </w:tc>
        <w:tc>
          <w:tcPr>
            <w:tcW w:w="1908" w:type="dxa"/>
            <w:noWrap/>
            <w:hideMark/>
          </w:tcPr>
          <w:p w14:paraId="667967CD" w14:textId="5F54BCCC" w:rsidR="006D2379" w:rsidRPr="00633FF0" w:rsidRDefault="004768BB" w:rsidP="000E3DCC">
            <w:pPr>
              <w:pStyle w:val="ExhibitText"/>
              <w:tabs>
                <w:tab w:val="left" w:pos="0"/>
                <w:tab w:val="decimal" w:pos="1148"/>
              </w:tabs>
              <w:jc w:val="right"/>
              <w:rPr>
                <w:lang w:val="en-GB"/>
              </w:rPr>
            </w:pPr>
            <w:r>
              <w:rPr>
                <w:lang w:val="en-GB"/>
              </w:rPr>
              <w:tab/>
            </w:r>
            <w:r w:rsidR="006D2379" w:rsidRPr="00633FF0">
              <w:rPr>
                <w:lang w:val="en-GB"/>
              </w:rPr>
              <w:t>22</w:t>
            </w:r>
            <w:r>
              <w:rPr>
                <w:lang w:val="en-GB"/>
              </w:rPr>
              <w:t>,</w:t>
            </w:r>
            <w:r w:rsidR="006D2379" w:rsidRPr="00633FF0">
              <w:rPr>
                <w:lang w:val="en-GB"/>
              </w:rPr>
              <w:t>447</w:t>
            </w:r>
            <w:r w:rsidR="00016953">
              <w:rPr>
                <w:lang w:val="en-GB"/>
              </w:rPr>
              <w:t>,</w:t>
            </w:r>
            <w:r w:rsidR="006D2379" w:rsidRPr="00633FF0">
              <w:rPr>
                <w:lang w:val="en-GB"/>
              </w:rPr>
              <w:t>149</w:t>
            </w:r>
          </w:p>
        </w:tc>
        <w:tc>
          <w:tcPr>
            <w:tcW w:w="1908" w:type="dxa"/>
            <w:noWrap/>
            <w:hideMark/>
          </w:tcPr>
          <w:p w14:paraId="629C44B9" w14:textId="50DBD7DE" w:rsidR="006D2379" w:rsidRPr="00633FF0" w:rsidRDefault="006D2379" w:rsidP="000E3DCC">
            <w:pPr>
              <w:pStyle w:val="ExhibitText"/>
              <w:tabs>
                <w:tab w:val="decimal" w:pos="986"/>
              </w:tabs>
              <w:jc w:val="right"/>
              <w:rPr>
                <w:lang w:val="en-GB"/>
              </w:rPr>
            </w:pPr>
            <w:r w:rsidRPr="00633FF0">
              <w:rPr>
                <w:lang w:val="en-GB"/>
              </w:rPr>
              <w:t>20</w:t>
            </w:r>
            <w:r w:rsidR="004768BB">
              <w:rPr>
                <w:lang w:val="en-GB"/>
              </w:rPr>
              <w:t>,</w:t>
            </w:r>
            <w:r w:rsidRPr="00633FF0">
              <w:rPr>
                <w:lang w:val="en-GB"/>
              </w:rPr>
              <w:t>760</w:t>
            </w:r>
            <w:r w:rsidR="00016953">
              <w:rPr>
                <w:lang w:val="en-GB"/>
              </w:rPr>
              <w:t>,</w:t>
            </w:r>
            <w:r w:rsidRPr="00633FF0">
              <w:rPr>
                <w:lang w:val="en-GB"/>
              </w:rPr>
              <w:t>825</w:t>
            </w:r>
          </w:p>
        </w:tc>
        <w:tc>
          <w:tcPr>
            <w:tcW w:w="1908" w:type="dxa"/>
            <w:noWrap/>
            <w:hideMark/>
          </w:tcPr>
          <w:p w14:paraId="06A5BBF9" w14:textId="1CF53FDC" w:rsidR="006D2379" w:rsidRPr="00633FF0" w:rsidRDefault="006D2379" w:rsidP="000E3DCC">
            <w:pPr>
              <w:pStyle w:val="ExhibitText"/>
              <w:tabs>
                <w:tab w:val="decimal" w:pos="808"/>
              </w:tabs>
              <w:jc w:val="right"/>
              <w:rPr>
                <w:lang w:val="en-GB"/>
              </w:rPr>
            </w:pPr>
            <w:r w:rsidRPr="00633FF0">
              <w:rPr>
                <w:lang w:val="en-GB"/>
              </w:rPr>
              <w:t>21</w:t>
            </w:r>
            <w:r w:rsidR="004768BB">
              <w:rPr>
                <w:lang w:val="en-GB"/>
              </w:rPr>
              <w:t>,</w:t>
            </w:r>
            <w:r w:rsidRPr="00633FF0">
              <w:rPr>
                <w:lang w:val="en-GB"/>
              </w:rPr>
              <w:t>317</w:t>
            </w:r>
            <w:r w:rsidR="00016953">
              <w:rPr>
                <w:lang w:val="en-GB"/>
              </w:rPr>
              <w:t>,</w:t>
            </w:r>
            <w:r w:rsidRPr="00633FF0">
              <w:rPr>
                <w:lang w:val="en-GB"/>
              </w:rPr>
              <w:t>629</w:t>
            </w:r>
          </w:p>
        </w:tc>
      </w:tr>
      <w:tr w:rsidR="004768BB" w:rsidRPr="00633FF0" w14:paraId="08F47406" w14:textId="77777777" w:rsidTr="00B74ECF">
        <w:trPr>
          <w:trHeight w:val="300"/>
          <w:jc w:val="center"/>
        </w:trPr>
        <w:tc>
          <w:tcPr>
            <w:tcW w:w="2968" w:type="dxa"/>
            <w:noWrap/>
            <w:hideMark/>
          </w:tcPr>
          <w:p w14:paraId="01C8A351" w14:textId="3F1CF268" w:rsidR="006D2379" w:rsidRPr="00633FF0" w:rsidRDefault="006D2379" w:rsidP="00404CD4">
            <w:pPr>
              <w:pStyle w:val="ExhibitText"/>
              <w:rPr>
                <w:lang w:val="en-GB"/>
              </w:rPr>
            </w:pPr>
            <w:r w:rsidRPr="00633FF0">
              <w:rPr>
                <w:lang w:val="en-GB"/>
              </w:rPr>
              <w:t>Wages and salaries</w:t>
            </w:r>
            <w:r w:rsidRPr="00633FF0">
              <w:rPr>
                <w:bCs/>
                <w:lang w:val="en-GB"/>
              </w:rPr>
              <w:t xml:space="preserve"> </w:t>
            </w:r>
          </w:p>
        </w:tc>
        <w:tc>
          <w:tcPr>
            <w:tcW w:w="390" w:type="dxa"/>
            <w:noWrap/>
          </w:tcPr>
          <w:p w14:paraId="092E1BC4" w14:textId="77777777" w:rsidR="006D2379" w:rsidRPr="00633FF0" w:rsidRDefault="006D2379" w:rsidP="00404CD4">
            <w:pPr>
              <w:pStyle w:val="ExhibitText"/>
              <w:rPr>
                <w:lang w:val="en-GB"/>
              </w:rPr>
            </w:pPr>
          </w:p>
        </w:tc>
        <w:tc>
          <w:tcPr>
            <w:tcW w:w="268" w:type="dxa"/>
            <w:noWrap/>
            <w:hideMark/>
          </w:tcPr>
          <w:p w14:paraId="48EBF0AB" w14:textId="77777777" w:rsidR="006D2379" w:rsidRPr="00633FF0" w:rsidRDefault="006D2379" w:rsidP="00404CD4">
            <w:pPr>
              <w:pStyle w:val="ExhibitText"/>
              <w:rPr>
                <w:lang w:val="en-GB"/>
              </w:rPr>
            </w:pPr>
            <w:r w:rsidRPr="00633FF0">
              <w:rPr>
                <w:lang w:val="en-GB"/>
              </w:rPr>
              <w:t> </w:t>
            </w:r>
          </w:p>
        </w:tc>
        <w:tc>
          <w:tcPr>
            <w:tcW w:w="1908" w:type="dxa"/>
            <w:noWrap/>
            <w:hideMark/>
          </w:tcPr>
          <w:p w14:paraId="1E7C9F03" w14:textId="079F9718" w:rsidR="006D2379" w:rsidRPr="00633FF0" w:rsidRDefault="004768BB" w:rsidP="000E3DCC">
            <w:pPr>
              <w:pStyle w:val="ExhibitText"/>
              <w:tabs>
                <w:tab w:val="left" w:pos="0"/>
                <w:tab w:val="decimal" w:pos="1148"/>
              </w:tabs>
              <w:jc w:val="right"/>
              <w:rPr>
                <w:lang w:val="en-GB"/>
              </w:rPr>
            </w:pPr>
            <w:r>
              <w:rPr>
                <w:lang w:val="en-GB"/>
              </w:rPr>
              <w:tab/>
            </w:r>
            <w:r w:rsidR="006D2379" w:rsidRPr="00633FF0">
              <w:rPr>
                <w:lang w:val="en-GB"/>
              </w:rPr>
              <w:t>24</w:t>
            </w:r>
            <w:r>
              <w:rPr>
                <w:lang w:val="en-GB"/>
              </w:rPr>
              <w:t>,</w:t>
            </w:r>
            <w:r w:rsidR="006D2379" w:rsidRPr="00633FF0">
              <w:rPr>
                <w:lang w:val="en-GB"/>
              </w:rPr>
              <w:t>030</w:t>
            </w:r>
            <w:r w:rsidR="00016953">
              <w:rPr>
                <w:lang w:val="en-GB"/>
              </w:rPr>
              <w:t>,</w:t>
            </w:r>
            <w:r w:rsidR="006D2379" w:rsidRPr="00633FF0">
              <w:rPr>
                <w:lang w:val="en-GB"/>
              </w:rPr>
              <w:t>062</w:t>
            </w:r>
          </w:p>
        </w:tc>
        <w:tc>
          <w:tcPr>
            <w:tcW w:w="1908" w:type="dxa"/>
            <w:noWrap/>
            <w:hideMark/>
          </w:tcPr>
          <w:p w14:paraId="79C857CB" w14:textId="107421BA" w:rsidR="006D2379" w:rsidRPr="00633FF0" w:rsidRDefault="006D2379" w:rsidP="000E3DCC">
            <w:pPr>
              <w:pStyle w:val="ExhibitText"/>
              <w:tabs>
                <w:tab w:val="decimal" w:pos="986"/>
              </w:tabs>
              <w:jc w:val="right"/>
              <w:rPr>
                <w:lang w:val="en-GB"/>
              </w:rPr>
            </w:pPr>
            <w:r w:rsidRPr="00633FF0">
              <w:rPr>
                <w:lang w:val="en-GB"/>
              </w:rPr>
              <w:t xml:space="preserve"> 22</w:t>
            </w:r>
            <w:r w:rsidR="004768BB">
              <w:rPr>
                <w:lang w:val="en-GB"/>
              </w:rPr>
              <w:t>,</w:t>
            </w:r>
            <w:r w:rsidRPr="00633FF0">
              <w:rPr>
                <w:lang w:val="en-GB"/>
              </w:rPr>
              <w:t>349</w:t>
            </w:r>
            <w:r w:rsidR="006F43B4">
              <w:rPr>
                <w:lang w:val="en-GB"/>
              </w:rPr>
              <w:t>,</w:t>
            </w:r>
            <w:r w:rsidRPr="00633FF0">
              <w:rPr>
                <w:lang w:val="en-GB"/>
              </w:rPr>
              <w:t>143</w:t>
            </w:r>
          </w:p>
        </w:tc>
        <w:tc>
          <w:tcPr>
            <w:tcW w:w="1908" w:type="dxa"/>
            <w:noWrap/>
            <w:hideMark/>
          </w:tcPr>
          <w:p w14:paraId="5C717DD0" w14:textId="48310B1D" w:rsidR="006D2379" w:rsidRPr="00633FF0" w:rsidRDefault="001F1DB5" w:rsidP="000E3DCC">
            <w:pPr>
              <w:pStyle w:val="ExhibitText"/>
              <w:tabs>
                <w:tab w:val="decimal" w:pos="808"/>
              </w:tabs>
              <w:jc w:val="right"/>
              <w:rPr>
                <w:lang w:val="en-GB"/>
              </w:rPr>
            </w:pPr>
            <w:r>
              <w:rPr>
                <w:lang w:val="en-GB"/>
              </w:rPr>
              <w:t>-</w:t>
            </w:r>
          </w:p>
        </w:tc>
      </w:tr>
      <w:tr w:rsidR="004768BB" w:rsidRPr="00633FF0" w14:paraId="2B174CA0" w14:textId="77777777" w:rsidTr="00B74ECF">
        <w:trPr>
          <w:trHeight w:val="620"/>
          <w:jc w:val="center"/>
        </w:trPr>
        <w:tc>
          <w:tcPr>
            <w:tcW w:w="2968" w:type="dxa"/>
            <w:hideMark/>
          </w:tcPr>
          <w:p w14:paraId="2513CD64" w14:textId="1C8430C7" w:rsidR="006D2379" w:rsidRPr="00633FF0" w:rsidRDefault="006D2379" w:rsidP="00D82EA0">
            <w:pPr>
              <w:pStyle w:val="ExhibitText"/>
              <w:jc w:val="left"/>
              <w:rPr>
                <w:lang w:val="en-GB"/>
              </w:rPr>
            </w:pPr>
            <w:r w:rsidRPr="00633FF0">
              <w:rPr>
                <w:lang w:val="en-GB"/>
              </w:rPr>
              <w:t xml:space="preserve">Social security and pension charges </w:t>
            </w:r>
          </w:p>
        </w:tc>
        <w:tc>
          <w:tcPr>
            <w:tcW w:w="390" w:type="dxa"/>
            <w:noWrap/>
            <w:hideMark/>
          </w:tcPr>
          <w:p w14:paraId="03BB4C8C" w14:textId="77777777" w:rsidR="006D2379" w:rsidRPr="00633FF0" w:rsidRDefault="006D2379" w:rsidP="00404CD4">
            <w:pPr>
              <w:pStyle w:val="ExhibitText"/>
              <w:rPr>
                <w:lang w:val="en-GB"/>
              </w:rPr>
            </w:pPr>
            <w:r w:rsidRPr="00633FF0">
              <w:rPr>
                <w:lang w:val="en-GB"/>
              </w:rPr>
              <w:t> </w:t>
            </w:r>
          </w:p>
        </w:tc>
        <w:tc>
          <w:tcPr>
            <w:tcW w:w="268" w:type="dxa"/>
            <w:noWrap/>
            <w:hideMark/>
          </w:tcPr>
          <w:p w14:paraId="43745AD2" w14:textId="77777777" w:rsidR="006D2379" w:rsidRPr="00633FF0" w:rsidRDefault="006D2379" w:rsidP="00404CD4">
            <w:pPr>
              <w:pStyle w:val="ExhibitText"/>
              <w:rPr>
                <w:lang w:val="en-GB"/>
              </w:rPr>
            </w:pPr>
            <w:r w:rsidRPr="00633FF0">
              <w:rPr>
                <w:lang w:val="en-GB"/>
              </w:rPr>
              <w:t> </w:t>
            </w:r>
          </w:p>
        </w:tc>
        <w:tc>
          <w:tcPr>
            <w:tcW w:w="1908" w:type="dxa"/>
            <w:noWrap/>
            <w:hideMark/>
          </w:tcPr>
          <w:p w14:paraId="61CCFA76" w14:textId="16500296" w:rsidR="006D2379" w:rsidRPr="00633FF0" w:rsidRDefault="004768BB" w:rsidP="000E3DCC">
            <w:pPr>
              <w:pStyle w:val="ExhibitText"/>
              <w:tabs>
                <w:tab w:val="left" w:pos="0"/>
                <w:tab w:val="decimal" w:pos="1148"/>
              </w:tabs>
              <w:jc w:val="right"/>
              <w:rPr>
                <w:lang w:val="en-GB"/>
              </w:rPr>
            </w:pPr>
            <w:r>
              <w:rPr>
                <w:lang w:val="en-GB"/>
              </w:rPr>
              <w:tab/>
            </w:r>
            <w:r w:rsidR="006D2379" w:rsidRPr="00633FF0">
              <w:rPr>
                <w:lang w:val="en-GB"/>
              </w:rPr>
              <w:t>5</w:t>
            </w:r>
            <w:r>
              <w:rPr>
                <w:lang w:val="en-GB"/>
              </w:rPr>
              <w:t>,</w:t>
            </w:r>
            <w:r w:rsidR="006D2379" w:rsidRPr="00633FF0">
              <w:rPr>
                <w:lang w:val="en-GB"/>
              </w:rPr>
              <w:t>994</w:t>
            </w:r>
            <w:r w:rsidR="00016953">
              <w:rPr>
                <w:lang w:val="en-GB"/>
              </w:rPr>
              <w:t>,</w:t>
            </w:r>
            <w:r w:rsidR="006D2379" w:rsidRPr="00633FF0">
              <w:rPr>
                <w:lang w:val="en-GB"/>
              </w:rPr>
              <w:t>286</w:t>
            </w:r>
          </w:p>
        </w:tc>
        <w:tc>
          <w:tcPr>
            <w:tcW w:w="1908" w:type="dxa"/>
            <w:noWrap/>
            <w:hideMark/>
          </w:tcPr>
          <w:p w14:paraId="23FCCBE4" w14:textId="167FE220" w:rsidR="006D2379" w:rsidRPr="00633FF0" w:rsidRDefault="006D2379" w:rsidP="000E3DCC">
            <w:pPr>
              <w:pStyle w:val="ExhibitText"/>
              <w:tabs>
                <w:tab w:val="decimal" w:pos="986"/>
              </w:tabs>
              <w:jc w:val="right"/>
              <w:rPr>
                <w:lang w:val="en-GB"/>
              </w:rPr>
            </w:pPr>
            <w:r w:rsidRPr="00633FF0">
              <w:rPr>
                <w:lang w:val="en-GB"/>
              </w:rPr>
              <w:t xml:space="preserve"> 5</w:t>
            </w:r>
            <w:r w:rsidR="004768BB">
              <w:rPr>
                <w:lang w:val="en-GB"/>
              </w:rPr>
              <w:t>,</w:t>
            </w:r>
            <w:r w:rsidRPr="00633FF0">
              <w:rPr>
                <w:lang w:val="en-GB"/>
              </w:rPr>
              <w:t>459</w:t>
            </w:r>
            <w:r w:rsidR="006F43B4">
              <w:rPr>
                <w:lang w:val="en-GB"/>
              </w:rPr>
              <w:t>,</w:t>
            </w:r>
            <w:r w:rsidRPr="00633FF0">
              <w:rPr>
                <w:lang w:val="en-GB"/>
              </w:rPr>
              <w:t>479</w:t>
            </w:r>
          </w:p>
        </w:tc>
        <w:tc>
          <w:tcPr>
            <w:tcW w:w="1908" w:type="dxa"/>
            <w:noWrap/>
            <w:hideMark/>
          </w:tcPr>
          <w:p w14:paraId="4AF16E0A" w14:textId="4312B0DA" w:rsidR="006D2379" w:rsidRPr="00633FF0" w:rsidRDefault="006D2379" w:rsidP="000E3DCC">
            <w:pPr>
              <w:pStyle w:val="ExhibitText"/>
              <w:tabs>
                <w:tab w:val="decimal" w:pos="808"/>
              </w:tabs>
              <w:jc w:val="right"/>
              <w:rPr>
                <w:lang w:val="en-GB"/>
              </w:rPr>
            </w:pPr>
            <w:r w:rsidRPr="00633FF0">
              <w:rPr>
                <w:lang w:val="en-GB"/>
              </w:rPr>
              <w:t>5</w:t>
            </w:r>
            <w:r w:rsidR="00C60015">
              <w:rPr>
                <w:lang w:val="en-GB"/>
              </w:rPr>
              <w:t>,</w:t>
            </w:r>
            <w:r w:rsidRPr="00633FF0">
              <w:rPr>
                <w:lang w:val="en-GB"/>
              </w:rPr>
              <w:t>195</w:t>
            </w:r>
            <w:r w:rsidR="006F43B4">
              <w:rPr>
                <w:lang w:val="en-GB"/>
              </w:rPr>
              <w:t>,</w:t>
            </w:r>
            <w:r w:rsidRPr="00633FF0">
              <w:rPr>
                <w:lang w:val="en-GB"/>
              </w:rPr>
              <w:t>110</w:t>
            </w:r>
          </w:p>
        </w:tc>
      </w:tr>
      <w:tr w:rsidR="004768BB" w:rsidRPr="00633FF0" w14:paraId="3302A0B1" w14:textId="77777777" w:rsidTr="00B74ECF">
        <w:trPr>
          <w:trHeight w:val="570"/>
          <w:jc w:val="center"/>
        </w:trPr>
        <w:tc>
          <w:tcPr>
            <w:tcW w:w="2968" w:type="dxa"/>
            <w:hideMark/>
          </w:tcPr>
          <w:p w14:paraId="37E36B8B" w14:textId="3F17831F" w:rsidR="006D2379" w:rsidRPr="00633FF0" w:rsidRDefault="006D2379" w:rsidP="00D82EA0">
            <w:pPr>
              <w:pStyle w:val="ExhibitText"/>
              <w:jc w:val="left"/>
              <w:rPr>
                <w:lang w:val="en-GB"/>
              </w:rPr>
            </w:pPr>
            <w:r w:rsidRPr="00633FF0">
              <w:rPr>
                <w:lang w:val="en-GB"/>
              </w:rPr>
              <w:t>Amorti</w:t>
            </w:r>
            <w:r w:rsidR="00D83614">
              <w:rPr>
                <w:lang w:val="en-GB"/>
              </w:rPr>
              <w:t>z</w:t>
            </w:r>
            <w:r w:rsidRPr="00633FF0">
              <w:rPr>
                <w:lang w:val="en-GB"/>
              </w:rPr>
              <w:t>ation of intangible fixed assets</w:t>
            </w:r>
            <w:r w:rsidRPr="00633FF0">
              <w:rPr>
                <w:bCs/>
                <w:lang w:val="en-GB"/>
              </w:rPr>
              <w:t xml:space="preserve"> </w:t>
            </w:r>
          </w:p>
        </w:tc>
        <w:tc>
          <w:tcPr>
            <w:tcW w:w="390" w:type="dxa"/>
            <w:noWrap/>
            <w:hideMark/>
          </w:tcPr>
          <w:p w14:paraId="2AA19009" w14:textId="77777777" w:rsidR="006D2379" w:rsidRPr="00633FF0" w:rsidRDefault="006D2379" w:rsidP="00404CD4">
            <w:pPr>
              <w:pStyle w:val="ExhibitText"/>
              <w:rPr>
                <w:lang w:val="en-GB"/>
              </w:rPr>
            </w:pPr>
            <w:r w:rsidRPr="00633FF0">
              <w:rPr>
                <w:lang w:val="en-GB"/>
              </w:rPr>
              <w:t> </w:t>
            </w:r>
          </w:p>
        </w:tc>
        <w:tc>
          <w:tcPr>
            <w:tcW w:w="268" w:type="dxa"/>
            <w:noWrap/>
            <w:hideMark/>
          </w:tcPr>
          <w:p w14:paraId="131F6943" w14:textId="77777777" w:rsidR="006D2379" w:rsidRPr="00633FF0" w:rsidRDefault="006D2379" w:rsidP="00404CD4">
            <w:pPr>
              <w:pStyle w:val="ExhibitText"/>
              <w:rPr>
                <w:lang w:val="en-GB"/>
              </w:rPr>
            </w:pPr>
            <w:r w:rsidRPr="00633FF0">
              <w:rPr>
                <w:lang w:val="en-GB"/>
              </w:rPr>
              <w:t> </w:t>
            </w:r>
          </w:p>
        </w:tc>
        <w:tc>
          <w:tcPr>
            <w:tcW w:w="1908" w:type="dxa"/>
            <w:noWrap/>
            <w:hideMark/>
          </w:tcPr>
          <w:p w14:paraId="3715E776" w14:textId="040E13A2" w:rsidR="006D2379" w:rsidRPr="00633FF0" w:rsidRDefault="004768BB" w:rsidP="000E3DCC">
            <w:pPr>
              <w:pStyle w:val="ExhibitText"/>
              <w:tabs>
                <w:tab w:val="left" w:pos="0"/>
                <w:tab w:val="decimal" w:pos="1148"/>
              </w:tabs>
              <w:jc w:val="right"/>
              <w:rPr>
                <w:lang w:val="en-GB"/>
              </w:rPr>
            </w:pPr>
            <w:r>
              <w:rPr>
                <w:lang w:val="en-GB"/>
              </w:rPr>
              <w:tab/>
            </w:r>
            <w:r w:rsidR="006D2379" w:rsidRPr="00633FF0">
              <w:rPr>
                <w:lang w:val="en-GB"/>
              </w:rPr>
              <w:t>526</w:t>
            </w:r>
            <w:r w:rsidR="00016953">
              <w:rPr>
                <w:lang w:val="en-GB"/>
              </w:rPr>
              <w:t>,</w:t>
            </w:r>
            <w:r w:rsidR="006D2379" w:rsidRPr="00633FF0">
              <w:rPr>
                <w:lang w:val="en-GB"/>
              </w:rPr>
              <w:t>997</w:t>
            </w:r>
          </w:p>
        </w:tc>
        <w:tc>
          <w:tcPr>
            <w:tcW w:w="1908" w:type="dxa"/>
            <w:noWrap/>
            <w:hideMark/>
          </w:tcPr>
          <w:p w14:paraId="42749531" w14:textId="37257DF1" w:rsidR="006D2379" w:rsidRPr="00633FF0" w:rsidRDefault="006D2379" w:rsidP="00FA359C">
            <w:pPr>
              <w:pStyle w:val="ExhibitText"/>
              <w:tabs>
                <w:tab w:val="decimal" w:pos="986"/>
              </w:tabs>
              <w:jc w:val="right"/>
              <w:rPr>
                <w:lang w:val="en-GB"/>
              </w:rPr>
            </w:pPr>
            <w:r w:rsidRPr="00633FF0">
              <w:rPr>
                <w:lang w:val="en-GB"/>
              </w:rPr>
              <w:t>66</w:t>
            </w:r>
            <w:r w:rsidR="00FA359C">
              <w:rPr>
                <w:lang w:val="en-GB"/>
              </w:rPr>
              <w:t>0</w:t>
            </w:r>
            <w:r w:rsidR="002C5921">
              <w:rPr>
                <w:lang w:val="en-GB"/>
              </w:rPr>
              <w:t>,</w:t>
            </w:r>
            <w:r w:rsidRPr="00633FF0">
              <w:rPr>
                <w:lang w:val="en-GB"/>
              </w:rPr>
              <w:t>24</w:t>
            </w:r>
            <w:r w:rsidR="00FA359C">
              <w:rPr>
                <w:lang w:val="en-GB"/>
              </w:rPr>
              <w:t>0</w:t>
            </w:r>
          </w:p>
        </w:tc>
        <w:tc>
          <w:tcPr>
            <w:tcW w:w="1908" w:type="dxa"/>
            <w:noWrap/>
            <w:hideMark/>
          </w:tcPr>
          <w:p w14:paraId="5D08BB34" w14:textId="55BBA528" w:rsidR="006D2379" w:rsidRPr="00633FF0" w:rsidRDefault="006D2379" w:rsidP="00FA359C">
            <w:pPr>
              <w:pStyle w:val="ExhibitText"/>
              <w:tabs>
                <w:tab w:val="decimal" w:pos="808"/>
              </w:tabs>
              <w:jc w:val="right"/>
              <w:rPr>
                <w:lang w:val="en-GB"/>
              </w:rPr>
            </w:pPr>
            <w:r w:rsidRPr="00633FF0">
              <w:rPr>
                <w:lang w:val="en-GB"/>
              </w:rPr>
              <w:t>51</w:t>
            </w:r>
            <w:r w:rsidR="00FA359C">
              <w:rPr>
                <w:lang w:val="en-GB"/>
              </w:rPr>
              <w:t>9</w:t>
            </w:r>
            <w:r w:rsidR="002C5921">
              <w:rPr>
                <w:lang w:val="en-GB"/>
              </w:rPr>
              <w:t>,</w:t>
            </w:r>
            <w:r w:rsidR="00FA359C">
              <w:rPr>
                <w:lang w:val="en-GB"/>
              </w:rPr>
              <w:t>000</w:t>
            </w:r>
          </w:p>
        </w:tc>
      </w:tr>
      <w:tr w:rsidR="004768BB" w:rsidRPr="00633FF0" w14:paraId="21E9AD3C" w14:textId="77777777" w:rsidTr="00B74ECF">
        <w:trPr>
          <w:trHeight w:val="570"/>
          <w:jc w:val="center"/>
        </w:trPr>
        <w:tc>
          <w:tcPr>
            <w:tcW w:w="2968" w:type="dxa"/>
            <w:hideMark/>
          </w:tcPr>
          <w:p w14:paraId="06DB883C" w14:textId="67D89906" w:rsidR="006D2379" w:rsidRPr="00633FF0" w:rsidRDefault="006D2379" w:rsidP="00B74ECF">
            <w:pPr>
              <w:pStyle w:val="ExhibitText"/>
              <w:jc w:val="left"/>
              <w:rPr>
                <w:lang w:val="en-GB"/>
              </w:rPr>
            </w:pPr>
            <w:r w:rsidRPr="00633FF0">
              <w:rPr>
                <w:lang w:val="en-GB"/>
              </w:rPr>
              <w:t>Depreciation of tangible</w:t>
            </w:r>
            <w:r w:rsidR="00633FF0" w:rsidRPr="00633FF0">
              <w:rPr>
                <w:lang w:val="en-GB"/>
              </w:rPr>
              <w:t xml:space="preserve"> </w:t>
            </w:r>
            <w:r w:rsidRPr="00633FF0">
              <w:rPr>
                <w:lang w:val="en-GB"/>
              </w:rPr>
              <w:t xml:space="preserve">fixed assets </w:t>
            </w:r>
          </w:p>
        </w:tc>
        <w:tc>
          <w:tcPr>
            <w:tcW w:w="390" w:type="dxa"/>
            <w:noWrap/>
            <w:hideMark/>
          </w:tcPr>
          <w:p w14:paraId="2F0628C9" w14:textId="77777777" w:rsidR="006D2379" w:rsidRPr="00633FF0" w:rsidRDefault="006D2379" w:rsidP="00404CD4">
            <w:pPr>
              <w:pStyle w:val="ExhibitText"/>
              <w:rPr>
                <w:lang w:val="en-GB"/>
              </w:rPr>
            </w:pPr>
            <w:r w:rsidRPr="00633FF0">
              <w:rPr>
                <w:lang w:val="en-GB"/>
              </w:rPr>
              <w:t> </w:t>
            </w:r>
          </w:p>
        </w:tc>
        <w:tc>
          <w:tcPr>
            <w:tcW w:w="268" w:type="dxa"/>
            <w:noWrap/>
            <w:hideMark/>
          </w:tcPr>
          <w:p w14:paraId="1A576955" w14:textId="77777777" w:rsidR="006D2379" w:rsidRPr="00633FF0" w:rsidRDefault="006D2379" w:rsidP="00404CD4">
            <w:pPr>
              <w:pStyle w:val="ExhibitText"/>
              <w:rPr>
                <w:lang w:val="en-GB"/>
              </w:rPr>
            </w:pPr>
            <w:r w:rsidRPr="00633FF0">
              <w:rPr>
                <w:lang w:val="en-GB"/>
              </w:rPr>
              <w:t> </w:t>
            </w:r>
          </w:p>
        </w:tc>
        <w:tc>
          <w:tcPr>
            <w:tcW w:w="1908" w:type="dxa"/>
            <w:noWrap/>
            <w:hideMark/>
          </w:tcPr>
          <w:p w14:paraId="2670B234" w14:textId="2B13D963" w:rsidR="006D2379" w:rsidRPr="00633FF0" w:rsidRDefault="004768BB" w:rsidP="000E3DCC">
            <w:pPr>
              <w:pStyle w:val="ExhibitText"/>
              <w:tabs>
                <w:tab w:val="left" w:pos="0"/>
                <w:tab w:val="decimal" w:pos="1148"/>
              </w:tabs>
              <w:jc w:val="right"/>
              <w:rPr>
                <w:lang w:val="en-GB"/>
              </w:rPr>
            </w:pPr>
            <w:r>
              <w:rPr>
                <w:lang w:val="en-GB"/>
              </w:rPr>
              <w:tab/>
            </w:r>
            <w:r w:rsidR="006D2379" w:rsidRPr="00633FF0">
              <w:rPr>
                <w:lang w:val="en-GB"/>
              </w:rPr>
              <w:t>2</w:t>
            </w:r>
            <w:r>
              <w:rPr>
                <w:lang w:val="en-GB"/>
              </w:rPr>
              <w:t>,</w:t>
            </w:r>
            <w:r w:rsidR="006D2379" w:rsidRPr="00633FF0">
              <w:rPr>
                <w:lang w:val="en-GB"/>
              </w:rPr>
              <w:t>993</w:t>
            </w:r>
            <w:r w:rsidR="00016953">
              <w:rPr>
                <w:lang w:val="en-GB"/>
              </w:rPr>
              <w:t>,</w:t>
            </w:r>
            <w:r w:rsidR="006D2379" w:rsidRPr="00633FF0">
              <w:rPr>
                <w:lang w:val="en-GB"/>
              </w:rPr>
              <w:t>235</w:t>
            </w:r>
          </w:p>
        </w:tc>
        <w:tc>
          <w:tcPr>
            <w:tcW w:w="1908" w:type="dxa"/>
            <w:noWrap/>
            <w:hideMark/>
          </w:tcPr>
          <w:p w14:paraId="3048403B" w14:textId="338772E6" w:rsidR="006D2379" w:rsidRPr="00633FF0" w:rsidRDefault="006D2379" w:rsidP="000E3DCC">
            <w:pPr>
              <w:pStyle w:val="ExhibitText"/>
              <w:tabs>
                <w:tab w:val="decimal" w:pos="986"/>
              </w:tabs>
              <w:jc w:val="right"/>
              <w:rPr>
                <w:lang w:val="en-GB"/>
              </w:rPr>
            </w:pPr>
            <w:r w:rsidRPr="00633FF0">
              <w:rPr>
                <w:lang w:val="en-GB"/>
              </w:rPr>
              <w:t>3</w:t>
            </w:r>
            <w:r w:rsidR="004768BB">
              <w:rPr>
                <w:lang w:val="en-GB"/>
              </w:rPr>
              <w:t>,</w:t>
            </w:r>
            <w:r w:rsidRPr="00633FF0">
              <w:rPr>
                <w:lang w:val="en-GB"/>
              </w:rPr>
              <w:t>976</w:t>
            </w:r>
            <w:r w:rsidR="006F43B4">
              <w:rPr>
                <w:lang w:val="en-GB"/>
              </w:rPr>
              <w:t>,</w:t>
            </w:r>
            <w:r w:rsidRPr="00633FF0">
              <w:rPr>
                <w:lang w:val="en-GB"/>
              </w:rPr>
              <w:t>083</w:t>
            </w:r>
          </w:p>
        </w:tc>
        <w:tc>
          <w:tcPr>
            <w:tcW w:w="1908" w:type="dxa"/>
            <w:noWrap/>
            <w:hideMark/>
          </w:tcPr>
          <w:p w14:paraId="2719C00E" w14:textId="6E4FA36A" w:rsidR="006D2379" w:rsidRPr="00633FF0" w:rsidRDefault="006D2379" w:rsidP="000E3DCC">
            <w:pPr>
              <w:pStyle w:val="ExhibitText"/>
              <w:tabs>
                <w:tab w:val="decimal" w:pos="808"/>
              </w:tabs>
              <w:jc w:val="right"/>
              <w:rPr>
                <w:lang w:val="en-GB"/>
              </w:rPr>
            </w:pPr>
            <w:r w:rsidRPr="00633FF0">
              <w:rPr>
                <w:lang w:val="en-GB"/>
              </w:rPr>
              <w:t>3</w:t>
            </w:r>
            <w:r w:rsidR="004768BB">
              <w:rPr>
                <w:lang w:val="en-GB"/>
              </w:rPr>
              <w:t>,</w:t>
            </w:r>
            <w:r w:rsidRPr="00633FF0">
              <w:rPr>
                <w:lang w:val="en-GB"/>
              </w:rPr>
              <w:t>313</w:t>
            </w:r>
            <w:r w:rsidR="006F43B4">
              <w:rPr>
                <w:lang w:val="en-GB"/>
              </w:rPr>
              <w:t>,</w:t>
            </w:r>
            <w:r w:rsidRPr="00633FF0">
              <w:rPr>
                <w:lang w:val="en-GB"/>
              </w:rPr>
              <w:t>153</w:t>
            </w:r>
            <w:r w:rsidR="00633FF0" w:rsidRPr="00633FF0">
              <w:rPr>
                <w:lang w:val="en-GB"/>
              </w:rPr>
              <w:t xml:space="preserve"> </w:t>
            </w:r>
          </w:p>
        </w:tc>
      </w:tr>
      <w:tr w:rsidR="004768BB" w:rsidRPr="00633FF0" w14:paraId="07BE56AD" w14:textId="77777777" w:rsidTr="00B74ECF">
        <w:trPr>
          <w:trHeight w:val="315"/>
          <w:jc w:val="center"/>
        </w:trPr>
        <w:tc>
          <w:tcPr>
            <w:tcW w:w="2968" w:type="dxa"/>
            <w:noWrap/>
            <w:hideMark/>
          </w:tcPr>
          <w:p w14:paraId="1CA7899A" w14:textId="3CBE3EA8" w:rsidR="006D2379" w:rsidRPr="00633FF0" w:rsidRDefault="006D2379" w:rsidP="00B74ECF">
            <w:pPr>
              <w:pStyle w:val="ExhibitText"/>
              <w:jc w:val="left"/>
              <w:rPr>
                <w:lang w:val="en-GB"/>
              </w:rPr>
            </w:pPr>
            <w:r w:rsidRPr="00633FF0">
              <w:rPr>
                <w:lang w:val="en-GB"/>
              </w:rPr>
              <w:t>Other operating expenses</w:t>
            </w:r>
            <w:r w:rsidRPr="00633FF0">
              <w:rPr>
                <w:bCs/>
                <w:lang w:val="en-GB"/>
              </w:rPr>
              <w:t xml:space="preserve"> </w:t>
            </w:r>
          </w:p>
        </w:tc>
        <w:tc>
          <w:tcPr>
            <w:tcW w:w="390" w:type="dxa"/>
            <w:noWrap/>
            <w:hideMark/>
          </w:tcPr>
          <w:p w14:paraId="62569244" w14:textId="77777777" w:rsidR="006D2379" w:rsidRPr="00633FF0" w:rsidRDefault="006D2379" w:rsidP="00404CD4">
            <w:pPr>
              <w:pStyle w:val="ExhibitText"/>
              <w:rPr>
                <w:lang w:val="en-GB"/>
              </w:rPr>
            </w:pPr>
          </w:p>
        </w:tc>
        <w:tc>
          <w:tcPr>
            <w:tcW w:w="268" w:type="dxa"/>
            <w:noWrap/>
            <w:hideMark/>
          </w:tcPr>
          <w:p w14:paraId="2E3612D2" w14:textId="77777777" w:rsidR="006D2379" w:rsidRPr="00633FF0" w:rsidRDefault="006D2379" w:rsidP="00404CD4">
            <w:pPr>
              <w:pStyle w:val="ExhibitText"/>
              <w:rPr>
                <w:lang w:val="en-GB"/>
              </w:rPr>
            </w:pPr>
            <w:r w:rsidRPr="00633FF0">
              <w:rPr>
                <w:lang w:val="en-GB"/>
              </w:rPr>
              <w:t> </w:t>
            </w:r>
          </w:p>
        </w:tc>
        <w:tc>
          <w:tcPr>
            <w:tcW w:w="1908" w:type="dxa"/>
            <w:noWrap/>
            <w:hideMark/>
          </w:tcPr>
          <w:p w14:paraId="6B7CCD24" w14:textId="003D0CC0" w:rsidR="006D2379" w:rsidRPr="00633FF0" w:rsidRDefault="004768BB" w:rsidP="000E3DCC">
            <w:pPr>
              <w:pStyle w:val="ExhibitText"/>
              <w:tabs>
                <w:tab w:val="left" w:pos="0"/>
                <w:tab w:val="decimal" w:pos="1148"/>
              </w:tabs>
              <w:jc w:val="right"/>
              <w:rPr>
                <w:lang w:val="en-GB"/>
              </w:rPr>
            </w:pPr>
            <w:r>
              <w:rPr>
                <w:lang w:val="en-GB"/>
              </w:rPr>
              <w:tab/>
            </w:r>
            <w:r w:rsidR="006D2379" w:rsidRPr="00633FF0">
              <w:rPr>
                <w:lang w:val="en-GB"/>
              </w:rPr>
              <w:t>101</w:t>
            </w:r>
            <w:r w:rsidR="00016953">
              <w:rPr>
                <w:lang w:val="en-GB"/>
              </w:rPr>
              <w:t>,</w:t>
            </w:r>
            <w:r w:rsidR="006D2379" w:rsidRPr="00633FF0">
              <w:rPr>
                <w:lang w:val="en-GB"/>
              </w:rPr>
              <w:t>024</w:t>
            </w:r>
          </w:p>
        </w:tc>
        <w:tc>
          <w:tcPr>
            <w:tcW w:w="1908" w:type="dxa"/>
            <w:noWrap/>
            <w:hideMark/>
          </w:tcPr>
          <w:p w14:paraId="23FE05CE" w14:textId="343CAFC0" w:rsidR="006D2379" w:rsidRPr="00633FF0" w:rsidRDefault="006D2379" w:rsidP="00FA359C">
            <w:pPr>
              <w:pStyle w:val="ExhibitText"/>
              <w:tabs>
                <w:tab w:val="decimal" w:pos="986"/>
              </w:tabs>
              <w:jc w:val="right"/>
              <w:rPr>
                <w:lang w:val="en-GB"/>
              </w:rPr>
            </w:pPr>
            <w:r w:rsidRPr="00633FF0">
              <w:rPr>
                <w:lang w:val="en-GB"/>
              </w:rPr>
              <w:t>18</w:t>
            </w:r>
            <w:r w:rsidR="00FA359C">
              <w:rPr>
                <w:lang w:val="en-GB"/>
              </w:rPr>
              <w:t>2</w:t>
            </w:r>
            <w:r w:rsidR="006F43B4">
              <w:rPr>
                <w:lang w:val="en-GB"/>
              </w:rPr>
              <w:t>,</w:t>
            </w:r>
            <w:r w:rsidRPr="00633FF0">
              <w:rPr>
                <w:lang w:val="en-GB"/>
              </w:rPr>
              <w:t>74</w:t>
            </w:r>
            <w:r w:rsidR="00FA359C">
              <w:rPr>
                <w:lang w:val="en-GB"/>
              </w:rPr>
              <w:t>0</w:t>
            </w:r>
          </w:p>
        </w:tc>
        <w:tc>
          <w:tcPr>
            <w:tcW w:w="1908" w:type="dxa"/>
            <w:noWrap/>
            <w:hideMark/>
          </w:tcPr>
          <w:p w14:paraId="7959DE9E" w14:textId="411EE350" w:rsidR="006D2379" w:rsidRPr="00633FF0" w:rsidRDefault="006D2379" w:rsidP="000E3DCC">
            <w:pPr>
              <w:pStyle w:val="ExhibitText"/>
              <w:tabs>
                <w:tab w:val="decimal" w:pos="808"/>
              </w:tabs>
              <w:jc w:val="right"/>
              <w:rPr>
                <w:lang w:val="en-GB"/>
              </w:rPr>
            </w:pPr>
            <w:r w:rsidRPr="00633FF0">
              <w:rPr>
                <w:lang w:val="en-GB"/>
              </w:rPr>
              <w:t>20</w:t>
            </w:r>
            <w:r w:rsidR="004768BB">
              <w:rPr>
                <w:lang w:val="en-GB"/>
              </w:rPr>
              <w:t>,</w:t>
            </w:r>
            <w:r w:rsidRPr="00633FF0">
              <w:rPr>
                <w:lang w:val="en-GB"/>
              </w:rPr>
              <w:t>053</w:t>
            </w:r>
            <w:r w:rsidR="006F43B4">
              <w:rPr>
                <w:lang w:val="en-GB"/>
              </w:rPr>
              <w:t>,</w:t>
            </w:r>
            <w:r w:rsidRPr="00633FF0">
              <w:rPr>
                <w:lang w:val="en-GB"/>
              </w:rPr>
              <w:t>882</w:t>
            </w:r>
          </w:p>
        </w:tc>
      </w:tr>
      <w:tr w:rsidR="004768BB" w:rsidRPr="00633FF0" w14:paraId="38289117" w14:textId="77777777" w:rsidTr="00B74ECF">
        <w:trPr>
          <w:trHeight w:val="300"/>
          <w:jc w:val="center"/>
        </w:trPr>
        <w:tc>
          <w:tcPr>
            <w:tcW w:w="3626" w:type="dxa"/>
            <w:gridSpan w:val="3"/>
            <w:noWrap/>
            <w:hideMark/>
          </w:tcPr>
          <w:p w14:paraId="2C0FE751" w14:textId="0499B218" w:rsidR="006D2379" w:rsidRPr="00633FF0" w:rsidRDefault="006D2379" w:rsidP="00404CD4">
            <w:pPr>
              <w:pStyle w:val="ExhibitText"/>
              <w:rPr>
                <w:bCs/>
                <w:lang w:val="en-GB"/>
              </w:rPr>
            </w:pPr>
            <w:r w:rsidRPr="00633FF0">
              <w:rPr>
                <w:bCs/>
                <w:lang w:val="en-GB"/>
              </w:rPr>
              <w:t xml:space="preserve">Total operating expenses </w:t>
            </w:r>
          </w:p>
        </w:tc>
        <w:tc>
          <w:tcPr>
            <w:tcW w:w="1908" w:type="dxa"/>
            <w:noWrap/>
            <w:hideMark/>
          </w:tcPr>
          <w:p w14:paraId="7929D84D" w14:textId="6D5F1377" w:rsidR="006D2379" w:rsidRPr="00633FF0" w:rsidRDefault="004768BB" w:rsidP="000E3DCC">
            <w:pPr>
              <w:pStyle w:val="ExhibitText"/>
              <w:tabs>
                <w:tab w:val="left" w:pos="0"/>
                <w:tab w:val="decimal" w:pos="1148"/>
              </w:tabs>
              <w:jc w:val="right"/>
              <w:rPr>
                <w:bCs/>
                <w:lang w:val="en-GB"/>
              </w:rPr>
            </w:pPr>
            <w:r>
              <w:rPr>
                <w:bCs/>
                <w:lang w:val="en-GB"/>
              </w:rPr>
              <w:tab/>
            </w:r>
            <w:r w:rsidR="006D2379" w:rsidRPr="00633FF0">
              <w:rPr>
                <w:bCs/>
                <w:lang w:val="en-GB"/>
              </w:rPr>
              <w:t>94</w:t>
            </w:r>
            <w:r>
              <w:rPr>
                <w:bCs/>
                <w:lang w:val="en-GB"/>
              </w:rPr>
              <w:t>,</w:t>
            </w:r>
            <w:r w:rsidR="006D2379" w:rsidRPr="00633FF0">
              <w:rPr>
                <w:bCs/>
                <w:lang w:val="en-GB"/>
              </w:rPr>
              <w:t>249.682</w:t>
            </w:r>
          </w:p>
        </w:tc>
        <w:tc>
          <w:tcPr>
            <w:tcW w:w="1908" w:type="dxa"/>
            <w:noWrap/>
            <w:hideMark/>
          </w:tcPr>
          <w:p w14:paraId="465C03A1" w14:textId="737ABE87" w:rsidR="006D2379" w:rsidRPr="00633FF0" w:rsidRDefault="006D2379" w:rsidP="000E3DCC">
            <w:pPr>
              <w:pStyle w:val="ExhibitText"/>
              <w:tabs>
                <w:tab w:val="decimal" w:pos="986"/>
              </w:tabs>
              <w:jc w:val="right"/>
              <w:rPr>
                <w:bCs/>
                <w:lang w:val="en-GB"/>
              </w:rPr>
            </w:pPr>
            <w:r w:rsidRPr="00633FF0">
              <w:rPr>
                <w:bCs/>
                <w:lang w:val="en-GB"/>
              </w:rPr>
              <w:t>97</w:t>
            </w:r>
            <w:r w:rsidR="004768BB">
              <w:rPr>
                <w:bCs/>
                <w:lang w:val="en-GB"/>
              </w:rPr>
              <w:t>,</w:t>
            </w:r>
            <w:r w:rsidRPr="00633FF0">
              <w:rPr>
                <w:bCs/>
                <w:lang w:val="en-GB"/>
              </w:rPr>
              <w:t>291.362</w:t>
            </w:r>
          </w:p>
        </w:tc>
        <w:tc>
          <w:tcPr>
            <w:tcW w:w="1908" w:type="dxa"/>
            <w:noWrap/>
            <w:hideMark/>
          </w:tcPr>
          <w:p w14:paraId="5CF18282" w14:textId="59034B6E" w:rsidR="006D2379" w:rsidRPr="00633FF0" w:rsidRDefault="006D2379" w:rsidP="000E3DCC">
            <w:pPr>
              <w:pStyle w:val="ExhibitText"/>
              <w:tabs>
                <w:tab w:val="decimal" w:pos="808"/>
              </w:tabs>
              <w:jc w:val="right"/>
              <w:rPr>
                <w:bCs/>
                <w:lang w:val="en-GB"/>
              </w:rPr>
            </w:pPr>
            <w:r w:rsidRPr="00633FF0">
              <w:rPr>
                <w:bCs/>
                <w:lang w:val="en-GB"/>
              </w:rPr>
              <w:t>86</w:t>
            </w:r>
            <w:r w:rsidR="004768BB">
              <w:rPr>
                <w:bCs/>
                <w:lang w:val="en-GB"/>
              </w:rPr>
              <w:t>,</w:t>
            </w:r>
            <w:r w:rsidRPr="00633FF0">
              <w:rPr>
                <w:bCs/>
                <w:lang w:val="en-GB"/>
              </w:rPr>
              <w:t>157</w:t>
            </w:r>
            <w:r w:rsidR="006F43B4">
              <w:rPr>
                <w:bCs/>
                <w:lang w:val="en-GB"/>
              </w:rPr>
              <w:t>,</w:t>
            </w:r>
            <w:r w:rsidRPr="00633FF0">
              <w:rPr>
                <w:bCs/>
                <w:lang w:val="en-GB"/>
              </w:rPr>
              <w:t>852</w:t>
            </w:r>
          </w:p>
        </w:tc>
      </w:tr>
      <w:tr w:rsidR="004768BB" w:rsidRPr="00633FF0" w14:paraId="1A9D2216" w14:textId="77777777" w:rsidTr="00B74ECF">
        <w:trPr>
          <w:trHeight w:val="300"/>
          <w:jc w:val="center"/>
        </w:trPr>
        <w:tc>
          <w:tcPr>
            <w:tcW w:w="2968" w:type="dxa"/>
            <w:noWrap/>
            <w:hideMark/>
          </w:tcPr>
          <w:p w14:paraId="0752ED5C" w14:textId="77777777" w:rsidR="006D2379" w:rsidRPr="00633FF0" w:rsidRDefault="006D2379" w:rsidP="00404CD4">
            <w:pPr>
              <w:pStyle w:val="ExhibitText"/>
              <w:rPr>
                <w:bCs/>
                <w:lang w:val="en-GB"/>
              </w:rPr>
            </w:pPr>
            <w:r w:rsidRPr="00633FF0">
              <w:rPr>
                <w:bCs/>
                <w:lang w:val="en-GB"/>
              </w:rPr>
              <w:t> </w:t>
            </w:r>
          </w:p>
        </w:tc>
        <w:tc>
          <w:tcPr>
            <w:tcW w:w="390" w:type="dxa"/>
            <w:noWrap/>
            <w:hideMark/>
          </w:tcPr>
          <w:p w14:paraId="13689946" w14:textId="77777777" w:rsidR="006D2379" w:rsidRPr="00633FF0" w:rsidRDefault="006D2379" w:rsidP="00404CD4">
            <w:pPr>
              <w:pStyle w:val="ExhibitText"/>
              <w:rPr>
                <w:lang w:val="en-GB"/>
              </w:rPr>
            </w:pPr>
            <w:r w:rsidRPr="00633FF0">
              <w:rPr>
                <w:lang w:val="en-GB"/>
              </w:rPr>
              <w:t> </w:t>
            </w:r>
          </w:p>
        </w:tc>
        <w:tc>
          <w:tcPr>
            <w:tcW w:w="268" w:type="dxa"/>
            <w:noWrap/>
            <w:hideMark/>
          </w:tcPr>
          <w:p w14:paraId="2ECCC469" w14:textId="77777777" w:rsidR="006D2379" w:rsidRPr="00633FF0" w:rsidRDefault="006D2379" w:rsidP="00404CD4">
            <w:pPr>
              <w:pStyle w:val="ExhibitText"/>
              <w:rPr>
                <w:lang w:val="en-GB"/>
              </w:rPr>
            </w:pPr>
            <w:r w:rsidRPr="00633FF0">
              <w:rPr>
                <w:lang w:val="en-GB"/>
              </w:rPr>
              <w:t> </w:t>
            </w:r>
          </w:p>
        </w:tc>
        <w:tc>
          <w:tcPr>
            <w:tcW w:w="1908" w:type="dxa"/>
            <w:noWrap/>
            <w:hideMark/>
          </w:tcPr>
          <w:p w14:paraId="0097A98B" w14:textId="77777777" w:rsidR="006D2379" w:rsidRPr="00633FF0" w:rsidRDefault="006D2379" w:rsidP="000E3DCC">
            <w:pPr>
              <w:pStyle w:val="ExhibitText"/>
              <w:tabs>
                <w:tab w:val="left" w:pos="0"/>
                <w:tab w:val="decimal" w:pos="1148"/>
              </w:tabs>
              <w:jc w:val="right"/>
              <w:rPr>
                <w:bCs/>
                <w:lang w:val="en-GB"/>
              </w:rPr>
            </w:pPr>
            <w:r w:rsidRPr="00633FF0">
              <w:rPr>
                <w:bCs/>
                <w:lang w:val="en-GB"/>
              </w:rPr>
              <w:t> </w:t>
            </w:r>
          </w:p>
        </w:tc>
        <w:tc>
          <w:tcPr>
            <w:tcW w:w="1908" w:type="dxa"/>
            <w:noWrap/>
            <w:hideMark/>
          </w:tcPr>
          <w:p w14:paraId="770C1513" w14:textId="77777777" w:rsidR="006D2379" w:rsidRPr="00633FF0" w:rsidRDefault="006D2379" w:rsidP="000E3DCC">
            <w:pPr>
              <w:pStyle w:val="ExhibitText"/>
              <w:tabs>
                <w:tab w:val="decimal" w:pos="986"/>
              </w:tabs>
              <w:jc w:val="right"/>
              <w:rPr>
                <w:bCs/>
                <w:lang w:val="en-GB"/>
              </w:rPr>
            </w:pPr>
            <w:r w:rsidRPr="00633FF0">
              <w:rPr>
                <w:bCs/>
                <w:lang w:val="en-GB"/>
              </w:rPr>
              <w:t> </w:t>
            </w:r>
          </w:p>
        </w:tc>
        <w:tc>
          <w:tcPr>
            <w:tcW w:w="1908" w:type="dxa"/>
            <w:noWrap/>
            <w:hideMark/>
          </w:tcPr>
          <w:p w14:paraId="57B01EDE" w14:textId="77777777" w:rsidR="006D2379" w:rsidRPr="00633FF0" w:rsidRDefault="006D2379" w:rsidP="000E3DCC">
            <w:pPr>
              <w:pStyle w:val="ExhibitText"/>
              <w:tabs>
                <w:tab w:val="decimal" w:pos="808"/>
              </w:tabs>
              <w:jc w:val="right"/>
              <w:rPr>
                <w:bCs/>
                <w:lang w:val="en-GB"/>
              </w:rPr>
            </w:pPr>
            <w:r w:rsidRPr="00633FF0">
              <w:rPr>
                <w:bCs/>
                <w:lang w:val="en-GB"/>
              </w:rPr>
              <w:t> </w:t>
            </w:r>
          </w:p>
        </w:tc>
      </w:tr>
      <w:tr w:rsidR="004768BB" w:rsidRPr="00633FF0" w14:paraId="11E3EF4A" w14:textId="77777777" w:rsidTr="00B74ECF">
        <w:trPr>
          <w:trHeight w:val="300"/>
          <w:jc w:val="center"/>
        </w:trPr>
        <w:tc>
          <w:tcPr>
            <w:tcW w:w="3626" w:type="dxa"/>
            <w:gridSpan w:val="3"/>
            <w:noWrap/>
            <w:hideMark/>
          </w:tcPr>
          <w:p w14:paraId="19316E00" w14:textId="6E130829" w:rsidR="006D2379" w:rsidRPr="00633FF0" w:rsidRDefault="006D2379" w:rsidP="00404CD4">
            <w:pPr>
              <w:pStyle w:val="ExhibitText"/>
              <w:rPr>
                <w:bCs/>
                <w:lang w:val="en-GB"/>
              </w:rPr>
            </w:pPr>
            <w:r w:rsidRPr="00633FF0">
              <w:rPr>
                <w:bCs/>
                <w:lang w:val="en-GB"/>
              </w:rPr>
              <w:t>Operating</w:t>
            </w:r>
            <w:r w:rsidR="00633FF0" w:rsidRPr="00633FF0">
              <w:rPr>
                <w:bCs/>
                <w:lang w:val="en-GB"/>
              </w:rPr>
              <w:t xml:space="preserve"> </w:t>
            </w:r>
            <w:r w:rsidRPr="00633FF0">
              <w:rPr>
                <w:bCs/>
                <w:lang w:val="en-GB"/>
              </w:rPr>
              <w:t xml:space="preserve">result </w:t>
            </w:r>
          </w:p>
        </w:tc>
        <w:tc>
          <w:tcPr>
            <w:tcW w:w="1908" w:type="dxa"/>
            <w:noWrap/>
            <w:hideMark/>
          </w:tcPr>
          <w:p w14:paraId="1855BED5" w14:textId="6FD7E7E8" w:rsidR="006D2379" w:rsidRPr="00633FF0" w:rsidRDefault="004768BB" w:rsidP="000E3DCC">
            <w:pPr>
              <w:pStyle w:val="ExhibitText"/>
              <w:tabs>
                <w:tab w:val="left" w:pos="0"/>
                <w:tab w:val="decimal" w:pos="1148"/>
              </w:tabs>
              <w:jc w:val="right"/>
              <w:rPr>
                <w:bCs/>
                <w:lang w:val="en-GB"/>
              </w:rPr>
            </w:pPr>
            <w:r>
              <w:rPr>
                <w:bCs/>
                <w:lang w:val="en-GB"/>
              </w:rPr>
              <w:tab/>
            </w:r>
            <w:r w:rsidR="006D2379" w:rsidRPr="00633FF0">
              <w:rPr>
                <w:bCs/>
                <w:lang w:val="en-GB"/>
              </w:rPr>
              <w:t>5</w:t>
            </w:r>
            <w:r>
              <w:rPr>
                <w:bCs/>
                <w:lang w:val="en-GB"/>
              </w:rPr>
              <w:t>,</w:t>
            </w:r>
            <w:r w:rsidR="006D2379" w:rsidRPr="00633FF0">
              <w:rPr>
                <w:bCs/>
                <w:lang w:val="en-GB"/>
              </w:rPr>
              <w:t>654.030</w:t>
            </w:r>
          </w:p>
        </w:tc>
        <w:tc>
          <w:tcPr>
            <w:tcW w:w="1908" w:type="dxa"/>
            <w:noWrap/>
            <w:hideMark/>
          </w:tcPr>
          <w:p w14:paraId="479F9280" w14:textId="6E719B3E" w:rsidR="006D2379" w:rsidRPr="00633FF0" w:rsidRDefault="006D2379" w:rsidP="000E3DCC">
            <w:pPr>
              <w:pStyle w:val="ExhibitText"/>
              <w:tabs>
                <w:tab w:val="decimal" w:pos="986"/>
              </w:tabs>
              <w:jc w:val="right"/>
              <w:rPr>
                <w:bCs/>
                <w:lang w:val="en-GB"/>
              </w:rPr>
            </w:pPr>
            <w:r w:rsidRPr="00633FF0">
              <w:rPr>
                <w:bCs/>
                <w:lang w:val="en-GB"/>
              </w:rPr>
              <w:t>4</w:t>
            </w:r>
            <w:r w:rsidR="004768BB">
              <w:rPr>
                <w:bCs/>
                <w:lang w:val="en-GB"/>
              </w:rPr>
              <w:t>,</w:t>
            </w:r>
            <w:r w:rsidRPr="00633FF0">
              <w:rPr>
                <w:bCs/>
                <w:lang w:val="en-GB"/>
              </w:rPr>
              <w:t>967</w:t>
            </w:r>
            <w:r w:rsidR="006F43B4">
              <w:rPr>
                <w:bCs/>
                <w:lang w:val="en-GB"/>
              </w:rPr>
              <w:t>,</w:t>
            </w:r>
            <w:r w:rsidRPr="00633FF0">
              <w:rPr>
                <w:bCs/>
                <w:lang w:val="en-GB"/>
              </w:rPr>
              <w:t>738</w:t>
            </w:r>
          </w:p>
        </w:tc>
        <w:tc>
          <w:tcPr>
            <w:tcW w:w="1908" w:type="dxa"/>
            <w:noWrap/>
            <w:hideMark/>
          </w:tcPr>
          <w:p w14:paraId="32C38577" w14:textId="175D8306" w:rsidR="006D2379" w:rsidRPr="00633FF0" w:rsidRDefault="006D2379" w:rsidP="000E3DCC">
            <w:pPr>
              <w:pStyle w:val="ExhibitText"/>
              <w:tabs>
                <w:tab w:val="decimal" w:pos="808"/>
              </w:tabs>
              <w:jc w:val="right"/>
              <w:rPr>
                <w:bCs/>
                <w:lang w:val="en-GB"/>
              </w:rPr>
            </w:pPr>
            <w:r w:rsidRPr="00633FF0">
              <w:rPr>
                <w:bCs/>
                <w:lang w:val="en-GB"/>
              </w:rPr>
              <w:t>3</w:t>
            </w:r>
            <w:r w:rsidR="004768BB">
              <w:rPr>
                <w:bCs/>
                <w:lang w:val="en-GB"/>
              </w:rPr>
              <w:t>,</w:t>
            </w:r>
            <w:r w:rsidRPr="00633FF0">
              <w:rPr>
                <w:bCs/>
                <w:lang w:val="en-GB"/>
              </w:rPr>
              <w:t>600</w:t>
            </w:r>
            <w:r w:rsidR="006F43B4">
              <w:rPr>
                <w:bCs/>
                <w:lang w:val="en-GB"/>
              </w:rPr>
              <w:t>,</w:t>
            </w:r>
            <w:r w:rsidRPr="00633FF0">
              <w:rPr>
                <w:bCs/>
                <w:lang w:val="en-GB"/>
              </w:rPr>
              <w:t>488</w:t>
            </w:r>
          </w:p>
        </w:tc>
      </w:tr>
      <w:tr w:rsidR="004768BB" w:rsidRPr="00633FF0" w14:paraId="7584E320" w14:textId="77777777" w:rsidTr="002E0625">
        <w:trPr>
          <w:trHeight w:val="971"/>
          <w:jc w:val="center"/>
        </w:trPr>
        <w:tc>
          <w:tcPr>
            <w:tcW w:w="2968" w:type="dxa"/>
            <w:hideMark/>
          </w:tcPr>
          <w:p w14:paraId="705FA12D" w14:textId="61BC9B05" w:rsidR="006D2379" w:rsidRPr="00633FF0" w:rsidRDefault="006D2379" w:rsidP="00B74ECF">
            <w:pPr>
              <w:pStyle w:val="ExhibitText"/>
              <w:jc w:val="left"/>
              <w:rPr>
                <w:lang w:val="en-GB"/>
              </w:rPr>
            </w:pPr>
            <w:r w:rsidRPr="00633FF0">
              <w:rPr>
                <w:lang w:val="en-GB"/>
              </w:rPr>
              <w:t>Interest receivable and similar income</w:t>
            </w:r>
            <w:r w:rsidRPr="00633FF0">
              <w:rPr>
                <w:bCs/>
                <w:lang w:val="en-GB"/>
              </w:rPr>
              <w:t xml:space="preserve"> </w:t>
            </w:r>
          </w:p>
        </w:tc>
        <w:tc>
          <w:tcPr>
            <w:tcW w:w="390" w:type="dxa"/>
            <w:noWrap/>
            <w:hideMark/>
          </w:tcPr>
          <w:p w14:paraId="1FB73D80" w14:textId="77777777" w:rsidR="006D2379" w:rsidRPr="00633FF0" w:rsidRDefault="006D2379" w:rsidP="00404CD4">
            <w:pPr>
              <w:pStyle w:val="ExhibitText"/>
              <w:rPr>
                <w:lang w:val="en-GB"/>
              </w:rPr>
            </w:pPr>
            <w:r w:rsidRPr="00633FF0">
              <w:rPr>
                <w:lang w:val="en-GB"/>
              </w:rPr>
              <w:t> </w:t>
            </w:r>
          </w:p>
        </w:tc>
        <w:tc>
          <w:tcPr>
            <w:tcW w:w="268" w:type="dxa"/>
            <w:noWrap/>
            <w:hideMark/>
          </w:tcPr>
          <w:p w14:paraId="53BF1E9B" w14:textId="77777777" w:rsidR="006D2379" w:rsidRPr="00633FF0" w:rsidRDefault="006D2379" w:rsidP="00404CD4">
            <w:pPr>
              <w:pStyle w:val="ExhibitText"/>
              <w:rPr>
                <w:lang w:val="en-GB"/>
              </w:rPr>
            </w:pPr>
            <w:r w:rsidRPr="00633FF0">
              <w:rPr>
                <w:lang w:val="en-GB"/>
              </w:rPr>
              <w:t> </w:t>
            </w:r>
          </w:p>
        </w:tc>
        <w:tc>
          <w:tcPr>
            <w:tcW w:w="1908" w:type="dxa"/>
            <w:noWrap/>
            <w:hideMark/>
          </w:tcPr>
          <w:p w14:paraId="6606089B" w14:textId="79784D6D" w:rsidR="006D2379" w:rsidRPr="00633FF0" w:rsidRDefault="004768BB" w:rsidP="000E3DCC">
            <w:pPr>
              <w:pStyle w:val="ExhibitText"/>
              <w:tabs>
                <w:tab w:val="left" w:pos="0"/>
                <w:tab w:val="decimal" w:pos="1148"/>
              </w:tabs>
              <w:jc w:val="right"/>
              <w:rPr>
                <w:lang w:val="en-GB"/>
              </w:rPr>
            </w:pPr>
            <w:r>
              <w:rPr>
                <w:lang w:val="en-GB"/>
              </w:rPr>
              <w:tab/>
            </w:r>
            <w:r w:rsidR="006D2379" w:rsidRPr="00633FF0">
              <w:rPr>
                <w:lang w:val="en-GB"/>
              </w:rPr>
              <w:t>29</w:t>
            </w:r>
            <w:r w:rsidR="006F43B4">
              <w:rPr>
                <w:lang w:val="en-GB"/>
              </w:rPr>
              <w:t>,</w:t>
            </w:r>
            <w:r w:rsidR="006D2379" w:rsidRPr="00633FF0">
              <w:rPr>
                <w:lang w:val="en-GB"/>
              </w:rPr>
              <w:t>359</w:t>
            </w:r>
          </w:p>
        </w:tc>
        <w:tc>
          <w:tcPr>
            <w:tcW w:w="1908" w:type="dxa"/>
            <w:noWrap/>
            <w:hideMark/>
          </w:tcPr>
          <w:p w14:paraId="5DA3D79B" w14:textId="173F3D0B" w:rsidR="006D2379" w:rsidRPr="00633FF0" w:rsidRDefault="006D2379" w:rsidP="000E3DCC">
            <w:pPr>
              <w:pStyle w:val="ExhibitText"/>
              <w:tabs>
                <w:tab w:val="decimal" w:pos="986"/>
              </w:tabs>
              <w:jc w:val="right"/>
              <w:rPr>
                <w:lang w:val="en-GB"/>
              </w:rPr>
            </w:pPr>
            <w:r w:rsidRPr="00633FF0">
              <w:rPr>
                <w:lang w:val="en-GB"/>
              </w:rPr>
              <w:t>25</w:t>
            </w:r>
            <w:r w:rsidR="006F43B4">
              <w:rPr>
                <w:lang w:val="en-GB"/>
              </w:rPr>
              <w:t>,</w:t>
            </w:r>
            <w:r w:rsidRPr="00633FF0">
              <w:rPr>
                <w:lang w:val="en-GB"/>
              </w:rPr>
              <w:t>061</w:t>
            </w:r>
          </w:p>
        </w:tc>
        <w:tc>
          <w:tcPr>
            <w:tcW w:w="1908" w:type="dxa"/>
            <w:noWrap/>
            <w:hideMark/>
          </w:tcPr>
          <w:p w14:paraId="39DD2FF0" w14:textId="70159EF1" w:rsidR="006D2379" w:rsidRPr="00633FF0" w:rsidRDefault="006D2379" w:rsidP="000E3DCC">
            <w:pPr>
              <w:pStyle w:val="ExhibitText"/>
              <w:tabs>
                <w:tab w:val="decimal" w:pos="808"/>
              </w:tabs>
              <w:jc w:val="right"/>
              <w:rPr>
                <w:lang w:val="en-GB"/>
              </w:rPr>
            </w:pPr>
            <w:r w:rsidRPr="00633FF0">
              <w:rPr>
                <w:lang w:val="en-GB"/>
              </w:rPr>
              <w:t>20</w:t>
            </w:r>
            <w:r w:rsidR="006F43B4">
              <w:rPr>
                <w:lang w:val="en-GB"/>
              </w:rPr>
              <w:t>,</w:t>
            </w:r>
            <w:r w:rsidRPr="00633FF0">
              <w:rPr>
                <w:lang w:val="en-GB"/>
              </w:rPr>
              <w:t>634</w:t>
            </w:r>
          </w:p>
        </w:tc>
      </w:tr>
      <w:tr w:rsidR="004768BB" w:rsidRPr="00633FF0" w14:paraId="3FCA57FA" w14:textId="77777777" w:rsidTr="00B74ECF">
        <w:trPr>
          <w:trHeight w:val="278"/>
          <w:jc w:val="center"/>
        </w:trPr>
        <w:tc>
          <w:tcPr>
            <w:tcW w:w="2968" w:type="dxa"/>
            <w:hideMark/>
          </w:tcPr>
          <w:p w14:paraId="060A33C5" w14:textId="18757BD2" w:rsidR="006D2379" w:rsidRPr="00633FF0" w:rsidRDefault="006D2379" w:rsidP="00B74ECF">
            <w:pPr>
              <w:pStyle w:val="ExhibitText"/>
              <w:jc w:val="left"/>
              <w:rPr>
                <w:lang w:val="en-GB"/>
              </w:rPr>
            </w:pPr>
            <w:r w:rsidRPr="00633FF0">
              <w:rPr>
                <w:lang w:val="en-GB"/>
              </w:rPr>
              <w:t>Interest payable and similar charges</w:t>
            </w:r>
            <w:r w:rsidR="00633FF0" w:rsidRPr="00633FF0">
              <w:rPr>
                <w:bCs/>
                <w:lang w:val="en-GB"/>
              </w:rPr>
              <w:t xml:space="preserve"> </w:t>
            </w:r>
          </w:p>
        </w:tc>
        <w:tc>
          <w:tcPr>
            <w:tcW w:w="390" w:type="dxa"/>
            <w:noWrap/>
            <w:hideMark/>
          </w:tcPr>
          <w:p w14:paraId="5070CAD5" w14:textId="77777777" w:rsidR="006D2379" w:rsidRPr="00633FF0" w:rsidRDefault="006D2379" w:rsidP="00404CD4">
            <w:pPr>
              <w:pStyle w:val="ExhibitText"/>
              <w:rPr>
                <w:lang w:val="en-GB"/>
              </w:rPr>
            </w:pPr>
            <w:r w:rsidRPr="00633FF0">
              <w:rPr>
                <w:lang w:val="en-GB"/>
              </w:rPr>
              <w:t> </w:t>
            </w:r>
          </w:p>
        </w:tc>
        <w:tc>
          <w:tcPr>
            <w:tcW w:w="268" w:type="dxa"/>
            <w:noWrap/>
            <w:hideMark/>
          </w:tcPr>
          <w:p w14:paraId="1222250C" w14:textId="77777777" w:rsidR="006D2379" w:rsidRPr="00633FF0" w:rsidRDefault="006D2379" w:rsidP="00404CD4">
            <w:pPr>
              <w:pStyle w:val="ExhibitText"/>
              <w:rPr>
                <w:lang w:val="en-GB"/>
              </w:rPr>
            </w:pPr>
            <w:r w:rsidRPr="00633FF0">
              <w:rPr>
                <w:lang w:val="en-GB"/>
              </w:rPr>
              <w:t> </w:t>
            </w:r>
          </w:p>
        </w:tc>
        <w:tc>
          <w:tcPr>
            <w:tcW w:w="1908" w:type="dxa"/>
            <w:noWrap/>
            <w:hideMark/>
          </w:tcPr>
          <w:p w14:paraId="42F404C4" w14:textId="087F7C7D" w:rsidR="006D2379" w:rsidRPr="00633FF0" w:rsidRDefault="004768BB" w:rsidP="000E3DCC">
            <w:pPr>
              <w:pStyle w:val="ExhibitText"/>
              <w:tabs>
                <w:tab w:val="left" w:pos="0"/>
                <w:tab w:val="decimal" w:pos="1148"/>
              </w:tabs>
              <w:jc w:val="right"/>
              <w:rPr>
                <w:lang w:val="en-GB"/>
              </w:rPr>
            </w:pPr>
            <w:r>
              <w:rPr>
                <w:lang w:val="en-GB"/>
              </w:rPr>
              <w:tab/>
              <w:t>(</w:t>
            </w:r>
            <w:r w:rsidR="006D2379" w:rsidRPr="00633FF0">
              <w:rPr>
                <w:lang w:val="en-GB"/>
              </w:rPr>
              <w:t>448</w:t>
            </w:r>
            <w:r w:rsidR="006F43B4">
              <w:rPr>
                <w:lang w:val="en-GB"/>
              </w:rPr>
              <w:t>,</w:t>
            </w:r>
            <w:r w:rsidR="006D2379" w:rsidRPr="00633FF0">
              <w:rPr>
                <w:lang w:val="en-GB"/>
              </w:rPr>
              <w:t>753</w:t>
            </w:r>
            <w:r>
              <w:rPr>
                <w:lang w:val="en-GB"/>
              </w:rPr>
              <w:t>)</w:t>
            </w:r>
          </w:p>
        </w:tc>
        <w:tc>
          <w:tcPr>
            <w:tcW w:w="1908" w:type="dxa"/>
            <w:noWrap/>
            <w:hideMark/>
          </w:tcPr>
          <w:p w14:paraId="72FEA9D0" w14:textId="001CC253" w:rsidR="006D2379" w:rsidRPr="00633FF0" w:rsidRDefault="004768BB" w:rsidP="00FA359C">
            <w:pPr>
              <w:pStyle w:val="ExhibitText"/>
              <w:tabs>
                <w:tab w:val="decimal" w:pos="986"/>
              </w:tabs>
              <w:jc w:val="right"/>
              <w:rPr>
                <w:lang w:val="en-GB"/>
              </w:rPr>
            </w:pPr>
            <w:r>
              <w:rPr>
                <w:lang w:val="en-GB"/>
              </w:rPr>
              <w:t>(</w:t>
            </w:r>
            <w:r w:rsidR="006D2379" w:rsidRPr="00633FF0">
              <w:rPr>
                <w:lang w:val="en-GB"/>
              </w:rPr>
              <w:t>4</w:t>
            </w:r>
            <w:r w:rsidR="00FA359C">
              <w:rPr>
                <w:lang w:val="en-GB"/>
              </w:rPr>
              <w:t>24</w:t>
            </w:r>
            <w:r w:rsidR="002C5921">
              <w:rPr>
                <w:lang w:val="en-GB"/>
              </w:rPr>
              <w:t>,</w:t>
            </w:r>
            <w:r w:rsidR="006D2379" w:rsidRPr="00633FF0">
              <w:rPr>
                <w:lang w:val="en-GB"/>
              </w:rPr>
              <w:t>9</w:t>
            </w:r>
            <w:r w:rsidR="00FA359C">
              <w:rPr>
                <w:lang w:val="en-GB"/>
              </w:rPr>
              <w:t>00</w:t>
            </w:r>
            <w:r>
              <w:rPr>
                <w:lang w:val="en-GB"/>
              </w:rPr>
              <w:t>)</w:t>
            </w:r>
          </w:p>
        </w:tc>
        <w:tc>
          <w:tcPr>
            <w:tcW w:w="1908" w:type="dxa"/>
            <w:noWrap/>
            <w:hideMark/>
          </w:tcPr>
          <w:p w14:paraId="6841CFB6" w14:textId="3BC31822" w:rsidR="006D2379" w:rsidRPr="00633FF0" w:rsidRDefault="004768BB" w:rsidP="00FA359C">
            <w:pPr>
              <w:pStyle w:val="ExhibitText"/>
              <w:tabs>
                <w:tab w:val="decimal" w:pos="808"/>
              </w:tabs>
              <w:jc w:val="right"/>
              <w:rPr>
                <w:lang w:val="en-GB"/>
              </w:rPr>
            </w:pPr>
            <w:r>
              <w:rPr>
                <w:lang w:val="en-GB"/>
              </w:rPr>
              <w:t>(</w:t>
            </w:r>
            <w:r w:rsidR="006D2379" w:rsidRPr="00633FF0">
              <w:rPr>
                <w:lang w:val="en-GB"/>
              </w:rPr>
              <w:t>4</w:t>
            </w:r>
            <w:r w:rsidR="00FA359C">
              <w:rPr>
                <w:lang w:val="en-GB"/>
              </w:rPr>
              <w:t>69</w:t>
            </w:r>
            <w:r w:rsidR="002C5921">
              <w:rPr>
                <w:lang w:val="en-GB"/>
              </w:rPr>
              <w:t>,</w:t>
            </w:r>
            <w:r w:rsidR="006D2379" w:rsidRPr="00633FF0">
              <w:rPr>
                <w:lang w:val="en-GB"/>
              </w:rPr>
              <w:t>9</w:t>
            </w:r>
            <w:r w:rsidR="00FA359C">
              <w:rPr>
                <w:lang w:val="en-GB"/>
              </w:rPr>
              <w:t>00</w:t>
            </w:r>
            <w:r>
              <w:rPr>
                <w:lang w:val="en-GB"/>
              </w:rPr>
              <w:t>)</w:t>
            </w:r>
          </w:p>
        </w:tc>
      </w:tr>
      <w:tr w:rsidR="004768BB" w:rsidRPr="00633FF0" w14:paraId="61BCD85A" w14:textId="77777777" w:rsidTr="00B74ECF">
        <w:trPr>
          <w:trHeight w:val="315"/>
          <w:jc w:val="center"/>
        </w:trPr>
        <w:tc>
          <w:tcPr>
            <w:tcW w:w="3626" w:type="dxa"/>
            <w:gridSpan w:val="3"/>
            <w:noWrap/>
            <w:hideMark/>
          </w:tcPr>
          <w:p w14:paraId="509DEA03" w14:textId="162B915E" w:rsidR="006D2379" w:rsidRPr="00633FF0" w:rsidRDefault="006D2379" w:rsidP="00404CD4">
            <w:pPr>
              <w:pStyle w:val="ExhibitText"/>
              <w:rPr>
                <w:lang w:val="en-GB"/>
              </w:rPr>
            </w:pPr>
            <w:r w:rsidRPr="00633FF0">
              <w:rPr>
                <w:lang w:val="en-GB"/>
              </w:rPr>
              <w:t>Exchange rate differences</w:t>
            </w:r>
            <w:r w:rsidRPr="00633FF0">
              <w:rPr>
                <w:bCs/>
                <w:lang w:val="en-GB"/>
              </w:rPr>
              <w:t xml:space="preserve"> </w:t>
            </w:r>
          </w:p>
        </w:tc>
        <w:tc>
          <w:tcPr>
            <w:tcW w:w="1908" w:type="dxa"/>
            <w:noWrap/>
            <w:hideMark/>
          </w:tcPr>
          <w:p w14:paraId="552746E9" w14:textId="1DD7817B" w:rsidR="006D2379" w:rsidRPr="00633FF0" w:rsidRDefault="004768BB" w:rsidP="000E3DCC">
            <w:pPr>
              <w:pStyle w:val="ExhibitText"/>
              <w:tabs>
                <w:tab w:val="left" w:pos="0"/>
                <w:tab w:val="decimal" w:pos="1148"/>
              </w:tabs>
              <w:jc w:val="right"/>
              <w:rPr>
                <w:lang w:val="en-GB"/>
              </w:rPr>
            </w:pPr>
            <w:r>
              <w:rPr>
                <w:lang w:val="en-GB"/>
              </w:rPr>
              <w:tab/>
            </w:r>
            <w:r w:rsidR="006D2379" w:rsidRPr="00633FF0">
              <w:rPr>
                <w:lang w:val="en-GB"/>
              </w:rPr>
              <w:t> </w:t>
            </w:r>
            <w:r>
              <w:rPr>
                <w:lang w:val="en-GB"/>
              </w:rPr>
              <w:t>(</w:t>
            </w:r>
            <w:r w:rsidR="006D2379" w:rsidRPr="00633FF0">
              <w:rPr>
                <w:lang w:val="en-GB"/>
              </w:rPr>
              <w:t>201</w:t>
            </w:r>
            <w:r w:rsidR="006F43B4">
              <w:rPr>
                <w:lang w:val="en-GB"/>
              </w:rPr>
              <w:t>,</w:t>
            </w:r>
            <w:r w:rsidR="006D2379" w:rsidRPr="00633FF0">
              <w:rPr>
                <w:lang w:val="en-GB"/>
              </w:rPr>
              <w:t>668</w:t>
            </w:r>
            <w:r>
              <w:rPr>
                <w:lang w:val="en-GB"/>
              </w:rPr>
              <w:t>)</w:t>
            </w:r>
          </w:p>
        </w:tc>
        <w:tc>
          <w:tcPr>
            <w:tcW w:w="1908" w:type="dxa"/>
            <w:noWrap/>
            <w:hideMark/>
          </w:tcPr>
          <w:p w14:paraId="291AF971" w14:textId="6F8F1CC1" w:rsidR="006D2379" w:rsidRPr="00633FF0" w:rsidRDefault="006D2379" w:rsidP="000E3DCC">
            <w:pPr>
              <w:pStyle w:val="ExhibitText"/>
              <w:tabs>
                <w:tab w:val="decimal" w:pos="986"/>
              </w:tabs>
              <w:jc w:val="right"/>
              <w:rPr>
                <w:lang w:val="en-GB"/>
              </w:rPr>
            </w:pPr>
            <w:r w:rsidRPr="00633FF0">
              <w:rPr>
                <w:lang w:val="en-GB"/>
              </w:rPr>
              <w:t> </w:t>
            </w:r>
            <w:r w:rsidR="004768BB">
              <w:rPr>
                <w:lang w:val="en-GB"/>
              </w:rPr>
              <w:t>(</w:t>
            </w:r>
            <w:r w:rsidRPr="00633FF0">
              <w:rPr>
                <w:lang w:val="en-GB"/>
              </w:rPr>
              <w:t>149</w:t>
            </w:r>
            <w:r w:rsidR="006F43B4">
              <w:rPr>
                <w:lang w:val="en-GB"/>
              </w:rPr>
              <w:t>,</w:t>
            </w:r>
            <w:r w:rsidRPr="00633FF0">
              <w:rPr>
                <w:lang w:val="en-GB"/>
              </w:rPr>
              <w:t>526</w:t>
            </w:r>
            <w:r w:rsidR="004768BB">
              <w:rPr>
                <w:lang w:val="en-GB"/>
              </w:rPr>
              <w:t>)</w:t>
            </w:r>
          </w:p>
        </w:tc>
        <w:tc>
          <w:tcPr>
            <w:tcW w:w="1908" w:type="dxa"/>
            <w:noWrap/>
            <w:hideMark/>
          </w:tcPr>
          <w:p w14:paraId="55B37C85" w14:textId="741DD17E" w:rsidR="006D2379" w:rsidRPr="00633FF0" w:rsidRDefault="004768BB" w:rsidP="00FA359C">
            <w:pPr>
              <w:pStyle w:val="ExhibitText"/>
              <w:tabs>
                <w:tab w:val="decimal" w:pos="808"/>
              </w:tabs>
              <w:jc w:val="right"/>
              <w:rPr>
                <w:lang w:val="en-GB"/>
              </w:rPr>
            </w:pPr>
            <w:r>
              <w:rPr>
                <w:lang w:val="en-GB"/>
              </w:rPr>
              <w:t>(</w:t>
            </w:r>
            <w:r w:rsidR="006D2379" w:rsidRPr="00633FF0">
              <w:rPr>
                <w:lang w:val="en-GB"/>
              </w:rPr>
              <w:t>48</w:t>
            </w:r>
            <w:r w:rsidR="00FA359C">
              <w:rPr>
                <w:lang w:val="en-GB"/>
              </w:rPr>
              <w:t>,</w:t>
            </w:r>
            <w:r w:rsidR="006D2379" w:rsidRPr="00633FF0">
              <w:rPr>
                <w:lang w:val="en-GB"/>
              </w:rPr>
              <w:t>71</w:t>
            </w:r>
            <w:r w:rsidR="00FA359C">
              <w:rPr>
                <w:lang w:val="en-GB"/>
              </w:rPr>
              <w:t>0</w:t>
            </w:r>
            <w:r>
              <w:rPr>
                <w:lang w:val="en-GB"/>
              </w:rPr>
              <w:t>)</w:t>
            </w:r>
          </w:p>
        </w:tc>
      </w:tr>
      <w:tr w:rsidR="004768BB" w:rsidRPr="00633FF0" w14:paraId="7AE5833E" w14:textId="77777777" w:rsidTr="00B74ECF">
        <w:trPr>
          <w:trHeight w:val="300"/>
          <w:jc w:val="center"/>
        </w:trPr>
        <w:tc>
          <w:tcPr>
            <w:tcW w:w="2968" w:type="dxa"/>
            <w:noWrap/>
            <w:hideMark/>
          </w:tcPr>
          <w:p w14:paraId="5373BF96" w14:textId="77777777" w:rsidR="006D2379" w:rsidRPr="00633FF0" w:rsidRDefault="006D2379" w:rsidP="00404CD4">
            <w:pPr>
              <w:pStyle w:val="ExhibitText"/>
              <w:rPr>
                <w:lang w:val="en-GB"/>
              </w:rPr>
            </w:pPr>
            <w:r w:rsidRPr="00633FF0">
              <w:rPr>
                <w:lang w:val="en-GB"/>
              </w:rPr>
              <w:t> </w:t>
            </w:r>
          </w:p>
        </w:tc>
        <w:tc>
          <w:tcPr>
            <w:tcW w:w="390" w:type="dxa"/>
            <w:noWrap/>
            <w:hideMark/>
          </w:tcPr>
          <w:p w14:paraId="1A89BEE7" w14:textId="77777777" w:rsidR="006D2379" w:rsidRPr="00633FF0" w:rsidRDefault="006D2379" w:rsidP="00404CD4">
            <w:pPr>
              <w:pStyle w:val="ExhibitText"/>
              <w:rPr>
                <w:lang w:val="en-GB"/>
              </w:rPr>
            </w:pPr>
            <w:r w:rsidRPr="00633FF0">
              <w:rPr>
                <w:lang w:val="en-GB"/>
              </w:rPr>
              <w:t> </w:t>
            </w:r>
          </w:p>
        </w:tc>
        <w:tc>
          <w:tcPr>
            <w:tcW w:w="268" w:type="dxa"/>
            <w:noWrap/>
            <w:hideMark/>
          </w:tcPr>
          <w:p w14:paraId="316D67F4" w14:textId="77777777" w:rsidR="006D2379" w:rsidRPr="00633FF0" w:rsidRDefault="006D2379" w:rsidP="00404CD4">
            <w:pPr>
              <w:pStyle w:val="ExhibitText"/>
              <w:rPr>
                <w:lang w:val="en-GB"/>
              </w:rPr>
            </w:pPr>
            <w:r w:rsidRPr="00633FF0">
              <w:rPr>
                <w:lang w:val="en-GB"/>
              </w:rPr>
              <w:t> </w:t>
            </w:r>
          </w:p>
        </w:tc>
        <w:tc>
          <w:tcPr>
            <w:tcW w:w="1908" w:type="dxa"/>
            <w:noWrap/>
            <w:hideMark/>
          </w:tcPr>
          <w:p w14:paraId="4D39D2C8" w14:textId="77777777" w:rsidR="006D2379" w:rsidRPr="00633FF0" w:rsidRDefault="006D2379" w:rsidP="000E3DCC">
            <w:pPr>
              <w:pStyle w:val="ExhibitText"/>
              <w:tabs>
                <w:tab w:val="left" w:pos="0"/>
                <w:tab w:val="decimal" w:pos="1148"/>
              </w:tabs>
              <w:jc w:val="right"/>
              <w:rPr>
                <w:bCs/>
                <w:lang w:val="en-GB"/>
              </w:rPr>
            </w:pPr>
            <w:r w:rsidRPr="00633FF0">
              <w:rPr>
                <w:bCs/>
                <w:lang w:val="en-GB"/>
              </w:rPr>
              <w:t> </w:t>
            </w:r>
          </w:p>
        </w:tc>
        <w:tc>
          <w:tcPr>
            <w:tcW w:w="1908" w:type="dxa"/>
            <w:noWrap/>
            <w:hideMark/>
          </w:tcPr>
          <w:p w14:paraId="56B71562" w14:textId="77777777" w:rsidR="006D2379" w:rsidRPr="00633FF0" w:rsidRDefault="006D2379" w:rsidP="000E3DCC">
            <w:pPr>
              <w:pStyle w:val="ExhibitText"/>
              <w:tabs>
                <w:tab w:val="decimal" w:pos="986"/>
              </w:tabs>
              <w:jc w:val="right"/>
              <w:rPr>
                <w:lang w:val="en-GB"/>
              </w:rPr>
            </w:pPr>
            <w:r w:rsidRPr="00633FF0">
              <w:rPr>
                <w:lang w:val="en-GB"/>
              </w:rPr>
              <w:t> </w:t>
            </w:r>
          </w:p>
        </w:tc>
        <w:tc>
          <w:tcPr>
            <w:tcW w:w="1908" w:type="dxa"/>
            <w:noWrap/>
            <w:hideMark/>
          </w:tcPr>
          <w:p w14:paraId="77B1CBD4" w14:textId="77777777" w:rsidR="006D2379" w:rsidRPr="00633FF0" w:rsidRDefault="006D2379" w:rsidP="000E3DCC">
            <w:pPr>
              <w:pStyle w:val="ExhibitText"/>
              <w:tabs>
                <w:tab w:val="decimal" w:pos="808"/>
              </w:tabs>
              <w:jc w:val="right"/>
              <w:rPr>
                <w:bCs/>
                <w:lang w:val="en-GB"/>
              </w:rPr>
            </w:pPr>
            <w:r w:rsidRPr="00633FF0">
              <w:rPr>
                <w:bCs/>
                <w:lang w:val="en-GB"/>
              </w:rPr>
              <w:t> </w:t>
            </w:r>
          </w:p>
        </w:tc>
      </w:tr>
      <w:tr w:rsidR="004768BB" w:rsidRPr="00633FF0" w14:paraId="0185C02D" w14:textId="77777777" w:rsidTr="00B74ECF">
        <w:trPr>
          <w:trHeight w:val="600"/>
          <w:jc w:val="center"/>
        </w:trPr>
        <w:tc>
          <w:tcPr>
            <w:tcW w:w="2968" w:type="dxa"/>
            <w:hideMark/>
          </w:tcPr>
          <w:p w14:paraId="51E8CBD9" w14:textId="77777777" w:rsidR="006D2379" w:rsidRPr="00633FF0" w:rsidRDefault="006D2379" w:rsidP="00B74ECF">
            <w:pPr>
              <w:pStyle w:val="ExhibitText"/>
              <w:jc w:val="left"/>
              <w:rPr>
                <w:bCs/>
                <w:lang w:val="en-GB"/>
              </w:rPr>
            </w:pPr>
            <w:r w:rsidRPr="00633FF0">
              <w:rPr>
                <w:bCs/>
                <w:lang w:val="en-GB"/>
              </w:rPr>
              <w:t>Result on ordinary activities before tax</w:t>
            </w:r>
          </w:p>
        </w:tc>
        <w:tc>
          <w:tcPr>
            <w:tcW w:w="390" w:type="dxa"/>
            <w:noWrap/>
            <w:hideMark/>
          </w:tcPr>
          <w:p w14:paraId="6AE11414" w14:textId="77777777" w:rsidR="006D2379" w:rsidRPr="00633FF0" w:rsidRDefault="006D2379" w:rsidP="00404CD4">
            <w:pPr>
              <w:pStyle w:val="ExhibitText"/>
              <w:rPr>
                <w:lang w:val="en-GB"/>
              </w:rPr>
            </w:pPr>
            <w:r w:rsidRPr="00633FF0">
              <w:rPr>
                <w:lang w:val="en-GB"/>
              </w:rPr>
              <w:t> </w:t>
            </w:r>
          </w:p>
        </w:tc>
        <w:tc>
          <w:tcPr>
            <w:tcW w:w="268" w:type="dxa"/>
            <w:noWrap/>
            <w:hideMark/>
          </w:tcPr>
          <w:p w14:paraId="57CC31B5" w14:textId="77777777" w:rsidR="006D2379" w:rsidRPr="00633FF0" w:rsidRDefault="006D2379" w:rsidP="00404CD4">
            <w:pPr>
              <w:pStyle w:val="ExhibitText"/>
              <w:rPr>
                <w:lang w:val="en-GB"/>
              </w:rPr>
            </w:pPr>
            <w:r w:rsidRPr="00633FF0">
              <w:rPr>
                <w:lang w:val="en-GB"/>
              </w:rPr>
              <w:t> </w:t>
            </w:r>
          </w:p>
        </w:tc>
        <w:tc>
          <w:tcPr>
            <w:tcW w:w="1908" w:type="dxa"/>
            <w:noWrap/>
            <w:hideMark/>
          </w:tcPr>
          <w:p w14:paraId="4F9BE311" w14:textId="607ED64D" w:rsidR="006D2379" w:rsidRPr="00633FF0" w:rsidRDefault="004768BB" w:rsidP="000E3DCC">
            <w:pPr>
              <w:pStyle w:val="ExhibitText"/>
              <w:tabs>
                <w:tab w:val="left" w:pos="0"/>
                <w:tab w:val="decimal" w:pos="1148"/>
              </w:tabs>
              <w:jc w:val="right"/>
              <w:rPr>
                <w:bCs/>
                <w:lang w:val="en-GB"/>
              </w:rPr>
            </w:pPr>
            <w:r>
              <w:rPr>
                <w:bCs/>
                <w:lang w:val="en-GB"/>
              </w:rPr>
              <w:tab/>
            </w:r>
            <w:r w:rsidR="006D2379" w:rsidRPr="00633FF0">
              <w:rPr>
                <w:bCs/>
                <w:lang w:val="en-GB"/>
              </w:rPr>
              <w:t>5</w:t>
            </w:r>
            <w:r>
              <w:rPr>
                <w:bCs/>
                <w:lang w:val="en-GB"/>
              </w:rPr>
              <w:t>,</w:t>
            </w:r>
            <w:r w:rsidR="006D2379" w:rsidRPr="00633FF0">
              <w:rPr>
                <w:bCs/>
                <w:lang w:val="en-GB"/>
              </w:rPr>
              <w:t>032</w:t>
            </w:r>
            <w:r w:rsidR="006F43B4">
              <w:rPr>
                <w:bCs/>
                <w:lang w:val="en-GB"/>
              </w:rPr>
              <w:t>,</w:t>
            </w:r>
            <w:r w:rsidR="006D2379" w:rsidRPr="00633FF0">
              <w:rPr>
                <w:bCs/>
                <w:lang w:val="en-GB"/>
              </w:rPr>
              <w:t>968</w:t>
            </w:r>
          </w:p>
        </w:tc>
        <w:tc>
          <w:tcPr>
            <w:tcW w:w="1908" w:type="dxa"/>
            <w:noWrap/>
            <w:hideMark/>
          </w:tcPr>
          <w:p w14:paraId="2CAEE0AC" w14:textId="7CF02781" w:rsidR="006D2379" w:rsidRPr="00633FF0" w:rsidRDefault="006D2379" w:rsidP="000E3DCC">
            <w:pPr>
              <w:pStyle w:val="ExhibitText"/>
              <w:tabs>
                <w:tab w:val="decimal" w:pos="986"/>
              </w:tabs>
              <w:jc w:val="right"/>
              <w:rPr>
                <w:bCs/>
                <w:lang w:val="en-GB"/>
              </w:rPr>
            </w:pPr>
            <w:r w:rsidRPr="00633FF0">
              <w:rPr>
                <w:bCs/>
                <w:lang w:val="en-GB"/>
              </w:rPr>
              <w:t>4</w:t>
            </w:r>
            <w:r w:rsidR="004768BB">
              <w:rPr>
                <w:bCs/>
                <w:lang w:val="en-GB"/>
              </w:rPr>
              <w:t>,</w:t>
            </w:r>
            <w:r w:rsidRPr="00633FF0">
              <w:rPr>
                <w:bCs/>
                <w:lang w:val="en-GB"/>
              </w:rPr>
              <w:t>418</w:t>
            </w:r>
            <w:r w:rsidR="006F43B4">
              <w:rPr>
                <w:bCs/>
                <w:lang w:val="en-GB"/>
              </w:rPr>
              <w:t>,</w:t>
            </w:r>
            <w:r w:rsidRPr="00633FF0">
              <w:rPr>
                <w:bCs/>
                <w:lang w:val="en-GB"/>
              </w:rPr>
              <w:t>351</w:t>
            </w:r>
          </w:p>
        </w:tc>
        <w:tc>
          <w:tcPr>
            <w:tcW w:w="1908" w:type="dxa"/>
            <w:noWrap/>
            <w:hideMark/>
          </w:tcPr>
          <w:p w14:paraId="01284904" w14:textId="24287068" w:rsidR="006D2379" w:rsidRPr="00633FF0" w:rsidRDefault="006D2379" w:rsidP="000E3DCC">
            <w:pPr>
              <w:pStyle w:val="ExhibitText"/>
              <w:tabs>
                <w:tab w:val="decimal" w:pos="808"/>
              </w:tabs>
              <w:jc w:val="right"/>
              <w:rPr>
                <w:bCs/>
                <w:lang w:val="en-GB"/>
              </w:rPr>
            </w:pPr>
            <w:r w:rsidRPr="00633FF0">
              <w:rPr>
                <w:bCs/>
                <w:lang w:val="en-GB"/>
              </w:rPr>
              <w:t>3</w:t>
            </w:r>
            <w:r w:rsidR="004768BB">
              <w:rPr>
                <w:bCs/>
                <w:lang w:val="en-GB"/>
              </w:rPr>
              <w:t>,</w:t>
            </w:r>
            <w:r w:rsidRPr="00633FF0">
              <w:rPr>
                <w:bCs/>
                <w:lang w:val="en-GB"/>
              </w:rPr>
              <w:t>102</w:t>
            </w:r>
            <w:r w:rsidR="006F43B4">
              <w:rPr>
                <w:bCs/>
                <w:lang w:val="en-GB"/>
              </w:rPr>
              <w:t>,</w:t>
            </w:r>
            <w:r w:rsidRPr="00633FF0">
              <w:rPr>
                <w:bCs/>
                <w:lang w:val="en-GB"/>
              </w:rPr>
              <w:t xml:space="preserve">463 </w:t>
            </w:r>
          </w:p>
        </w:tc>
      </w:tr>
      <w:tr w:rsidR="004768BB" w:rsidRPr="00633FF0" w14:paraId="2DCD5CE9" w14:textId="77777777" w:rsidTr="00B74ECF">
        <w:trPr>
          <w:trHeight w:val="585"/>
          <w:jc w:val="center"/>
        </w:trPr>
        <w:tc>
          <w:tcPr>
            <w:tcW w:w="2968" w:type="dxa"/>
            <w:hideMark/>
          </w:tcPr>
          <w:p w14:paraId="032A27CA" w14:textId="77777777" w:rsidR="006D2379" w:rsidRPr="00633FF0" w:rsidRDefault="006D2379" w:rsidP="00B74ECF">
            <w:pPr>
              <w:pStyle w:val="ExhibitText"/>
              <w:jc w:val="left"/>
              <w:rPr>
                <w:lang w:val="en-GB"/>
              </w:rPr>
            </w:pPr>
            <w:r w:rsidRPr="00633FF0">
              <w:rPr>
                <w:lang w:val="en-GB"/>
              </w:rPr>
              <w:t>Taxes on result from ordinary activities</w:t>
            </w:r>
          </w:p>
        </w:tc>
        <w:tc>
          <w:tcPr>
            <w:tcW w:w="390" w:type="dxa"/>
            <w:noWrap/>
            <w:hideMark/>
          </w:tcPr>
          <w:p w14:paraId="03451A28" w14:textId="77777777" w:rsidR="006D2379" w:rsidRPr="00633FF0" w:rsidRDefault="006D2379" w:rsidP="00404CD4">
            <w:pPr>
              <w:pStyle w:val="ExhibitText"/>
              <w:rPr>
                <w:lang w:val="en-GB"/>
              </w:rPr>
            </w:pPr>
            <w:r w:rsidRPr="00633FF0">
              <w:rPr>
                <w:lang w:val="en-GB"/>
              </w:rPr>
              <w:t> </w:t>
            </w:r>
          </w:p>
        </w:tc>
        <w:tc>
          <w:tcPr>
            <w:tcW w:w="268" w:type="dxa"/>
            <w:noWrap/>
            <w:hideMark/>
          </w:tcPr>
          <w:p w14:paraId="0D092A5A" w14:textId="77777777" w:rsidR="006D2379" w:rsidRPr="00633FF0" w:rsidRDefault="006D2379" w:rsidP="00404CD4">
            <w:pPr>
              <w:pStyle w:val="ExhibitText"/>
              <w:rPr>
                <w:lang w:val="en-GB"/>
              </w:rPr>
            </w:pPr>
            <w:r w:rsidRPr="00633FF0">
              <w:rPr>
                <w:lang w:val="en-GB"/>
              </w:rPr>
              <w:t> </w:t>
            </w:r>
          </w:p>
        </w:tc>
        <w:tc>
          <w:tcPr>
            <w:tcW w:w="1908" w:type="dxa"/>
            <w:noWrap/>
            <w:hideMark/>
          </w:tcPr>
          <w:p w14:paraId="33AA7375" w14:textId="3E6D1907" w:rsidR="006D2379" w:rsidRPr="00633FF0" w:rsidRDefault="004768BB" w:rsidP="000E3DCC">
            <w:pPr>
              <w:pStyle w:val="ExhibitText"/>
              <w:tabs>
                <w:tab w:val="left" w:pos="0"/>
                <w:tab w:val="decimal" w:pos="1148"/>
              </w:tabs>
              <w:jc w:val="right"/>
              <w:rPr>
                <w:lang w:val="en-GB"/>
              </w:rPr>
            </w:pPr>
            <w:r>
              <w:rPr>
                <w:lang w:val="en-GB"/>
              </w:rPr>
              <w:tab/>
              <w:t>(</w:t>
            </w:r>
            <w:r w:rsidR="006D2379" w:rsidRPr="00633FF0">
              <w:rPr>
                <w:lang w:val="en-GB"/>
              </w:rPr>
              <w:t>692</w:t>
            </w:r>
            <w:r w:rsidR="006F43B4">
              <w:rPr>
                <w:lang w:val="en-GB"/>
              </w:rPr>
              <w:t>,</w:t>
            </w:r>
            <w:r w:rsidR="006D2379" w:rsidRPr="00633FF0">
              <w:rPr>
                <w:lang w:val="en-GB"/>
              </w:rPr>
              <w:t>315</w:t>
            </w:r>
            <w:r>
              <w:rPr>
                <w:lang w:val="en-GB"/>
              </w:rPr>
              <w:t>)</w:t>
            </w:r>
          </w:p>
        </w:tc>
        <w:tc>
          <w:tcPr>
            <w:tcW w:w="1908" w:type="dxa"/>
            <w:noWrap/>
            <w:hideMark/>
          </w:tcPr>
          <w:p w14:paraId="2BAE9F1D" w14:textId="35958117" w:rsidR="006D2379" w:rsidRPr="00633FF0" w:rsidRDefault="004768BB" w:rsidP="00FA359C">
            <w:pPr>
              <w:pStyle w:val="ExhibitText"/>
              <w:tabs>
                <w:tab w:val="decimal" w:pos="986"/>
              </w:tabs>
              <w:jc w:val="right"/>
              <w:rPr>
                <w:lang w:val="en-GB"/>
              </w:rPr>
            </w:pPr>
            <w:r>
              <w:rPr>
                <w:lang w:val="en-GB"/>
              </w:rPr>
              <w:t>(</w:t>
            </w:r>
            <w:r w:rsidR="006D2379" w:rsidRPr="00633FF0">
              <w:rPr>
                <w:lang w:val="en-GB"/>
              </w:rPr>
              <w:t>9</w:t>
            </w:r>
            <w:r w:rsidR="00FA359C">
              <w:rPr>
                <w:lang w:val="en-GB"/>
              </w:rPr>
              <w:t>40,</w:t>
            </w:r>
            <w:r w:rsidR="006D2379" w:rsidRPr="00633FF0">
              <w:rPr>
                <w:lang w:val="en-GB"/>
              </w:rPr>
              <w:t>2</w:t>
            </w:r>
            <w:r w:rsidR="00FA359C">
              <w:rPr>
                <w:lang w:val="en-GB"/>
              </w:rPr>
              <w:t>00</w:t>
            </w:r>
            <w:r>
              <w:rPr>
                <w:lang w:val="en-GB"/>
              </w:rPr>
              <w:t>)</w:t>
            </w:r>
          </w:p>
        </w:tc>
        <w:tc>
          <w:tcPr>
            <w:tcW w:w="1908" w:type="dxa"/>
            <w:noWrap/>
            <w:hideMark/>
          </w:tcPr>
          <w:p w14:paraId="53884509" w14:textId="31F35660" w:rsidR="006D2379" w:rsidRPr="00633FF0" w:rsidRDefault="004768BB" w:rsidP="000E3DCC">
            <w:pPr>
              <w:pStyle w:val="ExhibitText"/>
              <w:tabs>
                <w:tab w:val="decimal" w:pos="808"/>
              </w:tabs>
              <w:jc w:val="right"/>
              <w:rPr>
                <w:lang w:val="en-GB"/>
              </w:rPr>
            </w:pPr>
            <w:r>
              <w:rPr>
                <w:lang w:val="en-GB"/>
              </w:rPr>
              <w:t>(</w:t>
            </w:r>
            <w:r w:rsidR="006D2379" w:rsidRPr="00633FF0">
              <w:rPr>
                <w:lang w:val="en-GB"/>
              </w:rPr>
              <w:t>1</w:t>
            </w:r>
            <w:r>
              <w:rPr>
                <w:lang w:val="en-GB"/>
              </w:rPr>
              <w:t>,</w:t>
            </w:r>
            <w:r w:rsidR="006D2379" w:rsidRPr="00633FF0">
              <w:rPr>
                <w:lang w:val="en-GB"/>
              </w:rPr>
              <w:t>242</w:t>
            </w:r>
            <w:r w:rsidR="006F43B4">
              <w:rPr>
                <w:lang w:val="en-GB"/>
              </w:rPr>
              <w:t>,</w:t>
            </w:r>
            <w:r w:rsidR="006D2379" w:rsidRPr="00633FF0">
              <w:rPr>
                <w:lang w:val="en-GB"/>
              </w:rPr>
              <w:t>540</w:t>
            </w:r>
            <w:r>
              <w:rPr>
                <w:lang w:val="en-GB"/>
              </w:rPr>
              <w:t>)</w:t>
            </w:r>
          </w:p>
        </w:tc>
      </w:tr>
      <w:tr w:rsidR="004768BB" w:rsidRPr="00633FF0" w14:paraId="072E97B6" w14:textId="77777777" w:rsidTr="00B74ECF">
        <w:trPr>
          <w:trHeight w:val="600"/>
          <w:jc w:val="center"/>
        </w:trPr>
        <w:tc>
          <w:tcPr>
            <w:tcW w:w="2968" w:type="dxa"/>
            <w:hideMark/>
          </w:tcPr>
          <w:p w14:paraId="3A722D0A" w14:textId="77777777" w:rsidR="006D2379" w:rsidRPr="00633FF0" w:rsidRDefault="006D2379" w:rsidP="00B74ECF">
            <w:pPr>
              <w:pStyle w:val="ExhibitText"/>
              <w:jc w:val="left"/>
              <w:rPr>
                <w:bCs/>
                <w:lang w:val="en-GB"/>
              </w:rPr>
            </w:pPr>
            <w:r w:rsidRPr="00633FF0">
              <w:rPr>
                <w:bCs/>
                <w:lang w:val="en-GB"/>
              </w:rPr>
              <w:t>Result on ordinary activities after tax</w:t>
            </w:r>
          </w:p>
        </w:tc>
        <w:tc>
          <w:tcPr>
            <w:tcW w:w="390" w:type="dxa"/>
            <w:noWrap/>
            <w:hideMark/>
          </w:tcPr>
          <w:p w14:paraId="49369CAB" w14:textId="77777777" w:rsidR="006D2379" w:rsidRPr="00633FF0" w:rsidRDefault="006D2379" w:rsidP="00404CD4">
            <w:pPr>
              <w:pStyle w:val="ExhibitText"/>
              <w:rPr>
                <w:lang w:val="en-GB"/>
              </w:rPr>
            </w:pPr>
          </w:p>
        </w:tc>
        <w:tc>
          <w:tcPr>
            <w:tcW w:w="268" w:type="dxa"/>
            <w:noWrap/>
            <w:hideMark/>
          </w:tcPr>
          <w:p w14:paraId="4F252343" w14:textId="77777777" w:rsidR="006D2379" w:rsidRPr="00633FF0" w:rsidRDefault="006D2379" w:rsidP="00404CD4">
            <w:pPr>
              <w:pStyle w:val="ExhibitText"/>
              <w:rPr>
                <w:lang w:val="en-GB"/>
              </w:rPr>
            </w:pPr>
            <w:r w:rsidRPr="00633FF0">
              <w:rPr>
                <w:lang w:val="en-GB"/>
              </w:rPr>
              <w:t> </w:t>
            </w:r>
          </w:p>
        </w:tc>
        <w:tc>
          <w:tcPr>
            <w:tcW w:w="1908" w:type="dxa"/>
            <w:noWrap/>
            <w:hideMark/>
          </w:tcPr>
          <w:p w14:paraId="5EC6A4B1" w14:textId="5F4561E9" w:rsidR="006D2379" w:rsidRPr="00633FF0" w:rsidRDefault="004768BB" w:rsidP="000E3DCC">
            <w:pPr>
              <w:pStyle w:val="ExhibitText"/>
              <w:tabs>
                <w:tab w:val="left" w:pos="0"/>
                <w:tab w:val="decimal" w:pos="1148"/>
              </w:tabs>
              <w:jc w:val="right"/>
              <w:rPr>
                <w:bCs/>
                <w:lang w:val="en-GB"/>
              </w:rPr>
            </w:pPr>
            <w:r>
              <w:rPr>
                <w:bCs/>
                <w:lang w:val="en-GB"/>
              </w:rPr>
              <w:tab/>
            </w:r>
            <w:r w:rsidR="006D2379" w:rsidRPr="00633FF0">
              <w:rPr>
                <w:bCs/>
                <w:lang w:val="en-GB"/>
              </w:rPr>
              <w:t>4</w:t>
            </w:r>
            <w:r>
              <w:rPr>
                <w:bCs/>
                <w:lang w:val="en-GB"/>
              </w:rPr>
              <w:t>,</w:t>
            </w:r>
            <w:r w:rsidR="006D2379" w:rsidRPr="00633FF0">
              <w:rPr>
                <w:bCs/>
                <w:lang w:val="en-GB"/>
              </w:rPr>
              <w:t>340</w:t>
            </w:r>
            <w:r w:rsidR="006F43B4">
              <w:rPr>
                <w:bCs/>
                <w:lang w:val="en-GB"/>
              </w:rPr>
              <w:t>,</w:t>
            </w:r>
            <w:r w:rsidR="006D2379" w:rsidRPr="00633FF0">
              <w:rPr>
                <w:bCs/>
                <w:lang w:val="en-GB"/>
              </w:rPr>
              <w:t>653</w:t>
            </w:r>
          </w:p>
        </w:tc>
        <w:tc>
          <w:tcPr>
            <w:tcW w:w="1908" w:type="dxa"/>
            <w:noWrap/>
            <w:hideMark/>
          </w:tcPr>
          <w:p w14:paraId="4295E21B" w14:textId="03CA1AF7" w:rsidR="006D2379" w:rsidRPr="00633FF0" w:rsidRDefault="006D2379" w:rsidP="000E3DCC">
            <w:pPr>
              <w:pStyle w:val="ExhibitText"/>
              <w:tabs>
                <w:tab w:val="decimal" w:pos="986"/>
              </w:tabs>
              <w:jc w:val="right"/>
              <w:rPr>
                <w:bCs/>
                <w:lang w:val="en-GB"/>
              </w:rPr>
            </w:pPr>
            <w:r w:rsidRPr="00633FF0">
              <w:rPr>
                <w:bCs/>
                <w:lang w:val="en-GB"/>
              </w:rPr>
              <w:t>3</w:t>
            </w:r>
            <w:r w:rsidR="004768BB">
              <w:rPr>
                <w:bCs/>
                <w:lang w:val="en-GB"/>
              </w:rPr>
              <w:t>,</w:t>
            </w:r>
            <w:r w:rsidRPr="00633FF0">
              <w:rPr>
                <w:bCs/>
                <w:lang w:val="en-GB"/>
              </w:rPr>
              <w:t>478</w:t>
            </w:r>
            <w:r w:rsidR="006F43B4">
              <w:rPr>
                <w:bCs/>
                <w:lang w:val="en-GB"/>
              </w:rPr>
              <w:t>,</w:t>
            </w:r>
            <w:r w:rsidRPr="00633FF0">
              <w:rPr>
                <w:bCs/>
                <w:lang w:val="en-GB"/>
              </w:rPr>
              <w:t>147</w:t>
            </w:r>
          </w:p>
        </w:tc>
        <w:tc>
          <w:tcPr>
            <w:tcW w:w="1908" w:type="dxa"/>
            <w:noWrap/>
            <w:hideMark/>
          </w:tcPr>
          <w:p w14:paraId="7F73591D" w14:textId="7B7917BF" w:rsidR="006D2379" w:rsidRPr="00633FF0" w:rsidRDefault="006D2379" w:rsidP="000E3DCC">
            <w:pPr>
              <w:pStyle w:val="ExhibitText"/>
              <w:tabs>
                <w:tab w:val="decimal" w:pos="808"/>
              </w:tabs>
              <w:jc w:val="right"/>
              <w:rPr>
                <w:bCs/>
                <w:lang w:val="en-GB"/>
              </w:rPr>
            </w:pPr>
            <w:r w:rsidRPr="00633FF0">
              <w:rPr>
                <w:bCs/>
                <w:lang w:val="en-GB"/>
              </w:rPr>
              <w:t>1</w:t>
            </w:r>
            <w:r w:rsidR="004768BB">
              <w:rPr>
                <w:bCs/>
                <w:lang w:val="en-GB"/>
              </w:rPr>
              <w:t>,</w:t>
            </w:r>
            <w:r w:rsidRPr="00633FF0">
              <w:rPr>
                <w:bCs/>
                <w:lang w:val="en-GB"/>
              </w:rPr>
              <w:t>859</w:t>
            </w:r>
            <w:r w:rsidR="006F43B4">
              <w:rPr>
                <w:bCs/>
                <w:lang w:val="en-GB"/>
              </w:rPr>
              <w:t>,</w:t>
            </w:r>
            <w:r w:rsidRPr="00633FF0">
              <w:rPr>
                <w:bCs/>
                <w:lang w:val="en-GB"/>
              </w:rPr>
              <w:t xml:space="preserve">924 </w:t>
            </w:r>
          </w:p>
        </w:tc>
      </w:tr>
      <w:tr w:rsidR="004768BB" w:rsidRPr="00633FF0" w14:paraId="42F8C98B" w14:textId="77777777" w:rsidTr="00B74ECF">
        <w:trPr>
          <w:trHeight w:val="315"/>
          <w:jc w:val="center"/>
        </w:trPr>
        <w:tc>
          <w:tcPr>
            <w:tcW w:w="3626" w:type="dxa"/>
            <w:gridSpan w:val="3"/>
            <w:noWrap/>
            <w:hideMark/>
          </w:tcPr>
          <w:p w14:paraId="217EE36E" w14:textId="307BB857" w:rsidR="006D2379" w:rsidRPr="00633FF0" w:rsidRDefault="006D2379" w:rsidP="00404CD4">
            <w:pPr>
              <w:pStyle w:val="ExhibitText"/>
              <w:rPr>
                <w:lang w:val="en-GB"/>
              </w:rPr>
            </w:pPr>
            <w:r w:rsidRPr="00633FF0">
              <w:rPr>
                <w:lang w:val="en-GB"/>
              </w:rPr>
              <w:t>Minority interests</w:t>
            </w:r>
            <w:r w:rsidRPr="00633FF0">
              <w:rPr>
                <w:bCs/>
                <w:lang w:val="en-GB"/>
              </w:rPr>
              <w:t xml:space="preserve"> </w:t>
            </w:r>
          </w:p>
        </w:tc>
        <w:tc>
          <w:tcPr>
            <w:tcW w:w="1908" w:type="dxa"/>
            <w:noWrap/>
            <w:hideMark/>
          </w:tcPr>
          <w:p w14:paraId="1BE7C349" w14:textId="6F90E60E" w:rsidR="006D2379" w:rsidRPr="00633FF0" w:rsidRDefault="004768BB" w:rsidP="000E3DCC">
            <w:pPr>
              <w:pStyle w:val="ExhibitText"/>
              <w:tabs>
                <w:tab w:val="left" w:pos="0"/>
                <w:tab w:val="decimal" w:pos="1148"/>
              </w:tabs>
              <w:jc w:val="right"/>
              <w:rPr>
                <w:lang w:val="en-GB"/>
              </w:rPr>
            </w:pPr>
            <w:r>
              <w:rPr>
                <w:lang w:val="en-GB"/>
              </w:rPr>
              <w:tab/>
              <w:t>(</w:t>
            </w:r>
            <w:r w:rsidR="006D2379" w:rsidRPr="00633FF0">
              <w:rPr>
                <w:lang w:val="en-GB"/>
              </w:rPr>
              <w:t>797</w:t>
            </w:r>
            <w:r w:rsidR="006F43B4">
              <w:rPr>
                <w:lang w:val="en-GB"/>
              </w:rPr>
              <w:t>,</w:t>
            </w:r>
            <w:r w:rsidR="006D2379" w:rsidRPr="00633FF0">
              <w:rPr>
                <w:lang w:val="en-GB"/>
              </w:rPr>
              <w:t>705</w:t>
            </w:r>
            <w:r>
              <w:rPr>
                <w:lang w:val="en-GB"/>
              </w:rPr>
              <w:t>)</w:t>
            </w:r>
          </w:p>
        </w:tc>
        <w:tc>
          <w:tcPr>
            <w:tcW w:w="1908" w:type="dxa"/>
            <w:noWrap/>
            <w:hideMark/>
          </w:tcPr>
          <w:p w14:paraId="7A0C2AB7" w14:textId="09B119D4" w:rsidR="006D2379" w:rsidRPr="00633FF0" w:rsidRDefault="004768BB" w:rsidP="00FA359C">
            <w:pPr>
              <w:pStyle w:val="ExhibitText"/>
              <w:tabs>
                <w:tab w:val="decimal" w:pos="986"/>
              </w:tabs>
              <w:jc w:val="right"/>
              <w:rPr>
                <w:lang w:val="en-GB"/>
              </w:rPr>
            </w:pPr>
            <w:r>
              <w:rPr>
                <w:lang w:val="en-GB"/>
              </w:rPr>
              <w:t>(</w:t>
            </w:r>
            <w:r w:rsidR="006D2379" w:rsidRPr="00633FF0">
              <w:rPr>
                <w:lang w:val="en-GB"/>
              </w:rPr>
              <w:t>3</w:t>
            </w:r>
            <w:r w:rsidR="00FA359C">
              <w:rPr>
                <w:lang w:val="en-GB"/>
              </w:rPr>
              <w:t>82</w:t>
            </w:r>
            <w:r w:rsidR="002C5921">
              <w:rPr>
                <w:lang w:val="en-GB"/>
              </w:rPr>
              <w:t>,</w:t>
            </w:r>
            <w:r w:rsidR="006D2379" w:rsidRPr="00633FF0">
              <w:rPr>
                <w:lang w:val="en-GB"/>
              </w:rPr>
              <w:t>7</w:t>
            </w:r>
            <w:r w:rsidR="00FA359C">
              <w:rPr>
                <w:lang w:val="en-GB"/>
              </w:rPr>
              <w:t>00</w:t>
            </w:r>
            <w:r>
              <w:rPr>
                <w:lang w:val="en-GB"/>
              </w:rPr>
              <w:t>)</w:t>
            </w:r>
          </w:p>
        </w:tc>
        <w:tc>
          <w:tcPr>
            <w:tcW w:w="1908" w:type="dxa"/>
            <w:noWrap/>
            <w:hideMark/>
          </w:tcPr>
          <w:p w14:paraId="1A4E2547" w14:textId="14EF7F97" w:rsidR="006D2379" w:rsidRPr="00633FF0" w:rsidRDefault="004768BB" w:rsidP="00FA359C">
            <w:pPr>
              <w:pStyle w:val="ExhibitText"/>
              <w:tabs>
                <w:tab w:val="decimal" w:pos="808"/>
              </w:tabs>
              <w:jc w:val="right"/>
              <w:rPr>
                <w:lang w:val="en-GB"/>
              </w:rPr>
            </w:pPr>
            <w:r>
              <w:rPr>
                <w:lang w:val="en-GB"/>
              </w:rPr>
              <w:t>(</w:t>
            </w:r>
            <w:r w:rsidR="006D2379" w:rsidRPr="00633FF0">
              <w:rPr>
                <w:lang w:val="en-GB"/>
              </w:rPr>
              <w:t>4</w:t>
            </w:r>
            <w:r w:rsidR="00FA359C">
              <w:rPr>
                <w:lang w:val="en-GB"/>
              </w:rPr>
              <w:t>7</w:t>
            </w:r>
            <w:r w:rsidR="002C5921">
              <w:rPr>
                <w:lang w:val="en-GB"/>
              </w:rPr>
              <w:t>,</w:t>
            </w:r>
            <w:r w:rsidR="006D2379" w:rsidRPr="00633FF0">
              <w:rPr>
                <w:lang w:val="en-GB"/>
              </w:rPr>
              <w:t>69</w:t>
            </w:r>
            <w:r w:rsidR="00FA359C">
              <w:rPr>
                <w:lang w:val="en-GB"/>
              </w:rPr>
              <w:t>0</w:t>
            </w:r>
            <w:r>
              <w:rPr>
                <w:lang w:val="en-GB"/>
              </w:rPr>
              <w:t>)</w:t>
            </w:r>
          </w:p>
        </w:tc>
      </w:tr>
      <w:tr w:rsidR="004768BB" w:rsidRPr="00633FF0" w14:paraId="291CFAA7" w14:textId="77777777" w:rsidTr="00B74ECF">
        <w:trPr>
          <w:trHeight w:val="315"/>
          <w:jc w:val="center"/>
        </w:trPr>
        <w:tc>
          <w:tcPr>
            <w:tcW w:w="2968" w:type="dxa"/>
            <w:noWrap/>
            <w:hideMark/>
          </w:tcPr>
          <w:p w14:paraId="5D58AE8A" w14:textId="1DF51A24" w:rsidR="006D2379" w:rsidRPr="00633FF0" w:rsidRDefault="006D2379" w:rsidP="00404CD4">
            <w:pPr>
              <w:pStyle w:val="ExhibitText"/>
              <w:rPr>
                <w:bCs/>
                <w:lang w:val="en-GB"/>
              </w:rPr>
            </w:pPr>
            <w:r w:rsidRPr="00633FF0">
              <w:rPr>
                <w:bCs/>
                <w:lang w:val="en-GB"/>
              </w:rPr>
              <w:t xml:space="preserve">Net result </w:t>
            </w:r>
          </w:p>
        </w:tc>
        <w:tc>
          <w:tcPr>
            <w:tcW w:w="390" w:type="dxa"/>
            <w:noWrap/>
            <w:hideMark/>
          </w:tcPr>
          <w:p w14:paraId="2E2CC431" w14:textId="77777777" w:rsidR="006D2379" w:rsidRPr="00633FF0" w:rsidRDefault="006D2379" w:rsidP="00404CD4">
            <w:pPr>
              <w:pStyle w:val="ExhibitText"/>
              <w:rPr>
                <w:lang w:val="en-GB"/>
              </w:rPr>
            </w:pPr>
            <w:r w:rsidRPr="00633FF0">
              <w:rPr>
                <w:lang w:val="en-GB"/>
              </w:rPr>
              <w:t> </w:t>
            </w:r>
          </w:p>
        </w:tc>
        <w:tc>
          <w:tcPr>
            <w:tcW w:w="268" w:type="dxa"/>
            <w:noWrap/>
            <w:hideMark/>
          </w:tcPr>
          <w:p w14:paraId="066F6066" w14:textId="77777777" w:rsidR="006D2379" w:rsidRPr="00633FF0" w:rsidRDefault="006D2379" w:rsidP="00404CD4">
            <w:pPr>
              <w:pStyle w:val="ExhibitText"/>
              <w:rPr>
                <w:lang w:val="en-GB"/>
              </w:rPr>
            </w:pPr>
            <w:r w:rsidRPr="00633FF0">
              <w:rPr>
                <w:lang w:val="en-GB"/>
              </w:rPr>
              <w:t> </w:t>
            </w:r>
          </w:p>
        </w:tc>
        <w:tc>
          <w:tcPr>
            <w:tcW w:w="1908" w:type="dxa"/>
            <w:noWrap/>
            <w:hideMark/>
          </w:tcPr>
          <w:p w14:paraId="79D1DF4D" w14:textId="24D6A80A" w:rsidR="006D2379" w:rsidRPr="00633FF0" w:rsidRDefault="006D2379" w:rsidP="000E3DCC">
            <w:pPr>
              <w:pStyle w:val="ExhibitText"/>
              <w:tabs>
                <w:tab w:val="left" w:pos="0"/>
                <w:tab w:val="decimal" w:pos="1148"/>
              </w:tabs>
              <w:jc w:val="right"/>
              <w:rPr>
                <w:bCs/>
                <w:lang w:val="en-GB"/>
              </w:rPr>
            </w:pPr>
            <w:r w:rsidRPr="00633FF0">
              <w:rPr>
                <w:bCs/>
                <w:lang w:val="en-GB"/>
              </w:rPr>
              <w:t> </w:t>
            </w:r>
            <w:r w:rsidR="004768BB">
              <w:rPr>
                <w:bCs/>
                <w:lang w:val="en-GB"/>
              </w:rPr>
              <w:tab/>
            </w:r>
            <w:r w:rsidRPr="00633FF0">
              <w:rPr>
                <w:bCs/>
                <w:lang w:val="en-GB"/>
              </w:rPr>
              <w:t>3</w:t>
            </w:r>
            <w:r w:rsidR="004768BB">
              <w:rPr>
                <w:bCs/>
                <w:lang w:val="en-GB"/>
              </w:rPr>
              <w:t>,</w:t>
            </w:r>
            <w:r w:rsidRPr="00633FF0">
              <w:rPr>
                <w:bCs/>
                <w:lang w:val="en-GB"/>
              </w:rPr>
              <w:t>542</w:t>
            </w:r>
            <w:r w:rsidR="006F43B4">
              <w:rPr>
                <w:bCs/>
                <w:lang w:val="en-GB"/>
              </w:rPr>
              <w:t>,</w:t>
            </w:r>
            <w:r w:rsidRPr="00633FF0">
              <w:rPr>
                <w:bCs/>
                <w:lang w:val="en-GB"/>
              </w:rPr>
              <w:t>948</w:t>
            </w:r>
          </w:p>
        </w:tc>
        <w:tc>
          <w:tcPr>
            <w:tcW w:w="1908" w:type="dxa"/>
            <w:noWrap/>
            <w:hideMark/>
          </w:tcPr>
          <w:p w14:paraId="0D1069B0" w14:textId="59F95256" w:rsidR="006D2379" w:rsidRPr="00633FF0" w:rsidRDefault="006D2379" w:rsidP="000E3DCC">
            <w:pPr>
              <w:pStyle w:val="ExhibitText"/>
              <w:tabs>
                <w:tab w:val="decimal" w:pos="986"/>
              </w:tabs>
              <w:jc w:val="right"/>
              <w:rPr>
                <w:bCs/>
                <w:lang w:val="en-GB"/>
              </w:rPr>
            </w:pPr>
            <w:r w:rsidRPr="00633FF0">
              <w:rPr>
                <w:bCs/>
                <w:lang w:val="en-GB"/>
              </w:rPr>
              <w:t>3</w:t>
            </w:r>
            <w:r w:rsidR="004768BB">
              <w:rPr>
                <w:bCs/>
                <w:lang w:val="en-GB"/>
              </w:rPr>
              <w:t>,</w:t>
            </w:r>
            <w:r w:rsidRPr="00633FF0">
              <w:rPr>
                <w:bCs/>
                <w:lang w:val="en-GB"/>
              </w:rPr>
              <w:t>095</w:t>
            </w:r>
            <w:r w:rsidR="006F43B4">
              <w:rPr>
                <w:bCs/>
                <w:lang w:val="en-GB"/>
              </w:rPr>
              <w:t>,</w:t>
            </w:r>
            <w:r w:rsidRPr="00633FF0">
              <w:rPr>
                <w:bCs/>
                <w:lang w:val="en-GB"/>
              </w:rPr>
              <w:t>409</w:t>
            </w:r>
          </w:p>
        </w:tc>
        <w:tc>
          <w:tcPr>
            <w:tcW w:w="1908" w:type="dxa"/>
            <w:noWrap/>
            <w:hideMark/>
          </w:tcPr>
          <w:p w14:paraId="7CE99C45" w14:textId="4CD88AC1" w:rsidR="006D2379" w:rsidRPr="00633FF0" w:rsidRDefault="006D2379" w:rsidP="000E3DCC">
            <w:pPr>
              <w:pStyle w:val="ExhibitText"/>
              <w:tabs>
                <w:tab w:val="decimal" w:pos="808"/>
              </w:tabs>
              <w:jc w:val="right"/>
              <w:rPr>
                <w:bCs/>
                <w:lang w:val="en-GB"/>
              </w:rPr>
            </w:pPr>
            <w:r w:rsidRPr="00633FF0">
              <w:rPr>
                <w:bCs/>
                <w:lang w:val="en-GB"/>
              </w:rPr>
              <w:t> 1</w:t>
            </w:r>
            <w:r w:rsidR="004768BB">
              <w:rPr>
                <w:bCs/>
                <w:lang w:val="en-GB"/>
              </w:rPr>
              <w:t>,</w:t>
            </w:r>
            <w:r w:rsidRPr="00633FF0">
              <w:rPr>
                <w:bCs/>
                <w:lang w:val="en-GB"/>
              </w:rPr>
              <w:t>812</w:t>
            </w:r>
            <w:r w:rsidR="006F43B4">
              <w:rPr>
                <w:bCs/>
                <w:lang w:val="en-GB"/>
              </w:rPr>
              <w:t>,</w:t>
            </w:r>
            <w:r w:rsidRPr="00633FF0">
              <w:rPr>
                <w:bCs/>
                <w:lang w:val="en-GB"/>
              </w:rPr>
              <w:t>237</w:t>
            </w:r>
          </w:p>
        </w:tc>
      </w:tr>
    </w:tbl>
    <w:p w14:paraId="51CEA0E0" w14:textId="77777777" w:rsidR="006D2379" w:rsidRPr="00633FF0" w:rsidRDefault="006D2379" w:rsidP="006D2379">
      <w:pPr>
        <w:pStyle w:val="ExhibitText"/>
        <w:rPr>
          <w:lang w:val="en-GB"/>
        </w:rPr>
      </w:pPr>
    </w:p>
    <w:p w14:paraId="57C8AE9C" w14:textId="5C79ED13" w:rsidR="00532643" w:rsidRPr="00633FF0" w:rsidRDefault="006D2379" w:rsidP="006D2379">
      <w:pPr>
        <w:pStyle w:val="Footnote"/>
        <w:rPr>
          <w:lang w:val="en-GB"/>
        </w:rPr>
      </w:pPr>
      <w:r w:rsidRPr="00633FF0">
        <w:rPr>
          <w:lang w:val="en-GB"/>
        </w:rPr>
        <w:t>Note:</w:t>
      </w:r>
      <w:r w:rsidR="00C60015">
        <w:rPr>
          <w:lang w:val="en-GB"/>
        </w:rPr>
        <w:t xml:space="preserve"> </w:t>
      </w:r>
      <w:r w:rsidRPr="00633FF0">
        <w:rPr>
          <w:lang w:val="en-GB"/>
        </w:rPr>
        <w:t>*</w:t>
      </w:r>
      <w:r w:rsidR="004768BB">
        <w:rPr>
          <w:lang w:val="en-GB"/>
        </w:rPr>
        <w:t>Due to</w:t>
      </w:r>
      <w:r w:rsidR="00532643" w:rsidRPr="00633FF0">
        <w:rPr>
          <w:lang w:val="en-GB"/>
        </w:rPr>
        <w:t xml:space="preserve"> an accounting change in 2016</w:t>
      </w:r>
      <w:r w:rsidR="004768BB">
        <w:rPr>
          <w:lang w:val="en-GB"/>
        </w:rPr>
        <w:t>,</w:t>
      </w:r>
      <w:r w:rsidR="00532643" w:rsidRPr="00633FF0">
        <w:rPr>
          <w:lang w:val="en-GB"/>
        </w:rPr>
        <w:t xml:space="preserve"> some numbers in 2015 and 2016 are not entirely comparable.</w:t>
      </w:r>
    </w:p>
    <w:p w14:paraId="48DF7DA0" w14:textId="37F9FE51" w:rsidR="00532643" w:rsidRPr="00633FF0" w:rsidRDefault="00532643" w:rsidP="006D2379">
      <w:pPr>
        <w:pStyle w:val="Footnote"/>
        <w:rPr>
          <w:sz w:val="18"/>
          <w:szCs w:val="18"/>
          <w:lang w:val="en-GB"/>
        </w:rPr>
      </w:pPr>
      <w:r w:rsidRPr="00633FF0">
        <w:rPr>
          <w:lang w:val="en-GB"/>
        </w:rPr>
        <w:t xml:space="preserve">Source: </w:t>
      </w:r>
      <w:r w:rsidR="00C60015" w:rsidRPr="00633FF0">
        <w:rPr>
          <w:lang w:val="en-GB"/>
        </w:rPr>
        <w:t>Co</w:t>
      </w:r>
      <w:r w:rsidR="00C60015">
        <w:rPr>
          <w:lang w:val="en-GB"/>
        </w:rPr>
        <w:t>mpany</w:t>
      </w:r>
      <w:r w:rsidR="00C60015" w:rsidRPr="00633FF0">
        <w:rPr>
          <w:lang w:val="en-GB"/>
        </w:rPr>
        <w:t xml:space="preserve"> </w:t>
      </w:r>
      <w:r w:rsidR="004768BB">
        <w:rPr>
          <w:lang w:val="en-GB"/>
        </w:rPr>
        <w:t>d</w:t>
      </w:r>
      <w:r w:rsidRPr="00633FF0">
        <w:rPr>
          <w:lang w:val="en-GB"/>
        </w:rPr>
        <w:t>ocuments</w:t>
      </w:r>
      <w:r w:rsidR="006D2379" w:rsidRPr="00633FF0">
        <w:rPr>
          <w:lang w:val="en-GB"/>
        </w:rPr>
        <w:t>.</w:t>
      </w:r>
      <w:r w:rsidRPr="00633FF0">
        <w:rPr>
          <w:sz w:val="18"/>
          <w:szCs w:val="18"/>
          <w:lang w:val="en-GB"/>
        </w:rPr>
        <w:br w:type="page"/>
      </w:r>
    </w:p>
    <w:p w14:paraId="6AC76223" w14:textId="77777777" w:rsidR="005D18AE" w:rsidRPr="00633FF0" w:rsidRDefault="005D18AE" w:rsidP="005D18AE">
      <w:pPr>
        <w:pStyle w:val="ExhibitHeading"/>
        <w:rPr>
          <w:lang w:val="en-GB"/>
        </w:rPr>
      </w:pPr>
      <w:r w:rsidRPr="00633FF0">
        <w:rPr>
          <w:lang w:val="en-GB"/>
        </w:rPr>
        <w:lastRenderedPageBreak/>
        <w:t xml:space="preserve">EXHIBIT </w:t>
      </w:r>
      <w:r>
        <w:rPr>
          <w:lang w:val="en-GB"/>
        </w:rPr>
        <w:t>3</w:t>
      </w:r>
      <w:r w:rsidRPr="00633FF0">
        <w:rPr>
          <w:lang w:val="en-GB"/>
        </w:rPr>
        <w:t>: EXTRACT FROM FAMILY CONSTITUTION</w:t>
      </w:r>
    </w:p>
    <w:p w14:paraId="7E0CDB03" w14:textId="77777777" w:rsidR="005D18AE" w:rsidRPr="00633FF0" w:rsidRDefault="005D18AE" w:rsidP="005D18AE">
      <w:pPr>
        <w:pStyle w:val="ExhibitText"/>
        <w:rPr>
          <w:sz w:val="12"/>
          <w:szCs w:val="12"/>
          <w:lang w:val="en-GB"/>
        </w:rPr>
      </w:pPr>
    </w:p>
    <w:p w14:paraId="4E3AFD7F" w14:textId="77777777" w:rsidR="005D18AE" w:rsidRPr="00633FF0" w:rsidRDefault="005D18AE" w:rsidP="005D18AE">
      <w:pPr>
        <w:pStyle w:val="Casehead1"/>
        <w:rPr>
          <w:lang w:val="en-GB"/>
        </w:rPr>
      </w:pPr>
      <w:r w:rsidRPr="00633FF0">
        <w:rPr>
          <w:lang w:val="en-GB"/>
        </w:rPr>
        <w:t>1. VALUES IN THE FAMILY AND IN THE COMPANY</w:t>
      </w:r>
    </w:p>
    <w:p w14:paraId="481BD145" w14:textId="77777777" w:rsidR="005D18AE" w:rsidRPr="00633FF0" w:rsidRDefault="005D18AE" w:rsidP="005D18AE">
      <w:pPr>
        <w:pStyle w:val="BodyTextMain"/>
        <w:rPr>
          <w:rFonts w:ascii="Arial" w:hAnsi="Arial" w:cs="Arial"/>
          <w:sz w:val="12"/>
          <w:szCs w:val="12"/>
          <w:lang w:val="en-GB"/>
        </w:rPr>
      </w:pPr>
    </w:p>
    <w:p w14:paraId="6E381FA0"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 xml:space="preserve">As individuals and as a family we have many values we use in our daily lives. We have inherited rules of life from previous generations and we want </w:t>
      </w:r>
      <w:r>
        <w:rPr>
          <w:rFonts w:ascii="Arial" w:hAnsi="Arial" w:cs="Arial"/>
          <w:sz w:val="20"/>
          <w:szCs w:val="20"/>
          <w:lang w:val="en-GB"/>
        </w:rPr>
        <w:t xml:space="preserve">to </w:t>
      </w:r>
      <w:r w:rsidRPr="00633FF0">
        <w:rPr>
          <w:rFonts w:ascii="Arial" w:hAnsi="Arial" w:cs="Arial"/>
          <w:sz w:val="20"/>
          <w:szCs w:val="20"/>
          <w:lang w:val="en-GB"/>
        </w:rPr>
        <w:t xml:space="preserve">live them and pass them on to future generations. As such, the following </w:t>
      </w:r>
      <w:r>
        <w:rPr>
          <w:rFonts w:ascii="Arial" w:hAnsi="Arial" w:cs="Arial"/>
          <w:sz w:val="20"/>
          <w:szCs w:val="20"/>
          <w:lang w:val="en-GB"/>
        </w:rPr>
        <w:t>“</w:t>
      </w:r>
      <w:r w:rsidRPr="00633FF0">
        <w:rPr>
          <w:rFonts w:ascii="Arial" w:hAnsi="Arial" w:cs="Arial"/>
          <w:sz w:val="20"/>
          <w:szCs w:val="20"/>
          <w:lang w:val="en-GB"/>
        </w:rPr>
        <w:t>values</w:t>
      </w:r>
      <w:r>
        <w:rPr>
          <w:rFonts w:ascii="Arial" w:hAnsi="Arial" w:cs="Arial"/>
          <w:sz w:val="20"/>
          <w:szCs w:val="20"/>
          <w:lang w:val="en-GB"/>
        </w:rPr>
        <w:t>”</w:t>
      </w:r>
      <w:r w:rsidRPr="00633FF0">
        <w:rPr>
          <w:rFonts w:ascii="Arial" w:hAnsi="Arial" w:cs="Arial"/>
          <w:sz w:val="20"/>
          <w:szCs w:val="20"/>
          <w:lang w:val="en-GB"/>
        </w:rPr>
        <w:t xml:space="preserve"> guide us in the daily conduct of our business:</w:t>
      </w:r>
    </w:p>
    <w:p w14:paraId="7A223BFA" w14:textId="77777777" w:rsidR="005D18AE" w:rsidRPr="00633FF0" w:rsidRDefault="005D18AE" w:rsidP="005D18AE">
      <w:pPr>
        <w:pStyle w:val="BodyTextMain"/>
        <w:rPr>
          <w:rFonts w:ascii="Arial" w:hAnsi="Arial" w:cs="Arial"/>
          <w:sz w:val="12"/>
          <w:szCs w:val="12"/>
          <w:lang w:val="en-GB"/>
        </w:rPr>
      </w:pPr>
    </w:p>
    <w:p w14:paraId="0E63D398"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Responsibility</w:t>
      </w:r>
    </w:p>
    <w:p w14:paraId="26B925BE" w14:textId="77777777" w:rsidR="005D18AE" w:rsidRPr="00633FF0" w:rsidRDefault="005D18AE" w:rsidP="005D18AE">
      <w:pPr>
        <w:pStyle w:val="BodyTextMain"/>
        <w:rPr>
          <w:rFonts w:ascii="Arial" w:hAnsi="Arial" w:cs="Arial"/>
          <w:sz w:val="12"/>
          <w:szCs w:val="12"/>
          <w:lang w:val="en-GB"/>
        </w:rPr>
      </w:pPr>
    </w:p>
    <w:p w14:paraId="27E9B45B"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This concerns our responsibility towards the company, the responsibility of the company towards us as well as responsibility towards society in general.</w:t>
      </w:r>
    </w:p>
    <w:p w14:paraId="4BB8C1BA" w14:textId="77777777" w:rsidR="005D18AE" w:rsidRPr="00633FF0" w:rsidRDefault="005D18AE" w:rsidP="005D18AE">
      <w:pPr>
        <w:pStyle w:val="BodyTextMain"/>
        <w:rPr>
          <w:rFonts w:ascii="Arial" w:hAnsi="Arial" w:cs="Arial"/>
          <w:sz w:val="12"/>
          <w:szCs w:val="12"/>
          <w:lang w:val="en-GB"/>
        </w:rPr>
      </w:pPr>
    </w:p>
    <w:p w14:paraId="09ECDF08"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Passion and fun</w:t>
      </w:r>
    </w:p>
    <w:p w14:paraId="5F34DCF1" w14:textId="77777777" w:rsidR="005D18AE" w:rsidRPr="00633FF0" w:rsidRDefault="005D18AE" w:rsidP="005D18AE">
      <w:pPr>
        <w:pStyle w:val="BodyTextMain"/>
        <w:rPr>
          <w:rFonts w:ascii="Arial" w:hAnsi="Arial" w:cs="Arial"/>
          <w:sz w:val="12"/>
          <w:szCs w:val="12"/>
          <w:lang w:val="en-GB"/>
        </w:rPr>
      </w:pPr>
    </w:p>
    <w:p w14:paraId="0A0CFBBF"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Respect and Tolerance</w:t>
      </w:r>
    </w:p>
    <w:p w14:paraId="2F227AF8" w14:textId="77777777" w:rsidR="005D18AE" w:rsidRPr="00633FF0" w:rsidRDefault="005D18AE" w:rsidP="005D18AE">
      <w:pPr>
        <w:pStyle w:val="BodyTextMain"/>
        <w:rPr>
          <w:rFonts w:ascii="Arial" w:hAnsi="Arial" w:cs="Arial"/>
          <w:sz w:val="12"/>
          <w:szCs w:val="12"/>
          <w:lang w:val="en-GB"/>
        </w:rPr>
      </w:pPr>
    </w:p>
    <w:p w14:paraId="58D458DB"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For each other</w:t>
      </w:r>
      <w:r>
        <w:rPr>
          <w:rFonts w:ascii="Arial" w:hAnsi="Arial" w:cs="Arial"/>
          <w:sz w:val="20"/>
          <w:szCs w:val="20"/>
          <w:lang w:val="en-GB"/>
        </w:rPr>
        <w:t>’</w:t>
      </w:r>
      <w:r w:rsidRPr="00633FF0">
        <w:rPr>
          <w:rFonts w:ascii="Arial" w:hAnsi="Arial" w:cs="Arial"/>
          <w:sz w:val="20"/>
          <w:szCs w:val="20"/>
          <w:lang w:val="en-GB"/>
        </w:rPr>
        <w:t>s differences in character as well as culture.</w:t>
      </w:r>
    </w:p>
    <w:p w14:paraId="65619E73" w14:textId="77777777" w:rsidR="005D18AE" w:rsidRPr="00633FF0" w:rsidRDefault="005D18AE" w:rsidP="005D18AE">
      <w:pPr>
        <w:pStyle w:val="BodyTextMain"/>
        <w:rPr>
          <w:rFonts w:ascii="Arial" w:hAnsi="Arial" w:cs="Arial"/>
          <w:sz w:val="12"/>
          <w:szCs w:val="12"/>
          <w:lang w:val="en-GB"/>
        </w:rPr>
      </w:pPr>
    </w:p>
    <w:p w14:paraId="6D089A42"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Integrity and Reliability</w:t>
      </w:r>
    </w:p>
    <w:p w14:paraId="7E12D92C" w14:textId="77777777" w:rsidR="005D18AE" w:rsidRPr="00633FF0" w:rsidRDefault="005D18AE" w:rsidP="005D18AE">
      <w:pPr>
        <w:pStyle w:val="BodyTextMain"/>
        <w:rPr>
          <w:rFonts w:ascii="Arial" w:hAnsi="Arial" w:cs="Arial"/>
          <w:sz w:val="12"/>
          <w:szCs w:val="12"/>
          <w:lang w:val="en-GB"/>
        </w:rPr>
      </w:pPr>
    </w:p>
    <w:p w14:paraId="34226F49"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 xml:space="preserve">This includes both acting honestly and keeping appointments. </w:t>
      </w:r>
    </w:p>
    <w:p w14:paraId="28141891" w14:textId="77777777" w:rsidR="005D18AE" w:rsidRPr="00633FF0" w:rsidRDefault="005D18AE" w:rsidP="005D18AE">
      <w:pPr>
        <w:pStyle w:val="BodyTextMain"/>
        <w:rPr>
          <w:rFonts w:ascii="Arial" w:hAnsi="Arial" w:cs="Arial"/>
          <w:sz w:val="12"/>
          <w:szCs w:val="12"/>
          <w:lang w:val="en-GB"/>
        </w:rPr>
      </w:pPr>
    </w:p>
    <w:p w14:paraId="25FF2C5F"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Creativity and Entrepreneurship</w:t>
      </w:r>
    </w:p>
    <w:p w14:paraId="49560D1B" w14:textId="77777777" w:rsidR="005D18AE" w:rsidRPr="00633FF0" w:rsidRDefault="005D18AE" w:rsidP="005D18AE">
      <w:pPr>
        <w:pStyle w:val="BodyTextMain"/>
        <w:rPr>
          <w:rFonts w:ascii="Arial" w:hAnsi="Arial" w:cs="Arial"/>
          <w:sz w:val="12"/>
          <w:szCs w:val="12"/>
          <w:lang w:val="en-GB"/>
        </w:rPr>
      </w:pPr>
    </w:p>
    <w:p w14:paraId="0541A16D"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Ambition to grow both personally and as a company.</w:t>
      </w:r>
    </w:p>
    <w:p w14:paraId="41DA7331" w14:textId="77777777" w:rsidR="005D18AE" w:rsidRPr="00633FF0" w:rsidRDefault="005D18AE" w:rsidP="005D18AE">
      <w:pPr>
        <w:pStyle w:val="BodyTextMain"/>
        <w:rPr>
          <w:rFonts w:ascii="Arial" w:hAnsi="Arial" w:cs="Arial"/>
          <w:sz w:val="12"/>
          <w:szCs w:val="12"/>
          <w:lang w:val="en-GB"/>
        </w:rPr>
      </w:pPr>
    </w:p>
    <w:p w14:paraId="7481F929"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Prudence and Thoughtfulness</w:t>
      </w:r>
    </w:p>
    <w:p w14:paraId="39409C58" w14:textId="77777777" w:rsidR="005D18AE" w:rsidRPr="00633FF0" w:rsidRDefault="005D18AE" w:rsidP="005D18AE">
      <w:pPr>
        <w:pStyle w:val="BodyTextMain"/>
        <w:rPr>
          <w:rFonts w:ascii="Arial" w:hAnsi="Arial" w:cs="Arial"/>
          <w:sz w:val="12"/>
          <w:szCs w:val="12"/>
          <w:lang w:val="en-GB"/>
        </w:rPr>
      </w:pPr>
    </w:p>
    <w:p w14:paraId="7EBABEF2"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 xml:space="preserve">To ensure that no unreasonable risks are taken and that continuity is not compromised. </w:t>
      </w:r>
    </w:p>
    <w:p w14:paraId="5D3C4818" w14:textId="77777777" w:rsidR="005D18AE" w:rsidRPr="00633FF0" w:rsidRDefault="005D18AE" w:rsidP="005D18AE">
      <w:pPr>
        <w:pStyle w:val="BodyTextMain"/>
        <w:rPr>
          <w:rFonts w:ascii="Arial" w:hAnsi="Arial" w:cs="Arial"/>
          <w:sz w:val="12"/>
          <w:szCs w:val="12"/>
          <w:lang w:val="en-GB"/>
        </w:rPr>
      </w:pPr>
    </w:p>
    <w:p w14:paraId="6CA6960F" w14:textId="77777777" w:rsidR="005D18AE" w:rsidRPr="00633FF0" w:rsidRDefault="005D18AE" w:rsidP="005D18AE">
      <w:pPr>
        <w:pStyle w:val="Casehead1"/>
        <w:rPr>
          <w:sz w:val="12"/>
          <w:szCs w:val="12"/>
          <w:lang w:val="en-GB"/>
        </w:rPr>
      </w:pPr>
    </w:p>
    <w:p w14:paraId="4DD7B961" w14:textId="77777777" w:rsidR="005D18AE" w:rsidRPr="00633FF0" w:rsidRDefault="005D18AE" w:rsidP="005D18AE">
      <w:pPr>
        <w:pStyle w:val="Casehead1"/>
        <w:rPr>
          <w:lang w:val="en-GB"/>
        </w:rPr>
      </w:pPr>
      <w:r w:rsidRPr="00633FF0">
        <w:rPr>
          <w:lang w:val="en-GB"/>
        </w:rPr>
        <w:t>2. OBJECTIVES FOR OUR COMPANY</w:t>
      </w:r>
    </w:p>
    <w:p w14:paraId="67EFA8DC" w14:textId="77777777" w:rsidR="005D18AE" w:rsidRPr="00633FF0" w:rsidRDefault="005D18AE" w:rsidP="005D18AE">
      <w:pPr>
        <w:pStyle w:val="BodyTextMain"/>
        <w:rPr>
          <w:rFonts w:ascii="Arial" w:hAnsi="Arial" w:cs="Arial"/>
          <w:sz w:val="12"/>
          <w:szCs w:val="12"/>
          <w:lang w:val="en-GB"/>
        </w:rPr>
      </w:pPr>
    </w:p>
    <w:p w14:paraId="702DEBF7"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 xml:space="preserve">Out of respect for and pride in previous generations and their efforts, we want to manage our company as </w:t>
      </w:r>
      <w:r>
        <w:rPr>
          <w:rFonts w:ascii="Arial" w:hAnsi="Arial" w:cs="Arial"/>
          <w:sz w:val="20"/>
          <w:szCs w:val="20"/>
          <w:lang w:val="en-GB"/>
        </w:rPr>
        <w:t>“</w:t>
      </w:r>
      <w:r w:rsidRPr="00633FF0">
        <w:rPr>
          <w:rFonts w:ascii="Arial" w:hAnsi="Arial" w:cs="Arial"/>
          <w:sz w:val="20"/>
          <w:szCs w:val="20"/>
          <w:lang w:val="en-GB"/>
        </w:rPr>
        <w:t>good stewards.</w:t>
      </w:r>
      <w:r>
        <w:rPr>
          <w:rFonts w:ascii="Arial" w:hAnsi="Arial" w:cs="Arial"/>
          <w:sz w:val="20"/>
          <w:szCs w:val="20"/>
          <w:lang w:val="en-GB"/>
        </w:rPr>
        <w:t>”</w:t>
      </w:r>
      <w:r w:rsidRPr="00633FF0">
        <w:rPr>
          <w:rFonts w:ascii="Arial" w:hAnsi="Arial" w:cs="Arial"/>
          <w:sz w:val="20"/>
          <w:szCs w:val="20"/>
          <w:lang w:val="en-GB"/>
        </w:rPr>
        <w:t xml:space="preserve"> We want to maintain, develop and transfer the company to future generations.</w:t>
      </w:r>
    </w:p>
    <w:p w14:paraId="2CC26016" w14:textId="77777777" w:rsidR="005D18AE" w:rsidRPr="00633FF0" w:rsidRDefault="005D18AE" w:rsidP="005D18AE">
      <w:pPr>
        <w:pStyle w:val="BodyTextMain"/>
        <w:rPr>
          <w:rFonts w:ascii="Arial" w:hAnsi="Arial" w:cs="Arial"/>
          <w:sz w:val="12"/>
          <w:szCs w:val="12"/>
          <w:lang w:val="en-GB"/>
        </w:rPr>
      </w:pPr>
    </w:p>
    <w:p w14:paraId="37ED017C"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It is our aim that our company remains independent as long as that is possible within the continuity thought. The family does not need to have a 100% of the shares, the family always wants to retain control. As a family we want to continue to determine the direction.</w:t>
      </w:r>
    </w:p>
    <w:p w14:paraId="1A5ED58E" w14:textId="77777777" w:rsidR="005D18AE" w:rsidRPr="00633FF0" w:rsidRDefault="005D18AE" w:rsidP="005D18AE">
      <w:pPr>
        <w:pStyle w:val="BodyTextMain"/>
        <w:rPr>
          <w:rFonts w:ascii="Arial" w:hAnsi="Arial" w:cs="Arial"/>
          <w:sz w:val="12"/>
          <w:szCs w:val="12"/>
          <w:lang w:val="en-GB"/>
        </w:rPr>
      </w:pPr>
    </w:p>
    <w:p w14:paraId="43336474" w14:textId="77777777" w:rsidR="005D18AE" w:rsidRPr="00633FF0" w:rsidRDefault="005D18AE" w:rsidP="005D18AE">
      <w:pPr>
        <w:pStyle w:val="Casehead1"/>
        <w:rPr>
          <w:lang w:val="en-GB"/>
        </w:rPr>
      </w:pPr>
      <w:r w:rsidRPr="00633FF0">
        <w:rPr>
          <w:lang w:val="en-GB"/>
        </w:rPr>
        <w:t xml:space="preserve">3. IMPORTANT PRINCIPLES OF CONTROL </w:t>
      </w:r>
    </w:p>
    <w:p w14:paraId="25A19500" w14:textId="77777777" w:rsidR="005D18AE" w:rsidRPr="00633FF0" w:rsidRDefault="005D18AE" w:rsidP="005D18AE">
      <w:pPr>
        <w:pStyle w:val="BodyTextMain"/>
        <w:rPr>
          <w:rFonts w:ascii="Arial" w:hAnsi="Arial" w:cs="Arial"/>
          <w:sz w:val="12"/>
          <w:szCs w:val="12"/>
          <w:lang w:val="en-GB"/>
        </w:rPr>
      </w:pPr>
    </w:p>
    <w:p w14:paraId="42DDF931" w14:textId="77777777" w:rsidR="005D18AE" w:rsidRPr="00633FF0" w:rsidRDefault="005D18AE" w:rsidP="005D18AE">
      <w:pPr>
        <w:pStyle w:val="Casehead2"/>
        <w:rPr>
          <w:lang w:val="en-GB"/>
        </w:rPr>
      </w:pPr>
      <w:r w:rsidRPr="00633FF0">
        <w:rPr>
          <w:lang w:val="en-GB"/>
        </w:rPr>
        <w:t>3.1. Respect and dialogue in our governance</w:t>
      </w:r>
    </w:p>
    <w:p w14:paraId="58AD9E9F" w14:textId="77777777" w:rsidR="005D18AE" w:rsidRPr="00633FF0" w:rsidRDefault="005D18AE" w:rsidP="005D18AE">
      <w:pPr>
        <w:pStyle w:val="Casehead2"/>
        <w:rPr>
          <w:sz w:val="12"/>
          <w:szCs w:val="12"/>
          <w:lang w:val="en-GB"/>
        </w:rPr>
      </w:pPr>
    </w:p>
    <w:p w14:paraId="17AB2117"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 xml:space="preserve">We have set up the governance of our company anticipating the development of our family and our company. As a family we have an important role in the governance of our company, for example, by monitoring and living our values. </w:t>
      </w:r>
    </w:p>
    <w:p w14:paraId="1B213557" w14:textId="77777777" w:rsidR="005D18AE" w:rsidRPr="00633FF0" w:rsidRDefault="005D18AE" w:rsidP="005D18AE">
      <w:pPr>
        <w:pStyle w:val="BodyTextMain"/>
        <w:rPr>
          <w:rFonts w:ascii="Arial" w:hAnsi="Arial" w:cs="Arial"/>
          <w:sz w:val="12"/>
          <w:szCs w:val="12"/>
          <w:lang w:val="en-GB"/>
        </w:rPr>
      </w:pPr>
    </w:p>
    <w:p w14:paraId="6408171B"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We respect each other</w:t>
      </w:r>
      <w:r>
        <w:rPr>
          <w:rFonts w:ascii="Arial" w:hAnsi="Arial" w:cs="Arial"/>
          <w:sz w:val="20"/>
          <w:szCs w:val="20"/>
          <w:lang w:val="en-GB"/>
        </w:rPr>
        <w:t>’</w:t>
      </w:r>
      <w:r w:rsidRPr="00633FF0">
        <w:rPr>
          <w:rFonts w:ascii="Arial" w:hAnsi="Arial" w:cs="Arial"/>
          <w:sz w:val="20"/>
          <w:szCs w:val="20"/>
          <w:lang w:val="en-GB"/>
        </w:rPr>
        <w:t>s roles. Dialogue is essential for good control on the basis of this model.</w:t>
      </w:r>
    </w:p>
    <w:p w14:paraId="256B521C" w14:textId="77777777" w:rsidR="005D18AE" w:rsidRPr="00633FF0" w:rsidRDefault="005D18AE" w:rsidP="005D18AE">
      <w:pPr>
        <w:pStyle w:val="BodyTextMain"/>
        <w:rPr>
          <w:rFonts w:ascii="Arial" w:hAnsi="Arial" w:cs="Arial"/>
          <w:sz w:val="12"/>
          <w:szCs w:val="12"/>
          <w:lang w:val="en-GB"/>
        </w:rPr>
      </w:pPr>
    </w:p>
    <w:p w14:paraId="2139B3D9" w14:textId="77777777" w:rsidR="005D18AE" w:rsidRPr="00633FF0" w:rsidRDefault="005D18AE" w:rsidP="005D18AE">
      <w:pPr>
        <w:pStyle w:val="Casehead2"/>
        <w:rPr>
          <w:lang w:val="en-GB"/>
        </w:rPr>
      </w:pPr>
      <w:r w:rsidRPr="00633FF0">
        <w:rPr>
          <w:lang w:val="en-GB"/>
        </w:rPr>
        <w:t>3.2 Balance between family and business</w:t>
      </w:r>
    </w:p>
    <w:p w14:paraId="3DB53DBC"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 xml:space="preserve">The welfare of our families and harmony in our family, we find very important. Nevertheless, we will not make decisions that go against the interests of the company. </w:t>
      </w:r>
    </w:p>
    <w:p w14:paraId="6D0E2E16" w14:textId="77777777" w:rsidR="005D18AE" w:rsidRPr="00633FF0" w:rsidRDefault="005D18AE" w:rsidP="005D18AE">
      <w:pPr>
        <w:pStyle w:val="BodyTextMain"/>
        <w:rPr>
          <w:rFonts w:ascii="Arial" w:hAnsi="Arial" w:cs="Arial"/>
          <w:sz w:val="12"/>
          <w:szCs w:val="12"/>
          <w:lang w:val="en-GB"/>
        </w:rPr>
      </w:pPr>
    </w:p>
    <w:p w14:paraId="540AE532" w14:textId="77777777" w:rsidR="005D18AE" w:rsidRPr="00633FF0" w:rsidRDefault="005D18AE" w:rsidP="005D18AE">
      <w:pPr>
        <w:pStyle w:val="BodyTextMain"/>
        <w:rPr>
          <w:rFonts w:ascii="Arial" w:hAnsi="Arial" w:cs="Arial"/>
          <w:sz w:val="20"/>
          <w:szCs w:val="20"/>
          <w:lang w:val="en-GB"/>
        </w:rPr>
      </w:pPr>
      <w:r w:rsidRPr="00633FF0">
        <w:rPr>
          <w:rFonts w:ascii="Arial" w:hAnsi="Arial" w:cs="Arial"/>
          <w:sz w:val="20"/>
          <w:szCs w:val="20"/>
          <w:lang w:val="en-GB"/>
        </w:rPr>
        <w:t xml:space="preserve">Given the scale and required professionalism in our company, our company needs external directors. </w:t>
      </w:r>
    </w:p>
    <w:p w14:paraId="41079BE3" w14:textId="77777777" w:rsidR="005D18AE" w:rsidRPr="00633FF0" w:rsidRDefault="005D18AE" w:rsidP="005D18AE">
      <w:pPr>
        <w:pStyle w:val="BodyTextMain"/>
        <w:rPr>
          <w:rFonts w:ascii="Arial" w:hAnsi="Arial" w:cs="Arial"/>
          <w:sz w:val="12"/>
          <w:szCs w:val="12"/>
          <w:lang w:val="en-GB"/>
        </w:rPr>
      </w:pPr>
    </w:p>
    <w:p w14:paraId="5BF41C72" w14:textId="77777777" w:rsidR="005D18AE" w:rsidRPr="00633FF0" w:rsidRDefault="005D18AE" w:rsidP="005D18AE">
      <w:pPr>
        <w:pStyle w:val="Casehead2"/>
        <w:rPr>
          <w:lang w:val="en-GB"/>
        </w:rPr>
      </w:pPr>
      <w:r w:rsidRPr="00633FF0">
        <w:rPr>
          <w:lang w:val="en-GB"/>
        </w:rPr>
        <w:t>3.3 Balance between entrepreneurship and continuity/preservation of heritage</w:t>
      </w:r>
    </w:p>
    <w:p w14:paraId="3EF4181B" w14:textId="77777777" w:rsidR="005D18AE" w:rsidRPr="00633FF0" w:rsidRDefault="005D18AE" w:rsidP="005D18AE">
      <w:pPr>
        <w:pStyle w:val="BodyTextMain"/>
        <w:rPr>
          <w:rFonts w:ascii="Arial" w:hAnsi="Arial" w:cs="Arial"/>
          <w:sz w:val="12"/>
          <w:szCs w:val="12"/>
          <w:lang w:val="en-GB"/>
        </w:rPr>
      </w:pPr>
    </w:p>
    <w:p w14:paraId="354DA3B8" w14:textId="77777777" w:rsidR="005D18AE" w:rsidRDefault="005D18AE" w:rsidP="005D18AE">
      <w:pPr>
        <w:pStyle w:val="BodyTextMain"/>
        <w:rPr>
          <w:rFonts w:ascii="Arial" w:hAnsi="Arial" w:cs="Arial"/>
          <w:sz w:val="20"/>
          <w:szCs w:val="20"/>
          <w:lang w:val="en-GB"/>
        </w:rPr>
      </w:pPr>
      <w:r w:rsidRPr="00633FF0">
        <w:rPr>
          <w:rFonts w:ascii="Arial" w:hAnsi="Arial" w:cs="Arial"/>
          <w:sz w:val="20"/>
          <w:szCs w:val="20"/>
          <w:lang w:val="en-GB"/>
        </w:rPr>
        <w:t>To be able to transfer our business to future generations, we balance entrepreneurship with a responsible approach to risk. We see it as a strength that some of us are very entrepreneurial while others pay more attention to the risks.</w:t>
      </w:r>
    </w:p>
    <w:p w14:paraId="7E8E907F" w14:textId="77777777" w:rsidR="005D18AE" w:rsidRDefault="005D18AE" w:rsidP="005D18AE">
      <w:pPr>
        <w:pStyle w:val="BodyTextMain"/>
        <w:rPr>
          <w:rFonts w:ascii="Arial" w:hAnsi="Arial" w:cs="Arial"/>
          <w:sz w:val="20"/>
          <w:szCs w:val="20"/>
          <w:lang w:val="en-GB"/>
        </w:rPr>
      </w:pPr>
    </w:p>
    <w:p w14:paraId="7367F266" w14:textId="5B5E3DE7" w:rsidR="006D2379" w:rsidRPr="00633FF0" w:rsidRDefault="005D18AE" w:rsidP="005D18AE">
      <w:pPr>
        <w:pStyle w:val="Footnote"/>
        <w:rPr>
          <w:lang w:val="en-GB"/>
        </w:rPr>
      </w:pPr>
      <w:r>
        <w:rPr>
          <w:lang w:val="en-GB"/>
        </w:rPr>
        <w:t xml:space="preserve">Source: </w:t>
      </w:r>
      <w:r w:rsidR="0090010C">
        <w:rPr>
          <w:lang w:val="en-GB"/>
        </w:rPr>
        <w:t>Company</w:t>
      </w:r>
      <w:r>
        <w:rPr>
          <w:lang w:val="en-GB"/>
        </w:rPr>
        <w:t xml:space="preserve"> documents.</w:t>
      </w:r>
      <w:r w:rsidR="006D2379" w:rsidRPr="00633FF0">
        <w:rPr>
          <w:lang w:val="en-GB"/>
        </w:rPr>
        <w:br w:type="page"/>
      </w:r>
    </w:p>
    <w:p w14:paraId="75CB2F35" w14:textId="77777777" w:rsidR="00532643" w:rsidRPr="00633FF0" w:rsidRDefault="00532643" w:rsidP="006D2379">
      <w:pPr>
        <w:pStyle w:val="ExhibitHeading"/>
        <w:rPr>
          <w:lang w:val="en-GB"/>
        </w:rPr>
      </w:pPr>
      <w:r w:rsidRPr="00633FF0">
        <w:rPr>
          <w:lang w:val="en-GB"/>
        </w:rPr>
        <w:lastRenderedPageBreak/>
        <w:t>EXHIBIT 4: Family formula to establish the value of the shares</w:t>
      </w:r>
    </w:p>
    <w:p w14:paraId="0EDF03B6" w14:textId="77777777" w:rsidR="00532643" w:rsidRPr="00633FF0" w:rsidRDefault="00532643" w:rsidP="006D2379">
      <w:pPr>
        <w:pStyle w:val="ExhibitText"/>
        <w:rPr>
          <w:lang w:val="en-GB"/>
        </w:rPr>
      </w:pPr>
    </w:p>
    <w:p w14:paraId="1C9E0F8C" w14:textId="4FDB6A99" w:rsidR="00532643" w:rsidRPr="00633FF0" w:rsidRDefault="00532643" w:rsidP="00532643">
      <w:pPr>
        <w:pStyle w:val="BodyTextMain"/>
        <w:ind w:firstLine="720"/>
        <w:rPr>
          <w:rFonts w:ascii="Arial" w:hAnsi="Arial" w:cs="Arial"/>
          <w:sz w:val="20"/>
          <w:szCs w:val="20"/>
          <w:lang w:val="en-GB"/>
        </w:rPr>
      </w:pPr>
      <w:r w:rsidRPr="00633FF0">
        <w:rPr>
          <w:rFonts w:ascii="Arial" w:hAnsi="Arial" w:cs="Arial"/>
          <w:sz w:val="20"/>
          <w:szCs w:val="20"/>
          <w:lang w:val="en-GB"/>
        </w:rPr>
        <w:t xml:space="preserve">Share </w:t>
      </w:r>
      <w:r w:rsidR="008A68FD">
        <w:rPr>
          <w:rFonts w:ascii="Arial" w:hAnsi="Arial" w:cs="Arial"/>
          <w:sz w:val="20"/>
          <w:szCs w:val="20"/>
          <w:lang w:val="en-GB"/>
        </w:rPr>
        <w:t>V</w:t>
      </w:r>
      <w:r w:rsidRPr="00633FF0">
        <w:rPr>
          <w:rFonts w:ascii="Arial" w:hAnsi="Arial" w:cs="Arial"/>
          <w:sz w:val="20"/>
          <w:szCs w:val="20"/>
          <w:lang w:val="en-GB"/>
        </w:rPr>
        <w:t xml:space="preserve">alue = Intrinsic </w:t>
      </w:r>
      <w:r w:rsidR="008A68FD">
        <w:rPr>
          <w:rFonts w:ascii="Arial" w:hAnsi="Arial" w:cs="Arial"/>
          <w:sz w:val="20"/>
          <w:szCs w:val="20"/>
          <w:lang w:val="en-GB"/>
        </w:rPr>
        <w:t>V</w:t>
      </w:r>
      <w:r w:rsidRPr="00633FF0">
        <w:rPr>
          <w:rFonts w:ascii="Arial" w:hAnsi="Arial" w:cs="Arial"/>
          <w:sz w:val="20"/>
          <w:szCs w:val="20"/>
          <w:lang w:val="en-GB"/>
        </w:rPr>
        <w:t xml:space="preserve">alue </w:t>
      </w:r>
      <w:r w:rsidR="008A68FD">
        <w:rPr>
          <w:rFonts w:ascii="Arial" w:hAnsi="Arial" w:cs="Arial"/>
          <w:sz w:val="20"/>
          <w:szCs w:val="20"/>
          <w:lang w:val="en-GB"/>
        </w:rPr>
        <w:t>×</w:t>
      </w:r>
      <w:r w:rsidRPr="00633FF0">
        <w:rPr>
          <w:rFonts w:ascii="Arial" w:hAnsi="Arial" w:cs="Arial"/>
          <w:sz w:val="20"/>
          <w:szCs w:val="20"/>
          <w:lang w:val="en-GB"/>
        </w:rPr>
        <w:t xml:space="preserve"> Multiplier</w:t>
      </w:r>
      <w:r w:rsidR="008A68FD">
        <w:rPr>
          <w:rFonts w:ascii="Arial" w:hAnsi="Arial" w:cs="Arial"/>
          <w:sz w:val="20"/>
          <w:szCs w:val="20"/>
          <w:lang w:val="en-GB"/>
        </w:rPr>
        <w:t>,</w:t>
      </w:r>
      <w:r w:rsidRPr="00633FF0">
        <w:rPr>
          <w:rFonts w:ascii="Arial" w:hAnsi="Arial" w:cs="Arial"/>
          <w:sz w:val="20"/>
          <w:szCs w:val="20"/>
          <w:lang w:val="en-GB"/>
        </w:rPr>
        <w:t xml:space="preserve"> where the Multiplier</w:t>
      </w:r>
      <w:r w:rsidR="008A68FD">
        <w:rPr>
          <w:rFonts w:ascii="Arial" w:hAnsi="Arial" w:cs="Arial"/>
          <w:sz w:val="20"/>
          <w:szCs w:val="20"/>
          <w:lang w:val="en-GB"/>
        </w:rPr>
        <w:t xml:space="preserve"> </w:t>
      </w:r>
      <w:r w:rsidRPr="00633FF0">
        <w:rPr>
          <w:rFonts w:ascii="Arial" w:hAnsi="Arial" w:cs="Arial"/>
          <w:sz w:val="20"/>
          <w:szCs w:val="20"/>
          <w:lang w:val="en-GB"/>
        </w:rPr>
        <w:t>= (1</w:t>
      </w:r>
      <w:r w:rsidR="008A68FD">
        <w:rPr>
          <w:rFonts w:ascii="Arial" w:hAnsi="Arial" w:cs="Arial"/>
          <w:sz w:val="20"/>
          <w:szCs w:val="20"/>
          <w:lang w:val="en-GB"/>
        </w:rPr>
        <w:t xml:space="preserve"> </w:t>
      </w:r>
      <w:r w:rsidRPr="00633FF0">
        <w:rPr>
          <w:rFonts w:ascii="Arial" w:hAnsi="Arial" w:cs="Arial"/>
          <w:sz w:val="20"/>
          <w:szCs w:val="20"/>
          <w:lang w:val="en-GB"/>
        </w:rPr>
        <w:t>+</w:t>
      </w:r>
      <w:r w:rsidR="008A68FD">
        <w:rPr>
          <w:rFonts w:ascii="Arial" w:hAnsi="Arial" w:cs="Arial"/>
          <w:sz w:val="20"/>
          <w:szCs w:val="20"/>
          <w:lang w:val="en-GB"/>
        </w:rPr>
        <w:t xml:space="preserve"> </w:t>
      </w:r>
      <w:r w:rsidRPr="00633FF0">
        <w:rPr>
          <w:rFonts w:ascii="Arial" w:hAnsi="Arial" w:cs="Arial"/>
          <w:sz w:val="20"/>
          <w:szCs w:val="20"/>
          <w:lang w:val="en-GB"/>
        </w:rPr>
        <w:t>A)</w:t>
      </w:r>
      <w:r w:rsidRPr="00633FF0">
        <w:rPr>
          <w:rFonts w:ascii="Arial" w:hAnsi="Arial" w:cs="Arial"/>
          <w:sz w:val="20"/>
          <w:szCs w:val="20"/>
          <w:vertAlign w:val="superscript"/>
          <w:lang w:val="en-GB"/>
        </w:rPr>
        <w:t>4</w:t>
      </w:r>
      <w:r w:rsidR="00633FF0" w:rsidRPr="00633FF0">
        <w:rPr>
          <w:rFonts w:ascii="Arial" w:hAnsi="Arial" w:cs="Arial"/>
          <w:sz w:val="20"/>
          <w:szCs w:val="20"/>
          <w:lang w:val="en-GB"/>
        </w:rPr>
        <w:t xml:space="preserve"> </w:t>
      </w:r>
      <w:r w:rsidR="008A68FD">
        <w:rPr>
          <w:rFonts w:ascii="Arial" w:hAnsi="Arial" w:cs="Arial"/>
          <w:sz w:val="20"/>
          <w:szCs w:val="20"/>
          <w:lang w:val="en-GB"/>
        </w:rPr>
        <w:t>×</w:t>
      </w:r>
      <w:r w:rsidR="008A68FD" w:rsidRPr="00633FF0">
        <w:rPr>
          <w:rFonts w:ascii="Arial" w:hAnsi="Arial" w:cs="Arial"/>
          <w:sz w:val="20"/>
          <w:szCs w:val="20"/>
          <w:lang w:val="en-GB"/>
        </w:rPr>
        <w:t xml:space="preserve"> </w:t>
      </w:r>
      <w:r w:rsidRPr="00633FF0">
        <w:rPr>
          <w:rFonts w:ascii="Arial" w:hAnsi="Arial" w:cs="Arial"/>
          <w:sz w:val="20"/>
          <w:szCs w:val="20"/>
          <w:lang w:val="en-GB"/>
        </w:rPr>
        <w:t>(1</w:t>
      </w:r>
      <w:r w:rsidR="008A68FD">
        <w:rPr>
          <w:rFonts w:ascii="Arial" w:hAnsi="Arial" w:cs="Arial"/>
          <w:sz w:val="20"/>
          <w:szCs w:val="20"/>
          <w:lang w:val="en-GB"/>
        </w:rPr>
        <w:t xml:space="preserve"> </w:t>
      </w:r>
      <w:r w:rsidRPr="00633FF0">
        <w:rPr>
          <w:rFonts w:ascii="Arial" w:hAnsi="Arial" w:cs="Arial"/>
          <w:sz w:val="20"/>
          <w:szCs w:val="20"/>
          <w:lang w:val="en-GB"/>
        </w:rPr>
        <w:t>+</w:t>
      </w:r>
      <w:r w:rsidR="008A68FD">
        <w:rPr>
          <w:rFonts w:ascii="Arial" w:hAnsi="Arial" w:cs="Arial"/>
          <w:sz w:val="20"/>
          <w:szCs w:val="20"/>
          <w:lang w:val="en-GB"/>
        </w:rPr>
        <w:t xml:space="preserve"> </w:t>
      </w:r>
      <w:r w:rsidRPr="00633FF0">
        <w:rPr>
          <w:rFonts w:ascii="Arial" w:hAnsi="Arial" w:cs="Arial"/>
          <w:sz w:val="20"/>
          <w:szCs w:val="20"/>
          <w:lang w:val="en-GB"/>
        </w:rPr>
        <w:t>MR</w:t>
      </w:r>
      <w:r w:rsidR="008A68FD">
        <w:rPr>
          <w:rFonts w:ascii="Arial" w:hAnsi="Arial" w:cs="Arial"/>
          <w:sz w:val="20"/>
          <w:szCs w:val="20"/>
          <w:lang w:val="en-GB"/>
        </w:rPr>
        <w:t xml:space="preserve"> </w:t>
      </w:r>
      <w:r w:rsidRPr="00633FF0">
        <w:rPr>
          <w:rFonts w:ascii="Arial" w:hAnsi="Arial" w:cs="Arial"/>
          <w:sz w:val="20"/>
          <w:szCs w:val="20"/>
          <w:lang w:val="en-GB"/>
        </w:rPr>
        <w:t>+</w:t>
      </w:r>
      <w:r w:rsidR="008A68FD">
        <w:rPr>
          <w:rFonts w:ascii="Arial" w:hAnsi="Arial" w:cs="Arial"/>
          <w:sz w:val="20"/>
          <w:szCs w:val="20"/>
          <w:lang w:val="en-GB"/>
        </w:rPr>
        <w:t xml:space="preserve"> </w:t>
      </w:r>
      <w:r w:rsidRPr="00633FF0">
        <w:rPr>
          <w:rFonts w:ascii="Arial" w:hAnsi="Arial" w:cs="Arial"/>
          <w:sz w:val="20"/>
          <w:szCs w:val="20"/>
          <w:lang w:val="en-GB"/>
        </w:rPr>
        <w:t>RP)</w:t>
      </w:r>
      <w:r w:rsidRPr="00633FF0">
        <w:rPr>
          <w:rFonts w:ascii="Arial" w:hAnsi="Arial" w:cs="Arial"/>
          <w:sz w:val="20"/>
          <w:szCs w:val="20"/>
          <w:vertAlign w:val="superscript"/>
          <w:lang w:val="en-GB"/>
        </w:rPr>
        <w:t>4</w:t>
      </w:r>
    </w:p>
    <w:p w14:paraId="76C72AB3" w14:textId="77777777" w:rsidR="00532643" w:rsidRPr="00633FF0" w:rsidRDefault="00532643" w:rsidP="00532643">
      <w:pPr>
        <w:pStyle w:val="BodyTextMain"/>
        <w:ind w:firstLine="720"/>
        <w:rPr>
          <w:rFonts w:ascii="Arial" w:hAnsi="Arial" w:cs="Arial"/>
          <w:sz w:val="20"/>
          <w:szCs w:val="20"/>
          <w:lang w:val="en-GB"/>
        </w:rPr>
      </w:pPr>
    </w:p>
    <w:p w14:paraId="51BE01BF" w14:textId="5CAC9A3D" w:rsidR="00532643" w:rsidRPr="00633FF0" w:rsidRDefault="00532643" w:rsidP="00532643">
      <w:pPr>
        <w:pStyle w:val="BodyTextMain"/>
        <w:ind w:left="720"/>
        <w:rPr>
          <w:rFonts w:ascii="Arial" w:hAnsi="Arial" w:cs="Arial"/>
          <w:sz w:val="20"/>
          <w:szCs w:val="20"/>
          <w:lang w:val="en-GB"/>
        </w:rPr>
      </w:pPr>
      <w:r w:rsidRPr="00633FF0">
        <w:rPr>
          <w:rFonts w:ascii="Arial" w:hAnsi="Arial" w:cs="Arial"/>
          <w:sz w:val="20"/>
          <w:szCs w:val="20"/>
          <w:lang w:val="en-GB"/>
        </w:rPr>
        <w:t>A</w:t>
      </w:r>
      <w:r w:rsidR="008A68FD">
        <w:rPr>
          <w:rFonts w:ascii="Arial" w:hAnsi="Arial" w:cs="Arial"/>
          <w:sz w:val="20"/>
          <w:szCs w:val="20"/>
          <w:lang w:val="en-GB"/>
        </w:rPr>
        <w:t xml:space="preserve"> </w:t>
      </w:r>
      <w:r w:rsidRPr="00633FF0">
        <w:rPr>
          <w:rFonts w:ascii="Arial" w:hAnsi="Arial" w:cs="Arial"/>
          <w:sz w:val="20"/>
          <w:szCs w:val="20"/>
          <w:lang w:val="en-GB"/>
        </w:rPr>
        <w:t xml:space="preserve">= </w:t>
      </w:r>
      <w:r w:rsidR="008A68FD">
        <w:rPr>
          <w:rFonts w:ascii="Arial" w:hAnsi="Arial" w:cs="Arial"/>
          <w:sz w:val="20"/>
          <w:szCs w:val="20"/>
          <w:lang w:val="en-GB"/>
        </w:rPr>
        <w:t>P</w:t>
      </w:r>
      <w:r w:rsidRPr="00633FF0">
        <w:rPr>
          <w:rFonts w:ascii="Arial" w:hAnsi="Arial" w:cs="Arial"/>
          <w:sz w:val="20"/>
          <w:szCs w:val="20"/>
          <w:lang w:val="en-GB"/>
        </w:rPr>
        <w:t xml:space="preserve">rofitability </w:t>
      </w:r>
      <w:r w:rsidR="008A68FD">
        <w:rPr>
          <w:rFonts w:ascii="Arial" w:hAnsi="Arial" w:cs="Arial"/>
          <w:sz w:val="20"/>
          <w:szCs w:val="20"/>
          <w:lang w:val="en-GB"/>
        </w:rPr>
        <w:t>R</w:t>
      </w:r>
      <w:r w:rsidRPr="00633FF0">
        <w:rPr>
          <w:rFonts w:ascii="Arial" w:hAnsi="Arial" w:cs="Arial"/>
          <w:sz w:val="20"/>
          <w:szCs w:val="20"/>
          <w:lang w:val="en-GB"/>
        </w:rPr>
        <w:t>atio</w:t>
      </w:r>
      <w:r w:rsidR="008A68FD">
        <w:rPr>
          <w:rFonts w:ascii="Arial" w:hAnsi="Arial" w:cs="Arial"/>
          <w:sz w:val="20"/>
          <w:szCs w:val="20"/>
          <w:lang w:val="en-GB"/>
        </w:rPr>
        <w:t xml:space="preserve"> </w:t>
      </w:r>
      <w:r w:rsidRPr="00633FF0">
        <w:rPr>
          <w:rFonts w:ascii="Arial" w:hAnsi="Arial" w:cs="Arial"/>
          <w:sz w:val="20"/>
          <w:szCs w:val="20"/>
          <w:lang w:val="en-GB"/>
        </w:rPr>
        <w:t>=</w:t>
      </w:r>
      <w:r w:rsidR="00633FF0" w:rsidRPr="00633FF0">
        <w:rPr>
          <w:rFonts w:ascii="Arial" w:hAnsi="Arial" w:cs="Arial"/>
          <w:sz w:val="20"/>
          <w:szCs w:val="20"/>
          <w:lang w:val="en-GB"/>
        </w:rPr>
        <w:t xml:space="preserve"> </w:t>
      </w:r>
      <w:r w:rsidR="008A68FD">
        <w:rPr>
          <w:rFonts w:ascii="Arial" w:hAnsi="Arial" w:cs="Arial"/>
          <w:sz w:val="20"/>
          <w:szCs w:val="20"/>
          <w:lang w:val="en-GB"/>
        </w:rPr>
        <w:t>A</w:t>
      </w:r>
      <w:r w:rsidRPr="00633FF0">
        <w:rPr>
          <w:rFonts w:ascii="Arial" w:hAnsi="Arial" w:cs="Arial"/>
          <w:sz w:val="20"/>
          <w:szCs w:val="20"/>
          <w:lang w:val="en-GB"/>
        </w:rPr>
        <w:t xml:space="preserve">verage </w:t>
      </w:r>
      <w:r w:rsidR="008A68FD">
        <w:rPr>
          <w:rFonts w:ascii="Arial" w:hAnsi="Arial" w:cs="Arial"/>
          <w:sz w:val="20"/>
          <w:szCs w:val="20"/>
          <w:lang w:val="en-GB"/>
        </w:rPr>
        <w:t>P</w:t>
      </w:r>
      <w:r w:rsidRPr="00633FF0">
        <w:rPr>
          <w:rFonts w:ascii="Arial" w:hAnsi="Arial" w:cs="Arial"/>
          <w:sz w:val="20"/>
          <w:szCs w:val="20"/>
          <w:lang w:val="en-GB"/>
        </w:rPr>
        <w:t xml:space="preserve">rofit or Net Income from the Income Statement over the </w:t>
      </w:r>
      <w:r w:rsidR="008A68FD">
        <w:rPr>
          <w:rFonts w:ascii="Arial" w:hAnsi="Arial" w:cs="Arial"/>
          <w:sz w:val="20"/>
          <w:szCs w:val="20"/>
          <w:lang w:val="en-GB"/>
        </w:rPr>
        <w:t>P</w:t>
      </w:r>
      <w:r w:rsidR="008A68FD" w:rsidRPr="00633FF0">
        <w:rPr>
          <w:rFonts w:ascii="Arial" w:hAnsi="Arial" w:cs="Arial"/>
          <w:sz w:val="20"/>
          <w:szCs w:val="20"/>
          <w:lang w:val="en-GB"/>
        </w:rPr>
        <w:t xml:space="preserve">ast </w:t>
      </w:r>
      <w:r w:rsidRPr="00633FF0">
        <w:rPr>
          <w:rFonts w:ascii="Arial" w:hAnsi="Arial" w:cs="Arial"/>
          <w:sz w:val="20"/>
          <w:szCs w:val="20"/>
          <w:lang w:val="en-GB"/>
        </w:rPr>
        <w:t xml:space="preserve">3 </w:t>
      </w:r>
      <w:r w:rsidR="008A68FD">
        <w:rPr>
          <w:rFonts w:ascii="Arial" w:hAnsi="Arial" w:cs="Arial"/>
          <w:sz w:val="20"/>
          <w:szCs w:val="20"/>
          <w:lang w:val="en-GB"/>
        </w:rPr>
        <w:t>Y</w:t>
      </w:r>
      <w:r w:rsidRPr="00633FF0">
        <w:rPr>
          <w:rFonts w:ascii="Arial" w:hAnsi="Arial" w:cs="Arial"/>
          <w:sz w:val="20"/>
          <w:szCs w:val="20"/>
          <w:lang w:val="en-GB"/>
        </w:rPr>
        <w:t>ears</w:t>
      </w:r>
      <w:r w:rsidR="00633FF0" w:rsidRPr="00633FF0">
        <w:rPr>
          <w:rFonts w:ascii="Arial" w:hAnsi="Arial" w:cs="Arial"/>
          <w:sz w:val="20"/>
          <w:szCs w:val="20"/>
          <w:lang w:val="en-GB"/>
        </w:rPr>
        <w:t xml:space="preserve"> </w:t>
      </w:r>
      <w:r w:rsidR="008A68FD">
        <w:rPr>
          <w:rFonts w:ascii="Arial" w:hAnsi="Arial" w:cs="Arial"/>
          <w:sz w:val="20"/>
          <w:szCs w:val="20"/>
          <w:lang w:val="en-GB"/>
        </w:rPr>
        <w:t xml:space="preserve">÷ </w:t>
      </w:r>
      <w:r w:rsidRPr="00633FF0">
        <w:rPr>
          <w:rFonts w:ascii="Arial" w:hAnsi="Arial" w:cs="Arial"/>
          <w:sz w:val="20"/>
          <w:szCs w:val="20"/>
          <w:lang w:val="en-GB"/>
        </w:rPr>
        <w:t xml:space="preserve">the </w:t>
      </w:r>
      <w:r w:rsidR="008A68FD">
        <w:rPr>
          <w:rFonts w:ascii="Arial" w:hAnsi="Arial" w:cs="Arial"/>
          <w:sz w:val="20"/>
          <w:szCs w:val="20"/>
          <w:lang w:val="en-GB"/>
        </w:rPr>
        <w:t>I</w:t>
      </w:r>
      <w:r w:rsidRPr="00633FF0">
        <w:rPr>
          <w:rFonts w:ascii="Arial" w:hAnsi="Arial" w:cs="Arial"/>
          <w:sz w:val="20"/>
          <w:szCs w:val="20"/>
          <w:lang w:val="en-GB"/>
        </w:rPr>
        <w:t xml:space="preserve">ntrinsic </w:t>
      </w:r>
      <w:r w:rsidR="008A68FD">
        <w:rPr>
          <w:rFonts w:ascii="Arial" w:hAnsi="Arial" w:cs="Arial"/>
          <w:sz w:val="20"/>
          <w:szCs w:val="20"/>
          <w:lang w:val="en-GB"/>
        </w:rPr>
        <w:t>V</w:t>
      </w:r>
      <w:r w:rsidRPr="00633FF0">
        <w:rPr>
          <w:rFonts w:ascii="Arial" w:hAnsi="Arial" w:cs="Arial"/>
          <w:sz w:val="20"/>
          <w:szCs w:val="20"/>
          <w:lang w:val="en-GB"/>
        </w:rPr>
        <w:t xml:space="preserve">alue or the </w:t>
      </w:r>
      <w:r w:rsidR="008A68FD">
        <w:rPr>
          <w:rFonts w:ascii="Arial" w:hAnsi="Arial" w:cs="Arial"/>
          <w:sz w:val="20"/>
          <w:szCs w:val="20"/>
          <w:lang w:val="en-GB"/>
        </w:rPr>
        <w:t>B</w:t>
      </w:r>
      <w:r w:rsidRPr="00633FF0">
        <w:rPr>
          <w:rFonts w:ascii="Arial" w:hAnsi="Arial" w:cs="Arial"/>
          <w:sz w:val="20"/>
          <w:szCs w:val="20"/>
          <w:lang w:val="en-GB"/>
        </w:rPr>
        <w:t xml:space="preserve">ook </w:t>
      </w:r>
      <w:r w:rsidR="008A68FD">
        <w:rPr>
          <w:rFonts w:ascii="Arial" w:hAnsi="Arial" w:cs="Arial"/>
          <w:sz w:val="20"/>
          <w:szCs w:val="20"/>
          <w:lang w:val="en-GB"/>
        </w:rPr>
        <w:t>V</w:t>
      </w:r>
      <w:r w:rsidRPr="00633FF0">
        <w:rPr>
          <w:rFonts w:ascii="Arial" w:hAnsi="Arial" w:cs="Arial"/>
          <w:sz w:val="20"/>
          <w:szCs w:val="20"/>
          <w:lang w:val="en-GB"/>
        </w:rPr>
        <w:t xml:space="preserve">alue of </w:t>
      </w:r>
      <w:r w:rsidR="008A68FD">
        <w:rPr>
          <w:rFonts w:ascii="Arial" w:hAnsi="Arial" w:cs="Arial"/>
          <w:sz w:val="20"/>
          <w:szCs w:val="20"/>
          <w:lang w:val="en-GB"/>
        </w:rPr>
        <w:t>E</w:t>
      </w:r>
      <w:r w:rsidRPr="00633FF0">
        <w:rPr>
          <w:rFonts w:ascii="Arial" w:hAnsi="Arial" w:cs="Arial"/>
          <w:sz w:val="20"/>
          <w:szCs w:val="20"/>
          <w:lang w:val="en-GB"/>
        </w:rPr>
        <w:t xml:space="preserve">quity from the </w:t>
      </w:r>
      <w:r w:rsidR="008A68FD">
        <w:rPr>
          <w:rFonts w:ascii="Arial" w:hAnsi="Arial" w:cs="Arial"/>
          <w:sz w:val="20"/>
          <w:szCs w:val="20"/>
          <w:lang w:val="en-GB"/>
        </w:rPr>
        <w:t>M</w:t>
      </w:r>
      <w:r w:rsidRPr="00633FF0">
        <w:rPr>
          <w:rFonts w:ascii="Arial" w:hAnsi="Arial" w:cs="Arial"/>
          <w:sz w:val="20"/>
          <w:szCs w:val="20"/>
          <w:lang w:val="en-GB"/>
        </w:rPr>
        <w:t xml:space="preserve">ost </w:t>
      </w:r>
      <w:r w:rsidR="008A68FD">
        <w:rPr>
          <w:rFonts w:ascii="Arial" w:hAnsi="Arial" w:cs="Arial"/>
          <w:sz w:val="20"/>
          <w:szCs w:val="20"/>
          <w:lang w:val="en-GB"/>
        </w:rPr>
        <w:t>R</w:t>
      </w:r>
      <w:r w:rsidRPr="00633FF0">
        <w:rPr>
          <w:rFonts w:ascii="Arial" w:hAnsi="Arial" w:cs="Arial"/>
          <w:sz w:val="20"/>
          <w:szCs w:val="20"/>
          <w:lang w:val="en-GB"/>
        </w:rPr>
        <w:t>ecent Balance Sheet</w:t>
      </w:r>
    </w:p>
    <w:p w14:paraId="0155EBCF" w14:textId="77777777" w:rsidR="00532643" w:rsidRPr="00633FF0" w:rsidRDefault="00532643" w:rsidP="00532643">
      <w:pPr>
        <w:pStyle w:val="BodyTextMain"/>
        <w:ind w:left="720"/>
        <w:rPr>
          <w:rFonts w:ascii="Arial" w:hAnsi="Arial" w:cs="Arial"/>
          <w:sz w:val="20"/>
          <w:szCs w:val="20"/>
          <w:lang w:val="en-GB"/>
        </w:rPr>
      </w:pPr>
    </w:p>
    <w:p w14:paraId="58441B7F" w14:textId="44CD7A82" w:rsidR="00532643" w:rsidRPr="00633FF0" w:rsidRDefault="00532643" w:rsidP="00532643">
      <w:pPr>
        <w:pStyle w:val="BodyTextMain"/>
        <w:ind w:firstLine="720"/>
        <w:rPr>
          <w:rFonts w:ascii="Arial" w:hAnsi="Arial" w:cs="Arial"/>
          <w:sz w:val="20"/>
          <w:szCs w:val="20"/>
          <w:lang w:val="en-GB"/>
        </w:rPr>
      </w:pPr>
      <w:r w:rsidRPr="00633FF0">
        <w:rPr>
          <w:rFonts w:ascii="Arial" w:hAnsi="Arial" w:cs="Arial"/>
          <w:sz w:val="20"/>
          <w:szCs w:val="20"/>
          <w:lang w:val="en-GB"/>
        </w:rPr>
        <w:t xml:space="preserve">MR = </w:t>
      </w:r>
      <w:r w:rsidR="008A68FD">
        <w:rPr>
          <w:rFonts w:ascii="Arial" w:hAnsi="Arial" w:cs="Arial"/>
          <w:sz w:val="20"/>
          <w:szCs w:val="20"/>
          <w:lang w:val="en-GB"/>
        </w:rPr>
        <w:t>M</w:t>
      </w:r>
      <w:r w:rsidRPr="00633FF0">
        <w:rPr>
          <w:rFonts w:ascii="Arial" w:hAnsi="Arial" w:cs="Arial"/>
          <w:sz w:val="20"/>
          <w:szCs w:val="20"/>
          <w:lang w:val="en-GB"/>
        </w:rPr>
        <w:t xml:space="preserve">arket </w:t>
      </w:r>
      <w:r w:rsidR="008A68FD">
        <w:rPr>
          <w:rFonts w:ascii="Arial" w:hAnsi="Arial" w:cs="Arial"/>
          <w:sz w:val="20"/>
          <w:szCs w:val="20"/>
          <w:lang w:val="en-GB"/>
        </w:rPr>
        <w:t>I</w:t>
      </w:r>
      <w:r w:rsidRPr="00633FF0">
        <w:rPr>
          <w:rFonts w:ascii="Arial" w:hAnsi="Arial" w:cs="Arial"/>
          <w:sz w:val="20"/>
          <w:szCs w:val="20"/>
          <w:lang w:val="en-GB"/>
        </w:rPr>
        <w:t xml:space="preserve">nterest </w:t>
      </w:r>
      <w:r w:rsidR="008A68FD">
        <w:rPr>
          <w:rFonts w:ascii="Arial" w:hAnsi="Arial" w:cs="Arial"/>
          <w:sz w:val="20"/>
          <w:szCs w:val="20"/>
          <w:lang w:val="en-GB"/>
        </w:rPr>
        <w:t>R</w:t>
      </w:r>
      <w:r w:rsidRPr="00633FF0">
        <w:rPr>
          <w:rFonts w:ascii="Arial" w:hAnsi="Arial" w:cs="Arial"/>
          <w:sz w:val="20"/>
          <w:szCs w:val="20"/>
          <w:lang w:val="en-GB"/>
        </w:rPr>
        <w:t>ate</w:t>
      </w:r>
      <w:r w:rsidR="008A68FD">
        <w:rPr>
          <w:rFonts w:ascii="Arial" w:hAnsi="Arial" w:cs="Arial"/>
          <w:sz w:val="20"/>
          <w:szCs w:val="20"/>
          <w:lang w:val="en-GB"/>
        </w:rPr>
        <w:t xml:space="preserve"> </w:t>
      </w:r>
      <w:r w:rsidRPr="00633FF0">
        <w:rPr>
          <w:rFonts w:ascii="Arial" w:hAnsi="Arial" w:cs="Arial"/>
          <w:sz w:val="20"/>
          <w:szCs w:val="20"/>
          <w:lang w:val="en-GB"/>
        </w:rPr>
        <w:t xml:space="preserve">= </w:t>
      </w:r>
      <w:r w:rsidR="008A68FD">
        <w:rPr>
          <w:rFonts w:ascii="Arial" w:hAnsi="Arial" w:cs="Arial"/>
          <w:sz w:val="20"/>
          <w:szCs w:val="20"/>
          <w:lang w:val="en-GB"/>
        </w:rPr>
        <w:t>L</w:t>
      </w:r>
      <w:r w:rsidRPr="00633FF0">
        <w:rPr>
          <w:rFonts w:ascii="Arial" w:hAnsi="Arial" w:cs="Arial"/>
          <w:sz w:val="20"/>
          <w:szCs w:val="20"/>
          <w:lang w:val="en-GB"/>
        </w:rPr>
        <w:t>ong</w:t>
      </w:r>
      <w:r w:rsidR="008A68FD">
        <w:rPr>
          <w:rFonts w:ascii="Arial" w:hAnsi="Arial" w:cs="Arial"/>
          <w:sz w:val="20"/>
          <w:szCs w:val="20"/>
          <w:lang w:val="en-GB"/>
        </w:rPr>
        <w:t>-</w:t>
      </w:r>
      <w:r w:rsidRPr="00633FF0">
        <w:rPr>
          <w:rFonts w:ascii="Arial" w:hAnsi="Arial" w:cs="Arial"/>
          <w:sz w:val="20"/>
          <w:szCs w:val="20"/>
          <w:lang w:val="en-GB"/>
        </w:rPr>
        <w:t xml:space="preserve">term </w:t>
      </w:r>
      <w:r w:rsidR="008A68FD">
        <w:rPr>
          <w:rFonts w:ascii="Arial" w:hAnsi="Arial" w:cs="Arial"/>
          <w:sz w:val="20"/>
          <w:szCs w:val="20"/>
          <w:lang w:val="en-GB"/>
        </w:rPr>
        <w:t>D</w:t>
      </w:r>
      <w:r w:rsidRPr="00633FF0">
        <w:rPr>
          <w:rFonts w:ascii="Arial" w:hAnsi="Arial" w:cs="Arial"/>
          <w:sz w:val="20"/>
          <w:szCs w:val="20"/>
          <w:lang w:val="en-GB"/>
        </w:rPr>
        <w:t xml:space="preserve">eposit </w:t>
      </w:r>
      <w:r w:rsidR="008A68FD">
        <w:rPr>
          <w:rFonts w:ascii="Arial" w:hAnsi="Arial" w:cs="Arial"/>
          <w:sz w:val="20"/>
          <w:szCs w:val="20"/>
          <w:lang w:val="en-GB"/>
        </w:rPr>
        <w:t>R</w:t>
      </w:r>
      <w:r w:rsidRPr="00633FF0">
        <w:rPr>
          <w:rFonts w:ascii="Arial" w:hAnsi="Arial" w:cs="Arial"/>
          <w:sz w:val="20"/>
          <w:szCs w:val="20"/>
          <w:lang w:val="en-GB"/>
        </w:rPr>
        <w:t>ate + 1.25%</w:t>
      </w:r>
    </w:p>
    <w:p w14:paraId="47DFB2ED" w14:textId="77777777" w:rsidR="00532643" w:rsidRPr="00633FF0" w:rsidRDefault="00532643" w:rsidP="00532643">
      <w:pPr>
        <w:pStyle w:val="BodyTextMain"/>
        <w:ind w:firstLine="720"/>
        <w:rPr>
          <w:rFonts w:ascii="Arial" w:hAnsi="Arial" w:cs="Arial"/>
          <w:sz w:val="20"/>
          <w:szCs w:val="20"/>
          <w:lang w:val="en-GB"/>
        </w:rPr>
      </w:pPr>
    </w:p>
    <w:p w14:paraId="6BE00097" w14:textId="77EA0267" w:rsidR="00532643" w:rsidRPr="00633FF0" w:rsidRDefault="00532643" w:rsidP="00532643">
      <w:pPr>
        <w:pStyle w:val="BodyTextMain"/>
        <w:ind w:firstLine="720"/>
        <w:rPr>
          <w:rFonts w:ascii="Arial" w:hAnsi="Arial" w:cs="Arial"/>
          <w:sz w:val="20"/>
          <w:szCs w:val="20"/>
          <w:lang w:val="en-GB"/>
        </w:rPr>
      </w:pPr>
      <w:r w:rsidRPr="00633FF0">
        <w:rPr>
          <w:rFonts w:ascii="Arial" w:hAnsi="Arial" w:cs="Arial"/>
          <w:sz w:val="20"/>
          <w:szCs w:val="20"/>
          <w:lang w:val="en-GB"/>
        </w:rPr>
        <w:t>RP</w:t>
      </w:r>
      <w:r w:rsidR="008A68FD">
        <w:rPr>
          <w:rFonts w:ascii="Arial" w:hAnsi="Arial" w:cs="Arial"/>
          <w:sz w:val="20"/>
          <w:szCs w:val="20"/>
          <w:lang w:val="en-GB"/>
        </w:rPr>
        <w:t xml:space="preserve"> </w:t>
      </w:r>
      <w:r w:rsidRPr="00633FF0">
        <w:rPr>
          <w:rFonts w:ascii="Arial" w:hAnsi="Arial" w:cs="Arial"/>
          <w:sz w:val="20"/>
          <w:szCs w:val="20"/>
          <w:lang w:val="en-GB"/>
        </w:rPr>
        <w:t>= Risk Premium = 4%</w:t>
      </w:r>
    </w:p>
    <w:p w14:paraId="0B83A089" w14:textId="77777777" w:rsidR="00532643" w:rsidRPr="00633FF0" w:rsidRDefault="00532643" w:rsidP="00532643">
      <w:pPr>
        <w:pStyle w:val="BodyTextMain"/>
        <w:ind w:firstLine="720"/>
        <w:rPr>
          <w:rFonts w:ascii="Arial" w:hAnsi="Arial" w:cs="Arial"/>
          <w:sz w:val="20"/>
          <w:szCs w:val="20"/>
          <w:lang w:val="en-GB"/>
        </w:rPr>
      </w:pPr>
    </w:p>
    <w:p w14:paraId="53B26F07" w14:textId="77777777" w:rsidR="00532643" w:rsidRPr="00633FF0" w:rsidRDefault="00532643" w:rsidP="00532643">
      <w:pPr>
        <w:pStyle w:val="BodyTextMain"/>
        <w:rPr>
          <w:rFonts w:ascii="Arial" w:hAnsi="Arial" w:cs="Arial"/>
          <w:sz w:val="20"/>
          <w:szCs w:val="20"/>
          <w:lang w:val="en-GB"/>
        </w:rPr>
      </w:pPr>
      <w:r w:rsidRPr="00633FF0">
        <w:rPr>
          <w:rFonts w:ascii="Arial" w:hAnsi="Arial" w:cs="Arial"/>
          <w:sz w:val="20"/>
          <w:szCs w:val="20"/>
          <w:lang w:val="en-GB"/>
        </w:rPr>
        <w:t>Currently this formula would lead to the following valuation:</w:t>
      </w:r>
    </w:p>
    <w:p w14:paraId="7F5A2F6A" w14:textId="77777777" w:rsidR="00532643" w:rsidRPr="00633FF0" w:rsidRDefault="00532643" w:rsidP="00532643">
      <w:pPr>
        <w:pStyle w:val="BodyTextMain"/>
        <w:rPr>
          <w:rFonts w:ascii="Arial" w:hAnsi="Arial" w:cs="Arial"/>
          <w:sz w:val="20"/>
          <w:szCs w:val="20"/>
          <w:lang w:val="en-GB"/>
        </w:rPr>
      </w:pPr>
    </w:p>
    <w:p w14:paraId="41D9E779" w14:textId="42FE72FC" w:rsidR="00532643" w:rsidRPr="00633FF0" w:rsidRDefault="00532643" w:rsidP="00532643">
      <w:pPr>
        <w:pStyle w:val="BodyTextMain"/>
        <w:ind w:left="720"/>
        <w:rPr>
          <w:rFonts w:ascii="Arial" w:hAnsi="Arial" w:cs="Arial"/>
          <w:sz w:val="20"/>
          <w:szCs w:val="20"/>
          <w:lang w:val="en-GB"/>
        </w:rPr>
      </w:pPr>
      <w:r w:rsidRPr="00633FF0">
        <w:rPr>
          <w:rFonts w:ascii="Arial" w:hAnsi="Arial" w:cs="Arial"/>
          <w:sz w:val="20"/>
          <w:szCs w:val="20"/>
          <w:lang w:val="en-GB"/>
        </w:rPr>
        <w:t xml:space="preserve">A = 8.79% (2015 to 2017 </w:t>
      </w:r>
      <w:r w:rsidR="00D576E9">
        <w:rPr>
          <w:rFonts w:ascii="Arial" w:hAnsi="Arial" w:cs="Arial"/>
          <w:sz w:val="20"/>
          <w:szCs w:val="20"/>
          <w:lang w:val="en-GB"/>
        </w:rPr>
        <w:t>P</w:t>
      </w:r>
      <w:r w:rsidRPr="00633FF0">
        <w:rPr>
          <w:rFonts w:ascii="Arial" w:hAnsi="Arial" w:cs="Arial"/>
          <w:sz w:val="20"/>
          <w:szCs w:val="20"/>
          <w:lang w:val="en-GB"/>
        </w:rPr>
        <w:t xml:space="preserve">rofit from the Income Statement </w:t>
      </w:r>
      <w:r w:rsidR="00BD0BA7">
        <w:rPr>
          <w:rFonts w:ascii="Arial" w:hAnsi="Arial" w:cs="Arial"/>
          <w:sz w:val="20"/>
          <w:szCs w:val="20"/>
          <w:lang w:val="en-GB"/>
        </w:rPr>
        <w:t xml:space="preserve">/ </w:t>
      </w:r>
      <w:r w:rsidRPr="00633FF0">
        <w:rPr>
          <w:rFonts w:ascii="Arial" w:hAnsi="Arial" w:cs="Arial"/>
          <w:sz w:val="20"/>
          <w:szCs w:val="20"/>
          <w:lang w:val="en-GB"/>
        </w:rPr>
        <w:t xml:space="preserve">Intrinsic </w:t>
      </w:r>
      <w:r w:rsidR="00D576E9">
        <w:rPr>
          <w:rFonts w:ascii="Arial" w:hAnsi="Arial" w:cs="Arial"/>
          <w:sz w:val="20"/>
          <w:szCs w:val="20"/>
          <w:lang w:val="en-GB"/>
        </w:rPr>
        <w:t>V</w:t>
      </w:r>
      <w:r w:rsidRPr="00633FF0">
        <w:rPr>
          <w:rFonts w:ascii="Arial" w:hAnsi="Arial" w:cs="Arial"/>
          <w:sz w:val="20"/>
          <w:szCs w:val="20"/>
          <w:lang w:val="en-GB"/>
        </w:rPr>
        <w:t xml:space="preserve">alue for </w:t>
      </w:r>
      <w:r w:rsidR="00D576E9">
        <w:rPr>
          <w:rFonts w:ascii="Arial" w:hAnsi="Arial" w:cs="Arial"/>
          <w:sz w:val="20"/>
          <w:szCs w:val="20"/>
          <w:lang w:val="en-GB"/>
        </w:rPr>
        <w:t>T</w:t>
      </w:r>
      <w:r w:rsidRPr="00633FF0">
        <w:rPr>
          <w:rFonts w:ascii="Arial" w:hAnsi="Arial" w:cs="Arial"/>
          <w:sz w:val="20"/>
          <w:szCs w:val="20"/>
          <w:lang w:val="en-GB"/>
        </w:rPr>
        <w:t xml:space="preserve">hat </w:t>
      </w:r>
      <w:r w:rsidR="00D576E9">
        <w:rPr>
          <w:rFonts w:ascii="Arial" w:hAnsi="Arial" w:cs="Arial"/>
          <w:sz w:val="20"/>
          <w:szCs w:val="20"/>
          <w:lang w:val="en-GB"/>
        </w:rPr>
        <w:t>Y</w:t>
      </w:r>
      <w:r w:rsidRPr="00633FF0">
        <w:rPr>
          <w:rFonts w:ascii="Arial" w:hAnsi="Arial" w:cs="Arial"/>
          <w:sz w:val="20"/>
          <w:szCs w:val="20"/>
          <w:lang w:val="en-GB"/>
        </w:rPr>
        <w:t xml:space="preserve">ear as </w:t>
      </w:r>
      <w:r w:rsidR="00D576E9">
        <w:rPr>
          <w:rFonts w:ascii="Arial" w:hAnsi="Arial" w:cs="Arial"/>
          <w:sz w:val="20"/>
          <w:szCs w:val="20"/>
          <w:lang w:val="en-GB"/>
        </w:rPr>
        <w:t>T</w:t>
      </w:r>
      <w:r w:rsidRPr="00633FF0">
        <w:rPr>
          <w:rFonts w:ascii="Arial" w:hAnsi="Arial" w:cs="Arial"/>
          <w:sz w:val="20"/>
          <w:szCs w:val="20"/>
          <w:lang w:val="en-GB"/>
        </w:rPr>
        <w:t xml:space="preserve">otal </w:t>
      </w:r>
      <w:r w:rsidR="00D576E9">
        <w:rPr>
          <w:rFonts w:ascii="Arial" w:hAnsi="Arial" w:cs="Arial"/>
          <w:sz w:val="20"/>
          <w:szCs w:val="20"/>
          <w:lang w:val="en-GB"/>
        </w:rPr>
        <w:t>G</w:t>
      </w:r>
      <w:r w:rsidRPr="00633FF0">
        <w:rPr>
          <w:rFonts w:ascii="Arial" w:hAnsi="Arial" w:cs="Arial"/>
          <w:sz w:val="20"/>
          <w:szCs w:val="20"/>
          <w:lang w:val="en-GB"/>
        </w:rPr>
        <w:t xml:space="preserve">roup </w:t>
      </w:r>
      <w:r w:rsidR="00D576E9">
        <w:rPr>
          <w:rFonts w:ascii="Arial" w:hAnsi="Arial" w:cs="Arial"/>
          <w:sz w:val="20"/>
          <w:szCs w:val="20"/>
          <w:lang w:val="en-GB"/>
        </w:rPr>
        <w:t>E</w:t>
      </w:r>
      <w:r w:rsidRPr="00633FF0">
        <w:rPr>
          <w:rFonts w:ascii="Arial" w:hAnsi="Arial" w:cs="Arial"/>
          <w:sz w:val="20"/>
          <w:szCs w:val="20"/>
          <w:lang w:val="en-GB"/>
        </w:rPr>
        <w:t>quity from Balance Sheet</w:t>
      </w:r>
      <w:r w:rsidR="00B84FFA">
        <w:rPr>
          <w:rFonts w:ascii="Arial" w:hAnsi="Arial" w:cs="Arial"/>
          <w:sz w:val="20"/>
          <w:szCs w:val="20"/>
          <w:lang w:val="en-GB"/>
        </w:rPr>
        <w:t>)</w:t>
      </w:r>
    </w:p>
    <w:p w14:paraId="5F91F16F" w14:textId="77777777" w:rsidR="00532643" w:rsidRPr="00633FF0" w:rsidRDefault="00532643" w:rsidP="00532643">
      <w:pPr>
        <w:pStyle w:val="BodyTextMain"/>
        <w:ind w:firstLine="720"/>
        <w:rPr>
          <w:rFonts w:ascii="Arial" w:hAnsi="Arial" w:cs="Arial"/>
          <w:sz w:val="20"/>
          <w:szCs w:val="20"/>
          <w:lang w:val="en-GB"/>
        </w:rPr>
      </w:pPr>
      <w:r w:rsidRPr="00633FF0">
        <w:rPr>
          <w:rFonts w:ascii="Arial" w:hAnsi="Arial" w:cs="Arial"/>
          <w:sz w:val="20"/>
          <w:szCs w:val="20"/>
          <w:lang w:val="en-GB"/>
        </w:rPr>
        <w:t>MR = 1.30% (</w:t>
      </w:r>
      <w:proofErr w:type="gramStart"/>
      <w:r w:rsidRPr="00633FF0">
        <w:rPr>
          <w:rFonts w:ascii="Arial" w:hAnsi="Arial" w:cs="Arial"/>
          <w:sz w:val="20"/>
          <w:szCs w:val="20"/>
          <w:lang w:val="en-GB"/>
        </w:rPr>
        <w:t>20 year</w:t>
      </w:r>
      <w:proofErr w:type="gramEnd"/>
      <w:r w:rsidRPr="00633FF0">
        <w:rPr>
          <w:rFonts w:ascii="Arial" w:hAnsi="Arial" w:cs="Arial"/>
          <w:sz w:val="20"/>
          <w:szCs w:val="20"/>
          <w:lang w:val="en-GB"/>
        </w:rPr>
        <w:t xml:space="preserve"> LIBOR on CHF) + 2% = 3.3%</w:t>
      </w:r>
    </w:p>
    <w:p w14:paraId="7CE81F6A" w14:textId="77777777" w:rsidR="00532643" w:rsidRPr="00633FF0" w:rsidRDefault="00532643" w:rsidP="00532643">
      <w:pPr>
        <w:pStyle w:val="BodyTextMain"/>
        <w:ind w:firstLine="720"/>
        <w:rPr>
          <w:rFonts w:ascii="Arial" w:hAnsi="Arial" w:cs="Arial"/>
          <w:sz w:val="20"/>
          <w:szCs w:val="20"/>
          <w:lang w:val="en-GB"/>
        </w:rPr>
      </w:pPr>
    </w:p>
    <w:p w14:paraId="700A1B84" w14:textId="77777777" w:rsidR="00532643" w:rsidRPr="00633FF0" w:rsidRDefault="00532643" w:rsidP="00532643">
      <w:pPr>
        <w:pStyle w:val="BodyTextMain"/>
        <w:tabs>
          <w:tab w:val="left" w:pos="1965"/>
        </w:tabs>
        <w:ind w:firstLine="720"/>
        <w:rPr>
          <w:rFonts w:ascii="Arial" w:hAnsi="Arial" w:cs="Arial"/>
          <w:sz w:val="20"/>
          <w:szCs w:val="20"/>
          <w:lang w:val="en-GB"/>
        </w:rPr>
      </w:pPr>
      <w:r w:rsidRPr="00633FF0">
        <w:rPr>
          <w:rFonts w:ascii="Arial" w:hAnsi="Arial" w:cs="Arial"/>
          <w:sz w:val="20"/>
          <w:szCs w:val="20"/>
          <w:lang w:val="en-GB"/>
        </w:rPr>
        <w:t>RP = 4%</w:t>
      </w:r>
    </w:p>
    <w:p w14:paraId="4ECE9A74" w14:textId="77777777" w:rsidR="00532643" w:rsidRPr="00633FF0" w:rsidRDefault="00532643" w:rsidP="00532643">
      <w:pPr>
        <w:pStyle w:val="BodyTextMain"/>
        <w:tabs>
          <w:tab w:val="left" w:pos="1965"/>
        </w:tabs>
        <w:ind w:firstLine="720"/>
        <w:rPr>
          <w:rFonts w:ascii="Arial" w:hAnsi="Arial" w:cs="Arial"/>
          <w:sz w:val="20"/>
          <w:szCs w:val="20"/>
          <w:lang w:val="en-GB"/>
        </w:rPr>
      </w:pPr>
      <w:r w:rsidRPr="00633FF0">
        <w:rPr>
          <w:rFonts w:ascii="Arial" w:hAnsi="Arial" w:cs="Arial"/>
          <w:sz w:val="20"/>
          <w:szCs w:val="20"/>
          <w:lang w:val="en-GB"/>
        </w:rPr>
        <w:tab/>
      </w:r>
    </w:p>
    <w:p w14:paraId="67082596" w14:textId="62C71362" w:rsidR="00532643" w:rsidRPr="00633FF0" w:rsidRDefault="00532643" w:rsidP="00532643">
      <w:pPr>
        <w:pStyle w:val="BodyTextMain"/>
        <w:ind w:firstLine="720"/>
        <w:rPr>
          <w:rFonts w:ascii="Arial" w:hAnsi="Arial" w:cs="Arial"/>
          <w:sz w:val="20"/>
          <w:szCs w:val="20"/>
          <w:lang w:val="en-GB"/>
        </w:rPr>
      </w:pPr>
      <w:r w:rsidRPr="00633FF0">
        <w:rPr>
          <w:rFonts w:ascii="Arial" w:hAnsi="Arial" w:cs="Arial"/>
          <w:sz w:val="20"/>
          <w:szCs w:val="20"/>
          <w:lang w:val="en-GB"/>
        </w:rPr>
        <w:t>= (1 + 8.79%)</w:t>
      </w:r>
      <w:r w:rsidRPr="00633FF0">
        <w:rPr>
          <w:rFonts w:ascii="Arial" w:hAnsi="Arial" w:cs="Arial"/>
          <w:sz w:val="20"/>
          <w:szCs w:val="20"/>
          <w:vertAlign w:val="superscript"/>
          <w:lang w:val="en-GB"/>
        </w:rPr>
        <w:t>4</w:t>
      </w:r>
      <w:r w:rsidRPr="00633FF0">
        <w:rPr>
          <w:rFonts w:ascii="Arial" w:hAnsi="Arial" w:cs="Arial"/>
          <w:sz w:val="20"/>
          <w:szCs w:val="20"/>
          <w:lang w:val="en-GB"/>
        </w:rPr>
        <w:t xml:space="preserve"> </w:t>
      </w:r>
      <w:r w:rsidR="00D576E9">
        <w:rPr>
          <w:rFonts w:ascii="Arial" w:hAnsi="Arial" w:cs="Arial"/>
          <w:sz w:val="20"/>
          <w:szCs w:val="20"/>
          <w:lang w:val="en-GB"/>
        </w:rPr>
        <w:t xml:space="preserve">× </w:t>
      </w:r>
      <w:r w:rsidRPr="00633FF0">
        <w:rPr>
          <w:rFonts w:ascii="Arial" w:hAnsi="Arial" w:cs="Arial"/>
          <w:sz w:val="20"/>
          <w:szCs w:val="20"/>
          <w:lang w:val="en-GB"/>
        </w:rPr>
        <w:t>(1</w:t>
      </w:r>
      <w:r w:rsidR="00C625A8">
        <w:rPr>
          <w:rFonts w:ascii="Arial" w:hAnsi="Arial" w:cs="Arial"/>
          <w:sz w:val="20"/>
          <w:szCs w:val="20"/>
          <w:lang w:val="en-GB"/>
        </w:rPr>
        <w:t xml:space="preserve"> </w:t>
      </w:r>
      <w:r w:rsidRPr="00633FF0">
        <w:rPr>
          <w:rFonts w:ascii="Arial" w:hAnsi="Arial" w:cs="Arial"/>
          <w:sz w:val="20"/>
          <w:szCs w:val="20"/>
          <w:lang w:val="en-GB"/>
        </w:rPr>
        <w:t>+</w:t>
      </w:r>
      <w:r w:rsidR="00C625A8">
        <w:rPr>
          <w:rFonts w:ascii="Arial" w:hAnsi="Arial" w:cs="Arial"/>
          <w:sz w:val="20"/>
          <w:szCs w:val="20"/>
          <w:lang w:val="en-GB"/>
        </w:rPr>
        <w:t xml:space="preserve"> </w:t>
      </w:r>
      <w:r w:rsidRPr="00633FF0">
        <w:rPr>
          <w:rFonts w:ascii="Arial" w:hAnsi="Arial" w:cs="Arial"/>
          <w:sz w:val="20"/>
          <w:szCs w:val="20"/>
          <w:lang w:val="en-GB"/>
        </w:rPr>
        <w:t>3.30%</w:t>
      </w:r>
      <w:r w:rsidR="00C625A8">
        <w:rPr>
          <w:rFonts w:ascii="Arial" w:hAnsi="Arial" w:cs="Arial"/>
          <w:sz w:val="20"/>
          <w:szCs w:val="20"/>
          <w:lang w:val="en-GB"/>
        </w:rPr>
        <w:t xml:space="preserve"> </w:t>
      </w:r>
      <w:r w:rsidRPr="00633FF0">
        <w:rPr>
          <w:rFonts w:ascii="Arial" w:hAnsi="Arial" w:cs="Arial"/>
          <w:sz w:val="20"/>
          <w:szCs w:val="20"/>
          <w:lang w:val="en-GB"/>
        </w:rPr>
        <w:t>+</w:t>
      </w:r>
      <w:r w:rsidR="00C625A8">
        <w:rPr>
          <w:rFonts w:ascii="Arial" w:hAnsi="Arial" w:cs="Arial"/>
          <w:sz w:val="20"/>
          <w:szCs w:val="20"/>
          <w:lang w:val="en-GB"/>
        </w:rPr>
        <w:t xml:space="preserve"> </w:t>
      </w:r>
      <w:r w:rsidRPr="00633FF0">
        <w:rPr>
          <w:rFonts w:ascii="Arial" w:hAnsi="Arial" w:cs="Arial"/>
          <w:sz w:val="20"/>
          <w:szCs w:val="20"/>
          <w:lang w:val="en-GB"/>
        </w:rPr>
        <w:t>4%)</w:t>
      </w:r>
      <w:r w:rsidRPr="00633FF0">
        <w:rPr>
          <w:rFonts w:ascii="Arial" w:hAnsi="Arial" w:cs="Arial"/>
          <w:sz w:val="20"/>
          <w:szCs w:val="20"/>
          <w:vertAlign w:val="superscript"/>
          <w:lang w:val="en-GB"/>
        </w:rPr>
        <w:t>4</w:t>
      </w:r>
      <w:r w:rsidRPr="00633FF0">
        <w:rPr>
          <w:rFonts w:ascii="Arial" w:hAnsi="Arial" w:cs="Arial"/>
          <w:sz w:val="20"/>
          <w:szCs w:val="20"/>
          <w:lang w:val="en-GB"/>
        </w:rPr>
        <w:t xml:space="preserve"> = 1.8568</w:t>
      </w:r>
    </w:p>
    <w:p w14:paraId="3E96D657" w14:textId="77777777" w:rsidR="00532643" w:rsidRPr="00633FF0" w:rsidRDefault="00532643" w:rsidP="006D2379">
      <w:pPr>
        <w:pStyle w:val="ExhibitText"/>
        <w:rPr>
          <w:lang w:val="en-GB"/>
        </w:rPr>
      </w:pPr>
    </w:p>
    <w:p w14:paraId="3BA9A232" w14:textId="2A4FDBF7" w:rsidR="00532643" w:rsidRPr="00633FF0" w:rsidRDefault="00532643" w:rsidP="006D2379">
      <w:pPr>
        <w:pStyle w:val="Footnote"/>
        <w:rPr>
          <w:lang w:val="en-GB"/>
        </w:rPr>
      </w:pPr>
      <w:r w:rsidRPr="00633FF0">
        <w:rPr>
          <w:lang w:val="en-GB"/>
        </w:rPr>
        <w:t xml:space="preserve">Source: Created by </w:t>
      </w:r>
      <w:r w:rsidR="00D576E9">
        <w:rPr>
          <w:lang w:val="en-GB"/>
        </w:rPr>
        <w:t xml:space="preserve">the </w:t>
      </w:r>
      <w:r w:rsidRPr="00633FF0">
        <w:rPr>
          <w:lang w:val="en-GB"/>
        </w:rPr>
        <w:t>author.</w:t>
      </w:r>
    </w:p>
    <w:p w14:paraId="75C022CA" w14:textId="58C68F2B" w:rsidR="00532643" w:rsidRPr="00633FF0" w:rsidRDefault="00532643" w:rsidP="006D2379">
      <w:pPr>
        <w:pStyle w:val="ExhibitText"/>
        <w:rPr>
          <w:lang w:val="en-GB"/>
        </w:rPr>
      </w:pPr>
    </w:p>
    <w:p w14:paraId="546F5802" w14:textId="387E195C" w:rsidR="006D2379" w:rsidRPr="00633FF0" w:rsidRDefault="006D2379">
      <w:pPr>
        <w:spacing w:after="200" w:line="276" w:lineRule="auto"/>
        <w:rPr>
          <w:rFonts w:ascii="Arial" w:hAnsi="Arial" w:cs="Arial"/>
          <w:lang w:val="en-GB"/>
        </w:rPr>
      </w:pPr>
      <w:r w:rsidRPr="00633FF0">
        <w:rPr>
          <w:lang w:val="en-GB"/>
        </w:rPr>
        <w:br w:type="page"/>
      </w:r>
    </w:p>
    <w:p w14:paraId="5EA522B1" w14:textId="77777777" w:rsidR="005D18AE" w:rsidRPr="00633FF0" w:rsidRDefault="005D18AE" w:rsidP="005D18AE">
      <w:pPr>
        <w:pStyle w:val="ExhibitHeading"/>
        <w:rPr>
          <w:lang w:val="en-GB"/>
        </w:rPr>
      </w:pPr>
      <w:r w:rsidRPr="00633FF0">
        <w:rPr>
          <w:lang w:val="en-GB"/>
        </w:rPr>
        <w:lastRenderedPageBreak/>
        <w:t xml:space="preserve">Exhibit </w:t>
      </w:r>
      <w:r>
        <w:rPr>
          <w:lang w:val="en-GB"/>
        </w:rPr>
        <w:t>5</w:t>
      </w:r>
      <w:r w:rsidRPr="00633FF0">
        <w:rPr>
          <w:lang w:val="en-GB"/>
        </w:rPr>
        <w:t>: Valuations of Comparable, Publicly Listed Firms</w:t>
      </w:r>
    </w:p>
    <w:p w14:paraId="0030D4E5" w14:textId="77777777" w:rsidR="005D18AE" w:rsidRPr="00633FF0" w:rsidRDefault="005D18AE" w:rsidP="005D18AE">
      <w:pPr>
        <w:pStyle w:val="ExhibitText"/>
        <w:rPr>
          <w:lang w:val="en-GB"/>
        </w:rPr>
      </w:pPr>
    </w:p>
    <w:tbl>
      <w:tblPr>
        <w:tblStyle w:val="TableGrid"/>
        <w:tblW w:w="0" w:type="auto"/>
        <w:jc w:val="center"/>
        <w:tblLook w:val="04A0" w:firstRow="1" w:lastRow="0" w:firstColumn="1" w:lastColumn="0" w:noHBand="0" w:noVBand="1"/>
      </w:tblPr>
      <w:tblGrid>
        <w:gridCol w:w="2515"/>
        <w:gridCol w:w="1890"/>
        <w:gridCol w:w="1440"/>
        <w:gridCol w:w="1530"/>
        <w:gridCol w:w="1530"/>
      </w:tblGrid>
      <w:tr w:rsidR="005D18AE" w:rsidRPr="00633FF0" w14:paraId="49B293D5" w14:textId="77777777" w:rsidTr="005D18AE">
        <w:trPr>
          <w:trHeight w:val="450"/>
          <w:jc w:val="center"/>
        </w:trPr>
        <w:tc>
          <w:tcPr>
            <w:tcW w:w="2515" w:type="dxa"/>
            <w:shd w:val="clear" w:color="auto" w:fill="auto"/>
            <w:hideMark/>
          </w:tcPr>
          <w:p w14:paraId="6C63FA94" w14:textId="77777777" w:rsidR="005D18AE" w:rsidRPr="00633FF0" w:rsidRDefault="005D18AE" w:rsidP="005D18AE">
            <w:pPr>
              <w:pStyle w:val="ExhibitText"/>
              <w:jc w:val="center"/>
              <w:rPr>
                <w:b/>
                <w:lang w:val="en-GB"/>
              </w:rPr>
            </w:pPr>
            <w:r w:rsidRPr="00633FF0">
              <w:rPr>
                <w:b/>
                <w:lang w:val="en-GB"/>
              </w:rPr>
              <w:t>Company Name</w:t>
            </w:r>
          </w:p>
        </w:tc>
        <w:tc>
          <w:tcPr>
            <w:tcW w:w="1890" w:type="dxa"/>
            <w:shd w:val="clear" w:color="auto" w:fill="auto"/>
            <w:hideMark/>
          </w:tcPr>
          <w:p w14:paraId="5290F21B" w14:textId="77777777" w:rsidR="005D18AE" w:rsidRPr="00633FF0" w:rsidRDefault="005D18AE" w:rsidP="005D18AE">
            <w:pPr>
              <w:pStyle w:val="ExhibitText"/>
              <w:jc w:val="center"/>
              <w:rPr>
                <w:b/>
                <w:lang w:val="en-GB"/>
              </w:rPr>
            </w:pPr>
            <w:r w:rsidRPr="00633FF0">
              <w:rPr>
                <w:b/>
                <w:lang w:val="en-GB"/>
              </w:rPr>
              <w:t xml:space="preserve">TEV/Total Revenues LTM </w:t>
            </w:r>
            <w:r>
              <w:rPr>
                <w:b/>
                <w:lang w:val="en-GB"/>
              </w:rPr>
              <w:t>–</w:t>
            </w:r>
            <w:r w:rsidRPr="00633FF0">
              <w:rPr>
                <w:b/>
                <w:lang w:val="en-GB"/>
              </w:rPr>
              <w:t xml:space="preserve"> Latest</w:t>
            </w:r>
          </w:p>
        </w:tc>
        <w:tc>
          <w:tcPr>
            <w:tcW w:w="1440" w:type="dxa"/>
            <w:shd w:val="clear" w:color="auto" w:fill="auto"/>
            <w:hideMark/>
          </w:tcPr>
          <w:p w14:paraId="1DA4E514" w14:textId="77777777" w:rsidR="005D18AE" w:rsidRPr="00633FF0" w:rsidRDefault="005D18AE" w:rsidP="005D18AE">
            <w:pPr>
              <w:pStyle w:val="ExhibitText"/>
              <w:jc w:val="center"/>
              <w:rPr>
                <w:b/>
                <w:lang w:val="en-GB"/>
              </w:rPr>
            </w:pPr>
            <w:r w:rsidRPr="00633FF0">
              <w:rPr>
                <w:b/>
                <w:lang w:val="en-GB"/>
              </w:rPr>
              <w:t xml:space="preserve">TEV/EBITDA LTM </w:t>
            </w:r>
            <w:r>
              <w:rPr>
                <w:b/>
                <w:lang w:val="en-GB"/>
              </w:rPr>
              <w:t>–</w:t>
            </w:r>
            <w:r w:rsidRPr="00633FF0">
              <w:rPr>
                <w:b/>
                <w:lang w:val="en-GB"/>
              </w:rPr>
              <w:t xml:space="preserve"> Latest</w:t>
            </w:r>
          </w:p>
        </w:tc>
        <w:tc>
          <w:tcPr>
            <w:tcW w:w="1530" w:type="dxa"/>
            <w:shd w:val="clear" w:color="auto" w:fill="auto"/>
            <w:hideMark/>
          </w:tcPr>
          <w:p w14:paraId="59F4FFFD" w14:textId="77777777" w:rsidR="005D18AE" w:rsidRPr="00633FF0" w:rsidRDefault="005D18AE" w:rsidP="005D18AE">
            <w:pPr>
              <w:pStyle w:val="ExhibitText"/>
              <w:jc w:val="center"/>
              <w:rPr>
                <w:b/>
                <w:lang w:val="en-GB"/>
              </w:rPr>
            </w:pPr>
            <w:r w:rsidRPr="00633FF0">
              <w:rPr>
                <w:b/>
                <w:lang w:val="en-GB"/>
              </w:rPr>
              <w:t xml:space="preserve">TEV/EBIT LTM </w:t>
            </w:r>
            <w:r>
              <w:rPr>
                <w:b/>
                <w:lang w:val="en-GB"/>
              </w:rPr>
              <w:t>–</w:t>
            </w:r>
            <w:r w:rsidRPr="00633FF0">
              <w:rPr>
                <w:b/>
                <w:lang w:val="en-GB"/>
              </w:rPr>
              <w:t xml:space="preserve"> Latest</w:t>
            </w:r>
          </w:p>
        </w:tc>
        <w:tc>
          <w:tcPr>
            <w:tcW w:w="1530" w:type="dxa"/>
            <w:shd w:val="clear" w:color="auto" w:fill="auto"/>
            <w:hideMark/>
          </w:tcPr>
          <w:p w14:paraId="270D70F1" w14:textId="77777777" w:rsidR="005D18AE" w:rsidRPr="00633FF0" w:rsidRDefault="005D18AE" w:rsidP="005D18AE">
            <w:pPr>
              <w:pStyle w:val="ExhibitText"/>
              <w:jc w:val="center"/>
              <w:rPr>
                <w:b/>
                <w:lang w:val="en-GB"/>
              </w:rPr>
            </w:pPr>
            <w:r w:rsidRPr="00633FF0">
              <w:rPr>
                <w:b/>
                <w:lang w:val="en-GB"/>
              </w:rPr>
              <w:t>P/</w:t>
            </w:r>
            <w:proofErr w:type="spellStart"/>
            <w:r w:rsidRPr="00633FF0">
              <w:rPr>
                <w:b/>
                <w:lang w:val="en-GB"/>
              </w:rPr>
              <w:t>TangBV</w:t>
            </w:r>
            <w:proofErr w:type="spellEnd"/>
            <w:r w:rsidRPr="00633FF0">
              <w:rPr>
                <w:b/>
                <w:lang w:val="en-GB"/>
              </w:rPr>
              <w:t xml:space="preserve"> LTM </w:t>
            </w:r>
            <w:r>
              <w:rPr>
                <w:b/>
                <w:lang w:val="en-GB"/>
              </w:rPr>
              <w:t>–</w:t>
            </w:r>
            <w:r w:rsidRPr="00633FF0">
              <w:rPr>
                <w:b/>
                <w:lang w:val="en-GB"/>
              </w:rPr>
              <w:t xml:space="preserve"> Latest</w:t>
            </w:r>
          </w:p>
        </w:tc>
      </w:tr>
      <w:tr w:rsidR="005D18AE" w:rsidRPr="00633FF0" w14:paraId="348530FF" w14:textId="77777777" w:rsidTr="005D18AE">
        <w:trPr>
          <w:trHeight w:val="240"/>
          <w:jc w:val="center"/>
        </w:trPr>
        <w:tc>
          <w:tcPr>
            <w:tcW w:w="2515" w:type="dxa"/>
            <w:shd w:val="clear" w:color="auto" w:fill="auto"/>
            <w:hideMark/>
          </w:tcPr>
          <w:p w14:paraId="62DE3AC1" w14:textId="77777777" w:rsidR="005D18AE" w:rsidRPr="00633FF0" w:rsidRDefault="005D18AE" w:rsidP="005D18AE">
            <w:pPr>
              <w:pStyle w:val="ExhibitText"/>
              <w:jc w:val="left"/>
              <w:rPr>
                <w:b/>
                <w:lang w:val="en-GB"/>
              </w:rPr>
            </w:pPr>
            <w:r w:rsidRPr="00633FF0">
              <w:rPr>
                <w:b/>
                <w:lang w:val="en-GB"/>
              </w:rPr>
              <w:t>Schneider Electric S.E. (ENXTPA:SU)</w:t>
            </w:r>
          </w:p>
        </w:tc>
        <w:tc>
          <w:tcPr>
            <w:tcW w:w="1890" w:type="dxa"/>
            <w:shd w:val="clear" w:color="auto" w:fill="auto"/>
            <w:hideMark/>
          </w:tcPr>
          <w:p w14:paraId="0280D8EE" w14:textId="77777777" w:rsidR="005D18AE" w:rsidRPr="00633FF0" w:rsidRDefault="005D18AE" w:rsidP="005D18AE">
            <w:pPr>
              <w:pStyle w:val="ExhibitText"/>
              <w:tabs>
                <w:tab w:val="decimal" w:pos="878"/>
              </w:tabs>
              <w:rPr>
                <w:lang w:val="en-GB"/>
              </w:rPr>
            </w:pPr>
            <w:r w:rsidRPr="00633FF0">
              <w:rPr>
                <w:lang w:val="en-GB"/>
              </w:rPr>
              <w:t>1.7x</w:t>
            </w:r>
          </w:p>
        </w:tc>
        <w:tc>
          <w:tcPr>
            <w:tcW w:w="1440" w:type="dxa"/>
            <w:shd w:val="clear" w:color="auto" w:fill="auto"/>
            <w:hideMark/>
          </w:tcPr>
          <w:p w14:paraId="240EDBA2" w14:textId="77777777" w:rsidR="005D18AE" w:rsidRPr="00633FF0" w:rsidRDefault="005D18AE" w:rsidP="005D18AE">
            <w:pPr>
              <w:pStyle w:val="ExhibitText"/>
              <w:tabs>
                <w:tab w:val="decimal" w:pos="610"/>
              </w:tabs>
              <w:rPr>
                <w:lang w:val="en-GB"/>
              </w:rPr>
            </w:pPr>
            <w:r w:rsidRPr="00633FF0">
              <w:rPr>
                <w:lang w:val="en-GB"/>
              </w:rPr>
              <w:t>10.8x</w:t>
            </w:r>
          </w:p>
        </w:tc>
        <w:tc>
          <w:tcPr>
            <w:tcW w:w="1530" w:type="dxa"/>
            <w:shd w:val="clear" w:color="auto" w:fill="auto"/>
            <w:hideMark/>
          </w:tcPr>
          <w:p w14:paraId="690CA008" w14:textId="77777777" w:rsidR="005D18AE" w:rsidRPr="00633FF0" w:rsidRDefault="005D18AE" w:rsidP="005D18AE">
            <w:pPr>
              <w:pStyle w:val="ExhibitText"/>
              <w:tabs>
                <w:tab w:val="decimal" w:pos="700"/>
              </w:tabs>
              <w:rPr>
                <w:lang w:val="en-GB"/>
              </w:rPr>
            </w:pPr>
            <w:r w:rsidRPr="00633FF0">
              <w:rPr>
                <w:lang w:val="en-GB"/>
              </w:rPr>
              <w:t>12.5x</w:t>
            </w:r>
          </w:p>
        </w:tc>
        <w:tc>
          <w:tcPr>
            <w:tcW w:w="1530" w:type="dxa"/>
            <w:shd w:val="clear" w:color="auto" w:fill="auto"/>
            <w:hideMark/>
          </w:tcPr>
          <w:p w14:paraId="24643D02" w14:textId="77777777" w:rsidR="005D18AE" w:rsidRPr="00633FF0" w:rsidRDefault="005D18AE" w:rsidP="005D18AE">
            <w:pPr>
              <w:pStyle w:val="ExhibitText"/>
              <w:tabs>
                <w:tab w:val="decimal" w:pos="702"/>
              </w:tabs>
              <w:rPr>
                <w:lang w:val="en-GB"/>
              </w:rPr>
            </w:pPr>
            <w:r w:rsidRPr="00633FF0">
              <w:rPr>
                <w:lang w:val="en-GB"/>
              </w:rPr>
              <w:t>NM</w:t>
            </w:r>
          </w:p>
        </w:tc>
      </w:tr>
      <w:tr w:rsidR="005D18AE" w:rsidRPr="00633FF0" w14:paraId="4853187B" w14:textId="77777777" w:rsidTr="005D18AE">
        <w:trPr>
          <w:trHeight w:val="240"/>
          <w:jc w:val="center"/>
        </w:trPr>
        <w:tc>
          <w:tcPr>
            <w:tcW w:w="2515" w:type="dxa"/>
            <w:shd w:val="clear" w:color="auto" w:fill="auto"/>
            <w:hideMark/>
          </w:tcPr>
          <w:p w14:paraId="74B5741C" w14:textId="77777777" w:rsidR="005D18AE" w:rsidRPr="00633FF0" w:rsidRDefault="005D18AE" w:rsidP="005D18AE">
            <w:pPr>
              <w:pStyle w:val="ExhibitText"/>
              <w:jc w:val="left"/>
              <w:rPr>
                <w:b/>
                <w:lang w:val="en-GB"/>
              </w:rPr>
            </w:pPr>
            <w:r w:rsidRPr="00633FF0">
              <w:rPr>
                <w:b/>
                <w:lang w:val="en-GB"/>
              </w:rPr>
              <w:t>Eaton Corporation plc (</w:t>
            </w:r>
            <w:proofErr w:type="gramStart"/>
            <w:r w:rsidRPr="00633FF0">
              <w:rPr>
                <w:b/>
                <w:lang w:val="en-GB"/>
              </w:rPr>
              <w:t>NYSE:ETN</w:t>
            </w:r>
            <w:proofErr w:type="gramEnd"/>
            <w:r w:rsidRPr="00633FF0">
              <w:rPr>
                <w:b/>
                <w:lang w:val="en-GB"/>
              </w:rPr>
              <w:t>)</w:t>
            </w:r>
          </w:p>
        </w:tc>
        <w:tc>
          <w:tcPr>
            <w:tcW w:w="1890" w:type="dxa"/>
            <w:shd w:val="clear" w:color="auto" w:fill="auto"/>
            <w:hideMark/>
          </w:tcPr>
          <w:p w14:paraId="70344F54" w14:textId="77777777" w:rsidR="005D18AE" w:rsidRPr="00633FF0" w:rsidRDefault="005D18AE" w:rsidP="005D18AE">
            <w:pPr>
              <w:pStyle w:val="ExhibitText"/>
              <w:tabs>
                <w:tab w:val="decimal" w:pos="878"/>
              </w:tabs>
              <w:rPr>
                <w:lang w:val="en-GB"/>
              </w:rPr>
            </w:pPr>
            <w:r w:rsidRPr="00633FF0">
              <w:rPr>
                <w:lang w:val="en-GB"/>
              </w:rPr>
              <w:t>1.9x</w:t>
            </w:r>
          </w:p>
        </w:tc>
        <w:tc>
          <w:tcPr>
            <w:tcW w:w="1440" w:type="dxa"/>
            <w:shd w:val="clear" w:color="auto" w:fill="auto"/>
            <w:hideMark/>
          </w:tcPr>
          <w:p w14:paraId="21D43EC8" w14:textId="77777777" w:rsidR="005D18AE" w:rsidRPr="00633FF0" w:rsidRDefault="005D18AE" w:rsidP="005D18AE">
            <w:pPr>
              <w:pStyle w:val="ExhibitText"/>
              <w:tabs>
                <w:tab w:val="decimal" w:pos="610"/>
              </w:tabs>
              <w:rPr>
                <w:lang w:val="en-GB"/>
              </w:rPr>
            </w:pPr>
            <w:r w:rsidRPr="00633FF0">
              <w:rPr>
                <w:lang w:val="en-GB"/>
              </w:rPr>
              <w:t>11.7x</w:t>
            </w:r>
          </w:p>
        </w:tc>
        <w:tc>
          <w:tcPr>
            <w:tcW w:w="1530" w:type="dxa"/>
            <w:shd w:val="clear" w:color="auto" w:fill="auto"/>
            <w:hideMark/>
          </w:tcPr>
          <w:p w14:paraId="66793C78" w14:textId="77777777" w:rsidR="005D18AE" w:rsidRPr="00633FF0" w:rsidRDefault="005D18AE" w:rsidP="005D18AE">
            <w:pPr>
              <w:pStyle w:val="ExhibitText"/>
              <w:tabs>
                <w:tab w:val="decimal" w:pos="700"/>
              </w:tabs>
              <w:rPr>
                <w:lang w:val="en-GB"/>
              </w:rPr>
            </w:pPr>
            <w:r w:rsidRPr="00633FF0">
              <w:rPr>
                <w:lang w:val="en-GB"/>
              </w:rPr>
              <w:t>16.4x</w:t>
            </w:r>
          </w:p>
        </w:tc>
        <w:tc>
          <w:tcPr>
            <w:tcW w:w="1530" w:type="dxa"/>
            <w:shd w:val="clear" w:color="auto" w:fill="auto"/>
            <w:hideMark/>
          </w:tcPr>
          <w:p w14:paraId="5411C22D" w14:textId="77777777" w:rsidR="005D18AE" w:rsidRPr="00633FF0" w:rsidRDefault="005D18AE" w:rsidP="005D18AE">
            <w:pPr>
              <w:pStyle w:val="ExhibitText"/>
              <w:tabs>
                <w:tab w:val="decimal" w:pos="702"/>
              </w:tabs>
              <w:rPr>
                <w:lang w:val="en-GB"/>
              </w:rPr>
            </w:pPr>
            <w:r w:rsidRPr="00633FF0">
              <w:rPr>
                <w:lang w:val="en-GB"/>
              </w:rPr>
              <w:t>NM</w:t>
            </w:r>
          </w:p>
        </w:tc>
      </w:tr>
      <w:tr w:rsidR="005D18AE" w:rsidRPr="00633FF0" w14:paraId="5078BBC7" w14:textId="77777777" w:rsidTr="005D18AE">
        <w:trPr>
          <w:trHeight w:val="240"/>
          <w:jc w:val="center"/>
        </w:trPr>
        <w:tc>
          <w:tcPr>
            <w:tcW w:w="2515" w:type="dxa"/>
            <w:shd w:val="clear" w:color="auto" w:fill="auto"/>
            <w:hideMark/>
          </w:tcPr>
          <w:p w14:paraId="36DF023F" w14:textId="77777777" w:rsidR="005D18AE" w:rsidRPr="00633FF0" w:rsidRDefault="005D18AE" w:rsidP="005D18AE">
            <w:pPr>
              <w:pStyle w:val="ExhibitText"/>
              <w:jc w:val="left"/>
              <w:rPr>
                <w:b/>
                <w:lang w:val="en-GB"/>
              </w:rPr>
            </w:pPr>
            <w:r w:rsidRPr="00633FF0">
              <w:rPr>
                <w:b/>
                <w:lang w:val="en-GB"/>
              </w:rPr>
              <w:t>Atlas Copco AB (</w:t>
            </w:r>
            <w:proofErr w:type="gramStart"/>
            <w:r w:rsidRPr="00633FF0">
              <w:rPr>
                <w:b/>
                <w:lang w:val="en-GB"/>
              </w:rPr>
              <w:t>OM:ATCO</w:t>
            </w:r>
            <w:proofErr w:type="gramEnd"/>
            <w:r w:rsidRPr="00633FF0">
              <w:rPr>
                <w:b/>
                <w:lang w:val="en-GB"/>
              </w:rPr>
              <w:t xml:space="preserve"> A)</w:t>
            </w:r>
          </w:p>
        </w:tc>
        <w:tc>
          <w:tcPr>
            <w:tcW w:w="1890" w:type="dxa"/>
            <w:shd w:val="clear" w:color="auto" w:fill="auto"/>
            <w:hideMark/>
          </w:tcPr>
          <w:p w14:paraId="24660361" w14:textId="77777777" w:rsidR="005D18AE" w:rsidRPr="00633FF0" w:rsidRDefault="005D18AE" w:rsidP="005D18AE">
            <w:pPr>
              <w:pStyle w:val="ExhibitText"/>
              <w:tabs>
                <w:tab w:val="decimal" w:pos="878"/>
              </w:tabs>
              <w:rPr>
                <w:lang w:val="en-GB"/>
              </w:rPr>
            </w:pPr>
            <w:r w:rsidRPr="00633FF0">
              <w:rPr>
                <w:lang w:val="en-GB"/>
              </w:rPr>
              <w:t>3.4x</w:t>
            </w:r>
          </w:p>
        </w:tc>
        <w:tc>
          <w:tcPr>
            <w:tcW w:w="1440" w:type="dxa"/>
            <w:shd w:val="clear" w:color="auto" w:fill="auto"/>
            <w:hideMark/>
          </w:tcPr>
          <w:p w14:paraId="789C6791" w14:textId="77777777" w:rsidR="005D18AE" w:rsidRPr="00633FF0" w:rsidRDefault="005D18AE" w:rsidP="005D18AE">
            <w:pPr>
              <w:pStyle w:val="ExhibitText"/>
              <w:tabs>
                <w:tab w:val="decimal" w:pos="610"/>
              </w:tabs>
              <w:rPr>
                <w:lang w:val="en-GB"/>
              </w:rPr>
            </w:pPr>
            <w:r w:rsidRPr="00633FF0">
              <w:rPr>
                <w:lang w:val="en-GB"/>
              </w:rPr>
              <w:t>15.2x</w:t>
            </w:r>
          </w:p>
        </w:tc>
        <w:tc>
          <w:tcPr>
            <w:tcW w:w="1530" w:type="dxa"/>
            <w:shd w:val="clear" w:color="auto" w:fill="auto"/>
            <w:hideMark/>
          </w:tcPr>
          <w:p w14:paraId="233E22E2" w14:textId="77777777" w:rsidR="005D18AE" w:rsidRPr="00633FF0" w:rsidRDefault="005D18AE" w:rsidP="005D18AE">
            <w:pPr>
              <w:pStyle w:val="ExhibitText"/>
              <w:tabs>
                <w:tab w:val="decimal" w:pos="700"/>
              </w:tabs>
              <w:rPr>
                <w:lang w:val="en-GB"/>
              </w:rPr>
            </w:pPr>
            <w:r w:rsidRPr="00633FF0">
              <w:rPr>
                <w:lang w:val="en-GB"/>
              </w:rPr>
              <w:t>18.1x</w:t>
            </w:r>
          </w:p>
        </w:tc>
        <w:tc>
          <w:tcPr>
            <w:tcW w:w="1530" w:type="dxa"/>
            <w:shd w:val="clear" w:color="auto" w:fill="auto"/>
            <w:hideMark/>
          </w:tcPr>
          <w:p w14:paraId="21CCFFA9" w14:textId="77777777" w:rsidR="005D18AE" w:rsidRPr="00633FF0" w:rsidRDefault="005D18AE" w:rsidP="005D18AE">
            <w:pPr>
              <w:pStyle w:val="ExhibitText"/>
              <w:tabs>
                <w:tab w:val="decimal" w:pos="702"/>
              </w:tabs>
              <w:rPr>
                <w:lang w:val="en-GB"/>
              </w:rPr>
            </w:pPr>
            <w:r w:rsidRPr="00633FF0">
              <w:rPr>
                <w:lang w:val="en-GB"/>
              </w:rPr>
              <w:t>30.6x</w:t>
            </w:r>
          </w:p>
        </w:tc>
      </w:tr>
      <w:tr w:rsidR="005D18AE" w:rsidRPr="00633FF0" w14:paraId="6EDB33F0" w14:textId="77777777" w:rsidTr="005D18AE">
        <w:trPr>
          <w:trHeight w:val="240"/>
          <w:jc w:val="center"/>
        </w:trPr>
        <w:tc>
          <w:tcPr>
            <w:tcW w:w="2515" w:type="dxa"/>
            <w:shd w:val="clear" w:color="auto" w:fill="auto"/>
            <w:hideMark/>
          </w:tcPr>
          <w:p w14:paraId="42C8A2C6" w14:textId="77777777" w:rsidR="005D18AE" w:rsidRPr="00633FF0" w:rsidRDefault="005D18AE" w:rsidP="005D18AE">
            <w:pPr>
              <w:pStyle w:val="ExhibitText"/>
              <w:jc w:val="left"/>
              <w:rPr>
                <w:b/>
                <w:lang w:val="en-GB"/>
              </w:rPr>
            </w:pPr>
            <w:r w:rsidRPr="00633FF0">
              <w:rPr>
                <w:b/>
                <w:lang w:val="en-GB"/>
              </w:rPr>
              <w:t xml:space="preserve">Siemens </w:t>
            </w:r>
            <w:proofErr w:type="spellStart"/>
            <w:r w:rsidRPr="00633FF0">
              <w:rPr>
                <w:b/>
                <w:lang w:val="en-GB"/>
              </w:rPr>
              <w:t>Aktiengesellschaft</w:t>
            </w:r>
            <w:proofErr w:type="spellEnd"/>
            <w:r w:rsidRPr="00633FF0">
              <w:rPr>
                <w:b/>
                <w:lang w:val="en-GB"/>
              </w:rPr>
              <w:t xml:space="preserve"> (</w:t>
            </w:r>
            <w:proofErr w:type="gramStart"/>
            <w:r w:rsidRPr="00633FF0">
              <w:rPr>
                <w:b/>
                <w:lang w:val="en-GB"/>
              </w:rPr>
              <w:t>DB:SIE</w:t>
            </w:r>
            <w:proofErr w:type="gramEnd"/>
            <w:r w:rsidRPr="00633FF0">
              <w:rPr>
                <w:b/>
                <w:lang w:val="en-GB"/>
              </w:rPr>
              <w:t>)</w:t>
            </w:r>
          </w:p>
        </w:tc>
        <w:tc>
          <w:tcPr>
            <w:tcW w:w="1890" w:type="dxa"/>
            <w:shd w:val="clear" w:color="auto" w:fill="auto"/>
            <w:hideMark/>
          </w:tcPr>
          <w:p w14:paraId="26196BD6" w14:textId="77777777" w:rsidR="005D18AE" w:rsidRPr="00633FF0" w:rsidRDefault="005D18AE" w:rsidP="005D18AE">
            <w:pPr>
              <w:pStyle w:val="ExhibitText"/>
              <w:tabs>
                <w:tab w:val="decimal" w:pos="878"/>
              </w:tabs>
              <w:rPr>
                <w:lang w:val="en-GB"/>
              </w:rPr>
            </w:pPr>
            <w:r w:rsidRPr="00633FF0">
              <w:rPr>
                <w:lang w:val="en-GB"/>
              </w:rPr>
              <w:t>1.4x</w:t>
            </w:r>
          </w:p>
        </w:tc>
        <w:tc>
          <w:tcPr>
            <w:tcW w:w="1440" w:type="dxa"/>
            <w:shd w:val="clear" w:color="auto" w:fill="auto"/>
            <w:hideMark/>
          </w:tcPr>
          <w:p w14:paraId="384AA56B" w14:textId="77777777" w:rsidR="005D18AE" w:rsidRPr="00633FF0" w:rsidRDefault="005D18AE" w:rsidP="005D18AE">
            <w:pPr>
              <w:pStyle w:val="ExhibitText"/>
              <w:tabs>
                <w:tab w:val="decimal" w:pos="610"/>
              </w:tabs>
              <w:rPr>
                <w:lang w:val="en-GB"/>
              </w:rPr>
            </w:pPr>
            <w:r w:rsidRPr="00633FF0">
              <w:rPr>
                <w:lang w:val="en-GB"/>
              </w:rPr>
              <w:t>11.4x</w:t>
            </w:r>
          </w:p>
        </w:tc>
        <w:tc>
          <w:tcPr>
            <w:tcW w:w="1530" w:type="dxa"/>
            <w:shd w:val="clear" w:color="auto" w:fill="auto"/>
            <w:hideMark/>
          </w:tcPr>
          <w:p w14:paraId="22B8C7F3" w14:textId="77777777" w:rsidR="005D18AE" w:rsidRPr="00633FF0" w:rsidRDefault="005D18AE" w:rsidP="005D18AE">
            <w:pPr>
              <w:pStyle w:val="ExhibitText"/>
              <w:tabs>
                <w:tab w:val="decimal" w:pos="700"/>
              </w:tabs>
              <w:rPr>
                <w:lang w:val="en-GB"/>
              </w:rPr>
            </w:pPr>
            <w:r w:rsidRPr="00633FF0">
              <w:rPr>
                <w:lang w:val="en-GB"/>
              </w:rPr>
              <w:t>15.4x</w:t>
            </w:r>
          </w:p>
        </w:tc>
        <w:tc>
          <w:tcPr>
            <w:tcW w:w="1530" w:type="dxa"/>
            <w:shd w:val="clear" w:color="auto" w:fill="auto"/>
            <w:hideMark/>
          </w:tcPr>
          <w:p w14:paraId="25DB7318" w14:textId="77777777" w:rsidR="005D18AE" w:rsidRPr="00633FF0" w:rsidRDefault="005D18AE" w:rsidP="005D18AE">
            <w:pPr>
              <w:pStyle w:val="ExhibitText"/>
              <w:tabs>
                <w:tab w:val="decimal" w:pos="702"/>
              </w:tabs>
              <w:rPr>
                <w:lang w:val="en-GB"/>
              </w:rPr>
            </w:pPr>
            <w:r w:rsidRPr="00633FF0">
              <w:rPr>
                <w:lang w:val="en-GB"/>
              </w:rPr>
              <w:t>40.6x</w:t>
            </w:r>
          </w:p>
        </w:tc>
      </w:tr>
      <w:tr w:rsidR="005D18AE" w:rsidRPr="00633FF0" w14:paraId="70DA42DD" w14:textId="77777777" w:rsidTr="005D18AE">
        <w:trPr>
          <w:trHeight w:val="240"/>
          <w:jc w:val="center"/>
        </w:trPr>
        <w:tc>
          <w:tcPr>
            <w:tcW w:w="2515" w:type="dxa"/>
            <w:shd w:val="clear" w:color="auto" w:fill="auto"/>
            <w:hideMark/>
          </w:tcPr>
          <w:p w14:paraId="6A645E51" w14:textId="77777777" w:rsidR="005D18AE" w:rsidRPr="00633FF0" w:rsidRDefault="005D18AE" w:rsidP="005D18AE">
            <w:pPr>
              <w:pStyle w:val="ExhibitText"/>
              <w:jc w:val="left"/>
              <w:rPr>
                <w:b/>
                <w:lang w:val="en-GB"/>
              </w:rPr>
            </w:pPr>
            <w:r w:rsidRPr="00633FF0">
              <w:rPr>
                <w:b/>
                <w:lang w:val="en-GB"/>
              </w:rPr>
              <w:t>NKT A/S (</w:t>
            </w:r>
            <w:proofErr w:type="gramStart"/>
            <w:r w:rsidRPr="00633FF0">
              <w:rPr>
                <w:b/>
                <w:lang w:val="en-GB"/>
              </w:rPr>
              <w:t>CPSE:NKT</w:t>
            </w:r>
            <w:proofErr w:type="gramEnd"/>
            <w:r w:rsidRPr="00633FF0">
              <w:rPr>
                <w:b/>
                <w:lang w:val="en-GB"/>
              </w:rPr>
              <w:t>)</w:t>
            </w:r>
          </w:p>
        </w:tc>
        <w:tc>
          <w:tcPr>
            <w:tcW w:w="1890" w:type="dxa"/>
            <w:shd w:val="clear" w:color="auto" w:fill="auto"/>
            <w:hideMark/>
          </w:tcPr>
          <w:p w14:paraId="27834B6E" w14:textId="77777777" w:rsidR="005D18AE" w:rsidRPr="00633FF0" w:rsidRDefault="005D18AE" w:rsidP="005D18AE">
            <w:pPr>
              <w:pStyle w:val="ExhibitText"/>
              <w:tabs>
                <w:tab w:val="decimal" w:pos="878"/>
              </w:tabs>
              <w:rPr>
                <w:lang w:val="en-GB"/>
              </w:rPr>
            </w:pPr>
            <w:r w:rsidRPr="00633FF0">
              <w:rPr>
                <w:lang w:val="en-GB"/>
              </w:rPr>
              <w:t>0.9x</w:t>
            </w:r>
          </w:p>
        </w:tc>
        <w:tc>
          <w:tcPr>
            <w:tcW w:w="1440" w:type="dxa"/>
            <w:shd w:val="clear" w:color="auto" w:fill="auto"/>
            <w:hideMark/>
          </w:tcPr>
          <w:p w14:paraId="72F1740E" w14:textId="77777777" w:rsidR="005D18AE" w:rsidRPr="00633FF0" w:rsidRDefault="005D18AE" w:rsidP="005D18AE">
            <w:pPr>
              <w:pStyle w:val="ExhibitText"/>
              <w:tabs>
                <w:tab w:val="decimal" w:pos="610"/>
              </w:tabs>
              <w:rPr>
                <w:lang w:val="en-GB"/>
              </w:rPr>
            </w:pPr>
            <w:r w:rsidRPr="00633FF0">
              <w:rPr>
                <w:lang w:val="en-GB"/>
              </w:rPr>
              <w:t>13.4x</w:t>
            </w:r>
          </w:p>
        </w:tc>
        <w:tc>
          <w:tcPr>
            <w:tcW w:w="1530" w:type="dxa"/>
            <w:shd w:val="clear" w:color="auto" w:fill="auto"/>
            <w:hideMark/>
          </w:tcPr>
          <w:p w14:paraId="33FE26A9" w14:textId="77777777" w:rsidR="005D18AE" w:rsidRPr="00633FF0" w:rsidRDefault="005D18AE" w:rsidP="005D18AE">
            <w:pPr>
              <w:pStyle w:val="ExhibitText"/>
              <w:tabs>
                <w:tab w:val="decimal" w:pos="700"/>
              </w:tabs>
              <w:rPr>
                <w:lang w:val="en-GB"/>
              </w:rPr>
            </w:pPr>
            <w:r w:rsidRPr="00633FF0">
              <w:rPr>
                <w:lang w:val="en-GB"/>
              </w:rPr>
              <w:t>23.9x</w:t>
            </w:r>
          </w:p>
        </w:tc>
        <w:tc>
          <w:tcPr>
            <w:tcW w:w="1530" w:type="dxa"/>
            <w:shd w:val="clear" w:color="auto" w:fill="auto"/>
            <w:hideMark/>
          </w:tcPr>
          <w:p w14:paraId="381DF8B0" w14:textId="77777777" w:rsidR="005D18AE" w:rsidRPr="00633FF0" w:rsidRDefault="005D18AE" w:rsidP="005D18AE">
            <w:pPr>
              <w:pStyle w:val="ExhibitText"/>
              <w:tabs>
                <w:tab w:val="decimal" w:pos="702"/>
              </w:tabs>
              <w:rPr>
                <w:lang w:val="en-GB"/>
              </w:rPr>
            </w:pPr>
            <w:r w:rsidRPr="00633FF0">
              <w:rPr>
                <w:lang w:val="en-GB"/>
              </w:rPr>
              <w:t>3.9x</w:t>
            </w:r>
          </w:p>
        </w:tc>
      </w:tr>
      <w:tr w:rsidR="005D18AE" w:rsidRPr="00633FF0" w14:paraId="32489852" w14:textId="77777777" w:rsidTr="005D18AE">
        <w:trPr>
          <w:trHeight w:val="240"/>
          <w:jc w:val="center"/>
        </w:trPr>
        <w:tc>
          <w:tcPr>
            <w:tcW w:w="2515" w:type="dxa"/>
            <w:shd w:val="clear" w:color="auto" w:fill="auto"/>
            <w:hideMark/>
          </w:tcPr>
          <w:p w14:paraId="00440AB4" w14:textId="77777777" w:rsidR="005D18AE" w:rsidRPr="00633FF0" w:rsidRDefault="005D18AE" w:rsidP="005D18AE">
            <w:pPr>
              <w:pStyle w:val="ExhibitText"/>
              <w:jc w:val="left"/>
              <w:rPr>
                <w:b/>
                <w:lang w:val="en-GB"/>
              </w:rPr>
            </w:pPr>
            <w:r w:rsidRPr="00633FF0">
              <w:rPr>
                <w:b/>
                <w:lang w:val="en-GB"/>
              </w:rPr>
              <w:t>Legrand SA (ENXTPA:LR)</w:t>
            </w:r>
          </w:p>
        </w:tc>
        <w:tc>
          <w:tcPr>
            <w:tcW w:w="1890" w:type="dxa"/>
            <w:shd w:val="clear" w:color="auto" w:fill="auto"/>
            <w:hideMark/>
          </w:tcPr>
          <w:p w14:paraId="4D5B5CF4" w14:textId="77777777" w:rsidR="005D18AE" w:rsidRPr="00633FF0" w:rsidRDefault="005D18AE" w:rsidP="005D18AE">
            <w:pPr>
              <w:pStyle w:val="ExhibitText"/>
              <w:tabs>
                <w:tab w:val="decimal" w:pos="878"/>
              </w:tabs>
              <w:rPr>
                <w:lang w:val="en-GB"/>
              </w:rPr>
            </w:pPr>
            <w:r w:rsidRPr="00633FF0">
              <w:rPr>
                <w:lang w:val="en-GB"/>
              </w:rPr>
              <w:t>3.1x</w:t>
            </w:r>
          </w:p>
        </w:tc>
        <w:tc>
          <w:tcPr>
            <w:tcW w:w="1440" w:type="dxa"/>
            <w:shd w:val="clear" w:color="auto" w:fill="auto"/>
            <w:hideMark/>
          </w:tcPr>
          <w:p w14:paraId="4509D402" w14:textId="77777777" w:rsidR="005D18AE" w:rsidRPr="00633FF0" w:rsidRDefault="005D18AE" w:rsidP="005D18AE">
            <w:pPr>
              <w:pStyle w:val="ExhibitText"/>
              <w:tabs>
                <w:tab w:val="decimal" w:pos="610"/>
              </w:tabs>
              <w:rPr>
                <w:lang w:val="en-GB"/>
              </w:rPr>
            </w:pPr>
            <w:r w:rsidRPr="00633FF0">
              <w:rPr>
                <w:lang w:val="en-GB"/>
              </w:rPr>
              <w:t>14.2x</w:t>
            </w:r>
          </w:p>
        </w:tc>
        <w:tc>
          <w:tcPr>
            <w:tcW w:w="1530" w:type="dxa"/>
            <w:shd w:val="clear" w:color="auto" w:fill="auto"/>
            <w:hideMark/>
          </w:tcPr>
          <w:p w14:paraId="25173103" w14:textId="77777777" w:rsidR="005D18AE" w:rsidRPr="00633FF0" w:rsidRDefault="005D18AE" w:rsidP="005D18AE">
            <w:pPr>
              <w:pStyle w:val="ExhibitText"/>
              <w:tabs>
                <w:tab w:val="decimal" w:pos="700"/>
              </w:tabs>
              <w:rPr>
                <w:lang w:val="en-GB"/>
              </w:rPr>
            </w:pPr>
            <w:r w:rsidRPr="00633FF0">
              <w:rPr>
                <w:lang w:val="en-GB"/>
              </w:rPr>
              <w:t>16.3x</w:t>
            </w:r>
          </w:p>
        </w:tc>
        <w:tc>
          <w:tcPr>
            <w:tcW w:w="1530" w:type="dxa"/>
            <w:shd w:val="clear" w:color="auto" w:fill="auto"/>
            <w:hideMark/>
          </w:tcPr>
          <w:p w14:paraId="05C0033B" w14:textId="77777777" w:rsidR="005D18AE" w:rsidRPr="00633FF0" w:rsidRDefault="005D18AE" w:rsidP="005D18AE">
            <w:pPr>
              <w:pStyle w:val="ExhibitText"/>
              <w:tabs>
                <w:tab w:val="decimal" w:pos="702"/>
              </w:tabs>
              <w:rPr>
                <w:lang w:val="en-GB"/>
              </w:rPr>
            </w:pPr>
            <w:r w:rsidRPr="00633FF0">
              <w:rPr>
                <w:lang w:val="en-GB"/>
              </w:rPr>
              <w:t>NM</w:t>
            </w:r>
          </w:p>
        </w:tc>
      </w:tr>
      <w:tr w:rsidR="005D18AE" w:rsidRPr="00633FF0" w14:paraId="5825143A" w14:textId="77777777" w:rsidTr="005D18AE">
        <w:trPr>
          <w:trHeight w:val="240"/>
          <w:jc w:val="center"/>
        </w:trPr>
        <w:tc>
          <w:tcPr>
            <w:tcW w:w="2515" w:type="dxa"/>
            <w:shd w:val="clear" w:color="auto" w:fill="auto"/>
            <w:hideMark/>
          </w:tcPr>
          <w:p w14:paraId="260849DF" w14:textId="77777777" w:rsidR="005D18AE" w:rsidRPr="00633FF0" w:rsidRDefault="005D18AE" w:rsidP="005D18AE">
            <w:pPr>
              <w:pStyle w:val="ExhibitText"/>
              <w:jc w:val="left"/>
              <w:rPr>
                <w:b/>
                <w:lang w:val="en-GB"/>
              </w:rPr>
            </w:pPr>
            <w:r w:rsidRPr="00633FF0">
              <w:rPr>
                <w:b/>
                <w:lang w:val="en-GB"/>
              </w:rPr>
              <w:t>Alstom SA (</w:t>
            </w:r>
            <w:proofErr w:type="gramStart"/>
            <w:r w:rsidRPr="00633FF0">
              <w:rPr>
                <w:b/>
                <w:lang w:val="en-GB"/>
              </w:rPr>
              <w:t>ENXTPA:ALO</w:t>
            </w:r>
            <w:proofErr w:type="gramEnd"/>
            <w:r w:rsidRPr="00633FF0">
              <w:rPr>
                <w:b/>
                <w:lang w:val="en-GB"/>
              </w:rPr>
              <w:t>)</w:t>
            </w:r>
          </w:p>
        </w:tc>
        <w:tc>
          <w:tcPr>
            <w:tcW w:w="1890" w:type="dxa"/>
            <w:shd w:val="clear" w:color="auto" w:fill="auto"/>
            <w:hideMark/>
          </w:tcPr>
          <w:p w14:paraId="2706BFD0" w14:textId="77777777" w:rsidR="005D18AE" w:rsidRPr="00633FF0" w:rsidRDefault="005D18AE" w:rsidP="005D18AE">
            <w:pPr>
              <w:pStyle w:val="ExhibitText"/>
              <w:tabs>
                <w:tab w:val="decimal" w:pos="878"/>
              </w:tabs>
              <w:rPr>
                <w:lang w:val="en-GB"/>
              </w:rPr>
            </w:pPr>
            <w:r w:rsidRPr="00633FF0">
              <w:rPr>
                <w:lang w:val="en-GB"/>
              </w:rPr>
              <w:t>0.8x</w:t>
            </w:r>
          </w:p>
        </w:tc>
        <w:tc>
          <w:tcPr>
            <w:tcW w:w="1440" w:type="dxa"/>
            <w:shd w:val="clear" w:color="auto" w:fill="auto"/>
            <w:hideMark/>
          </w:tcPr>
          <w:p w14:paraId="48F95332" w14:textId="77777777" w:rsidR="005D18AE" w:rsidRPr="00633FF0" w:rsidRDefault="005D18AE" w:rsidP="005D18AE">
            <w:pPr>
              <w:pStyle w:val="ExhibitText"/>
              <w:tabs>
                <w:tab w:val="decimal" w:pos="610"/>
              </w:tabs>
              <w:rPr>
                <w:lang w:val="en-GB"/>
              </w:rPr>
            </w:pPr>
            <w:r w:rsidRPr="00633FF0">
              <w:rPr>
                <w:lang w:val="en-GB"/>
              </w:rPr>
              <w:t>13.1x</w:t>
            </w:r>
          </w:p>
        </w:tc>
        <w:tc>
          <w:tcPr>
            <w:tcW w:w="1530" w:type="dxa"/>
            <w:shd w:val="clear" w:color="auto" w:fill="auto"/>
            <w:hideMark/>
          </w:tcPr>
          <w:p w14:paraId="1FF98DB1" w14:textId="77777777" w:rsidR="005D18AE" w:rsidRPr="00633FF0" w:rsidRDefault="005D18AE" w:rsidP="005D18AE">
            <w:pPr>
              <w:pStyle w:val="ExhibitText"/>
              <w:tabs>
                <w:tab w:val="decimal" w:pos="700"/>
              </w:tabs>
              <w:rPr>
                <w:lang w:val="en-GB"/>
              </w:rPr>
            </w:pPr>
            <w:r w:rsidRPr="00633FF0">
              <w:rPr>
                <w:lang w:val="en-GB"/>
              </w:rPr>
              <w:t>13.3x</w:t>
            </w:r>
          </w:p>
        </w:tc>
        <w:tc>
          <w:tcPr>
            <w:tcW w:w="1530" w:type="dxa"/>
            <w:shd w:val="clear" w:color="auto" w:fill="auto"/>
            <w:hideMark/>
          </w:tcPr>
          <w:p w14:paraId="43BD81B0" w14:textId="77777777" w:rsidR="005D18AE" w:rsidRPr="00633FF0" w:rsidRDefault="005D18AE" w:rsidP="005D18AE">
            <w:pPr>
              <w:pStyle w:val="ExhibitText"/>
              <w:tabs>
                <w:tab w:val="decimal" w:pos="702"/>
              </w:tabs>
              <w:rPr>
                <w:lang w:val="en-GB"/>
              </w:rPr>
            </w:pPr>
            <w:r w:rsidRPr="00633FF0">
              <w:rPr>
                <w:lang w:val="en-GB"/>
              </w:rPr>
              <w:t>3.2x</w:t>
            </w:r>
          </w:p>
        </w:tc>
      </w:tr>
      <w:tr w:rsidR="005D18AE" w:rsidRPr="00633FF0" w14:paraId="7A956C6D" w14:textId="77777777" w:rsidTr="005D18AE">
        <w:trPr>
          <w:trHeight w:val="240"/>
          <w:jc w:val="center"/>
        </w:trPr>
        <w:tc>
          <w:tcPr>
            <w:tcW w:w="2515" w:type="dxa"/>
            <w:shd w:val="clear" w:color="auto" w:fill="auto"/>
            <w:hideMark/>
          </w:tcPr>
          <w:p w14:paraId="2185E65D" w14:textId="77777777" w:rsidR="005D18AE" w:rsidRPr="00633FF0" w:rsidRDefault="005D18AE" w:rsidP="005D18AE">
            <w:pPr>
              <w:pStyle w:val="ExhibitText"/>
              <w:jc w:val="left"/>
              <w:rPr>
                <w:b/>
                <w:lang w:val="en-GB"/>
              </w:rPr>
            </w:pPr>
            <w:r w:rsidRPr="00633FF0">
              <w:rPr>
                <w:b/>
                <w:lang w:val="en-GB"/>
              </w:rPr>
              <w:t>Johnson Electric Holdings Limited (SEHK:179)</w:t>
            </w:r>
          </w:p>
        </w:tc>
        <w:tc>
          <w:tcPr>
            <w:tcW w:w="1890" w:type="dxa"/>
            <w:shd w:val="clear" w:color="auto" w:fill="auto"/>
            <w:hideMark/>
          </w:tcPr>
          <w:p w14:paraId="28E349D7" w14:textId="77777777" w:rsidR="005D18AE" w:rsidRPr="00633FF0" w:rsidRDefault="005D18AE" w:rsidP="005D18AE">
            <w:pPr>
              <w:pStyle w:val="ExhibitText"/>
              <w:tabs>
                <w:tab w:val="decimal" w:pos="878"/>
              </w:tabs>
              <w:rPr>
                <w:lang w:val="en-GB"/>
              </w:rPr>
            </w:pPr>
            <w:r w:rsidRPr="00633FF0">
              <w:rPr>
                <w:lang w:val="en-GB"/>
              </w:rPr>
              <w:t>1.0x</w:t>
            </w:r>
          </w:p>
        </w:tc>
        <w:tc>
          <w:tcPr>
            <w:tcW w:w="1440" w:type="dxa"/>
            <w:shd w:val="clear" w:color="auto" w:fill="auto"/>
            <w:hideMark/>
          </w:tcPr>
          <w:p w14:paraId="32947E98" w14:textId="77777777" w:rsidR="005D18AE" w:rsidRPr="00633FF0" w:rsidRDefault="005D18AE" w:rsidP="005D18AE">
            <w:pPr>
              <w:pStyle w:val="ExhibitText"/>
              <w:tabs>
                <w:tab w:val="decimal" w:pos="610"/>
              </w:tabs>
              <w:rPr>
                <w:lang w:val="en-GB"/>
              </w:rPr>
            </w:pPr>
            <w:r w:rsidRPr="00633FF0">
              <w:rPr>
                <w:lang w:val="en-GB"/>
              </w:rPr>
              <w:t>7.8x</w:t>
            </w:r>
          </w:p>
        </w:tc>
        <w:tc>
          <w:tcPr>
            <w:tcW w:w="1530" w:type="dxa"/>
            <w:shd w:val="clear" w:color="auto" w:fill="auto"/>
            <w:hideMark/>
          </w:tcPr>
          <w:p w14:paraId="05C95D9F" w14:textId="77777777" w:rsidR="005D18AE" w:rsidRPr="00633FF0" w:rsidRDefault="005D18AE" w:rsidP="005D18AE">
            <w:pPr>
              <w:pStyle w:val="ExhibitText"/>
              <w:tabs>
                <w:tab w:val="decimal" w:pos="700"/>
              </w:tabs>
              <w:rPr>
                <w:lang w:val="en-GB"/>
              </w:rPr>
            </w:pPr>
            <w:r w:rsidRPr="00633FF0">
              <w:rPr>
                <w:lang w:val="en-GB"/>
              </w:rPr>
              <w:t>13.3x</w:t>
            </w:r>
          </w:p>
        </w:tc>
        <w:tc>
          <w:tcPr>
            <w:tcW w:w="1530" w:type="dxa"/>
            <w:shd w:val="clear" w:color="auto" w:fill="auto"/>
            <w:hideMark/>
          </w:tcPr>
          <w:p w14:paraId="19194C6B" w14:textId="77777777" w:rsidR="005D18AE" w:rsidRPr="00633FF0" w:rsidRDefault="005D18AE" w:rsidP="005D18AE">
            <w:pPr>
              <w:pStyle w:val="ExhibitText"/>
              <w:tabs>
                <w:tab w:val="decimal" w:pos="702"/>
              </w:tabs>
              <w:rPr>
                <w:lang w:val="en-GB"/>
              </w:rPr>
            </w:pPr>
            <w:r w:rsidRPr="00633FF0">
              <w:rPr>
                <w:lang w:val="en-GB"/>
              </w:rPr>
              <w:t>2.9x</w:t>
            </w:r>
          </w:p>
        </w:tc>
      </w:tr>
      <w:tr w:rsidR="005D18AE" w:rsidRPr="00633FF0" w14:paraId="11F5A4DB" w14:textId="77777777" w:rsidTr="005D18AE">
        <w:trPr>
          <w:trHeight w:val="240"/>
          <w:jc w:val="center"/>
        </w:trPr>
        <w:tc>
          <w:tcPr>
            <w:tcW w:w="2515" w:type="dxa"/>
            <w:shd w:val="clear" w:color="auto" w:fill="auto"/>
            <w:hideMark/>
          </w:tcPr>
          <w:p w14:paraId="516D7D58" w14:textId="77777777" w:rsidR="005D18AE" w:rsidRPr="00633FF0" w:rsidRDefault="005D18AE" w:rsidP="005D18AE">
            <w:pPr>
              <w:pStyle w:val="ExhibitText"/>
              <w:jc w:val="left"/>
              <w:rPr>
                <w:b/>
                <w:lang w:val="en-GB"/>
              </w:rPr>
            </w:pPr>
            <w:r w:rsidRPr="00633FF0">
              <w:rPr>
                <w:b/>
                <w:lang w:val="en-GB"/>
              </w:rPr>
              <w:t>Rockwell Automation, Inc. (</w:t>
            </w:r>
            <w:proofErr w:type="gramStart"/>
            <w:r w:rsidRPr="00633FF0">
              <w:rPr>
                <w:b/>
                <w:lang w:val="en-GB"/>
              </w:rPr>
              <w:t>NYSE:ROK</w:t>
            </w:r>
            <w:proofErr w:type="gramEnd"/>
            <w:r w:rsidRPr="00633FF0">
              <w:rPr>
                <w:b/>
                <w:lang w:val="en-GB"/>
              </w:rPr>
              <w:t>)</w:t>
            </w:r>
          </w:p>
        </w:tc>
        <w:tc>
          <w:tcPr>
            <w:tcW w:w="1890" w:type="dxa"/>
            <w:shd w:val="clear" w:color="auto" w:fill="auto"/>
            <w:hideMark/>
          </w:tcPr>
          <w:p w14:paraId="706E7A99" w14:textId="77777777" w:rsidR="005D18AE" w:rsidRPr="00633FF0" w:rsidRDefault="005D18AE" w:rsidP="005D18AE">
            <w:pPr>
              <w:pStyle w:val="ExhibitText"/>
              <w:tabs>
                <w:tab w:val="decimal" w:pos="878"/>
              </w:tabs>
              <w:rPr>
                <w:lang w:val="en-GB"/>
              </w:rPr>
            </w:pPr>
            <w:r w:rsidRPr="00633FF0">
              <w:rPr>
                <w:lang w:val="en-GB"/>
              </w:rPr>
              <w:t>2.9x</w:t>
            </w:r>
          </w:p>
        </w:tc>
        <w:tc>
          <w:tcPr>
            <w:tcW w:w="1440" w:type="dxa"/>
            <w:shd w:val="clear" w:color="auto" w:fill="auto"/>
            <w:hideMark/>
          </w:tcPr>
          <w:p w14:paraId="5962336C" w14:textId="77777777" w:rsidR="005D18AE" w:rsidRPr="00633FF0" w:rsidRDefault="005D18AE" w:rsidP="005D18AE">
            <w:pPr>
              <w:pStyle w:val="ExhibitText"/>
              <w:tabs>
                <w:tab w:val="decimal" w:pos="610"/>
              </w:tabs>
              <w:rPr>
                <w:lang w:val="en-GB"/>
              </w:rPr>
            </w:pPr>
            <w:r w:rsidRPr="00633FF0">
              <w:rPr>
                <w:lang w:val="en-GB"/>
              </w:rPr>
              <w:t>14.4x</w:t>
            </w:r>
          </w:p>
        </w:tc>
        <w:tc>
          <w:tcPr>
            <w:tcW w:w="1530" w:type="dxa"/>
            <w:shd w:val="clear" w:color="auto" w:fill="auto"/>
            <w:hideMark/>
          </w:tcPr>
          <w:p w14:paraId="275B892F" w14:textId="77777777" w:rsidR="005D18AE" w:rsidRPr="00633FF0" w:rsidRDefault="005D18AE" w:rsidP="005D18AE">
            <w:pPr>
              <w:pStyle w:val="ExhibitText"/>
              <w:tabs>
                <w:tab w:val="decimal" w:pos="700"/>
              </w:tabs>
              <w:rPr>
                <w:lang w:val="en-GB"/>
              </w:rPr>
            </w:pPr>
            <w:r w:rsidRPr="00633FF0">
              <w:rPr>
                <w:lang w:val="en-GB"/>
              </w:rPr>
              <w:t>16.7x</w:t>
            </w:r>
          </w:p>
        </w:tc>
        <w:tc>
          <w:tcPr>
            <w:tcW w:w="1530" w:type="dxa"/>
            <w:shd w:val="clear" w:color="auto" w:fill="auto"/>
            <w:hideMark/>
          </w:tcPr>
          <w:p w14:paraId="7DAA8678" w14:textId="77777777" w:rsidR="005D18AE" w:rsidRPr="00633FF0" w:rsidRDefault="005D18AE" w:rsidP="005D18AE">
            <w:pPr>
              <w:pStyle w:val="ExhibitText"/>
              <w:tabs>
                <w:tab w:val="decimal" w:pos="702"/>
              </w:tabs>
              <w:rPr>
                <w:lang w:val="en-GB"/>
              </w:rPr>
            </w:pPr>
            <w:r w:rsidRPr="00633FF0">
              <w:rPr>
                <w:lang w:val="en-GB"/>
              </w:rPr>
              <w:t>26.2x</w:t>
            </w:r>
          </w:p>
        </w:tc>
      </w:tr>
      <w:tr w:rsidR="005D18AE" w:rsidRPr="00633FF0" w14:paraId="5ACF15E1" w14:textId="77777777" w:rsidTr="005D18AE">
        <w:trPr>
          <w:trHeight w:val="240"/>
          <w:jc w:val="center"/>
        </w:trPr>
        <w:tc>
          <w:tcPr>
            <w:tcW w:w="2515" w:type="dxa"/>
            <w:shd w:val="clear" w:color="auto" w:fill="auto"/>
            <w:hideMark/>
          </w:tcPr>
          <w:p w14:paraId="17C21165" w14:textId="77777777" w:rsidR="005D18AE" w:rsidRPr="00633FF0" w:rsidRDefault="005D18AE" w:rsidP="005D18AE">
            <w:pPr>
              <w:pStyle w:val="ExhibitText"/>
              <w:jc w:val="left"/>
              <w:rPr>
                <w:b/>
                <w:lang w:val="en-GB"/>
              </w:rPr>
            </w:pPr>
            <w:r w:rsidRPr="00633FF0">
              <w:rPr>
                <w:b/>
                <w:lang w:val="en-GB"/>
              </w:rPr>
              <w:t>Emerson Electric Co. (</w:t>
            </w:r>
            <w:proofErr w:type="gramStart"/>
            <w:r w:rsidRPr="00633FF0">
              <w:rPr>
                <w:b/>
                <w:lang w:val="en-GB"/>
              </w:rPr>
              <w:t>NYSE:EMR</w:t>
            </w:r>
            <w:proofErr w:type="gramEnd"/>
            <w:r w:rsidRPr="00633FF0">
              <w:rPr>
                <w:b/>
                <w:lang w:val="en-GB"/>
              </w:rPr>
              <w:t>)</w:t>
            </w:r>
          </w:p>
        </w:tc>
        <w:tc>
          <w:tcPr>
            <w:tcW w:w="1890" w:type="dxa"/>
            <w:shd w:val="clear" w:color="auto" w:fill="auto"/>
            <w:hideMark/>
          </w:tcPr>
          <w:p w14:paraId="0B220D23" w14:textId="77777777" w:rsidR="005D18AE" w:rsidRPr="00633FF0" w:rsidRDefault="005D18AE" w:rsidP="005D18AE">
            <w:pPr>
              <w:pStyle w:val="ExhibitText"/>
              <w:tabs>
                <w:tab w:val="decimal" w:pos="878"/>
              </w:tabs>
              <w:rPr>
                <w:lang w:val="en-GB"/>
              </w:rPr>
            </w:pPr>
            <w:r w:rsidRPr="00633FF0">
              <w:rPr>
                <w:lang w:val="en-GB"/>
              </w:rPr>
              <w:t>2.7x</w:t>
            </w:r>
          </w:p>
        </w:tc>
        <w:tc>
          <w:tcPr>
            <w:tcW w:w="1440" w:type="dxa"/>
            <w:shd w:val="clear" w:color="auto" w:fill="auto"/>
            <w:hideMark/>
          </w:tcPr>
          <w:p w14:paraId="345EA918" w14:textId="77777777" w:rsidR="005D18AE" w:rsidRPr="00633FF0" w:rsidRDefault="005D18AE" w:rsidP="005D18AE">
            <w:pPr>
              <w:pStyle w:val="ExhibitText"/>
              <w:tabs>
                <w:tab w:val="decimal" w:pos="610"/>
              </w:tabs>
              <w:rPr>
                <w:lang w:val="en-GB"/>
              </w:rPr>
            </w:pPr>
            <w:r w:rsidRPr="00633FF0">
              <w:rPr>
                <w:lang w:val="en-GB"/>
              </w:rPr>
              <w:t>12.8x</w:t>
            </w:r>
          </w:p>
        </w:tc>
        <w:tc>
          <w:tcPr>
            <w:tcW w:w="1530" w:type="dxa"/>
            <w:shd w:val="clear" w:color="auto" w:fill="auto"/>
            <w:hideMark/>
          </w:tcPr>
          <w:p w14:paraId="2E89CC18" w14:textId="77777777" w:rsidR="005D18AE" w:rsidRPr="00633FF0" w:rsidRDefault="005D18AE" w:rsidP="005D18AE">
            <w:pPr>
              <w:pStyle w:val="ExhibitText"/>
              <w:tabs>
                <w:tab w:val="decimal" w:pos="700"/>
              </w:tabs>
              <w:rPr>
                <w:lang w:val="en-GB"/>
              </w:rPr>
            </w:pPr>
            <w:r w:rsidRPr="00633FF0">
              <w:rPr>
                <w:lang w:val="en-GB"/>
              </w:rPr>
              <w:t>15.1x</w:t>
            </w:r>
          </w:p>
        </w:tc>
        <w:tc>
          <w:tcPr>
            <w:tcW w:w="1530" w:type="dxa"/>
            <w:shd w:val="clear" w:color="auto" w:fill="auto"/>
            <w:hideMark/>
          </w:tcPr>
          <w:p w14:paraId="77678E68" w14:textId="77777777" w:rsidR="005D18AE" w:rsidRPr="00633FF0" w:rsidRDefault="005D18AE" w:rsidP="005D18AE">
            <w:pPr>
              <w:pStyle w:val="ExhibitText"/>
              <w:tabs>
                <w:tab w:val="decimal" w:pos="702"/>
              </w:tabs>
              <w:rPr>
                <w:lang w:val="en-GB"/>
              </w:rPr>
            </w:pPr>
            <w:r w:rsidRPr="00633FF0">
              <w:rPr>
                <w:lang w:val="en-GB"/>
              </w:rPr>
              <w:t>13.1x</w:t>
            </w:r>
          </w:p>
        </w:tc>
      </w:tr>
      <w:tr w:rsidR="005D18AE" w:rsidRPr="00633FF0" w14:paraId="32CDA64B" w14:textId="77777777" w:rsidTr="005D18AE">
        <w:trPr>
          <w:trHeight w:val="225"/>
          <w:jc w:val="center"/>
        </w:trPr>
        <w:tc>
          <w:tcPr>
            <w:tcW w:w="2515" w:type="dxa"/>
            <w:shd w:val="clear" w:color="auto" w:fill="auto"/>
            <w:hideMark/>
          </w:tcPr>
          <w:p w14:paraId="55873A5E" w14:textId="77777777" w:rsidR="005D18AE" w:rsidRPr="00633FF0" w:rsidRDefault="005D18AE" w:rsidP="005D18AE">
            <w:pPr>
              <w:pStyle w:val="ExhibitText"/>
              <w:rPr>
                <w:b/>
                <w:lang w:val="en-GB"/>
              </w:rPr>
            </w:pPr>
          </w:p>
        </w:tc>
        <w:tc>
          <w:tcPr>
            <w:tcW w:w="1890" w:type="dxa"/>
            <w:shd w:val="clear" w:color="auto" w:fill="auto"/>
            <w:hideMark/>
          </w:tcPr>
          <w:p w14:paraId="3FD71BFD" w14:textId="77777777" w:rsidR="005D18AE" w:rsidRPr="00633FF0" w:rsidRDefault="005D18AE" w:rsidP="005D18AE">
            <w:pPr>
              <w:pStyle w:val="ExhibitText"/>
              <w:tabs>
                <w:tab w:val="decimal" w:pos="878"/>
              </w:tabs>
              <w:rPr>
                <w:lang w:val="en-GB"/>
              </w:rPr>
            </w:pPr>
          </w:p>
        </w:tc>
        <w:tc>
          <w:tcPr>
            <w:tcW w:w="1440" w:type="dxa"/>
            <w:shd w:val="clear" w:color="auto" w:fill="auto"/>
            <w:hideMark/>
          </w:tcPr>
          <w:p w14:paraId="3A598BB5" w14:textId="77777777" w:rsidR="005D18AE" w:rsidRPr="00633FF0" w:rsidRDefault="005D18AE" w:rsidP="005D18AE">
            <w:pPr>
              <w:pStyle w:val="ExhibitText"/>
              <w:tabs>
                <w:tab w:val="decimal" w:pos="610"/>
              </w:tabs>
              <w:rPr>
                <w:lang w:val="en-GB"/>
              </w:rPr>
            </w:pPr>
          </w:p>
        </w:tc>
        <w:tc>
          <w:tcPr>
            <w:tcW w:w="1530" w:type="dxa"/>
            <w:shd w:val="clear" w:color="auto" w:fill="auto"/>
            <w:hideMark/>
          </w:tcPr>
          <w:p w14:paraId="18516D95" w14:textId="77777777" w:rsidR="005D18AE" w:rsidRPr="00633FF0" w:rsidRDefault="005D18AE" w:rsidP="005D18AE">
            <w:pPr>
              <w:pStyle w:val="ExhibitText"/>
              <w:tabs>
                <w:tab w:val="decimal" w:pos="700"/>
              </w:tabs>
              <w:rPr>
                <w:lang w:val="en-GB"/>
              </w:rPr>
            </w:pPr>
          </w:p>
        </w:tc>
        <w:tc>
          <w:tcPr>
            <w:tcW w:w="1530" w:type="dxa"/>
            <w:shd w:val="clear" w:color="auto" w:fill="auto"/>
            <w:hideMark/>
          </w:tcPr>
          <w:p w14:paraId="06E5A3E8" w14:textId="77777777" w:rsidR="005D18AE" w:rsidRPr="00633FF0" w:rsidRDefault="005D18AE" w:rsidP="005D18AE">
            <w:pPr>
              <w:pStyle w:val="ExhibitText"/>
              <w:tabs>
                <w:tab w:val="decimal" w:pos="702"/>
              </w:tabs>
              <w:rPr>
                <w:lang w:val="en-GB"/>
              </w:rPr>
            </w:pPr>
          </w:p>
        </w:tc>
      </w:tr>
      <w:tr w:rsidR="005D18AE" w:rsidRPr="00633FF0" w14:paraId="4E87E7BD" w14:textId="77777777" w:rsidTr="005D18AE">
        <w:trPr>
          <w:trHeight w:val="225"/>
          <w:jc w:val="center"/>
        </w:trPr>
        <w:tc>
          <w:tcPr>
            <w:tcW w:w="2515" w:type="dxa"/>
            <w:shd w:val="clear" w:color="auto" w:fill="auto"/>
            <w:hideMark/>
          </w:tcPr>
          <w:p w14:paraId="167148C4" w14:textId="77777777" w:rsidR="005D18AE" w:rsidRPr="00633FF0" w:rsidRDefault="005D18AE" w:rsidP="005D18AE">
            <w:pPr>
              <w:pStyle w:val="ExhibitText"/>
              <w:rPr>
                <w:b/>
                <w:lang w:val="en-GB"/>
              </w:rPr>
            </w:pPr>
            <w:r w:rsidRPr="00633FF0">
              <w:rPr>
                <w:b/>
                <w:lang w:val="en-GB"/>
              </w:rPr>
              <w:t> </w:t>
            </w:r>
          </w:p>
        </w:tc>
        <w:tc>
          <w:tcPr>
            <w:tcW w:w="1890" w:type="dxa"/>
            <w:shd w:val="clear" w:color="auto" w:fill="auto"/>
            <w:hideMark/>
          </w:tcPr>
          <w:p w14:paraId="13013F8D" w14:textId="77777777" w:rsidR="005D18AE" w:rsidRPr="00633FF0" w:rsidRDefault="005D18AE" w:rsidP="005D18AE">
            <w:pPr>
              <w:pStyle w:val="ExhibitText"/>
              <w:tabs>
                <w:tab w:val="decimal" w:pos="878"/>
              </w:tabs>
              <w:rPr>
                <w:lang w:val="en-GB"/>
              </w:rPr>
            </w:pPr>
            <w:r w:rsidRPr="00633FF0">
              <w:rPr>
                <w:lang w:val="en-GB"/>
              </w:rPr>
              <w:t> </w:t>
            </w:r>
          </w:p>
        </w:tc>
        <w:tc>
          <w:tcPr>
            <w:tcW w:w="1440" w:type="dxa"/>
            <w:shd w:val="clear" w:color="auto" w:fill="auto"/>
            <w:hideMark/>
          </w:tcPr>
          <w:p w14:paraId="31EFCE7A" w14:textId="77777777" w:rsidR="005D18AE" w:rsidRPr="00633FF0" w:rsidRDefault="005D18AE" w:rsidP="005D18AE">
            <w:pPr>
              <w:pStyle w:val="ExhibitText"/>
              <w:tabs>
                <w:tab w:val="decimal" w:pos="610"/>
              </w:tabs>
              <w:rPr>
                <w:lang w:val="en-GB"/>
              </w:rPr>
            </w:pPr>
            <w:r w:rsidRPr="00633FF0">
              <w:rPr>
                <w:lang w:val="en-GB"/>
              </w:rPr>
              <w:t> </w:t>
            </w:r>
          </w:p>
        </w:tc>
        <w:tc>
          <w:tcPr>
            <w:tcW w:w="1530" w:type="dxa"/>
            <w:shd w:val="clear" w:color="auto" w:fill="auto"/>
            <w:hideMark/>
          </w:tcPr>
          <w:p w14:paraId="57D0F862" w14:textId="77777777" w:rsidR="005D18AE" w:rsidRPr="00633FF0" w:rsidRDefault="005D18AE" w:rsidP="005D18AE">
            <w:pPr>
              <w:pStyle w:val="ExhibitText"/>
              <w:tabs>
                <w:tab w:val="decimal" w:pos="700"/>
              </w:tabs>
              <w:rPr>
                <w:lang w:val="en-GB"/>
              </w:rPr>
            </w:pPr>
            <w:r w:rsidRPr="00633FF0">
              <w:rPr>
                <w:lang w:val="en-GB"/>
              </w:rPr>
              <w:t> </w:t>
            </w:r>
          </w:p>
        </w:tc>
        <w:tc>
          <w:tcPr>
            <w:tcW w:w="1530" w:type="dxa"/>
            <w:shd w:val="clear" w:color="auto" w:fill="auto"/>
            <w:hideMark/>
          </w:tcPr>
          <w:p w14:paraId="06D5AE2F" w14:textId="77777777" w:rsidR="005D18AE" w:rsidRPr="00633FF0" w:rsidRDefault="005D18AE" w:rsidP="005D18AE">
            <w:pPr>
              <w:pStyle w:val="ExhibitText"/>
              <w:tabs>
                <w:tab w:val="decimal" w:pos="702"/>
              </w:tabs>
              <w:rPr>
                <w:lang w:val="en-GB"/>
              </w:rPr>
            </w:pPr>
            <w:r w:rsidRPr="00633FF0">
              <w:rPr>
                <w:lang w:val="en-GB"/>
              </w:rPr>
              <w:t> </w:t>
            </w:r>
          </w:p>
        </w:tc>
      </w:tr>
      <w:tr w:rsidR="005D18AE" w:rsidRPr="00633FF0" w14:paraId="6E77897E" w14:textId="77777777" w:rsidTr="005D18AE">
        <w:trPr>
          <w:trHeight w:val="240"/>
          <w:jc w:val="center"/>
        </w:trPr>
        <w:tc>
          <w:tcPr>
            <w:tcW w:w="2515" w:type="dxa"/>
            <w:shd w:val="clear" w:color="auto" w:fill="auto"/>
            <w:hideMark/>
          </w:tcPr>
          <w:p w14:paraId="4ED20D02" w14:textId="77777777" w:rsidR="005D18AE" w:rsidRPr="00633FF0" w:rsidRDefault="005D18AE" w:rsidP="005D18AE">
            <w:pPr>
              <w:pStyle w:val="ExhibitText"/>
              <w:rPr>
                <w:b/>
                <w:lang w:val="en-GB"/>
              </w:rPr>
            </w:pPr>
            <w:r w:rsidRPr="00633FF0">
              <w:rPr>
                <w:b/>
                <w:lang w:val="en-GB"/>
              </w:rPr>
              <w:t>ABB Ltd (</w:t>
            </w:r>
            <w:proofErr w:type="gramStart"/>
            <w:r w:rsidRPr="00633FF0">
              <w:rPr>
                <w:b/>
                <w:lang w:val="en-GB"/>
              </w:rPr>
              <w:t>SWX:ABBN</w:t>
            </w:r>
            <w:proofErr w:type="gramEnd"/>
            <w:r w:rsidRPr="00633FF0">
              <w:rPr>
                <w:b/>
                <w:lang w:val="en-GB"/>
              </w:rPr>
              <w:t>)</w:t>
            </w:r>
          </w:p>
        </w:tc>
        <w:tc>
          <w:tcPr>
            <w:tcW w:w="1890" w:type="dxa"/>
            <w:shd w:val="clear" w:color="auto" w:fill="auto"/>
            <w:hideMark/>
          </w:tcPr>
          <w:p w14:paraId="6B49ED46" w14:textId="77777777" w:rsidR="005D18AE" w:rsidRPr="00633FF0" w:rsidRDefault="005D18AE" w:rsidP="005D18AE">
            <w:pPr>
              <w:pStyle w:val="ExhibitText"/>
              <w:tabs>
                <w:tab w:val="decimal" w:pos="878"/>
              </w:tabs>
              <w:rPr>
                <w:lang w:val="en-GB"/>
              </w:rPr>
            </w:pPr>
            <w:r w:rsidRPr="00633FF0">
              <w:rPr>
                <w:lang w:val="en-GB"/>
              </w:rPr>
              <w:t>1.5x</w:t>
            </w:r>
          </w:p>
        </w:tc>
        <w:tc>
          <w:tcPr>
            <w:tcW w:w="1440" w:type="dxa"/>
            <w:shd w:val="clear" w:color="auto" w:fill="auto"/>
            <w:hideMark/>
          </w:tcPr>
          <w:p w14:paraId="0E2097AF" w14:textId="77777777" w:rsidR="005D18AE" w:rsidRPr="00633FF0" w:rsidRDefault="005D18AE" w:rsidP="005D18AE">
            <w:pPr>
              <w:pStyle w:val="ExhibitText"/>
              <w:tabs>
                <w:tab w:val="decimal" w:pos="610"/>
              </w:tabs>
              <w:rPr>
                <w:lang w:val="en-GB"/>
              </w:rPr>
            </w:pPr>
            <w:r w:rsidRPr="00633FF0">
              <w:rPr>
                <w:lang w:val="en-GB"/>
              </w:rPr>
              <w:t>11.7x</w:t>
            </w:r>
          </w:p>
        </w:tc>
        <w:tc>
          <w:tcPr>
            <w:tcW w:w="1530" w:type="dxa"/>
            <w:shd w:val="clear" w:color="auto" w:fill="auto"/>
            <w:hideMark/>
          </w:tcPr>
          <w:p w14:paraId="1367D4CA" w14:textId="77777777" w:rsidR="005D18AE" w:rsidRPr="00633FF0" w:rsidRDefault="005D18AE" w:rsidP="005D18AE">
            <w:pPr>
              <w:pStyle w:val="ExhibitText"/>
              <w:tabs>
                <w:tab w:val="decimal" w:pos="700"/>
              </w:tabs>
              <w:rPr>
                <w:lang w:val="en-GB"/>
              </w:rPr>
            </w:pPr>
            <w:r w:rsidRPr="00633FF0">
              <w:rPr>
                <w:lang w:val="en-GB"/>
              </w:rPr>
              <w:t>15.4x</w:t>
            </w:r>
          </w:p>
        </w:tc>
        <w:tc>
          <w:tcPr>
            <w:tcW w:w="1530" w:type="dxa"/>
            <w:shd w:val="clear" w:color="auto" w:fill="auto"/>
            <w:hideMark/>
          </w:tcPr>
          <w:p w14:paraId="115B166A" w14:textId="77777777" w:rsidR="005D18AE" w:rsidRPr="00633FF0" w:rsidRDefault="005D18AE" w:rsidP="005D18AE">
            <w:pPr>
              <w:pStyle w:val="ExhibitText"/>
              <w:tabs>
                <w:tab w:val="decimal" w:pos="702"/>
              </w:tabs>
              <w:rPr>
                <w:lang w:val="en-GB"/>
              </w:rPr>
            </w:pPr>
            <w:r w:rsidRPr="00633FF0">
              <w:rPr>
                <w:lang w:val="en-GB"/>
              </w:rPr>
              <w:t>28.0x</w:t>
            </w:r>
          </w:p>
        </w:tc>
      </w:tr>
      <w:tr w:rsidR="005D18AE" w:rsidRPr="00633FF0" w14:paraId="10DE252D" w14:textId="77777777" w:rsidTr="005D18AE">
        <w:trPr>
          <w:trHeight w:val="225"/>
          <w:jc w:val="center"/>
        </w:trPr>
        <w:tc>
          <w:tcPr>
            <w:tcW w:w="2515" w:type="dxa"/>
            <w:shd w:val="clear" w:color="auto" w:fill="auto"/>
            <w:hideMark/>
          </w:tcPr>
          <w:p w14:paraId="7AE28E52" w14:textId="77777777" w:rsidR="005D18AE" w:rsidRPr="00633FF0" w:rsidRDefault="005D18AE" w:rsidP="005D18AE">
            <w:pPr>
              <w:pStyle w:val="ExhibitText"/>
              <w:rPr>
                <w:lang w:val="en-GB"/>
              </w:rPr>
            </w:pPr>
          </w:p>
        </w:tc>
        <w:tc>
          <w:tcPr>
            <w:tcW w:w="1890" w:type="dxa"/>
            <w:shd w:val="clear" w:color="auto" w:fill="auto"/>
            <w:hideMark/>
          </w:tcPr>
          <w:p w14:paraId="607AE130" w14:textId="77777777" w:rsidR="005D18AE" w:rsidRPr="00633FF0" w:rsidRDefault="005D18AE" w:rsidP="005D18AE">
            <w:pPr>
              <w:pStyle w:val="ExhibitText"/>
              <w:rPr>
                <w:lang w:val="en-GB"/>
              </w:rPr>
            </w:pPr>
          </w:p>
        </w:tc>
        <w:tc>
          <w:tcPr>
            <w:tcW w:w="1440" w:type="dxa"/>
            <w:shd w:val="clear" w:color="auto" w:fill="auto"/>
            <w:hideMark/>
          </w:tcPr>
          <w:p w14:paraId="651DE2F3" w14:textId="77777777" w:rsidR="005D18AE" w:rsidRPr="00633FF0" w:rsidRDefault="005D18AE" w:rsidP="005D18AE">
            <w:pPr>
              <w:pStyle w:val="ExhibitText"/>
              <w:rPr>
                <w:lang w:val="en-GB"/>
              </w:rPr>
            </w:pPr>
          </w:p>
        </w:tc>
        <w:tc>
          <w:tcPr>
            <w:tcW w:w="1530" w:type="dxa"/>
            <w:shd w:val="clear" w:color="auto" w:fill="auto"/>
            <w:hideMark/>
          </w:tcPr>
          <w:p w14:paraId="46986F6D" w14:textId="77777777" w:rsidR="005D18AE" w:rsidRPr="00633FF0" w:rsidRDefault="005D18AE" w:rsidP="005D18AE">
            <w:pPr>
              <w:pStyle w:val="ExhibitText"/>
              <w:rPr>
                <w:lang w:val="en-GB"/>
              </w:rPr>
            </w:pPr>
          </w:p>
        </w:tc>
        <w:tc>
          <w:tcPr>
            <w:tcW w:w="1530" w:type="dxa"/>
            <w:shd w:val="clear" w:color="auto" w:fill="auto"/>
            <w:hideMark/>
          </w:tcPr>
          <w:p w14:paraId="60F778B2" w14:textId="77777777" w:rsidR="005D18AE" w:rsidRPr="00633FF0" w:rsidRDefault="005D18AE" w:rsidP="005D18AE">
            <w:pPr>
              <w:pStyle w:val="ExhibitText"/>
              <w:rPr>
                <w:lang w:val="en-GB"/>
              </w:rPr>
            </w:pPr>
          </w:p>
        </w:tc>
      </w:tr>
      <w:tr w:rsidR="005D18AE" w:rsidRPr="00633FF0" w14:paraId="3988A097" w14:textId="77777777" w:rsidTr="005D18AE">
        <w:trPr>
          <w:trHeight w:val="450"/>
          <w:jc w:val="center"/>
        </w:trPr>
        <w:tc>
          <w:tcPr>
            <w:tcW w:w="2515" w:type="dxa"/>
            <w:shd w:val="clear" w:color="auto" w:fill="auto"/>
            <w:hideMark/>
          </w:tcPr>
          <w:p w14:paraId="3544E107" w14:textId="77777777" w:rsidR="005D18AE" w:rsidRPr="00633FF0" w:rsidRDefault="005D18AE" w:rsidP="005D18AE">
            <w:pPr>
              <w:pStyle w:val="ExhibitText"/>
              <w:jc w:val="center"/>
              <w:rPr>
                <w:b/>
                <w:lang w:val="en-GB"/>
              </w:rPr>
            </w:pPr>
            <w:r w:rsidRPr="00633FF0">
              <w:rPr>
                <w:b/>
                <w:lang w:val="en-GB"/>
              </w:rPr>
              <w:t>Summary Statistics</w:t>
            </w:r>
          </w:p>
        </w:tc>
        <w:tc>
          <w:tcPr>
            <w:tcW w:w="1890" w:type="dxa"/>
            <w:shd w:val="clear" w:color="auto" w:fill="auto"/>
            <w:hideMark/>
          </w:tcPr>
          <w:p w14:paraId="2E798D6E" w14:textId="77777777" w:rsidR="005D18AE" w:rsidRPr="00633FF0" w:rsidRDefault="005D18AE" w:rsidP="005D18AE">
            <w:pPr>
              <w:pStyle w:val="ExhibitText"/>
              <w:jc w:val="center"/>
              <w:rPr>
                <w:b/>
                <w:lang w:val="en-GB"/>
              </w:rPr>
            </w:pPr>
            <w:r w:rsidRPr="00633FF0">
              <w:rPr>
                <w:b/>
                <w:lang w:val="en-GB"/>
              </w:rPr>
              <w:t xml:space="preserve">TEV/Total Revenues LTM </w:t>
            </w:r>
            <w:r>
              <w:rPr>
                <w:b/>
                <w:lang w:val="en-GB"/>
              </w:rPr>
              <w:t>–</w:t>
            </w:r>
            <w:r w:rsidRPr="00633FF0">
              <w:rPr>
                <w:b/>
                <w:lang w:val="en-GB"/>
              </w:rPr>
              <w:t xml:space="preserve"> Latest</w:t>
            </w:r>
          </w:p>
        </w:tc>
        <w:tc>
          <w:tcPr>
            <w:tcW w:w="1440" w:type="dxa"/>
            <w:shd w:val="clear" w:color="auto" w:fill="auto"/>
            <w:hideMark/>
          </w:tcPr>
          <w:p w14:paraId="08337E2B" w14:textId="77777777" w:rsidR="005D18AE" w:rsidRPr="00633FF0" w:rsidRDefault="005D18AE" w:rsidP="005D18AE">
            <w:pPr>
              <w:pStyle w:val="ExhibitText"/>
              <w:jc w:val="center"/>
              <w:rPr>
                <w:b/>
                <w:lang w:val="en-GB"/>
              </w:rPr>
            </w:pPr>
            <w:r w:rsidRPr="00633FF0">
              <w:rPr>
                <w:b/>
                <w:lang w:val="en-GB"/>
              </w:rPr>
              <w:t xml:space="preserve">TEV/EBITDA LTM </w:t>
            </w:r>
            <w:r>
              <w:rPr>
                <w:b/>
                <w:lang w:val="en-GB"/>
              </w:rPr>
              <w:t>–</w:t>
            </w:r>
            <w:r w:rsidRPr="00633FF0">
              <w:rPr>
                <w:b/>
                <w:lang w:val="en-GB"/>
              </w:rPr>
              <w:t xml:space="preserve"> Latest</w:t>
            </w:r>
          </w:p>
        </w:tc>
        <w:tc>
          <w:tcPr>
            <w:tcW w:w="1530" w:type="dxa"/>
            <w:shd w:val="clear" w:color="auto" w:fill="auto"/>
            <w:hideMark/>
          </w:tcPr>
          <w:p w14:paraId="3A7BFCDB" w14:textId="77777777" w:rsidR="005D18AE" w:rsidRPr="00633FF0" w:rsidRDefault="005D18AE" w:rsidP="005D18AE">
            <w:pPr>
              <w:pStyle w:val="ExhibitText"/>
              <w:jc w:val="center"/>
              <w:rPr>
                <w:b/>
                <w:lang w:val="en-GB"/>
              </w:rPr>
            </w:pPr>
            <w:r w:rsidRPr="00633FF0">
              <w:rPr>
                <w:b/>
                <w:lang w:val="en-GB"/>
              </w:rPr>
              <w:t xml:space="preserve">TEV/EBIT LTM </w:t>
            </w:r>
            <w:r>
              <w:rPr>
                <w:b/>
                <w:lang w:val="en-GB"/>
              </w:rPr>
              <w:t>–</w:t>
            </w:r>
            <w:r w:rsidRPr="00633FF0">
              <w:rPr>
                <w:b/>
                <w:lang w:val="en-GB"/>
              </w:rPr>
              <w:t xml:space="preserve"> Latest</w:t>
            </w:r>
          </w:p>
        </w:tc>
        <w:tc>
          <w:tcPr>
            <w:tcW w:w="1530" w:type="dxa"/>
            <w:shd w:val="clear" w:color="auto" w:fill="auto"/>
            <w:hideMark/>
          </w:tcPr>
          <w:p w14:paraId="41A0311B" w14:textId="77777777" w:rsidR="005D18AE" w:rsidRPr="00633FF0" w:rsidRDefault="005D18AE" w:rsidP="005D18AE">
            <w:pPr>
              <w:pStyle w:val="ExhibitText"/>
              <w:jc w:val="center"/>
              <w:rPr>
                <w:b/>
                <w:lang w:val="en-GB"/>
              </w:rPr>
            </w:pPr>
            <w:r w:rsidRPr="00633FF0">
              <w:rPr>
                <w:b/>
                <w:lang w:val="en-GB"/>
              </w:rPr>
              <w:t>P/</w:t>
            </w:r>
            <w:proofErr w:type="spellStart"/>
            <w:r w:rsidRPr="00633FF0">
              <w:rPr>
                <w:b/>
                <w:lang w:val="en-GB"/>
              </w:rPr>
              <w:t>TangBV</w:t>
            </w:r>
            <w:proofErr w:type="spellEnd"/>
            <w:r w:rsidRPr="00633FF0">
              <w:rPr>
                <w:b/>
                <w:lang w:val="en-GB"/>
              </w:rPr>
              <w:t xml:space="preserve"> LTM </w:t>
            </w:r>
            <w:r>
              <w:rPr>
                <w:b/>
                <w:lang w:val="en-GB"/>
              </w:rPr>
              <w:t>–</w:t>
            </w:r>
            <w:r w:rsidRPr="00633FF0">
              <w:rPr>
                <w:b/>
                <w:lang w:val="en-GB"/>
              </w:rPr>
              <w:t xml:space="preserve"> Latest</w:t>
            </w:r>
          </w:p>
        </w:tc>
      </w:tr>
      <w:tr w:rsidR="005D18AE" w:rsidRPr="00633FF0" w14:paraId="1508753C" w14:textId="77777777" w:rsidTr="005D18AE">
        <w:trPr>
          <w:trHeight w:val="225"/>
          <w:jc w:val="center"/>
        </w:trPr>
        <w:tc>
          <w:tcPr>
            <w:tcW w:w="2515" w:type="dxa"/>
            <w:shd w:val="clear" w:color="auto" w:fill="auto"/>
            <w:hideMark/>
          </w:tcPr>
          <w:p w14:paraId="49859B25" w14:textId="77777777" w:rsidR="005D18AE" w:rsidRPr="00633FF0" w:rsidRDefault="005D18AE" w:rsidP="005D18AE">
            <w:pPr>
              <w:pStyle w:val="ExhibitText"/>
              <w:rPr>
                <w:b/>
                <w:lang w:val="en-GB"/>
              </w:rPr>
            </w:pPr>
            <w:r w:rsidRPr="00633FF0">
              <w:rPr>
                <w:b/>
                <w:lang w:val="en-GB"/>
              </w:rPr>
              <w:t>High</w:t>
            </w:r>
          </w:p>
        </w:tc>
        <w:tc>
          <w:tcPr>
            <w:tcW w:w="1890" w:type="dxa"/>
            <w:shd w:val="clear" w:color="auto" w:fill="auto"/>
            <w:hideMark/>
          </w:tcPr>
          <w:p w14:paraId="259DAF90" w14:textId="77777777" w:rsidR="005D18AE" w:rsidRPr="00633FF0" w:rsidRDefault="005D18AE" w:rsidP="005D18AE">
            <w:pPr>
              <w:pStyle w:val="ExhibitText"/>
              <w:tabs>
                <w:tab w:val="decimal" w:pos="878"/>
              </w:tabs>
              <w:rPr>
                <w:lang w:val="en-GB"/>
              </w:rPr>
            </w:pPr>
            <w:r w:rsidRPr="00633FF0">
              <w:rPr>
                <w:lang w:val="en-GB"/>
              </w:rPr>
              <w:t>3.4x</w:t>
            </w:r>
          </w:p>
        </w:tc>
        <w:tc>
          <w:tcPr>
            <w:tcW w:w="1440" w:type="dxa"/>
            <w:shd w:val="clear" w:color="auto" w:fill="auto"/>
            <w:hideMark/>
          </w:tcPr>
          <w:p w14:paraId="2D64E7FA" w14:textId="77777777" w:rsidR="005D18AE" w:rsidRPr="00633FF0" w:rsidRDefault="005D18AE" w:rsidP="005D18AE">
            <w:pPr>
              <w:pStyle w:val="ExhibitText"/>
              <w:tabs>
                <w:tab w:val="decimal" w:pos="610"/>
              </w:tabs>
              <w:rPr>
                <w:lang w:val="en-GB"/>
              </w:rPr>
            </w:pPr>
            <w:r w:rsidRPr="00633FF0">
              <w:rPr>
                <w:lang w:val="en-GB"/>
              </w:rPr>
              <w:t>15.2x</w:t>
            </w:r>
          </w:p>
        </w:tc>
        <w:tc>
          <w:tcPr>
            <w:tcW w:w="1530" w:type="dxa"/>
            <w:shd w:val="clear" w:color="auto" w:fill="auto"/>
            <w:hideMark/>
          </w:tcPr>
          <w:p w14:paraId="1324324C" w14:textId="77777777" w:rsidR="005D18AE" w:rsidRPr="00633FF0" w:rsidRDefault="005D18AE" w:rsidP="005D18AE">
            <w:pPr>
              <w:pStyle w:val="ExhibitText"/>
              <w:tabs>
                <w:tab w:val="decimal" w:pos="700"/>
              </w:tabs>
              <w:rPr>
                <w:lang w:val="en-GB"/>
              </w:rPr>
            </w:pPr>
            <w:r w:rsidRPr="00633FF0">
              <w:rPr>
                <w:lang w:val="en-GB"/>
              </w:rPr>
              <w:t>23.9x</w:t>
            </w:r>
          </w:p>
        </w:tc>
        <w:tc>
          <w:tcPr>
            <w:tcW w:w="1530" w:type="dxa"/>
            <w:shd w:val="clear" w:color="auto" w:fill="auto"/>
            <w:hideMark/>
          </w:tcPr>
          <w:p w14:paraId="6EAA443B" w14:textId="77777777" w:rsidR="005D18AE" w:rsidRPr="00633FF0" w:rsidRDefault="005D18AE" w:rsidP="005D18AE">
            <w:pPr>
              <w:pStyle w:val="ExhibitText"/>
              <w:tabs>
                <w:tab w:val="decimal" w:pos="702"/>
              </w:tabs>
              <w:rPr>
                <w:lang w:val="en-GB"/>
              </w:rPr>
            </w:pPr>
            <w:r w:rsidRPr="00633FF0">
              <w:rPr>
                <w:lang w:val="en-GB"/>
              </w:rPr>
              <w:t>40.6x</w:t>
            </w:r>
          </w:p>
        </w:tc>
      </w:tr>
      <w:tr w:rsidR="005D18AE" w:rsidRPr="00633FF0" w14:paraId="41A4F641" w14:textId="77777777" w:rsidTr="005D18AE">
        <w:trPr>
          <w:trHeight w:val="225"/>
          <w:jc w:val="center"/>
        </w:trPr>
        <w:tc>
          <w:tcPr>
            <w:tcW w:w="2515" w:type="dxa"/>
            <w:shd w:val="clear" w:color="auto" w:fill="auto"/>
            <w:hideMark/>
          </w:tcPr>
          <w:p w14:paraId="0086448F" w14:textId="77777777" w:rsidR="005D18AE" w:rsidRPr="00633FF0" w:rsidRDefault="005D18AE" w:rsidP="005D18AE">
            <w:pPr>
              <w:pStyle w:val="ExhibitText"/>
              <w:rPr>
                <w:b/>
                <w:lang w:val="en-GB"/>
              </w:rPr>
            </w:pPr>
            <w:r w:rsidRPr="00633FF0">
              <w:rPr>
                <w:b/>
                <w:lang w:val="en-GB"/>
              </w:rPr>
              <w:t>Low</w:t>
            </w:r>
          </w:p>
        </w:tc>
        <w:tc>
          <w:tcPr>
            <w:tcW w:w="1890" w:type="dxa"/>
            <w:shd w:val="clear" w:color="auto" w:fill="auto"/>
            <w:hideMark/>
          </w:tcPr>
          <w:p w14:paraId="3A00D98C" w14:textId="77777777" w:rsidR="005D18AE" w:rsidRPr="00633FF0" w:rsidRDefault="005D18AE" w:rsidP="005D18AE">
            <w:pPr>
              <w:pStyle w:val="ExhibitText"/>
              <w:tabs>
                <w:tab w:val="decimal" w:pos="878"/>
              </w:tabs>
              <w:rPr>
                <w:lang w:val="en-GB"/>
              </w:rPr>
            </w:pPr>
            <w:r w:rsidRPr="00633FF0">
              <w:rPr>
                <w:lang w:val="en-GB"/>
              </w:rPr>
              <w:t>0.8x</w:t>
            </w:r>
          </w:p>
        </w:tc>
        <w:tc>
          <w:tcPr>
            <w:tcW w:w="1440" w:type="dxa"/>
            <w:shd w:val="clear" w:color="auto" w:fill="auto"/>
            <w:hideMark/>
          </w:tcPr>
          <w:p w14:paraId="4DA6A128" w14:textId="77777777" w:rsidR="005D18AE" w:rsidRPr="00633FF0" w:rsidRDefault="005D18AE" w:rsidP="005D18AE">
            <w:pPr>
              <w:pStyle w:val="ExhibitText"/>
              <w:tabs>
                <w:tab w:val="decimal" w:pos="610"/>
              </w:tabs>
              <w:rPr>
                <w:lang w:val="en-GB"/>
              </w:rPr>
            </w:pPr>
            <w:r w:rsidRPr="00633FF0">
              <w:rPr>
                <w:lang w:val="en-GB"/>
              </w:rPr>
              <w:t>7.8x</w:t>
            </w:r>
          </w:p>
        </w:tc>
        <w:tc>
          <w:tcPr>
            <w:tcW w:w="1530" w:type="dxa"/>
            <w:shd w:val="clear" w:color="auto" w:fill="auto"/>
            <w:hideMark/>
          </w:tcPr>
          <w:p w14:paraId="0C8163E9" w14:textId="77777777" w:rsidR="005D18AE" w:rsidRPr="00633FF0" w:rsidRDefault="005D18AE" w:rsidP="005D18AE">
            <w:pPr>
              <w:pStyle w:val="ExhibitText"/>
              <w:tabs>
                <w:tab w:val="decimal" w:pos="700"/>
              </w:tabs>
              <w:rPr>
                <w:lang w:val="en-GB"/>
              </w:rPr>
            </w:pPr>
            <w:r w:rsidRPr="00633FF0">
              <w:rPr>
                <w:lang w:val="en-GB"/>
              </w:rPr>
              <w:t>12.5x</w:t>
            </w:r>
          </w:p>
        </w:tc>
        <w:tc>
          <w:tcPr>
            <w:tcW w:w="1530" w:type="dxa"/>
            <w:shd w:val="clear" w:color="auto" w:fill="auto"/>
            <w:hideMark/>
          </w:tcPr>
          <w:p w14:paraId="5AE29618" w14:textId="77777777" w:rsidR="005D18AE" w:rsidRPr="00633FF0" w:rsidRDefault="005D18AE" w:rsidP="005D18AE">
            <w:pPr>
              <w:pStyle w:val="ExhibitText"/>
              <w:tabs>
                <w:tab w:val="decimal" w:pos="702"/>
              </w:tabs>
              <w:rPr>
                <w:lang w:val="en-GB"/>
              </w:rPr>
            </w:pPr>
            <w:r w:rsidRPr="00633FF0">
              <w:rPr>
                <w:lang w:val="en-GB"/>
              </w:rPr>
              <w:t>2.9x</w:t>
            </w:r>
          </w:p>
        </w:tc>
      </w:tr>
      <w:tr w:rsidR="005D18AE" w:rsidRPr="00633FF0" w14:paraId="14231228" w14:textId="77777777" w:rsidTr="005D18AE">
        <w:trPr>
          <w:trHeight w:val="225"/>
          <w:jc w:val="center"/>
        </w:trPr>
        <w:tc>
          <w:tcPr>
            <w:tcW w:w="2515" w:type="dxa"/>
            <w:shd w:val="clear" w:color="auto" w:fill="auto"/>
            <w:hideMark/>
          </w:tcPr>
          <w:p w14:paraId="7087E5CA" w14:textId="77777777" w:rsidR="005D18AE" w:rsidRPr="00633FF0" w:rsidRDefault="005D18AE" w:rsidP="005D18AE">
            <w:pPr>
              <w:pStyle w:val="ExhibitText"/>
              <w:rPr>
                <w:b/>
                <w:lang w:val="en-GB"/>
              </w:rPr>
            </w:pPr>
            <w:r w:rsidRPr="00633FF0">
              <w:rPr>
                <w:b/>
                <w:lang w:val="en-GB"/>
              </w:rPr>
              <w:t>Mean</w:t>
            </w:r>
          </w:p>
        </w:tc>
        <w:tc>
          <w:tcPr>
            <w:tcW w:w="1890" w:type="dxa"/>
            <w:shd w:val="clear" w:color="auto" w:fill="auto"/>
            <w:hideMark/>
          </w:tcPr>
          <w:p w14:paraId="28876FD8" w14:textId="77777777" w:rsidR="005D18AE" w:rsidRPr="00633FF0" w:rsidRDefault="005D18AE" w:rsidP="005D18AE">
            <w:pPr>
              <w:pStyle w:val="ExhibitText"/>
              <w:tabs>
                <w:tab w:val="decimal" w:pos="878"/>
              </w:tabs>
              <w:rPr>
                <w:lang w:val="en-GB"/>
              </w:rPr>
            </w:pPr>
            <w:r w:rsidRPr="00633FF0">
              <w:rPr>
                <w:lang w:val="en-GB"/>
              </w:rPr>
              <w:t>2.0x</w:t>
            </w:r>
          </w:p>
        </w:tc>
        <w:tc>
          <w:tcPr>
            <w:tcW w:w="1440" w:type="dxa"/>
            <w:shd w:val="clear" w:color="auto" w:fill="auto"/>
            <w:hideMark/>
          </w:tcPr>
          <w:p w14:paraId="6EDA75E0" w14:textId="77777777" w:rsidR="005D18AE" w:rsidRPr="00633FF0" w:rsidRDefault="005D18AE" w:rsidP="005D18AE">
            <w:pPr>
              <w:pStyle w:val="ExhibitText"/>
              <w:tabs>
                <w:tab w:val="decimal" w:pos="610"/>
              </w:tabs>
              <w:rPr>
                <w:lang w:val="en-GB"/>
              </w:rPr>
            </w:pPr>
            <w:r w:rsidRPr="00633FF0">
              <w:rPr>
                <w:lang w:val="en-GB"/>
              </w:rPr>
              <w:t>12.5x</w:t>
            </w:r>
          </w:p>
        </w:tc>
        <w:tc>
          <w:tcPr>
            <w:tcW w:w="1530" w:type="dxa"/>
            <w:shd w:val="clear" w:color="auto" w:fill="auto"/>
            <w:hideMark/>
          </w:tcPr>
          <w:p w14:paraId="4DE90C5C" w14:textId="77777777" w:rsidR="005D18AE" w:rsidRPr="00633FF0" w:rsidRDefault="005D18AE" w:rsidP="005D18AE">
            <w:pPr>
              <w:pStyle w:val="ExhibitText"/>
              <w:tabs>
                <w:tab w:val="decimal" w:pos="700"/>
              </w:tabs>
              <w:rPr>
                <w:lang w:val="en-GB"/>
              </w:rPr>
            </w:pPr>
            <w:r w:rsidRPr="00633FF0">
              <w:rPr>
                <w:lang w:val="en-GB"/>
              </w:rPr>
              <w:t>16.1x</w:t>
            </w:r>
          </w:p>
        </w:tc>
        <w:tc>
          <w:tcPr>
            <w:tcW w:w="1530" w:type="dxa"/>
            <w:shd w:val="clear" w:color="auto" w:fill="auto"/>
            <w:hideMark/>
          </w:tcPr>
          <w:p w14:paraId="008BF42D" w14:textId="77777777" w:rsidR="005D18AE" w:rsidRPr="00633FF0" w:rsidRDefault="005D18AE" w:rsidP="005D18AE">
            <w:pPr>
              <w:pStyle w:val="ExhibitText"/>
              <w:tabs>
                <w:tab w:val="decimal" w:pos="702"/>
              </w:tabs>
              <w:rPr>
                <w:lang w:val="en-GB"/>
              </w:rPr>
            </w:pPr>
            <w:r w:rsidRPr="00633FF0">
              <w:rPr>
                <w:lang w:val="en-GB"/>
              </w:rPr>
              <w:t>17.2x</w:t>
            </w:r>
          </w:p>
        </w:tc>
      </w:tr>
      <w:tr w:rsidR="005D18AE" w:rsidRPr="00633FF0" w14:paraId="41362A72" w14:textId="77777777" w:rsidTr="005D18AE">
        <w:trPr>
          <w:trHeight w:val="225"/>
          <w:jc w:val="center"/>
        </w:trPr>
        <w:tc>
          <w:tcPr>
            <w:tcW w:w="2515" w:type="dxa"/>
            <w:shd w:val="clear" w:color="auto" w:fill="auto"/>
            <w:hideMark/>
          </w:tcPr>
          <w:p w14:paraId="207C37AA" w14:textId="77777777" w:rsidR="005D18AE" w:rsidRPr="00633FF0" w:rsidRDefault="005D18AE" w:rsidP="005D18AE">
            <w:pPr>
              <w:pStyle w:val="ExhibitText"/>
              <w:rPr>
                <w:b/>
                <w:lang w:val="en-GB"/>
              </w:rPr>
            </w:pPr>
            <w:r w:rsidRPr="00633FF0">
              <w:rPr>
                <w:b/>
                <w:lang w:val="en-GB"/>
              </w:rPr>
              <w:t>Median</w:t>
            </w:r>
          </w:p>
        </w:tc>
        <w:tc>
          <w:tcPr>
            <w:tcW w:w="1890" w:type="dxa"/>
            <w:shd w:val="clear" w:color="auto" w:fill="auto"/>
            <w:hideMark/>
          </w:tcPr>
          <w:p w14:paraId="58703D66" w14:textId="77777777" w:rsidR="005D18AE" w:rsidRPr="00633FF0" w:rsidRDefault="005D18AE" w:rsidP="005D18AE">
            <w:pPr>
              <w:pStyle w:val="ExhibitText"/>
              <w:tabs>
                <w:tab w:val="decimal" w:pos="878"/>
              </w:tabs>
              <w:rPr>
                <w:lang w:val="en-GB"/>
              </w:rPr>
            </w:pPr>
            <w:r w:rsidRPr="00633FF0">
              <w:rPr>
                <w:lang w:val="en-GB"/>
              </w:rPr>
              <w:t>1.8x</w:t>
            </w:r>
          </w:p>
        </w:tc>
        <w:tc>
          <w:tcPr>
            <w:tcW w:w="1440" w:type="dxa"/>
            <w:shd w:val="clear" w:color="auto" w:fill="auto"/>
            <w:hideMark/>
          </w:tcPr>
          <w:p w14:paraId="64F062EF" w14:textId="77777777" w:rsidR="005D18AE" w:rsidRPr="00633FF0" w:rsidRDefault="005D18AE" w:rsidP="005D18AE">
            <w:pPr>
              <w:pStyle w:val="ExhibitText"/>
              <w:tabs>
                <w:tab w:val="decimal" w:pos="610"/>
              </w:tabs>
              <w:rPr>
                <w:lang w:val="en-GB"/>
              </w:rPr>
            </w:pPr>
            <w:r w:rsidRPr="00633FF0">
              <w:rPr>
                <w:lang w:val="en-GB"/>
              </w:rPr>
              <w:t>13.0x</w:t>
            </w:r>
          </w:p>
        </w:tc>
        <w:tc>
          <w:tcPr>
            <w:tcW w:w="1530" w:type="dxa"/>
            <w:shd w:val="clear" w:color="auto" w:fill="auto"/>
            <w:hideMark/>
          </w:tcPr>
          <w:p w14:paraId="75104A21" w14:textId="77777777" w:rsidR="005D18AE" w:rsidRPr="00633FF0" w:rsidRDefault="005D18AE" w:rsidP="005D18AE">
            <w:pPr>
              <w:pStyle w:val="ExhibitText"/>
              <w:tabs>
                <w:tab w:val="decimal" w:pos="700"/>
              </w:tabs>
              <w:rPr>
                <w:lang w:val="en-GB"/>
              </w:rPr>
            </w:pPr>
            <w:r w:rsidRPr="00633FF0">
              <w:rPr>
                <w:lang w:val="en-GB"/>
              </w:rPr>
              <w:t>15.9x</w:t>
            </w:r>
          </w:p>
        </w:tc>
        <w:tc>
          <w:tcPr>
            <w:tcW w:w="1530" w:type="dxa"/>
            <w:shd w:val="clear" w:color="auto" w:fill="auto"/>
            <w:hideMark/>
          </w:tcPr>
          <w:p w14:paraId="0CF8D5FE" w14:textId="77777777" w:rsidR="005D18AE" w:rsidRPr="00633FF0" w:rsidRDefault="005D18AE" w:rsidP="005D18AE">
            <w:pPr>
              <w:pStyle w:val="ExhibitText"/>
              <w:tabs>
                <w:tab w:val="decimal" w:pos="702"/>
              </w:tabs>
              <w:rPr>
                <w:lang w:val="en-GB"/>
              </w:rPr>
            </w:pPr>
            <w:r w:rsidRPr="00633FF0">
              <w:rPr>
                <w:lang w:val="en-GB"/>
              </w:rPr>
              <w:t>13.1x</w:t>
            </w:r>
          </w:p>
        </w:tc>
      </w:tr>
    </w:tbl>
    <w:p w14:paraId="56072198" w14:textId="77777777" w:rsidR="005D18AE" w:rsidRPr="00633FF0" w:rsidRDefault="005D18AE" w:rsidP="005D18AE">
      <w:pPr>
        <w:pStyle w:val="Footnote"/>
        <w:rPr>
          <w:lang w:val="en-GB"/>
        </w:rPr>
      </w:pPr>
    </w:p>
    <w:p w14:paraId="6AA09750" w14:textId="4EB298DB" w:rsidR="005D18AE" w:rsidRDefault="005D18AE" w:rsidP="005D18AE">
      <w:pPr>
        <w:pStyle w:val="Footnote"/>
        <w:rPr>
          <w:lang w:val="en-GB"/>
        </w:rPr>
      </w:pPr>
      <w:r>
        <w:rPr>
          <w:lang w:val="en-GB"/>
        </w:rPr>
        <w:t>Note: TEV = total enterprise value; LTM = last twelve months; EBITDA = earnings before interest, taxes, depreciation, and amortization; EBIT = earnings before interest and taxes; P/</w:t>
      </w:r>
      <w:proofErr w:type="spellStart"/>
      <w:r>
        <w:rPr>
          <w:lang w:val="en-GB"/>
        </w:rPr>
        <w:t>TangBV</w:t>
      </w:r>
      <w:proofErr w:type="spellEnd"/>
      <w:r>
        <w:rPr>
          <w:lang w:val="en-GB"/>
        </w:rPr>
        <w:t xml:space="preserve"> = price to tangible book value; ENXTPA = Euronext Paris; NYSE = New York Stock Exchange; OM = Nasdaq Nordic; DB = Deutsche </w:t>
      </w:r>
      <w:proofErr w:type="spellStart"/>
      <w:r>
        <w:rPr>
          <w:lang w:val="en-GB"/>
        </w:rPr>
        <w:t>Borse</w:t>
      </w:r>
      <w:proofErr w:type="spellEnd"/>
      <w:r>
        <w:rPr>
          <w:lang w:val="en-GB"/>
        </w:rPr>
        <w:t xml:space="preserve">; CPSE = Central Public Sector Enterprise; SEHK = Stock Exchange of Hong Kong; SWX = SIX Swiss Exchange </w:t>
      </w:r>
    </w:p>
    <w:p w14:paraId="2DD9C2C3" w14:textId="77777777" w:rsidR="005D18AE" w:rsidRPr="00633FF0" w:rsidRDefault="005D18AE" w:rsidP="005D18AE">
      <w:pPr>
        <w:pStyle w:val="Footnote"/>
        <w:rPr>
          <w:lang w:val="en-GB"/>
        </w:rPr>
      </w:pPr>
      <w:r w:rsidRPr="00633FF0">
        <w:rPr>
          <w:lang w:val="en-GB"/>
        </w:rPr>
        <w:t xml:space="preserve">Source: </w:t>
      </w:r>
      <w:proofErr w:type="spellStart"/>
      <w:r w:rsidRPr="00633FF0">
        <w:rPr>
          <w:lang w:val="en-GB"/>
        </w:rPr>
        <w:t>CapitalIQ</w:t>
      </w:r>
      <w:proofErr w:type="spellEnd"/>
      <w:r w:rsidRPr="00633FF0">
        <w:rPr>
          <w:lang w:val="en-GB"/>
        </w:rPr>
        <w:t xml:space="preserve"> – search ABB, </w:t>
      </w:r>
      <w:proofErr w:type="spellStart"/>
      <w:r w:rsidRPr="00633FF0">
        <w:rPr>
          <w:lang w:val="en-GB"/>
        </w:rPr>
        <w:t>QuickComps</w:t>
      </w:r>
      <w:proofErr w:type="spellEnd"/>
      <w:r w:rsidRPr="00633FF0">
        <w:rPr>
          <w:lang w:val="en-GB"/>
        </w:rPr>
        <w:t>.</w:t>
      </w:r>
    </w:p>
    <w:p w14:paraId="16117F7F" w14:textId="77777777" w:rsidR="005D18AE" w:rsidRPr="00633FF0" w:rsidRDefault="005D18AE" w:rsidP="005D18AE">
      <w:pPr>
        <w:pStyle w:val="ExhibitText"/>
        <w:rPr>
          <w:lang w:val="en-GB"/>
        </w:rPr>
      </w:pPr>
    </w:p>
    <w:sectPr w:rsidR="005D18AE" w:rsidRPr="00633FF0"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D3E09" w16cex:dateUtc="2021-01-28T18:43:00Z"/>
  <w16cex:commentExtensible w16cex:durableId="23C270B5" w16cex:dateUtc="2021-02-01T17:21:00Z"/>
  <w16cex:commentExtensible w16cex:durableId="23C27159" w16cex:dateUtc="2021-02-01T17:23:00Z"/>
  <w16cex:commentExtensible w16cex:durableId="23C29A8F" w16cex:dateUtc="2021-02-01T20:19:00Z"/>
  <w16cex:commentExtensible w16cex:durableId="23C271CA" w16cex:dateUtc="2021-02-01T17:25:00Z"/>
  <w16cex:commentExtensible w16cex:durableId="23C2924C" w16cex:dateUtc="2021-02-01T19:44:00Z"/>
  <w16cex:commentExtensible w16cex:durableId="23C29B06" w16cex:dateUtc="2021-02-01T20:21:00Z"/>
  <w16cex:commentExtensible w16cex:durableId="23C3AE35" w16cex:dateUtc="2021-02-02T15:55:00Z"/>
  <w16cex:commentExtensible w16cex:durableId="23C3AE64" w16cex:dateUtc="2021-02-02T15:56:00Z"/>
  <w16cex:commentExtensible w16cex:durableId="23C3ADEF" w16cex:dateUtc="2021-02-02T15:54:00Z"/>
  <w16cex:commentExtensible w16cex:durableId="23C3AE8F" w16cex:dateUtc="2021-02-02T15:57:00Z"/>
  <w16cex:commentExtensible w16cex:durableId="23C3B96F" w16cex:dateUtc="2021-02-02T16:43:00Z"/>
  <w16cex:commentExtensible w16cex:durableId="23C3B605" w16cex:dateUtc="2021-02-02T16:29:00Z"/>
  <w16cex:commentExtensible w16cex:durableId="23C3B621" w16cex:dateUtc="2021-02-02T16:2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47000" w14:textId="77777777" w:rsidR="00A97DF5" w:rsidRDefault="00A97DF5" w:rsidP="00D75295">
      <w:r>
        <w:separator/>
      </w:r>
    </w:p>
  </w:endnote>
  <w:endnote w:type="continuationSeparator" w:id="0">
    <w:p w14:paraId="27DFD93D" w14:textId="77777777" w:rsidR="00A97DF5" w:rsidRDefault="00A97DF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61E39" w14:textId="77777777" w:rsidR="00A97DF5" w:rsidRDefault="00A97DF5" w:rsidP="00D75295">
      <w:r>
        <w:separator/>
      </w:r>
    </w:p>
  </w:footnote>
  <w:footnote w:type="continuationSeparator" w:id="0">
    <w:p w14:paraId="0E8945ED" w14:textId="77777777" w:rsidR="00A97DF5" w:rsidRDefault="00A97DF5" w:rsidP="00D75295">
      <w:r>
        <w:continuationSeparator/>
      </w:r>
    </w:p>
  </w:footnote>
  <w:footnote w:id="1">
    <w:p w14:paraId="3B8031C2" w14:textId="473390A8" w:rsidR="00A97DF5" w:rsidRPr="002440C5" w:rsidRDefault="00A97DF5" w:rsidP="00532643">
      <w:pPr>
        <w:pStyle w:val="Footnote"/>
        <w:rPr>
          <w:spacing w:val="-6"/>
          <w:kern w:val="17"/>
        </w:rPr>
      </w:pPr>
      <w:r w:rsidRPr="002440C5">
        <w:rPr>
          <w:rStyle w:val="FootnoteReference"/>
          <w:spacing w:val="-6"/>
          <w:kern w:val="17"/>
        </w:rPr>
        <w:footnoteRef/>
      </w:r>
      <w:r w:rsidRPr="002440C5">
        <w:rPr>
          <w:spacing w:val="-6"/>
          <w:kern w:val="17"/>
        </w:rPr>
        <w:t xml:space="preserve"> Renato </w:t>
      </w:r>
      <w:proofErr w:type="spellStart"/>
      <w:r w:rsidRPr="002440C5">
        <w:rPr>
          <w:spacing w:val="-6"/>
          <w:kern w:val="17"/>
        </w:rPr>
        <w:t>Panichi</w:t>
      </w:r>
      <w:proofErr w:type="spellEnd"/>
      <w:r w:rsidRPr="002440C5">
        <w:rPr>
          <w:spacing w:val="-6"/>
          <w:kern w:val="17"/>
        </w:rPr>
        <w:t xml:space="preserve"> et al., </w:t>
      </w:r>
      <w:r w:rsidRPr="002440C5">
        <w:rPr>
          <w:i/>
          <w:iCs/>
          <w:spacing w:val="-6"/>
          <w:kern w:val="17"/>
        </w:rPr>
        <w:t>S&amp;P Global Ratings: Industry Top Trends 2019—Building Materials</w:t>
      </w:r>
      <w:r w:rsidRPr="002440C5">
        <w:rPr>
          <w:spacing w:val="-6"/>
          <w:kern w:val="17"/>
        </w:rPr>
        <w:t>, Standard &amp; Poor’s Financial Services LLC, November 14, 2018, accessed March 9, 2021, www.spratings.com/documents/20184/5670590/Industry+Top+Trends+2019+-+Building+Materials/912d0b2c-1117-e17b-2b2b-94d300d67d24.</w:t>
      </w:r>
    </w:p>
  </w:footnote>
  <w:footnote w:id="2">
    <w:p w14:paraId="0A0E4E72" w14:textId="54B66201" w:rsidR="00A97DF5" w:rsidRPr="003661A3" w:rsidRDefault="00A97DF5" w:rsidP="003661A3">
      <w:pPr>
        <w:pStyle w:val="Footnote"/>
        <w:rPr>
          <w:b/>
          <w:bCs/>
          <w:lang w:val="en-CA"/>
        </w:rPr>
      </w:pPr>
      <w:r>
        <w:rPr>
          <w:rStyle w:val="FootnoteReference"/>
        </w:rPr>
        <w:footnoteRef/>
      </w:r>
      <w:r>
        <w:t xml:space="preserve"> CHF = Swiss franc; CHF1 = US$1.0319 on June 12, 2017; all currency amounts are in CHR unless otherwise indicated. </w:t>
      </w:r>
    </w:p>
  </w:footnote>
  <w:footnote w:id="3">
    <w:p w14:paraId="4001C41B" w14:textId="3972BA5D" w:rsidR="00A97DF5" w:rsidRDefault="00A97DF5" w:rsidP="00532643">
      <w:pPr>
        <w:pStyle w:val="Footnote"/>
      </w:pPr>
      <w:r>
        <w:rPr>
          <w:rStyle w:val="FootnoteReference"/>
        </w:rPr>
        <w:footnoteRef/>
      </w:r>
      <w:r>
        <w:t xml:space="preserve"> </w:t>
      </w:r>
      <w:r w:rsidRPr="00796EEE">
        <w:t xml:space="preserve">Shareholders </w:t>
      </w:r>
      <w:r>
        <w:t>did</w:t>
      </w:r>
      <w:r w:rsidRPr="00796EEE">
        <w:t xml:space="preserve"> not state anything on </w:t>
      </w:r>
      <w:r>
        <w:t xml:space="preserve">the </w:t>
      </w:r>
      <w:r w:rsidRPr="00796EEE">
        <w:t xml:space="preserve">required financial returns. Continuity </w:t>
      </w:r>
      <w:r>
        <w:t>wa</w:t>
      </w:r>
      <w:r w:rsidRPr="00796EEE">
        <w:t>s their main priority.</w:t>
      </w:r>
    </w:p>
  </w:footnote>
  <w:footnote w:id="4">
    <w:p w14:paraId="3D0A6ABA" w14:textId="7DB92E06" w:rsidR="00A97DF5" w:rsidRDefault="00A97DF5" w:rsidP="00532643">
      <w:pPr>
        <w:pStyle w:val="Footnote"/>
      </w:pPr>
      <w:r>
        <w:rPr>
          <w:rStyle w:val="FootnoteReference"/>
        </w:rPr>
        <w:footnoteRef/>
      </w:r>
      <w:r>
        <w:t xml:space="preserve"> Phantom shares were contractual agreements between the firm and employees that gave the employees the right to a certain cash payment in the future wherein the value of the cash payment was based on the value of the firm’s stock price. The employee therefore would receive the financial benefits of stock ownership (i.e., dividends and capital gains) but would not receive the benefits of stock ownership associated with having control or a voice in decision-making.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ED29EB8" w:rsidR="00A97DF5" w:rsidRPr="00C92CC4" w:rsidRDefault="00A97DF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14</w:t>
    </w:r>
    <w:r>
      <w:rPr>
        <w:rFonts w:ascii="Arial" w:hAnsi="Arial"/>
        <w:b/>
      </w:rPr>
      <w:fldChar w:fldCharType="end"/>
    </w:r>
    <w:r>
      <w:rPr>
        <w:rFonts w:ascii="Arial" w:hAnsi="Arial"/>
        <w:b/>
      </w:rPr>
      <w:tab/>
    </w:r>
    <w:r w:rsidR="002440C5">
      <w:rPr>
        <w:rFonts w:ascii="Arial" w:hAnsi="Arial"/>
        <w:b/>
      </w:rPr>
      <w:t>9B21M048</w:t>
    </w:r>
  </w:p>
  <w:p w14:paraId="2B53C0A0" w14:textId="77777777" w:rsidR="00A97DF5" w:rsidRDefault="00A97DF5" w:rsidP="00D13667">
    <w:pPr>
      <w:pStyle w:val="Header"/>
      <w:tabs>
        <w:tab w:val="clear" w:pos="4680"/>
      </w:tabs>
      <w:rPr>
        <w:sz w:val="18"/>
        <w:szCs w:val="18"/>
      </w:rPr>
    </w:pPr>
  </w:p>
  <w:p w14:paraId="47119730" w14:textId="77777777" w:rsidR="00A97DF5" w:rsidRPr="00C92CC4" w:rsidRDefault="00A97DF5"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16953"/>
    <w:rsid w:val="000216CE"/>
    <w:rsid w:val="000234D2"/>
    <w:rsid w:val="00024ED4"/>
    <w:rsid w:val="00025DC7"/>
    <w:rsid w:val="00035F09"/>
    <w:rsid w:val="00044ECC"/>
    <w:rsid w:val="000531D3"/>
    <w:rsid w:val="0005371D"/>
    <w:rsid w:val="0005646B"/>
    <w:rsid w:val="000615D1"/>
    <w:rsid w:val="00080E86"/>
    <w:rsid w:val="0008102D"/>
    <w:rsid w:val="00086B26"/>
    <w:rsid w:val="00094C0E"/>
    <w:rsid w:val="000A02F4"/>
    <w:rsid w:val="000A146D"/>
    <w:rsid w:val="000D2A2F"/>
    <w:rsid w:val="000D7091"/>
    <w:rsid w:val="000E3DCC"/>
    <w:rsid w:val="000F0C22"/>
    <w:rsid w:val="000F6B09"/>
    <w:rsid w:val="000F6FDC"/>
    <w:rsid w:val="00104567"/>
    <w:rsid w:val="00104916"/>
    <w:rsid w:val="00104AA7"/>
    <w:rsid w:val="00114010"/>
    <w:rsid w:val="001144C5"/>
    <w:rsid w:val="0012732D"/>
    <w:rsid w:val="00143F25"/>
    <w:rsid w:val="00144481"/>
    <w:rsid w:val="00152682"/>
    <w:rsid w:val="001535FF"/>
    <w:rsid w:val="00154FC9"/>
    <w:rsid w:val="00155EA0"/>
    <w:rsid w:val="001901C0"/>
    <w:rsid w:val="0019241A"/>
    <w:rsid w:val="00192A18"/>
    <w:rsid w:val="00195770"/>
    <w:rsid w:val="001A22D1"/>
    <w:rsid w:val="001A752D"/>
    <w:rsid w:val="001A757E"/>
    <w:rsid w:val="001B3575"/>
    <w:rsid w:val="001B5032"/>
    <w:rsid w:val="001C7777"/>
    <w:rsid w:val="001D344B"/>
    <w:rsid w:val="001E2371"/>
    <w:rsid w:val="001E364F"/>
    <w:rsid w:val="001E5A55"/>
    <w:rsid w:val="001F1DB5"/>
    <w:rsid w:val="001F4222"/>
    <w:rsid w:val="00200FEE"/>
    <w:rsid w:val="00203AA1"/>
    <w:rsid w:val="00213E98"/>
    <w:rsid w:val="00230150"/>
    <w:rsid w:val="0023081A"/>
    <w:rsid w:val="00233111"/>
    <w:rsid w:val="002440C5"/>
    <w:rsid w:val="00265FA8"/>
    <w:rsid w:val="002A49DC"/>
    <w:rsid w:val="002B40FF"/>
    <w:rsid w:val="002C4E29"/>
    <w:rsid w:val="002C5921"/>
    <w:rsid w:val="002E0625"/>
    <w:rsid w:val="002F460C"/>
    <w:rsid w:val="002F48D6"/>
    <w:rsid w:val="0030008D"/>
    <w:rsid w:val="00317391"/>
    <w:rsid w:val="00326216"/>
    <w:rsid w:val="00336580"/>
    <w:rsid w:val="00342A67"/>
    <w:rsid w:val="003450D5"/>
    <w:rsid w:val="00354899"/>
    <w:rsid w:val="00355FD6"/>
    <w:rsid w:val="00364A5C"/>
    <w:rsid w:val="0036577C"/>
    <w:rsid w:val="003661A3"/>
    <w:rsid w:val="00373FB1"/>
    <w:rsid w:val="00396C76"/>
    <w:rsid w:val="003B30D8"/>
    <w:rsid w:val="003B7EF2"/>
    <w:rsid w:val="003C3FA4"/>
    <w:rsid w:val="003D0BA1"/>
    <w:rsid w:val="003F2B0C"/>
    <w:rsid w:val="00401E39"/>
    <w:rsid w:val="00404CD4"/>
    <w:rsid w:val="00405146"/>
    <w:rsid w:val="004105B2"/>
    <w:rsid w:val="0041145A"/>
    <w:rsid w:val="00412900"/>
    <w:rsid w:val="00416E28"/>
    <w:rsid w:val="004221E4"/>
    <w:rsid w:val="00426260"/>
    <w:rsid w:val="004273F8"/>
    <w:rsid w:val="004355A3"/>
    <w:rsid w:val="00446546"/>
    <w:rsid w:val="00452769"/>
    <w:rsid w:val="00454FA7"/>
    <w:rsid w:val="00455C8C"/>
    <w:rsid w:val="00465348"/>
    <w:rsid w:val="00470C9C"/>
    <w:rsid w:val="004768BB"/>
    <w:rsid w:val="004979A5"/>
    <w:rsid w:val="004A25E0"/>
    <w:rsid w:val="004B1CCB"/>
    <w:rsid w:val="004B632F"/>
    <w:rsid w:val="004D3FB1"/>
    <w:rsid w:val="004D6F21"/>
    <w:rsid w:val="004D73A5"/>
    <w:rsid w:val="004E687F"/>
    <w:rsid w:val="004E6D37"/>
    <w:rsid w:val="005160F1"/>
    <w:rsid w:val="00524F2F"/>
    <w:rsid w:val="00527E5C"/>
    <w:rsid w:val="00532643"/>
    <w:rsid w:val="00532CF5"/>
    <w:rsid w:val="005528CB"/>
    <w:rsid w:val="00566771"/>
    <w:rsid w:val="00581D0B"/>
    <w:rsid w:val="00581E2E"/>
    <w:rsid w:val="00584F15"/>
    <w:rsid w:val="0059514B"/>
    <w:rsid w:val="005A1B0F"/>
    <w:rsid w:val="005A4A21"/>
    <w:rsid w:val="005B0AA2"/>
    <w:rsid w:val="005B4CE6"/>
    <w:rsid w:val="005B5EFE"/>
    <w:rsid w:val="005D18AE"/>
    <w:rsid w:val="006163F7"/>
    <w:rsid w:val="006255CD"/>
    <w:rsid w:val="00627C63"/>
    <w:rsid w:val="0063350B"/>
    <w:rsid w:val="00633FF0"/>
    <w:rsid w:val="00652606"/>
    <w:rsid w:val="006946EE"/>
    <w:rsid w:val="006A58A9"/>
    <w:rsid w:val="006A606D"/>
    <w:rsid w:val="006A6197"/>
    <w:rsid w:val="006C0371"/>
    <w:rsid w:val="006C08B6"/>
    <w:rsid w:val="006C0B1A"/>
    <w:rsid w:val="006C315B"/>
    <w:rsid w:val="006C5DD1"/>
    <w:rsid w:val="006C6065"/>
    <w:rsid w:val="006C7F9F"/>
    <w:rsid w:val="006D2379"/>
    <w:rsid w:val="006E2F6D"/>
    <w:rsid w:val="006E492E"/>
    <w:rsid w:val="006E58F6"/>
    <w:rsid w:val="006E77E1"/>
    <w:rsid w:val="006F131D"/>
    <w:rsid w:val="006F43B4"/>
    <w:rsid w:val="006F4B3A"/>
    <w:rsid w:val="006F6A8D"/>
    <w:rsid w:val="00711642"/>
    <w:rsid w:val="007507C6"/>
    <w:rsid w:val="00751E0B"/>
    <w:rsid w:val="00752BCD"/>
    <w:rsid w:val="00766DA1"/>
    <w:rsid w:val="0077172D"/>
    <w:rsid w:val="00780D94"/>
    <w:rsid w:val="007866A6"/>
    <w:rsid w:val="007A130D"/>
    <w:rsid w:val="007D1A2D"/>
    <w:rsid w:val="007D32E6"/>
    <w:rsid w:val="007D4102"/>
    <w:rsid w:val="007D44D5"/>
    <w:rsid w:val="007D605E"/>
    <w:rsid w:val="007D7F0B"/>
    <w:rsid w:val="007E54A7"/>
    <w:rsid w:val="007F2B13"/>
    <w:rsid w:val="007F43B7"/>
    <w:rsid w:val="00805809"/>
    <w:rsid w:val="008129BF"/>
    <w:rsid w:val="00821FFC"/>
    <w:rsid w:val="008271CA"/>
    <w:rsid w:val="008302A0"/>
    <w:rsid w:val="00832CCD"/>
    <w:rsid w:val="008467D5"/>
    <w:rsid w:val="00874288"/>
    <w:rsid w:val="00884E61"/>
    <w:rsid w:val="008A4DC4"/>
    <w:rsid w:val="008A68FD"/>
    <w:rsid w:val="008B438C"/>
    <w:rsid w:val="008D06CA"/>
    <w:rsid w:val="008D3A46"/>
    <w:rsid w:val="008F2385"/>
    <w:rsid w:val="0090010C"/>
    <w:rsid w:val="009067A4"/>
    <w:rsid w:val="00926245"/>
    <w:rsid w:val="00930885"/>
    <w:rsid w:val="00933D68"/>
    <w:rsid w:val="009340DB"/>
    <w:rsid w:val="0094618C"/>
    <w:rsid w:val="0095684B"/>
    <w:rsid w:val="00972498"/>
    <w:rsid w:val="0097481F"/>
    <w:rsid w:val="00974CC6"/>
    <w:rsid w:val="00976AD4"/>
    <w:rsid w:val="00977C46"/>
    <w:rsid w:val="00995547"/>
    <w:rsid w:val="009A312F"/>
    <w:rsid w:val="009A5348"/>
    <w:rsid w:val="009B0AB7"/>
    <w:rsid w:val="009C76D5"/>
    <w:rsid w:val="009D112D"/>
    <w:rsid w:val="009D5805"/>
    <w:rsid w:val="009F7AA4"/>
    <w:rsid w:val="00A02380"/>
    <w:rsid w:val="00A10AD7"/>
    <w:rsid w:val="00A2018A"/>
    <w:rsid w:val="00A2073D"/>
    <w:rsid w:val="00A323B0"/>
    <w:rsid w:val="00A559DB"/>
    <w:rsid w:val="00A569EA"/>
    <w:rsid w:val="00A63BBA"/>
    <w:rsid w:val="00A676A0"/>
    <w:rsid w:val="00A97DF5"/>
    <w:rsid w:val="00AD481E"/>
    <w:rsid w:val="00AF35FC"/>
    <w:rsid w:val="00AF5556"/>
    <w:rsid w:val="00B03639"/>
    <w:rsid w:val="00B0652A"/>
    <w:rsid w:val="00B40937"/>
    <w:rsid w:val="00B423EF"/>
    <w:rsid w:val="00B453DE"/>
    <w:rsid w:val="00B50C71"/>
    <w:rsid w:val="00B62497"/>
    <w:rsid w:val="00B72597"/>
    <w:rsid w:val="00B74ECF"/>
    <w:rsid w:val="00B84FFA"/>
    <w:rsid w:val="00B87DC0"/>
    <w:rsid w:val="00B901F9"/>
    <w:rsid w:val="00B965B0"/>
    <w:rsid w:val="00BB0AC3"/>
    <w:rsid w:val="00BB1E42"/>
    <w:rsid w:val="00BC4D98"/>
    <w:rsid w:val="00BD0BA7"/>
    <w:rsid w:val="00BD6EFB"/>
    <w:rsid w:val="00BE143E"/>
    <w:rsid w:val="00BE3DF5"/>
    <w:rsid w:val="00BF5EAB"/>
    <w:rsid w:val="00C02410"/>
    <w:rsid w:val="00C04B8F"/>
    <w:rsid w:val="00C1584D"/>
    <w:rsid w:val="00C15BE2"/>
    <w:rsid w:val="00C15E7E"/>
    <w:rsid w:val="00C3447F"/>
    <w:rsid w:val="00C376EB"/>
    <w:rsid w:val="00C44714"/>
    <w:rsid w:val="00C45F69"/>
    <w:rsid w:val="00C51C31"/>
    <w:rsid w:val="00C60015"/>
    <w:rsid w:val="00C625A8"/>
    <w:rsid w:val="00C67102"/>
    <w:rsid w:val="00C77C49"/>
    <w:rsid w:val="00C81491"/>
    <w:rsid w:val="00C81676"/>
    <w:rsid w:val="00C85C5D"/>
    <w:rsid w:val="00C92CC4"/>
    <w:rsid w:val="00CA0AFB"/>
    <w:rsid w:val="00CA2CE1"/>
    <w:rsid w:val="00CA3976"/>
    <w:rsid w:val="00CA50E3"/>
    <w:rsid w:val="00CA757B"/>
    <w:rsid w:val="00CC1787"/>
    <w:rsid w:val="00CC182C"/>
    <w:rsid w:val="00CC2A24"/>
    <w:rsid w:val="00CD0824"/>
    <w:rsid w:val="00CD2908"/>
    <w:rsid w:val="00CD671F"/>
    <w:rsid w:val="00CE6258"/>
    <w:rsid w:val="00CE6418"/>
    <w:rsid w:val="00CE6A6C"/>
    <w:rsid w:val="00D03A82"/>
    <w:rsid w:val="00D13667"/>
    <w:rsid w:val="00D15344"/>
    <w:rsid w:val="00D23F57"/>
    <w:rsid w:val="00D27DF7"/>
    <w:rsid w:val="00D31BEC"/>
    <w:rsid w:val="00D51CB3"/>
    <w:rsid w:val="00D576E9"/>
    <w:rsid w:val="00D63150"/>
    <w:rsid w:val="00D636BA"/>
    <w:rsid w:val="00D64A32"/>
    <w:rsid w:val="00D64EFC"/>
    <w:rsid w:val="00D67587"/>
    <w:rsid w:val="00D67768"/>
    <w:rsid w:val="00D75295"/>
    <w:rsid w:val="00D76CE9"/>
    <w:rsid w:val="00D82EA0"/>
    <w:rsid w:val="00D83614"/>
    <w:rsid w:val="00D91B81"/>
    <w:rsid w:val="00D9794B"/>
    <w:rsid w:val="00D97BDD"/>
    <w:rsid w:val="00D97F12"/>
    <w:rsid w:val="00DA6095"/>
    <w:rsid w:val="00DB42E7"/>
    <w:rsid w:val="00DC09D8"/>
    <w:rsid w:val="00DD12EC"/>
    <w:rsid w:val="00DD139A"/>
    <w:rsid w:val="00DE01A6"/>
    <w:rsid w:val="00DE7A98"/>
    <w:rsid w:val="00DF32C2"/>
    <w:rsid w:val="00E250E7"/>
    <w:rsid w:val="00E46546"/>
    <w:rsid w:val="00E471A7"/>
    <w:rsid w:val="00E635CF"/>
    <w:rsid w:val="00EB1E3B"/>
    <w:rsid w:val="00EC5DCE"/>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A359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E1867BF4-009F-3A4A-9ACA-5F08DC95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FA07E-4460-4792-82D7-43767B68D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5450</Words>
  <Characters>31068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Product Coordinator</cp:lastModifiedBy>
  <cp:revision>2</cp:revision>
  <cp:lastPrinted>2015-03-04T20:34:00Z</cp:lastPrinted>
  <dcterms:created xsi:type="dcterms:W3CDTF">2021-05-06T12:38:00Z</dcterms:created>
  <dcterms:modified xsi:type="dcterms:W3CDTF">2021-05-06T12:38:00Z</dcterms:modified>
</cp:coreProperties>
</file>