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1E29C" w14:textId="446CD9DF" w:rsidR="003A5366" w:rsidRPr="00586B0C" w:rsidRDefault="00504093" w:rsidP="00C02410">
      <w:pPr>
        <w:pBdr>
          <w:bottom w:val="single" w:sz="18" w:space="1" w:color="auto"/>
        </w:pBdr>
        <w:tabs>
          <w:tab w:val="left" w:pos="-1440"/>
          <w:tab w:val="left" w:pos="-720"/>
          <w:tab w:val="left" w:pos="1"/>
        </w:tabs>
        <w:jc w:val="both"/>
        <w:rPr>
          <w:rFonts w:ascii="Arial" w:hAnsi="Arial"/>
          <w:b/>
          <w:sz w:val="24"/>
          <w:lang w:val="en-GB"/>
        </w:rPr>
      </w:pPr>
      <w:r w:rsidRPr="00A569EA">
        <w:rPr>
          <w:rFonts w:ascii="Arial" w:hAnsi="Arial"/>
          <w:b/>
          <w:noProof/>
          <w:sz w:val="24"/>
          <w:lang w:val="en-CA" w:eastAsia="en-CA"/>
        </w:rPr>
        <w:drawing>
          <wp:inline distT="0" distB="0" distL="0" distR="0" wp14:anchorId="4A57963D" wp14:editId="7CA4CA07">
            <wp:extent cx="2613804" cy="551245"/>
            <wp:effectExtent l="0" t="0" r="0" b="1270"/>
            <wp:docPr id="1" name="Picture 1"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16B5C129" w:rsidR="00C02410" w:rsidRPr="00586B0C" w:rsidRDefault="00504093" w:rsidP="00C02410">
      <w:pPr>
        <w:pStyle w:val="ProductNumber"/>
        <w:rPr>
          <w:lang w:val="en-GB"/>
        </w:rPr>
      </w:pPr>
      <w:r>
        <w:rPr>
          <w:lang w:val="en-GB"/>
        </w:rPr>
        <w:t>9B21M049</w:t>
      </w:r>
    </w:p>
    <w:p w14:paraId="4E057522" w14:textId="7A113CB1" w:rsidR="00D75295" w:rsidRPr="00586B0C" w:rsidRDefault="00D75295" w:rsidP="00D75295">
      <w:pPr>
        <w:jc w:val="right"/>
        <w:rPr>
          <w:rFonts w:ascii="Arial" w:hAnsi="Arial"/>
          <w:b/>
          <w:lang w:val="en-GB"/>
        </w:rPr>
      </w:pPr>
    </w:p>
    <w:p w14:paraId="02524312" w14:textId="77777777" w:rsidR="001901C0" w:rsidRPr="00586B0C" w:rsidRDefault="001901C0" w:rsidP="00D75295">
      <w:pPr>
        <w:jc w:val="right"/>
        <w:rPr>
          <w:rFonts w:ascii="Arial" w:hAnsi="Arial"/>
          <w:b/>
          <w:lang w:val="en-GB"/>
        </w:rPr>
      </w:pPr>
    </w:p>
    <w:p w14:paraId="2F03D26A" w14:textId="3A7AB0C1" w:rsidR="00013360" w:rsidRPr="00586B0C" w:rsidRDefault="00DB7D99" w:rsidP="00013360">
      <w:pPr>
        <w:pStyle w:val="CaseTitle"/>
        <w:spacing w:after="0" w:line="240" w:lineRule="auto"/>
        <w:rPr>
          <w:sz w:val="20"/>
          <w:lang w:val="en-GB"/>
        </w:rPr>
      </w:pPr>
      <w:r w:rsidRPr="00586B0C">
        <w:rPr>
          <w:lang w:val="en-GB"/>
        </w:rPr>
        <w:t>The London dance Shoppe: A turning Pointe</w:t>
      </w:r>
    </w:p>
    <w:p w14:paraId="40ABF6FD" w14:textId="77777777" w:rsidR="00CA3976" w:rsidRPr="00586B0C" w:rsidRDefault="00CA3976" w:rsidP="00013360">
      <w:pPr>
        <w:pStyle w:val="CaseTitle"/>
        <w:spacing w:after="0" w:line="240" w:lineRule="auto"/>
        <w:rPr>
          <w:sz w:val="20"/>
          <w:lang w:val="en-GB"/>
        </w:rPr>
      </w:pPr>
    </w:p>
    <w:p w14:paraId="202F1085" w14:textId="77777777" w:rsidR="00013360" w:rsidRPr="00586B0C" w:rsidRDefault="00013360" w:rsidP="00013360">
      <w:pPr>
        <w:pStyle w:val="CaseTitle"/>
        <w:spacing w:after="0" w:line="240" w:lineRule="auto"/>
        <w:rPr>
          <w:sz w:val="20"/>
          <w:lang w:val="en-GB"/>
        </w:rPr>
      </w:pPr>
    </w:p>
    <w:p w14:paraId="58B0C73F" w14:textId="03396DB0" w:rsidR="00086B26" w:rsidRPr="006D678A" w:rsidRDefault="00DB7D99" w:rsidP="00086B26">
      <w:pPr>
        <w:pStyle w:val="StyleCopyrightStatementAfter0ptBottomSinglesolidline1"/>
        <w:rPr>
          <w:lang w:val="en-GB"/>
        </w:rPr>
      </w:pPr>
      <w:r w:rsidRPr="00586B0C">
        <w:rPr>
          <w:lang w:val="en-GB"/>
        </w:rPr>
        <w:t>Lauren Nicolaas wrote this case under the supervision of Julie Gosse</w:t>
      </w:r>
      <w:r w:rsidR="00ED7922" w:rsidRPr="00586B0C">
        <w:rPr>
          <w:lang w:val="en-GB"/>
        </w:rPr>
        <w:t xml:space="preserve"> </w:t>
      </w:r>
      <w:r w:rsidR="00086B26" w:rsidRPr="006D678A">
        <w:rPr>
          <w:lang w:val="en-GB"/>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6D678A" w:rsidRDefault="00086B26" w:rsidP="00086B26">
      <w:pPr>
        <w:pStyle w:val="StyleCopyrightStatementAfter0ptBottomSinglesolidline1"/>
        <w:rPr>
          <w:lang w:val="en-GB"/>
        </w:rPr>
      </w:pPr>
    </w:p>
    <w:p w14:paraId="1EEEBFE5" w14:textId="33D5E93E" w:rsidR="00A323B0" w:rsidRPr="00586B0C" w:rsidRDefault="00504093" w:rsidP="00A323B0">
      <w:pPr>
        <w:pStyle w:val="StyleStyleCopyrightStatementAfter0ptBottomSinglesolid"/>
        <w:rPr>
          <w:lang w:val="en-GB"/>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777D23C" w14:textId="77777777" w:rsidR="003A5366" w:rsidRPr="00586B0C" w:rsidRDefault="003A5366" w:rsidP="00A323B0">
      <w:pPr>
        <w:pStyle w:val="StyleStyleCopyrightStatementAfter0ptBottomSinglesolid"/>
        <w:rPr>
          <w:lang w:val="en-GB"/>
        </w:rPr>
      </w:pPr>
    </w:p>
    <w:p w14:paraId="3922E14F" w14:textId="778A9B58" w:rsidR="00751E0B" w:rsidRPr="00586B0C" w:rsidRDefault="00504093" w:rsidP="00A323B0">
      <w:pPr>
        <w:pStyle w:val="StyleStyleCopyrightStatementAfter0ptBottomSinglesolid"/>
        <w:rPr>
          <w:lang w:val="en-GB"/>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586B0C">
        <w:rPr>
          <w:color w:val="auto"/>
          <w:lang w:val="en-GB"/>
        </w:rPr>
        <w:tab/>
        <w:t xml:space="preserve">Version: </w:t>
      </w:r>
      <w:r w:rsidR="00CD0A39">
        <w:rPr>
          <w:color w:val="auto"/>
          <w:lang w:val="en-GB"/>
        </w:rPr>
        <w:t>2022-03-09</w:t>
      </w:r>
    </w:p>
    <w:p w14:paraId="0A2A54E4" w14:textId="77777777" w:rsidR="00751E0B" w:rsidRPr="00586B0C" w:rsidRDefault="00751E0B" w:rsidP="00751E0B">
      <w:pPr>
        <w:pStyle w:val="StyleCopyrightStatementAfter0ptBottomSinglesolidline1"/>
        <w:rPr>
          <w:rFonts w:ascii="Times New Roman" w:hAnsi="Times New Roman"/>
          <w:sz w:val="20"/>
          <w:lang w:val="en-GB"/>
        </w:rPr>
      </w:pPr>
    </w:p>
    <w:p w14:paraId="2C183161" w14:textId="00193AB4" w:rsidR="00B87DC0" w:rsidRPr="00586B0C" w:rsidRDefault="00B87DC0" w:rsidP="002B40FF">
      <w:pPr>
        <w:pStyle w:val="Casehead1"/>
        <w:rPr>
          <w:lang w:val="en-GB"/>
        </w:rPr>
      </w:pPr>
    </w:p>
    <w:p w14:paraId="04BA9377" w14:textId="5C2B4BC5" w:rsidR="00DB7D99" w:rsidRPr="006D678A" w:rsidRDefault="00DB7D99" w:rsidP="00DB7D99">
      <w:pPr>
        <w:pStyle w:val="BodyTextMain"/>
        <w:rPr>
          <w:lang w:val="en-GB"/>
        </w:rPr>
      </w:pPr>
      <w:r w:rsidRPr="006D678A">
        <w:rPr>
          <w:lang w:val="en-GB"/>
        </w:rPr>
        <w:t xml:space="preserve">Danielle Cameron, co-owner of </w:t>
      </w:r>
      <w:r w:rsidR="008D4350">
        <w:rPr>
          <w:lang w:val="en-GB"/>
        </w:rPr>
        <w:t>T</w:t>
      </w:r>
      <w:r w:rsidRPr="006D678A">
        <w:rPr>
          <w:lang w:val="en-GB"/>
        </w:rPr>
        <w:t>he London Dance Shoppe (</w:t>
      </w:r>
      <w:r w:rsidR="00FB02D6">
        <w:rPr>
          <w:lang w:val="en-GB"/>
        </w:rPr>
        <w:t>LDS</w:t>
      </w:r>
      <w:r w:rsidRPr="006D678A">
        <w:rPr>
          <w:lang w:val="en-GB"/>
        </w:rPr>
        <w:t xml:space="preserve">), stared across the store at her precariously stacked boxes of inventory. She knew which tower of boxes held the ballet shoes she needed; the trick was </w:t>
      </w:r>
      <w:r w:rsidR="00592A46">
        <w:rPr>
          <w:lang w:val="en-GB"/>
        </w:rPr>
        <w:t>to pull</w:t>
      </w:r>
      <w:r w:rsidR="00592A46" w:rsidRPr="006D678A">
        <w:rPr>
          <w:lang w:val="en-GB"/>
        </w:rPr>
        <w:t xml:space="preserve"> </w:t>
      </w:r>
      <w:r w:rsidRPr="006D678A">
        <w:rPr>
          <w:lang w:val="en-GB"/>
        </w:rPr>
        <w:t>them out without knocking over the whole pile. This game of Jenga was a regular occurrence these days. It was January 2020</w:t>
      </w:r>
      <w:r w:rsidR="005634F9">
        <w:rPr>
          <w:lang w:val="en-GB"/>
        </w:rPr>
        <w:t>,</w:t>
      </w:r>
      <w:r w:rsidRPr="006D678A">
        <w:rPr>
          <w:lang w:val="en-GB"/>
        </w:rPr>
        <w:t xml:space="preserve"> and business at </w:t>
      </w:r>
      <w:r w:rsidR="005634F9">
        <w:rPr>
          <w:lang w:val="en-GB"/>
        </w:rPr>
        <w:t>LDS</w:t>
      </w:r>
      <w:r w:rsidRPr="006D678A">
        <w:rPr>
          <w:lang w:val="en-GB"/>
        </w:rPr>
        <w:t xml:space="preserve"> was better than ever, but evidence that Cameron had outgrown her retail space was mounting as quickly as the boxes.</w:t>
      </w:r>
    </w:p>
    <w:p w14:paraId="04B8024B" w14:textId="77777777" w:rsidR="00DB7D99" w:rsidRPr="006D678A" w:rsidRDefault="00DB7D99" w:rsidP="00DB7D99">
      <w:pPr>
        <w:pStyle w:val="BodyTextMain"/>
        <w:rPr>
          <w:lang w:val="en-GB"/>
        </w:rPr>
      </w:pPr>
    </w:p>
    <w:p w14:paraId="223CA45B" w14:textId="1C684AF2" w:rsidR="00DB7D99" w:rsidRPr="006D678A" w:rsidRDefault="00DB7D99" w:rsidP="00DB7D99">
      <w:pPr>
        <w:pStyle w:val="BodyTextMain"/>
        <w:rPr>
          <w:lang w:val="en-GB"/>
        </w:rPr>
      </w:pPr>
      <w:r w:rsidRPr="006D678A">
        <w:rPr>
          <w:lang w:val="en-GB"/>
        </w:rPr>
        <w:t>Later that afternoon</w:t>
      </w:r>
      <w:r w:rsidR="004609A7">
        <w:rPr>
          <w:lang w:val="en-GB"/>
        </w:rPr>
        <w:t>,</w:t>
      </w:r>
      <w:r w:rsidRPr="006D678A">
        <w:rPr>
          <w:lang w:val="en-GB"/>
        </w:rPr>
        <w:t xml:space="preserve"> Cameron met with Christina Morales, her business partner, to discuss the future of </w:t>
      </w:r>
      <w:r w:rsidR="004609A7">
        <w:rPr>
          <w:lang w:val="en-GB"/>
        </w:rPr>
        <w:t>LDS</w:t>
      </w:r>
      <w:r w:rsidRPr="006D678A">
        <w:rPr>
          <w:lang w:val="en-GB"/>
        </w:rPr>
        <w:t xml:space="preserve">. Moving </w:t>
      </w:r>
      <w:r w:rsidR="004609A7">
        <w:rPr>
          <w:lang w:val="en-GB"/>
        </w:rPr>
        <w:t>LDS</w:t>
      </w:r>
      <w:r w:rsidRPr="006D678A">
        <w:rPr>
          <w:lang w:val="en-GB"/>
        </w:rPr>
        <w:t xml:space="preserve"> to a larger location was one of several options being considered</w:t>
      </w:r>
      <w:r w:rsidR="004609A7">
        <w:rPr>
          <w:lang w:val="en-GB"/>
        </w:rPr>
        <w:t>,</w:t>
      </w:r>
      <w:r w:rsidRPr="006D678A">
        <w:rPr>
          <w:lang w:val="en-GB"/>
        </w:rPr>
        <w:t xml:space="preserve"> but Cameron also wondered if there were other ways to grow. She was also considering increasing her studio catering services or continuing to focus on the growth of her new online platform. As Morales was walking out the door, she turned around</w:t>
      </w:r>
      <w:r w:rsidR="0062385B">
        <w:rPr>
          <w:lang w:val="en-GB"/>
        </w:rPr>
        <w:t xml:space="preserve"> and said,</w:t>
      </w:r>
      <w:r w:rsidRPr="006D678A">
        <w:rPr>
          <w:lang w:val="en-GB"/>
        </w:rPr>
        <w:t xml:space="preserve"> “You know</w:t>
      </w:r>
      <w:r w:rsidR="0062385B">
        <w:rPr>
          <w:lang w:val="en-GB"/>
        </w:rPr>
        <w:t>,</w:t>
      </w:r>
      <w:r w:rsidRPr="006D678A">
        <w:rPr>
          <w:lang w:val="en-GB"/>
        </w:rPr>
        <w:t xml:space="preserve"> Danielle, I’m not sure I’m up for any of these changes</w:t>
      </w:r>
      <w:r w:rsidR="0062385B">
        <w:rPr>
          <w:lang w:val="en-GB"/>
        </w:rPr>
        <w:t>,</w:t>
      </w:r>
      <w:r w:rsidRPr="006D678A">
        <w:rPr>
          <w:lang w:val="en-GB"/>
        </w:rPr>
        <w:t xml:space="preserve"> and my other job is really taking off</w:t>
      </w:r>
      <w:r w:rsidR="0062385B">
        <w:rPr>
          <w:lang w:val="en-GB"/>
        </w:rPr>
        <w:t>.</w:t>
      </w:r>
      <w:r w:rsidRPr="006D678A">
        <w:rPr>
          <w:lang w:val="en-GB"/>
        </w:rPr>
        <w:t xml:space="preserve"> I wonder if it’s time for us to discuss me selling my half of the business.” With that</w:t>
      </w:r>
      <w:r w:rsidR="0062385B">
        <w:rPr>
          <w:lang w:val="en-GB"/>
        </w:rPr>
        <w:t>,</w:t>
      </w:r>
      <w:r w:rsidRPr="006D678A">
        <w:rPr>
          <w:lang w:val="en-GB"/>
        </w:rPr>
        <w:t xml:space="preserve"> Cameron was left alone in the </w:t>
      </w:r>
      <w:r w:rsidR="0062385B">
        <w:rPr>
          <w:lang w:val="en-GB"/>
        </w:rPr>
        <w:t>shop</w:t>
      </w:r>
      <w:r w:rsidRPr="006D678A">
        <w:rPr>
          <w:lang w:val="en-GB"/>
        </w:rPr>
        <w:t xml:space="preserve"> to consider her options.</w:t>
      </w:r>
    </w:p>
    <w:p w14:paraId="0B79F7E0" w14:textId="77777777" w:rsidR="00DB7D99" w:rsidRPr="006D678A" w:rsidRDefault="00DB7D99" w:rsidP="00DB7D99">
      <w:pPr>
        <w:pStyle w:val="BodyTextMain"/>
        <w:rPr>
          <w:lang w:val="en-GB"/>
        </w:rPr>
      </w:pPr>
    </w:p>
    <w:p w14:paraId="6127046B" w14:textId="77777777" w:rsidR="00DB7D99" w:rsidRPr="006D678A" w:rsidRDefault="00DB7D99" w:rsidP="00DB7D99">
      <w:pPr>
        <w:pStyle w:val="BodyTextMain"/>
        <w:rPr>
          <w:lang w:val="en-GB"/>
        </w:rPr>
      </w:pPr>
    </w:p>
    <w:p w14:paraId="30E177FB" w14:textId="77777777" w:rsidR="00DB7D99" w:rsidRPr="006D678A" w:rsidRDefault="00DB7D99" w:rsidP="00DB7D99">
      <w:pPr>
        <w:pStyle w:val="Casehead1"/>
        <w:rPr>
          <w:lang w:val="en-GB"/>
        </w:rPr>
      </w:pPr>
      <w:r w:rsidRPr="006D678A">
        <w:rPr>
          <w:lang w:val="en-GB"/>
        </w:rPr>
        <w:t>INDUSTRY CONSIDERATIONS</w:t>
      </w:r>
    </w:p>
    <w:p w14:paraId="54C49C5E" w14:textId="77777777" w:rsidR="00DB7D99" w:rsidRPr="006D678A" w:rsidRDefault="00DB7D99" w:rsidP="00DB7D99">
      <w:pPr>
        <w:pStyle w:val="BodyTextMain"/>
        <w:rPr>
          <w:lang w:val="en-GB"/>
        </w:rPr>
      </w:pPr>
    </w:p>
    <w:p w14:paraId="15AFA73B" w14:textId="77777777" w:rsidR="00DB7D99" w:rsidRPr="006D678A" w:rsidRDefault="00DB7D99" w:rsidP="00DB7D99">
      <w:pPr>
        <w:jc w:val="both"/>
        <w:outlineLvl w:val="0"/>
        <w:rPr>
          <w:rFonts w:ascii="Arial" w:hAnsi="Arial" w:cs="Arial"/>
          <w:b/>
          <w:lang w:val="en-GB"/>
        </w:rPr>
      </w:pPr>
      <w:r w:rsidRPr="006D678A">
        <w:rPr>
          <w:rFonts w:ascii="Arial" w:hAnsi="Arial" w:cs="Arial"/>
          <w:b/>
          <w:lang w:val="en-GB"/>
        </w:rPr>
        <w:t>Children’s Dance</w:t>
      </w:r>
    </w:p>
    <w:p w14:paraId="0EAF3730" w14:textId="77777777" w:rsidR="00DB7D99" w:rsidRPr="006D678A" w:rsidRDefault="00DB7D99" w:rsidP="00DB7D99">
      <w:pPr>
        <w:pStyle w:val="BodyTextMain"/>
        <w:rPr>
          <w:lang w:val="en-GB"/>
        </w:rPr>
      </w:pPr>
    </w:p>
    <w:p w14:paraId="72E4DB1D" w14:textId="4C85855C" w:rsidR="00DB7D99" w:rsidRPr="006D678A" w:rsidRDefault="00DB7D99" w:rsidP="00DB7D99">
      <w:pPr>
        <w:pStyle w:val="BodyTextMain"/>
        <w:rPr>
          <w:lang w:val="en-GB"/>
        </w:rPr>
      </w:pPr>
      <w:r w:rsidRPr="006D678A">
        <w:rPr>
          <w:lang w:val="en-GB"/>
        </w:rPr>
        <w:t>In 2014, dance was the third most popular children’s activity in Canada. Approximately 18 per cent of Canadian children took dance classes at least once a week.</w:t>
      </w:r>
      <w:r w:rsidRPr="006D678A">
        <w:rPr>
          <w:rStyle w:val="FootnoteReference"/>
          <w:lang w:val="en-GB"/>
        </w:rPr>
        <w:footnoteReference w:id="2"/>
      </w:r>
      <w:r w:rsidR="006D678A">
        <w:rPr>
          <w:lang w:val="en-GB"/>
        </w:rPr>
        <w:t xml:space="preserve"> </w:t>
      </w:r>
      <w:r w:rsidRPr="006D678A">
        <w:rPr>
          <w:lang w:val="en-GB"/>
        </w:rPr>
        <w:t xml:space="preserve">More Canadian children were enrolled in dance classes than </w:t>
      </w:r>
      <w:r w:rsidR="00BD71ED">
        <w:rPr>
          <w:lang w:val="en-GB"/>
        </w:rPr>
        <w:t xml:space="preserve">they were </w:t>
      </w:r>
      <w:r w:rsidRPr="006D678A">
        <w:rPr>
          <w:lang w:val="en-GB"/>
        </w:rPr>
        <w:t xml:space="preserve">in hockey, </w:t>
      </w:r>
      <w:r w:rsidR="00BD71ED">
        <w:rPr>
          <w:lang w:val="en-GB"/>
        </w:rPr>
        <w:t xml:space="preserve">which was </w:t>
      </w:r>
      <w:r w:rsidRPr="006D678A">
        <w:rPr>
          <w:lang w:val="en-GB"/>
        </w:rPr>
        <w:t>Canada’s national sport.</w:t>
      </w:r>
      <w:r w:rsidRPr="006D678A">
        <w:rPr>
          <w:rStyle w:val="FootnoteReference"/>
          <w:lang w:val="en-GB"/>
        </w:rPr>
        <w:footnoteReference w:id="3"/>
      </w:r>
    </w:p>
    <w:p w14:paraId="50B6EDF5" w14:textId="77777777" w:rsidR="00DB7D99" w:rsidRPr="006D678A" w:rsidRDefault="00DB7D99" w:rsidP="00DB7D99">
      <w:pPr>
        <w:pStyle w:val="BodyTextMain"/>
        <w:rPr>
          <w:lang w:val="en-GB"/>
        </w:rPr>
      </w:pPr>
    </w:p>
    <w:p w14:paraId="14D3A4C0" w14:textId="6D804954" w:rsidR="00DB7D99" w:rsidRPr="006D678A" w:rsidRDefault="00DB7D99" w:rsidP="00DB7D99">
      <w:pPr>
        <w:pStyle w:val="BodyTextMain"/>
        <w:rPr>
          <w:lang w:val="en-GB"/>
        </w:rPr>
      </w:pPr>
      <w:r w:rsidRPr="006D678A">
        <w:rPr>
          <w:lang w:val="en-GB"/>
        </w:rPr>
        <w:t xml:space="preserve">For the last decade, more than 60 per cent of Canadian children </w:t>
      </w:r>
      <w:r w:rsidR="000C04FF">
        <w:rPr>
          <w:lang w:val="en-GB"/>
        </w:rPr>
        <w:t xml:space="preserve">had </w:t>
      </w:r>
      <w:r w:rsidRPr="006D678A">
        <w:rPr>
          <w:lang w:val="en-GB"/>
        </w:rPr>
        <w:t xml:space="preserve">failed to meet </w:t>
      </w:r>
      <w:r w:rsidR="00BD71ED">
        <w:rPr>
          <w:lang w:val="en-GB"/>
        </w:rPr>
        <w:t xml:space="preserve">the appropriate </w:t>
      </w:r>
      <w:r w:rsidR="00281124" w:rsidRPr="006D678A">
        <w:rPr>
          <w:lang w:val="en-GB"/>
        </w:rPr>
        <w:t xml:space="preserve">levels of physical activity </w:t>
      </w:r>
      <w:r w:rsidR="00281124">
        <w:rPr>
          <w:lang w:val="en-GB"/>
        </w:rPr>
        <w:t xml:space="preserve">recommended by </w:t>
      </w:r>
      <w:r w:rsidRPr="006D678A">
        <w:rPr>
          <w:lang w:val="en-GB"/>
        </w:rPr>
        <w:t xml:space="preserve">health </w:t>
      </w:r>
      <w:r w:rsidR="00281124">
        <w:rPr>
          <w:lang w:val="en-GB"/>
        </w:rPr>
        <w:t>experts</w:t>
      </w:r>
      <w:r w:rsidRPr="006D678A">
        <w:rPr>
          <w:lang w:val="en-GB"/>
        </w:rPr>
        <w:t>.</w:t>
      </w:r>
      <w:r w:rsidRPr="006D678A">
        <w:rPr>
          <w:rStyle w:val="FootnoteReference"/>
          <w:lang w:val="en-GB"/>
        </w:rPr>
        <w:footnoteReference w:id="4"/>
      </w:r>
      <w:r w:rsidRPr="006D678A">
        <w:rPr>
          <w:lang w:val="en-GB"/>
        </w:rPr>
        <w:t xml:space="preserve"> This led the Canadian government to</w:t>
      </w:r>
      <w:r w:rsidR="009B03B3">
        <w:rPr>
          <w:lang w:val="en-GB"/>
        </w:rPr>
        <w:t xml:space="preserve"> implement various tax credits and advertising strategies to</w:t>
      </w:r>
      <w:r w:rsidRPr="006D678A">
        <w:rPr>
          <w:lang w:val="en-GB"/>
        </w:rPr>
        <w:t xml:space="preserve"> </w:t>
      </w:r>
      <w:r w:rsidR="00161118">
        <w:rPr>
          <w:lang w:val="en-GB"/>
        </w:rPr>
        <w:t>incentivize</w:t>
      </w:r>
      <w:r w:rsidRPr="006D678A">
        <w:rPr>
          <w:lang w:val="en-GB"/>
        </w:rPr>
        <w:t xml:space="preserve"> parents to enrol their children in organized activities. </w:t>
      </w:r>
      <w:r w:rsidR="009B03B3">
        <w:rPr>
          <w:lang w:val="en-GB"/>
        </w:rPr>
        <w:lastRenderedPageBreak/>
        <w:t>However, even</w:t>
      </w:r>
      <w:r w:rsidRPr="006D678A">
        <w:rPr>
          <w:lang w:val="en-GB"/>
        </w:rPr>
        <w:t xml:space="preserve"> with these tax credits, dance remained the second most expensive popular children’s activity. </w:t>
      </w:r>
      <w:r w:rsidR="00BE3509">
        <w:rPr>
          <w:lang w:val="en-GB"/>
        </w:rPr>
        <w:t>As such, families</w:t>
      </w:r>
      <w:r w:rsidRPr="006D678A">
        <w:rPr>
          <w:lang w:val="en-GB"/>
        </w:rPr>
        <w:t xml:space="preserve"> with low to average disposable incomes were significantly more likely to enrol their children in less expensive activities such as soccer or swimming.</w:t>
      </w:r>
    </w:p>
    <w:p w14:paraId="16641DF0" w14:textId="77777777" w:rsidR="00DB7D99" w:rsidRPr="006D678A" w:rsidRDefault="00DB7D99" w:rsidP="00DB7D99">
      <w:pPr>
        <w:pStyle w:val="BodyTextMain"/>
        <w:rPr>
          <w:lang w:val="en-GB"/>
        </w:rPr>
      </w:pPr>
    </w:p>
    <w:p w14:paraId="19DD3EE8" w14:textId="77777777" w:rsidR="00DB7D99" w:rsidRPr="006D678A" w:rsidRDefault="00DB7D99" w:rsidP="00DB7D99">
      <w:pPr>
        <w:pStyle w:val="BodyTextMain"/>
        <w:rPr>
          <w:lang w:val="en-GB"/>
        </w:rPr>
      </w:pPr>
    </w:p>
    <w:p w14:paraId="57C2FF08" w14:textId="77777777" w:rsidR="00DB7D99" w:rsidRPr="006D678A" w:rsidRDefault="00DB7D99" w:rsidP="00DB7D99">
      <w:pPr>
        <w:pStyle w:val="Casehead2"/>
        <w:rPr>
          <w:lang w:val="en-GB"/>
        </w:rPr>
      </w:pPr>
      <w:r w:rsidRPr="006D678A">
        <w:rPr>
          <w:lang w:val="en-GB"/>
        </w:rPr>
        <w:t>Retail Dancewear</w:t>
      </w:r>
    </w:p>
    <w:p w14:paraId="6EBEAAF3" w14:textId="77777777" w:rsidR="00DB7D99" w:rsidRPr="006D678A" w:rsidRDefault="00DB7D99" w:rsidP="00DB7D99">
      <w:pPr>
        <w:pStyle w:val="BodyTextMain"/>
        <w:rPr>
          <w:lang w:val="en-GB"/>
        </w:rPr>
      </w:pPr>
    </w:p>
    <w:p w14:paraId="23B10C56" w14:textId="51BA6C07" w:rsidR="00DB7D99" w:rsidRPr="006D678A" w:rsidRDefault="00DB7D99" w:rsidP="00DB7D99">
      <w:pPr>
        <w:pStyle w:val="BodyTextMain"/>
        <w:rPr>
          <w:lang w:val="en-GB"/>
        </w:rPr>
      </w:pPr>
      <w:r w:rsidRPr="006D678A">
        <w:rPr>
          <w:lang w:val="en-GB"/>
        </w:rPr>
        <w:t xml:space="preserve">The term dancewear </w:t>
      </w:r>
      <w:r w:rsidR="00CF4B9C">
        <w:rPr>
          <w:lang w:val="en-GB"/>
        </w:rPr>
        <w:t>encompassed</w:t>
      </w:r>
      <w:r w:rsidRPr="006D678A">
        <w:rPr>
          <w:lang w:val="en-GB"/>
        </w:rPr>
        <w:t xml:space="preserve"> any items of clothing </w:t>
      </w:r>
      <w:r w:rsidR="00CF4B9C">
        <w:rPr>
          <w:lang w:val="en-GB"/>
        </w:rPr>
        <w:t xml:space="preserve">that </w:t>
      </w:r>
      <w:r w:rsidR="00044A43">
        <w:rPr>
          <w:lang w:val="en-GB"/>
        </w:rPr>
        <w:t>were</w:t>
      </w:r>
      <w:r w:rsidR="00CF4B9C">
        <w:rPr>
          <w:lang w:val="en-GB"/>
        </w:rPr>
        <w:t xml:space="preserve"> </w:t>
      </w:r>
      <w:r w:rsidRPr="006D678A">
        <w:rPr>
          <w:lang w:val="en-GB"/>
        </w:rPr>
        <w:t>commonly worn by dancers</w:t>
      </w:r>
      <w:r w:rsidR="00CF4B9C">
        <w:rPr>
          <w:lang w:val="en-GB"/>
        </w:rPr>
        <w:t>,</w:t>
      </w:r>
      <w:r w:rsidRPr="006D678A">
        <w:rPr>
          <w:lang w:val="en-GB"/>
        </w:rPr>
        <w:t xml:space="preserve"> including dance shoes, leotards, tights</w:t>
      </w:r>
      <w:r w:rsidR="00CF4B9C">
        <w:rPr>
          <w:lang w:val="en-GB"/>
        </w:rPr>
        <w:t>,</w:t>
      </w:r>
      <w:r w:rsidRPr="006D678A">
        <w:rPr>
          <w:lang w:val="en-GB"/>
        </w:rPr>
        <w:t xml:space="preserve"> and belts. Driven by a renewed interest in the arts and in dance, the worldwide market for dancewear was expected to grow at a rate of 4.5 per cent over the next five years.</w:t>
      </w:r>
      <w:r w:rsidRPr="006D678A">
        <w:rPr>
          <w:rStyle w:val="FootnoteReference"/>
          <w:lang w:val="en-GB"/>
        </w:rPr>
        <w:footnoteReference w:id="5"/>
      </w:r>
      <w:r w:rsidRPr="006D678A">
        <w:rPr>
          <w:lang w:val="en-GB"/>
        </w:rPr>
        <w:t xml:space="preserve"> The dancewear manufacturing industry was largely controlled by about a dozen major manufacturers</w:t>
      </w:r>
      <w:r w:rsidR="00A01D82">
        <w:rPr>
          <w:lang w:val="en-GB"/>
        </w:rPr>
        <w:t>,</w:t>
      </w:r>
      <w:r w:rsidRPr="006D678A">
        <w:rPr>
          <w:lang w:val="en-GB"/>
        </w:rPr>
        <w:t xml:space="preserve"> including Bloch, </w:t>
      </w:r>
      <w:proofErr w:type="spellStart"/>
      <w:r w:rsidR="00CF4B9C" w:rsidRPr="00CF4B9C">
        <w:rPr>
          <w:lang w:val="en-GB"/>
        </w:rPr>
        <w:t>Capezio</w:t>
      </w:r>
      <w:proofErr w:type="spellEnd"/>
      <w:r w:rsidR="00CF4B9C" w:rsidRPr="00CF4B9C">
        <w:rPr>
          <w:lang w:val="en-GB"/>
        </w:rPr>
        <w:t xml:space="preserve"> Ballet Makers Inc</w:t>
      </w:r>
      <w:r w:rsidR="00CF4B9C">
        <w:rPr>
          <w:lang w:val="en-GB"/>
        </w:rPr>
        <w:t>.</w:t>
      </w:r>
      <w:r w:rsidRPr="006D678A">
        <w:rPr>
          <w:lang w:val="en-GB"/>
        </w:rPr>
        <w:t xml:space="preserve">, and </w:t>
      </w:r>
      <w:r w:rsidR="00CF4B9C">
        <w:rPr>
          <w:lang w:val="en-GB"/>
        </w:rPr>
        <w:t xml:space="preserve">Freed of London </w:t>
      </w:r>
      <w:proofErr w:type="gramStart"/>
      <w:r w:rsidR="00CF4B9C">
        <w:rPr>
          <w:lang w:val="en-GB"/>
        </w:rPr>
        <w:t>Ltd</w:t>
      </w:r>
      <w:r w:rsidRPr="006D678A">
        <w:rPr>
          <w:lang w:val="en-GB"/>
        </w:rPr>
        <w:t>.</w:t>
      </w:r>
      <w:r w:rsidR="00BD71ED">
        <w:rPr>
          <w:lang w:val="en-GB"/>
        </w:rPr>
        <w:t>.</w:t>
      </w:r>
      <w:proofErr w:type="gramEnd"/>
      <w:r w:rsidRPr="006D678A">
        <w:rPr>
          <w:lang w:val="en-GB"/>
        </w:rPr>
        <w:t xml:space="preserve"> However, the retail dancewear industry was highly fragmented, with most stores being independently owned.</w:t>
      </w:r>
    </w:p>
    <w:p w14:paraId="5A3313FC" w14:textId="77777777" w:rsidR="00DB7D99" w:rsidRPr="006D678A" w:rsidRDefault="00DB7D99" w:rsidP="00DB7D99">
      <w:pPr>
        <w:pStyle w:val="BodyTextMain"/>
        <w:rPr>
          <w:lang w:val="en-GB"/>
        </w:rPr>
      </w:pPr>
    </w:p>
    <w:p w14:paraId="74929518" w14:textId="1A5726F5" w:rsidR="00DB7D99" w:rsidRPr="006D678A" w:rsidRDefault="00DB7D99" w:rsidP="00DB7D99">
      <w:pPr>
        <w:pStyle w:val="BodyTextMain"/>
        <w:rPr>
          <w:lang w:val="en-GB"/>
        </w:rPr>
      </w:pPr>
      <w:r w:rsidRPr="006D678A">
        <w:rPr>
          <w:lang w:val="en-GB"/>
        </w:rPr>
        <w:t>Dance studios</w:t>
      </w:r>
      <w:r w:rsidRPr="006D678A">
        <w:rPr>
          <w:rStyle w:val="FootnoteReference"/>
          <w:lang w:val="en-GB"/>
        </w:rPr>
        <w:footnoteReference w:id="6"/>
      </w:r>
      <w:r w:rsidRPr="006D678A">
        <w:rPr>
          <w:lang w:val="en-GB"/>
        </w:rPr>
        <w:t xml:space="preserve"> generally specified the dancewear that each dancer required</w:t>
      </w:r>
      <w:r w:rsidR="00BD71ED">
        <w:rPr>
          <w:lang w:val="en-GB"/>
        </w:rPr>
        <w:t xml:space="preserve"> at that specific studio</w:t>
      </w:r>
      <w:r w:rsidRPr="006D678A">
        <w:rPr>
          <w:lang w:val="en-GB"/>
        </w:rPr>
        <w:t>. If a dancewear store did not have the required items or sizes, the dancer would need to find another retailer that carried the exact items required. Furthermore, dance shoes almost always needed to be checked for fit by a dance teacher before the dancer could use them. If the dance shoes were deemed unacceptable by the dance teacher, the shoes would need to be returned.</w:t>
      </w:r>
    </w:p>
    <w:p w14:paraId="366E9ECC" w14:textId="77777777" w:rsidR="00DB7D99" w:rsidRPr="006D678A" w:rsidRDefault="00DB7D99" w:rsidP="00DB7D99">
      <w:pPr>
        <w:pStyle w:val="BodyTextMain"/>
        <w:rPr>
          <w:lang w:val="en-GB"/>
        </w:rPr>
      </w:pPr>
    </w:p>
    <w:p w14:paraId="4CCED34C" w14:textId="0A5097C8" w:rsidR="00DB7D99" w:rsidRPr="006D678A" w:rsidRDefault="00DB7D99" w:rsidP="00DB7D99">
      <w:pPr>
        <w:pStyle w:val="BodyTextMain"/>
        <w:rPr>
          <w:lang w:val="en-GB"/>
        </w:rPr>
      </w:pPr>
      <w:r w:rsidRPr="006D678A">
        <w:rPr>
          <w:lang w:val="en-GB"/>
        </w:rPr>
        <w:t xml:space="preserve">As specific and technical as dance apparel was, there was also an element of enchantment </w:t>
      </w:r>
      <w:r w:rsidR="00044713">
        <w:rPr>
          <w:lang w:val="en-GB"/>
        </w:rPr>
        <w:t>to</w:t>
      </w:r>
      <w:r w:rsidRPr="006D678A">
        <w:rPr>
          <w:lang w:val="en-GB"/>
        </w:rPr>
        <w:t xml:space="preserve"> the shopping experience. There was something magical about a dance store</w:t>
      </w:r>
      <w:r w:rsidR="00A01D82">
        <w:rPr>
          <w:lang w:val="en-GB"/>
        </w:rPr>
        <w:t>:</w:t>
      </w:r>
      <w:r w:rsidRPr="006D678A">
        <w:rPr>
          <w:lang w:val="en-GB"/>
        </w:rPr>
        <w:t xml:space="preserve"> walls lined with beautiful ballet shoes, tutus, leotards, and glittery dance bags. For </w:t>
      </w:r>
      <w:r w:rsidR="00BD71ED">
        <w:rPr>
          <w:lang w:val="en-GB"/>
        </w:rPr>
        <w:t xml:space="preserve">many </w:t>
      </w:r>
      <w:r w:rsidRPr="006D678A">
        <w:rPr>
          <w:lang w:val="en-GB"/>
        </w:rPr>
        <w:t>young children</w:t>
      </w:r>
      <w:r w:rsidR="00A01D82">
        <w:rPr>
          <w:lang w:val="en-GB"/>
        </w:rPr>
        <w:t>,</w:t>
      </w:r>
      <w:r w:rsidRPr="006D678A">
        <w:rPr>
          <w:lang w:val="en-GB"/>
        </w:rPr>
        <w:t xml:space="preserve"> especially, a trip to the dance store was often one of the most exciting days of the year.</w:t>
      </w:r>
    </w:p>
    <w:p w14:paraId="358CE69F" w14:textId="77777777" w:rsidR="00DB7D99" w:rsidRPr="006D678A" w:rsidRDefault="00DB7D99" w:rsidP="00DB7D99">
      <w:pPr>
        <w:pStyle w:val="BodyTextMain"/>
        <w:rPr>
          <w:lang w:val="en-GB"/>
        </w:rPr>
      </w:pPr>
    </w:p>
    <w:p w14:paraId="79783DB2" w14:textId="129C83E3" w:rsidR="00DB7D99" w:rsidRPr="00DF266F" w:rsidRDefault="00DB7D99" w:rsidP="00DB7D99">
      <w:pPr>
        <w:pStyle w:val="BodyTextMain"/>
        <w:rPr>
          <w:spacing w:val="-2"/>
          <w:kern w:val="2"/>
          <w:lang w:val="en-GB"/>
        </w:rPr>
      </w:pPr>
      <w:r w:rsidRPr="00DF266F">
        <w:rPr>
          <w:spacing w:val="-2"/>
          <w:kern w:val="2"/>
          <w:lang w:val="en-GB"/>
        </w:rPr>
        <w:t xml:space="preserve">One of the most important and expensive </w:t>
      </w:r>
      <w:r w:rsidR="007146DA" w:rsidRPr="00DF266F">
        <w:rPr>
          <w:spacing w:val="-2"/>
          <w:kern w:val="2"/>
          <w:lang w:val="en-GB"/>
        </w:rPr>
        <w:t xml:space="preserve">dancewear </w:t>
      </w:r>
      <w:r w:rsidRPr="00DF266F">
        <w:rPr>
          <w:spacing w:val="-2"/>
          <w:kern w:val="2"/>
          <w:lang w:val="en-GB"/>
        </w:rPr>
        <w:t xml:space="preserve">items was the ballet pointe shoe. </w:t>
      </w:r>
      <w:r w:rsidR="00504093">
        <w:t>Pointe shoes allowed a dancer to stand with all of their weight on the tips of their toes.</w:t>
      </w:r>
      <w:r w:rsidRPr="00DF266F">
        <w:rPr>
          <w:spacing w:val="-2"/>
          <w:kern w:val="2"/>
          <w:lang w:val="en-GB"/>
        </w:rPr>
        <w:t xml:space="preserve"> Young ballet dancers typically received their first pair of pointe shoes around the age of </w:t>
      </w:r>
      <w:r w:rsidR="00074E3D" w:rsidRPr="00DF266F">
        <w:rPr>
          <w:spacing w:val="-2"/>
          <w:kern w:val="2"/>
          <w:lang w:val="en-GB"/>
        </w:rPr>
        <w:t>12</w:t>
      </w:r>
      <w:r w:rsidRPr="00DF266F">
        <w:rPr>
          <w:spacing w:val="-2"/>
          <w:kern w:val="2"/>
          <w:lang w:val="en-GB"/>
        </w:rPr>
        <w:t>, and this was commonly viewed as a big milestone in a dancer’s career. Finding pointe shoes that fit well was an intensive process. A proper pointe shoe fitting could take anywhere from 30 minutes to an hour and a half. There were many brands and styles of pointe shoes</w:t>
      </w:r>
      <w:r w:rsidR="00E11B37" w:rsidRPr="00DF266F">
        <w:rPr>
          <w:spacing w:val="-2"/>
          <w:kern w:val="2"/>
          <w:lang w:val="en-GB"/>
        </w:rPr>
        <w:t>,</w:t>
      </w:r>
      <w:r w:rsidRPr="00DF266F">
        <w:rPr>
          <w:spacing w:val="-2"/>
          <w:kern w:val="2"/>
          <w:lang w:val="en-GB"/>
        </w:rPr>
        <w:t xml:space="preserve"> and factors such as foot shape, ankle strength, </w:t>
      </w:r>
      <w:r w:rsidR="00E11B37" w:rsidRPr="00DF266F">
        <w:rPr>
          <w:spacing w:val="-2"/>
          <w:kern w:val="2"/>
          <w:lang w:val="en-GB"/>
        </w:rPr>
        <w:t xml:space="preserve">and </w:t>
      </w:r>
      <w:r w:rsidRPr="00DF266F">
        <w:rPr>
          <w:spacing w:val="-2"/>
          <w:kern w:val="2"/>
          <w:lang w:val="en-GB"/>
        </w:rPr>
        <w:t xml:space="preserve">knee and hip alignment </w:t>
      </w:r>
      <w:r w:rsidR="001A4EBA" w:rsidRPr="00DF266F">
        <w:rPr>
          <w:spacing w:val="-2"/>
          <w:kern w:val="2"/>
          <w:lang w:val="en-GB"/>
        </w:rPr>
        <w:t>determined</w:t>
      </w:r>
      <w:r w:rsidRPr="00DF266F">
        <w:rPr>
          <w:spacing w:val="-2"/>
          <w:kern w:val="2"/>
          <w:lang w:val="en-GB"/>
        </w:rPr>
        <w:t xml:space="preserve"> what type of shoe a dancer required. Once a dancer found the right fit, they were likely </w:t>
      </w:r>
      <w:r w:rsidR="00C60E69" w:rsidRPr="00DF266F">
        <w:rPr>
          <w:spacing w:val="-2"/>
          <w:kern w:val="2"/>
          <w:lang w:val="en-GB"/>
        </w:rPr>
        <w:t xml:space="preserve">to </w:t>
      </w:r>
      <w:r w:rsidRPr="00DF266F">
        <w:rPr>
          <w:spacing w:val="-2"/>
          <w:kern w:val="2"/>
          <w:lang w:val="en-GB"/>
        </w:rPr>
        <w:t xml:space="preserve">use that shoe for the rest of their career. Pointe shoes retailed for an average of </w:t>
      </w:r>
      <w:r w:rsidR="00CA3F4F" w:rsidRPr="00DF266F">
        <w:rPr>
          <w:spacing w:val="-2"/>
          <w:kern w:val="2"/>
          <w:lang w:val="en-GB"/>
        </w:rPr>
        <w:t>CA</w:t>
      </w:r>
      <w:r w:rsidRPr="00DF266F">
        <w:rPr>
          <w:spacing w:val="-2"/>
          <w:kern w:val="2"/>
          <w:lang w:val="en-GB"/>
        </w:rPr>
        <w:t>$120</w:t>
      </w:r>
      <w:r w:rsidRPr="00DF266F">
        <w:rPr>
          <w:rStyle w:val="FootnoteReference"/>
          <w:spacing w:val="-2"/>
          <w:kern w:val="2"/>
          <w:lang w:val="en-GB"/>
        </w:rPr>
        <w:footnoteReference w:id="7"/>
      </w:r>
      <w:r w:rsidRPr="00DF266F">
        <w:rPr>
          <w:spacing w:val="-2"/>
          <w:kern w:val="2"/>
          <w:lang w:val="en-GB"/>
        </w:rPr>
        <w:t xml:space="preserve"> per pair.</w:t>
      </w:r>
    </w:p>
    <w:p w14:paraId="14E3D100" w14:textId="77777777" w:rsidR="00DB7D99" w:rsidRPr="00DF266F" w:rsidRDefault="00DB7D99" w:rsidP="00DB7D99">
      <w:pPr>
        <w:pStyle w:val="BodyTextMain"/>
        <w:rPr>
          <w:sz w:val="14"/>
          <w:szCs w:val="14"/>
          <w:lang w:val="en-GB"/>
        </w:rPr>
      </w:pPr>
    </w:p>
    <w:p w14:paraId="02D59FE1" w14:textId="77777777" w:rsidR="00DB7D99" w:rsidRPr="00DF266F" w:rsidRDefault="00DB7D99" w:rsidP="00DB7D99">
      <w:pPr>
        <w:pStyle w:val="BodyTextMain"/>
        <w:rPr>
          <w:sz w:val="14"/>
          <w:szCs w:val="14"/>
          <w:lang w:val="en-GB"/>
        </w:rPr>
      </w:pPr>
    </w:p>
    <w:p w14:paraId="58633B07" w14:textId="77777777" w:rsidR="00DB7D99" w:rsidRPr="006D678A" w:rsidRDefault="00DB7D99" w:rsidP="00DB7D99">
      <w:pPr>
        <w:pStyle w:val="Casehead1"/>
        <w:rPr>
          <w:lang w:val="en-GB"/>
        </w:rPr>
      </w:pPr>
      <w:r w:rsidRPr="006D678A">
        <w:rPr>
          <w:lang w:val="en-GB"/>
        </w:rPr>
        <w:t>THE LONDON DANCE SHOPPE</w:t>
      </w:r>
    </w:p>
    <w:p w14:paraId="71DC4F8A" w14:textId="77777777" w:rsidR="00DB7D99" w:rsidRPr="00DF266F" w:rsidRDefault="00DB7D99" w:rsidP="00DB7D99">
      <w:pPr>
        <w:pStyle w:val="BodyTextMain"/>
        <w:rPr>
          <w:sz w:val="14"/>
          <w:szCs w:val="14"/>
          <w:lang w:val="en-GB"/>
        </w:rPr>
      </w:pPr>
    </w:p>
    <w:p w14:paraId="2BE4435E" w14:textId="0EA13A51" w:rsidR="00DB7D99" w:rsidRPr="006D678A" w:rsidRDefault="000D2387" w:rsidP="00DB7D99">
      <w:pPr>
        <w:pStyle w:val="BodyTextMain"/>
        <w:rPr>
          <w:lang w:val="en-GB"/>
        </w:rPr>
      </w:pPr>
      <w:r>
        <w:rPr>
          <w:lang w:val="en-GB"/>
        </w:rPr>
        <w:t>LDS</w:t>
      </w:r>
      <w:r w:rsidR="00DB7D99" w:rsidRPr="006D678A">
        <w:rPr>
          <w:lang w:val="en-GB"/>
        </w:rPr>
        <w:t xml:space="preserve"> opened its doors in 1995 in the Old East Village neighbourhood of London, Ontario. </w:t>
      </w:r>
      <w:r w:rsidR="0005695A">
        <w:rPr>
          <w:lang w:val="en-GB"/>
        </w:rPr>
        <w:t xml:space="preserve">Founded by Karen Smith, </w:t>
      </w:r>
      <w:r>
        <w:rPr>
          <w:lang w:val="en-GB"/>
        </w:rPr>
        <w:t>LDS</w:t>
      </w:r>
      <w:r w:rsidR="00DB7D99" w:rsidRPr="006D678A">
        <w:rPr>
          <w:lang w:val="en-GB"/>
        </w:rPr>
        <w:t xml:space="preserve"> quickly established a reputation for providing excellent pointe shoe fittings and other dance apparel. Smith also owned a dance studio</w:t>
      </w:r>
      <w:r w:rsidR="000C04FF">
        <w:rPr>
          <w:lang w:val="en-GB"/>
        </w:rPr>
        <w:t>;</w:t>
      </w:r>
      <w:r w:rsidR="00DB7D99" w:rsidRPr="006D678A">
        <w:rPr>
          <w:lang w:val="en-GB"/>
        </w:rPr>
        <w:t xml:space="preserve"> </w:t>
      </w:r>
      <w:r w:rsidR="000C04FF">
        <w:rPr>
          <w:lang w:val="en-GB"/>
        </w:rPr>
        <w:t>she had</w:t>
      </w:r>
      <w:r w:rsidR="00DB7D99" w:rsidRPr="006D678A">
        <w:rPr>
          <w:lang w:val="en-GB"/>
        </w:rPr>
        <w:t xml:space="preserve"> originally established </w:t>
      </w:r>
      <w:r w:rsidR="0005695A">
        <w:rPr>
          <w:lang w:val="en-GB"/>
        </w:rPr>
        <w:t>LDS</w:t>
      </w:r>
      <w:r w:rsidR="00DB7D99" w:rsidRPr="006D678A">
        <w:rPr>
          <w:lang w:val="en-GB"/>
        </w:rPr>
        <w:t xml:space="preserve"> as a side business </w:t>
      </w:r>
      <w:r w:rsidR="0005695A">
        <w:rPr>
          <w:lang w:val="en-GB"/>
        </w:rPr>
        <w:t>to supplement</w:t>
      </w:r>
      <w:r w:rsidR="0005695A" w:rsidRPr="006D678A">
        <w:rPr>
          <w:lang w:val="en-GB"/>
        </w:rPr>
        <w:t xml:space="preserve"> </w:t>
      </w:r>
      <w:r w:rsidR="00DB7D99" w:rsidRPr="006D678A">
        <w:rPr>
          <w:lang w:val="en-GB"/>
        </w:rPr>
        <w:t>her career as a dance teacher.</w:t>
      </w:r>
    </w:p>
    <w:p w14:paraId="6EF925B7" w14:textId="77777777" w:rsidR="00DB7D99" w:rsidRPr="00DF266F" w:rsidRDefault="00DB7D99" w:rsidP="00DB7D99">
      <w:pPr>
        <w:pStyle w:val="BodyTextMain"/>
        <w:rPr>
          <w:sz w:val="14"/>
          <w:szCs w:val="14"/>
          <w:lang w:val="en-GB"/>
        </w:rPr>
      </w:pPr>
    </w:p>
    <w:p w14:paraId="6728E300" w14:textId="297FE2E1" w:rsidR="00DB7D99" w:rsidRPr="00DF266F" w:rsidRDefault="00956C4B" w:rsidP="00DB7D99">
      <w:pPr>
        <w:pStyle w:val="BodyTextMain"/>
        <w:rPr>
          <w:spacing w:val="-4"/>
          <w:kern w:val="22"/>
          <w:lang w:val="en-GB"/>
        </w:rPr>
      </w:pPr>
      <w:r w:rsidRPr="00DF266F">
        <w:rPr>
          <w:spacing w:val="-4"/>
          <w:kern w:val="22"/>
          <w:lang w:val="en-GB"/>
        </w:rPr>
        <w:t>LDS</w:t>
      </w:r>
      <w:r w:rsidR="00DB7D99" w:rsidRPr="00DF266F">
        <w:rPr>
          <w:spacing w:val="-4"/>
          <w:kern w:val="22"/>
          <w:lang w:val="en-GB"/>
        </w:rPr>
        <w:t xml:space="preserve"> moved to the Wortley Village neighbourhood of London in 2000</w:t>
      </w:r>
      <w:r w:rsidRPr="00DF266F">
        <w:rPr>
          <w:spacing w:val="-4"/>
          <w:kern w:val="22"/>
          <w:lang w:val="en-GB"/>
        </w:rPr>
        <w:t>,</w:t>
      </w:r>
      <w:r w:rsidR="00DB7D99" w:rsidRPr="00DF266F">
        <w:rPr>
          <w:spacing w:val="-4"/>
          <w:kern w:val="22"/>
          <w:lang w:val="en-GB"/>
        </w:rPr>
        <w:t xml:space="preserve"> where it remained for almost </w:t>
      </w:r>
      <w:r w:rsidRPr="00DF266F">
        <w:rPr>
          <w:spacing w:val="-4"/>
          <w:kern w:val="22"/>
          <w:lang w:val="en-GB"/>
        </w:rPr>
        <w:t>15</w:t>
      </w:r>
      <w:r w:rsidR="00DB7D99" w:rsidRPr="00DF266F">
        <w:rPr>
          <w:spacing w:val="-4"/>
          <w:kern w:val="22"/>
          <w:lang w:val="en-GB"/>
        </w:rPr>
        <w:t xml:space="preserve"> years before moving to its current location on Maitland Street in the city’s downtown area. In its 25 years in business, </w:t>
      </w:r>
      <w:r w:rsidR="00D21EAF" w:rsidRPr="00DF266F">
        <w:rPr>
          <w:spacing w:val="-4"/>
          <w:kern w:val="22"/>
          <w:lang w:val="en-GB"/>
        </w:rPr>
        <w:t>LDS</w:t>
      </w:r>
      <w:r w:rsidR="00DB7D99" w:rsidRPr="00DF266F">
        <w:rPr>
          <w:spacing w:val="-4"/>
          <w:kern w:val="22"/>
          <w:lang w:val="en-GB"/>
        </w:rPr>
        <w:t xml:space="preserve"> had become a staple in the London dance community. Some parents, having bought dancewear at </w:t>
      </w:r>
      <w:r w:rsidR="00D21EAF" w:rsidRPr="00DF266F">
        <w:rPr>
          <w:spacing w:val="-4"/>
          <w:kern w:val="22"/>
          <w:lang w:val="en-GB"/>
        </w:rPr>
        <w:t>LDS</w:t>
      </w:r>
      <w:r w:rsidR="00DB7D99" w:rsidRPr="00DF266F">
        <w:rPr>
          <w:spacing w:val="-4"/>
          <w:kern w:val="22"/>
          <w:lang w:val="en-GB"/>
        </w:rPr>
        <w:t xml:space="preserve"> as a child over </w:t>
      </w:r>
      <w:r w:rsidR="00D21EAF" w:rsidRPr="00DF266F">
        <w:rPr>
          <w:spacing w:val="-4"/>
          <w:kern w:val="22"/>
          <w:lang w:val="en-GB"/>
        </w:rPr>
        <w:t>20</w:t>
      </w:r>
      <w:r w:rsidR="00DB7D99" w:rsidRPr="00DF266F">
        <w:rPr>
          <w:spacing w:val="-4"/>
          <w:kern w:val="22"/>
          <w:lang w:val="en-GB"/>
        </w:rPr>
        <w:t xml:space="preserve"> years ago, were now starting to bring their own children in for their first pair of dance shoes.</w:t>
      </w:r>
    </w:p>
    <w:p w14:paraId="66B2EC41" w14:textId="64F47573" w:rsidR="00DB7D99" w:rsidRPr="006D678A" w:rsidRDefault="00D72A3A" w:rsidP="00DB7D99">
      <w:pPr>
        <w:pStyle w:val="BodyTextMain"/>
        <w:rPr>
          <w:lang w:val="en-GB"/>
        </w:rPr>
      </w:pPr>
      <w:r>
        <w:rPr>
          <w:lang w:val="en-GB"/>
        </w:rPr>
        <w:lastRenderedPageBreak/>
        <w:t>LDS</w:t>
      </w:r>
      <w:r w:rsidR="00DB7D99" w:rsidRPr="006D678A">
        <w:rPr>
          <w:lang w:val="en-GB"/>
        </w:rPr>
        <w:t xml:space="preserve"> stocked over </w:t>
      </w:r>
      <w:r>
        <w:rPr>
          <w:lang w:val="en-GB"/>
        </w:rPr>
        <w:t>10</w:t>
      </w:r>
      <w:r w:rsidR="00DB7D99" w:rsidRPr="006D678A">
        <w:rPr>
          <w:lang w:val="en-GB"/>
        </w:rPr>
        <w:t xml:space="preserve"> brands of dancewear and dance shoes</w:t>
      </w:r>
      <w:r>
        <w:rPr>
          <w:lang w:val="en-GB"/>
        </w:rPr>
        <w:t>,</w:t>
      </w:r>
      <w:r w:rsidR="00DB7D99" w:rsidRPr="006D678A">
        <w:rPr>
          <w:lang w:val="en-GB"/>
        </w:rPr>
        <w:t xml:space="preserve"> and offered the largest selection of pointe shoes in London. Professional pointe shoe fittings were offered by appointment</w:t>
      </w:r>
      <w:r>
        <w:rPr>
          <w:lang w:val="en-GB"/>
        </w:rPr>
        <w:t>,</w:t>
      </w:r>
      <w:r w:rsidR="00DB7D99" w:rsidRPr="006D678A">
        <w:rPr>
          <w:lang w:val="en-GB"/>
        </w:rPr>
        <w:t xml:space="preserve"> and custom services for dance competition teams were available upon request. These services </w:t>
      </w:r>
      <w:r w:rsidR="00FA1CE2">
        <w:rPr>
          <w:lang w:val="en-GB"/>
        </w:rPr>
        <w:t>included</w:t>
      </w:r>
      <w:r w:rsidR="00DB7D99" w:rsidRPr="006D678A">
        <w:rPr>
          <w:lang w:val="en-GB"/>
        </w:rPr>
        <w:t xml:space="preserve"> custom shoe fittings for a dance team </w:t>
      </w:r>
      <w:r w:rsidR="00E749C2">
        <w:rPr>
          <w:lang w:val="en-GB"/>
        </w:rPr>
        <w:t>as well as</w:t>
      </w:r>
      <w:r w:rsidR="00DB7D99" w:rsidRPr="006D678A">
        <w:rPr>
          <w:lang w:val="en-GB"/>
        </w:rPr>
        <w:t xml:space="preserve"> group dancewear orders. </w:t>
      </w:r>
      <w:r w:rsidR="00533403">
        <w:rPr>
          <w:lang w:val="en-GB"/>
        </w:rPr>
        <w:t>LDS</w:t>
      </w:r>
      <w:r w:rsidR="00DB7D99" w:rsidRPr="006D678A">
        <w:rPr>
          <w:lang w:val="en-GB"/>
        </w:rPr>
        <w:t xml:space="preserve"> also had regular store hours for drop-in customers.</w:t>
      </w:r>
    </w:p>
    <w:p w14:paraId="791E5A31" w14:textId="77777777" w:rsidR="00DB7D99" w:rsidRPr="006D678A" w:rsidRDefault="00DB7D99" w:rsidP="00DB7D99">
      <w:pPr>
        <w:pStyle w:val="BodyTextMain"/>
        <w:rPr>
          <w:lang w:val="en-GB"/>
        </w:rPr>
      </w:pPr>
    </w:p>
    <w:p w14:paraId="1C770F2D" w14:textId="77777777" w:rsidR="00DB7D99" w:rsidRPr="006D678A" w:rsidRDefault="00DB7D99" w:rsidP="00DB7D99">
      <w:pPr>
        <w:pStyle w:val="BodyTextMain"/>
        <w:rPr>
          <w:lang w:val="en-GB"/>
        </w:rPr>
      </w:pPr>
    </w:p>
    <w:p w14:paraId="1E8DF11D" w14:textId="77777777" w:rsidR="00DB7D99" w:rsidRPr="006D678A" w:rsidRDefault="00DB7D99" w:rsidP="00DB7D99">
      <w:pPr>
        <w:pStyle w:val="Casehead1"/>
        <w:rPr>
          <w:lang w:val="en-GB"/>
        </w:rPr>
      </w:pPr>
      <w:r w:rsidRPr="006D678A">
        <w:rPr>
          <w:lang w:val="en-GB"/>
        </w:rPr>
        <w:t>DANIELLE CAMERON</w:t>
      </w:r>
    </w:p>
    <w:p w14:paraId="4667AF1D" w14:textId="77777777" w:rsidR="00DB7D99" w:rsidRPr="006D678A" w:rsidRDefault="00DB7D99" w:rsidP="00DB7D99">
      <w:pPr>
        <w:pStyle w:val="BodyTextMain"/>
        <w:rPr>
          <w:lang w:val="en-GB" w:eastAsia="en-GB"/>
        </w:rPr>
      </w:pPr>
    </w:p>
    <w:p w14:paraId="12B5D39D" w14:textId="7ADC3662" w:rsidR="00DB7D99" w:rsidRPr="006D678A" w:rsidRDefault="00DB7D99" w:rsidP="00DB7D99">
      <w:pPr>
        <w:pStyle w:val="BodyTextMain"/>
        <w:rPr>
          <w:lang w:val="en-GB"/>
        </w:rPr>
      </w:pPr>
      <w:r w:rsidRPr="006D678A">
        <w:rPr>
          <w:lang w:val="en-GB"/>
        </w:rPr>
        <w:t xml:space="preserve">Born and raised in London, Cameron began dancing at the age of three. By age </w:t>
      </w:r>
      <w:r w:rsidR="007548BD">
        <w:rPr>
          <w:lang w:val="en-GB"/>
        </w:rPr>
        <w:t>14</w:t>
      </w:r>
      <w:r w:rsidRPr="006D678A">
        <w:rPr>
          <w:lang w:val="en-GB"/>
        </w:rPr>
        <w:t xml:space="preserve">, Cameron was a student at Canada’s National Ballet School in Toronto, Ontario. A year into her professional training, </w:t>
      </w:r>
      <w:r w:rsidR="007548BD">
        <w:rPr>
          <w:lang w:val="en-GB"/>
        </w:rPr>
        <w:t xml:space="preserve">Cameron </w:t>
      </w:r>
      <w:r w:rsidRPr="006D678A">
        <w:rPr>
          <w:lang w:val="en-GB"/>
        </w:rPr>
        <w:t>was visiting her parents for spring break when she broke her ankle in a trampoline accident. Several surgeries later, Danielle was informed that her dancing career was over</w:t>
      </w:r>
      <w:r w:rsidR="007548BD">
        <w:rPr>
          <w:lang w:val="en-GB"/>
        </w:rPr>
        <w:t>,</w:t>
      </w:r>
      <w:r w:rsidRPr="006D678A">
        <w:rPr>
          <w:lang w:val="en-GB"/>
        </w:rPr>
        <w:t xml:space="preserve"> and she moved home to London. Struggling to maintain a connection to the dance community, </w:t>
      </w:r>
      <w:r w:rsidR="0005695A">
        <w:rPr>
          <w:lang w:val="en-GB"/>
        </w:rPr>
        <w:t>Cameron</w:t>
      </w:r>
      <w:r w:rsidR="0005695A" w:rsidRPr="006D678A">
        <w:rPr>
          <w:lang w:val="en-GB"/>
        </w:rPr>
        <w:t xml:space="preserve"> </w:t>
      </w:r>
      <w:r w:rsidRPr="006D678A">
        <w:rPr>
          <w:lang w:val="en-GB"/>
        </w:rPr>
        <w:t xml:space="preserve">sought employment at </w:t>
      </w:r>
      <w:r w:rsidR="007548BD">
        <w:rPr>
          <w:lang w:val="en-GB"/>
        </w:rPr>
        <w:t>LDS</w:t>
      </w:r>
      <w:r w:rsidRPr="006D678A">
        <w:rPr>
          <w:lang w:val="en-GB"/>
        </w:rPr>
        <w:t>. She was hired as a retail assistant</w:t>
      </w:r>
      <w:r w:rsidR="007548BD">
        <w:rPr>
          <w:lang w:val="en-GB"/>
        </w:rPr>
        <w:t>,</w:t>
      </w:r>
      <w:r w:rsidRPr="006D678A">
        <w:rPr>
          <w:lang w:val="en-GB"/>
        </w:rPr>
        <w:t xml:space="preserve"> helping to organize inventory and fitting customers with dance shoes.</w:t>
      </w:r>
    </w:p>
    <w:p w14:paraId="6483ECF9" w14:textId="77777777" w:rsidR="00DB7D99" w:rsidRPr="006D678A" w:rsidRDefault="00DB7D99" w:rsidP="00DB7D99">
      <w:pPr>
        <w:pStyle w:val="BodyTextMain"/>
        <w:rPr>
          <w:lang w:val="en-GB"/>
        </w:rPr>
      </w:pPr>
    </w:p>
    <w:p w14:paraId="3426FC7A" w14:textId="6DE5F1A3" w:rsidR="00DB7D99" w:rsidRPr="006D678A" w:rsidRDefault="00DB7D99" w:rsidP="00DB7D99">
      <w:pPr>
        <w:pStyle w:val="BodyTextMain"/>
        <w:rPr>
          <w:lang w:val="en-GB"/>
        </w:rPr>
      </w:pPr>
      <w:r w:rsidRPr="006D678A">
        <w:rPr>
          <w:lang w:val="en-GB"/>
        </w:rPr>
        <w:t xml:space="preserve">Cameron continued to work at </w:t>
      </w:r>
      <w:r w:rsidR="007548BD">
        <w:rPr>
          <w:lang w:val="en-GB"/>
        </w:rPr>
        <w:t>LDS</w:t>
      </w:r>
      <w:r w:rsidRPr="006D678A">
        <w:rPr>
          <w:lang w:val="en-GB"/>
        </w:rPr>
        <w:t xml:space="preserve"> as she completed secondary school</w:t>
      </w:r>
      <w:r w:rsidR="007341BD">
        <w:rPr>
          <w:lang w:val="en-GB"/>
        </w:rPr>
        <w:t>,</w:t>
      </w:r>
      <w:r w:rsidRPr="006D678A">
        <w:rPr>
          <w:lang w:val="en-GB"/>
        </w:rPr>
        <w:t xml:space="preserve"> </w:t>
      </w:r>
      <w:r w:rsidR="007548BD">
        <w:rPr>
          <w:lang w:val="en-GB"/>
        </w:rPr>
        <w:t>as well as</w:t>
      </w:r>
      <w:r w:rsidRPr="006D678A">
        <w:rPr>
          <w:lang w:val="en-GB"/>
        </w:rPr>
        <w:t xml:space="preserve"> her bachelor’s degree at the University of Western Ontario. In 2012, a week before her graduation ceremony, Cameron was approached by her friend and long-time colleague Christina Morales. Morales wanted to </w:t>
      </w:r>
      <w:r w:rsidR="0005695A">
        <w:rPr>
          <w:lang w:val="en-GB"/>
        </w:rPr>
        <w:t xml:space="preserve">buy </w:t>
      </w:r>
      <w:r w:rsidR="007548BD">
        <w:rPr>
          <w:lang w:val="en-GB"/>
        </w:rPr>
        <w:t>LDS</w:t>
      </w:r>
      <w:r w:rsidRPr="006D678A">
        <w:rPr>
          <w:lang w:val="en-GB"/>
        </w:rPr>
        <w:t xml:space="preserve"> from Smith and was looking for a business partner. Cameron was interested but felt the timing was not quite right</w:t>
      </w:r>
      <w:r w:rsidR="007341BD">
        <w:rPr>
          <w:lang w:val="en-GB"/>
        </w:rPr>
        <w:t>;</w:t>
      </w:r>
      <w:r w:rsidRPr="006D678A">
        <w:rPr>
          <w:lang w:val="en-GB"/>
        </w:rPr>
        <w:t xml:space="preserve"> she</w:t>
      </w:r>
      <w:r w:rsidR="007341BD">
        <w:rPr>
          <w:lang w:val="en-GB"/>
        </w:rPr>
        <w:t xml:space="preserve"> also</w:t>
      </w:r>
      <w:r w:rsidRPr="006D678A">
        <w:rPr>
          <w:lang w:val="en-GB"/>
        </w:rPr>
        <w:t xml:space="preserve"> lacked the capital to purchase half of </w:t>
      </w:r>
      <w:r w:rsidR="00C653FD">
        <w:rPr>
          <w:lang w:val="en-GB"/>
        </w:rPr>
        <w:t>LDS</w:t>
      </w:r>
      <w:r w:rsidRPr="006D678A">
        <w:rPr>
          <w:lang w:val="en-GB"/>
        </w:rPr>
        <w:t>.</w:t>
      </w:r>
    </w:p>
    <w:p w14:paraId="56B09D00" w14:textId="77777777" w:rsidR="00DB7D99" w:rsidRPr="006D678A" w:rsidRDefault="00DB7D99" w:rsidP="00DB7D99">
      <w:pPr>
        <w:pStyle w:val="BodyTextMain"/>
        <w:rPr>
          <w:lang w:val="en-GB"/>
        </w:rPr>
      </w:pPr>
    </w:p>
    <w:p w14:paraId="5083EA2E" w14:textId="66EEB4EC" w:rsidR="00DB7D99" w:rsidRPr="006D678A" w:rsidRDefault="00DB7D99" w:rsidP="00DB7D99">
      <w:pPr>
        <w:pStyle w:val="BodyTextMain"/>
        <w:rPr>
          <w:lang w:val="en-GB"/>
        </w:rPr>
      </w:pPr>
      <w:r w:rsidRPr="006D678A">
        <w:rPr>
          <w:lang w:val="en-GB"/>
        </w:rPr>
        <w:t xml:space="preserve">Morales </w:t>
      </w:r>
      <w:r w:rsidR="00C653FD">
        <w:rPr>
          <w:lang w:val="en-GB"/>
        </w:rPr>
        <w:t>ended up partnering</w:t>
      </w:r>
      <w:r w:rsidRPr="006D678A">
        <w:rPr>
          <w:lang w:val="en-GB"/>
        </w:rPr>
        <w:t xml:space="preserve"> with her parents</w:t>
      </w:r>
      <w:r w:rsidR="00747833">
        <w:rPr>
          <w:lang w:val="en-GB"/>
        </w:rPr>
        <w:t xml:space="preserve"> and purchased</w:t>
      </w:r>
      <w:r w:rsidR="00C653FD">
        <w:rPr>
          <w:lang w:val="en-GB"/>
        </w:rPr>
        <w:t xml:space="preserve"> LDS</w:t>
      </w:r>
      <w:r w:rsidRPr="006D678A">
        <w:rPr>
          <w:lang w:val="en-GB"/>
        </w:rPr>
        <w:t xml:space="preserve"> in 2012; Cameron was promoted to store manager. It quickly became evident that Cameron was a fast learner and a creative business manager. She began making changes to </w:t>
      </w:r>
      <w:r w:rsidR="00747833">
        <w:rPr>
          <w:lang w:val="en-GB"/>
        </w:rPr>
        <w:t>LDS’s</w:t>
      </w:r>
      <w:r w:rsidRPr="006D678A">
        <w:rPr>
          <w:lang w:val="en-GB"/>
        </w:rPr>
        <w:t xml:space="preserve"> inventory management systems, online sales platform, and website. In online reviews, customers praised Cameron for her great recommendations and attention to detail. Cameron enjoyed watching dancers “</w:t>
      </w:r>
      <w:r w:rsidR="00747833">
        <w:rPr>
          <w:lang w:val="en-GB"/>
        </w:rPr>
        <w:t>grow up</w:t>
      </w:r>
      <w:r w:rsidRPr="006D678A">
        <w:rPr>
          <w:lang w:val="en-GB"/>
        </w:rPr>
        <w:t xml:space="preserve">” over the years as they returned </w:t>
      </w:r>
      <w:r w:rsidR="0005695A">
        <w:rPr>
          <w:lang w:val="en-GB"/>
        </w:rPr>
        <w:t xml:space="preserve">to </w:t>
      </w:r>
      <w:r w:rsidR="00747833">
        <w:rPr>
          <w:lang w:val="en-GB"/>
        </w:rPr>
        <w:t>LDS</w:t>
      </w:r>
      <w:r w:rsidRPr="006D678A">
        <w:rPr>
          <w:lang w:val="en-GB"/>
        </w:rPr>
        <w:t xml:space="preserve"> for new shoes</w:t>
      </w:r>
      <w:r w:rsidR="00747833">
        <w:rPr>
          <w:lang w:val="en-GB"/>
        </w:rPr>
        <w:t>,</w:t>
      </w:r>
      <w:r w:rsidRPr="006D678A">
        <w:rPr>
          <w:lang w:val="en-GB"/>
        </w:rPr>
        <w:t xml:space="preserve"> and </w:t>
      </w:r>
      <w:r w:rsidR="00747833">
        <w:rPr>
          <w:lang w:val="en-GB"/>
        </w:rPr>
        <w:t xml:space="preserve">she </w:t>
      </w:r>
      <w:r w:rsidRPr="006D678A">
        <w:rPr>
          <w:lang w:val="en-GB"/>
        </w:rPr>
        <w:t>prided herself on offering the best customer service in London.</w:t>
      </w:r>
    </w:p>
    <w:p w14:paraId="6FBBD71A" w14:textId="77777777" w:rsidR="00DB7D99" w:rsidRPr="006D678A" w:rsidRDefault="00DB7D99" w:rsidP="00DB7D99">
      <w:pPr>
        <w:pStyle w:val="BodyTextMain"/>
        <w:rPr>
          <w:lang w:val="en-GB"/>
        </w:rPr>
      </w:pPr>
    </w:p>
    <w:p w14:paraId="1437EBF8" w14:textId="4E21C044" w:rsidR="00DB7D99" w:rsidRPr="006D678A" w:rsidRDefault="00DB7D99" w:rsidP="00DB7D99">
      <w:pPr>
        <w:pStyle w:val="BodyTextMain"/>
        <w:rPr>
          <w:lang w:val="en-GB"/>
        </w:rPr>
      </w:pPr>
      <w:r w:rsidRPr="006D678A">
        <w:rPr>
          <w:lang w:val="en-GB"/>
        </w:rPr>
        <w:t>Morales had developed great relationships with local studio owners</w:t>
      </w:r>
      <w:r w:rsidR="00A911EC">
        <w:rPr>
          <w:lang w:val="en-GB"/>
        </w:rPr>
        <w:t>,</w:t>
      </w:r>
      <w:r w:rsidRPr="006D678A">
        <w:rPr>
          <w:lang w:val="en-GB"/>
        </w:rPr>
        <w:t xml:space="preserve"> but took a less hands-on approach to running her store. Morales and her parents relied on Cameron’s business acumen and innovative thinking to grow the </w:t>
      </w:r>
      <w:r w:rsidR="00747833">
        <w:rPr>
          <w:lang w:val="en-GB"/>
        </w:rPr>
        <w:t>shop</w:t>
      </w:r>
      <w:r w:rsidRPr="006D678A">
        <w:rPr>
          <w:lang w:val="en-GB"/>
        </w:rPr>
        <w:t xml:space="preserve">. After </w:t>
      </w:r>
      <w:r w:rsidR="0005695A">
        <w:rPr>
          <w:lang w:val="en-GB"/>
        </w:rPr>
        <w:t xml:space="preserve">Cameron had worked for </w:t>
      </w:r>
      <w:r w:rsidRPr="006D678A">
        <w:rPr>
          <w:lang w:val="en-GB"/>
        </w:rPr>
        <w:t>three years as the store’s manager, Morales’</w:t>
      </w:r>
      <w:r w:rsidR="00747833">
        <w:rPr>
          <w:lang w:val="en-GB"/>
        </w:rPr>
        <w:t>s</w:t>
      </w:r>
      <w:r w:rsidRPr="006D678A">
        <w:rPr>
          <w:lang w:val="en-GB"/>
        </w:rPr>
        <w:t xml:space="preserve"> parents offered to sell</w:t>
      </w:r>
      <w:r w:rsidR="004F5BE6">
        <w:rPr>
          <w:lang w:val="en-GB"/>
        </w:rPr>
        <w:t xml:space="preserve"> her</w:t>
      </w:r>
      <w:r w:rsidRPr="006D678A">
        <w:rPr>
          <w:lang w:val="en-GB"/>
        </w:rPr>
        <w:t xml:space="preserve"> their 50 per cent share of the business</w:t>
      </w:r>
      <w:r w:rsidR="00747833">
        <w:rPr>
          <w:lang w:val="en-GB"/>
        </w:rPr>
        <w:t>, and</w:t>
      </w:r>
      <w:r w:rsidRPr="006D678A">
        <w:rPr>
          <w:lang w:val="en-GB"/>
        </w:rPr>
        <w:t xml:space="preserve"> </w:t>
      </w:r>
      <w:r w:rsidR="00747833">
        <w:rPr>
          <w:lang w:val="en-GB"/>
        </w:rPr>
        <w:t>she</w:t>
      </w:r>
      <w:r w:rsidRPr="006D678A">
        <w:rPr>
          <w:lang w:val="en-GB"/>
        </w:rPr>
        <w:t xml:space="preserve"> accepted (see Exhibit 1).</w:t>
      </w:r>
    </w:p>
    <w:p w14:paraId="406455BF" w14:textId="77777777" w:rsidR="00DB7D99" w:rsidRPr="006D678A" w:rsidRDefault="00DB7D99" w:rsidP="00DB7D99">
      <w:pPr>
        <w:pStyle w:val="BodyTextMain"/>
        <w:rPr>
          <w:lang w:val="en-GB"/>
        </w:rPr>
      </w:pPr>
    </w:p>
    <w:p w14:paraId="643A5341" w14:textId="607F5BC1" w:rsidR="00DB7D99" w:rsidRPr="006D678A" w:rsidRDefault="00DB7D99" w:rsidP="00DB7D99">
      <w:pPr>
        <w:pStyle w:val="BodyTextMain"/>
        <w:rPr>
          <w:lang w:val="en-GB"/>
        </w:rPr>
      </w:pPr>
      <w:r w:rsidRPr="006D678A">
        <w:rPr>
          <w:lang w:val="en-GB"/>
        </w:rPr>
        <w:t xml:space="preserve">Cameron was a young and confident business owner with very clear priorities. She continued working at </w:t>
      </w:r>
      <w:r w:rsidR="00747833">
        <w:rPr>
          <w:lang w:val="en-GB"/>
        </w:rPr>
        <w:t>LDS</w:t>
      </w:r>
      <w:r w:rsidRPr="006D678A">
        <w:rPr>
          <w:lang w:val="en-GB"/>
        </w:rPr>
        <w:t xml:space="preserve"> to maintain her connection to the dance community</w:t>
      </w:r>
      <w:r w:rsidR="00747833">
        <w:rPr>
          <w:lang w:val="en-GB"/>
        </w:rPr>
        <w:t>,</w:t>
      </w:r>
      <w:r w:rsidRPr="006D678A">
        <w:rPr>
          <w:lang w:val="en-GB"/>
        </w:rPr>
        <w:t xml:space="preserve"> and</w:t>
      </w:r>
      <w:r w:rsidR="00747833">
        <w:rPr>
          <w:lang w:val="en-GB"/>
        </w:rPr>
        <w:t xml:space="preserve"> she</w:t>
      </w:r>
      <w:r w:rsidRPr="006D678A">
        <w:rPr>
          <w:lang w:val="en-GB"/>
        </w:rPr>
        <w:t xml:space="preserve"> tried to keep the dancers she served at the heart of every business decision. Cameron also loved to be challenged. She constantly sought out ways to improve </w:t>
      </w:r>
      <w:r w:rsidR="00747833">
        <w:rPr>
          <w:lang w:val="en-GB"/>
        </w:rPr>
        <w:t>LDS</w:t>
      </w:r>
      <w:r w:rsidRPr="006D678A">
        <w:rPr>
          <w:lang w:val="en-GB"/>
        </w:rPr>
        <w:t xml:space="preserve"> and had no fear when it came to trying something new. She saw </w:t>
      </w:r>
      <w:r w:rsidR="00747833">
        <w:rPr>
          <w:lang w:val="en-GB"/>
        </w:rPr>
        <w:t>LDS</w:t>
      </w:r>
      <w:r w:rsidRPr="006D678A">
        <w:rPr>
          <w:lang w:val="en-GB"/>
        </w:rPr>
        <w:t xml:space="preserve"> as a lifelong project. Though Cameron and her fiancée </w:t>
      </w:r>
      <w:r w:rsidR="00067899">
        <w:rPr>
          <w:lang w:val="en-GB"/>
        </w:rPr>
        <w:t>were not yet parents</w:t>
      </w:r>
      <w:r w:rsidR="00AA0EF1">
        <w:rPr>
          <w:lang w:val="en-GB"/>
        </w:rPr>
        <w:t>, they</w:t>
      </w:r>
      <w:r w:rsidR="00AA0EF1" w:rsidRPr="006D678A">
        <w:rPr>
          <w:lang w:val="en-GB"/>
        </w:rPr>
        <w:t xml:space="preserve"> </w:t>
      </w:r>
      <w:r w:rsidRPr="006D678A">
        <w:rPr>
          <w:lang w:val="en-GB"/>
        </w:rPr>
        <w:t>dreamed of one day bringing their children to “mom’s store” for their first pair of dance shoes.</w:t>
      </w:r>
      <w:r w:rsidR="008E6A57">
        <w:rPr>
          <w:lang w:val="en-GB"/>
        </w:rPr>
        <w:t xml:space="preserve">      </w:t>
      </w:r>
    </w:p>
    <w:p w14:paraId="7FB7F609" w14:textId="77777777" w:rsidR="004621D9" w:rsidRPr="006D678A" w:rsidRDefault="004621D9" w:rsidP="00DB7D99">
      <w:pPr>
        <w:pStyle w:val="BodyTextMain"/>
        <w:rPr>
          <w:lang w:val="en-GB"/>
        </w:rPr>
      </w:pPr>
    </w:p>
    <w:p w14:paraId="7FF3BE94" w14:textId="77777777" w:rsidR="00DB7D99" w:rsidRPr="006D678A" w:rsidRDefault="00DB7D99" w:rsidP="00DB7D99">
      <w:pPr>
        <w:pStyle w:val="BodyTextMain"/>
        <w:rPr>
          <w:lang w:val="en-GB"/>
        </w:rPr>
      </w:pPr>
    </w:p>
    <w:p w14:paraId="44E32BE0" w14:textId="77777777" w:rsidR="00DB7D99" w:rsidRPr="006D678A" w:rsidRDefault="00DB7D99" w:rsidP="00DB7D99">
      <w:pPr>
        <w:pStyle w:val="Casehead1"/>
        <w:rPr>
          <w:lang w:val="en-GB"/>
        </w:rPr>
      </w:pPr>
      <w:r w:rsidRPr="006D678A">
        <w:rPr>
          <w:lang w:val="en-GB"/>
        </w:rPr>
        <w:t>RECENT CHANGES</w:t>
      </w:r>
    </w:p>
    <w:p w14:paraId="5A1710CE" w14:textId="77777777" w:rsidR="00DB7D99" w:rsidRPr="006D678A" w:rsidRDefault="00DB7D99" w:rsidP="00DB7D99">
      <w:pPr>
        <w:pStyle w:val="BodyTextMain"/>
        <w:rPr>
          <w:lang w:val="en-GB"/>
        </w:rPr>
      </w:pPr>
    </w:p>
    <w:p w14:paraId="41ECA646" w14:textId="1278373E" w:rsidR="00DB7D99" w:rsidRPr="006D678A" w:rsidRDefault="00DB7D99" w:rsidP="00DB7D99">
      <w:pPr>
        <w:pStyle w:val="BodyTextMain"/>
        <w:rPr>
          <w:lang w:val="en-GB"/>
        </w:rPr>
      </w:pPr>
      <w:r w:rsidRPr="006D678A">
        <w:rPr>
          <w:lang w:val="en-GB"/>
        </w:rPr>
        <w:t>Since Cameron had become part owner</w:t>
      </w:r>
      <w:r w:rsidR="0036468D">
        <w:rPr>
          <w:lang w:val="en-GB"/>
        </w:rPr>
        <w:t xml:space="preserve"> of the shop</w:t>
      </w:r>
      <w:r w:rsidRPr="006D678A">
        <w:rPr>
          <w:lang w:val="en-GB"/>
        </w:rPr>
        <w:t xml:space="preserve">, </w:t>
      </w:r>
      <w:r w:rsidR="0036468D">
        <w:rPr>
          <w:lang w:val="en-GB"/>
        </w:rPr>
        <w:t>it</w:t>
      </w:r>
      <w:r w:rsidRPr="006D678A">
        <w:rPr>
          <w:lang w:val="en-GB"/>
        </w:rPr>
        <w:t xml:space="preserve"> had undergone many changes. The Maitland Street location was a </w:t>
      </w:r>
      <w:r w:rsidR="0067595C">
        <w:rPr>
          <w:lang w:val="en-GB"/>
        </w:rPr>
        <w:t>small 600-square-foot</w:t>
      </w:r>
      <w:r w:rsidRPr="006D678A">
        <w:rPr>
          <w:lang w:val="en-GB"/>
        </w:rPr>
        <w:t xml:space="preserve"> </w:t>
      </w:r>
      <w:r w:rsidR="0067595C">
        <w:rPr>
          <w:lang w:val="en-GB"/>
        </w:rPr>
        <w:t>loft boutique</w:t>
      </w:r>
      <w:r w:rsidRPr="006D678A">
        <w:rPr>
          <w:lang w:val="en-GB"/>
        </w:rPr>
        <w:t xml:space="preserve"> in </w:t>
      </w:r>
      <w:r w:rsidR="00FC43A2">
        <w:rPr>
          <w:lang w:val="en-GB"/>
        </w:rPr>
        <w:t>an</w:t>
      </w:r>
      <w:r w:rsidRPr="006D678A">
        <w:rPr>
          <w:lang w:val="en-GB"/>
        </w:rPr>
        <w:t xml:space="preserve"> industrial neighbourhood</w:t>
      </w:r>
      <w:r w:rsidR="0067595C">
        <w:rPr>
          <w:lang w:val="en-GB"/>
        </w:rPr>
        <w:t>,</w:t>
      </w:r>
      <w:r w:rsidRPr="006D678A">
        <w:rPr>
          <w:lang w:val="en-GB"/>
        </w:rPr>
        <w:t xml:space="preserve"> with rent of $550 per month. Cameron remarked that</w:t>
      </w:r>
      <w:r w:rsidR="00C73D7F">
        <w:rPr>
          <w:lang w:val="en-GB"/>
        </w:rPr>
        <w:t xml:space="preserve"> </w:t>
      </w:r>
      <w:r w:rsidRPr="006D678A">
        <w:rPr>
          <w:lang w:val="en-GB"/>
        </w:rPr>
        <w:t xml:space="preserve">the </w:t>
      </w:r>
      <w:r w:rsidR="00C73D7F">
        <w:rPr>
          <w:lang w:val="en-GB"/>
        </w:rPr>
        <w:t>shop</w:t>
      </w:r>
      <w:r w:rsidRPr="006D678A">
        <w:rPr>
          <w:lang w:val="en-GB"/>
        </w:rPr>
        <w:t xml:space="preserve"> felt more like an inventory storage unit </w:t>
      </w:r>
      <w:r w:rsidR="0036468D">
        <w:rPr>
          <w:lang w:val="en-GB"/>
        </w:rPr>
        <w:t xml:space="preserve">these days, rather </w:t>
      </w:r>
      <w:r w:rsidRPr="006D678A">
        <w:rPr>
          <w:lang w:val="en-GB"/>
        </w:rPr>
        <w:t xml:space="preserve">than a premium service dance retailer. </w:t>
      </w:r>
      <w:r w:rsidR="00037CD3">
        <w:rPr>
          <w:lang w:val="en-GB"/>
        </w:rPr>
        <w:t>Although the</w:t>
      </w:r>
      <w:r w:rsidR="00037CD3" w:rsidRPr="006D678A">
        <w:rPr>
          <w:lang w:val="en-GB"/>
        </w:rPr>
        <w:t xml:space="preserve"> </w:t>
      </w:r>
      <w:r w:rsidRPr="006D678A">
        <w:rPr>
          <w:lang w:val="en-GB"/>
        </w:rPr>
        <w:t xml:space="preserve">Maitland </w:t>
      </w:r>
      <w:r w:rsidR="00C73D7F">
        <w:rPr>
          <w:lang w:val="en-GB"/>
        </w:rPr>
        <w:t xml:space="preserve">Street </w:t>
      </w:r>
      <w:r w:rsidRPr="006D678A">
        <w:rPr>
          <w:lang w:val="en-GB"/>
        </w:rPr>
        <w:t xml:space="preserve">shop </w:t>
      </w:r>
      <w:r w:rsidR="00FE0A56">
        <w:rPr>
          <w:lang w:val="en-GB"/>
        </w:rPr>
        <w:t>did not have</w:t>
      </w:r>
      <w:r w:rsidRPr="006D678A">
        <w:rPr>
          <w:lang w:val="en-GB"/>
        </w:rPr>
        <w:t xml:space="preserve"> room for a ballet barre</w:t>
      </w:r>
      <w:r w:rsidRPr="006D678A">
        <w:rPr>
          <w:rStyle w:val="FootnoteReference"/>
          <w:lang w:val="en-GB"/>
        </w:rPr>
        <w:footnoteReference w:id="8"/>
      </w:r>
      <w:r w:rsidRPr="006D678A">
        <w:rPr>
          <w:lang w:val="en-GB"/>
        </w:rPr>
        <w:t xml:space="preserve"> or </w:t>
      </w:r>
      <w:r w:rsidRPr="006D678A">
        <w:rPr>
          <w:lang w:val="en-GB"/>
        </w:rPr>
        <w:lastRenderedPageBreak/>
        <w:t>a designated place to fit pointe shoes</w:t>
      </w:r>
      <w:r w:rsidR="00C73D7F">
        <w:rPr>
          <w:lang w:val="en-GB"/>
        </w:rPr>
        <w:t>,</w:t>
      </w:r>
      <w:r w:rsidRPr="006D678A">
        <w:rPr>
          <w:lang w:val="en-GB"/>
        </w:rPr>
        <w:t xml:space="preserve"> Cameron was determined to make it work. Dancers still came to </w:t>
      </w:r>
      <w:r w:rsidR="00C73D7F">
        <w:rPr>
          <w:lang w:val="en-GB"/>
        </w:rPr>
        <w:t>LDS</w:t>
      </w:r>
      <w:r w:rsidRPr="006D678A">
        <w:rPr>
          <w:lang w:val="en-GB"/>
        </w:rPr>
        <w:t xml:space="preserve"> and received premium service and fittings offered by Cameron and the team. During the peak season </w:t>
      </w:r>
      <w:r w:rsidR="00C73D7F">
        <w:rPr>
          <w:lang w:val="en-GB"/>
        </w:rPr>
        <w:t>in</w:t>
      </w:r>
      <w:r w:rsidRPr="006D678A">
        <w:rPr>
          <w:lang w:val="en-GB"/>
        </w:rPr>
        <w:t xml:space="preserve"> August</w:t>
      </w:r>
      <w:r w:rsidR="00C73D7F">
        <w:rPr>
          <w:lang w:val="en-GB"/>
        </w:rPr>
        <w:t xml:space="preserve"> and </w:t>
      </w:r>
      <w:r w:rsidRPr="006D678A">
        <w:rPr>
          <w:lang w:val="en-GB"/>
        </w:rPr>
        <w:t xml:space="preserve">September, fitting appointments at </w:t>
      </w:r>
      <w:r w:rsidR="00C73D7F">
        <w:rPr>
          <w:lang w:val="en-GB"/>
        </w:rPr>
        <w:t>LDS</w:t>
      </w:r>
      <w:r w:rsidRPr="006D678A">
        <w:rPr>
          <w:lang w:val="en-GB"/>
        </w:rPr>
        <w:t xml:space="preserve"> were completely booked, and Cameron often wondered how many customers she was turning away as a result of the store’s lack of space.</w:t>
      </w:r>
    </w:p>
    <w:p w14:paraId="2EB39370" w14:textId="77777777" w:rsidR="00DB7D99" w:rsidRPr="006D678A" w:rsidRDefault="00DB7D99" w:rsidP="00DB7D99">
      <w:pPr>
        <w:pStyle w:val="BodyTextMain"/>
        <w:rPr>
          <w:lang w:val="en-GB"/>
        </w:rPr>
      </w:pPr>
    </w:p>
    <w:p w14:paraId="3A2BF885" w14:textId="3ACF509F" w:rsidR="00DB7D99" w:rsidRPr="006D678A" w:rsidRDefault="00DB7D99" w:rsidP="00DB7D99">
      <w:pPr>
        <w:pStyle w:val="BodyTextMain"/>
        <w:rPr>
          <w:lang w:val="en-GB"/>
        </w:rPr>
      </w:pPr>
      <w:r w:rsidRPr="006D678A">
        <w:rPr>
          <w:lang w:val="en-GB"/>
        </w:rPr>
        <w:t>Cameron had also launched a more sophisticated online store and website. The website included a blog where dancers could find dancewear tips and tricks, a place to make appointments or ask questions, and a well-designed online store. The online store had seen tremendous growth over the past two years</w:t>
      </w:r>
      <w:r w:rsidR="002539CB">
        <w:rPr>
          <w:lang w:val="en-GB"/>
        </w:rPr>
        <w:t>,</w:t>
      </w:r>
      <w:r w:rsidRPr="006D678A">
        <w:rPr>
          <w:lang w:val="en-GB"/>
        </w:rPr>
        <w:t xml:space="preserve"> and Cameron was consistently surprised at the number of orders she received from outside of Ontario.</w:t>
      </w:r>
    </w:p>
    <w:p w14:paraId="43E9CF12" w14:textId="77777777" w:rsidR="00DB7D99" w:rsidRPr="00586B0C" w:rsidRDefault="00DB7D99" w:rsidP="00DB7D99">
      <w:pPr>
        <w:pStyle w:val="BodyTextMain"/>
        <w:rPr>
          <w:color w:val="222222"/>
          <w:sz w:val="20"/>
          <w:shd w:val="clear" w:color="auto" w:fill="FFFFFF"/>
          <w:lang w:val="en-GB"/>
        </w:rPr>
      </w:pPr>
    </w:p>
    <w:p w14:paraId="7BB9CDB0" w14:textId="77777777" w:rsidR="00DB7D99" w:rsidRPr="00586B0C" w:rsidRDefault="00DB7D99" w:rsidP="00DB7D99">
      <w:pPr>
        <w:pStyle w:val="BodyTextMain"/>
        <w:rPr>
          <w:color w:val="222222"/>
          <w:sz w:val="20"/>
          <w:shd w:val="clear" w:color="auto" w:fill="FFFFFF"/>
          <w:lang w:val="en-GB"/>
        </w:rPr>
      </w:pPr>
    </w:p>
    <w:p w14:paraId="2214C536" w14:textId="77777777" w:rsidR="00DB7D99" w:rsidRPr="006D678A" w:rsidRDefault="00DB7D99" w:rsidP="00DB7D99">
      <w:pPr>
        <w:pStyle w:val="Casehead1"/>
        <w:rPr>
          <w:lang w:val="en-GB"/>
        </w:rPr>
      </w:pPr>
      <w:r w:rsidRPr="006D678A">
        <w:rPr>
          <w:lang w:val="en-GB"/>
        </w:rPr>
        <w:t>THE DANCERS</w:t>
      </w:r>
    </w:p>
    <w:p w14:paraId="11DE6E3B" w14:textId="77777777" w:rsidR="00DB7D99" w:rsidRPr="006D678A" w:rsidRDefault="00DB7D99" w:rsidP="00DB7D99">
      <w:pPr>
        <w:pStyle w:val="BodyTextMain"/>
        <w:rPr>
          <w:lang w:val="en-GB"/>
        </w:rPr>
      </w:pPr>
    </w:p>
    <w:p w14:paraId="1D377719" w14:textId="53A172A0" w:rsidR="00DB7D99" w:rsidRPr="006D678A" w:rsidRDefault="002539CB" w:rsidP="00DB7D99">
      <w:pPr>
        <w:pStyle w:val="BodyTextMain"/>
        <w:rPr>
          <w:lang w:val="en-GB"/>
        </w:rPr>
      </w:pPr>
      <w:r>
        <w:rPr>
          <w:lang w:val="en-GB"/>
        </w:rPr>
        <w:t>LDS’s</w:t>
      </w:r>
      <w:r w:rsidR="00DB7D99" w:rsidRPr="006D678A">
        <w:rPr>
          <w:lang w:val="en-GB"/>
        </w:rPr>
        <w:t xml:space="preserve"> customers could be loosely classified into two groups: recreational dancers and competitive dancers. Cameron recognized that some of her sales were to adult dancers, but this was far less common than the two aforementioned consumer segments.</w:t>
      </w:r>
    </w:p>
    <w:p w14:paraId="73E0AD41" w14:textId="77777777" w:rsidR="00DB7D99" w:rsidRPr="006D678A" w:rsidRDefault="00DB7D99" w:rsidP="00DB7D99">
      <w:pPr>
        <w:pStyle w:val="BodyTextMain"/>
        <w:rPr>
          <w:lang w:val="en-GB"/>
        </w:rPr>
      </w:pPr>
    </w:p>
    <w:p w14:paraId="0D639924" w14:textId="77777777" w:rsidR="00DB7D99" w:rsidRPr="006D678A" w:rsidRDefault="00DB7D99" w:rsidP="00DB7D99">
      <w:pPr>
        <w:pStyle w:val="BodyTextMain"/>
        <w:rPr>
          <w:lang w:val="en-GB"/>
        </w:rPr>
      </w:pPr>
    </w:p>
    <w:p w14:paraId="40F6BDBD" w14:textId="77777777" w:rsidR="00DB7D99" w:rsidRPr="006D678A" w:rsidRDefault="00DB7D99" w:rsidP="00DB7D99">
      <w:pPr>
        <w:jc w:val="both"/>
        <w:outlineLvl w:val="0"/>
        <w:rPr>
          <w:rFonts w:ascii="Arial" w:hAnsi="Arial" w:cs="Arial"/>
          <w:b/>
          <w:lang w:val="en-GB"/>
        </w:rPr>
      </w:pPr>
      <w:r w:rsidRPr="006D678A">
        <w:rPr>
          <w:rFonts w:ascii="Arial" w:hAnsi="Arial" w:cs="Arial"/>
          <w:b/>
          <w:lang w:val="en-GB"/>
        </w:rPr>
        <w:t>Recreational Dancers</w:t>
      </w:r>
    </w:p>
    <w:p w14:paraId="54D9D653" w14:textId="77777777" w:rsidR="00DB7D99" w:rsidRPr="006D678A" w:rsidRDefault="00DB7D99" w:rsidP="00DB7D99">
      <w:pPr>
        <w:pStyle w:val="BodyTextMain"/>
        <w:rPr>
          <w:lang w:val="en-GB"/>
        </w:rPr>
      </w:pPr>
    </w:p>
    <w:p w14:paraId="43FFFFC0" w14:textId="07C5EFA6" w:rsidR="00DB7D99" w:rsidRPr="006D678A" w:rsidRDefault="00DB7D99" w:rsidP="00DB7D99">
      <w:pPr>
        <w:pStyle w:val="BodyTextMain"/>
        <w:rPr>
          <w:lang w:val="en-GB"/>
        </w:rPr>
      </w:pPr>
      <w:r w:rsidRPr="006D678A">
        <w:rPr>
          <w:lang w:val="en-GB"/>
        </w:rPr>
        <w:t xml:space="preserve">Recreational dancers were typically between the ages of three </w:t>
      </w:r>
      <w:r w:rsidR="0061169A">
        <w:rPr>
          <w:lang w:val="en-GB"/>
        </w:rPr>
        <w:t>and 12, and</w:t>
      </w:r>
      <w:r w:rsidRPr="006D678A">
        <w:rPr>
          <w:lang w:val="en-GB"/>
        </w:rPr>
        <w:t xml:space="preserve"> took between one </w:t>
      </w:r>
      <w:r w:rsidR="00AF14D7">
        <w:rPr>
          <w:lang w:val="en-GB"/>
        </w:rPr>
        <w:t>and</w:t>
      </w:r>
      <w:r w:rsidRPr="006D678A">
        <w:rPr>
          <w:lang w:val="en-GB"/>
        </w:rPr>
        <w:t xml:space="preserve"> four dance classes per week. August and September were the busiest months of </w:t>
      </w:r>
      <w:r w:rsidR="007341BD">
        <w:rPr>
          <w:lang w:val="en-GB"/>
        </w:rPr>
        <w:t xml:space="preserve">the </w:t>
      </w:r>
      <w:r w:rsidRPr="006D678A">
        <w:rPr>
          <w:lang w:val="en-GB"/>
        </w:rPr>
        <w:t>year for this segment. Dancers and their parents would often come in for shoes and dancewear as part of their back-to-school shopping.</w:t>
      </w:r>
      <w:r w:rsidRPr="006D678A">
        <w:rPr>
          <w:rStyle w:val="FootnoteReference"/>
          <w:lang w:val="en-GB"/>
        </w:rPr>
        <w:footnoteReference w:id="9"/>
      </w:r>
    </w:p>
    <w:p w14:paraId="4F033B2C" w14:textId="77777777" w:rsidR="00DB7D99" w:rsidRPr="006D678A" w:rsidRDefault="00DB7D99" w:rsidP="00DB7D99">
      <w:pPr>
        <w:pStyle w:val="BodyTextMain"/>
        <w:rPr>
          <w:lang w:val="en-GB"/>
        </w:rPr>
      </w:pPr>
    </w:p>
    <w:p w14:paraId="4A01D955" w14:textId="4AE2BCC5" w:rsidR="00DB7D99" w:rsidRPr="00AC6AD9" w:rsidRDefault="00DB7D99" w:rsidP="00DB7D99">
      <w:pPr>
        <w:pStyle w:val="BodyTextMain"/>
        <w:rPr>
          <w:spacing w:val="-2"/>
          <w:kern w:val="22"/>
          <w:lang w:val="en-GB"/>
        </w:rPr>
      </w:pPr>
      <w:r w:rsidRPr="00AC6AD9">
        <w:rPr>
          <w:spacing w:val="-2"/>
          <w:kern w:val="22"/>
          <w:lang w:val="en-GB"/>
        </w:rPr>
        <w:t>Parents of recreational dancers looked for affordable and convenient options. Most parents were not knowledgeable about the different dancewear options</w:t>
      </w:r>
      <w:r w:rsidR="007615FD" w:rsidRPr="00AC6AD9">
        <w:rPr>
          <w:spacing w:val="-2"/>
          <w:kern w:val="22"/>
          <w:lang w:val="en-GB"/>
        </w:rPr>
        <w:t>,</w:t>
      </w:r>
      <w:r w:rsidRPr="00AC6AD9">
        <w:rPr>
          <w:spacing w:val="-2"/>
          <w:kern w:val="22"/>
          <w:lang w:val="en-GB"/>
        </w:rPr>
        <w:t xml:space="preserve"> as they were not dancers themselves. Furthermore, they were acutely aware of the fact that their dancer would quickly grow out of whatever they purchased. Parents relied heavily on the advice of sales associates to educate them on their child’s studio requirements. For instance, one studio might want dancers in black dance shoes</w:t>
      </w:r>
      <w:r w:rsidR="006E067B" w:rsidRPr="00AC6AD9">
        <w:rPr>
          <w:spacing w:val="-2"/>
          <w:kern w:val="22"/>
          <w:lang w:val="en-GB"/>
        </w:rPr>
        <w:t>,</w:t>
      </w:r>
      <w:r w:rsidRPr="00AC6AD9">
        <w:rPr>
          <w:spacing w:val="-2"/>
          <w:kern w:val="22"/>
          <w:lang w:val="en-GB"/>
        </w:rPr>
        <w:t xml:space="preserve"> while another studio </w:t>
      </w:r>
      <w:r w:rsidR="00431D1A" w:rsidRPr="00AC6AD9">
        <w:rPr>
          <w:spacing w:val="-2"/>
          <w:kern w:val="22"/>
          <w:lang w:val="en-GB"/>
        </w:rPr>
        <w:t xml:space="preserve">might prefer </w:t>
      </w:r>
      <w:r w:rsidRPr="00AC6AD9">
        <w:rPr>
          <w:spacing w:val="-2"/>
          <w:kern w:val="22"/>
          <w:lang w:val="en-GB"/>
        </w:rPr>
        <w:t>beige dance shoes. It was therefore essential for dance stores to communicate with local studio owners before the peak season began</w:t>
      </w:r>
      <w:r w:rsidR="00F71703" w:rsidRPr="00AC6AD9">
        <w:rPr>
          <w:spacing w:val="-2"/>
          <w:kern w:val="22"/>
          <w:lang w:val="en-GB"/>
        </w:rPr>
        <w:t xml:space="preserve"> </w:t>
      </w:r>
      <w:r w:rsidRPr="00AC6AD9">
        <w:rPr>
          <w:spacing w:val="-2"/>
          <w:kern w:val="22"/>
          <w:lang w:val="en-GB"/>
        </w:rPr>
        <w:t>so</w:t>
      </w:r>
      <w:r w:rsidR="00F71703" w:rsidRPr="00AC6AD9">
        <w:rPr>
          <w:spacing w:val="-2"/>
          <w:kern w:val="22"/>
          <w:lang w:val="en-GB"/>
        </w:rPr>
        <w:t xml:space="preserve"> that</w:t>
      </w:r>
      <w:r w:rsidRPr="00AC6AD9">
        <w:rPr>
          <w:spacing w:val="-2"/>
          <w:kern w:val="22"/>
          <w:lang w:val="en-GB"/>
        </w:rPr>
        <w:t xml:space="preserve"> they could advise their customers on what to buy and avoid frequent product returns.</w:t>
      </w:r>
    </w:p>
    <w:p w14:paraId="43FB5D42" w14:textId="77777777" w:rsidR="00DB7D99" w:rsidRPr="006D678A" w:rsidRDefault="00DB7D99" w:rsidP="00DB7D99">
      <w:pPr>
        <w:pStyle w:val="BodyTextMain"/>
        <w:rPr>
          <w:lang w:val="en-GB"/>
        </w:rPr>
      </w:pPr>
    </w:p>
    <w:p w14:paraId="1D357C7A" w14:textId="77777777" w:rsidR="00DB7D99" w:rsidRPr="006D678A" w:rsidRDefault="00DB7D99" w:rsidP="00DB7D99">
      <w:pPr>
        <w:pStyle w:val="BodyTextMain"/>
        <w:rPr>
          <w:lang w:val="en-GB"/>
        </w:rPr>
      </w:pPr>
    </w:p>
    <w:p w14:paraId="27F52372" w14:textId="77777777" w:rsidR="00DB7D99" w:rsidRPr="006D678A" w:rsidRDefault="00DB7D99" w:rsidP="00DB7D99">
      <w:pPr>
        <w:pStyle w:val="Casehead2"/>
        <w:rPr>
          <w:lang w:val="en-GB"/>
        </w:rPr>
      </w:pPr>
      <w:r w:rsidRPr="006D678A">
        <w:rPr>
          <w:lang w:val="en-GB"/>
        </w:rPr>
        <w:t>Competitive Dancers</w:t>
      </w:r>
    </w:p>
    <w:p w14:paraId="025D9F10" w14:textId="77777777" w:rsidR="00DB7D99" w:rsidRPr="006D678A" w:rsidRDefault="00DB7D99" w:rsidP="00DB7D99">
      <w:pPr>
        <w:pStyle w:val="BodyTextMain"/>
        <w:rPr>
          <w:lang w:val="en-GB"/>
        </w:rPr>
      </w:pPr>
    </w:p>
    <w:p w14:paraId="5CABE9B3" w14:textId="7DB2995C" w:rsidR="00DB7D99" w:rsidRPr="00586B0C" w:rsidRDefault="00DB7D99" w:rsidP="00DB7D99">
      <w:pPr>
        <w:pStyle w:val="BodyTextMain"/>
        <w:rPr>
          <w:lang w:val="en-GB"/>
        </w:rPr>
      </w:pPr>
      <w:r w:rsidRPr="00586B0C">
        <w:rPr>
          <w:lang w:val="en-GB"/>
        </w:rPr>
        <w:t xml:space="preserve">The second consumer segment typically consisted of older dancers between the ages of </w:t>
      </w:r>
      <w:r w:rsidR="00BA1FD2">
        <w:rPr>
          <w:lang w:val="en-GB"/>
        </w:rPr>
        <w:t>12</w:t>
      </w:r>
      <w:r w:rsidRPr="00586B0C">
        <w:rPr>
          <w:lang w:val="en-GB"/>
        </w:rPr>
        <w:t xml:space="preserve"> and </w:t>
      </w:r>
      <w:r w:rsidR="00BA1FD2">
        <w:rPr>
          <w:lang w:val="en-GB"/>
        </w:rPr>
        <w:t>21</w:t>
      </w:r>
      <w:r w:rsidRPr="00586B0C">
        <w:rPr>
          <w:lang w:val="en-GB"/>
        </w:rPr>
        <w:t xml:space="preserve"> for whom dance was a significant part of their life. These dancers sought a custom experience, with professional shoe fittings and advice from sales associates.</w:t>
      </w:r>
    </w:p>
    <w:p w14:paraId="4A315D68" w14:textId="77777777" w:rsidR="00DB7D99" w:rsidRPr="00586B0C" w:rsidRDefault="00DB7D99" w:rsidP="00DB7D99">
      <w:pPr>
        <w:pStyle w:val="BodyTextMain"/>
        <w:rPr>
          <w:lang w:val="en-GB"/>
        </w:rPr>
      </w:pPr>
    </w:p>
    <w:p w14:paraId="62D94668" w14:textId="20861637" w:rsidR="00DB7D99" w:rsidRPr="00586B0C" w:rsidRDefault="00DB7D99" w:rsidP="00DB7D99">
      <w:pPr>
        <w:pStyle w:val="BodyTextMain"/>
        <w:rPr>
          <w:lang w:val="en-GB"/>
        </w:rPr>
      </w:pPr>
      <w:r w:rsidRPr="00586B0C">
        <w:rPr>
          <w:lang w:val="en-GB"/>
        </w:rPr>
        <w:t>These dancers and their parents were less price sensitive but cared deeply about the quality and longevity of the items they were purchasing. In addition, these dancers were often loyal to a certain brand of dance shoe and would seek out a retailer who carried their preferred brand and style. These consumers were less seasonal and made more frequent purchases.</w:t>
      </w:r>
    </w:p>
    <w:p w14:paraId="446EE5A3" w14:textId="624E9AB6" w:rsidR="00DB7D99" w:rsidRDefault="00DB7D99" w:rsidP="00DB7D99">
      <w:pPr>
        <w:pStyle w:val="BodyTextMain"/>
        <w:rPr>
          <w:lang w:val="en-GB"/>
        </w:rPr>
      </w:pPr>
    </w:p>
    <w:p w14:paraId="7C9214A6" w14:textId="77777777" w:rsidR="00AC6AD9" w:rsidRPr="00586B0C" w:rsidRDefault="00AC6AD9" w:rsidP="00DB7D99">
      <w:pPr>
        <w:pStyle w:val="BodyTextMain"/>
        <w:rPr>
          <w:lang w:val="en-GB"/>
        </w:rPr>
      </w:pPr>
    </w:p>
    <w:p w14:paraId="768E3403" w14:textId="77777777" w:rsidR="00DB7D99" w:rsidRPr="006D678A" w:rsidRDefault="00DB7D99" w:rsidP="00AC6AD9">
      <w:pPr>
        <w:pStyle w:val="Casehead1"/>
        <w:keepNext/>
        <w:rPr>
          <w:lang w:val="en-GB"/>
        </w:rPr>
      </w:pPr>
      <w:r w:rsidRPr="006D678A">
        <w:rPr>
          <w:lang w:val="en-GB"/>
        </w:rPr>
        <w:lastRenderedPageBreak/>
        <w:t>THE COMPETITION</w:t>
      </w:r>
    </w:p>
    <w:p w14:paraId="486E4D67" w14:textId="77777777" w:rsidR="00DB7D99" w:rsidRPr="006D678A" w:rsidRDefault="00DB7D99" w:rsidP="00AC6AD9">
      <w:pPr>
        <w:pStyle w:val="BodyTextMain"/>
        <w:keepNext/>
        <w:rPr>
          <w:lang w:val="en-GB"/>
        </w:rPr>
      </w:pPr>
    </w:p>
    <w:p w14:paraId="4A9C3B10" w14:textId="3CE2CC8D" w:rsidR="00DB7D99" w:rsidRPr="006D678A" w:rsidRDefault="00DB7D99" w:rsidP="00AC6AD9">
      <w:pPr>
        <w:pStyle w:val="BodyTextMain"/>
        <w:keepNext/>
        <w:rPr>
          <w:lang w:val="en-GB"/>
        </w:rPr>
      </w:pPr>
      <w:r w:rsidRPr="006D678A">
        <w:rPr>
          <w:lang w:val="en-GB"/>
        </w:rPr>
        <w:t>Cameron had identified two local competitors</w:t>
      </w:r>
      <w:r w:rsidR="00F85957">
        <w:rPr>
          <w:lang w:val="en-GB"/>
        </w:rPr>
        <w:t xml:space="preserve">: </w:t>
      </w:r>
      <w:r w:rsidRPr="006D678A">
        <w:rPr>
          <w:lang w:val="en-GB"/>
        </w:rPr>
        <w:t xml:space="preserve">Pointe &amp; Pick </w:t>
      </w:r>
      <w:r w:rsidR="00CB0ABF">
        <w:rPr>
          <w:lang w:val="en-GB"/>
        </w:rPr>
        <w:t xml:space="preserve">(P&amp;P) </w:t>
      </w:r>
      <w:r w:rsidRPr="006D678A">
        <w:rPr>
          <w:lang w:val="en-GB"/>
        </w:rPr>
        <w:t>and Dancewear Plus</w:t>
      </w:r>
      <w:r w:rsidR="00D52C60">
        <w:rPr>
          <w:lang w:val="en-GB"/>
        </w:rPr>
        <w:t xml:space="preserve"> (DP)</w:t>
      </w:r>
      <w:r w:rsidRPr="006D678A">
        <w:rPr>
          <w:lang w:val="en-GB"/>
        </w:rPr>
        <w:t>. However, she also viewed the large Toronto dance stores as some of her biggest competitors.</w:t>
      </w:r>
    </w:p>
    <w:p w14:paraId="6692BC10" w14:textId="77777777" w:rsidR="00DB7D99" w:rsidRPr="006D678A" w:rsidRDefault="00DB7D99" w:rsidP="00DB7D99">
      <w:pPr>
        <w:pStyle w:val="BodyTextMain"/>
        <w:rPr>
          <w:lang w:val="en-GB"/>
        </w:rPr>
      </w:pPr>
    </w:p>
    <w:p w14:paraId="26459731" w14:textId="77777777" w:rsidR="00DB7D99" w:rsidRPr="006D678A" w:rsidRDefault="00DB7D99" w:rsidP="00DB7D99">
      <w:pPr>
        <w:pStyle w:val="BodyTextMain"/>
        <w:rPr>
          <w:rFonts w:ascii="Arial" w:hAnsi="Arial" w:cs="Arial"/>
          <w:lang w:val="en-GB"/>
        </w:rPr>
      </w:pPr>
    </w:p>
    <w:p w14:paraId="56C6036C" w14:textId="77777777" w:rsidR="00DB7D99" w:rsidRPr="006D678A" w:rsidRDefault="00DB7D99" w:rsidP="00DB7D99">
      <w:pPr>
        <w:pStyle w:val="Casehead2"/>
        <w:rPr>
          <w:lang w:val="en-GB"/>
        </w:rPr>
      </w:pPr>
      <w:r w:rsidRPr="006D678A">
        <w:rPr>
          <w:lang w:val="en-GB"/>
        </w:rPr>
        <w:t>Pointe &amp; Pick</w:t>
      </w:r>
    </w:p>
    <w:p w14:paraId="057E3129" w14:textId="77777777" w:rsidR="00DB7D99" w:rsidRPr="006D678A" w:rsidRDefault="00DB7D99" w:rsidP="00DB7D99">
      <w:pPr>
        <w:pStyle w:val="BodyTextMain"/>
        <w:rPr>
          <w:lang w:val="en-GB"/>
        </w:rPr>
      </w:pPr>
    </w:p>
    <w:p w14:paraId="5530AD16" w14:textId="1CAE6654" w:rsidR="00DB7D99" w:rsidRPr="006D678A" w:rsidRDefault="00DB7D99" w:rsidP="00DB7D99">
      <w:pPr>
        <w:pStyle w:val="BodyTextMain"/>
        <w:rPr>
          <w:lang w:val="en-GB"/>
        </w:rPr>
      </w:pPr>
      <w:r w:rsidRPr="006D678A">
        <w:rPr>
          <w:lang w:val="en-GB"/>
        </w:rPr>
        <w:t xml:space="preserve">P&amp;P opened in 2014 in the Hyde Park neighbourhood in </w:t>
      </w:r>
      <w:r w:rsidR="00383F11">
        <w:rPr>
          <w:lang w:val="en-GB"/>
        </w:rPr>
        <w:t>Northwest</w:t>
      </w:r>
      <w:r w:rsidRPr="006D678A">
        <w:rPr>
          <w:lang w:val="en-GB"/>
        </w:rPr>
        <w:t xml:space="preserve"> London, less than five minutes away from three of the city’s largest dance studios.</w:t>
      </w:r>
      <w:r w:rsidRPr="006D678A">
        <w:rPr>
          <w:rStyle w:val="FootnoteReference"/>
          <w:lang w:val="en-GB"/>
        </w:rPr>
        <w:footnoteReference w:id="10"/>
      </w:r>
      <w:r w:rsidRPr="006D678A">
        <w:rPr>
          <w:lang w:val="en-GB"/>
        </w:rPr>
        <w:t xml:space="preserve"> P&amp;P carried figure skating, dance, </w:t>
      </w:r>
      <w:r w:rsidR="00122858">
        <w:rPr>
          <w:lang w:val="en-GB"/>
        </w:rPr>
        <w:t>gymnastics</w:t>
      </w:r>
      <w:r w:rsidRPr="006D678A">
        <w:rPr>
          <w:lang w:val="en-GB"/>
        </w:rPr>
        <w:t>, yoga, and other fitness apparel. The store managers both had significant experience in figure skating and ice dance</w:t>
      </w:r>
      <w:r w:rsidR="0036468D">
        <w:rPr>
          <w:lang w:val="en-GB"/>
        </w:rPr>
        <w:t>,</w:t>
      </w:r>
      <w:r w:rsidRPr="006D678A">
        <w:rPr>
          <w:lang w:val="en-GB"/>
        </w:rPr>
        <w:t xml:space="preserve"> but limited experience in ballet or other forms of dance. P&amp;P carried a wide range of jazz, tap</w:t>
      </w:r>
      <w:r w:rsidR="00AA6AF9">
        <w:rPr>
          <w:lang w:val="en-GB"/>
        </w:rPr>
        <w:t>,</w:t>
      </w:r>
      <w:r w:rsidRPr="006D678A">
        <w:rPr>
          <w:lang w:val="en-GB"/>
        </w:rPr>
        <w:t xml:space="preserve"> and ballet shoes and had become a one-stop shop for children’s dancewear. However, </w:t>
      </w:r>
      <w:r w:rsidR="007341BD">
        <w:rPr>
          <w:lang w:val="en-GB"/>
        </w:rPr>
        <w:t>it</w:t>
      </w:r>
      <w:r w:rsidRPr="006D678A">
        <w:rPr>
          <w:lang w:val="en-GB"/>
        </w:rPr>
        <w:t xml:space="preserve"> did not offer pointe shoe fittings and only carried one brand of pointe shoes and three lines of dancewear.</w:t>
      </w:r>
    </w:p>
    <w:p w14:paraId="476D11DD" w14:textId="77777777" w:rsidR="00DB7D99" w:rsidRPr="006D678A" w:rsidRDefault="00DB7D99" w:rsidP="00DB7D99">
      <w:pPr>
        <w:pStyle w:val="BodyTextMain"/>
        <w:rPr>
          <w:lang w:val="en-GB"/>
        </w:rPr>
      </w:pPr>
    </w:p>
    <w:p w14:paraId="3E532234" w14:textId="77777777" w:rsidR="00DB7D99" w:rsidRPr="006D678A" w:rsidRDefault="00DB7D99" w:rsidP="00DB7D99">
      <w:pPr>
        <w:pStyle w:val="BodyTextMain"/>
        <w:rPr>
          <w:lang w:val="en-GB"/>
        </w:rPr>
      </w:pPr>
    </w:p>
    <w:p w14:paraId="1653F358" w14:textId="77777777" w:rsidR="00DB7D99" w:rsidRPr="006D678A" w:rsidRDefault="00DB7D99" w:rsidP="00DB7D99">
      <w:pPr>
        <w:pStyle w:val="Casehead2"/>
        <w:rPr>
          <w:lang w:val="en-GB"/>
        </w:rPr>
      </w:pPr>
      <w:r w:rsidRPr="006D678A">
        <w:rPr>
          <w:lang w:val="en-GB"/>
        </w:rPr>
        <w:t>Dancewear Plus</w:t>
      </w:r>
    </w:p>
    <w:p w14:paraId="2DAB3144" w14:textId="77777777" w:rsidR="00DB7D99" w:rsidRPr="006D678A" w:rsidRDefault="00DB7D99" w:rsidP="00DB7D99">
      <w:pPr>
        <w:pStyle w:val="BodyTextMain"/>
        <w:rPr>
          <w:lang w:val="en-GB"/>
        </w:rPr>
      </w:pPr>
    </w:p>
    <w:p w14:paraId="1B8DBD52" w14:textId="20A5E74F" w:rsidR="00DB7D99" w:rsidRPr="006D678A" w:rsidRDefault="00DB7D99" w:rsidP="00DB7D99">
      <w:pPr>
        <w:pStyle w:val="BodyTextMain"/>
        <w:rPr>
          <w:lang w:val="en-GB"/>
        </w:rPr>
      </w:pPr>
      <w:r w:rsidRPr="006D678A">
        <w:rPr>
          <w:lang w:val="en-GB"/>
        </w:rPr>
        <w:t>DP was a large apparel store located behind an auto mall in South London, just five minutes outside of Wortley Village. Like P&amp;P, DP offered figure skating, gymnastics, yoga, and other fitness apparel for both children and adults.</w:t>
      </w:r>
      <w:r w:rsidRPr="006D678A">
        <w:rPr>
          <w:rStyle w:val="FootnoteReference"/>
          <w:lang w:val="en-GB"/>
        </w:rPr>
        <w:footnoteReference w:id="11"/>
      </w:r>
      <w:r w:rsidRPr="006D678A">
        <w:rPr>
          <w:lang w:val="en-GB"/>
        </w:rPr>
        <w:t xml:space="preserve"> The store specialized in custom dance costumes as well as standard dancewear. DP was owned and operated by Anne </w:t>
      </w:r>
      <w:proofErr w:type="spellStart"/>
      <w:r w:rsidRPr="006D678A">
        <w:rPr>
          <w:lang w:val="en-GB"/>
        </w:rPr>
        <w:t>Perron</w:t>
      </w:r>
      <w:proofErr w:type="spellEnd"/>
      <w:r w:rsidRPr="006D678A">
        <w:rPr>
          <w:lang w:val="en-GB"/>
        </w:rPr>
        <w:t xml:space="preserve">, a seamstress and designer who had been making custom dance costumes for over </w:t>
      </w:r>
      <w:r w:rsidR="00D52C60">
        <w:rPr>
          <w:lang w:val="en-GB"/>
        </w:rPr>
        <w:t>20</w:t>
      </w:r>
      <w:r w:rsidRPr="006D678A">
        <w:rPr>
          <w:lang w:val="en-GB"/>
        </w:rPr>
        <w:t xml:space="preserve"> years. DP offered pointe shoe fittings by appointment with professional fitters</w:t>
      </w:r>
      <w:r w:rsidR="00D52C60">
        <w:rPr>
          <w:lang w:val="en-GB"/>
        </w:rPr>
        <w:t>;</w:t>
      </w:r>
      <w:r w:rsidRPr="006D678A">
        <w:rPr>
          <w:lang w:val="en-GB"/>
        </w:rPr>
        <w:t xml:space="preserve"> however, the store carried only two brands of pointe shoes. DP had </w:t>
      </w:r>
      <w:r w:rsidR="00D52C60">
        <w:rPr>
          <w:lang w:val="en-GB"/>
        </w:rPr>
        <w:t>long-standing</w:t>
      </w:r>
      <w:r w:rsidRPr="006D678A">
        <w:rPr>
          <w:lang w:val="en-GB"/>
        </w:rPr>
        <w:t xml:space="preserve"> relationships with various London gymnastics coaches and was best known for its excellent customer service and custom costumes.</w:t>
      </w:r>
    </w:p>
    <w:p w14:paraId="27A4AE6F" w14:textId="77777777" w:rsidR="00DB7D99" w:rsidRPr="006D678A" w:rsidRDefault="00DB7D99" w:rsidP="00DB7D99">
      <w:pPr>
        <w:pStyle w:val="BodyTextMain"/>
        <w:rPr>
          <w:lang w:val="en-GB"/>
        </w:rPr>
      </w:pPr>
    </w:p>
    <w:p w14:paraId="73C4A247" w14:textId="77777777" w:rsidR="00DB7D99" w:rsidRPr="006D678A" w:rsidRDefault="00DB7D99" w:rsidP="00DB7D99">
      <w:pPr>
        <w:pStyle w:val="BodyTextMain"/>
        <w:rPr>
          <w:lang w:val="en-GB"/>
        </w:rPr>
      </w:pPr>
    </w:p>
    <w:p w14:paraId="59926258" w14:textId="77777777" w:rsidR="00DB7D99" w:rsidRPr="006D678A" w:rsidRDefault="00DB7D99" w:rsidP="00DB7D99">
      <w:pPr>
        <w:pStyle w:val="Casehead2"/>
        <w:rPr>
          <w:lang w:val="en-GB"/>
        </w:rPr>
      </w:pPr>
      <w:r w:rsidRPr="006D678A">
        <w:rPr>
          <w:lang w:val="en-GB"/>
        </w:rPr>
        <w:t>Toronto Dancewear Stores</w:t>
      </w:r>
    </w:p>
    <w:p w14:paraId="5FD3C12E" w14:textId="77777777" w:rsidR="00DB7D99" w:rsidRPr="006D678A" w:rsidRDefault="00DB7D99" w:rsidP="00DB7D99">
      <w:pPr>
        <w:pStyle w:val="BodyTextMain"/>
        <w:rPr>
          <w:lang w:val="en-GB"/>
        </w:rPr>
      </w:pPr>
    </w:p>
    <w:p w14:paraId="59A6DB2D" w14:textId="7BDE24DE" w:rsidR="00DB7D99" w:rsidRPr="006D678A" w:rsidRDefault="00DB7D99" w:rsidP="00DB7D99">
      <w:pPr>
        <w:pStyle w:val="BodyTextMain"/>
        <w:rPr>
          <w:lang w:val="en-GB"/>
        </w:rPr>
      </w:pPr>
      <w:r w:rsidRPr="006D678A">
        <w:rPr>
          <w:lang w:val="en-GB"/>
        </w:rPr>
        <w:t xml:space="preserve">Canada’s largest city, Toronto, Ontario, was two hours </w:t>
      </w:r>
      <w:r w:rsidR="00A82961">
        <w:rPr>
          <w:lang w:val="en-GB"/>
        </w:rPr>
        <w:t xml:space="preserve">from London </w:t>
      </w:r>
      <w:r w:rsidRPr="006D678A">
        <w:rPr>
          <w:lang w:val="en-GB"/>
        </w:rPr>
        <w:t xml:space="preserve">by car or </w:t>
      </w:r>
      <w:r w:rsidR="00A82961">
        <w:rPr>
          <w:lang w:val="en-GB"/>
        </w:rPr>
        <w:t>train</w:t>
      </w:r>
      <w:r w:rsidRPr="006D678A">
        <w:rPr>
          <w:lang w:val="en-GB"/>
        </w:rPr>
        <w:t xml:space="preserve">. </w:t>
      </w:r>
      <w:r w:rsidR="00C76A17">
        <w:rPr>
          <w:lang w:val="en-GB"/>
        </w:rPr>
        <w:t>It</w:t>
      </w:r>
      <w:r w:rsidRPr="00A851A0">
        <w:rPr>
          <w:lang w:val="en-GB"/>
        </w:rPr>
        <w:t xml:space="preserve"> </w:t>
      </w:r>
      <w:r w:rsidRPr="006D678A">
        <w:rPr>
          <w:lang w:val="en-GB"/>
        </w:rPr>
        <w:t xml:space="preserve">was </w:t>
      </w:r>
      <w:r w:rsidRPr="00A851A0">
        <w:rPr>
          <w:lang w:val="en-GB"/>
        </w:rPr>
        <w:t>not uncommon</w:t>
      </w:r>
      <w:r w:rsidR="00A82961">
        <w:rPr>
          <w:lang w:val="en-GB"/>
        </w:rPr>
        <w:t xml:space="preserve"> </w:t>
      </w:r>
      <w:r w:rsidRPr="006D678A">
        <w:rPr>
          <w:lang w:val="en-GB"/>
        </w:rPr>
        <w:t xml:space="preserve">for dancers to make </w:t>
      </w:r>
      <w:r w:rsidRPr="00A851A0">
        <w:rPr>
          <w:lang w:val="en-GB"/>
        </w:rPr>
        <w:t>a trip to downtown Toronto</w:t>
      </w:r>
      <w:r w:rsidR="00C76A17">
        <w:rPr>
          <w:lang w:val="en-GB"/>
        </w:rPr>
        <w:t>—</w:t>
      </w:r>
      <w:r w:rsidR="007A1915">
        <w:rPr>
          <w:lang w:val="en-GB"/>
        </w:rPr>
        <w:t>home</w:t>
      </w:r>
      <w:r w:rsidR="007A1915" w:rsidRPr="006D678A">
        <w:rPr>
          <w:lang w:val="en-GB"/>
        </w:rPr>
        <w:t xml:space="preserve"> to over a dozen large, beautiful dancewear stores</w:t>
      </w:r>
      <w:r w:rsidR="00C76A17">
        <w:rPr>
          <w:lang w:val="en-GB"/>
        </w:rPr>
        <w:t>—for their first pointe shoe fitting</w:t>
      </w:r>
      <w:r w:rsidRPr="006D678A">
        <w:rPr>
          <w:lang w:val="en-GB"/>
        </w:rPr>
        <w:t xml:space="preserve">. This was especially true of dancers who lived in the Oxford County area. Oxford County was </w:t>
      </w:r>
      <w:r w:rsidR="00AA5A46">
        <w:rPr>
          <w:lang w:val="en-GB"/>
        </w:rPr>
        <w:t>45</w:t>
      </w:r>
      <w:r w:rsidRPr="006D678A">
        <w:rPr>
          <w:lang w:val="en-GB"/>
        </w:rPr>
        <w:t xml:space="preserve"> minutes from London and </w:t>
      </w:r>
      <w:r w:rsidR="00AA5A46">
        <w:rPr>
          <w:lang w:val="en-GB"/>
        </w:rPr>
        <w:t>90 minutes</w:t>
      </w:r>
      <w:r w:rsidRPr="006D678A">
        <w:rPr>
          <w:lang w:val="en-GB"/>
        </w:rPr>
        <w:t xml:space="preserve"> from Toronto. There was no large dance store in the Oxford County area</w:t>
      </w:r>
      <w:r w:rsidR="00AA5A46">
        <w:rPr>
          <w:lang w:val="en-GB"/>
        </w:rPr>
        <w:t>;</w:t>
      </w:r>
      <w:r w:rsidRPr="006D678A">
        <w:rPr>
          <w:lang w:val="en-GB"/>
        </w:rPr>
        <w:t xml:space="preserve"> therefore, dancers had to choose which city to go to for dancewear.</w:t>
      </w:r>
    </w:p>
    <w:p w14:paraId="7133228A" w14:textId="77777777" w:rsidR="00DB7D99" w:rsidRPr="006D678A" w:rsidRDefault="00DB7D99" w:rsidP="00DB7D99">
      <w:pPr>
        <w:pStyle w:val="BodyTextMain"/>
        <w:rPr>
          <w:lang w:val="en-GB"/>
        </w:rPr>
      </w:pPr>
    </w:p>
    <w:p w14:paraId="51C0F620" w14:textId="619FA983" w:rsidR="00DB7D99" w:rsidRPr="006D678A" w:rsidRDefault="00DB7D99" w:rsidP="00DB7D99">
      <w:pPr>
        <w:pStyle w:val="BodyTextMain"/>
        <w:rPr>
          <w:lang w:val="en-GB"/>
        </w:rPr>
      </w:pPr>
      <w:r w:rsidRPr="006D678A">
        <w:rPr>
          <w:lang w:val="en-GB"/>
        </w:rPr>
        <w:t xml:space="preserve">The first pair of pointe shoes was a big milestone for a dancer, and some parents enjoyed making an event out of it </w:t>
      </w:r>
      <w:r w:rsidR="00AA5A46">
        <w:rPr>
          <w:lang w:val="en-GB"/>
        </w:rPr>
        <w:t xml:space="preserve">by </w:t>
      </w:r>
      <w:r w:rsidRPr="006D678A">
        <w:rPr>
          <w:lang w:val="en-GB"/>
        </w:rPr>
        <w:t xml:space="preserve">including lunch at a nice </w:t>
      </w:r>
      <w:r w:rsidR="00AA5A46" w:rsidRPr="004A6D71">
        <w:t>caf</w:t>
      </w:r>
      <w:r w:rsidR="00814134" w:rsidRPr="004A6D71">
        <w:t>é</w:t>
      </w:r>
      <w:r w:rsidR="00AA5A46">
        <w:rPr>
          <w:lang w:val="en-GB"/>
        </w:rPr>
        <w:t>,</w:t>
      </w:r>
      <w:r w:rsidRPr="006D678A">
        <w:rPr>
          <w:lang w:val="en-GB"/>
        </w:rPr>
        <w:t xml:space="preserve"> some shopping in downtown Toronto, and</w:t>
      </w:r>
      <w:r w:rsidR="00AA5A46">
        <w:rPr>
          <w:lang w:val="en-GB"/>
        </w:rPr>
        <w:t>,</w:t>
      </w:r>
      <w:r w:rsidRPr="006D678A">
        <w:rPr>
          <w:lang w:val="en-GB"/>
        </w:rPr>
        <w:t xml:space="preserve"> of course</w:t>
      </w:r>
      <w:r w:rsidR="00AA5A46">
        <w:rPr>
          <w:lang w:val="en-GB"/>
        </w:rPr>
        <w:t>,</w:t>
      </w:r>
      <w:r w:rsidRPr="006D678A">
        <w:rPr>
          <w:lang w:val="en-GB"/>
        </w:rPr>
        <w:t xml:space="preserve"> the pointe shoe fitting itself. After the initial fitting, students did not necessarily need to be fitted again for a year or two</w:t>
      </w:r>
      <w:r w:rsidR="00AA5A46">
        <w:rPr>
          <w:lang w:val="en-GB"/>
        </w:rPr>
        <w:t>,</w:t>
      </w:r>
      <w:r w:rsidRPr="006D678A">
        <w:rPr>
          <w:lang w:val="en-GB"/>
        </w:rPr>
        <w:t xml:space="preserve"> </w:t>
      </w:r>
      <w:r w:rsidR="00AA5A46">
        <w:rPr>
          <w:lang w:val="en-GB"/>
        </w:rPr>
        <w:t>with</w:t>
      </w:r>
      <w:r w:rsidRPr="006D678A">
        <w:rPr>
          <w:lang w:val="en-GB"/>
        </w:rPr>
        <w:t xml:space="preserve"> additional pairs </w:t>
      </w:r>
      <w:r w:rsidR="00AA5A46">
        <w:rPr>
          <w:lang w:val="en-GB"/>
        </w:rPr>
        <w:t xml:space="preserve">ordered </w:t>
      </w:r>
      <w:r w:rsidRPr="006D678A">
        <w:rPr>
          <w:lang w:val="en-GB"/>
        </w:rPr>
        <w:t>online from the store in Toronto</w:t>
      </w:r>
      <w:r w:rsidR="00AA5A46">
        <w:rPr>
          <w:lang w:val="en-GB"/>
        </w:rPr>
        <w:t>,</w:t>
      </w:r>
      <w:r w:rsidRPr="006D678A">
        <w:rPr>
          <w:lang w:val="en-GB"/>
        </w:rPr>
        <w:t xml:space="preserve"> to be delivered to </w:t>
      </w:r>
      <w:r w:rsidR="00CA06BF">
        <w:rPr>
          <w:lang w:val="en-GB"/>
        </w:rPr>
        <w:t xml:space="preserve">the </w:t>
      </w:r>
      <w:r w:rsidR="00FA6EAA">
        <w:rPr>
          <w:lang w:val="en-GB"/>
        </w:rPr>
        <w:t>dancers’</w:t>
      </w:r>
      <w:r w:rsidR="00AF184D">
        <w:rPr>
          <w:lang w:val="en-GB"/>
        </w:rPr>
        <w:t xml:space="preserve"> homes</w:t>
      </w:r>
      <w:r w:rsidRPr="006D678A">
        <w:rPr>
          <w:lang w:val="en-GB"/>
        </w:rPr>
        <w:t>.</w:t>
      </w:r>
    </w:p>
    <w:p w14:paraId="72AF1C56" w14:textId="77777777" w:rsidR="00DB7D99" w:rsidRPr="006D678A" w:rsidRDefault="00DB7D99" w:rsidP="00DB7D99">
      <w:pPr>
        <w:pStyle w:val="BodyTextMain"/>
        <w:rPr>
          <w:lang w:val="en-GB"/>
        </w:rPr>
      </w:pPr>
    </w:p>
    <w:p w14:paraId="42DF12F7" w14:textId="77777777" w:rsidR="00DB7D99" w:rsidRPr="006D678A" w:rsidRDefault="00DB7D99" w:rsidP="00DB7D99">
      <w:pPr>
        <w:pStyle w:val="BodyTextMain"/>
        <w:rPr>
          <w:lang w:val="en-GB"/>
        </w:rPr>
      </w:pPr>
    </w:p>
    <w:p w14:paraId="02E77429" w14:textId="77777777" w:rsidR="00DB7D99" w:rsidRPr="006D678A" w:rsidRDefault="00DB7D99" w:rsidP="00DB7D99">
      <w:pPr>
        <w:pStyle w:val="Casehead1"/>
        <w:rPr>
          <w:sz w:val="22"/>
          <w:szCs w:val="22"/>
          <w:lang w:val="en-GB"/>
        </w:rPr>
      </w:pPr>
      <w:r w:rsidRPr="006D678A">
        <w:rPr>
          <w:lang w:val="en-GB"/>
        </w:rPr>
        <w:t>ALTERNATIVES</w:t>
      </w:r>
    </w:p>
    <w:p w14:paraId="046007FD" w14:textId="77777777" w:rsidR="00DB7D99" w:rsidRPr="006D678A" w:rsidRDefault="00DB7D99" w:rsidP="00DB7D99">
      <w:pPr>
        <w:jc w:val="both"/>
        <w:rPr>
          <w:sz w:val="22"/>
          <w:szCs w:val="22"/>
          <w:lang w:val="en-GB"/>
        </w:rPr>
      </w:pPr>
    </w:p>
    <w:p w14:paraId="731F2623" w14:textId="77777777" w:rsidR="00DB7D99" w:rsidRPr="006D678A" w:rsidRDefault="00DB7D99" w:rsidP="00DB7D99">
      <w:pPr>
        <w:pStyle w:val="Casehead2"/>
        <w:rPr>
          <w:lang w:val="en-GB"/>
        </w:rPr>
      </w:pPr>
      <w:r w:rsidRPr="006D678A">
        <w:rPr>
          <w:lang w:val="en-GB"/>
        </w:rPr>
        <w:t>Status Quo</w:t>
      </w:r>
    </w:p>
    <w:p w14:paraId="0D070A83" w14:textId="77777777" w:rsidR="00DB7D99" w:rsidRPr="00AC6AD9" w:rsidRDefault="00DB7D99" w:rsidP="00DB7D99">
      <w:pPr>
        <w:pStyle w:val="BodyTextMain"/>
        <w:rPr>
          <w:sz w:val="14"/>
          <w:szCs w:val="14"/>
          <w:lang w:val="en-GB"/>
        </w:rPr>
      </w:pPr>
    </w:p>
    <w:p w14:paraId="622B0D3E" w14:textId="30FDD992" w:rsidR="00DB7D99" w:rsidRPr="00AC6AD9" w:rsidRDefault="00DB7D99" w:rsidP="00DB7D99">
      <w:pPr>
        <w:pStyle w:val="BodyTextMain"/>
        <w:rPr>
          <w:spacing w:val="-4"/>
          <w:kern w:val="22"/>
          <w:lang w:val="en-GB"/>
        </w:rPr>
      </w:pPr>
      <w:r w:rsidRPr="00AC6AD9">
        <w:rPr>
          <w:spacing w:val="-4"/>
          <w:kern w:val="22"/>
          <w:lang w:val="en-GB"/>
        </w:rPr>
        <w:t>Morales had asked Cameron to seriously consider staying the course for now</w:t>
      </w:r>
      <w:r w:rsidR="001463E7" w:rsidRPr="00AC6AD9">
        <w:rPr>
          <w:spacing w:val="-4"/>
          <w:kern w:val="22"/>
          <w:lang w:val="en-GB"/>
        </w:rPr>
        <w:t>;</w:t>
      </w:r>
      <w:r w:rsidRPr="00AC6AD9">
        <w:rPr>
          <w:spacing w:val="-4"/>
          <w:kern w:val="22"/>
          <w:lang w:val="en-GB"/>
        </w:rPr>
        <w:t xml:space="preserve"> </w:t>
      </w:r>
      <w:r w:rsidR="001463E7" w:rsidRPr="00AC6AD9">
        <w:rPr>
          <w:spacing w:val="-4"/>
          <w:kern w:val="22"/>
          <w:lang w:val="en-GB"/>
        </w:rPr>
        <w:t>the</w:t>
      </w:r>
      <w:r w:rsidRPr="00AC6AD9">
        <w:rPr>
          <w:spacing w:val="-4"/>
          <w:kern w:val="22"/>
          <w:lang w:val="en-GB"/>
        </w:rPr>
        <w:t xml:space="preserve"> </w:t>
      </w:r>
      <w:r w:rsidR="0027494D" w:rsidRPr="00AC6AD9">
        <w:rPr>
          <w:spacing w:val="-4"/>
          <w:kern w:val="22"/>
          <w:lang w:val="en-GB"/>
        </w:rPr>
        <w:t xml:space="preserve">shop </w:t>
      </w:r>
      <w:r w:rsidRPr="00AC6AD9">
        <w:rPr>
          <w:spacing w:val="-4"/>
          <w:kern w:val="22"/>
          <w:lang w:val="en-GB"/>
        </w:rPr>
        <w:t xml:space="preserve">had </w:t>
      </w:r>
      <w:r w:rsidR="0027494D" w:rsidRPr="00AC6AD9">
        <w:rPr>
          <w:spacing w:val="-4"/>
          <w:kern w:val="22"/>
          <w:lang w:val="en-GB"/>
        </w:rPr>
        <w:t xml:space="preserve">recently </w:t>
      </w:r>
      <w:r w:rsidRPr="00AC6AD9">
        <w:rPr>
          <w:spacing w:val="-4"/>
          <w:kern w:val="22"/>
          <w:lang w:val="en-GB"/>
        </w:rPr>
        <w:t xml:space="preserve">undergone </w:t>
      </w:r>
      <w:r w:rsidR="0027494D" w:rsidRPr="00AC6AD9">
        <w:rPr>
          <w:spacing w:val="-4"/>
          <w:kern w:val="22"/>
          <w:lang w:val="en-GB"/>
        </w:rPr>
        <w:t>many</w:t>
      </w:r>
      <w:r w:rsidRPr="00AC6AD9">
        <w:rPr>
          <w:spacing w:val="-4"/>
          <w:kern w:val="22"/>
          <w:lang w:val="en-GB"/>
        </w:rPr>
        <w:t xml:space="preserve"> changes</w:t>
      </w:r>
      <w:r w:rsidR="0027494D" w:rsidRPr="00AC6AD9">
        <w:rPr>
          <w:spacing w:val="-4"/>
          <w:kern w:val="22"/>
          <w:lang w:val="en-GB"/>
        </w:rPr>
        <w:t xml:space="preserve">, </w:t>
      </w:r>
      <w:r w:rsidRPr="00AC6AD9">
        <w:rPr>
          <w:spacing w:val="-4"/>
          <w:kern w:val="22"/>
          <w:lang w:val="en-GB"/>
        </w:rPr>
        <w:t xml:space="preserve">and the </w:t>
      </w:r>
      <w:r w:rsidR="00AB416B" w:rsidRPr="00AC6AD9">
        <w:rPr>
          <w:spacing w:val="-4"/>
          <w:kern w:val="22"/>
          <w:lang w:val="en-GB"/>
        </w:rPr>
        <w:t xml:space="preserve">co-owners </w:t>
      </w:r>
      <w:r w:rsidRPr="00AC6AD9">
        <w:rPr>
          <w:spacing w:val="-4"/>
          <w:kern w:val="22"/>
          <w:lang w:val="en-GB"/>
        </w:rPr>
        <w:t xml:space="preserve">were </w:t>
      </w:r>
      <w:r w:rsidR="00FE302E" w:rsidRPr="00AC6AD9">
        <w:rPr>
          <w:spacing w:val="-4"/>
          <w:kern w:val="22"/>
          <w:lang w:val="en-GB"/>
        </w:rPr>
        <w:t xml:space="preserve">simply </w:t>
      </w:r>
      <w:r w:rsidRPr="00AC6AD9">
        <w:rPr>
          <w:spacing w:val="-4"/>
          <w:kern w:val="22"/>
          <w:lang w:val="en-GB"/>
        </w:rPr>
        <w:t>trying to keep up with their current number of customers. Morales liked their small shop the way it was and was reluctant to engage in conversations about possible changes.</w:t>
      </w:r>
    </w:p>
    <w:p w14:paraId="4E1185DB" w14:textId="28EBF33B" w:rsidR="00DB7D99" w:rsidRPr="006D678A" w:rsidRDefault="00DB7D99" w:rsidP="00DB7D99">
      <w:pPr>
        <w:pStyle w:val="BodyTextMain"/>
        <w:rPr>
          <w:lang w:val="en-GB"/>
        </w:rPr>
      </w:pPr>
      <w:r w:rsidRPr="006D678A">
        <w:rPr>
          <w:lang w:val="en-GB"/>
        </w:rPr>
        <w:lastRenderedPageBreak/>
        <w:t xml:space="preserve">About </w:t>
      </w:r>
      <w:r w:rsidR="00851A56">
        <w:rPr>
          <w:lang w:val="en-GB"/>
        </w:rPr>
        <w:t>one</w:t>
      </w:r>
      <w:r w:rsidRPr="006D678A">
        <w:rPr>
          <w:lang w:val="en-GB"/>
        </w:rPr>
        <w:t xml:space="preserve"> year ago</w:t>
      </w:r>
      <w:r w:rsidR="0065588C">
        <w:rPr>
          <w:lang w:val="en-GB"/>
        </w:rPr>
        <w:t>,</w:t>
      </w:r>
      <w:r w:rsidRPr="006D678A">
        <w:rPr>
          <w:lang w:val="en-GB"/>
        </w:rPr>
        <w:t xml:space="preserve"> Cameron had expanded their online shopping offerings and was beginning to see an increase in </w:t>
      </w:r>
      <w:r w:rsidR="002D613E">
        <w:rPr>
          <w:lang w:val="en-GB"/>
        </w:rPr>
        <w:t>LDS’s</w:t>
      </w:r>
      <w:r w:rsidRPr="006D678A">
        <w:rPr>
          <w:lang w:val="en-GB"/>
        </w:rPr>
        <w:t xml:space="preserve"> online sales. Sales were made Canada-wide</w:t>
      </w:r>
      <w:r w:rsidR="002D613E">
        <w:rPr>
          <w:lang w:val="en-GB"/>
        </w:rPr>
        <w:t>,</w:t>
      </w:r>
      <w:r w:rsidRPr="006D678A">
        <w:rPr>
          <w:lang w:val="en-GB"/>
        </w:rPr>
        <w:t xml:space="preserve"> but customers could choose between delivery or in-store pickup. She wondered if keeping to the status quo and maintaining her focus on </w:t>
      </w:r>
      <w:r w:rsidR="004400F1">
        <w:rPr>
          <w:lang w:val="en-GB"/>
        </w:rPr>
        <w:t>LDS’s</w:t>
      </w:r>
      <w:r w:rsidR="004400F1" w:rsidRPr="006D678A">
        <w:rPr>
          <w:lang w:val="en-GB"/>
        </w:rPr>
        <w:t xml:space="preserve"> </w:t>
      </w:r>
      <w:r w:rsidRPr="006D678A">
        <w:rPr>
          <w:lang w:val="en-GB"/>
        </w:rPr>
        <w:t>online offerings would be the best option. Would customers who made a purchase online have the same loyalty as her current customer base? What would happen when these dancers were older and needed greater support in making dancewear choices?</w:t>
      </w:r>
    </w:p>
    <w:p w14:paraId="114912F4" w14:textId="77777777" w:rsidR="00DB7D99" w:rsidRPr="006D678A" w:rsidRDefault="00DB7D99" w:rsidP="00DB7D99">
      <w:pPr>
        <w:pStyle w:val="BodyTextMain"/>
        <w:rPr>
          <w:lang w:val="en-GB"/>
        </w:rPr>
      </w:pPr>
    </w:p>
    <w:p w14:paraId="3B68DFCD" w14:textId="06B2BD73" w:rsidR="00DB7D99" w:rsidRPr="006D678A" w:rsidRDefault="00DB7D99" w:rsidP="00DB7D99">
      <w:pPr>
        <w:pStyle w:val="BodyTextMain"/>
        <w:rPr>
          <w:lang w:val="en-GB"/>
        </w:rPr>
      </w:pPr>
      <w:r w:rsidRPr="006D678A">
        <w:rPr>
          <w:lang w:val="en-GB"/>
        </w:rPr>
        <w:t xml:space="preserve">Cameron estimated that next year’s online sales would be about 20 per cent greater than 2019 and </w:t>
      </w:r>
      <w:r w:rsidR="00F505A1">
        <w:rPr>
          <w:lang w:val="en-GB"/>
        </w:rPr>
        <w:t xml:space="preserve">that </w:t>
      </w:r>
      <w:r w:rsidRPr="006D678A">
        <w:rPr>
          <w:lang w:val="en-GB"/>
        </w:rPr>
        <w:t>in-store sales would remain the same. With increased online sales</w:t>
      </w:r>
      <w:r w:rsidR="005B3411">
        <w:rPr>
          <w:lang w:val="en-GB"/>
        </w:rPr>
        <w:t>,</w:t>
      </w:r>
      <w:r w:rsidRPr="006D678A">
        <w:rPr>
          <w:lang w:val="en-GB"/>
        </w:rPr>
        <w:t xml:space="preserve"> Canada Post would provide </w:t>
      </w:r>
      <w:r w:rsidR="005B3411">
        <w:rPr>
          <w:lang w:val="en-GB"/>
        </w:rPr>
        <w:t>LDS</w:t>
      </w:r>
      <w:r w:rsidRPr="006D678A">
        <w:rPr>
          <w:lang w:val="en-GB"/>
        </w:rPr>
        <w:t xml:space="preserve"> with a discount on shipping rates. As a result, she expected courier and postage fees to decrease to 1.5 per cent of online sales. The </w:t>
      </w:r>
      <w:r w:rsidR="005B3411">
        <w:rPr>
          <w:lang w:val="en-GB"/>
        </w:rPr>
        <w:t>merchant and services fees</w:t>
      </w:r>
      <w:r w:rsidR="002574D3">
        <w:rPr>
          <w:lang w:val="en-GB"/>
        </w:rPr>
        <w:t xml:space="preserve"> account</w:t>
      </w:r>
      <w:r w:rsidRPr="006D678A">
        <w:rPr>
          <w:lang w:val="en-GB"/>
        </w:rPr>
        <w:t xml:space="preserve"> and</w:t>
      </w:r>
      <w:r w:rsidR="002574D3">
        <w:rPr>
          <w:lang w:val="en-GB"/>
        </w:rPr>
        <w:t xml:space="preserve"> the</w:t>
      </w:r>
      <w:r w:rsidRPr="006D678A">
        <w:rPr>
          <w:lang w:val="en-GB"/>
        </w:rPr>
        <w:t xml:space="preserve"> </w:t>
      </w:r>
      <w:r w:rsidR="002574D3">
        <w:rPr>
          <w:lang w:val="en-GB"/>
        </w:rPr>
        <w:t>wages</w:t>
      </w:r>
      <w:r w:rsidRPr="006D678A">
        <w:rPr>
          <w:lang w:val="en-GB"/>
        </w:rPr>
        <w:t xml:space="preserve"> </w:t>
      </w:r>
      <w:r w:rsidR="002574D3">
        <w:rPr>
          <w:lang w:val="en-GB"/>
        </w:rPr>
        <w:t>account</w:t>
      </w:r>
      <w:r w:rsidR="002574D3" w:rsidRPr="006D678A">
        <w:rPr>
          <w:lang w:val="en-GB"/>
        </w:rPr>
        <w:t xml:space="preserve"> </w:t>
      </w:r>
      <w:r w:rsidRPr="006D678A">
        <w:rPr>
          <w:lang w:val="en-GB"/>
        </w:rPr>
        <w:t xml:space="preserve">were projected to remain at the same percentage of sales. </w:t>
      </w:r>
      <w:r w:rsidR="00CD0A39" w:rsidRPr="00CD0A39">
        <w:rPr>
          <w:lang w:val="en-GB"/>
        </w:rPr>
        <w:t>Cameron expected all other operating expenses to remain at the same dollar amount or proportion of total revenue as 2019 (see Exhibits 2, 3, and 4).</w:t>
      </w:r>
    </w:p>
    <w:p w14:paraId="415E880D" w14:textId="77777777" w:rsidR="00DB7D99" w:rsidRPr="006D678A" w:rsidRDefault="00DB7D99" w:rsidP="00DB7D99">
      <w:pPr>
        <w:pStyle w:val="BodyTextMain"/>
        <w:rPr>
          <w:lang w:val="en-GB"/>
        </w:rPr>
      </w:pPr>
    </w:p>
    <w:p w14:paraId="629626A0" w14:textId="77777777" w:rsidR="00DB7D99" w:rsidRPr="006D678A" w:rsidRDefault="00DB7D99" w:rsidP="00DB7D99">
      <w:pPr>
        <w:pStyle w:val="BodyTextMain"/>
        <w:rPr>
          <w:lang w:val="en-GB"/>
        </w:rPr>
      </w:pPr>
    </w:p>
    <w:p w14:paraId="3554A20A" w14:textId="77777777" w:rsidR="00DB7D99" w:rsidRPr="006D678A" w:rsidRDefault="00DB7D99" w:rsidP="00DB7D99">
      <w:pPr>
        <w:pStyle w:val="Casehead2"/>
        <w:rPr>
          <w:lang w:val="en-GB"/>
        </w:rPr>
      </w:pPr>
      <w:r w:rsidRPr="006D678A">
        <w:rPr>
          <w:lang w:val="en-GB"/>
        </w:rPr>
        <w:t>Return to Wortley Village</w:t>
      </w:r>
    </w:p>
    <w:p w14:paraId="0AD93247" w14:textId="77777777" w:rsidR="00DB7D99" w:rsidRPr="006D678A" w:rsidRDefault="00DB7D99" w:rsidP="00DB7D99">
      <w:pPr>
        <w:pStyle w:val="BodyTextMain"/>
        <w:rPr>
          <w:lang w:val="en-GB"/>
        </w:rPr>
      </w:pPr>
    </w:p>
    <w:p w14:paraId="496A7CB3" w14:textId="2AC08AB4" w:rsidR="00DB7D99" w:rsidRPr="006D678A" w:rsidRDefault="00DB7D99" w:rsidP="00DB7D99">
      <w:pPr>
        <w:pStyle w:val="BodyTextMain"/>
        <w:rPr>
          <w:lang w:val="en-GB"/>
        </w:rPr>
      </w:pPr>
      <w:r w:rsidRPr="006D678A">
        <w:rPr>
          <w:lang w:val="en-GB"/>
        </w:rPr>
        <w:t xml:space="preserve">Cameron also wondered whether the timing was right to move the </w:t>
      </w:r>
      <w:r w:rsidR="00A407FC">
        <w:rPr>
          <w:lang w:val="en-GB"/>
        </w:rPr>
        <w:t>shop</w:t>
      </w:r>
      <w:r w:rsidR="00A407FC" w:rsidRPr="006D678A">
        <w:rPr>
          <w:lang w:val="en-GB"/>
        </w:rPr>
        <w:t xml:space="preserve"> </w:t>
      </w:r>
      <w:r w:rsidRPr="006D678A">
        <w:rPr>
          <w:lang w:val="en-GB"/>
        </w:rPr>
        <w:t xml:space="preserve">back to Wortley Village. She was fielding more and more requests for fitting appointments and simply did not have the space to accommodate all of her loyal customers at the current Maitland </w:t>
      </w:r>
      <w:r w:rsidR="00A407FC">
        <w:rPr>
          <w:lang w:val="en-GB"/>
        </w:rPr>
        <w:t xml:space="preserve">Street </w:t>
      </w:r>
      <w:r w:rsidRPr="006D678A">
        <w:rPr>
          <w:lang w:val="en-GB"/>
        </w:rPr>
        <w:t>location.</w:t>
      </w:r>
    </w:p>
    <w:p w14:paraId="153EADA1" w14:textId="77777777" w:rsidR="00DB7D99" w:rsidRPr="006D678A" w:rsidRDefault="00DB7D99" w:rsidP="00DB7D99">
      <w:pPr>
        <w:pStyle w:val="BodyTextMain"/>
        <w:rPr>
          <w:lang w:val="en-GB"/>
        </w:rPr>
      </w:pPr>
    </w:p>
    <w:p w14:paraId="2097C1B9" w14:textId="4536F722" w:rsidR="00DB7D99" w:rsidRPr="00AC6AD9" w:rsidRDefault="00DB7D99" w:rsidP="00DB7D99">
      <w:pPr>
        <w:pStyle w:val="BodyTextMain"/>
        <w:rPr>
          <w:spacing w:val="-4"/>
          <w:kern w:val="22"/>
          <w:lang w:val="en-GB"/>
        </w:rPr>
      </w:pPr>
      <w:r w:rsidRPr="00AC6AD9">
        <w:rPr>
          <w:spacing w:val="-4"/>
          <w:kern w:val="22"/>
          <w:lang w:val="en-GB"/>
        </w:rPr>
        <w:t xml:space="preserve">A </w:t>
      </w:r>
      <w:r w:rsidR="00A407FC" w:rsidRPr="00AC6AD9">
        <w:rPr>
          <w:spacing w:val="-4"/>
          <w:kern w:val="22"/>
          <w:lang w:val="en-GB"/>
        </w:rPr>
        <w:t>1,200-square-foot</w:t>
      </w:r>
      <w:r w:rsidRPr="00AC6AD9">
        <w:rPr>
          <w:spacing w:val="-4"/>
          <w:kern w:val="22"/>
          <w:lang w:val="en-GB"/>
        </w:rPr>
        <w:t xml:space="preserve"> space had become available across the street from </w:t>
      </w:r>
      <w:r w:rsidR="00A407FC" w:rsidRPr="00AC6AD9">
        <w:rPr>
          <w:spacing w:val="-4"/>
          <w:kern w:val="22"/>
          <w:lang w:val="en-GB"/>
        </w:rPr>
        <w:t>LDS’s</w:t>
      </w:r>
      <w:r w:rsidRPr="00AC6AD9">
        <w:rPr>
          <w:spacing w:val="-4"/>
          <w:kern w:val="22"/>
          <w:lang w:val="en-GB"/>
        </w:rPr>
        <w:t xml:space="preserve"> previous location in the heart of Wortley Village. Wortley </w:t>
      </w:r>
      <w:r w:rsidR="00EE4E98" w:rsidRPr="00AC6AD9">
        <w:rPr>
          <w:spacing w:val="-4"/>
          <w:kern w:val="22"/>
          <w:lang w:val="en-GB"/>
        </w:rPr>
        <w:t xml:space="preserve">Village </w:t>
      </w:r>
      <w:r w:rsidRPr="00AC6AD9">
        <w:rPr>
          <w:spacing w:val="-4"/>
          <w:kern w:val="22"/>
          <w:lang w:val="en-GB"/>
        </w:rPr>
        <w:t>was the centre of London’s Old South neighbourhood and was voted Canada’s best neighbourhood in 2013.</w:t>
      </w:r>
      <w:r w:rsidRPr="00AC6AD9">
        <w:rPr>
          <w:rStyle w:val="FootnoteReference"/>
          <w:spacing w:val="-4"/>
          <w:kern w:val="22"/>
          <w:lang w:val="en-GB"/>
        </w:rPr>
        <w:footnoteReference w:id="12"/>
      </w:r>
      <w:r w:rsidRPr="00AC6AD9">
        <w:rPr>
          <w:spacing w:val="-4"/>
          <w:kern w:val="22"/>
          <w:lang w:val="en-GB"/>
        </w:rPr>
        <w:t xml:space="preserve"> Home to many </w:t>
      </w:r>
      <w:r w:rsidR="00814134" w:rsidRPr="00AC6AD9">
        <w:rPr>
          <w:spacing w:val="-4"/>
          <w:kern w:val="22"/>
        </w:rPr>
        <w:t>café</w:t>
      </w:r>
      <w:r w:rsidR="00EE4E98" w:rsidRPr="00AC6AD9">
        <w:rPr>
          <w:spacing w:val="-4"/>
          <w:kern w:val="22"/>
          <w:lang w:val="en-GB"/>
        </w:rPr>
        <w:t>s</w:t>
      </w:r>
      <w:r w:rsidRPr="00AC6AD9">
        <w:rPr>
          <w:spacing w:val="-4"/>
          <w:kern w:val="22"/>
          <w:lang w:val="en-GB"/>
        </w:rPr>
        <w:t>, boutiques</w:t>
      </w:r>
      <w:r w:rsidR="00EE4E98" w:rsidRPr="00AC6AD9">
        <w:rPr>
          <w:spacing w:val="-4"/>
          <w:kern w:val="22"/>
          <w:lang w:val="en-GB"/>
        </w:rPr>
        <w:t>,</w:t>
      </w:r>
      <w:r w:rsidRPr="00AC6AD9">
        <w:rPr>
          <w:spacing w:val="-4"/>
          <w:kern w:val="22"/>
          <w:lang w:val="en-GB"/>
        </w:rPr>
        <w:t xml:space="preserve"> and art studios, Wortley </w:t>
      </w:r>
      <w:r w:rsidR="00EE4E98" w:rsidRPr="00AC6AD9">
        <w:rPr>
          <w:spacing w:val="-4"/>
          <w:kern w:val="22"/>
          <w:lang w:val="en-GB"/>
        </w:rPr>
        <w:t xml:space="preserve">Village </w:t>
      </w:r>
      <w:r w:rsidRPr="00AC6AD9">
        <w:rPr>
          <w:spacing w:val="-4"/>
          <w:kern w:val="22"/>
          <w:lang w:val="en-GB"/>
        </w:rPr>
        <w:t xml:space="preserve">was an affluent neighbourhood and a popular place for families to wander on lazy Saturday </w:t>
      </w:r>
      <w:r w:rsidR="00EE4E98" w:rsidRPr="00AC6AD9">
        <w:rPr>
          <w:spacing w:val="-4"/>
          <w:kern w:val="22"/>
          <w:lang w:val="en-GB"/>
        </w:rPr>
        <w:t>afternoons</w:t>
      </w:r>
      <w:r w:rsidRPr="00AC6AD9">
        <w:rPr>
          <w:spacing w:val="-4"/>
          <w:kern w:val="22"/>
          <w:lang w:val="en-GB"/>
        </w:rPr>
        <w:t xml:space="preserve">. The </w:t>
      </w:r>
      <w:r w:rsidR="00EE4E98" w:rsidRPr="00AC6AD9">
        <w:rPr>
          <w:spacing w:val="-4"/>
          <w:kern w:val="22"/>
          <w:lang w:val="en-GB"/>
        </w:rPr>
        <w:t xml:space="preserve">prospective </w:t>
      </w:r>
      <w:r w:rsidRPr="00AC6AD9">
        <w:rPr>
          <w:spacing w:val="-4"/>
          <w:kern w:val="22"/>
          <w:lang w:val="en-GB"/>
        </w:rPr>
        <w:t xml:space="preserve">storefront was in the centre of the village between a small art studio and </w:t>
      </w:r>
      <w:r w:rsidR="00192711" w:rsidRPr="00AC6AD9">
        <w:rPr>
          <w:spacing w:val="-4"/>
          <w:kern w:val="22"/>
          <w:lang w:val="en-GB"/>
        </w:rPr>
        <w:t>the</w:t>
      </w:r>
      <w:r w:rsidR="00EE4E98" w:rsidRPr="00AC6AD9">
        <w:rPr>
          <w:spacing w:val="-4"/>
          <w:kern w:val="22"/>
          <w:lang w:val="en-GB"/>
        </w:rPr>
        <w:t xml:space="preserve"> </w:t>
      </w:r>
      <w:r w:rsidRPr="00AC6AD9">
        <w:rPr>
          <w:spacing w:val="-4"/>
          <w:kern w:val="22"/>
          <w:lang w:val="en-GB"/>
        </w:rPr>
        <w:t xml:space="preserve">popular </w:t>
      </w:r>
      <w:proofErr w:type="spellStart"/>
      <w:r w:rsidRPr="00AC6AD9">
        <w:rPr>
          <w:spacing w:val="-4"/>
          <w:kern w:val="22"/>
          <w:lang w:val="en-GB"/>
        </w:rPr>
        <w:t>Sidetrack</w:t>
      </w:r>
      <w:proofErr w:type="spellEnd"/>
      <w:r w:rsidRPr="00AC6AD9">
        <w:rPr>
          <w:spacing w:val="-4"/>
          <w:kern w:val="22"/>
          <w:lang w:val="en-GB"/>
        </w:rPr>
        <w:t xml:space="preserve"> Café.</w:t>
      </w:r>
    </w:p>
    <w:p w14:paraId="78EF8D93" w14:textId="77777777" w:rsidR="00DB7D99" w:rsidRPr="006D678A" w:rsidRDefault="00DB7D99" w:rsidP="00DB7D99">
      <w:pPr>
        <w:pStyle w:val="BodyTextMain"/>
        <w:rPr>
          <w:lang w:val="en-GB"/>
        </w:rPr>
      </w:pPr>
    </w:p>
    <w:p w14:paraId="19174986" w14:textId="4F054E1D" w:rsidR="00DB7D99" w:rsidRPr="006D678A" w:rsidRDefault="00DB7D99" w:rsidP="00DB7D99">
      <w:pPr>
        <w:pStyle w:val="BodyTextMain"/>
        <w:rPr>
          <w:lang w:val="en-GB"/>
        </w:rPr>
      </w:pPr>
      <w:r w:rsidRPr="006D678A">
        <w:rPr>
          <w:lang w:val="en-GB"/>
        </w:rPr>
        <w:t xml:space="preserve">The new Wortley </w:t>
      </w:r>
      <w:r w:rsidR="00E26402">
        <w:rPr>
          <w:lang w:val="en-GB"/>
        </w:rPr>
        <w:t xml:space="preserve">Village </w:t>
      </w:r>
      <w:r w:rsidRPr="006D678A">
        <w:rPr>
          <w:lang w:val="en-GB"/>
        </w:rPr>
        <w:t xml:space="preserve">space included a retail space and a front office. The </w:t>
      </w:r>
      <w:r w:rsidR="00E4271E">
        <w:rPr>
          <w:lang w:val="en-GB"/>
        </w:rPr>
        <w:t>five-year</w:t>
      </w:r>
      <w:r w:rsidRPr="006D678A">
        <w:rPr>
          <w:lang w:val="en-GB"/>
        </w:rPr>
        <w:t xml:space="preserve"> lease would have a monthly rent expense of $1,760</w:t>
      </w:r>
      <w:r w:rsidR="00816BD7">
        <w:rPr>
          <w:lang w:val="en-GB"/>
        </w:rPr>
        <w:t>,</w:t>
      </w:r>
      <w:r w:rsidRPr="006D678A">
        <w:rPr>
          <w:lang w:val="en-GB"/>
        </w:rPr>
        <w:t xml:space="preserve"> excluding common area maintenance (CAM)</w:t>
      </w:r>
      <w:r w:rsidR="00E4271E">
        <w:rPr>
          <w:lang w:val="en-GB"/>
        </w:rPr>
        <w:t xml:space="preserve"> </w:t>
      </w:r>
      <w:r w:rsidR="00E4271E" w:rsidRPr="006D678A">
        <w:rPr>
          <w:lang w:val="en-GB"/>
        </w:rPr>
        <w:t>fees</w:t>
      </w:r>
      <w:r w:rsidRPr="006D678A">
        <w:rPr>
          <w:lang w:val="en-GB"/>
        </w:rPr>
        <w:t xml:space="preserve">. Monthly CAM fees for the property would be $0.42 per square foot. This rent was significantly more than </w:t>
      </w:r>
      <w:r w:rsidR="00814134">
        <w:rPr>
          <w:lang w:val="en-GB"/>
        </w:rPr>
        <w:t>the</w:t>
      </w:r>
      <w:r w:rsidRPr="006D678A">
        <w:rPr>
          <w:lang w:val="en-GB"/>
        </w:rPr>
        <w:t xml:space="preserve"> current rent at the Maitland </w:t>
      </w:r>
      <w:r w:rsidR="007461C7">
        <w:rPr>
          <w:lang w:val="en-GB"/>
        </w:rPr>
        <w:t xml:space="preserve">Street </w:t>
      </w:r>
      <w:r w:rsidRPr="006D678A">
        <w:rPr>
          <w:lang w:val="en-GB"/>
        </w:rPr>
        <w:t>location</w:t>
      </w:r>
      <w:r w:rsidR="007461C7">
        <w:rPr>
          <w:lang w:val="en-GB"/>
        </w:rPr>
        <w:t>,</w:t>
      </w:r>
      <w:r w:rsidRPr="006D678A">
        <w:rPr>
          <w:lang w:val="en-GB"/>
        </w:rPr>
        <w:t xml:space="preserve"> but Cameron felt she would not need the small front office and thought she could sublet</w:t>
      </w:r>
      <w:r w:rsidR="007F1111" w:rsidRPr="006D678A">
        <w:rPr>
          <w:rStyle w:val="FootnoteReference"/>
          <w:lang w:val="en-GB"/>
        </w:rPr>
        <w:footnoteReference w:id="13"/>
      </w:r>
      <w:r w:rsidRPr="006D678A">
        <w:rPr>
          <w:lang w:val="en-GB"/>
        </w:rPr>
        <w:t xml:space="preserve"> </w:t>
      </w:r>
      <w:r w:rsidRPr="00586B0C">
        <w:rPr>
          <w:lang w:val="en-GB"/>
        </w:rPr>
        <w:t>t</w:t>
      </w:r>
      <w:r w:rsidRPr="006D678A">
        <w:rPr>
          <w:lang w:val="en-GB"/>
        </w:rPr>
        <w:t xml:space="preserve">he space for </w:t>
      </w:r>
      <w:r w:rsidR="007461C7">
        <w:rPr>
          <w:lang w:val="en-GB"/>
        </w:rPr>
        <w:t>about</w:t>
      </w:r>
      <w:r w:rsidR="007461C7" w:rsidRPr="006D678A">
        <w:rPr>
          <w:lang w:val="en-GB"/>
        </w:rPr>
        <w:t xml:space="preserve"> </w:t>
      </w:r>
      <w:r w:rsidRPr="006D678A">
        <w:rPr>
          <w:lang w:val="en-GB"/>
        </w:rPr>
        <w:t>$600 per month (including all fees).</w:t>
      </w:r>
      <w:r w:rsidR="008D4350">
        <w:rPr>
          <w:lang w:val="en-GB"/>
        </w:rPr>
        <w:t xml:space="preserve"> </w:t>
      </w:r>
      <w:r w:rsidRPr="006D678A">
        <w:rPr>
          <w:lang w:val="en-GB"/>
        </w:rPr>
        <w:t xml:space="preserve">Cameron </w:t>
      </w:r>
      <w:r w:rsidR="00D80506">
        <w:rPr>
          <w:lang w:val="en-GB"/>
        </w:rPr>
        <w:t>w</w:t>
      </w:r>
      <w:r w:rsidR="008D4350">
        <w:rPr>
          <w:lang w:val="en-GB"/>
        </w:rPr>
        <w:t>ould be</w:t>
      </w:r>
      <w:r w:rsidR="00D80506">
        <w:rPr>
          <w:lang w:val="en-GB"/>
        </w:rPr>
        <w:t xml:space="preserve"> able to</w:t>
      </w:r>
      <w:r w:rsidRPr="006D678A">
        <w:rPr>
          <w:lang w:val="en-GB"/>
        </w:rPr>
        <w:t xml:space="preserve"> cancel her current rental agreement on Maitland Street but would incur a one-time lease termination fee equal to two </w:t>
      </w:r>
      <w:r w:rsidR="00C63CB9">
        <w:rPr>
          <w:lang w:val="en-GB"/>
        </w:rPr>
        <w:t xml:space="preserve">months’ </w:t>
      </w:r>
      <w:r w:rsidRPr="006D678A">
        <w:rPr>
          <w:lang w:val="en-GB"/>
        </w:rPr>
        <w:t xml:space="preserve">rent at the Maitland </w:t>
      </w:r>
      <w:r w:rsidR="00033FE7">
        <w:rPr>
          <w:lang w:val="en-GB"/>
        </w:rPr>
        <w:t xml:space="preserve">Street </w:t>
      </w:r>
      <w:r w:rsidRPr="006D678A">
        <w:rPr>
          <w:lang w:val="en-GB"/>
        </w:rPr>
        <w:t>location.</w:t>
      </w:r>
    </w:p>
    <w:p w14:paraId="2D6C5CBE" w14:textId="77777777" w:rsidR="00DB7D99" w:rsidRPr="006D678A" w:rsidRDefault="00DB7D99" w:rsidP="00DB7D99">
      <w:pPr>
        <w:pStyle w:val="BodyTextMain"/>
        <w:rPr>
          <w:lang w:val="en-GB"/>
        </w:rPr>
      </w:pPr>
    </w:p>
    <w:p w14:paraId="312EAE4E" w14:textId="6DC39E78" w:rsidR="00DB7D99" w:rsidRPr="006D678A" w:rsidRDefault="00DB7D99" w:rsidP="00DB7D99">
      <w:pPr>
        <w:pStyle w:val="BodyTextMain"/>
        <w:rPr>
          <w:lang w:val="en-GB"/>
        </w:rPr>
      </w:pPr>
      <w:r w:rsidRPr="006D678A">
        <w:rPr>
          <w:lang w:val="en-GB"/>
        </w:rPr>
        <w:t xml:space="preserve">The new landlord was offering to pay one-time construction fees </w:t>
      </w:r>
      <w:r w:rsidR="00B33202">
        <w:rPr>
          <w:lang w:val="en-GB"/>
        </w:rPr>
        <w:t>for</w:t>
      </w:r>
      <w:r w:rsidR="00B33202" w:rsidRPr="006D678A">
        <w:rPr>
          <w:lang w:val="en-GB"/>
        </w:rPr>
        <w:t xml:space="preserve"> </w:t>
      </w:r>
      <w:r w:rsidRPr="006D678A">
        <w:rPr>
          <w:lang w:val="en-GB"/>
        </w:rPr>
        <w:t>adding new flooring and repainting the space</w:t>
      </w:r>
      <w:r w:rsidR="00B33202">
        <w:rPr>
          <w:lang w:val="en-GB"/>
        </w:rPr>
        <w:t>,</w:t>
      </w:r>
      <w:r w:rsidRPr="006D678A">
        <w:rPr>
          <w:lang w:val="en-GB"/>
        </w:rPr>
        <w:t xml:space="preserve"> at a total cost of $2,000. Cameron estimated that she would need to spend about $700 on a custom </w:t>
      </w:r>
      <w:r w:rsidR="00356D9F">
        <w:rPr>
          <w:lang w:val="en-GB"/>
        </w:rPr>
        <w:t>wall-mounted</w:t>
      </w:r>
      <w:r w:rsidR="00356D9F" w:rsidRPr="006D678A">
        <w:rPr>
          <w:lang w:val="en-GB"/>
        </w:rPr>
        <w:t xml:space="preserve"> </w:t>
      </w:r>
      <w:r w:rsidRPr="006D678A">
        <w:rPr>
          <w:lang w:val="en-GB"/>
        </w:rPr>
        <w:t>ballet barre and about $5,000 on other leasehold improvements such as shelves, racks</w:t>
      </w:r>
      <w:r w:rsidR="007D1A64">
        <w:rPr>
          <w:lang w:val="en-GB"/>
        </w:rPr>
        <w:t>,</w:t>
      </w:r>
      <w:r w:rsidRPr="006D678A">
        <w:rPr>
          <w:lang w:val="en-GB"/>
        </w:rPr>
        <w:t xml:space="preserve"> and other furniture.</w:t>
      </w:r>
      <w:r w:rsidRPr="006D678A">
        <w:rPr>
          <w:rStyle w:val="FootnoteReference"/>
          <w:lang w:val="en-GB"/>
        </w:rPr>
        <w:footnoteReference w:id="14"/>
      </w:r>
      <w:r w:rsidRPr="006D678A">
        <w:rPr>
          <w:lang w:val="en-GB"/>
        </w:rPr>
        <w:t xml:space="preserve"> She had just recently spent $400 on new artworks for the Maitland </w:t>
      </w:r>
      <w:r w:rsidR="00C75CB7">
        <w:rPr>
          <w:lang w:val="en-GB"/>
        </w:rPr>
        <w:t xml:space="preserve">Street </w:t>
      </w:r>
      <w:r w:rsidRPr="006D678A">
        <w:rPr>
          <w:lang w:val="en-GB"/>
        </w:rPr>
        <w:t xml:space="preserve">shop and thought that they would fit in the new location beautifully. Cameron planned to finance any investments by loaning personal funds to </w:t>
      </w:r>
      <w:r w:rsidR="00226076">
        <w:rPr>
          <w:lang w:val="en-GB"/>
        </w:rPr>
        <w:t>LDS</w:t>
      </w:r>
      <w:r w:rsidRPr="006D678A">
        <w:rPr>
          <w:lang w:val="en-GB"/>
        </w:rPr>
        <w:t>.</w:t>
      </w:r>
    </w:p>
    <w:p w14:paraId="66E1B289" w14:textId="77777777" w:rsidR="00DB7D99" w:rsidRPr="00AC6AD9" w:rsidRDefault="00DB7D99" w:rsidP="00DB7D99">
      <w:pPr>
        <w:pStyle w:val="BodyTextMain"/>
        <w:rPr>
          <w:sz w:val="14"/>
          <w:szCs w:val="14"/>
          <w:lang w:val="en-GB"/>
        </w:rPr>
      </w:pPr>
    </w:p>
    <w:p w14:paraId="7B8B278E" w14:textId="51FDE2E6" w:rsidR="00DB7D99" w:rsidRPr="004A6D71" w:rsidRDefault="00DB7D99" w:rsidP="00DB7D99">
      <w:pPr>
        <w:pStyle w:val="BodyTextMain"/>
        <w:rPr>
          <w:spacing w:val="-2"/>
          <w:lang w:val="en-GB"/>
        </w:rPr>
      </w:pPr>
      <w:r w:rsidRPr="004A6D71">
        <w:rPr>
          <w:spacing w:val="-2"/>
          <w:lang w:val="en-GB"/>
        </w:rPr>
        <w:t xml:space="preserve">As a direct result of the move, Cameron estimated that retail sales would grow 25 per cent compared to fiscal 2019 levels. </w:t>
      </w:r>
      <w:r w:rsidR="00CD0A39" w:rsidRPr="00CD0A39">
        <w:rPr>
          <w:spacing w:val="-2"/>
          <w:lang w:val="en-GB"/>
        </w:rPr>
        <w:t xml:space="preserve">As with the status quo option, </w:t>
      </w:r>
      <w:r w:rsidR="00CD0A39">
        <w:rPr>
          <w:spacing w:val="-2"/>
          <w:lang w:val="en-GB"/>
        </w:rPr>
        <w:t>o</w:t>
      </w:r>
      <w:r w:rsidRPr="004A6D71">
        <w:rPr>
          <w:spacing w:val="-2"/>
          <w:lang w:val="en-GB"/>
        </w:rPr>
        <w:t>nline sales were still expected to grow by 20 per cent if she moved to the new location. Cameron would also need to increase the number of hours worked by her store associates during the peak seasons at the proposed Wortley</w:t>
      </w:r>
      <w:r w:rsidR="0021441B" w:rsidRPr="004A6D71">
        <w:rPr>
          <w:spacing w:val="-2"/>
          <w:lang w:val="en-GB"/>
        </w:rPr>
        <w:t xml:space="preserve"> V</w:t>
      </w:r>
      <w:r w:rsidR="00DE7D65" w:rsidRPr="004A6D71">
        <w:rPr>
          <w:spacing w:val="-2"/>
          <w:lang w:val="en-GB"/>
        </w:rPr>
        <w:t>i</w:t>
      </w:r>
      <w:r w:rsidR="0021441B" w:rsidRPr="004A6D71">
        <w:rPr>
          <w:spacing w:val="-2"/>
          <w:lang w:val="en-GB"/>
        </w:rPr>
        <w:t>llage</w:t>
      </w:r>
      <w:r w:rsidRPr="004A6D71">
        <w:rPr>
          <w:spacing w:val="-2"/>
          <w:lang w:val="en-GB"/>
        </w:rPr>
        <w:t xml:space="preserve"> location. She estimated that the </w:t>
      </w:r>
      <w:r w:rsidR="00F014EB" w:rsidRPr="004A6D71">
        <w:rPr>
          <w:spacing w:val="-2"/>
          <w:lang w:val="en-GB"/>
        </w:rPr>
        <w:t xml:space="preserve">shop </w:t>
      </w:r>
      <w:r w:rsidRPr="004A6D71">
        <w:rPr>
          <w:spacing w:val="-2"/>
          <w:lang w:val="en-GB"/>
        </w:rPr>
        <w:t xml:space="preserve">would require </w:t>
      </w:r>
      <w:r w:rsidRPr="004A6D71">
        <w:rPr>
          <w:spacing w:val="-2"/>
          <w:lang w:val="en-GB"/>
        </w:rPr>
        <w:lastRenderedPageBreak/>
        <w:t xml:space="preserve">an additional 150 hours total to assist with fittings and customers. </w:t>
      </w:r>
      <w:r w:rsidR="001836D4" w:rsidRPr="004A6D71">
        <w:rPr>
          <w:spacing w:val="-2"/>
          <w:lang w:val="en-GB"/>
        </w:rPr>
        <w:t>LDS</w:t>
      </w:r>
      <w:r w:rsidRPr="004A6D71">
        <w:rPr>
          <w:spacing w:val="-2"/>
          <w:lang w:val="en-GB"/>
        </w:rPr>
        <w:t xml:space="preserve"> associates earned $17.50 per hour for any work performed.</w:t>
      </w:r>
    </w:p>
    <w:p w14:paraId="5F8F1FA6" w14:textId="19927B31" w:rsidR="00DB7D99" w:rsidRPr="006D678A" w:rsidRDefault="00DB7D99" w:rsidP="00DB7D99">
      <w:pPr>
        <w:pStyle w:val="BodyTextMain"/>
        <w:rPr>
          <w:lang w:val="en-GB"/>
        </w:rPr>
      </w:pPr>
      <w:r w:rsidRPr="006D678A">
        <w:rPr>
          <w:lang w:val="en-GB"/>
        </w:rPr>
        <w:t>The relocation was a lot of work</w:t>
      </w:r>
      <w:r w:rsidR="001836D4">
        <w:rPr>
          <w:lang w:val="en-GB"/>
        </w:rPr>
        <w:t>,</w:t>
      </w:r>
      <w:r w:rsidRPr="006D678A">
        <w:rPr>
          <w:lang w:val="en-GB"/>
        </w:rPr>
        <w:t xml:space="preserve"> but Cameron saw </w:t>
      </w:r>
      <w:r w:rsidR="001836D4">
        <w:rPr>
          <w:lang w:val="en-GB"/>
        </w:rPr>
        <w:t>it</w:t>
      </w:r>
      <w:r w:rsidR="001836D4" w:rsidRPr="006D678A">
        <w:rPr>
          <w:lang w:val="en-GB"/>
        </w:rPr>
        <w:t xml:space="preserve"> </w:t>
      </w:r>
      <w:r w:rsidRPr="006D678A">
        <w:rPr>
          <w:lang w:val="en-GB"/>
        </w:rPr>
        <w:t xml:space="preserve">as a </w:t>
      </w:r>
      <w:r w:rsidR="001836D4">
        <w:rPr>
          <w:lang w:val="en-GB"/>
        </w:rPr>
        <w:t>longer-term</w:t>
      </w:r>
      <w:r w:rsidRPr="006D678A">
        <w:rPr>
          <w:lang w:val="en-GB"/>
        </w:rPr>
        <w:t xml:space="preserve"> strategy for </w:t>
      </w:r>
      <w:r w:rsidR="00B84C3E">
        <w:rPr>
          <w:lang w:val="en-GB"/>
        </w:rPr>
        <w:t>LDS</w:t>
      </w:r>
      <w:r w:rsidRPr="006D678A">
        <w:rPr>
          <w:lang w:val="en-GB"/>
        </w:rPr>
        <w:t>. Still, she wondered if some of the upfront investments w</w:t>
      </w:r>
      <w:r w:rsidR="008D4350">
        <w:rPr>
          <w:lang w:val="en-GB"/>
        </w:rPr>
        <w:t>ould be</w:t>
      </w:r>
      <w:r w:rsidRPr="006D678A">
        <w:rPr>
          <w:lang w:val="en-GB"/>
        </w:rPr>
        <w:t xml:space="preserve"> worth it.</w:t>
      </w:r>
    </w:p>
    <w:p w14:paraId="10BE1127" w14:textId="77777777" w:rsidR="00DB7D99" w:rsidRPr="00586B0C" w:rsidRDefault="00DB7D99" w:rsidP="00DB7D99">
      <w:pPr>
        <w:pStyle w:val="BodyTextMain"/>
        <w:rPr>
          <w:lang w:val="en-GB"/>
        </w:rPr>
      </w:pPr>
    </w:p>
    <w:p w14:paraId="66A4C395" w14:textId="77777777" w:rsidR="00DB7D99" w:rsidRPr="006D678A" w:rsidRDefault="00DB7D99" w:rsidP="00DB7D99">
      <w:pPr>
        <w:pStyle w:val="BodyTextMain"/>
        <w:rPr>
          <w:lang w:val="en-GB"/>
        </w:rPr>
      </w:pPr>
    </w:p>
    <w:p w14:paraId="59F010BB" w14:textId="77777777" w:rsidR="00DB7D99" w:rsidRPr="006D678A" w:rsidRDefault="00DB7D99" w:rsidP="00DB7D99">
      <w:pPr>
        <w:pStyle w:val="Casehead2"/>
        <w:rPr>
          <w:lang w:val="en-GB"/>
        </w:rPr>
      </w:pPr>
      <w:r w:rsidRPr="006D678A">
        <w:rPr>
          <w:lang w:val="en-GB"/>
        </w:rPr>
        <w:t>Studio Catering Services Expansion</w:t>
      </w:r>
    </w:p>
    <w:p w14:paraId="69BEBB76" w14:textId="78A402D3" w:rsidR="00DB7D99" w:rsidRPr="006D678A" w:rsidRDefault="00DB7D99" w:rsidP="00DB7D99">
      <w:pPr>
        <w:pStyle w:val="BodyTextMain"/>
        <w:rPr>
          <w:lang w:val="en-GB"/>
        </w:rPr>
      </w:pPr>
    </w:p>
    <w:p w14:paraId="552A7C6D" w14:textId="36C469BD" w:rsidR="00DB7D99" w:rsidRPr="006D678A" w:rsidRDefault="00B763E7" w:rsidP="00DB7D99">
      <w:pPr>
        <w:pStyle w:val="BodyTextMain"/>
        <w:rPr>
          <w:lang w:val="en-GB"/>
        </w:rPr>
      </w:pPr>
      <w:r>
        <w:rPr>
          <w:lang w:val="en-GB"/>
        </w:rPr>
        <w:t>LDS</w:t>
      </w:r>
      <w:r w:rsidR="00DB7D99" w:rsidRPr="006D678A">
        <w:rPr>
          <w:lang w:val="en-GB"/>
        </w:rPr>
        <w:t xml:space="preserve"> had seen some success with </w:t>
      </w:r>
      <w:r>
        <w:rPr>
          <w:lang w:val="en-GB"/>
        </w:rPr>
        <w:t>its</w:t>
      </w:r>
      <w:r w:rsidRPr="006D678A">
        <w:rPr>
          <w:lang w:val="en-GB"/>
        </w:rPr>
        <w:t xml:space="preserve"> </w:t>
      </w:r>
      <w:r w:rsidR="00DB7D99" w:rsidRPr="006D678A">
        <w:rPr>
          <w:lang w:val="en-GB"/>
        </w:rPr>
        <w:t xml:space="preserve">current studio catering services. Dance studios in London would call </w:t>
      </w:r>
      <w:r w:rsidR="001F5682">
        <w:rPr>
          <w:lang w:val="en-GB"/>
        </w:rPr>
        <w:t>LDS</w:t>
      </w:r>
      <w:r w:rsidR="00DB7D99" w:rsidRPr="006D678A">
        <w:rPr>
          <w:lang w:val="en-GB"/>
        </w:rPr>
        <w:t xml:space="preserve"> and set up a fitting for their students. </w:t>
      </w:r>
      <w:r w:rsidR="001F5682">
        <w:rPr>
          <w:lang w:val="en-GB"/>
        </w:rPr>
        <w:t>LDS</w:t>
      </w:r>
      <w:r w:rsidR="00DB7D99" w:rsidRPr="006D678A">
        <w:rPr>
          <w:lang w:val="en-GB"/>
        </w:rPr>
        <w:t xml:space="preserve"> employees would go directly to the studio with a wide array of dancewear, dance shoes</w:t>
      </w:r>
      <w:r w:rsidR="001F5682">
        <w:rPr>
          <w:lang w:val="en-GB"/>
        </w:rPr>
        <w:t>,</w:t>
      </w:r>
      <w:r w:rsidR="00DB7D99" w:rsidRPr="006D678A">
        <w:rPr>
          <w:lang w:val="en-GB"/>
        </w:rPr>
        <w:t xml:space="preserve"> and accessories</w:t>
      </w:r>
      <w:r w:rsidR="001F5682">
        <w:rPr>
          <w:lang w:val="en-GB"/>
        </w:rPr>
        <w:t>, all</w:t>
      </w:r>
      <w:r w:rsidR="00DB7D99" w:rsidRPr="006D678A">
        <w:rPr>
          <w:lang w:val="en-GB"/>
        </w:rPr>
        <w:t xml:space="preserve"> in various sizes. Dancers would be fitted for all </w:t>
      </w:r>
      <w:r w:rsidR="006E0270">
        <w:rPr>
          <w:lang w:val="en-GB"/>
        </w:rPr>
        <w:t xml:space="preserve">of </w:t>
      </w:r>
      <w:r w:rsidR="00DB7D99" w:rsidRPr="006D678A">
        <w:rPr>
          <w:lang w:val="en-GB"/>
        </w:rPr>
        <w:t xml:space="preserve">their dancewear needs and </w:t>
      </w:r>
      <w:r w:rsidR="001F5682">
        <w:rPr>
          <w:lang w:val="en-GB"/>
        </w:rPr>
        <w:t xml:space="preserve">would </w:t>
      </w:r>
      <w:r w:rsidR="00DB7D99" w:rsidRPr="006D678A">
        <w:rPr>
          <w:lang w:val="en-GB"/>
        </w:rPr>
        <w:t>then prepay for all</w:t>
      </w:r>
      <w:r w:rsidR="001F5682">
        <w:rPr>
          <w:lang w:val="en-GB"/>
        </w:rPr>
        <w:t xml:space="preserve"> of</w:t>
      </w:r>
      <w:r w:rsidR="00DB7D99" w:rsidRPr="006D678A">
        <w:rPr>
          <w:lang w:val="en-GB"/>
        </w:rPr>
        <w:t xml:space="preserve"> their items. </w:t>
      </w:r>
      <w:r w:rsidR="007D17DE">
        <w:rPr>
          <w:lang w:val="en-GB"/>
        </w:rPr>
        <w:t>LDS</w:t>
      </w:r>
      <w:r w:rsidR="00DB7D99" w:rsidRPr="006D678A">
        <w:rPr>
          <w:lang w:val="en-GB"/>
        </w:rPr>
        <w:t xml:space="preserve"> would then order the items in and deliver them directly to the studio for the dancers.</w:t>
      </w:r>
    </w:p>
    <w:p w14:paraId="59F44447" w14:textId="77777777" w:rsidR="00DB7D99" w:rsidRPr="006D678A" w:rsidRDefault="00DB7D99" w:rsidP="00DB7D99">
      <w:pPr>
        <w:pStyle w:val="BodyTextMain"/>
        <w:rPr>
          <w:lang w:val="en-GB"/>
        </w:rPr>
      </w:pPr>
    </w:p>
    <w:p w14:paraId="0AEC3A1A" w14:textId="039AB20E" w:rsidR="00DB7D99" w:rsidRPr="00AC6AD9" w:rsidRDefault="00DB7D99" w:rsidP="00DB7D99">
      <w:pPr>
        <w:pStyle w:val="BodyTextMain"/>
        <w:rPr>
          <w:spacing w:val="-4"/>
          <w:kern w:val="22"/>
          <w:lang w:val="en-GB"/>
        </w:rPr>
      </w:pPr>
      <w:r w:rsidRPr="00AC6AD9">
        <w:rPr>
          <w:spacing w:val="-4"/>
          <w:kern w:val="22"/>
          <w:lang w:val="en-GB"/>
        </w:rPr>
        <w:t>In order to entice studio owners and dancers’ parents to utilize this service, Cameron typically offered items at a discounted price, lowering her average gross margin on studio catering sales to 37</w:t>
      </w:r>
      <w:r w:rsidR="007D17DE" w:rsidRPr="00AC6AD9">
        <w:rPr>
          <w:spacing w:val="-4"/>
          <w:kern w:val="22"/>
          <w:lang w:val="en-GB"/>
        </w:rPr>
        <w:t xml:space="preserve"> per cent</w:t>
      </w:r>
      <w:r w:rsidRPr="00AC6AD9">
        <w:rPr>
          <w:spacing w:val="-4"/>
          <w:kern w:val="22"/>
          <w:lang w:val="en-GB"/>
        </w:rPr>
        <w:t>.</w:t>
      </w:r>
      <w:r w:rsidRPr="00AC6AD9">
        <w:rPr>
          <w:color w:val="FF0000"/>
          <w:spacing w:val="-4"/>
          <w:kern w:val="22"/>
          <w:lang w:val="en-GB"/>
        </w:rPr>
        <w:t xml:space="preserve"> </w:t>
      </w:r>
      <w:r w:rsidRPr="00AC6AD9">
        <w:rPr>
          <w:spacing w:val="-4"/>
          <w:kern w:val="22"/>
          <w:lang w:val="en-GB"/>
        </w:rPr>
        <w:t xml:space="preserve">Despite the lower margins, Cameron loved this service for a number of reasons. First, it allowed each student to be </w:t>
      </w:r>
      <w:r w:rsidR="007D17DE" w:rsidRPr="00AC6AD9">
        <w:rPr>
          <w:spacing w:val="-4"/>
          <w:kern w:val="22"/>
          <w:lang w:val="en-GB"/>
        </w:rPr>
        <w:t>custom-fitted</w:t>
      </w:r>
      <w:r w:rsidRPr="00AC6AD9">
        <w:rPr>
          <w:spacing w:val="-4"/>
          <w:kern w:val="22"/>
          <w:lang w:val="en-GB"/>
        </w:rPr>
        <w:t xml:space="preserve"> </w:t>
      </w:r>
      <w:r w:rsidR="00E675B0" w:rsidRPr="00AC6AD9">
        <w:rPr>
          <w:spacing w:val="-4"/>
          <w:kern w:val="22"/>
          <w:lang w:val="en-GB"/>
        </w:rPr>
        <w:t xml:space="preserve">for their dancewear </w:t>
      </w:r>
      <w:r w:rsidRPr="00AC6AD9">
        <w:rPr>
          <w:spacing w:val="-4"/>
          <w:kern w:val="22"/>
          <w:lang w:val="en-GB"/>
        </w:rPr>
        <w:t xml:space="preserve">by knowledgeable employees. Catering services also helped </w:t>
      </w:r>
      <w:r w:rsidR="007D17DE" w:rsidRPr="00AC6AD9">
        <w:rPr>
          <w:spacing w:val="-4"/>
          <w:kern w:val="22"/>
          <w:lang w:val="en-GB"/>
        </w:rPr>
        <w:t>LDS</w:t>
      </w:r>
      <w:r w:rsidRPr="00AC6AD9">
        <w:rPr>
          <w:spacing w:val="-4"/>
          <w:kern w:val="22"/>
          <w:lang w:val="en-GB"/>
        </w:rPr>
        <w:t xml:space="preserve"> manage its inventory levels because Cameron only needed one shoe or item in each size as a sample. Finally, Cameron knew that this was often the first step </w:t>
      </w:r>
      <w:r w:rsidR="007D17DE" w:rsidRPr="00AC6AD9">
        <w:rPr>
          <w:spacing w:val="-4"/>
          <w:kern w:val="22"/>
          <w:lang w:val="en-GB"/>
        </w:rPr>
        <w:t xml:space="preserve">toward </w:t>
      </w:r>
      <w:r w:rsidRPr="00AC6AD9">
        <w:rPr>
          <w:spacing w:val="-4"/>
          <w:kern w:val="22"/>
          <w:lang w:val="en-GB"/>
        </w:rPr>
        <w:t xml:space="preserve">gaining new long-term, loyal customers. She frequently saw dancers come to the </w:t>
      </w:r>
      <w:r w:rsidR="007D17DE" w:rsidRPr="00AC6AD9">
        <w:rPr>
          <w:spacing w:val="-4"/>
          <w:kern w:val="22"/>
          <w:lang w:val="en-GB"/>
        </w:rPr>
        <w:t xml:space="preserve">shop </w:t>
      </w:r>
      <w:r w:rsidRPr="00AC6AD9">
        <w:rPr>
          <w:spacing w:val="-4"/>
          <w:kern w:val="22"/>
          <w:lang w:val="en-GB"/>
        </w:rPr>
        <w:t xml:space="preserve">for additional items after having made a purchase through the </w:t>
      </w:r>
      <w:r w:rsidR="007D17DE" w:rsidRPr="00AC6AD9">
        <w:rPr>
          <w:spacing w:val="-4"/>
          <w:kern w:val="22"/>
          <w:lang w:val="en-GB"/>
        </w:rPr>
        <w:t>studio catering service</w:t>
      </w:r>
      <w:r w:rsidRPr="00AC6AD9">
        <w:rPr>
          <w:spacing w:val="-4"/>
          <w:kern w:val="22"/>
          <w:lang w:val="en-GB"/>
        </w:rPr>
        <w:t>.</w:t>
      </w:r>
    </w:p>
    <w:p w14:paraId="237DB6E9" w14:textId="77777777" w:rsidR="00DB7D99" w:rsidRPr="006D678A" w:rsidRDefault="00DB7D99" w:rsidP="00DB7D99">
      <w:pPr>
        <w:pStyle w:val="BodyTextMain"/>
        <w:rPr>
          <w:lang w:val="en-GB"/>
        </w:rPr>
      </w:pPr>
    </w:p>
    <w:p w14:paraId="28DEDCB7" w14:textId="179AB2AE" w:rsidR="00DB7D99" w:rsidRPr="006D678A" w:rsidRDefault="00DB7D99" w:rsidP="00DB7D99">
      <w:pPr>
        <w:pStyle w:val="BodyTextMain"/>
        <w:rPr>
          <w:lang w:val="en-GB"/>
        </w:rPr>
      </w:pPr>
      <w:r w:rsidRPr="006D678A">
        <w:rPr>
          <w:lang w:val="en-GB"/>
        </w:rPr>
        <w:t>With this in mind, Cameron wondered if it might be time to expand this service outside of London and into the Oxford County region. Although there were many dance studios in the small towns surrounding London, there were not many dance stores.</w:t>
      </w:r>
    </w:p>
    <w:p w14:paraId="08C62AAE" w14:textId="77777777" w:rsidR="00DB7D99" w:rsidRPr="006D678A" w:rsidRDefault="00DB7D99" w:rsidP="00DB7D99">
      <w:pPr>
        <w:pStyle w:val="BodyTextMain"/>
        <w:rPr>
          <w:lang w:val="en-GB"/>
        </w:rPr>
      </w:pPr>
    </w:p>
    <w:p w14:paraId="356012A7" w14:textId="4980BCD3" w:rsidR="00DB7D99" w:rsidRPr="006D678A" w:rsidRDefault="00DB7D99" w:rsidP="00DB7D99">
      <w:pPr>
        <w:pStyle w:val="BodyTextMain"/>
        <w:rPr>
          <w:lang w:val="en-GB"/>
        </w:rPr>
      </w:pPr>
      <w:r w:rsidRPr="006D678A">
        <w:rPr>
          <w:lang w:val="en-GB"/>
        </w:rPr>
        <w:t>If she expanded this service offering, Cameron would target studios that were located an average 60 minute</w:t>
      </w:r>
      <w:r w:rsidR="00DF266F">
        <w:rPr>
          <w:lang w:val="en-GB"/>
        </w:rPr>
        <w:t>-drive</w:t>
      </w:r>
      <w:r w:rsidRPr="006D678A">
        <w:rPr>
          <w:lang w:val="en-GB"/>
        </w:rPr>
        <w:t xml:space="preserve"> outside of London. </w:t>
      </w:r>
      <w:r w:rsidR="00CD0A39" w:rsidRPr="00CD0A39">
        <w:rPr>
          <w:lang w:val="en-GB"/>
        </w:rPr>
        <w:t>Two associates would need to drive to the studio, and each associate would spend an average of</w:t>
      </w:r>
      <w:r w:rsidR="00CD0A39">
        <w:rPr>
          <w:lang w:val="en-GB"/>
        </w:rPr>
        <w:t xml:space="preserve"> 30 minutes fitting one student</w:t>
      </w:r>
      <w:r w:rsidR="007D17DE">
        <w:rPr>
          <w:lang w:val="en-GB"/>
        </w:rPr>
        <w:t>,</w:t>
      </w:r>
      <w:r w:rsidR="007D17DE" w:rsidRPr="006D678A">
        <w:rPr>
          <w:rStyle w:val="FootnoteReference"/>
          <w:lang w:val="en-GB"/>
        </w:rPr>
        <w:footnoteReference w:id="15"/>
      </w:r>
      <w:r w:rsidRPr="006D678A">
        <w:rPr>
          <w:lang w:val="en-GB"/>
        </w:rPr>
        <w:t xml:space="preserve"> and then drive back to London. After all of the dancewear had been ordered to the </w:t>
      </w:r>
      <w:r w:rsidR="007D17DE">
        <w:rPr>
          <w:lang w:val="en-GB"/>
        </w:rPr>
        <w:t>shop,</w:t>
      </w:r>
      <w:r w:rsidRPr="006D678A">
        <w:rPr>
          <w:lang w:val="en-GB"/>
        </w:rPr>
        <w:t xml:space="preserve"> one associate would need to drive another round trip to the studio to deliver the items. Gas and vehicle costs for each round trip were estimated at $100.</w:t>
      </w:r>
    </w:p>
    <w:p w14:paraId="41B86869" w14:textId="77777777" w:rsidR="00DB7D99" w:rsidRPr="006D678A" w:rsidRDefault="00DB7D99" w:rsidP="00DB7D99">
      <w:pPr>
        <w:pStyle w:val="BodyTextMain"/>
        <w:rPr>
          <w:lang w:val="en-GB"/>
        </w:rPr>
      </w:pPr>
      <w:bookmarkStart w:id="0" w:name="_GoBack"/>
      <w:bookmarkEnd w:id="0"/>
    </w:p>
    <w:p w14:paraId="5A8A5285" w14:textId="1BC8D04A" w:rsidR="00DB7D99" w:rsidRPr="006D678A" w:rsidRDefault="00DB7D99" w:rsidP="00DB7D99">
      <w:pPr>
        <w:pStyle w:val="BodyTextMain"/>
        <w:rPr>
          <w:lang w:val="en-GB"/>
        </w:rPr>
      </w:pPr>
      <w:r w:rsidRPr="006D678A">
        <w:rPr>
          <w:lang w:val="en-GB"/>
        </w:rPr>
        <w:t>A dancer typically spent</w:t>
      </w:r>
      <w:r w:rsidR="00DF266F">
        <w:rPr>
          <w:lang w:val="en-GB"/>
        </w:rPr>
        <w:t xml:space="preserve"> a</w:t>
      </w:r>
      <w:r w:rsidRPr="006D678A">
        <w:rPr>
          <w:lang w:val="en-GB"/>
        </w:rPr>
        <w:t>n average</w:t>
      </w:r>
      <w:r w:rsidR="00DF266F">
        <w:rPr>
          <w:lang w:val="en-GB"/>
        </w:rPr>
        <w:t xml:space="preserve"> of</w:t>
      </w:r>
      <w:r w:rsidRPr="006D678A">
        <w:rPr>
          <w:lang w:val="en-GB"/>
        </w:rPr>
        <w:t xml:space="preserve"> $105 at a studio catering appointment</w:t>
      </w:r>
      <w:r w:rsidR="007D17DE">
        <w:rPr>
          <w:lang w:val="en-GB"/>
        </w:rPr>
        <w:t>,</w:t>
      </w:r>
      <w:r w:rsidRPr="006D678A">
        <w:rPr>
          <w:lang w:val="en-GB"/>
        </w:rPr>
        <w:t xml:space="preserve"> and Cameron wondered how many dancers the target studios would need to have to make this option financially feasible. Between the work it took to coordinate the studio catering service and the potential for sales cannibalization, Cameron wanted to earn at least $400 of profit per catering day.</w:t>
      </w:r>
    </w:p>
    <w:p w14:paraId="078C9202" w14:textId="77777777" w:rsidR="00DB7D99" w:rsidRPr="006D678A" w:rsidRDefault="00DB7D99" w:rsidP="00DB7D99">
      <w:pPr>
        <w:pStyle w:val="BodyTextMain"/>
        <w:rPr>
          <w:lang w:val="en-GB"/>
        </w:rPr>
      </w:pPr>
    </w:p>
    <w:p w14:paraId="36CA1A76" w14:textId="77777777" w:rsidR="00DB7D99" w:rsidRPr="006D678A" w:rsidRDefault="00DB7D99" w:rsidP="00DB7D99">
      <w:pPr>
        <w:pStyle w:val="BodyTextMain"/>
        <w:rPr>
          <w:lang w:val="en-GB"/>
        </w:rPr>
      </w:pPr>
    </w:p>
    <w:p w14:paraId="02660281" w14:textId="77777777" w:rsidR="00DB7D99" w:rsidRPr="006D678A" w:rsidRDefault="00DB7D99" w:rsidP="00DB7D99">
      <w:pPr>
        <w:pStyle w:val="Casehead2"/>
        <w:rPr>
          <w:lang w:val="en-GB"/>
        </w:rPr>
      </w:pPr>
      <w:r w:rsidRPr="006D678A">
        <w:rPr>
          <w:lang w:val="en-GB"/>
        </w:rPr>
        <w:t>Partner Buyout</w:t>
      </w:r>
    </w:p>
    <w:p w14:paraId="1E7AB5FA" w14:textId="77777777" w:rsidR="00DB7D99" w:rsidRPr="00AC6AD9" w:rsidRDefault="00DB7D99" w:rsidP="00DB7D99">
      <w:pPr>
        <w:pStyle w:val="BodyTextMain"/>
        <w:rPr>
          <w:sz w:val="14"/>
          <w:szCs w:val="14"/>
          <w:lang w:val="en-GB"/>
        </w:rPr>
      </w:pPr>
    </w:p>
    <w:p w14:paraId="64A40A9E" w14:textId="1B35EF31" w:rsidR="00DB7D99" w:rsidRPr="006D678A" w:rsidRDefault="00DB7D99" w:rsidP="00DB7D99">
      <w:pPr>
        <w:pStyle w:val="BodyTextMain"/>
        <w:rPr>
          <w:lang w:val="en-GB"/>
        </w:rPr>
      </w:pPr>
      <w:r w:rsidRPr="006D678A">
        <w:rPr>
          <w:lang w:val="en-GB"/>
        </w:rPr>
        <w:t xml:space="preserve">When Cameron started working for </w:t>
      </w:r>
      <w:r w:rsidR="007D17DE">
        <w:rPr>
          <w:lang w:val="en-GB"/>
        </w:rPr>
        <w:t>LDS</w:t>
      </w:r>
      <w:r w:rsidRPr="006D678A">
        <w:rPr>
          <w:lang w:val="en-GB"/>
        </w:rPr>
        <w:t xml:space="preserve"> </w:t>
      </w:r>
      <w:r w:rsidR="007D17DE">
        <w:rPr>
          <w:lang w:val="en-GB"/>
        </w:rPr>
        <w:t>10</w:t>
      </w:r>
      <w:r w:rsidRPr="006D678A">
        <w:rPr>
          <w:lang w:val="en-GB"/>
        </w:rPr>
        <w:t xml:space="preserve"> years ago, she never imagined owning 50 per cent of the business, let alone owning it in its entirety. Still, the more she worked to grow </w:t>
      </w:r>
      <w:r w:rsidR="007D17DE">
        <w:rPr>
          <w:lang w:val="en-GB"/>
        </w:rPr>
        <w:t>LDS</w:t>
      </w:r>
      <w:r w:rsidRPr="006D678A">
        <w:rPr>
          <w:lang w:val="en-GB"/>
        </w:rPr>
        <w:t xml:space="preserve">, the clearer it became that she and Morales had different visions for the </w:t>
      </w:r>
      <w:r w:rsidR="007D17DE">
        <w:rPr>
          <w:lang w:val="en-GB"/>
        </w:rPr>
        <w:t>shop’s</w:t>
      </w:r>
      <w:r w:rsidR="007D17DE" w:rsidRPr="006D678A">
        <w:rPr>
          <w:lang w:val="en-GB"/>
        </w:rPr>
        <w:t xml:space="preserve"> </w:t>
      </w:r>
      <w:r w:rsidRPr="006D678A">
        <w:rPr>
          <w:lang w:val="en-GB"/>
        </w:rPr>
        <w:t>future. Morales held great relationships with the local studio owners</w:t>
      </w:r>
      <w:r w:rsidR="007D17DE">
        <w:rPr>
          <w:lang w:val="en-GB"/>
        </w:rPr>
        <w:t>,</w:t>
      </w:r>
      <w:r w:rsidRPr="006D678A">
        <w:rPr>
          <w:lang w:val="en-GB"/>
        </w:rPr>
        <w:t xml:space="preserve"> but all of the aforementioned options were Cameron’s ideas</w:t>
      </w:r>
      <w:r w:rsidR="007D17DE">
        <w:rPr>
          <w:lang w:val="en-GB"/>
        </w:rPr>
        <w:t xml:space="preserve">, </w:t>
      </w:r>
      <w:r w:rsidRPr="006D678A">
        <w:rPr>
          <w:lang w:val="en-GB"/>
        </w:rPr>
        <w:t xml:space="preserve">and she knew that she would be </w:t>
      </w:r>
      <w:r w:rsidR="007D17DE">
        <w:rPr>
          <w:lang w:val="en-GB"/>
        </w:rPr>
        <w:t>hard pressed</w:t>
      </w:r>
      <w:r w:rsidRPr="006D678A">
        <w:rPr>
          <w:lang w:val="en-GB"/>
        </w:rPr>
        <w:t xml:space="preserve"> to convince Morales to make any major strategic investment or time commitment.</w:t>
      </w:r>
    </w:p>
    <w:p w14:paraId="0438353B" w14:textId="77777777" w:rsidR="00DB7D99" w:rsidRPr="00AC6AD9" w:rsidRDefault="00DB7D99" w:rsidP="00DB7D99">
      <w:pPr>
        <w:pStyle w:val="BodyTextMain"/>
        <w:rPr>
          <w:sz w:val="14"/>
          <w:szCs w:val="14"/>
          <w:lang w:val="en-GB"/>
        </w:rPr>
      </w:pPr>
    </w:p>
    <w:p w14:paraId="7B5EC623" w14:textId="7F25F3A1" w:rsidR="00DB7D99" w:rsidRPr="006D678A" w:rsidRDefault="00DB7D99" w:rsidP="00DB7D99">
      <w:pPr>
        <w:pStyle w:val="BodyTextMain"/>
        <w:rPr>
          <w:lang w:val="en-GB"/>
        </w:rPr>
      </w:pPr>
      <w:r w:rsidRPr="006D678A">
        <w:rPr>
          <w:lang w:val="en-GB"/>
        </w:rPr>
        <w:t>Over the last few months</w:t>
      </w:r>
      <w:r w:rsidR="00EF7E60">
        <w:rPr>
          <w:lang w:val="en-GB"/>
        </w:rPr>
        <w:t>,</w:t>
      </w:r>
      <w:r w:rsidRPr="006D678A">
        <w:rPr>
          <w:lang w:val="en-GB"/>
        </w:rPr>
        <w:t xml:space="preserve"> Cameron had committed many extra hours to improving the online platform, inventory management, and reputation of</w:t>
      </w:r>
      <w:r w:rsidR="00920180">
        <w:rPr>
          <w:lang w:val="en-GB"/>
        </w:rPr>
        <w:t xml:space="preserve"> LDS</w:t>
      </w:r>
      <w:r w:rsidRPr="006D678A">
        <w:rPr>
          <w:lang w:val="en-GB"/>
        </w:rPr>
        <w:t xml:space="preserve">. Morales had plans to sell her share in the business in the </w:t>
      </w:r>
      <w:r w:rsidRPr="006D678A">
        <w:rPr>
          <w:lang w:val="en-GB"/>
        </w:rPr>
        <w:lastRenderedPageBreak/>
        <w:t>next five years</w:t>
      </w:r>
      <w:r w:rsidR="00E675B0">
        <w:rPr>
          <w:lang w:val="en-GB"/>
        </w:rPr>
        <w:t>; as such,</w:t>
      </w:r>
      <w:r w:rsidRPr="006D678A">
        <w:rPr>
          <w:lang w:val="en-GB"/>
        </w:rPr>
        <w:t xml:space="preserve"> she was somewhat less interested in these longer-term strategic initiatives. Cameron wondered whether it made sense to try to buy her out now, before implementing any of her other big ideas.</w:t>
      </w:r>
    </w:p>
    <w:p w14:paraId="3476D24F" w14:textId="6E00569B" w:rsidR="00DB7D99" w:rsidRPr="00AC6AD9" w:rsidRDefault="00DB7D99" w:rsidP="00DB7D99">
      <w:pPr>
        <w:pStyle w:val="BodyTextMain"/>
        <w:rPr>
          <w:spacing w:val="-4"/>
          <w:kern w:val="22"/>
          <w:lang w:val="en-GB"/>
        </w:rPr>
      </w:pPr>
      <w:r w:rsidRPr="00AC6AD9">
        <w:rPr>
          <w:spacing w:val="-4"/>
          <w:kern w:val="22"/>
          <w:lang w:val="en-GB"/>
        </w:rPr>
        <w:t xml:space="preserve">Cameron would need to buy out her partner for 50 per cent of </w:t>
      </w:r>
      <w:r w:rsidR="00920180" w:rsidRPr="00AC6AD9">
        <w:rPr>
          <w:spacing w:val="-4"/>
          <w:kern w:val="22"/>
          <w:lang w:val="en-GB"/>
        </w:rPr>
        <w:t>LDS’s</w:t>
      </w:r>
      <w:r w:rsidRPr="00AC6AD9">
        <w:rPr>
          <w:spacing w:val="-4"/>
          <w:kern w:val="22"/>
          <w:lang w:val="en-GB"/>
        </w:rPr>
        <w:t xml:space="preserve"> value. She believed </w:t>
      </w:r>
      <w:r w:rsidR="00DA7CE6" w:rsidRPr="00AC6AD9">
        <w:rPr>
          <w:spacing w:val="-4"/>
          <w:kern w:val="22"/>
          <w:lang w:val="en-GB"/>
        </w:rPr>
        <w:t>that she could</w:t>
      </w:r>
      <w:r w:rsidRPr="00AC6AD9">
        <w:rPr>
          <w:spacing w:val="-4"/>
          <w:kern w:val="22"/>
          <w:lang w:val="en-GB"/>
        </w:rPr>
        <w:t xml:space="preserve"> likely obtain a bank loan to help her finance the buyout. Cameron and her fiancée had big wedding plans but no major financial commitments at the moment. She had spoken to her accountant about different valuation methods but was still wondering which method was the most appropriate. She was also unsure of how the valuation would need to be adjusted</w:t>
      </w:r>
      <w:r w:rsidR="00FC4717" w:rsidRPr="00AC6AD9">
        <w:rPr>
          <w:spacing w:val="-4"/>
          <w:kern w:val="22"/>
          <w:lang w:val="en-GB"/>
        </w:rPr>
        <w:t>,</w:t>
      </w:r>
      <w:r w:rsidRPr="00AC6AD9">
        <w:rPr>
          <w:spacing w:val="-4"/>
          <w:kern w:val="22"/>
          <w:lang w:val="en-GB"/>
        </w:rPr>
        <w:t xml:space="preserve"> given that </w:t>
      </w:r>
      <w:r w:rsidR="00920180" w:rsidRPr="00AC6AD9">
        <w:rPr>
          <w:spacing w:val="-4"/>
          <w:kern w:val="22"/>
          <w:lang w:val="en-GB"/>
        </w:rPr>
        <w:t xml:space="preserve">both </w:t>
      </w:r>
      <w:r w:rsidRPr="00AC6AD9">
        <w:rPr>
          <w:spacing w:val="-4"/>
          <w:kern w:val="22"/>
          <w:lang w:val="en-GB"/>
        </w:rPr>
        <w:t xml:space="preserve">she </w:t>
      </w:r>
      <w:r w:rsidR="00920180" w:rsidRPr="00AC6AD9">
        <w:rPr>
          <w:spacing w:val="-4"/>
          <w:kern w:val="22"/>
          <w:lang w:val="en-GB"/>
        </w:rPr>
        <w:t>and</w:t>
      </w:r>
      <w:r w:rsidRPr="00AC6AD9">
        <w:rPr>
          <w:spacing w:val="-4"/>
          <w:kern w:val="22"/>
          <w:lang w:val="en-GB"/>
        </w:rPr>
        <w:t xml:space="preserve"> Morales </w:t>
      </w:r>
      <w:r w:rsidR="00920180" w:rsidRPr="00AC6AD9">
        <w:rPr>
          <w:spacing w:val="-4"/>
          <w:kern w:val="22"/>
          <w:lang w:val="en-GB"/>
        </w:rPr>
        <w:t xml:space="preserve">did not take </w:t>
      </w:r>
      <w:r w:rsidRPr="00AC6AD9">
        <w:rPr>
          <w:spacing w:val="-4"/>
          <w:kern w:val="22"/>
          <w:lang w:val="en-GB"/>
        </w:rPr>
        <w:t>a formal salary for their work.</w:t>
      </w:r>
    </w:p>
    <w:p w14:paraId="4D6EFF7C" w14:textId="77777777" w:rsidR="00DB7D99" w:rsidRPr="006D678A" w:rsidRDefault="00DB7D99" w:rsidP="00DB7D99">
      <w:pPr>
        <w:jc w:val="both"/>
        <w:outlineLvl w:val="0"/>
        <w:rPr>
          <w:sz w:val="22"/>
          <w:szCs w:val="22"/>
          <w:lang w:val="en-GB"/>
        </w:rPr>
      </w:pPr>
    </w:p>
    <w:p w14:paraId="364C0945" w14:textId="77777777" w:rsidR="00DB7D99" w:rsidRPr="006D678A" w:rsidRDefault="00DB7D99" w:rsidP="00DB7D99">
      <w:pPr>
        <w:jc w:val="both"/>
        <w:outlineLvl w:val="0"/>
        <w:rPr>
          <w:sz w:val="22"/>
          <w:szCs w:val="22"/>
          <w:lang w:val="en-GB"/>
        </w:rPr>
      </w:pPr>
    </w:p>
    <w:p w14:paraId="1E0C7203" w14:textId="77777777" w:rsidR="00DB7D99" w:rsidRPr="006D678A" w:rsidRDefault="00DB7D99" w:rsidP="00DB7D99">
      <w:pPr>
        <w:pStyle w:val="Casehead1"/>
        <w:rPr>
          <w:lang w:val="en-GB"/>
        </w:rPr>
      </w:pPr>
      <w:r w:rsidRPr="006D678A">
        <w:rPr>
          <w:lang w:val="en-GB"/>
        </w:rPr>
        <w:t>THE DECISION</w:t>
      </w:r>
    </w:p>
    <w:p w14:paraId="5E7E9DAD" w14:textId="77777777" w:rsidR="00DB7D99" w:rsidRPr="006D678A" w:rsidRDefault="00DB7D99" w:rsidP="00DB7D99">
      <w:pPr>
        <w:pStyle w:val="BodyTextMain"/>
        <w:rPr>
          <w:lang w:val="en-GB"/>
        </w:rPr>
      </w:pPr>
    </w:p>
    <w:p w14:paraId="62EDCC20" w14:textId="202C4819" w:rsidR="00123BB5" w:rsidRPr="006D678A" w:rsidRDefault="00DB7D99" w:rsidP="00DB7D99">
      <w:pPr>
        <w:pStyle w:val="BodyTextMain"/>
        <w:rPr>
          <w:lang w:val="en-GB"/>
        </w:rPr>
      </w:pPr>
      <w:r w:rsidRPr="006D678A">
        <w:rPr>
          <w:lang w:val="en-GB"/>
        </w:rPr>
        <w:t>Cameron felt simultaneously excited and overwhelmed by the opportunities at hand. While she had been compiling her information, two more online sales had been processed</w:t>
      </w:r>
      <w:r w:rsidR="0056626C">
        <w:rPr>
          <w:lang w:val="en-GB"/>
        </w:rPr>
        <w:t>,</w:t>
      </w:r>
      <w:r w:rsidRPr="006D678A">
        <w:rPr>
          <w:lang w:val="en-GB"/>
        </w:rPr>
        <w:t xml:space="preserve"> and she had received yet another fitting appointment request. </w:t>
      </w:r>
      <w:r w:rsidR="00C04EE2">
        <w:rPr>
          <w:lang w:val="en-GB"/>
        </w:rPr>
        <w:t>A</w:t>
      </w:r>
      <w:r w:rsidR="00C04EE2" w:rsidRPr="006D678A">
        <w:rPr>
          <w:lang w:val="en-GB"/>
        </w:rPr>
        <w:t xml:space="preserve"> </w:t>
      </w:r>
      <w:r w:rsidRPr="006D678A">
        <w:rPr>
          <w:lang w:val="en-GB"/>
        </w:rPr>
        <w:t xml:space="preserve">friend </w:t>
      </w:r>
      <w:r w:rsidR="0049156B">
        <w:rPr>
          <w:lang w:val="en-GB"/>
        </w:rPr>
        <w:t>of Cameron’s</w:t>
      </w:r>
      <w:r w:rsidR="00AC50F6">
        <w:rPr>
          <w:lang w:val="en-GB"/>
        </w:rPr>
        <w:t xml:space="preserve"> had</w:t>
      </w:r>
      <w:r w:rsidRPr="006D678A">
        <w:rPr>
          <w:lang w:val="en-GB"/>
        </w:rPr>
        <w:t xml:space="preserve"> just dropped off a </w:t>
      </w:r>
      <w:r w:rsidR="00E37241">
        <w:rPr>
          <w:lang w:val="en-GB"/>
        </w:rPr>
        <w:t>plant-based burger</w:t>
      </w:r>
      <w:r w:rsidR="0086202F" w:rsidRPr="006D678A">
        <w:rPr>
          <w:lang w:val="en-GB"/>
        </w:rPr>
        <w:t xml:space="preserve"> </w:t>
      </w:r>
      <w:r w:rsidRPr="006D678A">
        <w:rPr>
          <w:lang w:val="en-GB"/>
        </w:rPr>
        <w:t>and</w:t>
      </w:r>
      <w:r w:rsidR="0086202F">
        <w:rPr>
          <w:lang w:val="en-GB"/>
        </w:rPr>
        <w:t xml:space="preserve"> a</w:t>
      </w:r>
      <w:r w:rsidRPr="006D678A">
        <w:rPr>
          <w:lang w:val="en-GB"/>
        </w:rPr>
        <w:t xml:space="preserve"> salad </w:t>
      </w:r>
      <w:r w:rsidR="00876BF1">
        <w:rPr>
          <w:lang w:val="en-GB"/>
        </w:rPr>
        <w:t>for her</w:t>
      </w:r>
      <w:r w:rsidR="0052274F">
        <w:rPr>
          <w:lang w:val="en-GB"/>
        </w:rPr>
        <w:t>, and</w:t>
      </w:r>
      <w:r w:rsidR="00876BF1">
        <w:rPr>
          <w:lang w:val="en-GB"/>
        </w:rPr>
        <w:t xml:space="preserve"> attached was</w:t>
      </w:r>
      <w:r w:rsidRPr="006D678A">
        <w:rPr>
          <w:lang w:val="en-GB"/>
        </w:rPr>
        <w:t xml:space="preserve"> a note that read, “</w:t>
      </w:r>
      <w:r w:rsidR="0086202F">
        <w:rPr>
          <w:lang w:val="en-GB"/>
        </w:rPr>
        <w:t>You can’t</w:t>
      </w:r>
      <w:r w:rsidR="0086202F" w:rsidRPr="006D678A">
        <w:rPr>
          <w:lang w:val="en-GB"/>
        </w:rPr>
        <w:t xml:space="preserve"> </w:t>
      </w:r>
      <w:r w:rsidRPr="006D678A">
        <w:rPr>
          <w:lang w:val="en-GB"/>
        </w:rPr>
        <w:t>make good decisions on an empty stomach.” Cameron smiled, grateful to be supported by her friends and family. She took a bite and contemplated her choices.</w:t>
      </w:r>
    </w:p>
    <w:p w14:paraId="04FD45E3" w14:textId="77777777" w:rsidR="00123BB5" w:rsidRPr="006D678A" w:rsidRDefault="00123BB5">
      <w:pPr>
        <w:spacing w:after="200" w:line="276" w:lineRule="auto"/>
        <w:rPr>
          <w:sz w:val="22"/>
          <w:szCs w:val="22"/>
          <w:lang w:val="en-GB"/>
        </w:rPr>
      </w:pPr>
      <w:r w:rsidRPr="006D678A">
        <w:rPr>
          <w:lang w:val="en-GB"/>
        </w:rPr>
        <w:br w:type="page"/>
      </w:r>
    </w:p>
    <w:p w14:paraId="2A369D0E" w14:textId="45322AA9" w:rsidR="00123BB5" w:rsidRDefault="00123BB5" w:rsidP="00123BB5">
      <w:pPr>
        <w:pStyle w:val="ExhibitHeading"/>
        <w:rPr>
          <w:lang w:val="en-GB"/>
        </w:rPr>
      </w:pPr>
      <w:r w:rsidRPr="006D678A">
        <w:rPr>
          <w:lang w:val="en-GB"/>
        </w:rPr>
        <w:lastRenderedPageBreak/>
        <w:t xml:space="preserve">EXHIBIT 1: </w:t>
      </w:r>
      <w:r w:rsidR="00F83790">
        <w:rPr>
          <w:lang w:val="en-GB"/>
        </w:rPr>
        <w:t xml:space="preserve">The </w:t>
      </w:r>
      <w:r w:rsidR="0088584E">
        <w:rPr>
          <w:lang w:val="en-GB"/>
        </w:rPr>
        <w:t xml:space="preserve">London Dance Shoppe </w:t>
      </w:r>
      <w:r w:rsidRPr="006D678A">
        <w:rPr>
          <w:lang w:val="en-GB"/>
        </w:rPr>
        <w:t>TIMELINE OF EVENTS</w:t>
      </w:r>
    </w:p>
    <w:p w14:paraId="309B5E73" w14:textId="77777777" w:rsidR="00260B90" w:rsidRPr="006D678A" w:rsidRDefault="00260B90" w:rsidP="00260B90">
      <w:pPr>
        <w:pStyle w:val="ExhibitText"/>
        <w:rPr>
          <w:lang w:val="en-GB"/>
        </w:rPr>
      </w:pPr>
    </w:p>
    <w:p w14:paraId="5F311255" w14:textId="39B46D6F" w:rsidR="00123BB5" w:rsidRPr="006D678A" w:rsidRDefault="00260B90" w:rsidP="00260B90">
      <w:pPr>
        <w:jc w:val="center"/>
        <w:outlineLvl w:val="0"/>
        <w:rPr>
          <w:sz w:val="22"/>
          <w:szCs w:val="22"/>
          <w:lang w:val="en-GB"/>
        </w:rPr>
      </w:pPr>
      <w:r w:rsidRPr="00F77FDD">
        <w:rPr>
          <w:noProof/>
          <w:lang w:val="en-CA" w:eastAsia="en-CA"/>
        </w:rPr>
        <w:drawing>
          <wp:inline distT="0" distB="0" distL="0" distR="0" wp14:anchorId="59D712D7" wp14:editId="7F108DF2">
            <wp:extent cx="5943600" cy="2697480"/>
            <wp:effectExtent l="0" t="0" r="0" b="7620"/>
            <wp:docPr id="3" name="Picture 3" descr="The London Dance Shoppe timeline of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97480"/>
                    </a:xfrm>
                    <a:prstGeom prst="rect">
                      <a:avLst/>
                    </a:prstGeom>
                    <a:noFill/>
                    <a:ln>
                      <a:noFill/>
                    </a:ln>
                  </pic:spPr>
                </pic:pic>
              </a:graphicData>
            </a:graphic>
          </wp:inline>
        </w:drawing>
      </w:r>
    </w:p>
    <w:p w14:paraId="570C73CE" w14:textId="77777777" w:rsidR="00123BB5" w:rsidRPr="006D678A" w:rsidRDefault="00123BB5" w:rsidP="00123BB5">
      <w:pPr>
        <w:jc w:val="both"/>
        <w:outlineLvl w:val="0"/>
        <w:rPr>
          <w:sz w:val="22"/>
          <w:szCs w:val="22"/>
          <w:lang w:val="en-GB"/>
        </w:rPr>
      </w:pPr>
    </w:p>
    <w:p w14:paraId="6F7B5528" w14:textId="6F4DD8DA" w:rsidR="00E658C4" w:rsidRDefault="00E658C4" w:rsidP="00123BB5">
      <w:pPr>
        <w:pStyle w:val="Footnote"/>
        <w:rPr>
          <w:lang w:val="en-GB"/>
        </w:rPr>
      </w:pPr>
      <w:r>
        <w:rPr>
          <w:lang w:val="en-GB"/>
        </w:rPr>
        <w:t xml:space="preserve">Note: LDS = </w:t>
      </w:r>
      <w:r w:rsidR="00A50751">
        <w:rPr>
          <w:lang w:val="en-GB"/>
        </w:rPr>
        <w:t xml:space="preserve">The </w:t>
      </w:r>
      <w:r>
        <w:rPr>
          <w:lang w:val="en-GB"/>
        </w:rPr>
        <w:t>London Dance Shoppe.</w:t>
      </w:r>
    </w:p>
    <w:p w14:paraId="13C38333" w14:textId="2743CF7A" w:rsidR="00123BB5" w:rsidRPr="006D678A" w:rsidRDefault="00123BB5" w:rsidP="00123BB5">
      <w:pPr>
        <w:pStyle w:val="Footnote"/>
        <w:rPr>
          <w:sz w:val="22"/>
          <w:szCs w:val="22"/>
          <w:lang w:val="en-GB"/>
        </w:rPr>
      </w:pPr>
      <w:r w:rsidRPr="00586B0C">
        <w:rPr>
          <w:lang w:val="en-GB"/>
        </w:rPr>
        <w:t>Source: Company files.</w:t>
      </w:r>
    </w:p>
    <w:p w14:paraId="5C9901D2" w14:textId="77777777" w:rsidR="00123BB5" w:rsidRPr="006D678A" w:rsidRDefault="00123BB5" w:rsidP="00123BB5">
      <w:pPr>
        <w:spacing w:after="200" w:line="276" w:lineRule="auto"/>
        <w:jc w:val="both"/>
        <w:rPr>
          <w:sz w:val="22"/>
          <w:szCs w:val="22"/>
          <w:lang w:val="en-GB"/>
        </w:rPr>
      </w:pPr>
      <w:r w:rsidRPr="006D678A">
        <w:rPr>
          <w:sz w:val="22"/>
          <w:szCs w:val="22"/>
          <w:lang w:val="en-GB"/>
        </w:rPr>
        <w:br w:type="page"/>
      </w:r>
    </w:p>
    <w:p w14:paraId="7869E8D2" w14:textId="44E42688" w:rsidR="00123BB5" w:rsidRPr="006D678A" w:rsidRDefault="00123BB5" w:rsidP="007E303E">
      <w:pPr>
        <w:pStyle w:val="ExhibitHeading"/>
        <w:rPr>
          <w:lang w:val="en-GB"/>
        </w:rPr>
      </w:pPr>
      <w:r w:rsidRPr="006D678A">
        <w:rPr>
          <w:lang w:val="en-GB"/>
        </w:rPr>
        <w:lastRenderedPageBreak/>
        <w:t xml:space="preserve">EXHIBIT 2: </w:t>
      </w:r>
      <w:r w:rsidR="00E94BB2">
        <w:rPr>
          <w:lang w:val="en-GB"/>
        </w:rPr>
        <w:t xml:space="preserve">The </w:t>
      </w:r>
      <w:r w:rsidR="00AA2B03">
        <w:rPr>
          <w:lang w:val="en-GB"/>
        </w:rPr>
        <w:t xml:space="preserve">London Dance Shoppe </w:t>
      </w:r>
      <w:r w:rsidRPr="006D678A">
        <w:rPr>
          <w:lang w:val="en-GB"/>
        </w:rPr>
        <w:t>STATEMENT OF EARNINGS</w:t>
      </w:r>
      <w:r w:rsidR="0055200A">
        <w:rPr>
          <w:lang w:val="en-GB"/>
        </w:rPr>
        <w:t xml:space="preserve"> </w:t>
      </w:r>
      <w:r w:rsidRPr="006D678A">
        <w:rPr>
          <w:lang w:val="en-GB"/>
        </w:rPr>
        <w:t>For the year ending December 31</w:t>
      </w:r>
      <w:r w:rsidR="0088584E">
        <w:rPr>
          <w:lang w:val="en-GB"/>
        </w:rPr>
        <w:t xml:space="preserve"> (CA$)</w:t>
      </w:r>
    </w:p>
    <w:p w14:paraId="1215AD2A" w14:textId="77777777" w:rsidR="00123BB5" w:rsidRPr="006D678A" w:rsidRDefault="00123BB5" w:rsidP="00123BB5">
      <w:pPr>
        <w:jc w:val="both"/>
        <w:outlineLvl w:val="0"/>
        <w:rPr>
          <w:rFonts w:ascii="Arial" w:hAnsi="Arial" w:cs="Arial"/>
          <w:b/>
          <w:lang w:val="en-GB"/>
        </w:rPr>
      </w:pPr>
    </w:p>
    <w:tbl>
      <w:tblPr>
        <w:tblW w:w="7342" w:type="dxa"/>
        <w:jc w:val="center"/>
        <w:tblLook w:val="04A0" w:firstRow="1" w:lastRow="0" w:firstColumn="1" w:lastColumn="0" w:noHBand="0" w:noVBand="1"/>
        <w:tblCaption w:val="Exhibit 2"/>
        <w:tblDescription w:val="The London Dance Shoppe statement of earnings for the year ending December 31"/>
      </w:tblPr>
      <w:tblGrid>
        <w:gridCol w:w="360"/>
        <w:gridCol w:w="3684"/>
        <w:gridCol w:w="1649"/>
        <w:gridCol w:w="1649"/>
      </w:tblGrid>
      <w:tr w:rsidR="00123BB5" w:rsidRPr="006D678A" w14:paraId="78111B28" w14:textId="77777777" w:rsidTr="00260B90">
        <w:trPr>
          <w:trHeight w:val="20"/>
          <w:tblHeader/>
          <w:jc w:val="center"/>
        </w:trPr>
        <w:tc>
          <w:tcPr>
            <w:tcW w:w="360" w:type="dxa"/>
            <w:tcBorders>
              <w:top w:val="nil"/>
              <w:left w:val="nil"/>
              <w:bottom w:val="nil"/>
              <w:right w:val="nil"/>
            </w:tcBorders>
            <w:shd w:val="clear" w:color="auto" w:fill="auto"/>
            <w:noWrap/>
            <w:vAlign w:val="bottom"/>
            <w:hideMark/>
          </w:tcPr>
          <w:p w14:paraId="64A0D4E2" w14:textId="77777777" w:rsidR="00123BB5" w:rsidRPr="00586B0C" w:rsidRDefault="00123BB5" w:rsidP="00533403">
            <w:pPr>
              <w:jc w:val="both"/>
              <w:rPr>
                <w:rFonts w:ascii="Arial" w:hAnsi="Arial"/>
                <w:lang w:val="en-GB"/>
              </w:rPr>
            </w:pPr>
          </w:p>
        </w:tc>
        <w:tc>
          <w:tcPr>
            <w:tcW w:w="3684" w:type="dxa"/>
            <w:tcBorders>
              <w:top w:val="nil"/>
              <w:left w:val="nil"/>
              <w:bottom w:val="nil"/>
              <w:right w:val="nil"/>
            </w:tcBorders>
            <w:shd w:val="clear" w:color="auto" w:fill="auto"/>
            <w:noWrap/>
            <w:vAlign w:val="bottom"/>
            <w:hideMark/>
          </w:tcPr>
          <w:p w14:paraId="0913DDE3" w14:textId="77777777" w:rsidR="00123BB5" w:rsidRPr="00586B0C" w:rsidRDefault="00123BB5" w:rsidP="00533403">
            <w:pPr>
              <w:jc w:val="both"/>
              <w:outlineLvl w:val="0"/>
              <w:rPr>
                <w:rFonts w:ascii="Arial" w:hAnsi="Arial"/>
                <w:lang w:val="en-GB"/>
              </w:rPr>
            </w:pPr>
          </w:p>
        </w:tc>
        <w:tc>
          <w:tcPr>
            <w:tcW w:w="1649" w:type="dxa"/>
            <w:tcBorders>
              <w:top w:val="nil"/>
              <w:left w:val="nil"/>
              <w:bottom w:val="nil"/>
              <w:right w:val="nil"/>
            </w:tcBorders>
            <w:shd w:val="clear" w:color="auto" w:fill="auto"/>
            <w:noWrap/>
            <w:vAlign w:val="bottom"/>
            <w:hideMark/>
          </w:tcPr>
          <w:p w14:paraId="5A3403A3" w14:textId="77777777" w:rsidR="00123BB5" w:rsidRPr="00586B0C" w:rsidRDefault="00123BB5" w:rsidP="00533403">
            <w:pPr>
              <w:jc w:val="both"/>
              <w:rPr>
                <w:rFonts w:ascii="Arial" w:hAnsi="Arial"/>
                <w:lang w:val="en-GB"/>
              </w:rPr>
            </w:pPr>
          </w:p>
        </w:tc>
        <w:tc>
          <w:tcPr>
            <w:tcW w:w="1649" w:type="dxa"/>
            <w:tcBorders>
              <w:top w:val="nil"/>
              <w:left w:val="nil"/>
              <w:bottom w:val="nil"/>
              <w:right w:val="nil"/>
            </w:tcBorders>
            <w:shd w:val="clear" w:color="auto" w:fill="auto"/>
            <w:noWrap/>
            <w:vAlign w:val="bottom"/>
            <w:hideMark/>
          </w:tcPr>
          <w:p w14:paraId="187C6A92" w14:textId="77777777" w:rsidR="00123BB5" w:rsidRPr="00586B0C" w:rsidRDefault="00123BB5" w:rsidP="00533403">
            <w:pPr>
              <w:jc w:val="both"/>
              <w:rPr>
                <w:rFonts w:ascii="Arial" w:hAnsi="Arial"/>
                <w:lang w:val="en-GB"/>
              </w:rPr>
            </w:pPr>
          </w:p>
        </w:tc>
      </w:tr>
      <w:tr w:rsidR="00123BB5" w:rsidRPr="006D678A" w14:paraId="6C32F168" w14:textId="77777777" w:rsidTr="00260B90">
        <w:trPr>
          <w:trHeight w:val="20"/>
          <w:tblHeader/>
          <w:jc w:val="center"/>
        </w:trPr>
        <w:tc>
          <w:tcPr>
            <w:tcW w:w="360" w:type="dxa"/>
            <w:tcBorders>
              <w:top w:val="nil"/>
              <w:left w:val="nil"/>
              <w:right w:val="nil"/>
            </w:tcBorders>
            <w:shd w:val="clear" w:color="auto" w:fill="auto"/>
            <w:noWrap/>
            <w:vAlign w:val="bottom"/>
            <w:hideMark/>
          </w:tcPr>
          <w:p w14:paraId="434BCF9B" w14:textId="77777777" w:rsidR="00123BB5" w:rsidRPr="00586B0C" w:rsidRDefault="00123BB5" w:rsidP="00533403">
            <w:pPr>
              <w:jc w:val="both"/>
              <w:rPr>
                <w:rFonts w:ascii="Arial" w:hAnsi="Arial"/>
                <w:lang w:val="en-GB"/>
              </w:rPr>
            </w:pPr>
          </w:p>
        </w:tc>
        <w:tc>
          <w:tcPr>
            <w:tcW w:w="3684" w:type="dxa"/>
            <w:tcBorders>
              <w:top w:val="nil"/>
              <w:left w:val="nil"/>
              <w:right w:val="nil"/>
            </w:tcBorders>
            <w:shd w:val="clear" w:color="auto" w:fill="auto"/>
            <w:noWrap/>
            <w:vAlign w:val="bottom"/>
            <w:hideMark/>
          </w:tcPr>
          <w:p w14:paraId="4E6853BC" w14:textId="77777777" w:rsidR="00123BB5" w:rsidRPr="00586B0C" w:rsidRDefault="00123BB5" w:rsidP="00533403">
            <w:pPr>
              <w:jc w:val="both"/>
              <w:rPr>
                <w:rFonts w:ascii="Arial" w:hAnsi="Arial"/>
                <w:lang w:val="en-GB"/>
              </w:rPr>
            </w:pPr>
          </w:p>
        </w:tc>
        <w:tc>
          <w:tcPr>
            <w:tcW w:w="1649" w:type="dxa"/>
            <w:tcBorders>
              <w:top w:val="nil"/>
              <w:left w:val="nil"/>
              <w:bottom w:val="nil"/>
              <w:right w:val="nil"/>
            </w:tcBorders>
            <w:shd w:val="clear" w:color="auto" w:fill="auto"/>
            <w:noWrap/>
            <w:vAlign w:val="bottom"/>
            <w:hideMark/>
          </w:tcPr>
          <w:p w14:paraId="136138C1" w14:textId="77777777" w:rsidR="00123BB5" w:rsidRPr="00586B0C" w:rsidRDefault="00123BB5" w:rsidP="00533403">
            <w:pPr>
              <w:jc w:val="center"/>
              <w:rPr>
                <w:rFonts w:ascii="Arial" w:hAnsi="Arial"/>
                <w:b/>
                <w:color w:val="000000"/>
                <w:lang w:val="en-GB"/>
              </w:rPr>
            </w:pPr>
            <w:r w:rsidRPr="00586B0C">
              <w:rPr>
                <w:rFonts w:ascii="Arial" w:hAnsi="Arial"/>
                <w:b/>
                <w:color w:val="000000"/>
                <w:lang w:val="en-GB"/>
              </w:rPr>
              <w:t>2019</w:t>
            </w:r>
          </w:p>
        </w:tc>
        <w:tc>
          <w:tcPr>
            <w:tcW w:w="1649" w:type="dxa"/>
            <w:tcBorders>
              <w:top w:val="nil"/>
              <w:left w:val="nil"/>
              <w:bottom w:val="nil"/>
              <w:right w:val="nil"/>
            </w:tcBorders>
            <w:shd w:val="clear" w:color="auto" w:fill="auto"/>
            <w:noWrap/>
            <w:vAlign w:val="bottom"/>
            <w:hideMark/>
          </w:tcPr>
          <w:p w14:paraId="13CAF558" w14:textId="77777777" w:rsidR="00123BB5" w:rsidRPr="00586B0C" w:rsidRDefault="00123BB5" w:rsidP="00533403">
            <w:pPr>
              <w:jc w:val="center"/>
              <w:rPr>
                <w:rFonts w:ascii="Arial" w:hAnsi="Arial"/>
                <w:b/>
                <w:color w:val="000000"/>
                <w:lang w:val="en-GB"/>
              </w:rPr>
            </w:pPr>
            <w:r w:rsidRPr="00586B0C">
              <w:rPr>
                <w:rFonts w:ascii="Arial" w:hAnsi="Arial"/>
                <w:b/>
                <w:color w:val="000000"/>
                <w:lang w:val="en-GB"/>
              </w:rPr>
              <w:t>2018</w:t>
            </w:r>
          </w:p>
        </w:tc>
      </w:tr>
      <w:tr w:rsidR="00123BB5" w:rsidRPr="006D678A" w14:paraId="5005825D" w14:textId="77777777" w:rsidTr="00260B90">
        <w:trPr>
          <w:trHeight w:val="20"/>
          <w:tblHeader/>
          <w:jc w:val="center"/>
        </w:trPr>
        <w:tc>
          <w:tcPr>
            <w:tcW w:w="4044" w:type="dxa"/>
            <w:gridSpan w:val="2"/>
            <w:tcBorders>
              <w:top w:val="nil"/>
              <w:left w:val="nil"/>
              <w:bottom w:val="nil"/>
              <w:right w:val="nil"/>
            </w:tcBorders>
            <w:shd w:val="clear" w:color="auto" w:fill="auto"/>
            <w:noWrap/>
            <w:vAlign w:val="bottom"/>
            <w:hideMark/>
          </w:tcPr>
          <w:p w14:paraId="796404B6"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Revenue</w:t>
            </w:r>
          </w:p>
        </w:tc>
        <w:tc>
          <w:tcPr>
            <w:tcW w:w="1649" w:type="dxa"/>
            <w:tcBorders>
              <w:top w:val="nil"/>
              <w:left w:val="nil"/>
              <w:bottom w:val="nil"/>
              <w:right w:val="nil"/>
            </w:tcBorders>
            <w:shd w:val="clear" w:color="auto" w:fill="auto"/>
            <w:noWrap/>
            <w:vAlign w:val="bottom"/>
            <w:hideMark/>
          </w:tcPr>
          <w:p w14:paraId="0D15A38B" w14:textId="77777777" w:rsidR="00123BB5" w:rsidRPr="00586B0C" w:rsidRDefault="00123BB5" w:rsidP="00533403">
            <w:pPr>
              <w:jc w:val="both"/>
              <w:rPr>
                <w:rFonts w:ascii="Arial" w:hAnsi="Arial"/>
                <w:b/>
                <w:color w:val="000000"/>
                <w:lang w:val="en-GB"/>
              </w:rPr>
            </w:pPr>
          </w:p>
        </w:tc>
        <w:tc>
          <w:tcPr>
            <w:tcW w:w="1649" w:type="dxa"/>
            <w:tcBorders>
              <w:top w:val="nil"/>
              <w:left w:val="nil"/>
              <w:bottom w:val="nil"/>
              <w:right w:val="nil"/>
            </w:tcBorders>
            <w:shd w:val="clear" w:color="auto" w:fill="auto"/>
            <w:noWrap/>
            <w:vAlign w:val="bottom"/>
            <w:hideMark/>
          </w:tcPr>
          <w:p w14:paraId="122FD4DB" w14:textId="77777777" w:rsidR="00123BB5" w:rsidRPr="00586B0C" w:rsidRDefault="00123BB5" w:rsidP="00533403">
            <w:pPr>
              <w:jc w:val="both"/>
              <w:rPr>
                <w:rFonts w:ascii="Arial" w:hAnsi="Arial"/>
                <w:lang w:val="en-GB"/>
              </w:rPr>
            </w:pPr>
          </w:p>
        </w:tc>
      </w:tr>
      <w:tr w:rsidR="00123BB5" w:rsidRPr="006D678A" w14:paraId="44AF2BD0" w14:textId="77777777" w:rsidTr="00260B90">
        <w:trPr>
          <w:trHeight w:val="20"/>
          <w:tblHeader/>
          <w:jc w:val="center"/>
        </w:trPr>
        <w:tc>
          <w:tcPr>
            <w:tcW w:w="360" w:type="dxa"/>
            <w:tcBorders>
              <w:top w:val="nil"/>
              <w:left w:val="nil"/>
              <w:bottom w:val="nil"/>
              <w:right w:val="nil"/>
            </w:tcBorders>
            <w:shd w:val="clear" w:color="auto" w:fill="auto"/>
            <w:noWrap/>
            <w:vAlign w:val="bottom"/>
            <w:hideMark/>
          </w:tcPr>
          <w:p w14:paraId="7E671B73" w14:textId="77777777" w:rsidR="00123BB5" w:rsidRPr="00586B0C" w:rsidRDefault="00123BB5" w:rsidP="00533403">
            <w:pPr>
              <w:jc w:val="both"/>
              <w:rPr>
                <w:rFonts w:ascii="Arial" w:hAnsi="Arial"/>
                <w:lang w:val="en-GB"/>
              </w:rPr>
            </w:pPr>
          </w:p>
        </w:tc>
        <w:tc>
          <w:tcPr>
            <w:tcW w:w="3684" w:type="dxa"/>
            <w:tcBorders>
              <w:top w:val="nil"/>
              <w:left w:val="nil"/>
              <w:bottom w:val="nil"/>
              <w:right w:val="nil"/>
            </w:tcBorders>
            <w:shd w:val="clear" w:color="auto" w:fill="auto"/>
            <w:noWrap/>
            <w:vAlign w:val="bottom"/>
            <w:hideMark/>
          </w:tcPr>
          <w:p w14:paraId="5494F9AC" w14:textId="238CB34F" w:rsidR="00123BB5" w:rsidRPr="00586B0C" w:rsidRDefault="00123BB5" w:rsidP="009277D5">
            <w:pPr>
              <w:jc w:val="both"/>
              <w:rPr>
                <w:rFonts w:ascii="Arial" w:hAnsi="Arial"/>
                <w:color w:val="000000"/>
                <w:lang w:val="en-GB"/>
              </w:rPr>
            </w:pPr>
            <w:r w:rsidRPr="00586B0C">
              <w:rPr>
                <w:rFonts w:ascii="Arial" w:hAnsi="Arial"/>
                <w:color w:val="000000"/>
                <w:lang w:val="en-GB"/>
              </w:rPr>
              <w:t>In-</w:t>
            </w:r>
            <w:r w:rsidR="008D4350">
              <w:rPr>
                <w:rFonts w:ascii="Arial" w:hAnsi="Arial"/>
                <w:color w:val="000000"/>
                <w:lang w:val="en-GB"/>
              </w:rPr>
              <w:t>s</w:t>
            </w:r>
            <w:r w:rsidRPr="00586B0C">
              <w:rPr>
                <w:rFonts w:ascii="Arial" w:hAnsi="Arial"/>
                <w:color w:val="000000"/>
                <w:lang w:val="en-GB"/>
              </w:rPr>
              <w:t>tore Sales, Net</w:t>
            </w:r>
          </w:p>
        </w:tc>
        <w:tc>
          <w:tcPr>
            <w:tcW w:w="1649" w:type="dxa"/>
            <w:tcBorders>
              <w:top w:val="nil"/>
              <w:left w:val="nil"/>
              <w:bottom w:val="nil"/>
              <w:right w:val="nil"/>
            </w:tcBorders>
            <w:shd w:val="clear" w:color="auto" w:fill="auto"/>
            <w:noWrap/>
            <w:vAlign w:val="bottom"/>
            <w:hideMark/>
          </w:tcPr>
          <w:p w14:paraId="723B0EBA"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188,131 </w:t>
            </w:r>
          </w:p>
        </w:tc>
        <w:tc>
          <w:tcPr>
            <w:tcW w:w="1649" w:type="dxa"/>
            <w:tcBorders>
              <w:top w:val="nil"/>
              <w:left w:val="nil"/>
              <w:bottom w:val="nil"/>
              <w:right w:val="nil"/>
            </w:tcBorders>
            <w:shd w:val="clear" w:color="auto" w:fill="auto"/>
            <w:noWrap/>
            <w:vAlign w:val="bottom"/>
            <w:hideMark/>
          </w:tcPr>
          <w:p w14:paraId="5EB0EE34"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183,890 </w:t>
            </w:r>
          </w:p>
        </w:tc>
      </w:tr>
      <w:tr w:rsidR="00123BB5" w:rsidRPr="006D678A" w14:paraId="2C469ECC" w14:textId="77777777" w:rsidTr="00260B90">
        <w:trPr>
          <w:trHeight w:val="20"/>
          <w:tblHeader/>
          <w:jc w:val="center"/>
        </w:trPr>
        <w:tc>
          <w:tcPr>
            <w:tcW w:w="360" w:type="dxa"/>
            <w:tcBorders>
              <w:top w:val="nil"/>
              <w:left w:val="nil"/>
              <w:right w:val="nil"/>
            </w:tcBorders>
            <w:shd w:val="clear" w:color="auto" w:fill="auto"/>
            <w:noWrap/>
            <w:vAlign w:val="bottom"/>
            <w:hideMark/>
          </w:tcPr>
          <w:p w14:paraId="0F30AC1F"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 </w:t>
            </w:r>
          </w:p>
        </w:tc>
        <w:tc>
          <w:tcPr>
            <w:tcW w:w="3684" w:type="dxa"/>
            <w:tcBorders>
              <w:top w:val="nil"/>
              <w:left w:val="nil"/>
              <w:right w:val="nil"/>
            </w:tcBorders>
            <w:shd w:val="clear" w:color="auto" w:fill="auto"/>
            <w:noWrap/>
            <w:vAlign w:val="bottom"/>
            <w:hideMark/>
          </w:tcPr>
          <w:p w14:paraId="5947E7C5"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Online Sales, Net</w:t>
            </w:r>
          </w:p>
        </w:tc>
        <w:tc>
          <w:tcPr>
            <w:tcW w:w="1649" w:type="dxa"/>
            <w:tcBorders>
              <w:top w:val="nil"/>
              <w:left w:val="nil"/>
              <w:bottom w:val="single" w:sz="4" w:space="0" w:color="auto"/>
              <w:right w:val="nil"/>
            </w:tcBorders>
            <w:shd w:val="clear" w:color="auto" w:fill="auto"/>
            <w:noWrap/>
            <w:vAlign w:val="bottom"/>
            <w:hideMark/>
          </w:tcPr>
          <w:p w14:paraId="3693477C"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66,100 </w:t>
            </w:r>
          </w:p>
        </w:tc>
        <w:tc>
          <w:tcPr>
            <w:tcW w:w="1649" w:type="dxa"/>
            <w:tcBorders>
              <w:top w:val="nil"/>
              <w:left w:val="nil"/>
              <w:bottom w:val="single" w:sz="4" w:space="0" w:color="auto"/>
              <w:right w:val="nil"/>
            </w:tcBorders>
            <w:shd w:val="clear" w:color="auto" w:fill="auto"/>
            <w:noWrap/>
            <w:vAlign w:val="bottom"/>
            <w:hideMark/>
          </w:tcPr>
          <w:p w14:paraId="4B2A2E7F"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37,664 </w:t>
            </w:r>
          </w:p>
        </w:tc>
      </w:tr>
      <w:tr w:rsidR="00123BB5" w:rsidRPr="006D678A" w14:paraId="74888660" w14:textId="77777777" w:rsidTr="00260B90">
        <w:trPr>
          <w:trHeight w:val="20"/>
          <w:tblHeader/>
          <w:jc w:val="center"/>
        </w:trPr>
        <w:tc>
          <w:tcPr>
            <w:tcW w:w="4044" w:type="dxa"/>
            <w:gridSpan w:val="2"/>
            <w:tcBorders>
              <w:top w:val="nil"/>
              <w:left w:val="nil"/>
              <w:bottom w:val="nil"/>
              <w:right w:val="nil"/>
            </w:tcBorders>
            <w:shd w:val="clear" w:color="auto" w:fill="auto"/>
            <w:noWrap/>
            <w:vAlign w:val="bottom"/>
            <w:hideMark/>
          </w:tcPr>
          <w:p w14:paraId="2C46B7BA"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Total Net Sales</w:t>
            </w:r>
          </w:p>
        </w:tc>
        <w:tc>
          <w:tcPr>
            <w:tcW w:w="1649" w:type="dxa"/>
            <w:tcBorders>
              <w:top w:val="nil"/>
              <w:left w:val="nil"/>
              <w:right w:val="nil"/>
            </w:tcBorders>
            <w:shd w:val="clear" w:color="auto" w:fill="auto"/>
            <w:noWrap/>
            <w:vAlign w:val="bottom"/>
            <w:hideMark/>
          </w:tcPr>
          <w:p w14:paraId="30031637" w14:textId="77777777" w:rsidR="00123BB5" w:rsidRPr="00586B0C" w:rsidRDefault="00123BB5" w:rsidP="00533403">
            <w:pPr>
              <w:tabs>
                <w:tab w:val="left" w:pos="120"/>
                <w:tab w:val="right" w:pos="1335"/>
              </w:tabs>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254,231 </w:t>
            </w:r>
          </w:p>
        </w:tc>
        <w:tc>
          <w:tcPr>
            <w:tcW w:w="1649" w:type="dxa"/>
            <w:tcBorders>
              <w:top w:val="nil"/>
              <w:left w:val="nil"/>
              <w:right w:val="nil"/>
            </w:tcBorders>
            <w:shd w:val="clear" w:color="auto" w:fill="auto"/>
            <w:noWrap/>
            <w:vAlign w:val="bottom"/>
            <w:hideMark/>
          </w:tcPr>
          <w:p w14:paraId="017805F0" w14:textId="77777777" w:rsidR="00123BB5" w:rsidRPr="00586B0C" w:rsidRDefault="00123BB5" w:rsidP="00533403">
            <w:pPr>
              <w:tabs>
                <w:tab w:val="left" w:pos="120"/>
                <w:tab w:val="right" w:pos="1335"/>
              </w:tabs>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221,554 </w:t>
            </w:r>
          </w:p>
        </w:tc>
      </w:tr>
      <w:tr w:rsidR="00123BB5" w:rsidRPr="006D678A" w14:paraId="603D154E" w14:textId="77777777" w:rsidTr="00260B90">
        <w:trPr>
          <w:trHeight w:val="20"/>
          <w:tblHeader/>
          <w:jc w:val="center"/>
        </w:trPr>
        <w:tc>
          <w:tcPr>
            <w:tcW w:w="4044" w:type="dxa"/>
            <w:gridSpan w:val="2"/>
            <w:tcBorders>
              <w:top w:val="nil"/>
              <w:left w:val="nil"/>
              <w:bottom w:val="nil"/>
              <w:right w:val="nil"/>
            </w:tcBorders>
            <w:shd w:val="clear" w:color="auto" w:fill="auto"/>
            <w:noWrap/>
            <w:vAlign w:val="bottom"/>
          </w:tcPr>
          <w:p w14:paraId="349807F0" w14:textId="77777777" w:rsidR="00123BB5" w:rsidRPr="00586B0C" w:rsidRDefault="00123BB5" w:rsidP="00533403">
            <w:pPr>
              <w:jc w:val="both"/>
              <w:rPr>
                <w:rFonts w:ascii="Arial" w:hAnsi="Arial"/>
                <w:b/>
                <w:color w:val="000000"/>
                <w:lang w:val="en-GB"/>
              </w:rPr>
            </w:pPr>
          </w:p>
        </w:tc>
        <w:tc>
          <w:tcPr>
            <w:tcW w:w="1649" w:type="dxa"/>
            <w:tcBorders>
              <w:top w:val="nil"/>
              <w:left w:val="nil"/>
              <w:bottom w:val="nil"/>
              <w:right w:val="nil"/>
            </w:tcBorders>
            <w:shd w:val="clear" w:color="auto" w:fill="auto"/>
            <w:noWrap/>
            <w:vAlign w:val="bottom"/>
          </w:tcPr>
          <w:p w14:paraId="47755954" w14:textId="77777777" w:rsidR="00123BB5" w:rsidRPr="00586B0C" w:rsidRDefault="00123BB5" w:rsidP="00533403">
            <w:pPr>
              <w:tabs>
                <w:tab w:val="left" w:pos="120"/>
                <w:tab w:val="right" w:pos="1335"/>
              </w:tabs>
              <w:rPr>
                <w:rFonts w:ascii="Arial" w:hAnsi="Arial"/>
                <w:color w:val="000000"/>
                <w:lang w:val="en-GB"/>
              </w:rPr>
            </w:pPr>
          </w:p>
        </w:tc>
        <w:tc>
          <w:tcPr>
            <w:tcW w:w="1649" w:type="dxa"/>
            <w:tcBorders>
              <w:top w:val="nil"/>
              <w:left w:val="nil"/>
              <w:bottom w:val="nil"/>
              <w:right w:val="nil"/>
            </w:tcBorders>
            <w:shd w:val="clear" w:color="auto" w:fill="auto"/>
            <w:noWrap/>
            <w:vAlign w:val="bottom"/>
          </w:tcPr>
          <w:p w14:paraId="7BF0CEDE" w14:textId="77777777" w:rsidR="00123BB5" w:rsidRPr="00586B0C" w:rsidRDefault="00123BB5" w:rsidP="00533403">
            <w:pPr>
              <w:tabs>
                <w:tab w:val="left" w:pos="120"/>
                <w:tab w:val="right" w:pos="1335"/>
              </w:tabs>
              <w:rPr>
                <w:rFonts w:ascii="Arial" w:hAnsi="Arial"/>
                <w:color w:val="000000"/>
                <w:lang w:val="en-GB"/>
              </w:rPr>
            </w:pPr>
          </w:p>
        </w:tc>
      </w:tr>
      <w:tr w:rsidR="00123BB5" w:rsidRPr="006D678A" w14:paraId="08E648FE" w14:textId="77777777" w:rsidTr="00260B90">
        <w:trPr>
          <w:trHeight w:val="20"/>
          <w:tblHeader/>
          <w:jc w:val="center"/>
        </w:trPr>
        <w:tc>
          <w:tcPr>
            <w:tcW w:w="360" w:type="dxa"/>
            <w:tcBorders>
              <w:top w:val="nil"/>
              <w:left w:val="nil"/>
              <w:bottom w:val="nil"/>
              <w:right w:val="nil"/>
            </w:tcBorders>
            <w:shd w:val="clear" w:color="auto" w:fill="auto"/>
            <w:noWrap/>
            <w:vAlign w:val="bottom"/>
            <w:hideMark/>
          </w:tcPr>
          <w:p w14:paraId="22673884" w14:textId="77777777" w:rsidR="00123BB5" w:rsidRPr="00586B0C" w:rsidRDefault="00123BB5" w:rsidP="00533403">
            <w:pPr>
              <w:jc w:val="both"/>
              <w:rPr>
                <w:rFonts w:ascii="Arial" w:hAnsi="Arial"/>
                <w:b/>
                <w:color w:val="000000"/>
                <w:lang w:val="en-GB"/>
              </w:rPr>
            </w:pPr>
          </w:p>
        </w:tc>
        <w:tc>
          <w:tcPr>
            <w:tcW w:w="3684" w:type="dxa"/>
            <w:tcBorders>
              <w:top w:val="nil"/>
              <w:left w:val="nil"/>
              <w:bottom w:val="nil"/>
              <w:right w:val="nil"/>
            </w:tcBorders>
            <w:shd w:val="clear" w:color="auto" w:fill="auto"/>
            <w:noWrap/>
            <w:vAlign w:val="bottom"/>
            <w:hideMark/>
          </w:tcPr>
          <w:p w14:paraId="6CEFD7FF" w14:textId="77777777" w:rsidR="00123BB5" w:rsidRPr="00586B0C" w:rsidRDefault="00123BB5" w:rsidP="00533403">
            <w:pPr>
              <w:jc w:val="both"/>
              <w:rPr>
                <w:rFonts w:ascii="Arial" w:hAnsi="Arial"/>
                <w:lang w:val="en-GB"/>
              </w:rPr>
            </w:pPr>
          </w:p>
        </w:tc>
        <w:tc>
          <w:tcPr>
            <w:tcW w:w="1649" w:type="dxa"/>
            <w:tcBorders>
              <w:top w:val="nil"/>
              <w:left w:val="nil"/>
              <w:right w:val="nil"/>
            </w:tcBorders>
            <w:shd w:val="clear" w:color="auto" w:fill="auto"/>
            <w:noWrap/>
            <w:vAlign w:val="bottom"/>
            <w:hideMark/>
          </w:tcPr>
          <w:p w14:paraId="483E4CBE" w14:textId="77777777" w:rsidR="00123BB5" w:rsidRPr="00586B0C" w:rsidRDefault="00123BB5" w:rsidP="00533403">
            <w:pPr>
              <w:tabs>
                <w:tab w:val="left" w:pos="120"/>
                <w:tab w:val="right" w:pos="1335"/>
              </w:tabs>
              <w:rPr>
                <w:rFonts w:ascii="Arial" w:hAnsi="Arial"/>
                <w:color w:val="000000"/>
                <w:lang w:val="en-GB"/>
              </w:rPr>
            </w:pPr>
          </w:p>
        </w:tc>
        <w:tc>
          <w:tcPr>
            <w:tcW w:w="1649" w:type="dxa"/>
            <w:tcBorders>
              <w:top w:val="nil"/>
              <w:left w:val="nil"/>
              <w:right w:val="nil"/>
            </w:tcBorders>
            <w:shd w:val="clear" w:color="auto" w:fill="auto"/>
            <w:noWrap/>
            <w:vAlign w:val="bottom"/>
            <w:hideMark/>
          </w:tcPr>
          <w:p w14:paraId="1912FFA6" w14:textId="77777777" w:rsidR="00123BB5" w:rsidRPr="00586B0C" w:rsidRDefault="00123BB5" w:rsidP="00533403">
            <w:pPr>
              <w:tabs>
                <w:tab w:val="left" w:pos="120"/>
                <w:tab w:val="right" w:pos="1335"/>
              </w:tabs>
              <w:rPr>
                <w:rFonts w:ascii="Arial" w:hAnsi="Arial"/>
                <w:color w:val="000000"/>
                <w:lang w:val="en-GB"/>
              </w:rPr>
            </w:pPr>
          </w:p>
        </w:tc>
      </w:tr>
      <w:tr w:rsidR="00123BB5" w:rsidRPr="006D678A" w14:paraId="4BFDEEA5" w14:textId="77777777" w:rsidTr="00260B90">
        <w:trPr>
          <w:trHeight w:val="20"/>
          <w:tblHeader/>
          <w:jc w:val="center"/>
        </w:trPr>
        <w:tc>
          <w:tcPr>
            <w:tcW w:w="4044" w:type="dxa"/>
            <w:gridSpan w:val="2"/>
            <w:tcBorders>
              <w:left w:val="nil"/>
              <w:right w:val="nil"/>
            </w:tcBorders>
            <w:shd w:val="clear" w:color="auto" w:fill="auto"/>
            <w:noWrap/>
            <w:vAlign w:val="bottom"/>
            <w:hideMark/>
          </w:tcPr>
          <w:p w14:paraId="058AE8E8"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Less: Cost of Goods Sold</w:t>
            </w:r>
          </w:p>
        </w:tc>
        <w:tc>
          <w:tcPr>
            <w:tcW w:w="1649" w:type="dxa"/>
            <w:tcBorders>
              <w:left w:val="nil"/>
              <w:bottom w:val="single" w:sz="4" w:space="0" w:color="auto"/>
              <w:right w:val="nil"/>
            </w:tcBorders>
            <w:shd w:val="clear" w:color="auto" w:fill="auto"/>
            <w:noWrap/>
            <w:vAlign w:val="bottom"/>
            <w:hideMark/>
          </w:tcPr>
          <w:p w14:paraId="3D15BB56"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133,999 </w:t>
            </w:r>
          </w:p>
        </w:tc>
        <w:tc>
          <w:tcPr>
            <w:tcW w:w="1649" w:type="dxa"/>
            <w:tcBorders>
              <w:left w:val="nil"/>
              <w:bottom w:val="single" w:sz="4" w:space="0" w:color="auto"/>
              <w:right w:val="nil"/>
            </w:tcBorders>
            <w:shd w:val="clear" w:color="auto" w:fill="auto"/>
            <w:noWrap/>
            <w:vAlign w:val="bottom"/>
            <w:hideMark/>
          </w:tcPr>
          <w:p w14:paraId="05C0AEC8"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113,251 </w:t>
            </w:r>
          </w:p>
        </w:tc>
      </w:tr>
      <w:tr w:rsidR="00123BB5" w:rsidRPr="006D678A" w14:paraId="28C21914" w14:textId="77777777" w:rsidTr="00260B90">
        <w:trPr>
          <w:trHeight w:val="20"/>
          <w:tblHeader/>
          <w:jc w:val="center"/>
        </w:trPr>
        <w:tc>
          <w:tcPr>
            <w:tcW w:w="4044" w:type="dxa"/>
            <w:gridSpan w:val="2"/>
            <w:tcBorders>
              <w:left w:val="nil"/>
              <w:bottom w:val="nil"/>
              <w:right w:val="nil"/>
            </w:tcBorders>
            <w:shd w:val="clear" w:color="auto" w:fill="auto"/>
            <w:noWrap/>
            <w:vAlign w:val="bottom"/>
            <w:hideMark/>
          </w:tcPr>
          <w:p w14:paraId="67B90E6D"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Gross Profit</w:t>
            </w:r>
          </w:p>
        </w:tc>
        <w:tc>
          <w:tcPr>
            <w:tcW w:w="1649" w:type="dxa"/>
            <w:tcBorders>
              <w:top w:val="single" w:sz="4" w:space="0" w:color="auto"/>
              <w:left w:val="nil"/>
              <w:bottom w:val="nil"/>
              <w:right w:val="nil"/>
            </w:tcBorders>
            <w:shd w:val="clear" w:color="auto" w:fill="auto"/>
            <w:noWrap/>
            <w:vAlign w:val="bottom"/>
            <w:hideMark/>
          </w:tcPr>
          <w:p w14:paraId="416B474F" w14:textId="77777777" w:rsidR="00123BB5" w:rsidRPr="00586B0C" w:rsidRDefault="00123BB5" w:rsidP="00533403">
            <w:pPr>
              <w:tabs>
                <w:tab w:val="left" w:pos="120"/>
                <w:tab w:val="right" w:pos="1335"/>
              </w:tabs>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120,232 </w:t>
            </w:r>
          </w:p>
        </w:tc>
        <w:tc>
          <w:tcPr>
            <w:tcW w:w="1649" w:type="dxa"/>
            <w:tcBorders>
              <w:top w:val="single" w:sz="4" w:space="0" w:color="auto"/>
              <w:left w:val="nil"/>
              <w:bottom w:val="nil"/>
              <w:right w:val="nil"/>
            </w:tcBorders>
            <w:shd w:val="clear" w:color="auto" w:fill="auto"/>
            <w:noWrap/>
            <w:vAlign w:val="bottom"/>
            <w:hideMark/>
          </w:tcPr>
          <w:p w14:paraId="4B9B8820" w14:textId="77777777" w:rsidR="00123BB5" w:rsidRPr="00586B0C" w:rsidRDefault="00123BB5" w:rsidP="00533403">
            <w:pPr>
              <w:tabs>
                <w:tab w:val="left" w:pos="120"/>
                <w:tab w:val="right" w:pos="1335"/>
              </w:tabs>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108,303 </w:t>
            </w:r>
          </w:p>
        </w:tc>
      </w:tr>
      <w:tr w:rsidR="00123BB5" w:rsidRPr="006D678A" w14:paraId="0FEE940C" w14:textId="77777777" w:rsidTr="00260B90">
        <w:trPr>
          <w:trHeight w:val="20"/>
          <w:tblHeader/>
          <w:jc w:val="center"/>
        </w:trPr>
        <w:tc>
          <w:tcPr>
            <w:tcW w:w="4044" w:type="dxa"/>
            <w:gridSpan w:val="2"/>
            <w:tcBorders>
              <w:top w:val="nil"/>
              <w:left w:val="nil"/>
              <w:bottom w:val="nil"/>
              <w:right w:val="nil"/>
            </w:tcBorders>
            <w:shd w:val="clear" w:color="auto" w:fill="auto"/>
            <w:noWrap/>
            <w:vAlign w:val="bottom"/>
          </w:tcPr>
          <w:p w14:paraId="3948EBDC" w14:textId="77777777" w:rsidR="00123BB5" w:rsidRPr="00586B0C" w:rsidRDefault="00123BB5" w:rsidP="00533403">
            <w:pPr>
              <w:jc w:val="both"/>
              <w:rPr>
                <w:rFonts w:ascii="Arial" w:hAnsi="Arial"/>
                <w:b/>
                <w:color w:val="000000"/>
                <w:lang w:val="en-GB"/>
              </w:rPr>
            </w:pPr>
          </w:p>
        </w:tc>
        <w:tc>
          <w:tcPr>
            <w:tcW w:w="1649" w:type="dxa"/>
            <w:tcBorders>
              <w:top w:val="nil"/>
              <w:left w:val="nil"/>
              <w:bottom w:val="nil"/>
              <w:right w:val="nil"/>
            </w:tcBorders>
            <w:shd w:val="clear" w:color="auto" w:fill="auto"/>
            <w:noWrap/>
            <w:vAlign w:val="bottom"/>
          </w:tcPr>
          <w:p w14:paraId="3D8D175C" w14:textId="77777777" w:rsidR="00123BB5" w:rsidRPr="00586B0C" w:rsidRDefault="00123BB5" w:rsidP="00533403">
            <w:pPr>
              <w:tabs>
                <w:tab w:val="left" w:pos="120"/>
                <w:tab w:val="right" w:pos="1335"/>
              </w:tabs>
              <w:rPr>
                <w:rFonts w:ascii="Arial" w:hAnsi="Arial"/>
                <w:color w:val="000000"/>
                <w:lang w:val="en-GB"/>
              </w:rPr>
            </w:pPr>
          </w:p>
        </w:tc>
        <w:tc>
          <w:tcPr>
            <w:tcW w:w="1649" w:type="dxa"/>
            <w:tcBorders>
              <w:top w:val="nil"/>
              <w:left w:val="nil"/>
              <w:bottom w:val="nil"/>
              <w:right w:val="nil"/>
            </w:tcBorders>
            <w:shd w:val="clear" w:color="auto" w:fill="auto"/>
            <w:noWrap/>
            <w:vAlign w:val="bottom"/>
          </w:tcPr>
          <w:p w14:paraId="68C6065A" w14:textId="77777777" w:rsidR="00123BB5" w:rsidRPr="00586B0C" w:rsidRDefault="00123BB5" w:rsidP="00533403">
            <w:pPr>
              <w:tabs>
                <w:tab w:val="left" w:pos="120"/>
                <w:tab w:val="right" w:pos="1335"/>
              </w:tabs>
              <w:rPr>
                <w:rFonts w:ascii="Arial" w:hAnsi="Arial"/>
                <w:color w:val="000000"/>
                <w:lang w:val="en-GB"/>
              </w:rPr>
            </w:pPr>
          </w:p>
        </w:tc>
      </w:tr>
      <w:tr w:rsidR="00123BB5" w:rsidRPr="006D678A" w14:paraId="2F4F5D79" w14:textId="77777777" w:rsidTr="00260B90">
        <w:trPr>
          <w:trHeight w:val="20"/>
          <w:tblHeader/>
          <w:jc w:val="center"/>
        </w:trPr>
        <w:tc>
          <w:tcPr>
            <w:tcW w:w="360" w:type="dxa"/>
            <w:tcBorders>
              <w:top w:val="nil"/>
              <w:left w:val="nil"/>
              <w:bottom w:val="nil"/>
              <w:right w:val="nil"/>
            </w:tcBorders>
            <w:shd w:val="clear" w:color="auto" w:fill="auto"/>
            <w:noWrap/>
            <w:vAlign w:val="bottom"/>
            <w:hideMark/>
          </w:tcPr>
          <w:p w14:paraId="4EB252AC" w14:textId="77777777" w:rsidR="00123BB5" w:rsidRPr="00586B0C" w:rsidRDefault="00123BB5" w:rsidP="00533403">
            <w:pPr>
              <w:jc w:val="both"/>
              <w:rPr>
                <w:rFonts w:ascii="Arial" w:hAnsi="Arial"/>
                <w:b/>
                <w:color w:val="000000"/>
                <w:lang w:val="en-GB"/>
              </w:rPr>
            </w:pPr>
          </w:p>
        </w:tc>
        <w:tc>
          <w:tcPr>
            <w:tcW w:w="3684" w:type="dxa"/>
            <w:tcBorders>
              <w:top w:val="nil"/>
              <w:left w:val="nil"/>
              <w:bottom w:val="nil"/>
              <w:right w:val="nil"/>
            </w:tcBorders>
            <w:shd w:val="clear" w:color="auto" w:fill="auto"/>
            <w:noWrap/>
            <w:vAlign w:val="bottom"/>
            <w:hideMark/>
          </w:tcPr>
          <w:p w14:paraId="2A1A60CF" w14:textId="77777777" w:rsidR="00123BB5" w:rsidRPr="00586B0C" w:rsidRDefault="00123BB5" w:rsidP="00533403">
            <w:pPr>
              <w:jc w:val="both"/>
              <w:rPr>
                <w:rFonts w:ascii="Arial" w:hAnsi="Arial"/>
                <w:lang w:val="en-GB"/>
              </w:rPr>
            </w:pPr>
          </w:p>
        </w:tc>
        <w:tc>
          <w:tcPr>
            <w:tcW w:w="1649" w:type="dxa"/>
            <w:tcBorders>
              <w:top w:val="nil"/>
              <w:left w:val="nil"/>
              <w:bottom w:val="nil"/>
              <w:right w:val="nil"/>
            </w:tcBorders>
            <w:shd w:val="clear" w:color="auto" w:fill="auto"/>
            <w:noWrap/>
            <w:vAlign w:val="bottom"/>
            <w:hideMark/>
          </w:tcPr>
          <w:p w14:paraId="5100B43F" w14:textId="77777777" w:rsidR="00123BB5" w:rsidRPr="00586B0C" w:rsidRDefault="00123BB5" w:rsidP="00533403">
            <w:pPr>
              <w:tabs>
                <w:tab w:val="left" w:pos="120"/>
                <w:tab w:val="right" w:pos="1335"/>
              </w:tabs>
              <w:rPr>
                <w:rFonts w:ascii="Arial" w:hAnsi="Arial"/>
                <w:color w:val="000000"/>
                <w:lang w:val="en-GB"/>
              </w:rPr>
            </w:pPr>
          </w:p>
        </w:tc>
        <w:tc>
          <w:tcPr>
            <w:tcW w:w="1649" w:type="dxa"/>
            <w:tcBorders>
              <w:top w:val="nil"/>
              <w:left w:val="nil"/>
              <w:bottom w:val="nil"/>
              <w:right w:val="nil"/>
            </w:tcBorders>
            <w:shd w:val="clear" w:color="auto" w:fill="auto"/>
            <w:noWrap/>
            <w:vAlign w:val="bottom"/>
            <w:hideMark/>
          </w:tcPr>
          <w:p w14:paraId="230FC6EE" w14:textId="77777777" w:rsidR="00123BB5" w:rsidRPr="00586B0C" w:rsidRDefault="00123BB5" w:rsidP="00533403">
            <w:pPr>
              <w:tabs>
                <w:tab w:val="left" w:pos="120"/>
                <w:tab w:val="right" w:pos="1335"/>
              </w:tabs>
              <w:rPr>
                <w:rFonts w:ascii="Arial" w:hAnsi="Arial"/>
                <w:color w:val="000000"/>
                <w:lang w:val="en-GB"/>
              </w:rPr>
            </w:pPr>
          </w:p>
        </w:tc>
      </w:tr>
      <w:tr w:rsidR="00123BB5" w:rsidRPr="006D678A" w14:paraId="2CA3B9FB" w14:textId="77777777" w:rsidTr="00260B90">
        <w:trPr>
          <w:trHeight w:val="20"/>
          <w:tblHeader/>
          <w:jc w:val="center"/>
        </w:trPr>
        <w:tc>
          <w:tcPr>
            <w:tcW w:w="4044" w:type="dxa"/>
            <w:gridSpan w:val="2"/>
            <w:tcBorders>
              <w:top w:val="nil"/>
              <w:left w:val="nil"/>
              <w:bottom w:val="nil"/>
              <w:right w:val="nil"/>
            </w:tcBorders>
            <w:shd w:val="clear" w:color="auto" w:fill="auto"/>
            <w:noWrap/>
            <w:vAlign w:val="bottom"/>
            <w:hideMark/>
          </w:tcPr>
          <w:p w14:paraId="12C1A99A"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Operating Expenses</w:t>
            </w:r>
          </w:p>
        </w:tc>
        <w:tc>
          <w:tcPr>
            <w:tcW w:w="1649" w:type="dxa"/>
            <w:tcBorders>
              <w:top w:val="nil"/>
              <w:left w:val="nil"/>
              <w:bottom w:val="nil"/>
              <w:right w:val="nil"/>
            </w:tcBorders>
            <w:shd w:val="clear" w:color="auto" w:fill="auto"/>
            <w:noWrap/>
            <w:vAlign w:val="bottom"/>
            <w:hideMark/>
          </w:tcPr>
          <w:p w14:paraId="2A9426BA" w14:textId="77777777" w:rsidR="00123BB5" w:rsidRPr="00586B0C" w:rsidRDefault="00123BB5" w:rsidP="00533403">
            <w:pPr>
              <w:tabs>
                <w:tab w:val="left" w:pos="120"/>
                <w:tab w:val="right" w:pos="1335"/>
              </w:tabs>
              <w:rPr>
                <w:rFonts w:ascii="Arial" w:hAnsi="Arial"/>
                <w:color w:val="000000"/>
                <w:lang w:val="en-GB"/>
              </w:rPr>
            </w:pPr>
          </w:p>
        </w:tc>
        <w:tc>
          <w:tcPr>
            <w:tcW w:w="1649" w:type="dxa"/>
            <w:tcBorders>
              <w:top w:val="nil"/>
              <w:left w:val="nil"/>
              <w:bottom w:val="nil"/>
              <w:right w:val="nil"/>
            </w:tcBorders>
            <w:shd w:val="clear" w:color="auto" w:fill="auto"/>
            <w:noWrap/>
            <w:vAlign w:val="bottom"/>
            <w:hideMark/>
          </w:tcPr>
          <w:p w14:paraId="109E86BD" w14:textId="77777777" w:rsidR="00123BB5" w:rsidRPr="00586B0C" w:rsidRDefault="00123BB5" w:rsidP="00533403">
            <w:pPr>
              <w:tabs>
                <w:tab w:val="left" w:pos="120"/>
                <w:tab w:val="right" w:pos="1335"/>
              </w:tabs>
              <w:rPr>
                <w:rFonts w:ascii="Arial" w:hAnsi="Arial"/>
                <w:color w:val="000000"/>
                <w:lang w:val="en-GB"/>
              </w:rPr>
            </w:pPr>
          </w:p>
        </w:tc>
      </w:tr>
      <w:tr w:rsidR="00123BB5" w:rsidRPr="006D678A" w14:paraId="4B2B8FDA" w14:textId="77777777" w:rsidTr="00260B90">
        <w:trPr>
          <w:trHeight w:val="20"/>
          <w:tblHeader/>
          <w:jc w:val="center"/>
        </w:trPr>
        <w:tc>
          <w:tcPr>
            <w:tcW w:w="360" w:type="dxa"/>
            <w:tcBorders>
              <w:top w:val="nil"/>
              <w:left w:val="nil"/>
              <w:bottom w:val="nil"/>
              <w:right w:val="nil"/>
            </w:tcBorders>
            <w:shd w:val="clear" w:color="auto" w:fill="auto"/>
            <w:noWrap/>
            <w:vAlign w:val="bottom"/>
            <w:hideMark/>
          </w:tcPr>
          <w:p w14:paraId="2022AA4D" w14:textId="77777777" w:rsidR="00123BB5" w:rsidRPr="00586B0C" w:rsidRDefault="00123BB5" w:rsidP="00533403">
            <w:pPr>
              <w:jc w:val="both"/>
              <w:rPr>
                <w:rFonts w:ascii="Arial" w:hAnsi="Arial"/>
                <w:lang w:val="en-GB"/>
              </w:rPr>
            </w:pPr>
          </w:p>
        </w:tc>
        <w:tc>
          <w:tcPr>
            <w:tcW w:w="3684" w:type="dxa"/>
            <w:tcBorders>
              <w:top w:val="nil"/>
              <w:left w:val="nil"/>
              <w:bottom w:val="nil"/>
              <w:right w:val="nil"/>
            </w:tcBorders>
            <w:shd w:val="clear" w:color="auto" w:fill="auto"/>
            <w:noWrap/>
            <w:vAlign w:val="bottom"/>
            <w:hideMark/>
          </w:tcPr>
          <w:p w14:paraId="6CEC16D3" w14:textId="5300400C" w:rsidR="00123BB5" w:rsidRPr="00586B0C" w:rsidRDefault="00123BB5" w:rsidP="00533403">
            <w:pPr>
              <w:jc w:val="both"/>
              <w:rPr>
                <w:rFonts w:ascii="Arial" w:hAnsi="Arial"/>
                <w:color w:val="000000"/>
                <w:lang w:val="en-GB"/>
              </w:rPr>
            </w:pPr>
            <w:r w:rsidRPr="00586B0C">
              <w:rPr>
                <w:rFonts w:ascii="Arial" w:hAnsi="Arial"/>
                <w:color w:val="000000"/>
                <w:lang w:val="en-GB"/>
              </w:rPr>
              <w:t xml:space="preserve">Accounting </w:t>
            </w:r>
            <w:r w:rsidR="007E303E">
              <w:rPr>
                <w:rFonts w:ascii="Arial" w:hAnsi="Arial"/>
                <w:color w:val="000000"/>
                <w:lang w:val="en-GB"/>
              </w:rPr>
              <w:t>and</w:t>
            </w:r>
            <w:r w:rsidRPr="00586B0C">
              <w:rPr>
                <w:rFonts w:ascii="Arial" w:hAnsi="Arial"/>
                <w:color w:val="000000"/>
                <w:lang w:val="en-GB"/>
              </w:rPr>
              <w:t xml:space="preserve"> Legal</w:t>
            </w:r>
          </w:p>
        </w:tc>
        <w:tc>
          <w:tcPr>
            <w:tcW w:w="1649" w:type="dxa"/>
            <w:tcBorders>
              <w:top w:val="nil"/>
              <w:left w:val="nil"/>
              <w:bottom w:val="nil"/>
              <w:right w:val="nil"/>
            </w:tcBorders>
            <w:shd w:val="clear" w:color="auto" w:fill="auto"/>
            <w:noWrap/>
            <w:vAlign w:val="bottom"/>
            <w:hideMark/>
          </w:tcPr>
          <w:p w14:paraId="3834881A"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1,473 </w:t>
            </w:r>
          </w:p>
        </w:tc>
        <w:tc>
          <w:tcPr>
            <w:tcW w:w="1649" w:type="dxa"/>
            <w:tcBorders>
              <w:top w:val="nil"/>
              <w:left w:val="nil"/>
              <w:bottom w:val="nil"/>
              <w:right w:val="nil"/>
            </w:tcBorders>
            <w:shd w:val="clear" w:color="auto" w:fill="auto"/>
            <w:noWrap/>
            <w:vAlign w:val="bottom"/>
            <w:hideMark/>
          </w:tcPr>
          <w:p w14:paraId="52561334"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2,305 </w:t>
            </w:r>
          </w:p>
        </w:tc>
      </w:tr>
      <w:tr w:rsidR="00123BB5" w:rsidRPr="006D678A" w14:paraId="715C0521" w14:textId="77777777" w:rsidTr="00260B90">
        <w:trPr>
          <w:trHeight w:val="20"/>
          <w:tblHeader/>
          <w:jc w:val="center"/>
        </w:trPr>
        <w:tc>
          <w:tcPr>
            <w:tcW w:w="360" w:type="dxa"/>
            <w:tcBorders>
              <w:top w:val="nil"/>
              <w:left w:val="nil"/>
              <w:bottom w:val="nil"/>
              <w:right w:val="nil"/>
            </w:tcBorders>
            <w:shd w:val="clear" w:color="auto" w:fill="auto"/>
            <w:noWrap/>
            <w:vAlign w:val="bottom"/>
            <w:hideMark/>
          </w:tcPr>
          <w:p w14:paraId="613A6F7E" w14:textId="77777777" w:rsidR="00123BB5" w:rsidRPr="00586B0C" w:rsidRDefault="00123BB5" w:rsidP="00533403">
            <w:pPr>
              <w:jc w:val="both"/>
              <w:rPr>
                <w:rFonts w:ascii="Arial" w:hAnsi="Arial"/>
                <w:color w:val="000000"/>
                <w:lang w:val="en-GB"/>
              </w:rPr>
            </w:pPr>
          </w:p>
        </w:tc>
        <w:tc>
          <w:tcPr>
            <w:tcW w:w="3684" w:type="dxa"/>
            <w:tcBorders>
              <w:top w:val="nil"/>
              <w:left w:val="nil"/>
              <w:bottom w:val="nil"/>
              <w:right w:val="nil"/>
            </w:tcBorders>
            <w:shd w:val="clear" w:color="auto" w:fill="auto"/>
            <w:noWrap/>
            <w:vAlign w:val="bottom"/>
            <w:hideMark/>
          </w:tcPr>
          <w:p w14:paraId="19D411B0" w14:textId="4BA5DF9B" w:rsidR="00123BB5" w:rsidRPr="00586B0C" w:rsidRDefault="00123BB5" w:rsidP="00533403">
            <w:pPr>
              <w:jc w:val="both"/>
              <w:rPr>
                <w:rFonts w:ascii="Arial" w:hAnsi="Arial"/>
                <w:color w:val="000000"/>
                <w:lang w:val="en-GB"/>
              </w:rPr>
            </w:pPr>
            <w:r w:rsidRPr="00586B0C">
              <w:rPr>
                <w:rFonts w:ascii="Arial" w:hAnsi="Arial"/>
                <w:color w:val="000000"/>
                <w:lang w:val="en-GB"/>
              </w:rPr>
              <w:t xml:space="preserve">Advertising </w:t>
            </w:r>
            <w:r w:rsidR="007E303E">
              <w:rPr>
                <w:rFonts w:ascii="Arial" w:hAnsi="Arial"/>
                <w:color w:val="000000"/>
                <w:lang w:val="en-GB"/>
              </w:rPr>
              <w:t>and</w:t>
            </w:r>
            <w:r w:rsidRPr="00586B0C">
              <w:rPr>
                <w:rFonts w:ascii="Arial" w:hAnsi="Arial"/>
                <w:color w:val="000000"/>
                <w:lang w:val="en-GB"/>
              </w:rPr>
              <w:t xml:space="preserve"> Promotion</w:t>
            </w:r>
          </w:p>
        </w:tc>
        <w:tc>
          <w:tcPr>
            <w:tcW w:w="1649" w:type="dxa"/>
            <w:tcBorders>
              <w:top w:val="nil"/>
              <w:left w:val="nil"/>
              <w:bottom w:val="nil"/>
              <w:right w:val="nil"/>
            </w:tcBorders>
            <w:shd w:val="clear" w:color="auto" w:fill="auto"/>
            <w:noWrap/>
            <w:vAlign w:val="bottom"/>
            <w:hideMark/>
          </w:tcPr>
          <w:p w14:paraId="77B74967"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1,234 </w:t>
            </w:r>
          </w:p>
        </w:tc>
        <w:tc>
          <w:tcPr>
            <w:tcW w:w="1649" w:type="dxa"/>
            <w:tcBorders>
              <w:top w:val="nil"/>
              <w:left w:val="nil"/>
              <w:bottom w:val="nil"/>
              <w:right w:val="nil"/>
            </w:tcBorders>
            <w:shd w:val="clear" w:color="auto" w:fill="auto"/>
            <w:noWrap/>
            <w:vAlign w:val="bottom"/>
            <w:hideMark/>
          </w:tcPr>
          <w:p w14:paraId="4D87E4A9"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1,465 </w:t>
            </w:r>
          </w:p>
        </w:tc>
      </w:tr>
      <w:tr w:rsidR="00123BB5" w:rsidRPr="006D678A" w14:paraId="1CDDCB23" w14:textId="77777777" w:rsidTr="00260B90">
        <w:trPr>
          <w:trHeight w:val="20"/>
          <w:tblHeader/>
          <w:jc w:val="center"/>
        </w:trPr>
        <w:tc>
          <w:tcPr>
            <w:tcW w:w="360" w:type="dxa"/>
            <w:tcBorders>
              <w:top w:val="nil"/>
              <w:left w:val="nil"/>
              <w:bottom w:val="nil"/>
              <w:right w:val="nil"/>
            </w:tcBorders>
            <w:shd w:val="clear" w:color="auto" w:fill="auto"/>
            <w:noWrap/>
            <w:vAlign w:val="bottom"/>
            <w:hideMark/>
          </w:tcPr>
          <w:p w14:paraId="723DA5BE" w14:textId="77777777" w:rsidR="00123BB5" w:rsidRPr="00586B0C" w:rsidRDefault="00123BB5" w:rsidP="00533403">
            <w:pPr>
              <w:jc w:val="both"/>
              <w:rPr>
                <w:rFonts w:ascii="Arial" w:hAnsi="Arial"/>
                <w:color w:val="000000"/>
                <w:lang w:val="en-GB"/>
              </w:rPr>
            </w:pPr>
          </w:p>
        </w:tc>
        <w:tc>
          <w:tcPr>
            <w:tcW w:w="3684" w:type="dxa"/>
            <w:tcBorders>
              <w:top w:val="nil"/>
              <w:left w:val="nil"/>
              <w:bottom w:val="nil"/>
              <w:right w:val="nil"/>
            </w:tcBorders>
            <w:shd w:val="clear" w:color="auto" w:fill="auto"/>
            <w:noWrap/>
            <w:vAlign w:val="bottom"/>
            <w:hideMark/>
          </w:tcPr>
          <w:p w14:paraId="420C5373" w14:textId="35800F95" w:rsidR="00123BB5" w:rsidRPr="00586B0C" w:rsidRDefault="00123BB5" w:rsidP="00533403">
            <w:pPr>
              <w:jc w:val="both"/>
              <w:rPr>
                <w:rFonts w:ascii="Arial" w:hAnsi="Arial"/>
                <w:color w:val="000000"/>
                <w:lang w:val="en-GB"/>
              </w:rPr>
            </w:pPr>
            <w:r w:rsidRPr="00586B0C">
              <w:rPr>
                <w:rFonts w:ascii="Arial" w:hAnsi="Arial"/>
                <w:color w:val="000000"/>
                <w:lang w:val="en-GB"/>
              </w:rPr>
              <w:t xml:space="preserve">Courier </w:t>
            </w:r>
            <w:r w:rsidR="007E303E">
              <w:rPr>
                <w:rFonts w:ascii="Arial" w:hAnsi="Arial"/>
                <w:color w:val="000000"/>
                <w:lang w:val="en-GB"/>
              </w:rPr>
              <w:t>and</w:t>
            </w:r>
            <w:r w:rsidRPr="00586B0C">
              <w:rPr>
                <w:rFonts w:ascii="Arial" w:hAnsi="Arial"/>
                <w:color w:val="000000"/>
                <w:lang w:val="en-GB"/>
              </w:rPr>
              <w:t xml:space="preserve"> Postage</w:t>
            </w:r>
          </w:p>
        </w:tc>
        <w:tc>
          <w:tcPr>
            <w:tcW w:w="1649" w:type="dxa"/>
            <w:tcBorders>
              <w:top w:val="nil"/>
              <w:left w:val="nil"/>
              <w:bottom w:val="nil"/>
              <w:right w:val="nil"/>
            </w:tcBorders>
            <w:shd w:val="clear" w:color="auto" w:fill="auto"/>
            <w:noWrap/>
            <w:vAlign w:val="bottom"/>
            <w:hideMark/>
          </w:tcPr>
          <w:p w14:paraId="6DEA2C21"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1,243 </w:t>
            </w:r>
          </w:p>
        </w:tc>
        <w:tc>
          <w:tcPr>
            <w:tcW w:w="1649" w:type="dxa"/>
            <w:tcBorders>
              <w:top w:val="nil"/>
              <w:left w:val="nil"/>
              <w:bottom w:val="nil"/>
              <w:right w:val="nil"/>
            </w:tcBorders>
            <w:shd w:val="clear" w:color="auto" w:fill="auto"/>
            <w:noWrap/>
            <w:vAlign w:val="bottom"/>
            <w:hideMark/>
          </w:tcPr>
          <w:p w14:paraId="4BABE786"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797 </w:t>
            </w:r>
          </w:p>
        </w:tc>
      </w:tr>
      <w:tr w:rsidR="00123BB5" w:rsidRPr="006D678A" w14:paraId="532FD319" w14:textId="77777777" w:rsidTr="00260B90">
        <w:trPr>
          <w:trHeight w:val="20"/>
          <w:tblHeader/>
          <w:jc w:val="center"/>
        </w:trPr>
        <w:tc>
          <w:tcPr>
            <w:tcW w:w="360" w:type="dxa"/>
            <w:tcBorders>
              <w:top w:val="nil"/>
              <w:left w:val="nil"/>
              <w:bottom w:val="nil"/>
              <w:right w:val="nil"/>
            </w:tcBorders>
            <w:shd w:val="clear" w:color="auto" w:fill="auto"/>
            <w:noWrap/>
            <w:vAlign w:val="bottom"/>
            <w:hideMark/>
          </w:tcPr>
          <w:p w14:paraId="03C6ADD3" w14:textId="77777777" w:rsidR="00123BB5" w:rsidRPr="00586B0C" w:rsidRDefault="00123BB5" w:rsidP="00533403">
            <w:pPr>
              <w:jc w:val="both"/>
              <w:rPr>
                <w:rFonts w:ascii="Arial" w:hAnsi="Arial"/>
                <w:color w:val="000000"/>
                <w:lang w:val="en-GB"/>
              </w:rPr>
            </w:pPr>
          </w:p>
        </w:tc>
        <w:tc>
          <w:tcPr>
            <w:tcW w:w="3684" w:type="dxa"/>
            <w:tcBorders>
              <w:top w:val="nil"/>
              <w:left w:val="nil"/>
              <w:bottom w:val="nil"/>
              <w:right w:val="nil"/>
            </w:tcBorders>
            <w:shd w:val="clear" w:color="auto" w:fill="auto"/>
            <w:noWrap/>
            <w:vAlign w:val="bottom"/>
            <w:hideMark/>
          </w:tcPr>
          <w:p w14:paraId="78071C4A" w14:textId="0CE28B8B" w:rsidR="00123BB5" w:rsidRPr="00586B0C" w:rsidRDefault="00123BB5" w:rsidP="00533403">
            <w:pPr>
              <w:jc w:val="both"/>
              <w:rPr>
                <w:rFonts w:ascii="Arial" w:hAnsi="Arial"/>
                <w:color w:val="000000"/>
                <w:lang w:val="en-GB"/>
              </w:rPr>
            </w:pPr>
            <w:r w:rsidRPr="00586B0C">
              <w:rPr>
                <w:rFonts w:ascii="Arial" w:hAnsi="Arial"/>
                <w:color w:val="000000"/>
                <w:lang w:val="en-GB"/>
              </w:rPr>
              <w:t xml:space="preserve">Merchant </w:t>
            </w:r>
            <w:r w:rsidR="007E303E">
              <w:rPr>
                <w:rFonts w:ascii="Arial" w:hAnsi="Arial"/>
                <w:color w:val="000000"/>
                <w:lang w:val="en-GB"/>
              </w:rPr>
              <w:t>and</w:t>
            </w:r>
            <w:r w:rsidRPr="00586B0C">
              <w:rPr>
                <w:rFonts w:ascii="Arial" w:hAnsi="Arial"/>
                <w:color w:val="000000"/>
                <w:lang w:val="en-GB"/>
              </w:rPr>
              <w:t xml:space="preserve"> Service Fees</w:t>
            </w:r>
          </w:p>
        </w:tc>
        <w:tc>
          <w:tcPr>
            <w:tcW w:w="1649" w:type="dxa"/>
            <w:tcBorders>
              <w:top w:val="nil"/>
              <w:left w:val="nil"/>
              <w:bottom w:val="nil"/>
              <w:right w:val="nil"/>
            </w:tcBorders>
            <w:shd w:val="clear" w:color="auto" w:fill="auto"/>
            <w:noWrap/>
            <w:vAlign w:val="bottom"/>
            <w:hideMark/>
          </w:tcPr>
          <w:p w14:paraId="43D53C44"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7,228 </w:t>
            </w:r>
          </w:p>
        </w:tc>
        <w:tc>
          <w:tcPr>
            <w:tcW w:w="1649" w:type="dxa"/>
            <w:tcBorders>
              <w:top w:val="nil"/>
              <w:left w:val="nil"/>
              <w:bottom w:val="nil"/>
              <w:right w:val="nil"/>
            </w:tcBorders>
            <w:shd w:val="clear" w:color="auto" w:fill="auto"/>
            <w:noWrap/>
            <w:vAlign w:val="bottom"/>
            <w:hideMark/>
          </w:tcPr>
          <w:p w14:paraId="6675E06E"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6,569 </w:t>
            </w:r>
          </w:p>
        </w:tc>
      </w:tr>
      <w:tr w:rsidR="00123BB5" w:rsidRPr="006D678A" w14:paraId="1C92E015" w14:textId="77777777" w:rsidTr="00260B90">
        <w:trPr>
          <w:trHeight w:val="20"/>
          <w:tblHeader/>
          <w:jc w:val="center"/>
        </w:trPr>
        <w:tc>
          <w:tcPr>
            <w:tcW w:w="360" w:type="dxa"/>
            <w:tcBorders>
              <w:top w:val="nil"/>
              <w:left w:val="nil"/>
              <w:bottom w:val="nil"/>
              <w:right w:val="nil"/>
            </w:tcBorders>
            <w:shd w:val="clear" w:color="auto" w:fill="auto"/>
            <w:noWrap/>
            <w:vAlign w:val="bottom"/>
            <w:hideMark/>
          </w:tcPr>
          <w:p w14:paraId="6CC23893" w14:textId="77777777" w:rsidR="00123BB5" w:rsidRPr="00586B0C" w:rsidRDefault="00123BB5" w:rsidP="00533403">
            <w:pPr>
              <w:jc w:val="both"/>
              <w:rPr>
                <w:rFonts w:ascii="Arial" w:hAnsi="Arial"/>
                <w:color w:val="000000"/>
                <w:lang w:val="en-GB"/>
              </w:rPr>
            </w:pPr>
          </w:p>
        </w:tc>
        <w:tc>
          <w:tcPr>
            <w:tcW w:w="3684" w:type="dxa"/>
            <w:tcBorders>
              <w:top w:val="nil"/>
              <w:left w:val="nil"/>
              <w:bottom w:val="nil"/>
              <w:right w:val="nil"/>
            </w:tcBorders>
            <w:shd w:val="clear" w:color="auto" w:fill="auto"/>
            <w:noWrap/>
            <w:vAlign w:val="bottom"/>
            <w:hideMark/>
          </w:tcPr>
          <w:p w14:paraId="72015F14"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Office Supplies</w:t>
            </w:r>
          </w:p>
        </w:tc>
        <w:tc>
          <w:tcPr>
            <w:tcW w:w="1649" w:type="dxa"/>
            <w:tcBorders>
              <w:top w:val="nil"/>
              <w:left w:val="nil"/>
              <w:bottom w:val="nil"/>
              <w:right w:val="nil"/>
            </w:tcBorders>
            <w:shd w:val="clear" w:color="auto" w:fill="auto"/>
            <w:noWrap/>
            <w:vAlign w:val="bottom"/>
            <w:hideMark/>
          </w:tcPr>
          <w:p w14:paraId="39A96FE3"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2,967 </w:t>
            </w:r>
          </w:p>
        </w:tc>
        <w:tc>
          <w:tcPr>
            <w:tcW w:w="1649" w:type="dxa"/>
            <w:tcBorders>
              <w:top w:val="nil"/>
              <w:left w:val="nil"/>
              <w:bottom w:val="nil"/>
              <w:right w:val="nil"/>
            </w:tcBorders>
            <w:shd w:val="clear" w:color="auto" w:fill="auto"/>
            <w:noWrap/>
            <w:vAlign w:val="bottom"/>
            <w:hideMark/>
          </w:tcPr>
          <w:p w14:paraId="3436276A"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2,333 </w:t>
            </w:r>
          </w:p>
        </w:tc>
      </w:tr>
      <w:tr w:rsidR="00123BB5" w:rsidRPr="006D678A" w14:paraId="1C00247A" w14:textId="77777777" w:rsidTr="00260B90">
        <w:trPr>
          <w:trHeight w:val="20"/>
          <w:tblHeader/>
          <w:jc w:val="center"/>
        </w:trPr>
        <w:tc>
          <w:tcPr>
            <w:tcW w:w="360" w:type="dxa"/>
            <w:tcBorders>
              <w:top w:val="nil"/>
              <w:left w:val="nil"/>
              <w:bottom w:val="nil"/>
              <w:right w:val="nil"/>
            </w:tcBorders>
            <w:shd w:val="clear" w:color="auto" w:fill="auto"/>
            <w:noWrap/>
            <w:vAlign w:val="bottom"/>
            <w:hideMark/>
          </w:tcPr>
          <w:p w14:paraId="49AB3F8C" w14:textId="77777777" w:rsidR="00123BB5" w:rsidRPr="00586B0C" w:rsidRDefault="00123BB5" w:rsidP="00533403">
            <w:pPr>
              <w:jc w:val="both"/>
              <w:rPr>
                <w:rFonts w:ascii="Arial" w:hAnsi="Arial"/>
                <w:color w:val="000000"/>
                <w:lang w:val="en-GB"/>
              </w:rPr>
            </w:pPr>
          </w:p>
        </w:tc>
        <w:tc>
          <w:tcPr>
            <w:tcW w:w="3684" w:type="dxa"/>
            <w:tcBorders>
              <w:top w:val="nil"/>
              <w:left w:val="nil"/>
              <w:bottom w:val="nil"/>
              <w:right w:val="nil"/>
            </w:tcBorders>
            <w:shd w:val="clear" w:color="auto" w:fill="auto"/>
            <w:noWrap/>
            <w:vAlign w:val="bottom"/>
            <w:hideMark/>
          </w:tcPr>
          <w:p w14:paraId="49B1C75C" w14:textId="6A1000C0" w:rsidR="00123BB5" w:rsidRPr="00586B0C" w:rsidRDefault="00123BB5" w:rsidP="00533403">
            <w:pPr>
              <w:jc w:val="both"/>
              <w:rPr>
                <w:rFonts w:ascii="Arial" w:hAnsi="Arial"/>
                <w:color w:val="000000"/>
                <w:lang w:val="en-GB"/>
              </w:rPr>
            </w:pPr>
            <w:r w:rsidRPr="00586B0C">
              <w:rPr>
                <w:rFonts w:ascii="Arial" w:hAnsi="Arial"/>
                <w:color w:val="000000"/>
                <w:lang w:val="en-GB"/>
              </w:rPr>
              <w:t xml:space="preserve">Meals </w:t>
            </w:r>
            <w:r w:rsidR="007E303E">
              <w:rPr>
                <w:rFonts w:ascii="Arial" w:hAnsi="Arial"/>
                <w:color w:val="000000"/>
                <w:lang w:val="en-GB"/>
              </w:rPr>
              <w:t>and</w:t>
            </w:r>
            <w:r w:rsidRPr="00586B0C">
              <w:rPr>
                <w:rFonts w:ascii="Arial" w:hAnsi="Arial"/>
                <w:color w:val="000000"/>
                <w:lang w:val="en-GB"/>
              </w:rPr>
              <w:t xml:space="preserve"> Entertainment</w:t>
            </w:r>
          </w:p>
        </w:tc>
        <w:tc>
          <w:tcPr>
            <w:tcW w:w="1649" w:type="dxa"/>
            <w:tcBorders>
              <w:top w:val="nil"/>
              <w:left w:val="nil"/>
              <w:bottom w:val="nil"/>
              <w:right w:val="nil"/>
            </w:tcBorders>
            <w:shd w:val="clear" w:color="auto" w:fill="auto"/>
            <w:noWrap/>
            <w:vAlign w:val="bottom"/>
            <w:hideMark/>
          </w:tcPr>
          <w:p w14:paraId="4439E4AC"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1,545</w:t>
            </w:r>
          </w:p>
        </w:tc>
        <w:tc>
          <w:tcPr>
            <w:tcW w:w="1649" w:type="dxa"/>
            <w:tcBorders>
              <w:top w:val="nil"/>
              <w:left w:val="nil"/>
              <w:bottom w:val="nil"/>
              <w:right w:val="nil"/>
            </w:tcBorders>
            <w:shd w:val="clear" w:color="auto" w:fill="auto"/>
            <w:noWrap/>
            <w:vAlign w:val="bottom"/>
            <w:hideMark/>
          </w:tcPr>
          <w:p w14:paraId="7C066290"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2,424 </w:t>
            </w:r>
          </w:p>
        </w:tc>
      </w:tr>
      <w:tr w:rsidR="00123BB5" w:rsidRPr="006D678A" w14:paraId="2E81C71D" w14:textId="77777777" w:rsidTr="00260B90">
        <w:trPr>
          <w:trHeight w:val="20"/>
          <w:tblHeader/>
          <w:jc w:val="center"/>
        </w:trPr>
        <w:tc>
          <w:tcPr>
            <w:tcW w:w="360" w:type="dxa"/>
            <w:tcBorders>
              <w:top w:val="nil"/>
              <w:left w:val="nil"/>
              <w:bottom w:val="nil"/>
              <w:right w:val="nil"/>
            </w:tcBorders>
            <w:shd w:val="clear" w:color="auto" w:fill="auto"/>
            <w:noWrap/>
            <w:vAlign w:val="bottom"/>
            <w:hideMark/>
          </w:tcPr>
          <w:p w14:paraId="4C842107" w14:textId="77777777" w:rsidR="00123BB5" w:rsidRPr="00586B0C" w:rsidRDefault="00123BB5" w:rsidP="00533403">
            <w:pPr>
              <w:jc w:val="both"/>
              <w:rPr>
                <w:rFonts w:ascii="Arial" w:hAnsi="Arial"/>
                <w:color w:val="000000"/>
                <w:lang w:val="en-GB"/>
              </w:rPr>
            </w:pPr>
          </w:p>
        </w:tc>
        <w:tc>
          <w:tcPr>
            <w:tcW w:w="3684" w:type="dxa"/>
            <w:tcBorders>
              <w:top w:val="nil"/>
              <w:left w:val="nil"/>
              <w:bottom w:val="nil"/>
              <w:right w:val="nil"/>
            </w:tcBorders>
            <w:shd w:val="clear" w:color="auto" w:fill="auto"/>
            <w:noWrap/>
            <w:vAlign w:val="bottom"/>
            <w:hideMark/>
          </w:tcPr>
          <w:p w14:paraId="03F3F90A"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Travel and Fuel</w:t>
            </w:r>
          </w:p>
        </w:tc>
        <w:tc>
          <w:tcPr>
            <w:tcW w:w="1649" w:type="dxa"/>
            <w:tcBorders>
              <w:top w:val="nil"/>
              <w:left w:val="nil"/>
              <w:bottom w:val="nil"/>
              <w:right w:val="nil"/>
            </w:tcBorders>
            <w:shd w:val="clear" w:color="auto" w:fill="auto"/>
            <w:noWrap/>
            <w:vAlign w:val="bottom"/>
            <w:hideMark/>
          </w:tcPr>
          <w:p w14:paraId="41A5B2E6"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6,359</w:t>
            </w:r>
          </w:p>
        </w:tc>
        <w:tc>
          <w:tcPr>
            <w:tcW w:w="1649" w:type="dxa"/>
            <w:tcBorders>
              <w:top w:val="nil"/>
              <w:left w:val="nil"/>
              <w:bottom w:val="nil"/>
              <w:right w:val="nil"/>
            </w:tcBorders>
            <w:shd w:val="clear" w:color="auto" w:fill="auto"/>
            <w:noWrap/>
            <w:vAlign w:val="bottom"/>
            <w:hideMark/>
          </w:tcPr>
          <w:p w14:paraId="0CCCF939"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5,775 </w:t>
            </w:r>
          </w:p>
        </w:tc>
      </w:tr>
      <w:tr w:rsidR="00123BB5" w:rsidRPr="006D678A" w14:paraId="1E38E0A2" w14:textId="77777777" w:rsidTr="00260B90">
        <w:trPr>
          <w:trHeight w:val="20"/>
          <w:tblHeader/>
          <w:jc w:val="center"/>
        </w:trPr>
        <w:tc>
          <w:tcPr>
            <w:tcW w:w="360" w:type="dxa"/>
            <w:tcBorders>
              <w:top w:val="nil"/>
              <w:left w:val="nil"/>
              <w:bottom w:val="nil"/>
              <w:right w:val="nil"/>
            </w:tcBorders>
            <w:shd w:val="clear" w:color="auto" w:fill="auto"/>
            <w:noWrap/>
            <w:vAlign w:val="bottom"/>
            <w:hideMark/>
          </w:tcPr>
          <w:p w14:paraId="43C08158" w14:textId="77777777" w:rsidR="00123BB5" w:rsidRPr="00586B0C" w:rsidRDefault="00123BB5" w:rsidP="00533403">
            <w:pPr>
              <w:jc w:val="both"/>
              <w:rPr>
                <w:rFonts w:ascii="Arial" w:hAnsi="Arial"/>
                <w:color w:val="000000"/>
                <w:lang w:val="en-GB"/>
              </w:rPr>
            </w:pPr>
          </w:p>
        </w:tc>
        <w:tc>
          <w:tcPr>
            <w:tcW w:w="3684" w:type="dxa"/>
            <w:tcBorders>
              <w:top w:val="nil"/>
              <w:left w:val="nil"/>
              <w:bottom w:val="nil"/>
              <w:right w:val="nil"/>
            </w:tcBorders>
            <w:shd w:val="clear" w:color="auto" w:fill="auto"/>
            <w:noWrap/>
            <w:vAlign w:val="bottom"/>
            <w:hideMark/>
          </w:tcPr>
          <w:p w14:paraId="4B2EF6B1"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Rent</w:t>
            </w:r>
          </w:p>
        </w:tc>
        <w:tc>
          <w:tcPr>
            <w:tcW w:w="1649" w:type="dxa"/>
            <w:tcBorders>
              <w:top w:val="nil"/>
              <w:left w:val="nil"/>
              <w:bottom w:val="nil"/>
              <w:right w:val="nil"/>
            </w:tcBorders>
            <w:shd w:val="clear" w:color="auto" w:fill="auto"/>
            <w:noWrap/>
            <w:vAlign w:val="bottom"/>
            <w:hideMark/>
          </w:tcPr>
          <w:p w14:paraId="63BAC974"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6,600 </w:t>
            </w:r>
          </w:p>
        </w:tc>
        <w:tc>
          <w:tcPr>
            <w:tcW w:w="1649" w:type="dxa"/>
            <w:tcBorders>
              <w:top w:val="nil"/>
              <w:left w:val="nil"/>
              <w:bottom w:val="nil"/>
              <w:right w:val="nil"/>
            </w:tcBorders>
            <w:shd w:val="clear" w:color="auto" w:fill="auto"/>
            <w:noWrap/>
            <w:vAlign w:val="bottom"/>
            <w:hideMark/>
          </w:tcPr>
          <w:p w14:paraId="0FCF493A"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6,600 </w:t>
            </w:r>
          </w:p>
        </w:tc>
      </w:tr>
      <w:tr w:rsidR="00123BB5" w:rsidRPr="006D678A" w14:paraId="452DE1BF" w14:textId="77777777" w:rsidTr="00260B90">
        <w:trPr>
          <w:trHeight w:val="20"/>
          <w:tblHeader/>
          <w:jc w:val="center"/>
        </w:trPr>
        <w:tc>
          <w:tcPr>
            <w:tcW w:w="360" w:type="dxa"/>
            <w:tcBorders>
              <w:top w:val="nil"/>
              <w:left w:val="nil"/>
              <w:bottom w:val="nil"/>
              <w:right w:val="nil"/>
            </w:tcBorders>
            <w:shd w:val="clear" w:color="auto" w:fill="auto"/>
            <w:noWrap/>
            <w:vAlign w:val="bottom"/>
            <w:hideMark/>
          </w:tcPr>
          <w:p w14:paraId="070E60ED" w14:textId="77777777" w:rsidR="00123BB5" w:rsidRPr="00586B0C" w:rsidRDefault="00123BB5" w:rsidP="00533403">
            <w:pPr>
              <w:jc w:val="both"/>
              <w:rPr>
                <w:rFonts w:ascii="Arial" w:hAnsi="Arial"/>
                <w:color w:val="000000"/>
                <w:lang w:val="en-GB"/>
              </w:rPr>
            </w:pPr>
          </w:p>
        </w:tc>
        <w:tc>
          <w:tcPr>
            <w:tcW w:w="3684" w:type="dxa"/>
            <w:tcBorders>
              <w:top w:val="nil"/>
              <w:left w:val="nil"/>
              <w:bottom w:val="nil"/>
              <w:right w:val="nil"/>
            </w:tcBorders>
            <w:shd w:val="clear" w:color="auto" w:fill="auto"/>
            <w:noWrap/>
            <w:vAlign w:val="bottom"/>
            <w:hideMark/>
          </w:tcPr>
          <w:p w14:paraId="4DA90ECE"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Depreciation</w:t>
            </w:r>
          </w:p>
        </w:tc>
        <w:tc>
          <w:tcPr>
            <w:tcW w:w="1649" w:type="dxa"/>
            <w:tcBorders>
              <w:top w:val="nil"/>
              <w:left w:val="nil"/>
              <w:bottom w:val="nil"/>
              <w:right w:val="nil"/>
            </w:tcBorders>
            <w:shd w:val="clear" w:color="auto" w:fill="auto"/>
            <w:noWrap/>
            <w:vAlign w:val="bottom"/>
            <w:hideMark/>
          </w:tcPr>
          <w:p w14:paraId="69A9E334"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2,763 </w:t>
            </w:r>
          </w:p>
        </w:tc>
        <w:tc>
          <w:tcPr>
            <w:tcW w:w="1649" w:type="dxa"/>
            <w:tcBorders>
              <w:top w:val="nil"/>
              <w:left w:val="nil"/>
              <w:bottom w:val="nil"/>
              <w:right w:val="nil"/>
            </w:tcBorders>
            <w:shd w:val="clear" w:color="auto" w:fill="auto"/>
            <w:noWrap/>
            <w:vAlign w:val="bottom"/>
            <w:hideMark/>
          </w:tcPr>
          <w:p w14:paraId="357E3116"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2,755 </w:t>
            </w:r>
          </w:p>
        </w:tc>
      </w:tr>
      <w:tr w:rsidR="00123BB5" w:rsidRPr="006D678A" w14:paraId="4DEC9987" w14:textId="77777777" w:rsidTr="00260B90">
        <w:trPr>
          <w:trHeight w:val="20"/>
          <w:tblHeader/>
          <w:jc w:val="center"/>
        </w:trPr>
        <w:tc>
          <w:tcPr>
            <w:tcW w:w="360" w:type="dxa"/>
            <w:tcBorders>
              <w:top w:val="nil"/>
              <w:left w:val="nil"/>
              <w:bottom w:val="nil"/>
              <w:right w:val="nil"/>
            </w:tcBorders>
            <w:shd w:val="clear" w:color="auto" w:fill="auto"/>
            <w:noWrap/>
            <w:vAlign w:val="bottom"/>
            <w:hideMark/>
          </w:tcPr>
          <w:p w14:paraId="0C3A448A" w14:textId="77777777" w:rsidR="00123BB5" w:rsidRPr="00586B0C" w:rsidRDefault="00123BB5" w:rsidP="00533403">
            <w:pPr>
              <w:jc w:val="both"/>
              <w:rPr>
                <w:rFonts w:ascii="Arial" w:hAnsi="Arial"/>
                <w:color w:val="000000"/>
                <w:lang w:val="en-GB"/>
              </w:rPr>
            </w:pPr>
          </w:p>
        </w:tc>
        <w:tc>
          <w:tcPr>
            <w:tcW w:w="3684" w:type="dxa"/>
            <w:tcBorders>
              <w:top w:val="nil"/>
              <w:left w:val="nil"/>
              <w:bottom w:val="nil"/>
              <w:right w:val="nil"/>
            </w:tcBorders>
            <w:shd w:val="clear" w:color="auto" w:fill="auto"/>
            <w:noWrap/>
            <w:vAlign w:val="bottom"/>
            <w:hideMark/>
          </w:tcPr>
          <w:p w14:paraId="3264280B"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 xml:space="preserve">Wages </w:t>
            </w:r>
          </w:p>
        </w:tc>
        <w:tc>
          <w:tcPr>
            <w:tcW w:w="1649" w:type="dxa"/>
            <w:tcBorders>
              <w:top w:val="nil"/>
              <w:left w:val="nil"/>
              <w:bottom w:val="nil"/>
              <w:right w:val="nil"/>
            </w:tcBorders>
            <w:shd w:val="clear" w:color="auto" w:fill="auto"/>
            <w:noWrap/>
            <w:vAlign w:val="bottom"/>
            <w:hideMark/>
          </w:tcPr>
          <w:p w14:paraId="4760F388"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15,746 </w:t>
            </w:r>
          </w:p>
        </w:tc>
        <w:tc>
          <w:tcPr>
            <w:tcW w:w="1649" w:type="dxa"/>
            <w:tcBorders>
              <w:top w:val="nil"/>
              <w:left w:val="nil"/>
              <w:bottom w:val="nil"/>
              <w:right w:val="nil"/>
            </w:tcBorders>
            <w:shd w:val="clear" w:color="auto" w:fill="auto"/>
            <w:noWrap/>
            <w:vAlign w:val="bottom"/>
            <w:hideMark/>
          </w:tcPr>
          <w:p w14:paraId="6D6B7175"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14,698 </w:t>
            </w:r>
          </w:p>
        </w:tc>
      </w:tr>
      <w:tr w:rsidR="00123BB5" w:rsidRPr="006D678A" w14:paraId="6EFA7C89" w14:textId="77777777" w:rsidTr="00260B90">
        <w:trPr>
          <w:trHeight w:val="20"/>
          <w:tblHeader/>
          <w:jc w:val="center"/>
        </w:trPr>
        <w:tc>
          <w:tcPr>
            <w:tcW w:w="360" w:type="dxa"/>
            <w:tcBorders>
              <w:top w:val="nil"/>
              <w:left w:val="nil"/>
              <w:bottom w:val="nil"/>
              <w:right w:val="nil"/>
            </w:tcBorders>
            <w:shd w:val="clear" w:color="auto" w:fill="auto"/>
            <w:noWrap/>
            <w:vAlign w:val="bottom"/>
            <w:hideMark/>
          </w:tcPr>
          <w:p w14:paraId="08CAABFC" w14:textId="77777777" w:rsidR="00123BB5" w:rsidRPr="00586B0C" w:rsidRDefault="00123BB5" w:rsidP="00533403">
            <w:pPr>
              <w:jc w:val="both"/>
              <w:rPr>
                <w:rFonts w:ascii="Arial" w:hAnsi="Arial"/>
                <w:color w:val="000000"/>
                <w:lang w:val="en-GB"/>
              </w:rPr>
            </w:pPr>
          </w:p>
        </w:tc>
        <w:tc>
          <w:tcPr>
            <w:tcW w:w="3684" w:type="dxa"/>
            <w:tcBorders>
              <w:top w:val="nil"/>
              <w:left w:val="nil"/>
              <w:right w:val="nil"/>
            </w:tcBorders>
            <w:shd w:val="clear" w:color="auto" w:fill="auto"/>
            <w:noWrap/>
            <w:vAlign w:val="bottom"/>
            <w:hideMark/>
          </w:tcPr>
          <w:p w14:paraId="62349127" w14:textId="02F9BADE" w:rsidR="00123BB5" w:rsidRPr="00586B0C" w:rsidRDefault="00123BB5" w:rsidP="00533403">
            <w:pPr>
              <w:jc w:val="both"/>
              <w:rPr>
                <w:rFonts w:ascii="Arial" w:hAnsi="Arial"/>
                <w:color w:val="000000"/>
                <w:lang w:val="en-GB"/>
              </w:rPr>
            </w:pPr>
            <w:r w:rsidRPr="00586B0C">
              <w:rPr>
                <w:rFonts w:ascii="Arial" w:hAnsi="Arial"/>
                <w:color w:val="000000"/>
                <w:lang w:val="en-GB"/>
              </w:rPr>
              <w:t>Phone</w:t>
            </w:r>
            <w:r w:rsidR="0088584E">
              <w:rPr>
                <w:rFonts w:ascii="Arial" w:hAnsi="Arial"/>
                <w:color w:val="000000"/>
                <w:lang w:val="en-GB"/>
              </w:rPr>
              <w:t xml:space="preserve"> </w:t>
            </w:r>
            <w:r w:rsidR="007E303E">
              <w:rPr>
                <w:rFonts w:ascii="Arial" w:hAnsi="Arial"/>
                <w:color w:val="000000"/>
                <w:lang w:val="en-GB"/>
              </w:rPr>
              <w:t>and</w:t>
            </w:r>
            <w:r w:rsidR="0088584E">
              <w:rPr>
                <w:rFonts w:ascii="Arial" w:hAnsi="Arial"/>
                <w:color w:val="000000"/>
                <w:lang w:val="en-GB"/>
              </w:rPr>
              <w:t xml:space="preserve"> </w:t>
            </w:r>
            <w:r w:rsidRPr="00586B0C">
              <w:rPr>
                <w:rFonts w:ascii="Arial" w:hAnsi="Arial"/>
                <w:color w:val="000000"/>
                <w:lang w:val="en-GB"/>
              </w:rPr>
              <w:t>Internet</w:t>
            </w:r>
          </w:p>
        </w:tc>
        <w:tc>
          <w:tcPr>
            <w:tcW w:w="1649" w:type="dxa"/>
            <w:tcBorders>
              <w:top w:val="nil"/>
              <w:left w:val="nil"/>
              <w:right w:val="nil"/>
            </w:tcBorders>
            <w:shd w:val="clear" w:color="auto" w:fill="auto"/>
            <w:noWrap/>
            <w:vAlign w:val="bottom"/>
            <w:hideMark/>
          </w:tcPr>
          <w:p w14:paraId="15B15E43"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1,179 </w:t>
            </w:r>
          </w:p>
        </w:tc>
        <w:tc>
          <w:tcPr>
            <w:tcW w:w="1649" w:type="dxa"/>
            <w:tcBorders>
              <w:top w:val="nil"/>
              <w:left w:val="nil"/>
              <w:right w:val="nil"/>
            </w:tcBorders>
            <w:shd w:val="clear" w:color="auto" w:fill="auto"/>
            <w:noWrap/>
            <w:vAlign w:val="bottom"/>
            <w:hideMark/>
          </w:tcPr>
          <w:p w14:paraId="5079E2B1"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1,284 </w:t>
            </w:r>
          </w:p>
        </w:tc>
      </w:tr>
      <w:tr w:rsidR="00123BB5" w:rsidRPr="006D678A" w14:paraId="48CA8CBF" w14:textId="77777777" w:rsidTr="00260B90">
        <w:trPr>
          <w:trHeight w:val="20"/>
          <w:tblHeader/>
          <w:jc w:val="center"/>
        </w:trPr>
        <w:tc>
          <w:tcPr>
            <w:tcW w:w="360" w:type="dxa"/>
            <w:tcBorders>
              <w:top w:val="nil"/>
              <w:left w:val="nil"/>
              <w:right w:val="nil"/>
            </w:tcBorders>
            <w:shd w:val="clear" w:color="auto" w:fill="auto"/>
            <w:noWrap/>
            <w:vAlign w:val="bottom"/>
            <w:hideMark/>
          </w:tcPr>
          <w:p w14:paraId="1A88849D" w14:textId="77777777" w:rsidR="00123BB5" w:rsidRPr="00586B0C" w:rsidRDefault="00123BB5" w:rsidP="00533403">
            <w:pPr>
              <w:jc w:val="both"/>
              <w:rPr>
                <w:rFonts w:ascii="Arial" w:hAnsi="Arial"/>
                <w:color w:val="000000"/>
                <w:lang w:val="en-GB"/>
              </w:rPr>
            </w:pPr>
          </w:p>
        </w:tc>
        <w:tc>
          <w:tcPr>
            <w:tcW w:w="3684" w:type="dxa"/>
            <w:tcBorders>
              <w:top w:val="nil"/>
              <w:left w:val="nil"/>
              <w:right w:val="nil"/>
            </w:tcBorders>
            <w:shd w:val="clear" w:color="auto" w:fill="auto"/>
            <w:noWrap/>
            <w:vAlign w:val="bottom"/>
            <w:hideMark/>
          </w:tcPr>
          <w:p w14:paraId="025443CB"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Other Expenses</w:t>
            </w:r>
          </w:p>
        </w:tc>
        <w:tc>
          <w:tcPr>
            <w:tcW w:w="1649" w:type="dxa"/>
            <w:tcBorders>
              <w:top w:val="nil"/>
              <w:left w:val="nil"/>
              <w:bottom w:val="single" w:sz="4" w:space="0" w:color="auto"/>
              <w:right w:val="nil"/>
            </w:tcBorders>
            <w:shd w:val="clear" w:color="auto" w:fill="auto"/>
            <w:noWrap/>
            <w:vAlign w:val="bottom"/>
            <w:hideMark/>
          </w:tcPr>
          <w:p w14:paraId="75B98488"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755 </w:t>
            </w:r>
          </w:p>
        </w:tc>
        <w:tc>
          <w:tcPr>
            <w:tcW w:w="1649" w:type="dxa"/>
            <w:tcBorders>
              <w:top w:val="nil"/>
              <w:left w:val="nil"/>
              <w:bottom w:val="single" w:sz="4" w:space="0" w:color="auto"/>
              <w:right w:val="nil"/>
            </w:tcBorders>
            <w:shd w:val="clear" w:color="auto" w:fill="auto"/>
            <w:noWrap/>
            <w:vAlign w:val="bottom"/>
            <w:hideMark/>
          </w:tcPr>
          <w:p w14:paraId="691E41AE"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199 </w:t>
            </w:r>
          </w:p>
        </w:tc>
      </w:tr>
      <w:tr w:rsidR="00123BB5" w:rsidRPr="006D678A" w14:paraId="79F88797" w14:textId="77777777" w:rsidTr="00260B90">
        <w:trPr>
          <w:trHeight w:val="20"/>
          <w:tblHeader/>
          <w:jc w:val="center"/>
        </w:trPr>
        <w:tc>
          <w:tcPr>
            <w:tcW w:w="4044" w:type="dxa"/>
            <w:gridSpan w:val="2"/>
            <w:tcBorders>
              <w:top w:val="nil"/>
              <w:left w:val="nil"/>
              <w:bottom w:val="nil"/>
              <w:right w:val="nil"/>
            </w:tcBorders>
            <w:shd w:val="clear" w:color="auto" w:fill="auto"/>
            <w:noWrap/>
            <w:vAlign w:val="bottom"/>
            <w:hideMark/>
          </w:tcPr>
          <w:p w14:paraId="1D8661BE"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Total Operating Expenses</w:t>
            </w:r>
          </w:p>
        </w:tc>
        <w:tc>
          <w:tcPr>
            <w:tcW w:w="1649" w:type="dxa"/>
            <w:tcBorders>
              <w:top w:val="nil"/>
              <w:left w:val="nil"/>
              <w:bottom w:val="nil"/>
              <w:right w:val="nil"/>
            </w:tcBorders>
            <w:shd w:val="clear" w:color="auto" w:fill="auto"/>
            <w:noWrap/>
            <w:vAlign w:val="bottom"/>
            <w:hideMark/>
          </w:tcPr>
          <w:p w14:paraId="47606E25" w14:textId="77777777" w:rsidR="00123BB5" w:rsidRPr="00586B0C" w:rsidRDefault="00123BB5" w:rsidP="00533403">
            <w:pPr>
              <w:tabs>
                <w:tab w:val="left" w:pos="120"/>
                <w:tab w:val="right" w:pos="1335"/>
              </w:tabs>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49,092 </w:t>
            </w:r>
          </w:p>
        </w:tc>
        <w:tc>
          <w:tcPr>
            <w:tcW w:w="1649" w:type="dxa"/>
            <w:tcBorders>
              <w:top w:val="nil"/>
              <w:left w:val="nil"/>
              <w:bottom w:val="nil"/>
              <w:right w:val="nil"/>
            </w:tcBorders>
            <w:shd w:val="clear" w:color="auto" w:fill="auto"/>
            <w:noWrap/>
            <w:vAlign w:val="bottom"/>
            <w:hideMark/>
          </w:tcPr>
          <w:p w14:paraId="596E5D27" w14:textId="77777777" w:rsidR="00123BB5" w:rsidRPr="00586B0C" w:rsidRDefault="00123BB5" w:rsidP="00533403">
            <w:pPr>
              <w:tabs>
                <w:tab w:val="left" w:pos="120"/>
                <w:tab w:val="right" w:pos="1335"/>
              </w:tabs>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47,204 </w:t>
            </w:r>
          </w:p>
        </w:tc>
      </w:tr>
      <w:tr w:rsidR="00123BB5" w:rsidRPr="006D678A" w14:paraId="7508B31A" w14:textId="77777777" w:rsidTr="00260B90">
        <w:trPr>
          <w:trHeight w:val="20"/>
          <w:tblHeader/>
          <w:jc w:val="center"/>
        </w:trPr>
        <w:tc>
          <w:tcPr>
            <w:tcW w:w="4044" w:type="dxa"/>
            <w:gridSpan w:val="2"/>
            <w:tcBorders>
              <w:top w:val="nil"/>
              <w:left w:val="nil"/>
              <w:bottom w:val="nil"/>
              <w:right w:val="nil"/>
            </w:tcBorders>
            <w:shd w:val="clear" w:color="auto" w:fill="auto"/>
            <w:noWrap/>
            <w:vAlign w:val="bottom"/>
          </w:tcPr>
          <w:p w14:paraId="4E76B7AC" w14:textId="77777777" w:rsidR="00123BB5" w:rsidRPr="00586B0C" w:rsidRDefault="00123BB5" w:rsidP="00533403">
            <w:pPr>
              <w:jc w:val="both"/>
              <w:rPr>
                <w:rFonts w:ascii="Arial" w:hAnsi="Arial"/>
                <w:b/>
                <w:color w:val="000000"/>
                <w:lang w:val="en-GB"/>
              </w:rPr>
            </w:pPr>
          </w:p>
        </w:tc>
        <w:tc>
          <w:tcPr>
            <w:tcW w:w="1649" w:type="dxa"/>
            <w:tcBorders>
              <w:top w:val="nil"/>
              <w:left w:val="nil"/>
              <w:bottom w:val="nil"/>
              <w:right w:val="nil"/>
            </w:tcBorders>
            <w:shd w:val="clear" w:color="auto" w:fill="auto"/>
            <w:noWrap/>
            <w:vAlign w:val="bottom"/>
          </w:tcPr>
          <w:p w14:paraId="3B71193A" w14:textId="77777777" w:rsidR="00123BB5" w:rsidRPr="00586B0C" w:rsidRDefault="00123BB5" w:rsidP="00533403">
            <w:pPr>
              <w:tabs>
                <w:tab w:val="left" w:pos="120"/>
                <w:tab w:val="right" w:pos="1335"/>
              </w:tabs>
              <w:rPr>
                <w:rFonts w:ascii="Arial" w:hAnsi="Arial"/>
                <w:color w:val="000000"/>
                <w:lang w:val="en-GB"/>
              </w:rPr>
            </w:pPr>
          </w:p>
        </w:tc>
        <w:tc>
          <w:tcPr>
            <w:tcW w:w="1649" w:type="dxa"/>
            <w:tcBorders>
              <w:top w:val="nil"/>
              <w:left w:val="nil"/>
              <w:bottom w:val="nil"/>
              <w:right w:val="nil"/>
            </w:tcBorders>
            <w:shd w:val="clear" w:color="auto" w:fill="auto"/>
            <w:noWrap/>
            <w:vAlign w:val="bottom"/>
          </w:tcPr>
          <w:p w14:paraId="7CE19471" w14:textId="77777777" w:rsidR="00123BB5" w:rsidRPr="00586B0C" w:rsidRDefault="00123BB5" w:rsidP="00533403">
            <w:pPr>
              <w:tabs>
                <w:tab w:val="left" w:pos="120"/>
                <w:tab w:val="right" w:pos="1335"/>
              </w:tabs>
              <w:rPr>
                <w:rFonts w:ascii="Arial" w:hAnsi="Arial"/>
                <w:color w:val="000000"/>
                <w:lang w:val="en-GB"/>
              </w:rPr>
            </w:pPr>
          </w:p>
        </w:tc>
      </w:tr>
      <w:tr w:rsidR="00123BB5" w:rsidRPr="006D678A" w14:paraId="6A5C45F0" w14:textId="77777777" w:rsidTr="00260B90">
        <w:trPr>
          <w:trHeight w:val="20"/>
          <w:tblHeader/>
          <w:jc w:val="center"/>
        </w:trPr>
        <w:tc>
          <w:tcPr>
            <w:tcW w:w="360" w:type="dxa"/>
            <w:tcBorders>
              <w:top w:val="nil"/>
              <w:left w:val="nil"/>
              <w:bottom w:val="nil"/>
              <w:right w:val="nil"/>
            </w:tcBorders>
            <w:shd w:val="clear" w:color="auto" w:fill="auto"/>
            <w:noWrap/>
            <w:vAlign w:val="bottom"/>
            <w:hideMark/>
          </w:tcPr>
          <w:p w14:paraId="69CBD69E" w14:textId="77777777" w:rsidR="00123BB5" w:rsidRPr="00586B0C" w:rsidRDefault="00123BB5" w:rsidP="00533403">
            <w:pPr>
              <w:jc w:val="both"/>
              <w:rPr>
                <w:rFonts w:ascii="Arial" w:hAnsi="Arial"/>
                <w:b/>
                <w:color w:val="000000"/>
                <w:lang w:val="en-GB"/>
              </w:rPr>
            </w:pPr>
          </w:p>
        </w:tc>
        <w:tc>
          <w:tcPr>
            <w:tcW w:w="3684" w:type="dxa"/>
            <w:tcBorders>
              <w:top w:val="nil"/>
              <w:left w:val="nil"/>
              <w:bottom w:val="nil"/>
              <w:right w:val="nil"/>
            </w:tcBorders>
            <w:shd w:val="clear" w:color="auto" w:fill="auto"/>
            <w:noWrap/>
            <w:vAlign w:val="bottom"/>
            <w:hideMark/>
          </w:tcPr>
          <w:p w14:paraId="4BF55413" w14:textId="77777777" w:rsidR="00123BB5" w:rsidRPr="00586B0C" w:rsidRDefault="00123BB5" w:rsidP="00533403">
            <w:pPr>
              <w:jc w:val="both"/>
              <w:rPr>
                <w:rFonts w:ascii="Arial" w:hAnsi="Arial"/>
                <w:lang w:val="en-GB"/>
              </w:rPr>
            </w:pPr>
          </w:p>
        </w:tc>
        <w:tc>
          <w:tcPr>
            <w:tcW w:w="1649" w:type="dxa"/>
            <w:tcBorders>
              <w:top w:val="nil"/>
              <w:left w:val="nil"/>
              <w:bottom w:val="nil"/>
              <w:right w:val="nil"/>
            </w:tcBorders>
            <w:shd w:val="clear" w:color="auto" w:fill="auto"/>
            <w:noWrap/>
            <w:vAlign w:val="bottom"/>
            <w:hideMark/>
          </w:tcPr>
          <w:p w14:paraId="1DA72D3A" w14:textId="77777777" w:rsidR="00123BB5" w:rsidRPr="00586B0C" w:rsidRDefault="00123BB5" w:rsidP="00533403">
            <w:pPr>
              <w:tabs>
                <w:tab w:val="left" w:pos="120"/>
                <w:tab w:val="right" w:pos="1335"/>
              </w:tabs>
              <w:rPr>
                <w:rFonts w:ascii="Arial" w:hAnsi="Arial"/>
                <w:color w:val="000000"/>
                <w:lang w:val="en-GB"/>
              </w:rPr>
            </w:pPr>
          </w:p>
        </w:tc>
        <w:tc>
          <w:tcPr>
            <w:tcW w:w="1649" w:type="dxa"/>
            <w:tcBorders>
              <w:top w:val="nil"/>
              <w:left w:val="nil"/>
              <w:bottom w:val="nil"/>
              <w:right w:val="nil"/>
            </w:tcBorders>
            <w:shd w:val="clear" w:color="auto" w:fill="auto"/>
            <w:noWrap/>
            <w:vAlign w:val="bottom"/>
            <w:hideMark/>
          </w:tcPr>
          <w:p w14:paraId="317ED91F" w14:textId="77777777" w:rsidR="00123BB5" w:rsidRPr="00586B0C" w:rsidRDefault="00123BB5" w:rsidP="00533403">
            <w:pPr>
              <w:tabs>
                <w:tab w:val="left" w:pos="120"/>
                <w:tab w:val="right" w:pos="1335"/>
              </w:tabs>
              <w:rPr>
                <w:rFonts w:ascii="Arial" w:hAnsi="Arial"/>
                <w:color w:val="000000"/>
                <w:lang w:val="en-GB"/>
              </w:rPr>
            </w:pPr>
          </w:p>
        </w:tc>
      </w:tr>
      <w:tr w:rsidR="00123BB5" w:rsidRPr="006D678A" w14:paraId="370C6D2F" w14:textId="77777777" w:rsidTr="00260B90">
        <w:trPr>
          <w:trHeight w:val="20"/>
          <w:tblHeader/>
          <w:jc w:val="center"/>
        </w:trPr>
        <w:tc>
          <w:tcPr>
            <w:tcW w:w="4044" w:type="dxa"/>
            <w:gridSpan w:val="2"/>
            <w:tcBorders>
              <w:top w:val="nil"/>
              <w:left w:val="nil"/>
              <w:bottom w:val="nil"/>
              <w:right w:val="nil"/>
            </w:tcBorders>
            <w:shd w:val="clear" w:color="auto" w:fill="auto"/>
            <w:noWrap/>
            <w:vAlign w:val="bottom"/>
            <w:hideMark/>
          </w:tcPr>
          <w:p w14:paraId="70F3F38F" w14:textId="41828674" w:rsidR="00123BB5" w:rsidRPr="00586B0C" w:rsidRDefault="00123BB5" w:rsidP="00533403">
            <w:pPr>
              <w:jc w:val="both"/>
              <w:rPr>
                <w:rFonts w:ascii="Arial" w:hAnsi="Arial"/>
                <w:b/>
                <w:color w:val="000000"/>
                <w:lang w:val="en-GB"/>
              </w:rPr>
            </w:pPr>
            <w:r w:rsidRPr="00586B0C">
              <w:rPr>
                <w:rFonts w:ascii="Arial" w:hAnsi="Arial"/>
                <w:b/>
                <w:color w:val="000000"/>
                <w:lang w:val="en-GB"/>
              </w:rPr>
              <w:t xml:space="preserve">Net Income </w:t>
            </w:r>
            <w:r w:rsidR="0088584E">
              <w:rPr>
                <w:rFonts w:ascii="Arial" w:hAnsi="Arial"/>
                <w:b/>
                <w:color w:val="000000"/>
                <w:lang w:val="en-GB"/>
              </w:rPr>
              <w:t>before</w:t>
            </w:r>
            <w:r w:rsidR="0088584E" w:rsidRPr="00586B0C">
              <w:rPr>
                <w:rFonts w:ascii="Arial" w:hAnsi="Arial"/>
                <w:b/>
                <w:color w:val="000000"/>
                <w:lang w:val="en-GB"/>
              </w:rPr>
              <w:t xml:space="preserve"> </w:t>
            </w:r>
            <w:r w:rsidRPr="00586B0C">
              <w:rPr>
                <w:rFonts w:ascii="Arial" w:hAnsi="Arial"/>
                <w:b/>
                <w:color w:val="000000"/>
                <w:lang w:val="en-GB"/>
              </w:rPr>
              <w:t>Tax</w:t>
            </w:r>
          </w:p>
        </w:tc>
        <w:tc>
          <w:tcPr>
            <w:tcW w:w="1649" w:type="dxa"/>
            <w:tcBorders>
              <w:top w:val="nil"/>
              <w:left w:val="nil"/>
              <w:bottom w:val="nil"/>
              <w:right w:val="nil"/>
            </w:tcBorders>
            <w:shd w:val="clear" w:color="auto" w:fill="auto"/>
            <w:noWrap/>
            <w:vAlign w:val="bottom"/>
            <w:hideMark/>
          </w:tcPr>
          <w:p w14:paraId="59D399F4" w14:textId="77777777" w:rsidR="00123BB5" w:rsidRPr="00586B0C" w:rsidRDefault="00123BB5" w:rsidP="00533403">
            <w:pPr>
              <w:tabs>
                <w:tab w:val="left" w:pos="120"/>
                <w:tab w:val="right" w:pos="1335"/>
              </w:tabs>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71,140 </w:t>
            </w:r>
          </w:p>
        </w:tc>
        <w:tc>
          <w:tcPr>
            <w:tcW w:w="1649" w:type="dxa"/>
            <w:tcBorders>
              <w:top w:val="nil"/>
              <w:left w:val="nil"/>
              <w:bottom w:val="nil"/>
              <w:right w:val="nil"/>
            </w:tcBorders>
            <w:shd w:val="clear" w:color="auto" w:fill="auto"/>
            <w:noWrap/>
            <w:vAlign w:val="bottom"/>
            <w:hideMark/>
          </w:tcPr>
          <w:p w14:paraId="25C5F9C9" w14:textId="77777777" w:rsidR="00123BB5" w:rsidRPr="00586B0C" w:rsidRDefault="00123BB5" w:rsidP="00533403">
            <w:pPr>
              <w:tabs>
                <w:tab w:val="left" w:pos="120"/>
                <w:tab w:val="right" w:pos="1335"/>
              </w:tabs>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61,099 </w:t>
            </w:r>
          </w:p>
        </w:tc>
      </w:tr>
      <w:tr w:rsidR="00123BB5" w:rsidRPr="006D678A" w14:paraId="707ADF84" w14:textId="77777777" w:rsidTr="00260B90">
        <w:trPr>
          <w:trHeight w:val="20"/>
          <w:tblHeader/>
          <w:jc w:val="center"/>
        </w:trPr>
        <w:tc>
          <w:tcPr>
            <w:tcW w:w="360" w:type="dxa"/>
            <w:tcBorders>
              <w:top w:val="nil"/>
              <w:left w:val="nil"/>
              <w:right w:val="nil"/>
            </w:tcBorders>
            <w:shd w:val="clear" w:color="auto" w:fill="auto"/>
            <w:noWrap/>
            <w:vAlign w:val="bottom"/>
            <w:hideMark/>
          </w:tcPr>
          <w:p w14:paraId="72C583C1" w14:textId="77777777" w:rsidR="00123BB5" w:rsidRPr="00586B0C" w:rsidRDefault="00123BB5" w:rsidP="00533403">
            <w:pPr>
              <w:jc w:val="both"/>
              <w:rPr>
                <w:rFonts w:ascii="Arial" w:hAnsi="Arial"/>
                <w:b/>
                <w:color w:val="000000"/>
                <w:lang w:val="en-GB"/>
              </w:rPr>
            </w:pPr>
          </w:p>
        </w:tc>
        <w:tc>
          <w:tcPr>
            <w:tcW w:w="3684" w:type="dxa"/>
            <w:tcBorders>
              <w:top w:val="nil"/>
              <w:left w:val="nil"/>
              <w:right w:val="nil"/>
            </w:tcBorders>
            <w:shd w:val="clear" w:color="auto" w:fill="auto"/>
            <w:noWrap/>
            <w:vAlign w:val="bottom"/>
            <w:hideMark/>
          </w:tcPr>
          <w:p w14:paraId="1E5C8198" w14:textId="77777777" w:rsidR="00123BB5" w:rsidRPr="00586B0C" w:rsidRDefault="00123BB5" w:rsidP="00533403">
            <w:pPr>
              <w:jc w:val="both"/>
              <w:rPr>
                <w:rFonts w:ascii="Arial" w:hAnsi="Arial"/>
                <w:lang w:val="en-GB"/>
              </w:rPr>
            </w:pPr>
            <w:r w:rsidRPr="00586B0C">
              <w:rPr>
                <w:rFonts w:ascii="Arial" w:hAnsi="Arial"/>
                <w:lang w:val="en-GB"/>
              </w:rPr>
              <w:t>Income Tax</w:t>
            </w:r>
          </w:p>
        </w:tc>
        <w:tc>
          <w:tcPr>
            <w:tcW w:w="1649" w:type="dxa"/>
            <w:tcBorders>
              <w:top w:val="nil"/>
              <w:left w:val="nil"/>
              <w:bottom w:val="double" w:sz="4" w:space="0" w:color="auto"/>
              <w:right w:val="nil"/>
            </w:tcBorders>
            <w:shd w:val="clear" w:color="auto" w:fill="auto"/>
            <w:noWrap/>
            <w:vAlign w:val="bottom"/>
            <w:hideMark/>
          </w:tcPr>
          <w:p w14:paraId="5DE46F12"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10,671 </w:t>
            </w:r>
          </w:p>
        </w:tc>
        <w:tc>
          <w:tcPr>
            <w:tcW w:w="1649" w:type="dxa"/>
            <w:tcBorders>
              <w:top w:val="nil"/>
              <w:left w:val="nil"/>
              <w:bottom w:val="double" w:sz="4" w:space="0" w:color="auto"/>
              <w:right w:val="nil"/>
            </w:tcBorders>
            <w:shd w:val="clear" w:color="auto" w:fill="auto"/>
            <w:noWrap/>
            <w:vAlign w:val="bottom"/>
            <w:hideMark/>
          </w:tcPr>
          <w:p w14:paraId="1F85F0FD" w14:textId="77777777" w:rsidR="00123BB5" w:rsidRPr="00586B0C" w:rsidRDefault="00123BB5" w:rsidP="00533403">
            <w:pPr>
              <w:tabs>
                <w:tab w:val="left" w:pos="120"/>
                <w:tab w:val="right" w:pos="1335"/>
              </w:tabs>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9,165 </w:t>
            </w:r>
          </w:p>
        </w:tc>
      </w:tr>
      <w:tr w:rsidR="00123BB5" w:rsidRPr="006D678A" w14:paraId="5AD60D04" w14:textId="77777777" w:rsidTr="00260B90">
        <w:trPr>
          <w:trHeight w:val="20"/>
          <w:tblHeader/>
          <w:jc w:val="center"/>
        </w:trPr>
        <w:tc>
          <w:tcPr>
            <w:tcW w:w="360" w:type="dxa"/>
            <w:tcBorders>
              <w:left w:val="nil"/>
              <w:bottom w:val="nil"/>
              <w:right w:val="nil"/>
            </w:tcBorders>
            <w:shd w:val="clear" w:color="auto" w:fill="auto"/>
            <w:noWrap/>
            <w:vAlign w:val="bottom"/>
            <w:hideMark/>
          </w:tcPr>
          <w:p w14:paraId="34DDC157" w14:textId="77777777" w:rsidR="00123BB5" w:rsidRPr="00586B0C" w:rsidRDefault="00123BB5" w:rsidP="00533403">
            <w:pPr>
              <w:jc w:val="both"/>
              <w:rPr>
                <w:rFonts w:ascii="Arial" w:hAnsi="Arial"/>
                <w:color w:val="000000"/>
                <w:lang w:val="en-GB"/>
              </w:rPr>
            </w:pPr>
          </w:p>
        </w:tc>
        <w:tc>
          <w:tcPr>
            <w:tcW w:w="3684" w:type="dxa"/>
            <w:tcBorders>
              <w:left w:val="nil"/>
              <w:bottom w:val="nil"/>
              <w:right w:val="nil"/>
            </w:tcBorders>
            <w:shd w:val="clear" w:color="auto" w:fill="auto"/>
            <w:noWrap/>
            <w:vAlign w:val="bottom"/>
            <w:hideMark/>
          </w:tcPr>
          <w:p w14:paraId="3A4F0025" w14:textId="77777777" w:rsidR="00123BB5" w:rsidRPr="00586B0C" w:rsidRDefault="00123BB5" w:rsidP="00533403">
            <w:pPr>
              <w:jc w:val="both"/>
              <w:rPr>
                <w:rFonts w:ascii="Arial" w:hAnsi="Arial"/>
                <w:lang w:val="en-GB"/>
              </w:rPr>
            </w:pPr>
          </w:p>
        </w:tc>
        <w:tc>
          <w:tcPr>
            <w:tcW w:w="1649" w:type="dxa"/>
            <w:tcBorders>
              <w:top w:val="double" w:sz="4" w:space="0" w:color="auto"/>
              <w:left w:val="nil"/>
              <w:bottom w:val="nil"/>
              <w:right w:val="nil"/>
            </w:tcBorders>
            <w:shd w:val="clear" w:color="auto" w:fill="auto"/>
            <w:noWrap/>
            <w:vAlign w:val="bottom"/>
            <w:hideMark/>
          </w:tcPr>
          <w:p w14:paraId="03C5679B" w14:textId="77777777" w:rsidR="00123BB5" w:rsidRPr="00586B0C" w:rsidRDefault="00123BB5" w:rsidP="00533403">
            <w:pPr>
              <w:tabs>
                <w:tab w:val="left" w:pos="120"/>
                <w:tab w:val="right" w:pos="1335"/>
              </w:tabs>
              <w:rPr>
                <w:rFonts w:ascii="Arial" w:hAnsi="Arial"/>
                <w:color w:val="000000"/>
                <w:lang w:val="en-GB"/>
              </w:rPr>
            </w:pPr>
          </w:p>
        </w:tc>
        <w:tc>
          <w:tcPr>
            <w:tcW w:w="1649" w:type="dxa"/>
            <w:tcBorders>
              <w:top w:val="double" w:sz="4" w:space="0" w:color="auto"/>
              <w:left w:val="nil"/>
              <w:bottom w:val="nil"/>
              <w:right w:val="nil"/>
            </w:tcBorders>
            <w:shd w:val="clear" w:color="auto" w:fill="auto"/>
            <w:noWrap/>
            <w:vAlign w:val="bottom"/>
            <w:hideMark/>
          </w:tcPr>
          <w:p w14:paraId="472468D2" w14:textId="77777777" w:rsidR="00123BB5" w:rsidRPr="00586B0C" w:rsidRDefault="00123BB5" w:rsidP="00533403">
            <w:pPr>
              <w:tabs>
                <w:tab w:val="left" w:pos="120"/>
                <w:tab w:val="right" w:pos="1335"/>
              </w:tabs>
              <w:rPr>
                <w:rFonts w:ascii="Arial" w:hAnsi="Arial"/>
                <w:color w:val="000000"/>
                <w:lang w:val="en-GB"/>
              </w:rPr>
            </w:pPr>
          </w:p>
        </w:tc>
      </w:tr>
      <w:tr w:rsidR="00123BB5" w:rsidRPr="006D678A" w14:paraId="524FB124" w14:textId="77777777" w:rsidTr="00260B90">
        <w:trPr>
          <w:trHeight w:val="20"/>
          <w:tblHeader/>
          <w:jc w:val="center"/>
        </w:trPr>
        <w:tc>
          <w:tcPr>
            <w:tcW w:w="4044" w:type="dxa"/>
            <w:gridSpan w:val="2"/>
            <w:tcBorders>
              <w:top w:val="nil"/>
              <w:left w:val="nil"/>
              <w:bottom w:val="nil"/>
              <w:right w:val="nil"/>
            </w:tcBorders>
            <w:shd w:val="clear" w:color="auto" w:fill="auto"/>
            <w:noWrap/>
            <w:vAlign w:val="bottom"/>
            <w:hideMark/>
          </w:tcPr>
          <w:p w14:paraId="60BE2C4A" w14:textId="1C0F34B9" w:rsidR="00123BB5" w:rsidRPr="00586B0C" w:rsidRDefault="00123BB5" w:rsidP="00533403">
            <w:pPr>
              <w:jc w:val="both"/>
              <w:rPr>
                <w:rFonts w:ascii="Arial" w:hAnsi="Arial"/>
                <w:b/>
                <w:color w:val="000000"/>
                <w:lang w:val="en-GB"/>
              </w:rPr>
            </w:pPr>
            <w:r w:rsidRPr="00586B0C">
              <w:rPr>
                <w:rFonts w:ascii="Arial" w:hAnsi="Arial"/>
                <w:b/>
                <w:color w:val="000000"/>
                <w:lang w:val="en-GB"/>
              </w:rPr>
              <w:t xml:space="preserve">Net Income after </w:t>
            </w:r>
            <w:r w:rsidR="004E2191">
              <w:rPr>
                <w:rFonts w:ascii="Arial" w:hAnsi="Arial"/>
                <w:b/>
                <w:color w:val="000000"/>
                <w:lang w:val="en-GB"/>
              </w:rPr>
              <w:t>T</w:t>
            </w:r>
            <w:r w:rsidRPr="00586B0C">
              <w:rPr>
                <w:rFonts w:ascii="Arial" w:hAnsi="Arial"/>
                <w:b/>
                <w:color w:val="000000"/>
                <w:lang w:val="en-GB"/>
              </w:rPr>
              <w:t>ax</w:t>
            </w:r>
          </w:p>
        </w:tc>
        <w:tc>
          <w:tcPr>
            <w:tcW w:w="1649" w:type="dxa"/>
            <w:tcBorders>
              <w:top w:val="nil"/>
              <w:left w:val="nil"/>
              <w:bottom w:val="nil"/>
              <w:right w:val="nil"/>
            </w:tcBorders>
            <w:shd w:val="clear" w:color="auto" w:fill="auto"/>
            <w:noWrap/>
            <w:vAlign w:val="bottom"/>
            <w:hideMark/>
          </w:tcPr>
          <w:p w14:paraId="7AB60AEA" w14:textId="77777777" w:rsidR="00123BB5" w:rsidRPr="00586B0C" w:rsidRDefault="00123BB5" w:rsidP="00533403">
            <w:pPr>
              <w:tabs>
                <w:tab w:val="left" w:pos="120"/>
                <w:tab w:val="right" w:pos="1335"/>
              </w:tabs>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60,469 </w:t>
            </w:r>
          </w:p>
        </w:tc>
        <w:tc>
          <w:tcPr>
            <w:tcW w:w="1649" w:type="dxa"/>
            <w:tcBorders>
              <w:top w:val="nil"/>
              <w:left w:val="nil"/>
              <w:bottom w:val="nil"/>
              <w:right w:val="nil"/>
            </w:tcBorders>
            <w:shd w:val="clear" w:color="auto" w:fill="auto"/>
            <w:noWrap/>
            <w:vAlign w:val="bottom"/>
            <w:hideMark/>
          </w:tcPr>
          <w:p w14:paraId="34CDB2C3" w14:textId="77777777" w:rsidR="00123BB5" w:rsidRPr="00586B0C" w:rsidRDefault="00123BB5" w:rsidP="00533403">
            <w:pPr>
              <w:tabs>
                <w:tab w:val="left" w:pos="120"/>
                <w:tab w:val="right" w:pos="1335"/>
              </w:tabs>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51,934 </w:t>
            </w:r>
          </w:p>
        </w:tc>
      </w:tr>
    </w:tbl>
    <w:p w14:paraId="6CA59BC5" w14:textId="77777777" w:rsidR="00123BB5" w:rsidRPr="00586B0C" w:rsidRDefault="00123BB5" w:rsidP="00123BB5">
      <w:pPr>
        <w:jc w:val="both"/>
        <w:rPr>
          <w:sz w:val="22"/>
          <w:lang w:val="en-GB"/>
        </w:rPr>
      </w:pPr>
    </w:p>
    <w:p w14:paraId="2855CBEE" w14:textId="77777777" w:rsidR="00123BB5" w:rsidRPr="006D678A" w:rsidRDefault="00123BB5" w:rsidP="00123BB5">
      <w:pPr>
        <w:pStyle w:val="Footnote"/>
        <w:rPr>
          <w:sz w:val="22"/>
          <w:szCs w:val="22"/>
          <w:lang w:val="en-GB"/>
        </w:rPr>
      </w:pPr>
      <w:r w:rsidRPr="00586B0C">
        <w:rPr>
          <w:lang w:val="en-GB"/>
        </w:rPr>
        <w:t>Source: Company files.</w:t>
      </w:r>
    </w:p>
    <w:p w14:paraId="7E7D2A92" w14:textId="77777777" w:rsidR="00123BB5" w:rsidRPr="006D678A" w:rsidRDefault="00123BB5" w:rsidP="00123BB5">
      <w:pPr>
        <w:spacing w:after="200" w:line="276" w:lineRule="auto"/>
        <w:jc w:val="both"/>
        <w:rPr>
          <w:sz w:val="22"/>
          <w:szCs w:val="22"/>
          <w:lang w:val="en-GB"/>
        </w:rPr>
      </w:pPr>
      <w:r w:rsidRPr="006D678A">
        <w:rPr>
          <w:sz w:val="22"/>
          <w:szCs w:val="22"/>
          <w:lang w:val="en-GB"/>
        </w:rPr>
        <w:br w:type="page"/>
      </w:r>
    </w:p>
    <w:p w14:paraId="318CBD6A" w14:textId="53DA0C96" w:rsidR="00123BB5" w:rsidRPr="006D678A" w:rsidRDefault="00123BB5" w:rsidP="007E303E">
      <w:pPr>
        <w:pStyle w:val="ExhibitHeading"/>
        <w:rPr>
          <w:lang w:val="en-GB"/>
        </w:rPr>
      </w:pPr>
      <w:r w:rsidRPr="006D678A">
        <w:rPr>
          <w:lang w:val="en-GB"/>
        </w:rPr>
        <w:lastRenderedPageBreak/>
        <w:t xml:space="preserve">EXHIBIT 3: </w:t>
      </w:r>
      <w:r w:rsidR="00FE6D25">
        <w:rPr>
          <w:lang w:val="en-GB"/>
        </w:rPr>
        <w:t xml:space="preserve">The </w:t>
      </w:r>
      <w:r w:rsidR="00BD7FB5">
        <w:rPr>
          <w:lang w:val="en-GB"/>
        </w:rPr>
        <w:t xml:space="preserve">London Dance Shoppe </w:t>
      </w:r>
      <w:r w:rsidRPr="006D678A">
        <w:rPr>
          <w:lang w:val="en-GB"/>
        </w:rPr>
        <w:t>STATEMENT OF FINANCIAL POSITION</w:t>
      </w:r>
      <w:r w:rsidR="00F76402">
        <w:rPr>
          <w:lang w:val="en-GB"/>
        </w:rPr>
        <w:t xml:space="preserve"> </w:t>
      </w:r>
      <w:r w:rsidRPr="006D678A">
        <w:rPr>
          <w:lang w:val="en-GB"/>
        </w:rPr>
        <w:t>As at December 31</w:t>
      </w:r>
      <w:r w:rsidR="00FE6D25">
        <w:rPr>
          <w:lang w:val="en-GB"/>
        </w:rPr>
        <w:t xml:space="preserve"> (CA$)</w:t>
      </w:r>
    </w:p>
    <w:p w14:paraId="7F4B5130" w14:textId="77777777" w:rsidR="00123BB5" w:rsidRPr="006D678A" w:rsidRDefault="00123BB5" w:rsidP="00123BB5">
      <w:pPr>
        <w:jc w:val="both"/>
        <w:outlineLvl w:val="0"/>
        <w:rPr>
          <w:rFonts w:ascii="Arial" w:hAnsi="Arial" w:cs="Arial"/>
          <w:b/>
          <w:lang w:val="en-GB"/>
        </w:rPr>
      </w:pPr>
    </w:p>
    <w:tbl>
      <w:tblPr>
        <w:tblW w:w="7253" w:type="dxa"/>
        <w:jc w:val="center"/>
        <w:tblLook w:val="04A0" w:firstRow="1" w:lastRow="0" w:firstColumn="1" w:lastColumn="0" w:noHBand="0" w:noVBand="1"/>
        <w:tblCaption w:val="Exhibit 3"/>
        <w:tblDescription w:val="The London Dance Shoppe statement of financial position as at December 31"/>
      </w:tblPr>
      <w:tblGrid>
        <w:gridCol w:w="450"/>
        <w:gridCol w:w="4069"/>
        <w:gridCol w:w="1367"/>
        <w:gridCol w:w="1367"/>
      </w:tblGrid>
      <w:tr w:rsidR="00123BB5" w:rsidRPr="006D678A" w14:paraId="7FEC26D7" w14:textId="77777777" w:rsidTr="00260B90">
        <w:trPr>
          <w:trHeight w:val="294"/>
          <w:tblHeader/>
          <w:jc w:val="center"/>
        </w:trPr>
        <w:tc>
          <w:tcPr>
            <w:tcW w:w="450" w:type="dxa"/>
            <w:tcBorders>
              <w:top w:val="nil"/>
              <w:left w:val="nil"/>
              <w:bottom w:val="nil"/>
              <w:right w:val="nil"/>
            </w:tcBorders>
            <w:shd w:val="clear" w:color="auto" w:fill="auto"/>
            <w:noWrap/>
            <w:hideMark/>
          </w:tcPr>
          <w:p w14:paraId="07769BCC" w14:textId="77777777" w:rsidR="00123BB5" w:rsidRPr="00586B0C" w:rsidRDefault="00123BB5" w:rsidP="00533403">
            <w:pPr>
              <w:jc w:val="both"/>
              <w:rPr>
                <w:rFonts w:ascii="Arial" w:hAnsi="Arial"/>
                <w:lang w:val="en-GB"/>
              </w:rPr>
            </w:pPr>
          </w:p>
        </w:tc>
        <w:tc>
          <w:tcPr>
            <w:tcW w:w="4069" w:type="dxa"/>
            <w:tcBorders>
              <w:top w:val="nil"/>
              <w:left w:val="nil"/>
              <w:bottom w:val="nil"/>
              <w:right w:val="nil"/>
            </w:tcBorders>
            <w:shd w:val="clear" w:color="auto" w:fill="auto"/>
            <w:noWrap/>
            <w:hideMark/>
          </w:tcPr>
          <w:p w14:paraId="6C43903D" w14:textId="77777777" w:rsidR="00123BB5" w:rsidRPr="00586B0C" w:rsidRDefault="00123BB5" w:rsidP="00533403">
            <w:pPr>
              <w:jc w:val="both"/>
              <w:rPr>
                <w:rFonts w:ascii="Arial" w:hAnsi="Arial"/>
                <w:lang w:val="en-GB"/>
              </w:rPr>
            </w:pPr>
          </w:p>
        </w:tc>
        <w:tc>
          <w:tcPr>
            <w:tcW w:w="1367" w:type="dxa"/>
            <w:tcBorders>
              <w:top w:val="nil"/>
              <w:left w:val="nil"/>
              <w:bottom w:val="nil"/>
              <w:right w:val="nil"/>
            </w:tcBorders>
            <w:shd w:val="clear" w:color="auto" w:fill="auto"/>
            <w:noWrap/>
            <w:vAlign w:val="center"/>
            <w:hideMark/>
          </w:tcPr>
          <w:p w14:paraId="770157A9" w14:textId="77777777" w:rsidR="00123BB5" w:rsidRPr="00586B0C" w:rsidRDefault="00123BB5" w:rsidP="00533403">
            <w:pPr>
              <w:jc w:val="center"/>
              <w:rPr>
                <w:rFonts w:ascii="Arial" w:hAnsi="Arial"/>
                <w:b/>
                <w:color w:val="000000"/>
                <w:lang w:val="en-GB"/>
              </w:rPr>
            </w:pPr>
            <w:r w:rsidRPr="00586B0C">
              <w:rPr>
                <w:rFonts w:ascii="Arial" w:hAnsi="Arial"/>
                <w:b/>
                <w:color w:val="000000"/>
                <w:lang w:val="en-GB"/>
              </w:rPr>
              <w:t>2019</w:t>
            </w:r>
          </w:p>
        </w:tc>
        <w:tc>
          <w:tcPr>
            <w:tcW w:w="1367" w:type="dxa"/>
            <w:tcBorders>
              <w:top w:val="nil"/>
              <w:left w:val="nil"/>
              <w:bottom w:val="nil"/>
              <w:right w:val="nil"/>
            </w:tcBorders>
            <w:shd w:val="clear" w:color="auto" w:fill="auto"/>
            <w:noWrap/>
            <w:vAlign w:val="center"/>
            <w:hideMark/>
          </w:tcPr>
          <w:p w14:paraId="098CF6FE" w14:textId="77777777" w:rsidR="00123BB5" w:rsidRPr="00586B0C" w:rsidRDefault="00123BB5" w:rsidP="00533403">
            <w:pPr>
              <w:jc w:val="center"/>
              <w:rPr>
                <w:rFonts w:ascii="Arial" w:hAnsi="Arial"/>
                <w:b/>
                <w:color w:val="000000"/>
                <w:lang w:val="en-GB"/>
              </w:rPr>
            </w:pPr>
            <w:r w:rsidRPr="00586B0C">
              <w:rPr>
                <w:rFonts w:ascii="Arial" w:hAnsi="Arial"/>
                <w:b/>
                <w:color w:val="000000"/>
                <w:lang w:val="en-GB"/>
              </w:rPr>
              <w:t>2018</w:t>
            </w:r>
          </w:p>
        </w:tc>
      </w:tr>
      <w:tr w:rsidR="00123BB5" w:rsidRPr="006D678A" w14:paraId="48F62552" w14:textId="77777777" w:rsidTr="00260B90">
        <w:trPr>
          <w:trHeight w:val="294"/>
          <w:tblHeader/>
          <w:jc w:val="center"/>
        </w:trPr>
        <w:tc>
          <w:tcPr>
            <w:tcW w:w="4519" w:type="dxa"/>
            <w:gridSpan w:val="2"/>
            <w:tcBorders>
              <w:top w:val="nil"/>
              <w:left w:val="nil"/>
              <w:bottom w:val="nil"/>
              <w:right w:val="nil"/>
            </w:tcBorders>
            <w:shd w:val="clear" w:color="auto" w:fill="auto"/>
            <w:noWrap/>
            <w:vAlign w:val="center"/>
            <w:hideMark/>
          </w:tcPr>
          <w:p w14:paraId="219B0BA1"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 xml:space="preserve">ASSETS </w:t>
            </w:r>
          </w:p>
        </w:tc>
        <w:tc>
          <w:tcPr>
            <w:tcW w:w="1367" w:type="dxa"/>
            <w:tcBorders>
              <w:top w:val="nil"/>
              <w:left w:val="nil"/>
              <w:bottom w:val="nil"/>
              <w:right w:val="nil"/>
            </w:tcBorders>
            <w:shd w:val="clear" w:color="auto" w:fill="auto"/>
            <w:noWrap/>
            <w:hideMark/>
          </w:tcPr>
          <w:p w14:paraId="5419ED56" w14:textId="77777777" w:rsidR="00123BB5" w:rsidRPr="00586B0C" w:rsidRDefault="00123BB5" w:rsidP="00533403">
            <w:pPr>
              <w:jc w:val="both"/>
              <w:rPr>
                <w:rFonts w:ascii="Arial" w:hAnsi="Arial"/>
                <w:b/>
                <w:color w:val="000000"/>
                <w:lang w:val="en-GB"/>
              </w:rPr>
            </w:pPr>
          </w:p>
        </w:tc>
        <w:tc>
          <w:tcPr>
            <w:tcW w:w="1367" w:type="dxa"/>
            <w:tcBorders>
              <w:top w:val="nil"/>
              <w:left w:val="nil"/>
              <w:bottom w:val="nil"/>
              <w:right w:val="nil"/>
            </w:tcBorders>
            <w:shd w:val="clear" w:color="auto" w:fill="auto"/>
            <w:noWrap/>
            <w:hideMark/>
          </w:tcPr>
          <w:p w14:paraId="01B2F1E2" w14:textId="77777777" w:rsidR="00123BB5" w:rsidRPr="00586B0C" w:rsidRDefault="00123BB5" w:rsidP="00533403">
            <w:pPr>
              <w:jc w:val="both"/>
              <w:rPr>
                <w:rFonts w:ascii="Arial" w:hAnsi="Arial"/>
                <w:lang w:val="en-GB"/>
              </w:rPr>
            </w:pPr>
          </w:p>
        </w:tc>
      </w:tr>
      <w:tr w:rsidR="00123BB5" w:rsidRPr="006D678A" w14:paraId="470D852B" w14:textId="77777777" w:rsidTr="00260B90">
        <w:trPr>
          <w:trHeight w:val="294"/>
          <w:tblHeader/>
          <w:jc w:val="center"/>
        </w:trPr>
        <w:tc>
          <w:tcPr>
            <w:tcW w:w="4519" w:type="dxa"/>
            <w:gridSpan w:val="2"/>
            <w:tcBorders>
              <w:top w:val="nil"/>
              <w:left w:val="nil"/>
              <w:bottom w:val="nil"/>
              <w:right w:val="nil"/>
            </w:tcBorders>
            <w:shd w:val="clear" w:color="auto" w:fill="auto"/>
            <w:noWrap/>
            <w:vAlign w:val="center"/>
            <w:hideMark/>
          </w:tcPr>
          <w:p w14:paraId="260299CD" w14:textId="6F21B62C" w:rsidR="00123BB5" w:rsidRPr="00586B0C" w:rsidRDefault="00123BB5" w:rsidP="00533403">
            <w:pPr>
              <w:jc w:val="both"/>
              <w:rPr>
                <w:rFonts w:ascii="Arial" w:hAnsi="Arial"/>
                <w:b/>
                <w:color w:val="000000"/>
                <w:lang w:val="en-GB"/>
              </w:rPr>
            </w:pPr>
            <w:r w:rsidRPr="00586B0C">
              <w:rPr>
                <w:rFonts w:ascii="Arial" w:hAnsi="Arial"/>
                <w:b/>
                <w:color w:val="000000"/>
                <w:lang w:val="en-GB"/>
              </w:rPr>
              <w:t xml:space="preserve">Current </w:t>
            </w:r>
            <w:r w:rsidR="007E303E">
              <w:rPr>
                <w:rFonts w:ascii="Arial" w:hAnsi="Arial"/>
                <w:b/>
                <w:color w:val="000000"/>
                <w:lang w:val="en-GB"/>
              </w:rPr>
              <w:t>Assets</w:t>
            </w:r>
          </w:p>
        </w:tc>
        <w:tc>
          <w:tcPr>
            <w:tcW w:w="1367" w:type="dxa"/>
            <w:tcBorders>
              <w:top w:val="nil"/>
              <w:left w:val="nil"/>
              <w:bottom w:val="nil"/>
              <w:right w:val="nil"/>
            </w:tcBorders>
            <w:shd w:val="clear" w:color="auto" w:fill="auto"/>
            <w:noWrap/>
            <w:hideMark/>
          </w:tcPr>
          <w:p w14:paraId="4CD3243D" w14:textId="77777777" w:rsidR="00123BB5" w:rsidRPr="00586B0C" w:rsidRDefault="00123BB5" w:rsidP="00533403">
            <w:pPr>
              <w:jc w:val="both"/>
              <w:rPr>
                <w:rFonts w:ascii="Arial" w:hAnsi="Arial"/>
                <w:b/>
                <w:color w:val="000000"/>
                <w:lang w:val="en-GB"/>
              </w:rPr>
            </w:pPr>
          </w:p>
        </w:tc>
        <w:tc>
          <w:tcPr>
            <w:tcW w:w="1367" w:type="dxa"/>
            <w:tcBorders>
              <w:top w:val="nil"/>
              <w:left w:val="nil"/>
              <w:bottom w:val="nil"/>
              <w:right w:val="nil"/>
            </w:tcBorders>
            <w:shd w:val="clear" w:color="auto" w:fill="auto"/>
            <w:noWrap/>
            <w:hideMark/>
          </w:tcPr>
          <w:p w14:paraId="5B221F09" w14:textId="77777777" w:rsidR="00123BB5" w:rsidRPr="00586B0C" w:rsidRDefault="00123BB5" w:rsidP="00533403">
            <w:pPr>
              <w:jc w:val="both"/>
              <w:rPr>
                <w:rFonts w:ascii="Arial" w:hAnsi="Arial"/>
                <w:lang w:val="en-GB"/>
              </w:rPr>
            </w:pPr>
          </w:p>
        </w:tc>
      </w:tr>
      <w:tr w:rsidR="00123BB5" w:rsidRPr="006D678A" w14:paraId="1F6E390E" w14:textId="77777777" w:rsidTr="00260B90">
        <w:trPr>
          <w:trHeight w:val="294"/>
          <w:tblHeader/>
          <w:jc w:val="center"/>
        </w:trPr>
        <w:tc>
          <w:tcPr>
            <w:tcW w:w="450" w:type="dxa"/>
            <w:tcBorders>
              <w:top w:val="nil"/>
              <w:left w:val="nil"/>
              <w:bottom w:val="nil"/>
              <w:right w:val="nil"/>
            </w:tcBorders>
            <w:shd w:val="clear" w:color="auto" w:fill="auto"/>
            <w:noWrap/>
            <w:hideMark/>
          </w:tcPr>
          <w:p w14:paraId="6CBAA7D9" w14:textId="77777777" w:rsidR="00123BB5" w:rsidRPr="00586B0C" w:rsidRDefault="00123BB5" w:rsidP="00533403">
            <w:pPr>
              <w:jc w:val="both"/>
              <w:rPr>
                <w:rFonts w:ascii="Arial" w:hAnsi="Arial"/>
                <w:lang w:val="en-GB"/>
              </w:rPr>
            </w:pPr>
          </w:p>
        </w:tc>
        <w:tc>
          <w:tcPr>
            <w:tcW w:w="4069" w:type="dxa"/>
            <w:tcBorders>
              <w:top w:val="nil"/>
              <w:left w:val="nil"/>
              <w:bottom w:val="nil"/>
              <w:right w:val="nil"/>
            </w:tcBorders>
            <w:shd w:val="clear" w:color="auto" w:fill="auto"/>
            <w:noWrap/>
            <w:vAlign w:val="center"/>
            <w:hideMark/>
          </w:tcPr>
          <w:p w14:paraId="4FC618E2"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Cash</w:t>
            </w:r>
          </w:p>
        </w:tc>
        <w:tc>
          <w:tcPr>
            <w:tcW w:w="1367" w:type="dxa"/>
            <w:tcBorders>
              <w:top w:val="nil"/>
              <w:left w:val="nil"/>
              <w:bottom w:val="nil"/>
              <w:right w:val="nil"/>
            </w:tcBorders>
            <w:shd w:val="clear" w:color="auto" w:fill="auto"/>
            <w:noWrap/>
            <w:vAlign w:val="center"/>
            <w:hideMark/>
          </w:tcPr>
          <w:p w14:paraId="7DB5630D"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7,708 </w:t>
            </w:r>
          </w:p>
        </w:tc>
        <w:tc>
          <w:tcPr>
            <w:tcW w:w="1367" w:type="dxa"/>
            <w:tcBorders>
              <w:top w:val="nil"/>
              <w:left w:val="nil"/>
              <w:bottom w:val="nil"/>
              <w:right w:val="nil"/>
            </w:tcBorders>
            <w:shd w:val="clear" w:color="auto" w:fill="auto"/>
            <w:noWrap/>
            <w:vAlign w:val="center"/>
            <w:hideMark/>
          </w:tcPr>
          <w:p w14:paraId="32A5D878"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6,170 </w:t>
            </w:r>
          </w:p>
        </w:tc>
      </w:tr>
      <w:tr w:rsidR="00123BB5" w:rsidRPr="006D678A" w14:paraId="5B221237" w14:textId="77777777" w:rsidTr="00260B90">
        <w:trPr>
          <w:trHeight w:val="294"/>
          <w:tblHeader/>
          <w:jc w:val="center"/>
        </w:trPr>
        <w:tc>
          <w:tcPr>
            <w:tcW w:w="450" w:type="dxa"/>
            <w:tcBorders>
              <w:top w:val="nil"/>
              <w:left w:val="nil"/>
              <w:bottom w:val="nil"/>
              <w:right w:val="nil"/>
            </w:tcBorders>
            <w:shd w:val="clear" w:color="auto" w:fill="auto"/>
            <w:noWrap/>
            <w:hideMark/>
          </w:tcPr>
          <w:p w14:paraId="628F902C" w14:textId="77777777" w:rsidR="00123BB5" w:rsidRPr="00586B0C" w:rsidRDefault="00123BB5" w:rsidP="00533403">
            <w:pPr>
              <w:jc w:val="both"/>
              <w:rPr>
                <w:rFonts w:ascii="Arial" w:hAnsi="Arial"/>
                <w:color w:val="000000"/>
                <w:lang w:val="en-GB"/>
              </w:rPr>
            </w:pPr>
          </w:p>
        </w:tc>
        <w:tc>
          <w:tcPr>
            <w:tcW w:w="4069" w:type="dxa"/>
            <w:tcBorders>
              <w:top w:val="nil"/>
              <w:left w:val="nil"/>
              <w:bottom w:val="nil"/>
              <w:right w:val="nil"/>
            </w:tcBorders>
            <w:shd w:val="clear" w:color="auto" w:fill="auto"/>
            <w:noWrap/>
            <w:vAlign w:val="center"/>
            <w:hideMark/>
          </w:tcPr>
          <w:p w14:paraId="389AC9C4" w14:textId="7B56B476" w:rsidR="00123BB5" w:rsidRPr="00586B0C" w:rsidRDefault="00123BB5" w:rsidP="00533403">
            <w:pPr>
              <w:jc w:val="both"/>
              <w:rPr>
                <w:rFonts w:ascii="Arial" w:hAnsi="Arial"/>
                <w:color w:val="000000"/>
                <w:lang w:val="en-GB"/>
              </w:rPr>
            </w:pPr>
            <w:r w:rsidRPr="00586B0C">
              <w:rPr>
                <w:rFonts w:ascii="Arial" w:hAnsi="Arial"/>
                <w:color w:val="000000"/>
                <w:lang w:val="en-GB"/>
              </w:rPr>
              <w:t xml:space="preserve">Accounts </w:t>
            </w:r>
            <w:r w:rsidR="007E303E">
              <w:rPr>
                <w:rFonts w:ascii="Arial" w:hAnsi="Arial"/>
                <w:color w:val="000000"/>
                <w:lang w:val="en-GB"/>
              </w:rPr>
              <w:t>Receivable</w:t>
            </w:r>
          </w:p>
        </w:tc>
        <w:tc>
          <w:tcPr>
            <w:tcW w:w="1367" w:type="dxa"/>
            <w:tcBorders>
              <w:top w:val="nil"/>
              <w:left w:val="nil"/>
              <w:bottom w:val="nil"/>
              <w:right w:val="nil"/>
            </w:tcBorders>
            <w:shd w:val="clear" w:color="auto" w:fill="auto"/>
            <w:noWrap/>
            <w:vAlign w:val="center"/>
            <w:hideMark/>
          </w:tcPr>
          <w:p w14:paraId="253B3F9E"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1,090 </w:t>
            </w:r>
          </w:p>
        </w:tc>
        <w:tc>
          <w:tcPr>
            <w:tcW w:w="1367" w:type="dxa"/>
            <w:tcBorders>
              <w:top w:val="nil"/>
              <w:left w:val="nil"/>
              <w:bottom w:val="nil"/>
              <w:right w:val="nil"/>
            </w:tcBorders>
            <w:shd w:val="clear" w:color="auto" w:fill="auto"/>
            <w:noWrap/>
            <w:vAlign w:val="center"/>
            <w:hideMark/>
          </w:tcPr>
          <w:p w14:paraId="6D045AF3"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586 </w:t>
            </w:r>
          </w:p>
        </w:tc>
      </w:tr>
      <w:tr w:rsidR="00123BB5" w:rsidRPr="006D678A" w14:paraId="2DFC876F" w14:textId="77777777" w:rsidTr="00260B90">
        <w:trPr>
          <w:trHeight w:val="294"/>
          <w:tblHeader/>
          <w:jc w:val="center"/>
        </w:trPr>
        <w:tc>
          <w:tcPr>
            <w:tcW w:w="450" w:type="dxa"/>
            <w:tcBorders>
              <w:top w:val="nil"/>
              <w:left w:val="nil"/>
              <w:bottom w:val="nil"/>
              <w:right w:val="nil"/>
            </w:tcBorders>
            <w:shd w:val="clear" w:color="auto" w:fill="auto"/>
            <w:noWrap/>
            <w:hideMark/>
          </w:tcPr>
          <w:p w14:paraId="45219E39" w14:textId="77777777" w:rsidR="00123BB5" w:rsidRPr="00586B0C" w:rsidRDefault="00123BB5" w:rsidP="00533403">
            <w:pPr>
              <w:jc w:val="both"/>
              <w:rPr>
                <w:rFonts w:ascii="Arial" w:hAnsi="Arial"/>
                <w:color w:val="000000"/>
                <w:lang w:val="en-GB"/>
              </w:rPr>
            </w:pPr>
          </w:p>
        </w:tc>
        <w:tc>
          <w:tcPr>
            <w:tcW w:w="4069" w:type="dxa"/>
            <w:tcBorders>
              <w:top w:val="nil"/>
              <w:left w:val="nil"/>
              <w:bottom w:val="nil"/>
              <w:right w:val="nil"/>
            </w:tcBorders>
            <w:shd w:val="clear" w:color="auto" w:fill="auto"/>
            <w:noWrap/>
            <w:vAlign w:val="center"/>
            <w:hideMark/>
          </w:tcPr>
          <w:p w14:paraId="35BFCD2B"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Inventory</w:t>
            </w:r>
          </w:p>
        </w:tc>
        <w:tc>
          <w:tcPr>
            <w:tcW w:w="1367" w:type="dxa"/>
            <w:tcBorders>
              <w:top w:val="nil"/>
              <w:left w:val="nil"/>
              <w:bottom w:val="nil"/>
              <w:right w:val="nil"/>
            </w:tcBorders>
            <w:shd w:val="clear" w:color="auto" w:fill="auto"/>
            <w:noWrap/>
            <w:vAlign w:val="center"/>
            <w:hideMark/>
          </w:tcPr>
          <w:p w14:paraId="1A2ECA02"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40,833 </w:t>
            </w:r>
          </w:p>
        </w:tc>
        <w:tc>
          <w:tcPr>
            <w:tcW w:w="1367" w:type="dxa"/>
            <w:tcBorders>
              <w:top w:val="nil"/>
              <w:left w:val="nil"/>
              <w:bottom w:val="nil"/>
              <w:right w:val="nil"/>
            </w:tcBorders>
            <w:shd w:val="clear" w:color="auto" w:fill="auto"/>
            <w:noWrap/>
            <w:vAlign w:val="center"/>
            <w:hideMark/>
          </w:tcPr>
          <w:p w14:paraId="10086AF9"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37,025 </w:t>
            </w:r>
          </w:p>
        </w:tc>
      </w:tr>
      <w:tr w:rsidR="00123BB5" w:rsidRPr="006D678A" w14:paraId="41EEB165" w14:textId="77777777" w:rsidTr="00260B90">
        <w:trPr>
          <w:trHeight w:val="304"/>
          <w:tblHeader/>
          <w:jc w:val="center"/>
        </w:trPr>
        <w:tc>
          <w:tcPr>
            <w:tcW w:w="450" w:type="dxa"/>
            <w:tcBorders>
              <w:top w:val="nil"/>
              <w:left w:val="nil"/>
              <w:bottom w:val="nil"/>
              <w:right w:val="nil"/>
            </w:tcBorders>
            <w:shd w:val="clear" w:color="auto" w:fill="auto"/>
            <w:noWrap/>
            <w:hideMark/>
          </w:tcPr>
          <w:p w14:paraId="4BE470E9" w14:textId="77777777" w:rsidR="00123BB5" w:rsidRPr="00586B0C" w:rsidRDefault="00123BB5" w:rsidP="00533403">
            <w:pPr>
              <w:jc w:val="both"/>
              <w:rPr>
                <w:rFonts w:ascii="Arial" w:hAnsi="Arial"/>
                <w:color w:val="000000"/>
                <w:lang w:val="en-GB"/>
              </w:rPr>
            </w:pPr>
          </w:p>
        </w:tc>
        <w:tc>
          <w:tcPr>
            <w:tcW w:w="4069" w:type="dxa"/>
            <w:tcBorders>
              <w:top w:val="nil"/>
              <w:left w:val="nil"/>
              <w:bottom w:val="nil"/>
              <w:right w:val="nil"/>
            </w:tcBorders>
            <w:shd w:val="clear" w:color="auto" w:fill="auto"/>
            <w:noWrap/>
            <w:vAlign w:val="center"/>
            <w:hideMark/>
          </w:tcPr>
          <w:p w14:paraId="15CC6E58"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Prepayments</w:t>
            </w:r>
          </w:p>
        </w:tc>
        <w:tc>
          <w:tcPr>
            <w:tcW w:w="1367" w:type="dxa"/>
            <w:tcBorders>
              <w:top w:val="nil"/>
              <w:left w:val="nil"/>
              <w:bottom w:val="single" w:sz="8" w:space="0" w:color="auto"/>
              <w:right w:val="nil"/>
            </w:tcBorders>
            <w:shd w:val="clear" w:color="auto" w:fill="auto"/>
            <w:noWrap/>
            <w:vAlign w:val="center"/>
            <w:hideMark/>
          </w:tcPr>
          <w:p w14:paraId="5EB1D552"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1,505 </w:t>
            </w:r>
          </w:p>
        </w:tc>
        <w:tc>
          <w:tcPr>
            <w:tcW w:w="1367" w:type="dxa"/>
            <w:tcBorders>
              <w:top w:val="nil"/>
              <w:left w:val="nil"/>
              <w:bottom w:val="single" w:sz="8" w:space="0" w:color="auto"/>
              <w:right w:val="nil"/>
            </w:tcBorders>
            <w:shd w:val="clear" w:color="auto" w:fill="auto"/>
            <w:noWrap/>
            <w:vAlign w:val="center"/>
            <w:hideMark/>
          </w:tcPr>
          <w:p w14:paraId="6751A332"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1,499 </w:t>
            </w:r>
          </w:p>
        </w:tc>
      </w:tr>
      <w:tr w:rsidR="00123BB5" w:rsidRPr="006D678A" w14:paraId="4AA29BE2" w14:textId="77777777" w:rsidTr="00260B90">
        <w:trPr>
          <w:trHeight w:val="294"/>
          <w:tblHeader/>
          <w:jc w:val="center"/>
        </w:trPr>
        <w:tc>
          <w:tcPr>
            <w:tcW w:w="4519" w:type="dxa"/>
            <w:gridSpan w:val="2"/>
            <w:tcBorders>
              <w:top w:val="nil"/>
              <w:left w:val="nil"/>
              <w:bottom w:val="nil"/>
              <w:right w:val="nil"/>
            </w:tcBorders>
            <w:shd w:val="clear" w:color="auto" w:fill="auto"/>
            <w:noWrap/>
            <w:vAlign w:val="center"/>
            <w:hideMark/>
          </w:tcPr>
          <w:p w14:paraId="7D184FAC" w14:textId="48560415" w:rsidR="00123BB5" w:rsidRPr="00586B0C" w:rsidRDefault="00123BB5" w:rsidP="00533403">
            <w:pPr>
              <w:jc w:val="both"/>
              <w:rPr>
                <w:rFonts w:ascii="Arial" w:hAnsi="Arial"/>
                <w:b/>
                <w:color w:val="000000"/>
                <w:lang w:val="en-GB"/>
              </w:rPr>
            </w:pPr>
            <w:r w:rsidRPr="00586B0C">
              <w:rPr>
                <w:rFonts w:ascii="Arial" w:hAnsi="Arial"/>
                <w:b/>
                <w:color w:val="000000"/>
                <w:lang w:val="en-GB"/>
              </w:rPr>
              <w:t xml:space="preserve">Total </w:t>
            </w:r>
            <w:r w:rsidR="007E303E">
              <w:rPr>
                <w:rFonts w:ascii="Arial" w:hAnsi="Arial"/>
                <w:b/>
                <w:color w:val="000000"/>
                <w:lang w:val="en-GB"/>
              </w:rPr>
              <w:t>Current Assets</w:t>
            </w:r>
          </w:p>
        </w:tc>
        <w:tc>
          <w:tcPr>
            <w:tcW w:w="1367" w:type="dxa"/>
            <w:tcBorders>
              <w:top w:val="nil"/>
              <w:left w:val="nil"/>
              <w:bottom w:val="nil"/>
              <w:right w:val="nil"/>
            </w:tcBorders>
            <w:shd w:val="clear" w:color="auto" w:fill="auto"/>
            <w:noWrap/>
            <w:vAlign w:val="center"/>
            <w:hideMark/>
          </w:tcPr>
          <w:p w14:paraId="28B56D7A"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51,136 </w:t>
            </w:r>
          </w:p>
        </w:tc>
        <w:tc>
          <w:tcPr>
            <w:tcW w:w="1367" w:type="dxa"/>
            <w:tcBorders>
              <w:top w:val="nil"/>
              <w:left w:val="nil"/>
              <w:bottom w:val="nil"/>
              <w:right w:val="nil"/>
            </w:tcBorders>
            <w:shd w:val="clear" w:color="auto" w:fill="auto"/>
            <w:noWrap/>
            <w:vAlign w:val="center"/>
            <w:hideMark/>
          </w:tcPr>
          <w:p w14:paraId="53359BB0"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45,280 </w:t>
            </w:r>
          </w:p>
        </w:tc>
      </w:tr>
      <w:tr w:rsidR="00123BB5" w:rsidRPr="006D678A" w14:paraId="6E655E60" w14:textId="77777777" w:rsidTr="00260B90">
        <w:trPr>
          <w:trHeight w:val="144"/>
          <w:tblHeader/>
          <w:jc w:val="center"/>
        </w:trPr>
        <w:tc>
          <w:tcPr>
            <w:tcW w:w="450" w:type="dxa"/>
            <w:tcBorders>
              <w:top w:val="nil"/>
              <w:left w:val="nil"/>
              <w:bottom w:val="nil"/>
              <w:right w:val="nil"/>
            </w:tcBorders>
            <w:shd w:val="clear" w:color="auto" w:fill="auto"/>
            <w:noWrap/>
            <w:hideMark/>
          </w:tcPr>
          <w:p w14:paraId="5B430AFC" w14:textId="77777777" w:rsidR="00123BB5" w:rsidRPr="00586B0C" w:rsidRDefault="00123BB5" w:rsidP="00533403">
            <w:pPr>
              <w:jc w:val="both"/>
              <w:rPr>
                <w:rFonts w:ascii="Arial" w:hAnsi="Arial"/>
                <w:color w:val="000000"/>
                <w:lang w:val="en-GB"/>
              </w:rPr>
            </w:pPr>
          </w:p>
        </w:tc>
        <w:tc>
          <w:tcPr>
            <w:tcW w:w="4069" w:type="dxa"/>
            <w:tcBorders>
              <w:top w:val="nil"/>
              <w:left w:val="nil"/>
              <w:bottom w:val="nil"/>
              <w:right w:val="nil"/>
            </w:tcBorders>
            <w:shd w:val="clear" w:color="auto" w:fill="auto"/>
            <w:noWrap/>
            <w:hideMark/>
          </w:tcPr>
          <w:p w14:paraId="3609563D" w14:textId="77777777" w:rsidR="00123BB5" w:rsidRPr="00586B0C" w:rsidRDefault="00123BB5" w:rsidP="00533403">
            <w:pPr>
              <w:jc w:val="both"/>
              <w:rPr>
                <w:rFonts w:ascii="Arial" w:hAnsi="Arial"/>
                <w:lang w:val="en-GB"/>
              </w:rPr>
            </w:pPr>
          </w:p>
        </w:tc>
        <w:tc>
          <w:tcPr>
            <w:tcW w:w="1367" w:type="dxa"/>
            <w:tcBorders>
              <w:top w:val="nil"/>
              <w:left w:val="nil"/>
              <w:bottom w:val="nil"/>
              <w:right w:val="nil"/>
            </w:tcBorders>
            <w:shd w:val="clear" w:color="auto" w:fill="auto"/>
            <w:noWrap/>
            <w:vAlign w:val="bottom"/>
            <w:hideMark/>
          </w:tcPr>
          <w:p w14:paraId="1F3E4332" w14:textId="77777777" w:rsidR="00123BB5" w:rsidRPr="00586B0C" w:rsidRDefault="00123BB5" w:rsidP="00533403">
            <w:pPr>
              <w:tabs>
                <w:tab w:val="left" w:pos="60"/>
                <w:tab w:val="right" w:pos="1140"/>
              </w:tabs>
              <w:jc w:val="both"/>
              <w:rPr>
                <w:rFonts w:ascii="Arial" w:hAnsi="Arial"/>
                <w:color w:val="000000"/>
                <w:lang w:val="en-GB"/>
              </w:rPr>
            </w:pPr>
          </w:p>
        </w:tc>
        <w:tc>
          <w:tcPr>
            <w:tcW w:w="1367" w:type="dxa"/>
            <w:tcBorders>
              <w:top w:val="nil"/>
              <w:left w:val="nil"/>
              <w:bottom w:val="nil"/>
              <w:right w:val="nil"/>
            </w:tcBorders>
            <w:shd w:val="clear" w:color="auto" w:fill="auto"/>
            <w:noWrap/>
            <w:vAlign w:val="bottom"/>
            <w:hideMark/>
          </w:tcPr>
          <w:p w14:paraId="32A49142" w14:textId="77777777" w:rsidR="00123BB5" w:rsidRPr="00586B0C" w:rsidRDefault="00123BB5" w:rsidP="00533403">
            <w:pPr>
              <w:jc w:val="both"/>
              <w:rPr>
                <w:rFonts w:ascii="Arial" w:hAnsi="Arial"/>
                <w:lang w:val="en-GB"/>
              </w:rPr>
            </w:pPr>
          </w:p>
        </w:tc>
      </w:tr>
      <w:tr w:rsidR="00123BB5" w:rsidRPr="006D678A" w14:paraId="1D6EF313" w14:textId="77777777" w:rsidTr="00260B90">
        <w:trPr>
          <w:trHeight w:val="304"/>
          <w:tblHeader/>
          <w:jc w:val="center"/>
        </w:trPr>
        <w:tc>
          <w:tcPr>
            <w:tcW w:w="4519" w:type="dxa"/>
            <w:gridSpan w:val="2"/>
            <w:tcBorders>
              <w:top w:val="nil"/>
              <w:left w:val="nil"/>
              <w:bottom w:val="nil"/>
              <w:right w:val="nil"/>
            </w:tcBorders>
            <w:shd w:val="clear" w:color="auto" w:fill="auto"/>
            <w:noWrap/>
            <w:vAlign w:val="center"/>
            <w:hideMark/>
          </w:tcPr>
          <w:p w14:paraId="41E27B11" w14:textId="26E78527" w:rsidR="00123BB5" w:rsidRPr="00586B0C" w:rsidRDefault="00123BB5" w:rsidP="00533403">
            <w:pPr>
              <w:jc w:val="both"/>
              <w:rPr>
                <w:rFonts w:ascii="Arial" w:hAnsi="Arial"/>
                <w:b/>
                <w:color w:val="000000"/>
                <w:lang w:val="en-GB"/>
              </w:rPr>
            </w:pPr>
            <w:r w:rsidRPr="00586B0C">
              <w:rPr>
                <w:rFonts w:ascii="Arial" w:hAnsi="Arial"/>
                <w:b/>
                <w:color w:val="000000"/>
                <w:lang w:val="en-GB"/>
              </w:rPr>
              <w:t xml:space="preserve">Fixed </w:t>
            </w:r>
            <w:r w:rsidR="007E303E">
              <w:rPr>
                <w:rFonts w:ascii="Arial" w:hAnsi="Arial"/>
                <w:b/>
                <w:color w:val="000000"/>
                <w:lang w:val="en-GB"/>
              </w:rPr>
              <w:t>Assets</w:t>
            </w:r>
          </w:p>
        </w:tc>
        <w:tc>
          <w:tcPr>
            <w:tcW w:w="1367" w:type="dxa"/>
            <w:tcBorders>
              <w:top w:val="nil"/>
              <w:left w:val="nil"/>
              <w:bottom w:val="nil"/>
              <w:right w:val="nil"/>
            </w:tcBorders>
            <w:shd w:val="clear" w:color="auto" w:fill="auto"/>
            <w:noWrap/>
            <w:vAlign w:val="bottom"/>
            <w:hideMark/>
          </w:tcPr>
          <w:p w14:paraId="28980E20" w14:textId="77777777" w:rsidR="00123BB5" w:rsidRPr="00586B0C" w:rsidRDefault="00123BB5" w:rsidP="00533403">
            <w:pPr>
              <w:tabs>
                <w:tab w:val="left" w:pos="60"/>
                <w:tab w:val="right" w:pos="1140"/>
              </w:tabs>
              <w:jc w:val="both"/>
              <w:rPr>
                <w:rFonts w:ascii="Arial" w:hAnsi="Arial"/>
                <w:color w:val="000000"/>
                <w:lang w:val="en-GB"/>
              </w:rPr>
            </w:pPr>
          </w:p>
        </w:tc>
        <w:tc>
          <w:tcPr>
            <w:tcW w:w="1367" w:type="dxa"/>
            <w:tcBorders>
              <w:top w:val="nil"/>
              <w:left w:val="nil"/>
              <w:bottom w:val="nil"/>
              <w:right w:val="nil"/>
            </w:tcBorders>
            <w:shd w:val="clear" w:color="auto" w:fill="auto"/>
            <w:noWrap/>
            <w:vAlign w:val="bottom"/>
            <w:hideMark/>
          </w:tcPr>
          <w:p w14:paraId="6C629805" w14:textId="77777777" w:rsidR="00123BB5" w:rsidRPr="00586B0C" w:rsidRDefault="00123BB5" w:rsidP="00533403">
            <w:pPr>
              <w:jc w:val="both"/>
              <w:rPr>
                <w:rFonts w:ascii="Arial" w:hAnsi="Arial"/>
                <w:lang w:val="en-GB"/>
              </w:rPr>
            </w:pPr>
          </w:p>
        </w:tc>
      </w:tr>
      <w:tr w:rsidR="00123BB5" w:rsidRPr="006D678A" w14:paraId="4FE4D52D" w14:textId="77777777" w:rsidTr="00260B90">
        <w:trPr>
          <w:trHeight w:val="294"/>
          <w:tblHeader/>
          <w:jc w:val="center"/>
        </w:trPr>
        <w:tc>
          <w:tcPr>
            <w:tcW w:w="450" w:type="dxa"/>
            <w:tcBorders>
              <w:top w:val="nil"/>
              <w:left w:val="nil"/>
              <w:bottom w:val="nil"/>
              <w:right w:val="nil"/>
            </w:tcBorders>
            <w:shd w:val="clear" w:color="auto" w:fill="auto"/>
            <w:noWrap/>
            <w:hideMark/>
          </w:tcPr>
          <w:p w14:paraId="446FF219" w14:textId="77777777" w:rsidR="00123BB5" w:rsidRPr="00586B0C" w:rsidRDefault="00123BB5" w:rsidP="00533403">
            <w:pPr>
              <w:jc w:val="both"/>
              <w:rPr>
                <w:rFonts w:ascii="Arial" w:hAnsi="Arial"/>
                <w:lang w:val="en-GB"/>
              </w:rPr>
            </w:pPr>
          </w:p>
        </w:tc>
        <w:tc>
          <w:tcPr>
            <w:tcW w:w="4069" w:type="dxa"/>
            <w:tcBorders>
              <w:top w:val="nil"/>
              <w:left w:val="nil"/>
              <w:bottom w:val="nil"/>
              <w:right w:val="nil"/>
            </w:tcBorders>
            <w:shd w:val="clear" w:color="auto" w:fill="auto"/>
            <w:noWrap/>
            <w:vAlign w:val="center"/>
            <w:hideMark/>
          </w:tcPr>
          <w:p w14:paraId="15A78CE4" w14:textId="64EAFC53" w:rsidR="00123BB5" w:rsidRPr="00586B0C" w:rsidRDefault="00123BB5" w:rsidP="00533403">
            <w:pPr>
              <w:jc w:val="both"/>
              <w:rPr>
                <w:rFonts w:ascii="Arial" w:hAnsi="Arial"/>
                <w:color w:val="000000"/>
                <w:lang w:val="en-GB"/>
              </w:rPr>
            </w:pPr>
            <w:r w:rsidRPr="00586B0C">
              <w:rPr>
                <w:rFonts w:ascii="Arial" w:hAnsi="Arial"/>
                <w:color w:val="000000"/>
                <w:lang w:val="en-GB"/>
              </w:rPr>
              <w:t>Furniture and Equipment</w:t>
            </w:r>
          </w:p>
        </w:tc>
        <w:tc>
          <w:tcPr>
            <w:tcW w:w="1367" w:type="dxa"/>
            <w:tcBorders>
              <w:top w:val="nil"/>
              <w:left w:val="nil"/>
              <w:bottom w:val="nil"/>
              <w:right w:val="nil"/>
            </w:tcBorders>
            <w:shd w:val="clear" w:color="auto" w:fill="auto"/>
            <w:noWrap/>
            <w:vAlign w:val="center"/>
            <w:hideMark/>
          </w:tcPr>
          <w:p w14:paraId="57D4B834"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8,556 </w:t>
            </w:r>
          </w:p>
        </w:tc>
        <w:tc>
          <w:tcPr>
            <w:tcW w:w="1367" w:type="dxa"/>
            <w:tcBorders>
              <w:top w:val="nil"/>
              <w:left w:val="nil"/>
              <w:bottom w:val="nil"/>
              <w:right w:val="nil"/>
            </w:tcBorders>
            <w:shd w:val="clear" w:color="auto" w:fill="auto"/>
            <w:noWrap/>
            <w:vAlign w:val="center"/>
            <w:hideMark/>
          </w:tcPr>
          <w:p w14:paraId="16AB97A2"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7,508</w:t>
            </w:r>
          </w:p>
        </w:tc>
      </w:tr>
      <w:tr w:rsidR="00123BB5" w:rsidRPr="006D678A" w14:paraId="23305DB3" w14:textId="77777777" w:rsidTr="00260B90">
        <w:trPr>
          <w:trHeight w:val="385"/>
          <w:tblHeader/>
          <w:jc w:val="center"/>
        </w:trPr>
        <w:tc>
          <w:tcPr>
            <w:tcW w:w="450" w:type="dxa"/>
            <w:tcBorders>
              <w:top w:val="nil"/>
              <w:left w:val="nil"/>
              <w:bottom w:val="nil"/>
              <w:right w:val="nil"/>
            </w:tcBorders>
            <w:shd w:val="clear" w:color="auto" w:fill="auto"/>
            <w:noWrap/>
            <w:hideMark/>
          </w:tcPr>
          <w:p w14:paraId="18D30973" w14:textId="77777777" w:rsidR="00123BB5" w:rsidRPr="00586B0C" w:rsidRDefault="00123BB5" w:rsidP="00533403">
            <w:pPr>
              <w:jc w:val="both"/>
              <w:rPr>
                <w:rFonts w:ascii="Arial" w:hAnsi="Arial"/>
                <w:color w:val="000000"/>
                <w:lang w:val="en-GB"/>
              </w:rPr>
            </w:pPr>
          </w:p>
        </w:tc>
        <w:tc>
          <w:tcPr>
            <w:tcW w:w="4069" w:type="dxa"/>
            <w:tcBorders>
              <w:top w:val="nil"/>
              <w:left w:val="nil"/>
              <w:bottom w:val="nil"/>
              <w:right w:val="nil"/>
            </w:tcBorders>
            <w:shd w:val="clear" w:color="auto" w:fill="auto"/>
            <w:noWrap/>
            <w:vAlign w:val="center"/>
            <w:hideMark/>
          </w:tcPr>
          <w:p w14:paraId="731E3C0B" w14:textId="1AEBF5BF" w:rsidR="00123BB5" w:rsidRPr="00586B0C" w:rsidRDefault="00123BB5" w:rsidP="00533403">
            <w:pPr>
              <w:jc w:val="both"/>
              <w:rPr>
                <w:rFonts w:ascii="Arial" w:hAnsi="Arial"/>
                <w:color w:val="000000"/>
                <w:lang w:val="en-GB"/>
              </w:rPr>
            </w:pPr>
            <w:r w:rsidRPr="00586B0C">
              <w:rPr>
                <w:rFonts w:ascii="Arial" w:hAnsi="Arial"/>
                <w:color w:val="000000"/>
                <w:lang w:val="en-GB"/>
              </w:rPr>
              <w:t>Computer Equipment</w:t>
            </w:r>
            <w:r w:rsidR="007B354F">
              <w:rPr>
                <w:rFonts w:ascii="Arial" w:hAnsi="Arial"/>
                <w:color w:val="000000"/>
                <w:lang w:val="en-GB"/>
              </w:rPr>
              <w:t>*</w:t>
            </w:r>
          </w:p>
        </w:tc>
        <w:tc>
          <w:tcPr>
            <w:tcW w:w="1367" w:type="dxa"/>
            <w:tcBorders>
              <w:top w:val="nil"/>
              <w:left w:val="nil"/>
              <w:bottom w:val="single" w:sz="8" w:space="0" w:color="auto"/>
              <w:right w:val="nil"/>
            </w:tcBorders>
            <w:shd w:val="clear" w:color="auto" w:fill="auto"/>
            <w:noWrap/>
            <w:vAlign w:val="center"/>
            <w:hideMark/>
          </w:tcPr>
          <w:p w14:paraId="69F265D5"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7,002 </w:t>
            </w:r>
          </w:p>
        </w:tc>
        <w:tc>
          <w:tcPr>
            <w:tcW w:w="1367" w:type="dxa"/>
            <w:tcBorders>
              <w:top w:val="nil"/>
              <w:left w:val="nil"/>
              <w:bottom w:val="single" w:sz="8" w:space="0" w:color="auto"/>
              <w:right w:val="nil"/>
            </w:tcBorders>
            <w:shd w:val="clear" w:color="auto" w:fill="auto"/>
            <w:noWrap/>
            <w:vAlign w:val="center"/>
            <w:hideMark/>
          </w:tcPr>
          <w:p w14:paraId="133995B1"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7,002 </w:t>
            </w:r>
          </w:p>
        </w:tc>
      </w:tr>
      <w:tr w:rsidR="00123BB5" w:rsidRPr="006D678A" w14:paraId="36354B8E" w14:textId="77777777" w:rsidTr="00260B90">
        <w:trPr>
          <w:trHeight w:val="294"/>
          <w:tblHeader/>
          <w:jc w:val="center"/>
        </w:trPr>
        <w:tc>
          <w:tcPr>
            <w:tcW w:w="4519" w:type="dxa"/>
            <w:gridSpan w:val="2"/>
            <w:tcBorders>
              <w:top w:val="nil"/>
              <w:left w:val="nil"/>
              <w:bottom w:val="nil"/>
              <w:right w:val="nil"/>
            </w:tcBorders>
            <w:shd w:val="clear" w:color="auto" w:fill="auto"/>
            <w:noWrap/>
            <w:vAlign w:val="center"/>
            <w:hideMark/>
          </w:tcPr>
          <w:p w14:paraId="118770ED" w14:textId="693F6C49" w:rsidR="00123BB5" w:rsidRPr="00586B0C" w:rsidRDefault="00123BB5" w:rsidP="00533403">
            <w:pPr>
              <w:jc w:val="both"/>
              <w:rPr>
                <w:rFonts w:ascii="Arial" w:hAnsi="Arial"/>
                <w:color w:val="000000"/>
                <w:lang w:val="en-GB"/>
              </w:rPr>
            </w:pPr>
            <w:r w:rsidRPr="00586B0C">
              <w:rPr>
                <w:rFonts w:ascii="Arial" w:hAnsi="Arial"/>
                <w:color w:val="000000"/>
                <w:lang w:val="en-GB"/>
              </w:rPr>
              <w:t xml:space="preserve">Total </w:t>
            </w:r>
            <w:r w:rsidR="007E303E">
              <w:rPr>
                <w:rFonts w:ascii="Arial" w:hAnsi="Arial"/>
                <w:color w:val="000000"/>
                <w:lang w:val="en-GB"/>
              </w:rPr>
              <w:t>Fixed Assets</w:t>
            </w:r>
          </w:p>
        </w:tc>
        <w:tc>
          <w:tcPr>
            <w:tcW w:w="1367" w:type="dxa"/>
            <w:tcBorders>
              <w:top w:val="nil"/>
              <w:left w:val="nil"/>
              <w:right w:val="nil"/>
            </w:tcBorders>
            <w:shd w:val="clear" w:color="auto" w:fill="auto"/>
            <w:noWrap/>
            <w:vAlign w:val="center"/>
            <w:hideMark/>
          </w:tcPr>
          <w:p w14:paraId="1403DFDC"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15,558 </w:t>
            </w:r>
          </w:p>
        </w:tc>
        <w:tc>
          <w:tcPr>
            <w:tcW w:w="1367" w:type="dxa"/>
            <w:tcBorders>
              <w:top w:val="nil"/>
              <w:left w:val="nil"/>
              <w:right w:val="nil"/>
            </w:tcBorders>
            <w:shd w:val="clear" w:color="auto" w:fill="auto"/>
            <w:noWrap/>
            <w:vAlign w:val="center"/>
            <w:hideMark/>
          </w:tcPr>
          <w:p w14:paraId="73AFB164"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14,510 </w:t>
            </w:r>
          </w:p>
        </w:tc>
      </w:tr>
      <w:tr w:rsidR="00123BB5" w:rsidRPr="006D678A" w14:paraId="612BA51F" w14:textId="77777777" w:rsidTr="00260B90">
        <w:trPr>
          <w:trHeight w:val="304"/>
          <w:tblHeader/>
          <w:jc w:val="center"/>
        </w:trPr>
        <w:tc>
          <w:tcPr>
            <w:tcW w:w="450" w:type="dxa"/>
            <w:tcBorders>
              <w:top w:val="nil"/>
              <w:left w:val="nil"/>
              <w:bottom w:val="nil"/>
              <w:right w:val="nil"/>
            </w:tcBorders>
            <w:shd w:val="clear" w:color="auto" w:fill="auto"/>
            <w:noWrap/>
            <w:hideMark/>
          </w:tcPr>
          <w:p w14:paraId="35A054BD" w14:textId="77777777" w:rsidR="00123BB5" w:rsidRPr="00586B0C" w:rsidRDefault="00123BB5" w:rsidP="00533403">
            <w:pPr>
              <w:jc w:val="both"/>
              <w:rPr>
                <w:rFonts w:ascii="Arial" w:hAnsi="Arial"/>
                <w:color w:val="000000"/>
                <w:lang w:val="en-GB"/>
              </w:rPr>
            </w:pPr>
          </w:p>
        </w:tc>
        <w:tc>
          <w:tcPr>
            <w:tcW w:w="4069" w:type="dxa"/>
            <w:tcBorders>
              <w:top w:val="nil"/>
              <w:left w:val="nil"/>
              <w:bottom w:val="nil"/>
              <w:right w:val="nil"/>
            </w:tcBorders>
            <w:shd w:val="clear" w:color="auto" w:fill="auto"/>
            <w:noWrap/>
            <w:vAlign w:val="center"/>
            <w:hideMark/>
          </w:tcPr>
          <w:p w14:paraId="62DF9B71" w14:textId="0A0566C1" w:rsidR="00123BB5" w:rsidRPr="00586B0C" w:rsidRDefault="00123BB5" w:rsidP="00533403">
            <w:pPr>
              <w:jc w:val="both"/>
              <w:rPr>
                <w:rFonts w:ascii="Arial" w:hAnsi="Arial"/>
                <w:color w:val="000000"/>
                <w:lang w:val="en-GB"/>
              </w:rPr>
            </w:pPr>
            <w:r w:rsidRPr="00586B0C">
              <w:rPr>
                <w:rFonts w:ascii="Arial" w:hAnsi="Arial"/>
                <w:color w:val="000000"/>
                <w:lang w:val="en-GB"/>
              </w:rPr>
              <w:t>Less:</w:t>
            </w:r>
            <w:r w:rsidR="006D678A" w:rsidRPr="00586B0C">
              <w:rPr>
                <w:rFonts w:ascii="Arial" w:hAnsi="Arial"/>
                <w:color w:val="000000"/>
                <w:lang w:val="en-GB"/>
              </w:rPr>
              <w:t xml:space="preserve"> </w:t>
            </w:r>
            <w:r w:rsidRPr="00586B0C">
              <w:rPr>
                <w:rFonts w:ascii="Arial" w:hAnsi="Arial"/>
                <w:color w:val="000000"/>
                <w:lang w:val="en-GB"/>
              </w:rPr>
              <w:t xml:space="preserve">Accumulated </w:t>
            </w:r>
            <w:r w:rsidR="007E303E">
              <w:rPr>
                <w:rFonts w:ascii="Arial" w:hAnsi="Arial"/>
                <w:color w:val="000000"/>
                <w:lang w:val="en-GB"/>
              </w:rPr>
              <w:t>Depreciation</w:t>
            </w:r>
          </w:p>
        </w:tc>
        <w:tc>
          <w:tcPr>
            <w:tcW w:w="1367" w:type="dxa"/>
            <w:tcBorders>
              <w:top w:val="nil"/>
              <w:left w:val="nil"/>
              <w:bottom w:val="single" w:sz="4" w:space="0" w:color="auto"/>
              <w:right w:val="nil"/>
            </w:tcBorders>
            <w:shd w:val="clear" w:color="auto" w:fill="auto"/>
            <w:noWrap/>
            <w:vAlign w:val="center"/>
            <w:hideMark/>
          </w:tcPr>
          <w:p w14:paraId="375B3483"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9,651 </w:t>
            </w:r>
          </w:p>
        </w:tc>
        <w:tc>
          <w:tcPr>
            <w:tcW w:w="1367" w:type="dxa"/>
            <w:tcBorders>
              <w:top w:val="nil"/>
              <w:left w:val="nil"/>
              <w:bottom w:val="single" w:sz="4" w:space="0" w:color="auto"/>
              <w:right w:val="nil"/>
            </w:tcBorders>
            <w:shd w:val="clear" w:color="auto" w:fill="auto"/>
            <w:noWrap/>
            <w:vAlign w:val="center"/>
            <w:hideMark/>
          </w:tcPr>
          <w:p w14:paraId="40FA6619"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6,888 </w:t>
            </w:r>
          </w:p>
        </w:tc>
      </w:tr>
      <w:tr w:rsidR="00123BB5" w:rsidRPr="006D678A" w14:paraId="598C5883" w14:textId="77777777" w:rsidTr="00260B90">
        <w:trPr>
          <w:trHeight w:val="304"/>
          <w:tblHeader/>
          <w:jc w:val="center"/>
        </w:trPr>
        <w:tc>
          <w:tcPr>
            <w:tcW w:w="4519" w:type="dxa"/>
            <w:gridSpan w:val="2"/>
            <w:tcBorders>
              <w:top w:val="nil"/>
              <w:left w:val="nil"/>
              <w:bottom w:val="nil"/>
              <w:right w:val="nil"/>
            </w:tcBorders>
            <w:shd w:val="clear" w:color="auto" w:fill="auto"/>
            <w:noWrap/>
            <w:vAlign w:val="center"/>
            <w:hideMark/>
          </w:tcPr>
          <w:p w14:paraId="626A8082" w14:textId="0C43A906" w:rsidR="00123BB5" w:rsidRPr="00586B0C" w:rsidRDefault="00123BB5" w:rsidP="00533403">
            <w:pPr>
              <w:jc w:val="both"/>
              <w:rPr>
                <w:rFonts w:ascii="Arial" w:hAnsi="Arial"/>
                <w:b/>
                <w:color w:val="000000"/>
                <w:lang w:val="en-GB"/>
              </w:rPr>
            </w:pPr>
            <w:r w:rsidRPr="00586B0C">
              <w:rPr>
                <w:rFonts w:ascii="Arial" w:hAnsi="Arial"/>
                <w:b/>
                <w:color w:val="000000"/>
                <w:lang w:val="en-GB"/>
              </w:rPr>
              <w:t xml:space="preserve">Net </w:t>
            </w:r>
            <w:r w:rsidR="007E303E">
              <w:rPr>
                <w:rFonts w:ascii="Arial" w:hAnsi="Arial"/>
                <w:b/>
                <w:color w:val="000000"/>
                <w:lang w:val="en-GB"/>
              </w:rPr>
              <w:t>Fixed Assets</w:t>
            </w:r>
          </w:p>
        </w:tc>
        <w:tc>
          <w:tcPr>
            <w:tcW w:w="1367" w:type="dxa"/>
            <w:tcBorders>
              <w:top w:val="nil"/>
              <w:left w:val="nil"/>
              <w:right w:val="nil"/>
            </w:tcBorders>
            <w:shd w:val="clear" w:color="auto" w:fill="auto"/>
            <w:noWrap/>
            <w:vAlign w:val="center"/>
            <w:hideMark/>
          </w:tcPr>
          <w:p w14:paraId="2AD0EACC"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5,907 </w:t>
            </w:r>
          </w:p>
        </w:tc>
        <w:tc>
          <w:tcPr>
            <w:tcW w:w="1367" w:type="dxa"/>
            <w:tcBorders>
              <w:top w:val="nil"/>
              <w:left w:val="nil"/>
              <w:right w:val="nil"/>
            </w:tcBorders>
            <w:shd w:val="clear" w:color="auto" w:fill="auto"/>
            <w:noWrap/>
            <w:vAlign w:val="center"/>
            <w:hideMark/>
          </w:tcPr>
          <w:p w14:paraId="2BCC5958"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7,622 </w:t>
            </w:r>
          </w:p>
        </w:tc>
      </w:tr>
      <w:tr w:rsidR="00123BB5" w:rsidRPr="006D678A" w14:paraId="065A3465" w14:textId="77777777" w:rsidTr="00260B90">
        <w:trPr>
          <w:trHeight w:val="294"/>
          <w:tblHeader/>
          <w:jc w:val="center"/>
        </w:trPr>
        <w:tc>
          <w:tcPr>
            <w:tcW w:w="450" w:type="dxa"/>
            <w:tcBorders>
              <w:top w:val="nil"/>
              <w:left w:val="nil"/>
              <w:bottom w:val="nil"/>
              <w:right w:val="nil"/>
            </w:tcBorders>
            <w:shd w:val="clear" w:color="auto" w:fill="auto"/>
            <w:noWrap/>
            <w:hideMark/>
          </w:tcPr>
          <w:p w14:paraId="782C87BB" w14:textId="77777777" w:rsidR="00123BB5" w:rsidRPr="00586B0C" w:rsidRDefault="00123BB5" w:rsidP="00533403">
            <w:pPr>
              <w:jc w:val="both"/>
              <w:rPr>
                <w:rFonts w:ascii="Arial" w:hAnsi="Arial"/>
                <w:color w:val="000000"/>
                <w:lang w:val="en-GB"/>
              </w:rPr>
            </w:pPr>
          </w:p>
        </w:tc>
        <w:tc>
          <w:tcPr>
            <w:tcW w:w="4069" w:type="dxa"/>
            <w:tcBorders>
              <w:top w:val="nil"/>
              <w:left w:val="nil"/>
              <w:bottom w:val="nil"/>
              <w:right w:val="nil"/>
            </w:tcBorders>
            <w:shd w:val="clear" w:color="auto" w:fill="auto"/>
            <w:noWrap/>
            <w:hideMark/>
          </w:tcPr>
          <w:p w14:paraId="5F601195" w14:textId="77777777" w:rsidR="00123BB5" w:rsidRPr="00586B0C" w:rsidRDefault="00123BB5" w:rsidP="00533403">
            <w:pPr>
              <w:jc w:val="both"/>
              <w:rPr>
                <w:rFonts w:ascii="Arial" w:hAnsi="Arial"/>
                <w:lang w:val="en-GB"/>
              </w:rPr>
            </w:pPr>
          </w:p>
        </w:tc>
        <w:tc>
          <w:tcPr>
            <w:tcW w:w="1367" w:type="dxa"/>
            <w:tcBorders>
              <w:top w:val="nil"/>
              <w:left w:val="nil"/>
              <w:bottom w:val="nil"/>
              <w:right w:val="nil"/>
            </w:tcBorders>
            <w:shd w:val="clear" w:color="auto" w:fill="auto"/>
            <w:noWrap/>
            <w:vAlign w:val="bottom"/>
            <w:hideMark/>
          </w:tcPr>
          <w:p w14:paraId="038F7CB1" w14:textId="77777777" w:rsidR="00123BB5" w:rsidRPr="00586B0C" w:rsidRDefault="00123BB5" w:rsidP="00533403">
            <w:pPr>
              <w:jc w:val="both"/>
              <w:rPr>
                <w:rFonts w:ascii="Arial" w:hAnsi="Arial"/>
                <w:lang w:val="en-GB"/>
              </w:rPr>
            </w:pPr>
          </w:p>
        </w:tc>
        <w:tc>
          <w:tcPr>
            <w:tcW w:w="1367" w:type="dxa"/>
            <w:tcBorders>
              <w:left w:val="nil"/>
              <w:bottom w:val="nil"/>
              <w:right w:val="nil"/>
            </w:tcBorders>
            <w:shd w:val="clear" w:color="auto" w:fill="auto"/>
            <w:noWrap/>
            <w:vAlign w:val="bottom"/>
            <w:hideMark/>
          </w:tcPr>
          <w:p w14:paraId="32AF3392" w14:textId="77777777" w:rsidR="00123BB5" w:rsidRPr="00586B0C" w:rsidRDefault="00123BB5" w:rsidP="00533403">
            <w:pPr>
              <w:jc w:val="both"/>
              <w:rPr>
                <w:rFonts w:ascii="Arial" w:hAnsi="Arial"/>
                <w:lang w:val="en-GB"/>
              </w:rPr>
            </w:pPr>
          </w:p>
        </w:tc>
      </w:tr>
      <w:tr w:rsidR="00123BB5" w:rsidRPr="006D678A" w14:paraId="3C0E2FF8" w14:textId="77777777" w:rsidTr="00260B90">
        <w:trPr>
          <w:trHeight w:val="304"/>
          <w:tblHeader/>
          <w:jc w:val="center"/>
        </w:trPr>
        <w:tc>
          <w:tcPr>
            <w:tcW w:w="4519" w:type="dxa"/>
            <w:gridSpan w:val="2"/>
            <w:tcBorders>
              <w:top w:val="nil"/>
              <w:left w:val="nil"/>
              <w:bottom w:val="nil"/>
              <w:right w:val="nil"/>
            </w:tcBorders>
            <w:shd w:val="clear" w:color="auto" w:fill="auto"/>
            <w:noWrap/>
            <w:vAlign w:val="center"/>
            <w:hideMark/>
          </w:tcPr>
          <w:p w14:paraId="4D98BDB0"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TOTAL ASSETS</w:t>
            </w:r>
          </w:p>
        </w:tc>
        <w:tc>
          <w:tcPr>
            <w:tcW w:w="1367" w:type="dxa"/>
            <w:tcBorders>
              <w:top w:val="nil"/>
              <w:left w:val="nil"/>
              <w:bottom w:val="double" w:sz="6" w:space="0" w:color="auto"/>
              <w:right w:val="nil"/>
            </w:tcBorders>
            <w:shd w:val="clear" w:color="auto" w:fill="auto"/>
            <w:noWrap/>
            <w:vAlign w:val="center"/>
            <w:hideMark/>
          </w:tcPr>
          <w:p w14:paraId="77B1EF36" w14:textId="77777777" w:rsidR="00123BB5" w:rsidRPr="00586B0C" w:rsidRDefault="00123BB5" w:rsidP="00533403">
            <w:pPr>
              <w:tabs>
                <w:tab w:val="left" w:pos="60"/>
                <w:tab w:val="right" w:pos="1140"/>
              </w:tabs>
              <w:jc w:val="both"/>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57,043 </w:t>
            </w:r>
          </w:p>
        </w:tc>
        <w:tc>
          <w:tcPr>
            <w:tcW w:w="1367" w:type="dxa"/>
            <w:tcBorders>
              <w:top w:val="nil"/>
              <w:left w:val="nil"/>
              <w:bottom w:val="double" w:sz="6" w:space="0" w:color="auto"/>
              <w:right w:val="nil"/>
            </w:tcBorders>
            <w:shd w:val="clear" w:color="auto" w:fill="auto"/>
            <w:noWrap/>
            <w:vAlign w:val="center"/>
            <w:hideMark/>
          </w:tcPr>
          <w:p w14:paraId="0032E880" w14:textId="77777777" w:rsidR="00123BB5" w:rsidRPr="00586B0C" w:rsidRDefault="00123BB5" w:rsidP="00533403">
            <w:pPr>
              <w:tabs>
                <w:tab w:val="left" w:pos="60"/>
                <w:tab w:val="right" w:pos="1140"/>
              </w:tabs>
              <w:jc w:val="both"/>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52,902 </w:t>
            </w:r>
          </w:p>
        </w:tc>
      </w:tr>
      <w:tr w:rsidR="00123BB5" w:rsidRPr="006D678A" w14:paraId="786978F8" w14:textId="77777777" w:rsidTr="00260B90">
        <w:trPr>
          <w:trHeight w:val="304"/>
          <w:tblHeader/>
          <w:jc w:val="center"/>
        </w:trPr>
        <w:tc>
          <w:tcPr>
            <w:tcW w:w="450" w:type="dxa"/>
            <w:tcBorders>
              <w:top w:val="nil"/>
              <w:left w:val="nil"/>
              <w:bottom w:val="nil"/>
              <w:right w:val="nil"/>
            </w:tcBorders>
            <w:shd w:val="clear" w:color="auto" w:fill="auto"/>
            <w:noWrap/>
            <w:hideMark/>
          </w:tcPr>
          <w:p w14:paraId="07532327" w14:textId="77777777" w:rsidR="00123BB5" w:rsidRPr="00586B0C" w:rsidRDefault="00123BB5" w:rsidP="00533403">
            <w:pPr>
              <w:jc w:val="both"/>
              <w:rPr>
                <w:rFonts w:ascii="Arial" w:hAnsi="Arial"/>
                <w:b/>
                <w:color w:val="000000"/>
                <w:lang w:val="en-GB"/>
              </w:rPr>
            </w:pPr>
          </w:p>
        </w:tc>
        <w:tc>
          <w:tcPr>
            <w:tcW w:w="4069" w:type="dxa"/>
            <w:tcBorders>
              <w:top w:val="nil"/>
              <w:left w:val="nil"/>
              <w:bottom w:val="nil"/>
              <w:right w:val="nil"/>
            </w:tcBorders>
            <w:shd w:val="clear" w:color="auto" w:fill="auto"/>
            <w:noWrap/>
            <w:hideMark/>
          </w:tcPr>
          <w:p w14:paraId="1B7839CE" w14:textId="77777777" w:rsidR="00123BB5" w:rsidRPr="00586B0C" w:rsidRDefault="00123BB5" w:rsidP="00533403">
            <w:pPr>
              <w:jc w:val="both"/>
              <w:rPr>
                <w:rFonts w:ascii="Arial" w:hAnsi="Arial"/>
                <w:lang w:val="en-GB"/>
              </w:rPr>
            </w:pPr>
          </w:p>
        </w:tc>
        <w:tc>
          <w:tcPr>
            <w:tcW w:w="1367" w:type="dxa"/>
            <w:tcBorders>
              <w:top w:val="nil"/>
              <w:left w:val="nil"/>
              <w:bottom w:val="nil"/>
              <w:right w:val="nil"/>
            </w:tcBorders>
            <w:shd w:val="clear" w:color="auto" w:fill="auto"/>
            <w:noWrap/>
            <w:vAlign w:val="bottom"/>
            <w:hideMark/>
          </w:tcPr>
          <w:p w14:paraId="6E4E54DF" w14:textId="77777777" w:rsidR="00123BB5" w:rsidRPr="00586B0C" w:rsidRDefault="00123BB5" w:rsidP="00533403">
            <w:pPr>
              <w:jc w:val="both"/>
              <w:rPr>
                <w:rFonts w:ascii="Arial" w:hAnsi="Arial"/>
                <w:lang w:val="en-GB"/>
              </w:rPr>
            </w:pPr>
          </w:p>
        </w:tc>
        <w:tc>
          <w:tcPr>
            <w:tcW w:w="1367" w:type="dxa"/>
            <w:tcBorders>
              <w:top w:val="nil"/>
              <w:left w:val="nil"/>
              <w:bottom w:val="nil"/>
              <w:right w:val="nil"/>
            </w:tcBorders>
            <w:shd w:val="clear" w:color="auto" w:fill="auto"/>
            <w:noWrap/>
            <w:vAlign w:val="bottom"/>
            <w:hideMark/>
          </w:tcPr>
          <w:p w14:paraId="4E1AE253" w14:textId="77777777" w:rsidR="00123BB5" w:rsidRPr="00586B0C" w:rsidRDefault="00123BB5" w:rsidP="00533403">
            <w:pPr>
              <w:jc w:val="both"/>
              <w:rPr>
                <w:rFonts w:ascii="Arial" w:hAnsi="Arial"/>
                <w:lang w:val="en-GB"/>
              </w:rPr>
            </w:pPr>
          </w:p>
        </w:tc>
      </w:tr>
      <w:tr w:rsidR="00123BB5" w:rsidRPr="006D678A" w14:paraId="40D291A1" w14:textId="77777777" w:rsidTr="00260B90">
        <w:trPr>
          <w:trHeight w:val="294"/>
          <w:tblHeader/>
          <w:jc w:val="center"/>
        </w:trPr>
        <w:tc>
          <w:tcPr>
            <w:tcW w:w="4519" w:type="dxa"/>
            <w:gridSpan w:val="2"/>
            <w:tcBorders>
              <w:top w:val="nil"/>
              <w:left w:val="nil"/>
              <w:bottom w:val="nil"/>
              <w:right w:val="nil"/>
            </w:tcBorders>
            <w:shd w:val="clear" w:color="auto" w:fill="auto"/>
            <w:noWrap/>
            <w:vAlign w:val="center"/>
            <w:hideMark/>
          </w:tcPr>
          <w:p w14:paraId="0152B4BD"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LIABILITIES AND EQUITY</w:t>
            </w:r>
          </w:p>
        </w:tc>
        <w:tc>
          <w:tcPr>
            <w:tcW w:w="1367" w:type="dxa"/>
            <w:tcBorders>
              <w:top w:val="nil"/>
              <w:left w:val="nil"/>
              <w:bottom w:val="nil"/>
              <w:right w:val="nil"/>
            </w:tcBorders>
            <w:shd w:val="clear" w:color="auto" w:fill="auto"/>
            <w:noWrap/>
            <w:vAlign w:val="bottom"/>
            <w:hideMark/>
          </w:tcPr>
          <w:p w14:paraId="5CEC66D6" w14:textId="77777777" w:rsidR="00123BB5" w:rsidRPr="00586B0C" w:rsidRDefault="00123BB5" w:rsidP="00533403">
            <w:pPr>
              <w:jc w:val="both"/>
              <w:rPr>
                <w:rFonts w:ascii="Arial" w:hAnsi="Arial"/>
                <w:b/>
                <w:color w:val="000000"/>
                <w:lang w:val="en-GB"/>
              </w:rPr>
            </w:pPr>
          </w:p>
        </w:tc>
        <w:tc>
          <w:tcPr>
            <w:tcW w:w="1367" w:type="dxa"/>
            <w:tcBorders>
              <w:top w:val="nil"/>
              <w:left w:val="nil"/>
              <w:bottom w:val="nil"/>
              <w:right w:val="nil"/>
            </w:tcBorders>
            <w:shd w:val="clear" w:color="auto" w:fill="auto"/>
            <w:noWrap/>
            <w:vAlign w:val="bottom"/>
            <w:hideMark/>
          </w:tcPr>
          <w:p w14:paraId="74321813" w14:textId="77777777" w:rsidR="00123BB5" w:rsidRPr="00586B0C" w:rsidRDefault="00123BB5" w:rsidP="00533403">
            <w:pPr>
              <w:jc w:val="both"/>
              <w:rPr>
                <w:rFonts w:ascii="Arial" w:hAnsi="Arial"/>
                <w:lang w:val="en-GB"/>
              </w:rPr>
            </w:pPr>
          </w:p>
        </w:tc>
      </w:tr>
      <w:tr w:rsidR="00123BB5" w:rsidRPr="006D678A" w14:paraId="06468209" w14:textId="77777777" w:rsidTr="00260B90">
        <w:trPr>
          <w:trHeight w:val="117"/>
          <w:tblHeader/>
          <w:jc w:val="center"/>
        </w:trPr>
        <w:tc>
          <w:tcPr>
            <w:tcW w:w="450" w:type="dxa"/>
            <w:tcBorders>
              <w:top w:val="nil"/>
              <w:left w:val="nil"/>
              <w:bottom w:val="nil"/>
              <w:right w:val="nil"/>
            </w:tcBorders>
            <w:shd w:val="clear" w:color="auto" w:fill="auto"/>
            <w:noWrap/>
            <w:hideMark/>
          </w:tcPr>
          <w:p w14:paraId="6929A9B9" w14:textId="77777777" w:rsidR="00123BB5" w:rsidRPr="00586B0C" w:rsidRDefault="00123BB5" w:rsidP="00533403">
            <w:pPr>
              <w:jc w:val="both"/>
              <w:rPr>
                <w:rFonts w:ascii="Arial" w:hAnsi="Arial"/>
                <w:lang w:val="en-GB"/>
              </w:rPr>
            </w:pPr>
          </w:p>
        </w:tc>
        <w:tc>
          <w:tcPr>
            <w:tcW w:w="4069" w:type="dxa"/>
            <w:tcBorders>
              <w:top w:val="nil"/>
              <w:left w:val="nil"/>
              <w:bottom w:val="nil"/>
              <w:right w:val="nil"/>
            </w:tcBorders>
            <w:shd w:val="clear" w:color="auto" w:fill="auto"/>
            <w:noWrap/>
            <w:hideMark/>
          </w:tcPr>
          <w:p w14:paraId="7E610F0C" w14:textId="77777777" w:rsidR="00123BB5" w:rsidRPr="00586B0C" w:rsidRDefault="00123BB5" w:rsidP="00533403">
            <w:pPr>
              <w:jc w:val="both"/>
              <w:rPr>
                <w:rFonts w:ascii="Arial" w:hAnsi="Arial"/>
                <w:lang w:val="en-GB"/>
              </w:rPr>
            </w:pPr>
          </w:p>
        </w:tc>
        <w:tc>
          <w:tcPr>
            <w:tcW w:w="1367" w:type="dxa"/>
            <w:tcBorders>
              <w:top w:val="nil"/>
              <w:left w:val="nil"/>
              <w:bottom w:val="nil"/>
              <w:right w:val="nil"/>
            </w:tcBorders>
            <w:shd w:val="clear" w:color="auto" w:fill="auto"/>
            <w:noWrap/>
            <w:vAlign w:val="bottom"/>
            <w:hideMark/>
          </w:tcPr>
          <w:p w14:paraId="6C8B2E53" w14:textId="77777777" w:rsidR="00123BB5" w:rsidRPr="00586B0C" w:rsidRDefault="00123BB5" w:rsidP="00533403">
            <w:pPr>
              <w:jc w:val="both"/>
              <w:rPr>
                <w:rFonts w:ascii="Arial" w:hAnsi="Arial"/>
                <w:lang w:val="en-GB"/>
              </w:rPr>
            </w:pPr>
          </w:p>
        </w:tc>
        <w:tc>
          <w:tcPr>
            <w:tcW w:w="1367" w:type="dxa"/>
            <w:tcBorders>
              <w:top w:val="nil"/>
              <w:left w:val="nil"/>
              <w:bottom w:val="nil"/>
              <w:right w:val="nil"/>
            </w:tcBorders>
            <w:shd w:val="clear" w:color="auto" w:fill="auto"/>
            <w:noWrap/>
            <w:vAlign w:val="bottom"/>
            <w:hideMark/>
          </w:tcPr>
          <w:p w14:paraId="327D26CE" w14:textId="77777777" w:rsidR="00123BB5" w:rsidRPr="00586B0C" w:rsidRDefault="00123BB5" w:rsidP="00533403">
            <w:pPr>
              <w:jc w:val="both"/>
              <w:rPr>
                <w:rFonts w:ascii="Arial" w:hAnsi="Arial"/>
                <w:lang w:val="en-GB"/>
              </w:rPr>
            </w:pPr>
          </w:p>
        </w:tc>
      </w:tr>
      <w:tr w:rsidR="00123BB5" w:rsidRPr="006D678A" w14:paraId="6943B435" w14:textId="77777777" w:rsidTr="00260B90">
        <w:trPr>
          <w:trHeight w:val="294"/>
          <w:tblHeader/>
          <w:jc w:val="center"/>
        </w:trPr>
        <w:tc>
          <w:tcPr>
            <w:tcW w:w="4519" w:type="dxa"/>
            <w:gridSpan w:val="2"/>
            <w:tcBorders>
              <w:top w:val="nil"/>
              <w:left w:val="nil"/>
              <w:bottom w:val="nil"/>
              <w:right w:val="nil"/>
            </w:tcBorders>
            <w:shd w:val="clear" w:color="auto" w:fill="auto"/>
            <w:noWrap/>
            <w:vAlign w:val="center"/>
            <w:hideMark/>
          </w:tcPr>
          <w:p w14:paraId="59F73489"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LIABILITIES</w:t>
            </w:r>
          </w:p>
        </w:tc>
        <w:tc>
          <w:tcPr>
            <w:tcW w:w="1367" w:type="dxa"/>
            <w:tcBorders>
              <w:top w:val="nil"/>
              <w:left w:val="nil"/>
              <w:bottom w:val="nil"/>
              <w:right w:val="nil"/>
            </w:tcBorders>
            <w:shd w:val="clear" w:color="auto" w:fill="auto"/>
            <w:noWrap/>
            <w:vAlign w:val="bottom"/>
            <w:hideMark/>
          </w:tcPr>
          <w:p w14:paraId="7BA75E7B" w14:textId="77777777" w:rsidR="00123BB5" w:rsidRPr="00586B0C" w:rsidRDefault="00123BB5" w:rsidP="00533403">
            <w:pPr>
              <w:jc w:val="both"/>
              <w:rPr>
                <w:rFonts w:ascii="Arial" w:hAnsi="Arial"/>
                <w:b/>
                <w:color w:val="000000"/>
                <w:lang w:val="en-GB"/>
              </w:rPr>
            </w:pPr>
          </w:p>
        </w:tc>
        <w:tc>
          <w:tcPr>
            <w:tcW w:w="1367" w:type="dxa"/>
            <w:tcBorders>
              <w:top w:val="nil"/>
              <w:left w:val="nil"/>
              <w:bottom w:val="nil"/>
              <w:right w:val="nil"/>
            </w:tcBorders>
            <w:shd w:val="clear" w:color="auto" w:fill="auto"/>
            <w:noWrap/>
            <w:vAlign w:val="bottom"/>
            <w:hideMark/>
          </w:tcPr>
          <w:p w14:paraId="5EE09868" w14:textId="77777777" w:rsidR="00123BB5" w:rsidRPr="00586B0C" w:rsidRDefault="00123BB5" w:rsidP="00533403">
            <w:pPr>
              <w:jc w:val="both"/>
              <w:rPr>
                <w:rFonts w:ascii="Arial" w:hAnsi="Arial"/>
                <w:lang w:val="en-GB"/>
              </w:rPr>
            </w:pPr>
          </w:p>
        </w:tc>
      </w:tr>
      <w:tr w:rsidR="00123BB5" w:rsidRPr="006D678A" w14:paraId="4DEE767F" w14:textId="77777777" w:rsidTr="00260B90">
        <w:trPr>
          <w:trHeight w:val="294"/>
          <w:tblHeader/>
          <w:jc w:val="center"/>
        </w:trPr>
        <w:tc>
          <w:tcPr>
            <w:tcW w:w="4519" w:type="dxa"/>
            <w:gridSpan w:val="2"/>
            <w:tcBorders>
              <w:top w:val="nil"/>
              <w:left w:val="nil"/>
              <w:bottom w:val="nil"/>
              <w:right w:val="nil"/>
            </w:tcBorders>
            <w:shd w:val="clear" w:color="auto" w:fill="auto"/>
            <w:noWrap/>
            <w:vAlign w:val="center"/>
            <w:hideMark/>
          </w:tcPr>
          <w:p w14:paraId="65653AB4"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Current liabilities</w:t>
            </w:r>
          </w:p>
        </w:tc>
        <w:tc>
          <w:tcPr>
            <w:tcW w:w="1367" w:type="dxa"/>
            <w:tcBorders>
              <w:top w:val="nil"/>
              <w:left w:val="nil"/>
              <w:bottom w:val="nil"/>
              <w:right w:val="nil"/>
            </w:tcBorders>
            <w:shd w:val="clear" w:color="auto" w:fill="auto"/>
            <w:noWrap/>
            <w:vAlign w:val="bottom"/>
            <w:hideMark/>
          </w:tcPr>
          <w:p w14:paraId="778A0958" w14:textId="77777777" w:rsidR="00123BB5" w:rsidRPr="00586B0C" w:rsidRDefault="00123BB5" w:rsidP="00533403">
            <w:pPr>
              <w:jc w:val="both"/>
              <w:rPr>
                <w:rFonts w:ascii="Arial" w:hAnsi="Arial"/>
                <w:b/>
                <w:color w:val="000000"/>
                <w:lang w:val="en-GB"/>
              </w:rPr>
            </w:pPr>
          </w:p>
        </w:tc>
        <w:tc>
          <w:tcPr>
            <w:tcW w:w="1367" w:type="dxa"/>
            <w:tcBorders>
              <w:top w:val="nil"/>
              <w:left w:val="nil"/>
              <w:bottom w:val="nil"/>
              <w:right w:val="nil"/>
            </w:tcBorders>
            <w:shd w:val="clear" w:color="auto" w:fill="auto"/>
            <w:noWrap/>
            <w:vAlign w:val="bottom"/>
            <w:hideMark/>
          </w:tcPr>
          <w:p w14:paraId="05955BC6" w14:textId="77777777" w:rsidR="00123BB5" w:rsidRPr="00586B0C" w:rsidRDefault="00123BB5" w:rsidP="00533403">
            <w:pPr>
              <w:jc w:val="both"/>
              <w:rPr>
                <w:rFonts w:ascii="Arial" w:hAnsi="Arial"/>
                <w:lang w:val="en-GB"/>
              </w:rPr>
            </w:pPr>
          </w:p>
        </w:tc>
      </w:tr>
      <w:tr w:rsidR="00123BB5" w:rsidRPr="006D678A" w14:paraId="1A00C52F" w14:textId="77777777" w:rsidTr="00260B90">
        <w:trPr>
          <w:trHeight w:val="294"/>
          <w:tblHeader/>
          <w:jc w:val="center"/>
        </w:trPr>
        <w:tc>
          <w:tcPr>
            <w:tcW w:w="450" w:type="dxa"/>
            <w:tcBorders>
              <w:top w:val="nil"/>
              <w:left w:val="nil"/>
              <w:bottom w:val="nil"/>
              <w:right w:val="nil"/>
            </w:tcBorders>
            <w:shd w:val="clear" w:color="auto" w:fill="auto"/>
            <w:noWrap/>
            <w:hideMark/>
          </w:tcPr>
          <w:p w14:paraId="5044CF7C" w14:textId="77777777" w:rsidR="00123BB5" w:rsidRPr="00586B0C" w:rsidRDefault="00123BB5" w:rsidP="00533403">
            <w:pPr>
              <w:jc w:val="both"/>
              <w:rPr>
                <w:rFonts w:ascii="Arial" w:hAnsi="Arial"/>
                <w:lang w:val="en-GB"/>
              </w:rPr>
            </w:pPr>
          </w:p>
        </w:tc>
        <w:tc>
          <w:tcPr>
            <w:tcW w:w="4069" w:type="dxa"/>
            <w:tcBorders>
              <w:top w:val="nil"/>
              <w:left w:val="nil"/>
              <w:bottom w:val="nil"/>
              <w:right w:val="nil"/>
            </w:tcBorders>
            <w:shd w:val="clear" w:color="auto" w:fill="auto"/>
            <w:noWrap/>
            <w:vAlign w:val="center"/>
            <w:hideMark/>
          </w:tcPr>
          <w:p w14:paraId="7AD8B0B8" w14:textId="1AB7F36B" w:rsidR="00123BB5" w:rsidRPr="00586B0C" w:rsidRDefault="00123BB5" w:rsidP="00533403">
            <w:pPr>
              <w:jc w:val="both"/>
              <w:rPr>
                <w:rFonts w:ascii="Arial" w:hAnsi="Arial"/>
                <w:color w:val="000000"/>
                <w:lang w:val="en-GB"/>
              </w:rPr>
            </w:pPr>
            <w:r w:rsidRPr="00586B0C">
              <w:rPr>
                <w:rFonts w:ascii="Arial" w:hAnsi="Arial"/>
                <w:color w:val="000000"/>
                <w:lang w:val="en-GB"/>
              </w:rPr>
              <w:t xml:space="preserve">Accounts </w:t>
            </w:r>
            <w:r w:rsidR="007E303E">
              <w:rPr>
                <w:rFonts w:ascii="Arial" w:hAnsi="Arial"/>
                <w:color w:val="000000"/>
                <w:lang w:val="en-GB"/>
              </w:rPr>
              <w:t>Payable</w:t>
            </w:r>
          </w:p>
        </w:tc>
        <w:tc>
          <w:tcPr>
            <w:tcW w:w="1367" w:type="dxa"/>
            <w:tcBorders>
              <w:top w:val="nil"/>
              <w:left w:val="nil"/>
              <w:bottom w:val="nil"/>
              <w:right w:val="nil"/>
            </w:tcBorders>
            <w:shd w:val="clear" w:color="auto" w:fill="auto"/>
            <w:noWrap/>
            <w:vAlign w:val="center"/>
            <w:hideMark/>
          </w:tcPr>
          <w:p w14:paraId="66007987"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17,322 </w:t>
            </w:r>
          </w:p>
        </w:tc>
        <w:tc>
          <w:tcPr>
            <w:tcW w:w="1367" w:type="dxa"/>
            <w:tcBorders>
              <w:top w:val="nil"/>
              <w:left w:val="nil"/>
              <w:bottom w:val="nil"/>
              <w:right w:val="nil"/>
            </w:tcBorders>
            <w:shd w:val="clear" w:color="auto" w:fill="auto"/>
            <w:noWrap/>
            <w:vAlign w:val="center"/>
            <w:hideMark/>
          </w:tcPr>
          <w:p w14:paraId="3B432575"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14,456 </w:t>
            </w:r>
          </w:p>
        </w:tc>
      </w:tr>
      <w:tr w:rsidR="00123BB5" w:rsidRPr="006D678A" w14:paraId="15A4D829" w14:textId="77777777" w:rsidTr="00260B90">
        <w:trPr>
          <w:trHeight w:val="294"/>
          <w:tblHeader/>
          <w:jc w:val="center"/>
        </w:trPr>
        <w:tc>
          <w:tcPr>
            <w:tcW w:w="450" w:type="dxa"/>
            <w:tcBorders>
              <w:top w:val="nil"/>
              <w:left w:val="nil"/>
              <w:bottom w:val="nil"/>
              <w:right w:val="nil"/>
            </w:tcBorders>
            <w:shd w:val="clear" w:color="auto" w:fill="auto"/>
            <w:noWrap/>
            <w:hideMark/>
          </w:tcPr>
          <w:p w14:paraId="2A996116" w14:textId="77777777" w:rsidR="00123BB5" w:rsidRPr="00586B0C" w:rsidRDefault="00123BB5" w:rsidP="00533403">
            <w:pPr>
              <w:jc w:val="both"/>
              <w:rPr>
                <w:rFonts w:ascii="Arial" w:hAnsi="Arial"/>
                <w:color w:val="000000"/>
                <w:lang w:val="en-GB"/>
              </w:rPr>
            </w:pPr>
          </w:p>
        </w:tc>
        <w:tc>
          <w:tcPr>
            <w:tcW w:w="4069" w:type="dxa"/>
            <w:tcBorders>
              <w:top w:val="nil"/>
              <w:left w:val="nil"/>
              <w:bottom w:val="nil"/>
              <w:right w:val="nil"/>
            </w:tcBorders>
            <w:shd w:val="clear" w:color="auto" w:fill="auto"/>
            <w:noWrap/>
            <w:vAlign w:val="center"/>
            <w:hideMark/>
          </w:tcPr>
          <w:p w14:paraId="592E47A2" w14:textId="51637B2E" w:rsidR="00123BB5" w:rsidRPr="00586B0C" w:rsidRDefault="00123BB5" w:rsidP="00533403">
            <w:pPr>
              <w:jc w:val="both"/>
              <w:rPr>
                <w:rFonts w:ascii="Arial" w:hAnsi="Arial"/>
                <w:color w:val="000000"/>
                <w:lang w:val="en-GB"/>
              </w:rPr>
            </w:pPr>
            <w:r w:rsidRPr="00586B0C">
              <w:rPr>
                <w:rFonts w:ascii="Arial" w:hAnsi="Arial"/>
                <w:color w:val="000000"/>
                <w:lang w:val="en-GB"/>
              </w:rPr>
              <w:t xml:space="preserve">Wages </w:t>
            </w:r>
            <w:r w:rsidR="007E303E">
              <w:rPr>
                <w:rFonts w:ascii="Arial" w:hAnsi="Arial"/>
                <w:color w:val="000000"/>
                <w:lang w:val="en-GB"/>
              </w:rPr>
              <w:t>Payable</w:t>
            </w:r>
          </w:p>
        </w:tc>
        <w:tc>
          <w:tcPr>
            <w:tcW w:w="1367" w:type="dxa"/>
            <w:tcBorders>
              <w:top w:val="nil"/>
              <w:left w:val="nil"/>
              <w:bottom w:val="nil"/>
              <w:right w:val="nil"/>
            </w:tcBorders>
            <w:shd w:val="clear" w:color="auto" w:fill="auto"/>
            <w:noWrap/>
            <w:vAlign w:val="center"/>
            <w:hideMark/>
          </w:tcPr>
          <w:p w14:paraId="5F7EE5FF"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606 </w:t>
            </w:r>
          </w:p>
        </w:tc>
        <w:tc>
          <w:tcPr>
            <w:tcW w:w="1367" w:type="dxa"/>
            <w:tcBorders>
              <w:top w:val="nil"/>
              <w:left w:val="nil"/>
              <w:bottom w:val="nil"/>
              <w:right w:val="nil"/>
            </w:tcBorders>
            <w:shd w:val="clear" w:color="auto" w:fill="auto"/>
            <w:noWrap/>
            <w:vAlign w:val="center"/>
            <w:hideMark/>
          </w:tcPr>
          <w:p w14:paraId="224A40CE"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565 </w:t>
            </w:r>
          </w:p>
        </w:tc>
      </w:tr>
      <w:tr w:rsidR="00123BB5" w:rsidRPr="006D678A" w14:paraId="313435A9" w14:textId="77777777" w:rsidTr="00260B90">
        <w:trPr>
          <w:trHeight w:val="304"/>
          <w:tblHeader/>
          <w:jc w:val="center"/>
        </w:trPr>
        <w:tc>
          <w:tcPr>
            <w:tcW w:w="450" w:type="dxa"/>
            <w:tcBorders>
              <w:top w:val="nil"/>
              <w:left w:val="nil"/>
              <w:bottom w:val="nil"/>
              <w:right w:val="nil"/>
            </w:tcBorders>
            <w:shd w:val="clear" w:color="auto" w:fill="auto"/>
            <w:noWrap/>
            <w:hideMark/>
          </w:tcPr>
          <w:p w14:paraId="70054EA5" w14:textId="77777777" w:rsidR="00123BB5" w:rsidRPr="00586B0C" w:rsidRDefault="00123BB5" w:rsidP="00533403">
            <w:pPr>
              <w:jc w:val="both"/>
              <w:rPr>
                <w:rFonts w:ascii="Arial" w:hAnsi="Arial"/>
                <w:color w:val="000000"/>
                <w:lang w:val="en-GB"/>
              </w:rPr>
            </w:pPr>
          </w:p>
        </w:tc>
        <w:tc>
          <w:tcPr>
            <w:tcW w:w="4069" w:type="dxa"/>
            <w:tcBorders>
              <w:top w:val="nil"/>
              <w:left w:val="nil"/>
              <w:bottom w:val="nil"/>
              <w:right w:val="nil"/>
            </w:tcBorders>
            <w:shd w:val="clear" w:color="auto" w:fill="auto"/>
            <w:noWrap/>
            <w:vAlign w:val="center"/>
            <w:hideMark/>
          </w:tcPr>
          <w:p w14:paraId="16A70129" w14:textId="70797677" w:rsidR="00123BB5" w:rsidRPr="00586B0C" w:rsidRDefault="00123BB5" w:rsidP="00533403">
            <w:pPr>
              <w:jc w:val="both"/>
              <w:rPr>
                <w:rFonts w:ascii="Arial" w:hAnsi="Arial"/>
                <w:color w:val="000000"/>
                <w:lang w:val="en-GB"/>
              </w:rPr>
            </w:pPr>
            <w:r w:rsidRPr="00586B0C">
              <w:rPr>
                <w:rFonts w:ascii="Arial" w:hAnsi="Arial"/>
                <w:color w:val="000000"/>
                <w:lang w:val="en-GB"/>
              </w:rPr>
              <w:t>Unearned Revenue</w:t>
            </w:r>
            <w:r w:rsidR="007B354F" w:rsidRPr="00C76EBB">
              <w:rPr>
                <w:rFonts w:ascii="Arial" w:hAnsi="Arial" w:cs="Arial"/>
                <w:color w:val="000000"/>
                <w:vertAlign w:val="superscript"/>
                <w:lang w:val="en-GB"/>
              </w:rPr>
              <w:t>†</w:t>
            </w:r>
          </w:p>
        </w:tc>
        <w:tc>
          <w:tcPr>
            <w:tcW w:w="1367" w:type="dxa"/>
            <w:tcBorders>
              <w:top w:val="nil"/>
              <w:left w:val="nil"/>
              <w:bottom w:val="single" w:sz="8" w:space="0" w:color="auto"/>
              <w:right w:val="nil"/>
            </w:tcBorders>
            <w:shd w:val="clear" w:color="auto" w:fill="auto"/>
            <w:noWrap/>
            <w:vAlign w:val="center"/>
            <w:hideMark/>
          </w:tcPr>
          <w:p w14:paraId="1FE4470E"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3,502 </w:t>
            </w:r>
          </w:p>
        </w:tc>
        <w:tc>
          <w:tcPr>
            <w:tcW w:w="1367" w:type="dxa"/>
            <w:tcBorders>
              <w:top w:val="nil"/>
              <w:left w:val="nil"/>
              <w:bottom w:val="single" w:sz="8" w:space="0" w:color="auto"/>
              <w:right w:val="nil"/>
            </w:tcBorders>
            <w:shd w:val="clear" w:color="auto" w:fill="auto"/>
            <w:noWrap/>
            <w:vAlign w:val="center"/>
            <w:hideMark/>
          </w:tcPr>
          <w:p w14:paraId="1386B0AA"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4,437 </w:t>
            </w:r>
          </w:p>
        </w:tc>
      </w:tr>
      <w:tr w:rsidR="00123BB5" w:rsidRPr="006D678A" w14:paraId="19F592FA" w14:textId="77777777" w:rsidTr="00260B90">
        <w:trPr>
          <w:trHeight w:val="294"/>
          <w:tblHeader/>
          <w:jc w:val="center"/>
        </w:trPr>
        <w:tc>
          <w:tcPr>
            <w:tcW w:w="4519" w:type="dxa"/>
            <w:gridSpan w:val="2"/>
            <w:tcBorders>
              <w:top w:val="nil"/>
              <w:left w:val="nil"/>
              <w:bottom w:val="nil"/>
              <w:right w:val="nil"/>
            </w:tcBorders>
            <w:shd w:val="clear" w:color="auto" w:fill="auto"/>
            <w:noWrap/>
            <w:vAlign w:val="center"/>
            <w:hideMark/>
          </w:tcPr>
          <w:p w14:paraId="3AFB6E4F" w14:textId="7EC29C80" w:rsidR="00123BB5" w:rsidRPr="00586B0C" w:rsidRDefault="00123BB5" w:rsidP="00533403">
            <w:pPr>
              <w:jc w:val="both"/>
              <w:rPr>
                <w:rFonts w:ascii="Arial" w:hAnsi="Arial"/>
                <w:b/>
                <w:color w:val="000000"/>
                <w:lang w:val="en-GB"/>
              </w:rPr>
            </w:pPr>
            <w:r w:rsidRPr="00586B0C">
              <w:rPr>
                <w:rFonts w:ascii="Arial" w:hAnsi="Arial"/>
                <w:b/>
                <w:color w:val="000000"/>
                <w:lang w:val="en-GB"/>
              </w:rPr>
              <w:t xml:space="preserve">Total </w:t>
            </w:r>
            <w:r w:rsidR="00221B44">
              <w:rPr>
                <w:rFonts w:ascii="Arial" w:hAnsi="Arial"/>
                <w:b/>
                <w:color w:val="000000"/>
                <w:lang w:val="en-GB"/>
              </w:rPr>
              <w:t>Current Liabilities</w:t>
            </w:r>
          </w:p>
        </w:tc>
        <w:tc>
          <w:tcPr>
            <w:tcW w:w="1367" w:type="dxa"/>
            <w:tcBorders>
              <w:top w:val="nil"/>
              <w:left w:val="nil"/>
              <w:bottom w:val="nil"/>
              <w:right w:val="nil"/>
            </w:tcBorders>
            <w:shd w:val="clear" w:color="auto" w:fill="auto"/>
            <w:noWrap/>
            <w:vAlign w:val="center"/>
            <w:hideMark/>
          </w:tcPr>
          <w:p w14:paraId="5AC3A557"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21,430 </w:t>
            </w:r>
          </w:p>
        </w:tc>
        <w:tc>
          <w:tcPr>
            <w:tcW w:w="1367" w:type="dxa"/>
            <w:tcBorders>
              <w:top w:val="nil"/>
              <w:left w:val="nil"/>
              <w:bottom w:val="nil"/>
              <w:right w:val="nil"/>
            </w:tcBorders>
            <w:shd w:val="clear" w:color="auto" w:fill="auto"/>
            <w:noWrap/>
            <w:vAlign w:val="center"/>
            <w:hideMark/>
          </w:tcPr>
          <w:p w14:paraId="1EAACFE0"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19,458 </w:t>
            </w:r>
          </w:p>
        </w:tc>
      </w:tr>
      <w:tr w:rsidR="00123BB5" w:rsidRPr="006D678A" w14:paraId="48AD07D9" w14:textId="77777777" w:rsidTr="00260B90">
        <w:trPr>
          <w:trHeight w:val="171"/>
          <w:tblHeader/>
          <w:jc w:val="center"/>
        </w:trPr>
        <w:tc>
          <w:tcPr>
            <w:tcW w:w="450" w:type="dxa"/>
            <w:tcBorders>
              <w:top w:val="nil"/>
              <w:left w:val="nil"/>
              <w:bottom w:val="nil"/>
              <w:right w:val="nil"/>
            </w:tcBorders>
            <w:shd w:val="clear" w:color="auto" w:fill="auto"/>
            <w:noWrap/>
            <w:hideMark/>
          </w:tcPr>
          <w:p w14:paraId="7D14490C" w14:textId="77777777" w:rsidR="00123BB5" w:rsidRPr="00586B0C" w:rsidRDefault="00123BB5" w:rsidP="00533403">
            <w:pPr>
              <w:jc w:val="both"/>
              <w:rPr>
                <w:rFonts w:ascii="Arial" w:hAnsi="Arial"/>
                <w:color w:val="000000"/>
                <w:lang w:val="en-GB"/>
              </w:rPr>
            </w:pPr>
          </w:p>
        </w:tc>
        <w:tc>
          <w:tcPr>
            <w:tcW w:w="4069" w:type="dxa"/>
            <w:tcBorders>
              <w:top w:val="nil"/>
              <w:left w:val="nil"/>
              <w:bottom w:val="nil"/>
              <w:right w:val="nil"/>
            </w:tcBorders>
            <w:shd w:val="clear" w:color="auto" w:fill="auto"/>
            <w:noWrap/>
            <w:hideMark/>
          </w:tcPr>
          <w:p w14:paraId="0E435576" w14:textId="77777777" w:rsidR="00123BB5" w:rsidRPr="00586B0C" w:rsidRDefault="00123BB5" w:rsidP="00533403">
            <w:pPr>
              <w:jc w:val="both"/>
              <w:rPr>
                <w:rFonts w:ascii="Arial" w:hAnsi="Arial"/>
                <w:lang w:val="en-GB"/>
              </w:rPr>
            </w:pPr>
          </w:p>
        </w:tc>
        <w:tc>
          <w:tcPr>
            <w:tcW w:w="1367" w:type="dxa"/>
            <w:tcBorders>
              <w:top w:val="nil"/>
              <w:left w:val="nil"/>
              <w:bottom w:val="nil"/>
              <w:right w:val="nil"/>
            </w:tcBorders>
            <w:shd w:val="clear" w:color="auto" w:fill="auto"/>
            <w:noWrap/>
            <w:vAlign w:val="bottom"/>
            <w:hideMark/>
          </w:tcPr>
          <w:p w14:paraId="48324C56" w14:textId="77777777" w:rsidR="00123BB5" w:rsidRPr="00586B0C" w:rsidRDefault="00123BB5" w:rsidP="00533403">
            <w:pPr>
              <w:tabs>
                <w:tab w:val="left" w:pos="60"/>
                <w:tab w:val="right" w:pos="1140"/>
              </w:tabs>
              <w:jc w:val="both"/>
              <w:rPr>
                <w:rFonts w:ascii="Arial" w:hAnsi="Arial"/>
                <w:color w:val="000000"/>
                <w:lang w:val="en-GB"/>
              </w:rPr>
            </w:pPr>
          </w:p>
        </w:tc>
        <w:tc>
          <w:tcPr>
            <w:tcW w:w="1367" w:type="dxa"/>
            <w:tcBorders>
              <w:top w:val="nil"/>
              <w:left w:val="nil"/>
              <w:bottom w:val="nil"/>
              <w:right w:val="nil"/>
            </w:tcBorders>
            <w:shd w:val="clear" w:color="auto" w:fill="auto"/>
            <w:noWrap/>
            <w:vAlign w:val="bottom"/>
            <w:hideMark/>
          </w:tcPr>
          <w:p w14:paraId="4CA7491F" w14:textId="77777777" w:rsidR="00123BB5" w:rsidRPr="00586B0C" w:rsidRDefault="00123BB5" w:rsidP="00533403">
            <w:pPr>
              <w:tabs>
                <w:tab w:val="left" w:pos="60"/>
                <w:tab w:val="right" w:pos="1140"/>
              </w:tabs>
              <w:jc w:val="both"/>
              <w:rPr>
                <w:rFonts w:ascii="Arial" w:hAnsi="Arial"/>
                <w:color w:val="000000"/>
                <w:lang w:val="en-GB"/>
              </w:rPr>
            </w:pPr>
          </w:p>
        </w:tc>
      </w:tr>
      <w:tr w:rsidR="00123BB5" w:rsidRPr="006D678A" w14:paraId="5DE52E5F" w14:textId="77777777" w:rsidTr="00260B90">
        <w:trPr>
          <w:trHeight w:val="294"/>
          <w:tblHeader/>
          <w:jc w:val="center"/>
        </w:trPr>
        <w:tc>
          <w:tcPr>
            <w:tcW w:w="4519" w:type="dxa"/>
            <w:gridSpan w:val="2"/>
            <w:tcBorders>
              <w:top w:val="nil"/>
              <w:left w:val="nil"/>
              <w:bottom w:val="nil"/>
              <w:right w:val="nil"/>
            </w:tcBorders>
            <w:shd w:val="clear" w:color="auto" w:fill="auto"/>
            <w:noWrap/>
            <w:vAlign w:val="center"/>
            <w:hideMark/>
          </w:tcPr>
          <w:p w14:paraId="3112E4A7"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TOTAL LIABILITIES</w:t>
            </w:r>
          </w:p>
        </w:tc>
        <w:tc>
          <w:tcPr>
            <w:tcW w:w="1367" w:type="dxa"/>
            <w:tcBorders>
              <w:top w:val="nil"/>
              <w:left w:val="nil"/>
              <w:bottom w:val="nil"/>
              <w:right w:val="nil"/>
            </w:tcBorders>
            <w:shd w:val="clear" w:color="auto" w:fill="auto"/>
            <w:noWrap/>
            <w:vAlign w:val="center"/>
            <w:hideMark/>
          </w:tcPr>
          <w:p w14:paraId="3CDAA5D2" w14:textId="77777777" w:rsidR="00123BB5" w:rsidRPr="00586B0C" w:rsidRDefault="00123BB5" w:rsidP="00533403">
            <w:pPr>
              <w:tabs>
                <w:tab w:val="left" w:pos="60"/>
                <w:tab w:val="right" w:pos="1140"/>
              </w:tabs>
              <w:jc w:val="both"/>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21,430 </w:t>
            </w:r>
          </w:p>
        </w:tc>
        <w:tc>
          <w:tcPr>
            <w:tcW w:w="1367" w:type="dxa"/>
            <w:tcBorders>
              <w:top w:val="nil"/>
              <w:left w:val="nil"/>
              <w:bottom w:val="nil"/>
              <w:right w:val="nil"/>
            </w:tcBorders>
            <w:shd w:val="clear" w:color="auto" w:fill="auto"/>
            <w:noWrap/>
            <w:vAlign w:val="center"/>
            <w:hideMark/>
          </w:tcPr>
          <w:p w14:paraId="2B184A3F" w14:textId="77777777" w:rsidR="00123BB5" w:rsidRPr="00586B0C" w:rsidRDefault="00123BB5" w:rsidP="00533403">
            <w:pPr>
              <w:tabs>
                <w:tab w:val="left" w:pos="60"/>
                <w:tab w:val="right" w:pos="1140"/>
              </w:tabs>
              <w:jc w:val="both"/>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19,458 </w:t>
            </w:r>
          </w:p>
        </w:tc>
      </w:tr>
      <w:tr w:rsidR="00123BB5" w:rsidRPr="006D678A" w14:paraId="7094B524" w14:textId="77777777" w:rsidTr="00260B90">
        <w:trPr>
          <w:trHeight w:val="294"/>
          <w:tblHeader/>
          <w:jc w:val="center"/>
        </w:trPr>
        <w:tc>
          <w:tcPr>
            <w:tcW w:w="450" w:type="dxa"/>
            <w:tcBorders>
              <w:top w:val="nil"/>
              <w:left w:val="nil"/>
              <w:bottom w:val="nil"/>
              <w:right w:val="nil"/>
            </w:tcBorders>
            <w:shd w:val="clear" w:color="auto" w:fill="auto"/>
            <w:noWrap/>
            <w:hideMark/>
          </w:tcPr>
          <w:p w14:paraId="3C30EA66" w14:textId="77777777" w:rsidR="00123BB5" w:rsidRPr="00586B0C" w:rsidRDefault="00123BB5" w:rsidP="00533403">
            <w:pPr>
              <w:jc w:val="both"/>
              <w:rPr>
                <w:rFonts w:ascii="Arial" w:hAnsi="Arial"/>
                <w:b/>
                <w:color w:val="000000"/>
                <w:lang w:val="en-GB"/>
              </w:rPr>
            </w:pPr>
          </w:p>
        </w:tc>
        <w:tc>
          <w:tcPr>
            <w:tcW w:w="4069" w:type="dxa"/>
            <w:tcBorders>
              <w:top w:val="nil"/>
              <w:left w:val="nil"/>
              <w:bottom w:val="nil"/>
              <w:right w:val="nil"/>
            </w:tcBorders>
            <w:shd w:val="clear" w:color="auto" w:fill="auto"/>
            <w:noWrap/>
            <w:hideMark/>
          </w:tcPr>
          <w:p w14:paraId="3B9D1682" w14:textId="77777777" w:rsidR="00123BB5" w:rsidRPr="00586B0C" w:rsidRDefault="00123BB5" w:rsidP="00533403">
            <w:pPr>
              <w:jc w:val="both"/>
              <w:rPr>
                <w:rFonts w:ascii="Arial" w:hAnsi="Arial"/>
                <w:lang w:val="en-GB"/>
              </w:rPr>
            </w:pPr>
          </w:p>
        </w:tc>
        <w:tc>
          <w:tcPr>
            <w:tcW w:w="1367" w:type="dxa"/>
            <w:tcBorders>
              <w:top w:val="nil"/>
              <w:left w:val="nil"/>
              <w:bottom w:val="nil"/>
              <w:right w:val="nil"/>
            </w:tcBorders>
            <w:shd w:val="clear" w:color="auto" w:fill="auto"/>
            <w:noWrap/>
            <w:vAlign w:val="bottom"/>
            <w:hideMark/>
          </w:tcPr>
          <w:p w14:paraId="14754FB2" w14:textId="77777777" w:rsidR="00123BB5" w:rsidRPr="00586B0C" w:rsidRDefault="00123BB5" w:rsidP="00533403">
            <w:pPr>
              <w:tabs>
                <w:tab w:val="left" w:pos="60"/>
                <w:tab w:val="right" w:pos="1140"/>
              </w:tabs>
              <w:jc w:val="both"/>
              <w:rPr>
                <w:rFonts w:ascii="Arial" w:hAnsi="Arial"/>
                <w:color w:val="000000"/>
                <w:lang w:val="en-GB"/>
              </w:rPr>
            </w:pPr>
          </w:p>
        </w:tc>
        <w:tc>
          <w:tcPr>
            <w:tcW w:w="1367" w:type="dxa"/>
            <w:tcBorders>
              <w:top w:val="nil"/>
              <w:left w:val="nil"/>
              <w:bottom w:val="nil"/>
              <w:right w:val="nil"/>
            </w:tcBorders>
            <w:shd w:val="clear" w:color="auto" w:fill="auto"/>
            <w:noWrap/>
            <w:vAlign w:val="bottom"/>
            <w:hideMark/>
          </w:tcPr>
          <w:p w14:paraId="737F2AAA" w14:textId="77777777" w:rsidR="00123BB5" w:rsidRPr="00586B0C" w:rsidRDefault="00123BB5" w:rsidP="00533403">
            <w:pPr>
              <w:jc w:val="both"/>
              <w:rPr>
                <w:rFonts w:ascii="Arial" w:hAnsi="Arial"/>
                <w:lang w:val="en-GB"/>
              </w:rPr>
            </w:pPr>
          </w:p>
        </w:tc>
      </w:tr>
      <w:tr w:rsidR="00123BB5" w:rsidRPr="006D678A" w14:paraId="7E3B97D8" w14:textId="77777777" w:rsidTr="00260B90">
        <w:trPr>
          <w:trHeight w:val="294"/>
          <w:tblHeader/>
          <w:jc w:val="center"/>
        </w:trPr>
        <w:tc>
          <w:tcPr>
            <w:tcW w:w="4519" w:type="dxa"/>
            <w:gridSpan w:val="2"/>
            <w:tcBorders>
              <w:top w:val="nil"/>
              <w:left w:val="nil"/>
              <w:bottom w:val="nil"/>
              <w:right w:val="nil"/>
            </w:tcBorders>
            <w:shd w:val="clear" w:color="auto" w:fill="auto"/>
            <w:noWrap/>
            <w:vAlign w:val="center"/>
            <w:hideMark/>
          </w:tcPr>
          <w:p w14:paraId="13F609D0"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EQUITY</w:t>
            </w:r>
          </w:p>
        </w:tc>
        <w:tc>
          <w:tcPr>
            <w:tcW w:w="1367" w:type="dxa"/>
            <w:tcBorders>
              <w:top w:val="nil"/>
              <w:left w:val="nil"/>
              <w:bottom w:val="nil"/>
              <w:right w:val="nil"/>
            </w:tcBorders>
            <w:shd w:val="clear" w:color="auto" w:fill="auto"/>
            <w:noWrap/>
            <w:vAlign w:val="bottom"/>
            <w:hideMark/>
          </w:tcPr>
          <w:p w14:paraId="60E31B0C" w14:textId="77777777" w:rsidR="00123BB5" w:rsidRPr="00586B0C" w:rsidRDefault="00123BB5" w:rsidP="00533403">
            <w:pPr>
              <w:tabs>
                <w:tab w:val="left" w:pos="60"/>
                <w:tab w:val="right" w:pos="1140"/>
              </w:tabs>
              <w:jc w:val="both"/>
              <w:rPr>
                <w:rFonts w:ascii="Arial" w:hAnsi="Arial"/>
                <w:color w:val="000000"/>
                <w:lang w:val="en-GB"/>
              </w:rPr>
            </w:pPr>
          </w:p>
        </w:tc>
        <w:tc>
          <w:tcPr>
            <w:tcW w:w="1367" w:type="dxa"/>
            <w:tcBorders>
              <w:top w:val="nil"/>
              <w:left w:val="nil"/>
              <w:bottom w:val="nil"/>
              <w:right w:val="nil"/>
            </w:tcBorders>
            <w:shd w:val="clear" w:color="auto" w:fill="auto"/>
            <w:noWrap/>
            <w:vAlign w:val="bottom"/>
            <w:hideMark/>
          </w:tcPr>
          <w:p w14:paraId="039174D4" w14:textId="77777777" w:rsidR="00123BB5" w:rsidRPr="00586B0C" w:rsidRDefault="00123BB5" w:rsidP="00533403">
            <w:pPr>
              <w:jc w:val="both"/>
              <w:rPr>
                <w:rFonts w:ascii="Arial" w:hAnsi="Arial"/>
                <w:lang w:val="en-GB"/>
              </w:rPr>
            </w:pPr>
          </w:p>
        </w:tc>
      </w:tr>
      <w:tr w:rsidR="00123BB5" w:rsidRPr="006D678A" w14:paraId="545DE945" w14:textId="77777777" w:rsidTr="00260B90">
        <w:trPr>
          <w:trHeight w:val="294"/>
          <w:tblHeader/>
          <w:jc w:val="center"/>
        </w:trPr>
        <w:tc>
          <w:tcPr>
            <w:tcW w:w="450" w:type="dxa"/>
            <w:tcBorders>
              <w:top w:val="nil"/>
              <w:left w:val="nil"/>
              <w:bottom w:val="nil"/>
              <w:right w:val="nil"/>
            </w:tcBorders>
            <w:shd w:val="clear" w:color="auto" w:fill="auto"/>
            <w:noWrap/>
            <w:hideMark/>
          </w:tcPr>
          <w:p w14:paraId="4F3D2776" w14:textId="77777777" w:rsidR="00123BB5" w:rsidRPr="00586B0C" w:rsidRDefault="00123BB5" w:rsidP="00533403">
            <w:pPr>
              <w:jc w:val="both"/>
              <w:rPr>
                <w:rFonts w:ascii="Arial" w:hAnsi="Arial"/>
                <w:lang w:val="en-GB"/>
              </w:rPr>
            </w:pPr>
          </w:p>
        </w:tc>
        <w:tc>
          <w:tcPr>
            <w:tcW w:w="4069" w:type="dxa"/>
            <w:tcBorders>
              <w:top w:val="nil"/>
              <w:left w:val="nil"/>
              <w:bottom w:val="nil"/>
              <w:right w:val="nil"/>
            </w:tcBorders>
            <w:shd w:val="clear" w:color="auto" w:fill="auto"/>
            <w:vAlign w:val="center"/>
            <w:hideMark/>
          </w:tcPr>
          <w:p w14:paraId="781FCC94" w14:textId="0AFAE2A6" w:rsidR="00123BB5" w:rsidRPr="00586B0C" w:rsidRDefault="00123BB5" w:rsidP="00533403">
            <w:pPr>
              <w:jc w:val="both"/>
              <w:rPr>
                <w:rFonts w:ascii="Arial" w:hAnsi="Arial"/>
                <w:color w:val="000000"/>
                <w:lang w:val="en-GB"/>
              </w:rPr>
            </w:pPr>
            <w:r w:rsidRPr="00586B0C">
              <w:rPr>
                <w:rFonts w:ascii="Arial" w:hAnsi="Arial"/>
                <w:color w:val="000000"/>
                <w:lang w:val="en-GB"/>
              </w:rPr>
              <w:t xml:space="preserve">Common </w:t>
            </w:r>
            <w:r w:rsidR="00613715">
              <w:rPr>
                <w:rFonts w:ascii="Arial" w:hAnsi="Arial"/>
                <w:color w:val="000000"/>
                <w:lang w:val="en-GB"/>
              </w:rPr>
              <w:t>Stock</w:t>
            </w:r>
          </w:p>
        </w:tc>
        <w:tc>
          <w:tcPr>
            <w:tcW w:w="1367" w:type="dxa"/>
            <w:tcBorders>
              <w:top w:val="nil"/>
              <w:left w:val="nil"/>
              <w:bottom w:val="nil"/>
              <w:right w:val="nil"/>
            </w:tcBorders>
            <w:shd w:val="clear" w:color="auto" w:fill="auto"/>
            <w:noWrap/>
            <w:vAlign w:val="center"/>
            <w:hideMark/>
          </w:tcPr>
          <w:p w14:paraId="76F84D7D"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20,000 </w:t>
            </w:r>
          </w:p>
        </w:tc>
        <w:tc>
          <w:tcPr>
            <w:tcW w:w="1367" w:type="dxa"/>
            <w:tcBorders>
              <w:top w:val="nil"/>
              <w:left w:val="nil"/>
              <w:bottom w:val="nil"/>
              <w:right w:val="nil"/>
            </w:tcBorders>
            <w:shd w:val="clear" w:color="auto" w:fill="auto"/>
            <w:noWrap/>
            <w:vAlign w:val="center"/>
            <w:hideMark/>
          </w:tcPr>
          <w:p w14:paraId="2EC19AD7"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t>$</w:t>
            </w:r>
            <w:r w:rsidRPr="00586B0C">
              <w:rPr>
                <w:rFonts w:ascii="Arial" w:hAnsi="Arial"/>
                <w:color w:val="000000"/>
                <w:lang w:val="en-GB"/>
              </w:rPr>
              <w:tab/>
              <w:t xml:space="preserve">20,000 </w:t>
            </w:r>
          </w:p>
        </w:tc>
      </w:tr>
      <w:tr w:rsidR="00123BB5" w:rsidRPr="006D678A" w14:paraId="7592496C" w14:textId="77777777" w:rsidTr="00260B90">
        <w:trPr>
          <w:trHeight w:val="304"/>
          <w:tblHeader/>
          <w:jc w:val="center"/>
        </w:trPr>
        <w:tc>
          <w:tcPr>
            <w:tcW w:w="450" w:type="dxa"/>
            <w:tcBorders>
              <w:top w:val="nil"/>
              <w:left w:val="nil"/>
              <w:bottom w:val="nil"/>
              <w:right w:val="nil"/>
            </w:tcBorders>
            <w:shd w:val="clear" w:color="auto" w:fill="auto"/>
            <w:noWrap/>
            <w:hideMark/>
          </w:tcPr>
          <w:p w14:paraId="31CADAA1" w14:textId="77777777" w:rsidR="00123BB5" w:rsidRPr="00586B0C" w:rsidRDefault="00123BB5" w:rsidP="00533403">
            <w:pPr>
              <w:jc w:val="both"/>
              <w:rPr>
                <w:rFonts w:ascii="Arial" w:hAnsi="Arial"/>
                <w:color w:val="000000"/>
                <w:lang w:val="en-GB"/>
              </w:rPr>
            </w:pPr>
          </w:p>
        </w:tc>
        <w:tc>
          <w:tcPr>
            <w:tcW w:w="4069" w:type="dxa"/>
            <w:tcBorders>
              <w:top w:val="nil"/>
              <w:left w:val="nil"/>
              <w:bottom w:val="nil"/>
              <w:right w:val="nil"/>
            </w:tcBorders>
            <w:shd w:val="clear" w:color="auto" w:fill="auto"/>
            <w:noWrap/>
            <w:vAlign w:val="center"/>
            <w:hideMark/>
          </w:tcPr>
          <w:p w14:paraId="4E320ECE" w14:textId="55D5AF6E" w:rsidR="00123BB5" w:rsidRPr="00586B0C" w:rsidRDefault="00123BB5" w:rsidP="00533403">
            <w:pPr>
              <w:jc w:val="both"/>
              <w:rPr>
                <w:rFonts w:ascii="Arial" w:hAnsi="Arial"/>
                <w:color w:val="000000"/>
                <w:lang w:val="en-GB"/>
              </w:rPr>
            </w:pPr>
            <w:r w:rsidRPr="00586B0C">
              <w:rPr>
                <w:rFonts w:ascii="Arial" w:hAnsi="Arial"/>
                <w:color w:val="000000"/>
                <w:lang w:val="en-GB"/>
              </w:rPr>
              <w:t xml:space="preserve">Retained </w:t>
            </w:r>
            <w:r w:rsidR="00613715">
              <w:rPr>
                <w:rFonts w:ascii="Arial" w:hAnsi="Arial"/>
                <w:color w:val="000000"/>
                <w:lang w:val="en-GB"/>
              </w:rPr>
              <w:t>Earnings</w:t>
            </w:r>
          </w:p>
        </w:tc>
        <w:tc>
          <w:tcPr>
            <w:tcW w:w="1367" w:type="dxa"/>
            <w:tcBorders>
              <w:top w:val="nil"/>
              <w:left w:val="nil"/>
              <w:bottom w:val="single" w:sz="8" w:space="0" w:color="auto"/>
              <w:right w:val="nil"/>
            </w:tcBorders>
            <w:shd w:val="clear" w:color="auto" w:fill="auto"/>
            <w:noWrap/>
            <w:vAlign w:val="center"/>
            <w:hideMark/>
          </w:tcPr>
          <w:p w14:paraId="716ED724"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15,613 </w:t>
            </w:r>
          </w:p>
        </w:tc>
        <w:tc>
          <w:tcPr>
            <w:tcW w:w="1367" w:type="dxa"/>
            <w:tcBorders>
              <w:top w:val="nil"/>
              <w:left w:val="nil"/>
              <w:bottom w:val="single" w:sz="8" w:space="0" w:color="auto"/>
              <w:right w:val="nil"/>
            </w:tcBorders>
            <w:shd w:val="clear" w:color="auto" w:fill="auto"/>
            <w:noWrap/>
            <w:vAlign w:val="center"/>
            <w:hideMark/>
          </w:tcPr>
          <w:p w14:paraId="444065E8" w14:textId="77777777" w:rsidR="00123BB5" w:rsidRPr="00586B0C" w:rsidRDefault="00123BB5" w:rsidP="00533403">
            <w:pPr>
              <w:tabs>
                <w:tab w:val="left" w:pos="60"/>
                <w:tab w:val="right" w:pos="1140"/>
              </w:tabs>
              <w:jc w:val="both"/>
              <w:rPr>
                <w:rFonts w:ascii="Arial" w:hAnsi="Arial"/>
                <w:color w:val="000000"/>
                <w:lang w:val="en-GB"/>
              </w:rPr>
            </w:pPr>
            <w:r w:rsidRPr="00586B0C">
              <w:rPr>
                <w:rFonts w:ascii="Arial" w:hAnsi="Arial"/>
                <w:color w:val="000000"/>
                <w:lang w:val="en-GB"/>
              </w:rPr>
              <w:tab/>
            </w:r>
            <w:r w:rsidRPr="00586B0C">
              <w:rPr>
                <w:rFonts w:ascii="Arial" w:hAnsi="Arial"/>
                <w:color w:val="000000"/>
                <w:lang w:val="en-GB"/>
              </w:rPr>
              <w:tab/>
              <w:t xml:space="preserve">13,444 </w:t>
            </w:r>
          </w:p>
        </w:tc>
      </w:tr>
      <w:tr w:rsidR="00123BB5" w:rsidRPr="006D678A" w14:paraId="5638BC38" w14:textId="77777777" w:rsidTr="00260B90">
        <w:trPr>
          <w:trHeight w:val="294"/>
          <w:tblHeader/>
          <w:jc w:val="center"/>
        </w:trPr>
        <w:tc>
          <w:tcPr>
            <w:tcW w:w="450" w:type="dxa"/>
            <w:tcBorders>
              <w:top w:val="nil"/>
              <w:left w:val="nil"/>
              <w:bottom w:val="nil"/>
              <w:right w:val="nil"/>
            </w:tcBorders>
            <w:shd w:val="clear" w:color="auto" w:fill="auto"/>
            <w:noWrap/>
            <w:hideMark/>
          </w:tcPr>
          <w:p w14:paraId="0817B3C4" w14:textId="77777777" w:rsidR="00123BB5" w:rsidRPr="00586B0C" w:rsidRDefault="00123BB5" w:rsidP="00533403">
            <w:pPr>
              <w:jc w:val="both"/>
              <w:rPr>
                <w:rFonts w:ascii="Arial" w:hAnsi="Arial"/>
                <w:color w:val="000000"/>
                <w:lang w:val="en-GB"/>
              </w:rPr>
            </w:pPr>
          </w:p>
        </w:tc>
        <w:tc>
          <w:tcPr>
            <w:tcW w:w="4069" w:type="dxa"/>
            <w:tcBorders>
              <w:top w:val="nil"/>
              <w:left w:val="nil"/>
              <w:bottom w:val="nil"/>
              <w:right w:val="nil"/>
            </w:tcBorders>
            <w:shd w:val="clear" w:color="auto" w:fill="auto"/>
            <w:noWrap/>
            <w:hideMark/>
          </w:tcPr>
          <w:p w14:paraId="10581FAD" w14:textId="77777777" w:rsidR="00123BB5" w:rsidRPr="00586B0C" w:rsidRDefault="00123BB5" w:rsidP="00533403">
            <w:pPr>
              <w:jc w:val="both"/>
              <w:rPr>
                <w:rFonts w:ascii="Arial" w:hAnsi="Arial"/>
                <w:lang w:val="en-GB"/>
              </w:rPr>
            </w:pPr>
          </w:p>
        </w:tc>
        <w:tc>
          <w:tcPr>
            <w:tcW w:w="1367" w:type="dxa"/>
            <w:tcBorders>
              <w:top w:val="nil"/>
              <w:left w:val="nil"/>
              <w:bottom w:val="nil"/>
              <w:right w:val="nil"/>
            </w:tcBorders>
            <w:shd w:val="clear" w:color="auto" w:fill="auto"/>
            <w:noWrap/>
            <w:vAlign w:val="bottom"/>
            <w:hideMark/>
          </w:tcPr>
          <w:p w14:paraId="1FC3EF8A" w14:textId="77777777" w:rsidR="00123BB5" w:rsidRPr="00586B0C" w:rsidRDefault="00123BB5" w:rsidP="00533403">
            <w:pPr>
              <w:tabs>
                <w:tab w:val="left" w:pos="60"/>
                <w:tab w:val="right" w:pos="1140"/>
              </w:tabs>
              <w:jc w:val="both"/>
              <w:rPr>
                <w:rFonts w:ascii="Arial" w:hAnsi="Arial"/>
                <w:color w:val="000000"/>
                <w:lang w:val="en-GB"/>
              </w:rPr>
            </w:pPr>
          </w:p>
        </w:tc>
        <w:tc>
          <w:tcPr>
            <w:tcW w:w="1367" w:type="dxa"/>
            <w:tcBorders>
              <w:top w:val="nil"/>
              <w:left w:val="nil"/>
              <w:bottom w:val="nil"/>
              <w:right w:val="nil"/>
            </w:tcBorders>
            <w:shd w:val="clear" w:color="auto" w:fill="auto"/>
            <w:noWrap/>
            <w:vAlign w:val="bottom"/>
            <w:hideMark/>
          </w:tcPr>
          <w:p w14:paraId="3AC943BF" w14:textId="77777777" w:rsidR="00123BB5" w:rsidRPr="00586B0C" w:rsidRDefault="00123BB5" w:rsidP="00533403">
            <w:pPr>
              <w:jc w:val="both"/>
              <w:rPr>
                <w:rFonts w:ascii="Arial" w:hAnsi="Arial"/>
                <w:lang w:val="en-GB"/>
              </w:rPr>
            </w:pPr>
          </w:p>
        </w:tc>
      </w:tr>
      <w:tr w:rsidR="00123BB5" w:rsidRPr="006D678A" w14:paraId="0AFD049B" w14:textId="77777777" w:rsidTr="00260B90">
        <w:trPr>
          <w:trHeight w:val="294"/>
          <w:tblHeader/>
          <w:jc w:val="center"/>
        </w:trPr>
        <w:tc>
          <w:tcPr>
            <w:tcW w:w="4519" w:type="dxa"/>
            <w:gridSpan w:val="2"/>
            <w:tcBorders>
              <w:top w:val="nil"/>
              <w:left w:val="nil"/>
              <w:bottom w:val="nil"/>
              <w:right w:val="nil"/>
            </w:tcBorders>
            <w:shd w:val="clear" w:color="auto" w:fill="auto"/>
            <w:noWrap/>
            <w:vAlign w:val="center"/>
            <w:hideMark/>
          </w:tcPr>
          <w:p w14:paraId="59999545"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TOTAL EQUITY</w:t>
            </w:r>
          </w:p>
        </w:tc>
        <w:tc>
          <w:tcPr>
            <w:tcW w:w="1367" w:type="dxa"/>
            <w:tcBorders>
              <w:top w:val="nil"/>
              <w:left w:val="nil"/>
              <w:bottom w:val="nil"/>
              <w:right w:val="nil"/>
            </w:tcBorders>
            <w:shd w:val="clear" w:color="auto" w:fill="auto"/>
            <w:noWrap/>
            <w:vAlign w:val="center"/>
            <w:hideMark/>
          </w:tcPr>
          <w:p w14:paraId="74006B9A" w14:textId="77777777" w:rsidR="00123BB5" w:rsidRPr="00586B0C" w:rsidRDefault="00123BB5" w:rsidP="00533403">
            <w:pPr>
              <w:tabs>
                <w:tab w:val="left" w:pos="60"/>
                <w:tab w:val="right" w:pos="1140"/>
              </w:tabs>
              <w:jc w:val="both"/>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35,613 </w:t>
            </w:r>
          </w:p>
        </w:tc>
        <w:tc>
          <w:tcPr>
            <w:tcW w:w="1367" w:type="dxa"/>
            <w:tcBorders>
              <w:top w:val="nil"/>
              <w:left w:val="nil"/>
              <w:bottom w:val="nil"/>
              <w:right w:val="nil"/>
            </w:tcBorders>
            <w:shd w:val="clear" w:color="auto" w:fill="auto"/>
            <w:noWrap/>
            <w:vAlign w:val="center"/>
            <w:hideMark/>
          </w:tcPr>
          <w:p w14:paraId="4F2CF698" w14:textId="77777777" w:rsidR="00123BB5" w:rsidRPr="00586B0C" w:rsidRDefault="00123BB5" w:rsidP="00533403">
            <w:pPr>
              <w:tabs>
                <w:tab w:val="left" w:pos="60"/>
                <w:tab w:val="right" w:pos="1140"/>
              </w:tabs>
              <w:jc w:val="both"/>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33,444 </w:t>
            </w:r>
          </w:p>
        </w:tc>
      </w:tr>
      <w:tr w:rsidR="00123BB5" w:rsidRPr="006D678A" w14:paraId="6DA470F7" w14:textId="77777777" w:rsidTr="00260B90">
        <w:trPr>
          <w:trHeight w:val="294"/>
          <w:tblHeader/>
          <w:jc w:val="center"/>
        </w:trPr>
        <w:tc>
          <w:tcPr>
            <w:tcW w:w="450" w:type="dxa"/>
            <w:tcBorders>
              <w:top w:val="nil"/>
              <w:left w:val="nil"/>
              <w:right w:val="nil"/>
            </w:tcBorders>
            <w:shd w:val="clear" w:color="auto" w:fill="auto"/>
            <w:noWrap/>
            <w:hideMark/>
          </w:tcPr>
          <w:p w14:paraId="27A66A8E" w14:textId="77777777" w:rsidR="00123BB5" w:rsidRPr="00586B0C" w:rsidRDefault="00123BB5" w:rsidP="00533403">
            <w:pPr>
              <w:jc w:val="both"/>
              <w:rPr>
                <w:rFonts w:ascii="Arial" w:hAnsi="Arial"/>
                <w:b/>
                <w:color w:val="000000"/>
                <w:lang w:val="en-GB"/>
              </w:rPr>
            </w:pPr>
          </w:p>
        </w:tc>
        <w:tc>
          <w:tcPr>
            <w:tcW w:w="4069" w:type="dxa"/>
            <w:tcBorders>
              <w:top w:val="nil"/>
              <w:left w:val="nil"/>
              <w:right w:val="nil"/>
            </w:tcBorders>
            <w:shd w:val="clear" w:color="auto" w:fill="auto"/>
            <w:noWrap/>
            <w:hideMark/>
          </w:tcPr>
          <w:p w14:paraId="36527E90" w14:textId="77777777" w:rsidR="00123BB5" w:rsidRPr="00586B0C" w:rsidRDefault="00123BB5" w:rsidP="00533403">
            <w:pPr>
              <w:jc w:val="both"/>
              <w:rPr>
                <w:rFonts w:ascii="Arial" w:hAnsi="Arial"/>
                <w:lang w:val="en-GB"/>
              </w:rPr>
            </w:pPr>
          </w:p>
        </w:tc>
        <w:tc>
          <w:tcPr>
            <w:tcW w:w="1367" w:type="dxa"/>
            <w:tcBorders>
              <w:top w:val="nil"/>
              <w:left w:val="nil"/>
              <w:right w:val="nil"/>
            </w:tcBorders>
            <w:shd w:val="clear" w:color="auto" w:fill="auto"/>
            <w:noWrap/>
            <w:vAlign w:val="bottom"/>
            <w:hideMark/>
          </w:tcPr>
          <w:p w14:paraId="15CE1DE7" w14:textId="77777777" w:rsidR="00123BB5" w:rsidRPr="00586B0C" w:rsidRDefault="00123BB5" w:rsidP="00533403">
            <w:pPr>
              <w:tabs>
                <w:tab w:val="left" w:pos="60"/>
                <w:tab w:val="right" w:pos="1140"/>
              </w:tabs>
              <w:jc w:val="both"/>
              <w:rPr>
                <w:rFonts w:ascii="Arial" w:hAnsi="Arial"/>
                <w:color w:val="000000"/>
                <w:lang w:val="en-GB"/>
              </w:rPr>
            </w:pPr>
          </w:p>
        </w:tc>
        <w:tc>
          <w:tcPr>
            <w:tcW w:w="1367" w:type="dxa"/>
            <w:tcBorders>
              <w:top w:val="nil"/>
              <w:left w:val="nil"/>
              <w:right w:val="nil"/>
            </w:tcBorders>
            <w:shd w:val="clear" w:color="auto" w:fill="auto"/>
            <w:noWrap/>
            <w:vAlign w:val="bottom"/>
            <w:hideMark/>
          </w:tcPr>
          <w:p w14:paraId="1F5DD440" w14:textId="77777777" w:rsidR="00123BB5" w:rsidRPr="00586B0C" w:rsidRDefault="00123BB5" w:rsidP="00533403">
            <w:pPr>
              <w:jc w:val="both"/>
              <w:rPr>
                <w:rFonts w:ascii="Arial" w:hAnsi="Arial"/>
                <w:lang w:val="en-GB"/>
              </w:rPr>
            </w:pPr>
          </w:p>
        </w:tc>
      </w:tr>
      <w:tr w:rsidR="00123BB5" w:rsidRPr="006D678A" w14:paraId="26CC4C39" w14:textId="77777777" w:rsidTr="00260B90">
        <w:trPr>
          <w:trHeight w:val="304"/>
          <w:tblHeader/>
          <w:jc w:val="center"/>
        </w:trPr>
        <w:tc>
          <w:tcPr>
            <w:tcW w:w="4519" w:type="dxa"/>
            <w:gridSpan w:val="2"/>
            <w:tcBorders>
              <w:top w:val="nil"/>
              <w:left w:val="nil"/>
              <w:right w:val="nil"/>
            </w:tcBorders>
            <w:shd w:val="clear" w:color="auto" w:fill="auto"/>
            <w:noWrap/>
            <w:vAlign w:val="center"/>
            <w:hideMark/>
          </w:tcPr>
          <w:p w14:paraId="588EAC24"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TOTAL LIABILITIES AND EQUITY</w:t>
            </w:r>
          </w:p>
        </w:tc>
        <w:tc>
          <w:tcPr>
            <w:tcW w:w="1367" w:type="dxa"/>
            <w:tcBorders>
              <w:top w:val="nil"/>
              <w:left w:val="nil"/>
              <w:bottom w:val="double" w:sz="4" w:space="0" w:color="auto"/>
              <w:right w:val="nil"/>
            </w:tcBorders>
            <w:shd w:val="clear" w:color="auto" w:fill="auto"/>
            <w:noWrap/>
            <w:vAlign w:val="center"/>
            <w:hideMark/>
          </w:tcPr>
          <w:p w14:paraId="746EB705" w14:textId="77777777" w:rsidR="00123BB5" w:rsidRPr="00586B0C" w:rsidRDefault="00123BB5" w:rsidP="00533403">
            <w:pPr>
              <w:tabs>
                <w:tab w:val="left" w:pos="60"/>
                <w:tab w:val="right" w:pos="1140"/>
              </w:tabs>
              <w:jc w:val="both"/>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57,043 </w:t>
            </w:r>
          </w:p>
        </w:tc>
        <w:tc>
          <w:tcPr>
            <w:tcW w:w="1367" w:type="dxa"/>
            <w:tcBorders>
              <w:top w:val="nil"/>
              <w:left w:val="nil"/>
              <w:bottom w:val="double" w:sz="4" w:space="0" w:color="auto"/>
              <w:right w:val="nil"/>
            </w:tcBorders>
            <w:shd w:val="clear" w:color="auto" w:fill="auto"/>
            <w:noWrap/>
            <w:vAlign w:val="center"/>
            <w:hideMark/>
          </w:tcPr>
          <w:p w14:paraId="567021C4" w14:textId="77777777" w:rsidR="00123BB5" w:rsidRPr="00586B0C" w:rsidRDefault="00123BB5" w:rsidP="00533403">
            <w:pPr>
              <w:tabs>
                <w:tab w:val="left" w:pos="60"/>
                <w:tab w:val="right" w:pos="1140"/>
              </w:tabs>
              <w:jc w:val="both"/>
              <w:rPr>
                <w:rFonts w:ascii="Arial" w:hAnsi="Arial"/>
                <w:b/>
                <w:color w:val="000000"/>
                <w:lang w:val="en-GB"/>
              </w:rPr>
            </w:pPr>
            <w:r w:rsidRPr="00586B0C">
              <w:rPr>
                <w:rFonts w:ascii="Arial" w:hAnsi="Arial"/>
                <w:b/>
                <w:color w:val="000000"/>
                <w:lang w:val="en-GB"/>
              </w:rPr>
              <w:tab/>
              <w:t>$</w:t>
            </w:r>
            <w:r w:rsidRPr="00586B0C">
              <w:rPr>
                <w:rFonts w:ascii="Arial" w:hAnsi="Arial"/>
                <w:b/>
                <w:color w:val="000000"/>
                <w:lang w:val="en-GB"/>
              </w:rPr>
              <w:tab/>
              <w:t xml:space="preserve">52,902 </w:t>
            </w:r>
          </w:p>
        </w:tc>
      </w:tr>
    </w:tbl>
    <w:p w14:paraId="0694EF64" w14:textId="77777777" w:rsidR="00123BB5" w:rsidRPr="006D678A" w:rsidRDefault="00123BB5" w:rsidP="00123BB5">
      <w:pPr>
        <w:jc w:val="both"/>
        <w:outlineLvl w:val="0"/>
        <w:rPr>
          <w:sz w:val="22"/>
          <w:szCs w:val="22"/>
          <w:lang w:val="en-GB"/>
        </w:rPr>
      </w:pPr>
    </w:p>
    <w:p w14:paraId="3F279029" w14:textId="0409D21A" w:rsidR="007B354F" w:rsidRPr="00C76EBB" w:rsidRDefault="007B354F" w:rsidP="00123BB5">
      <w:pPr>
        <w:pStyle w:val="Footnote"/>
        <w:rPr>
          <w:sz w:val="20"/>
          <w:szCs w:val="20"/>
          <w:lang w:val="en-GB"/>
        </w:rPr>
      </w:pPr>
      <w:r w:rsidRPr="00C76EBB">
        <w:rPr>
          <w:sz w:val="20"/>
          <w:szCs w:val="20"/>
          <w:lang w:val="en-GB"/>
        </w:rPr>
        <w:t>* Included computer hardware, servers, and point-of-</w:t>
      </w:r>
      <w:r w:rsidR="00EF09C4" w:rsidRPr="00C76EBB">
        <w:rPr>
          <w:sz w:val="20"/>
          <w:szCs w:val="20"/>
          <w:lang w:val="en-GB"/>
        </w:rPr>
        <w:t>sale</w:t>
      </w:r>
      <w:r w:rsidRPr="00C76EBB">
        <w:rPr>
          <w:sz w:val="20"/>
          <w:szCs w:val="20"/>
          <w:lang w:val="en-GB"/>
        </w:rPr>
        <w:t xml:space="preserve"> systems.</w:t>
      </w:r>
    </w:p>
    <w:p w14:paraId="389DBC65" w14:textId="667BEB11" w:rsidR="007B354F" w:rsidRPr="00C76EBB" w:rsidRDefault="007B354F" w:rsidP="00123BB5">
      <w:pPr>
        <w:pStyle w:val="Footnote"/>
        <w:rPr>
          <w:sz w:val="20"/>
          <w:szCs w:val="20"/>
          <w:lang w:val="en-GB"/>
        </w:rPr>
      </w:pPr>
      <w:r w:rsidRPr="00C76EBB">
        <w:rPr>
          <w:sz w:val="20"/>
          <w:szCs w:val="20"/>
          <w:vertAlign w:val="superscript"/>
          <w:lang w:val="en-GB"/>
        </w:rPr>
        <w:t>†</w:t>
      </w:r>
      <w:r w:rsidRPr="00C76EBB">
        <w:rPr>
          <w:sz w:val="20"/>
          <w:szCs w:val="20"/>
          <w:lang w:val="en-GB"/>
        </w:rPr>
        <w:t xml:space="preserve"> </w:t>
      </w:r>
      <w:r w:rsidR="006322B4" w:rsidRPr="00C76EBB">
        <w:rPr>
          <w:sz w:val="20"/>
          <w:szCs w:val="20"/>
          <w:lang w:val="en-GB"/>
        </w:rPr>
        <w:t>Related</w:t>
      </w:r>
      <w:r w:rsidRPr="00C76EBB">
        <w:rPr>
          <w:sz w:val="20"/>
          <w:szCs w:val="20"/>
          <w:lang w:val="en-GB"/>
        </w:rPr>
        <w:t xml:space="preserve"> to gift cards purchased that had not yet been used.</w:t>
      </w:r>
    </w:p>
    <w:p w14:paraId="7EA1CE46" w14:textId="77777777" w:rsidR="007B354F" w:rsidRDefault="007B354F" w:rsidP="00123BB5">
      <w:pPr>
        <w:pStyle w:val="Footnote"/>
        <w:rPr>
          <w:lang w:val="en-GB"/>
        </w:rPr>
      </w:pPr>
    </w:p>
    <w:p w14:paraId="1AB08A26" w14:textId="65A4D519" w:rsidR="00123BB5" w:rsidRDefault="00123BB5" w:rsidP="00123BB5">
      <w:pPr>
        <w:pStyle w:val="Footnote"/>
        <w:rPr>
          <w:lang w:val="en-GB"/>
        </w:rPr>
      </w:pPr>
      <w:r w:rsidRPr="00586B0C">
        <w:rPr>
          <w:lang w:val="en-GB"/>
        </w:rPr>
        <w:t>Source: Company files.</w:t>
      </w:r>
    </w:p>
    <w:p w14:paraId="7F8FFE1D" w14:textId="77777777" w:rsidR="002D4E37" w:rsidRPr="00586B0C" w:rsidRDefault="002D4E37" w:rsidP="00123BB5">
      <w:pPr>
        <w:pStyle w:val="Footnote"/>
        <w:rPr>
          <w:lang w:val="en-GB"/>
        </w:rPr>
      </w:pPr>
    </w:p>
    <w:p w14:paraId="6FA3DFE6" w14:textId="3B6FCF21" w:rsidR="00123BB5" w:rsidRPr="006D678A" w:rsidRDefault="00123BB5" w:rsidP="00123BB5">
      <w:pPr>
        <w:pStyle w:val="ExhibitHeading"/>
        <w:rPr>
          <w:lang w:val="en-GB"/>
        </w:rPr>
      </w:pPr>
      <w:r w:rsidRPr="006D678A">
        <w:rPr>
          <w:lang w:val="en-GB"/>
        </w:rPr>
        <w:t xml:space="preserve">EXHIBIT 4: </w:t>
      </w:r>
      <w:r w:rsidR="004A7C5B">
        <w:rPr>
          <w:lang w:val="en-GB"/>
        </w:rPr>
        <w:t xml:space="preserve">The London Dance Shoppe </w:t>
      </w:r>
      <w:r w:rsidRPr="006D678A">
        <w:rPr>
          <w:lang w:val="en-GB"/>
        </w:rPr>
        <w:t>SELECT FINANCIAL RATIOS</w:t>
      </w:r>
    </w:p>
    <w:p w14:paraId="7CD16D7E" w14:textId="77777777" w:rsidR="00123BB5" w:rsidRPr="006D678A" w:rsidRDefault="00123BB5" w:rsidP="00123BB5">
      <w:pPr>
        <w:pStyle w:val="ExhibitHeading"/>
        <w:rPr>
          <w:sz w:val="22"/>
          <w:szCs w:val="22"/>
          <w:lang w:val="en-GB"/>
        </w:rPr>
      </w:pPr>
    </w:p>
    <w:tbl>
      <w:tblPr>
        <w:tblW w:w="6840" w:type="dxa"/>
        <w:jc w:val="center"/>
        <w:tblLook w:val="04A0" w:firstRow="1" w:lastRow="0" w:firstColumn="1" w:lastColumn="0" w:noHBand="0" w:noVBand="1"/>
        <w:tblCaption w:val="Exhiit 4"/>
        <w:tblDescription w:val="The London Dance Shoppe select financial ratios"/>
      </w:tblPr>
      <w:tblGrid>
        <w:gridCol w:w="488"/>
        <w:gridCol w:w="122"/>
        <w:gridCol w:w="1323"/>
        <w:gridCol w:w="2253"/>
        <w:gridCol w:w="1304"/>
        <w:gridCol w:w="1350"/>
      </w:tblGrid>
      <w:tr w:rsidR="00123BB5" w:rsidRPr="006D678A" w14:paraId="61683E05" w14:textId="77777777" w:rsidTr="00260B90">
        <w:trPr>
          <w:trHeight w:val="293"/>
          <w:tblHeader/>
          <w:jc w:val="center"/>
        </w:trPr>
        <w:tc>
          <w:tcPr>
            <w:tcW w:w="1933" w:type="dxa"/>
            <w:gridSpan w:val="3"/>
            <w:tcBorders>
              <w:top w:val="nil"/>
              <w:left w:val="nil"/>
              <w:right w:val="nil"/>
            </w:tcBorders>
            <w:shd w:val="clear" w:color="auto" w:fill="auto"/>
            <w:noWrap/>
            <w:vAlign w:val="bottom"/>
            <w:hideMark/>
          </w:tcPr>
          <w:p w14:paraId="0962841F" w14:textId="77777777" w:rsidR="00123BB5" w:rsidRPr="00586B0C" w:rsidRDefault="00123BB5" w:rsidP="00533403">
            <w:pPr>
              <w:jc w:val="both"/>
              <w:rPr>
                <w:rFonts w:ascii="Arial" w:hAnsi="Arial"/>
                <w:lang w:val="en-GB"/>
              </w:rPr>
            </w:pPr>
          </w:p>
        </w:tc>
        <w:tc>
          <w:tcPr>
            <w:tcW w:w="2253" w:type="dxa"/>
            <w:tcBorders>
              <w:top w:val="nil"/>
              <w:left w:val="nil"/>
              <w:right w:val="nil"/>
            </w:tcBorders>
            <w:shd w:val="clear" w:color="auto" w:fill="auto"/>
            <w:noWrap/>
            <w:vAlign w:val="bottom"/>
            <w:hideMark/>
          </w:tcPr>
          <w:p w14:paraId="23734ACB" w14:textId="77777777" w:rsidR="00123BB5" w:rsidRPr="00586B0C" w:rsidRDefault="00123BB5" w:rsidP="00533403">
            <w:pPr>
              <w:jc w:val="both"/>
              <w:rPr>
                <w:rFonts w:ascii="Arial" w:hAnsi="Arial"/>
                <w:lang w:val="en-GB"/>
              </w:rPr>
            </w:pPr>
          </w:p>
        </w:tc>
        <w:tc>
          <w:tcPr>
            <w:tcW w:w="1304" w:type="dxa"/>
            <w:tcBorders>
              <w:top w:val="nil"/>
              <w:left w:val="nil"/>
              <w:bottom w:val="nil"/>
              <w:right w:val="nil"/>
            </w:tcBorders>
            <w:shd w:val="clear" w:color="auto" w:fill="auto"/>
            <w:noWrap/>
            <w:vAlign w:val="bottom"/>
            <w:hideMark/>
          </w:tcPr>
          <w:p w14:paraId="190903B2" w14:textId="77777777" w:rsidR="00123BB5" w:rsidRPr="00C76EBB" w:rsidRDefault="00123BB5" w:rsidP="00533403">
            <w:pPr>
              <w:jc w:val="center"/>
              <w:rPr>
                <w:rFonts w:ascii="Arial" w:hAnsi="Arial"/>
                <w:b/>
                <w:color w:val="000000"/>
                <w:lang w:val="en-GB"/>
              </w:rPr>
            </w:pPr>
            <w:r w:rsidRPr="00C76EBB">
              <w:rPr>
                <w:rFonts w:ascii="Arial" w:hAnsi="Arial"/>
                <w:b/>
                <w:color w:val="000000"/>
                <w:lang w:val="en-GB"/>
              </w:rPr>
              <w:t>2019</w:t>
            </w:r>
          </w:p>
        </w:tc>
        <w:tc>
          <w:tcPr>
            <w:tcW w:w="1350" w:type="dxa"/>
            <w:tcBorders>
              <w:top w:val="nil"/>
              <w:left w:val="nil"/>
              <w:bottom w:val="nil"/>
              <w:right w:val="nil"/>
            </w:tcBorders>
            <w:shd w:val="clear" w:color="auto" w:fill="auto"/>
            <w:noWrap/>
            <w:vAlign w:val="bottom"/>
            <w:hideMark/>
          </w:tcPr>
          <w:p w14:paraId="09DF951D" w14:textId="77777777" w:rsidR="00123BB5" w:rsidRPr="00C76EBB" w:rsidRDefault="00123BB5" w:rsidP="00533403">
            <w:pPr>
              <w:jc w:val="center"/>
              <w:rPr>
                <w:rFonts w:ascii="Arial" w:hAnsi="Arial"/>
                <w:b/>
                <w:color w:val="000000"/>
                <w:lang w:val="en-GB"/>
              </w:rPr>
            </w:pPr>
            <w:r w:rsidRPr="00C76EBB">
              <w:rPr>
                <w:rFonts w:ascii="Arial" w:hAnsi="Arial"/>
                <w:b/>
                <w:color w:val="000000"/>
                <w:lang w:val="en-GB"/>
              </w:rPr>
              <w:t>2018</w:t>
            </w:r>
          </w:p>
        </w:tc>
      </w:tr>
      <w:tr w:rsidR="00123BB5" w:rsidRPr="006D678A" w14:paraId="3D87409A" w14:textId="77777777" w:rsidTr="00260B90">
        <w:trPr>
          <w:trHeight w:val="293"/>
          <w:tblHeader/>
          <w:jc w:val="center"/>
        </w:trPr>
        <w:tc>
          <w:tcPr>
            <w:tcW w:w="1933" w:type="dxa"/>
            <w:gridSpan w:val="3"/>
            <w:tcBorders>
              <w:top w:val="nil"/>
              <w:left w:val="nil"/>
              <w:right w:val="nil"/>
            </w:tcBorders>
            <w:shd w:val="clear" w:color="auto" w:fill="auto"/>
            <w:noWrap/>
            <w:vAlign w:val="bottom"/>
          </w:tcPr>
          <w:p w14:paraId="77202067" w14:textId="77777777" w:rsidR="00123BB5" w:rsidRPr="00C76EBB" w:rsidRDefault="00123BB5" w:rsidP="00533403">
            <w:pPr>
              <w:jc w:val="both"/>
              <w:rPr>
                <w:rFonts w:ascii="Arial" w:hAnsi="Arial"/>
                <w:b/>
                <w:lang w:val="en-GB"/>
              </w:rPr>
            </w:pPr>
            <w:r w:rsidRPr="00C76EBB">
              <w:rPr>
                <w:rFonts w:ascii="Arial" w:hAnsi="Arial"/>
                <w:b/>
                <w:lang w:val="en-GB"/>
              </w:rPr>
              <w:t>Profitability</w:t>
            </w:r>
          </w:p>
          <w:p w14:paraId="26880069" w14:textId="77777777" w:rsidR="00123BB5" w:rsidRPr="00586B0C" w:rsidRDefault="00123BB5" w:rsidP="00533403">
            <w:pPr>
              <w:jc w:val="both"/>
              <w:rPr>
                <w:rFonts w:ascii="Arial" w:hAnsi="Arial"/>
                <w:b/>
                <w:lang w:val="en-GB"/>
              </w:rPr>
            </w:pPr>
          </w:p>
        </w:tc>
        <w:tc>
          <w:tcPr>
            <w:tcW w:w="2253" w:type="dxa"/>
            <w:tcBorders>
              <w:top w:val="nil"/>
              <w:left w:val="nil"/>
              <w:right w:val="nil"/>
            </w:tcBorders>
            <w:shd w:val="clear" w:color="auto" w:fill="auto"/>
            <w:noWrap/>
            <w:vAlign w:val="bottom"/>
          </w:tcPr>
          <w:p w14:paraId="4A8492B0" w14:textId="77777777" w:rsidR="00123BB5" w:rsidRPr="00586B0C" w:rsidRDefault="00123BB5" w:rsidP="00533403">
            <w:pPr>
              <w:jc w:val="both"/>
              <w:rPr>
                <w:rFonts w:ascii="Arial" w:hAnsi="Arial"/>
                <w:b/>
                <w:lang w:val="en-GB"/>
              </w:rPr>
            </w:pPr>
          </w:p>
        </w:tc>
        <w:tc>
          <w:tcPr>
            <w:tcW w:w="1304" w:type="dxa"/>
            <w:tcBorders>
              <w:top w:val="nil"/>
              <w:left w:val="nil"/>
              <w:bottom w:val="nil"/>
              <w:right w:val="nil"/>
            </w:tcBorders>
            <w:shd w:val="clear" w:color="auto" w:fill="auto"/>
            <w:noWrap/>
            <w:vAlign w:val="bottom"/>
          </w:tcPr>
          <w:p w14:paraId="5AFC3BE8" w14:textId="77777777" w:rsidR="00123BB5" w:rsidRPr="00586B0C" w:rsidRDefault="00123BB5" w:rsidP="00533403">
            <w:pPr>
              <w:jc w:val="center"/>
              <w:rPr>
                <w:rFonts w:ascii="Arial" w:hAnsi="Arial"/>
                <w:b/>
                <w:color w:val="000000"/>
                <w:u w:val="single"/>
                <w:lang w:val="en-GB"/>
              </w:rPr>
            </w:pPr>
          </w:p>
        </w:tc>
        <w:tc>
          <w:tcPr>
            <w:tcW w:w="1350" w:type="dxa"/>
            <w:tcBorders>
              <w:top w:val="nil"/>
              <w:left w:val="nil"/>
              <w:bottom w:val="nil"/>
              <w:right w:val="nil"/>
            </w:tcBorders>
            <w:shd w:val="clear" w:color="auto" w:fill="auto"/>
            <w:noWrap/>
            <w:vAlign w:val="bottom"/>
          </w:tcPr>
          <w:p w14:paraId="1993288C" w14:textId="77777777" w:rsidR="00123BB5" w:rsidRPr="00586B0C" w:rsidRDefault="00123BB5" w:rsidP="00533403">
            <w:pPr>
              <w:jc w:val="center"/>
              <w:rPr>
                <w:rFonts w:ascii="Arial" w:hAnsi="Arial"/>
                <w:b/>
                <w:color w:val="000000"/>
                <w:u w:val="single"/>
                <w:lang w:val="en-GB"/>
              </w:rPr>
            </w:pPr>
          </w:p>
        </w:tc>
      </w:tr>
      <w:tr w:rsidR="00123BB5" w:rsidRPr="006D678A" w14:paraId="54678676" w14:textId="77777777" w:rsidTr="00260B90">
        <w:trPr>
          <w:trHeight w:val="293"/>
          <w:tblHeader/>
          <w:jc w:val="center"/>
        </w:trPr>
        <w:tc>
          <w:tcPr>
            <w:tcW w:w="4186" w:type="dxa"/>
            <w:gridSpan w:val="4"/>
            <w:tcBorders>
              <w:top w:val="nil"/>
              <w:left w:val="nil"/>
              <w:bottom w:val="nil"/>
              <w:right w:val="nil"/>
            </w:tcBorders>
            <w:shd w:val="clear" w:color="auto" w:fill="auto"/>
            <w:noWrap/>
            <w:vAlign w:val="bottom"/>
            <w:hideMark/>
          </w:tcPr>
          <w:p w14:paraId="08C62133"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Revenue</w:t>
            </w:r>
          </w:p>
        </w:tc>
        <w:tc>
          <w:tcPr>
            <w:tcW w:w="1304" w:type="dxa"/>
            <w:tcBorders>
              <w:top w:val="nil"/>
              <w:left w:val="nil"/>
              <w:bottom w:val="nil"/>
              <w:right w:val="nil"/>
            </w:tcBorders>
            <w:shd w:val="clear" w:color="auto" w:fill="auto"/>
            <w:noWrap/>
            <w:vAlign w:val="bottom"/>
            <w:hideMark/>
          </w:tcPr>
          <w:p w14:paraId="33F45F6B" w14:textId="77777777" w:rsidR="00123BB5" w:rsidRPr="00586B0C" w:rsidRDefault="00123BB5" w:rsidP="00533403">
            <w:pPr>
              <w:jc w:val="center"/>
              <w:rPr>
                <w:rFonts w:ascii="Arial" w:hAnsi="Arial"/>
                <w:b/>
                <w:color w:val="000000"/>
                <w:lang w:val="en-GB"/>
              </w:rPr>
            </w:pPr>
          </w:p>
        </w:tc>
        <w:tc>
          <w:tcPr>
            <w:tcW w:w="1350" w:type="dxa"/>
            <w:tcBorders>
              <w:top w:val="nil"/>
              <w:left w:val="nil"/>
              <w:bottom w:val="nil"/>
              <w:right w:val="nil"/>
            </w:tcBorders>
            <w:shd w:val="clear" w:color="auto" w:fill="auto"/>
            <w:noWrap/>
            <w:vAlign w:val="bottom"/>
            <w:hideMark/>
          </w:tcPr>
          <w:p w14:paraId="40FD670F" w14:textId="77777777" w:rsidR="00123BB5" w:rsidRPr="00586B0C" w:rsidRDefault="00123BB5" w:rsidP="00533403">
            <w:pPr>
              <w:jc w:val="center"/>
              <w:rPr>
                <w:rFonts w:ascii="Arial" w:hAnsi="Arial"/>
                <w:lang w:val="en-GB"/>
              </w:rPr>
            </w:pPr>
          </w:p>
        </w:tc>
      </w:tr>
      <w:tr w:rsidR="00123BB5" w:rsidRPr="006D678A" w14:paraId="6E3959CC" w14:textId="77777777" w:rsidTr="00260B90">
        <w:trPr>
          <w:trHeight w:val="293"/>
          <w:tblHeader/>
          <w:jc w:val="center"/>
        </w:trPr>
        <w:tc>
          <w:tcPr>
            <w:tcW w:w="488" w:type="dxa"/>
            <w:tcBorders>
              <w:top w:val="nil"/>
              <w:left w:val="nil"/>
              <w:bottom w:val="nil"/>
              <w:right w:val="nil"/>
            </w:tcBorders>
            <w:shd w:val="clear" w:color="auto" w:fill="auto"/>
            <w:noWrap/>
            <w:vAlign w:val="bottom"/>
            <w:hideMark/>
          </w:tcPr>
          <w:p w14:paraId="229E38CE" w14:textId="77777777" w:rsidR="00123BB5" w:rsidRPr="00586B0C" w:rsidRDefault="00123BB5" w:rsidP="00533403">
            <w:pPr>
              <w:jc w:val="both"/>
              <w:rPr>
                <w:rFonts w:ascii="Arial" w:hAnsi="Arial"/>
                <w:lang w:val="en-GB"/>
              </w:rPr>
            </w:pPr>
          </w:p>
        </w:tc>
        <w:tc>
          <w:tcPr>
            <w:tcW w:w="3698" w:type="dxa"/>
            <w:gridSpan w:val="3"/>
            <w:tcBorders>
              <w:top w:val="nil"/>
              <w:left w:val="nil"/>
              <w:bottom w:val="nil"/>
              <w:right w:val="nil"/>
            </w:tcBorders>
            <w:shd w:val="clear" w:color="auto" w:fill="auto"/>
            <w:noWrap/>
            <w:vAlign w:val="bottom"/>
            <w:hideMark/>
          </w:tcPr>
          <w:p w14:paraId="2AF60BCE" w14:textId="67C7B37D" w:rsidR="00123BB5" w:rsidRPr="00586B0C" w:rsidRDefault="00123BB5" w:rsidP="009277D5">
            <w:pPr>
              <w:jc w:val="both"/>
              <w:rPr>
                <w:rFonts w:ascii="Arial" w:hAnsi="Arial"/>
                <w:color w:val="000000"/>
                <w:lang w:val="en-GB"/>
              </w:rPr>
            </w:pPr>
            <w:r w:rsidRPr="00586B0C">
              <w:rPr>
                <w:rFonts w:ascii="Arial" w:hAnsi="Arial"/>
                <w:color w:val="000000"/>
                <w:lang w:val="en-GB"/>
              </w:rPr>
              <w:t>In-</w:t>
            </w:r>
            <w:r w:rsidR="008D4350">
              <w:rPr>
                <w:rFonts w:ascii="Arial" w:hAnsi="Arial"/>
                <w:color w:val="000000"/>
                <w:lang w:val="en-GB"/>
              </w:rPr>
              <w:t>s</w:t>
            </w:r>
            <w:r w:rsidRPr="00586B0C">
              <w:rPr>
                <w:rFonts w:ascii="Arial" w:hAnsi="Arial"/>
                <w:color w:val="000000"/>
                <w:lang w:val="en-GB"/>
              </w:rPr>
              <w:t>tore Sales, Net</w:t>
            </w:r>
          </w:p>
        </w:tc>
        <w:tc>
          <w:tcPr>
            <w:tcW w:w="1304" w:type="dxa"/>
            <w:tcBorders>
              <w:top w:val="nil"/>
              <w:left w:val="nil"/>
              <w:bottom w:val="nil"/>
              <w:right w:val="nil"/>
            </w:tcBorders>
            <w:shd w:val="clear" w:color="auto" w:fill="auto"/>
            <w:noWrap/>
            <w:vAlign w:val="bottom"/>
            <w:hideMark/>
          </w:tcPr>
          <w:p w14:paraId="3C2FB6ED" w14:textId="77777777" w:rsidR="00123BB5" w:rsidRPr="00586B0C" w:rsidRDefault="00123BB5" w:rsidP="00C76EBB">
            <w:pPr>
              <w:jc w:val="right"/>
              <w:rPr>
                <w:rFonts w:ascii="Arial" w:hAnsi="Arial"/>
                <w:color w:val="000000"/>
                <w:lang w:val="en-GB"/>
              </w:rPr>
            </w:pPr>
            <w:r w:rsidRPr="00586B0C">
              <w:rPr>
                <w:rFonts w:ascii="Arial" w:hAnsi="Arial"/>
                <w:color w:val="000000"/>
                <w:lang w:val="en-GB"/>
              </w:rPr>
              <w:t>74.0%</w:t>
            </w:r>
          </w:p>
        </w:tc>
        <w:tc>
          <w:tcPr>
            <w:tcW w:w="1350" w:type="dxa"/>
            <w:tcBorders>
              <w:top w:val="nil"/>
              <w:left w:val="nil"/>
              <w:bottom w:val="nil"/>
              <w:right w:val="nil"/>
            </w:tcBorders>
            <w:shd w:val="clear" w:color="auto" w:fill="auto"/>
            <w:noWrap/>
            <w:vAlign w:val="bottom"/>
            <w:hideMark/>
          </w:tcPr>
          <w:p w14:paraId="0D897AD1" w14:textId="77777777" w:rsidR="00123BB5" w:rsidRPr="00586B0C" w:rsidRDefault="00123BB5" w:rsidP="00C76EBB">
            <w:pPr>
              <w:jc w:val="right"/>
              <w:rPr>
                <w:rFonts w:ascii="Arial" w:hAnsi="Arial"/>
                <w:color w:val="000000"/>
                <w:lang w:val="en-GB"/>
              </w:rPr>
            </w:pPr>
            <w:r w:rsidRPr="00586B0C">
              <w:rPr>
                <w:rFonts w:ascii="Arial" w:hAnsi="Arial"/>
                <w:color w:val="000000"/>
                <w:lang w:val="en-GB"/>
              </w:rPr>
              <w:t>83.0%</w:t>
            </w:r>
          </w:p>
        </w:tc>
      </w:tr>
      <w:tr w:rsidR="00123BB5" w:rsidRPr="006D678A" w14:paraId="270480C6" w14:textId="77777777" w:rsidTr="00260B90">
        <w:trPr>
          <w:trHeight w:val="293"/>
          <w:tblHeader/>
          <w:jc w:val="center"/>
        </w:trPr>
        <w:tc>
          <w:tcPr>
            <w:tcW w:w="488" w:type="dxa"/>
            <w:tcBorders>
              <w:top w:val="nil"/>
              <w:left w:val="nil"/>
              <w:right w:val="nil"/>
            </w:tcBorders>
            <w:shd w:val="clear" w:color="auto" w:fill="auto"/>
            <w:noWrap/>
            <w:vAlign w:val="bottom"/>
            <w:hideMark/>
          </w:tcPr>
          <w:p w14:paraId="2936D7F4"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 </w:t>
            </w:r>
          </w:p>
        </w:tc>
        <w:tc>
          <w:tcPr>
            <w:tcW w:w="3698" w:type="dxa"/>
            <w:gridSpan w:val="3"/>
            <w:tcBorders>
              <w:top w:val="nil"/>
              <w:left w:val="nil"/>
              <w:right w:val="nil"/>
            </w:tcBorders>
            <w:shd w:val="clear" w:color="auto" w:fill="auto"/>
            <w:noWrap/>
            <w:vAlign w:val="bottom"/>
            <w:hideMark/>
          </w:tcPr>
          <w:p w14:paraId="38077466"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Online Sales, Net</w:t>
            </w:r>
          </w:p>
        </w:tc>
        <w:tc>
          <w:tcPr>
            <w:tcW w:w="1304" w:type="dxa"/>
            <w:tcBorders>
              <w:top w:val="nil"/>
              <w:left w:val="nil"/>
              <w:bottom w:val="single" w:sz="4" w:space="0" w:color="auto"/>
              <w:right w:val="nil"/>
            </w:tcBorders>
            <w:shd w:val="clear" w:color="auto" w:fill="auto"/>
            <w:noWrap/>
            <w:vAlign w:val="bottom"/>
            <w:hideMark/>
          </w:tcPr>
          <w:p w14:paraId="11092ED8" w14:textId="77777777" w:rsidR="00123BB5" w:rsidRPr="00586B0C" w:rsidRDefault="00123BB5" w:rsidP="00C76EBB">
            <w:pPr>
              <w:jc w:val="right"/>
              <w:rPr>
                <w:rFonts w:ascii="Arial" w:hAnsi="Arial"/>
                <w:color w:val="000000"/>
                <w:lang w:val="en-GB"/>
              </w:rPr>
            </w:pPr>
            <w:r w:rsidRPr="00586B0C">
              <w:rPr>
                <w:rFonts w:ascii="Arial" w:hAnsi="Arial"/>
                <w:color w:val="000000"/>
                <w:lang w:val="en-GB"/>
              </w:rPr>
              <w:t>26.0%</w:t>
            </w:r>
          </w:p>
        </w:tc>
        <w:tc>
          <w:tcPr>
            <w:tcW w:w="1350" w:type="dxa"/>
            <w:tcBorders>
              <w:top w:val="nil"/>
              <w:left w:val="nil"/>
              <w:bottom w:val="single" w:sz="4" w:space="0" w:color="auto"/>
              <w:right w:val="nil"/>
            </w:tcBorders>
            <w:shd w:val="clear" w:color="auto" w:fill="auto"/>
            <w:noWrap/>
            <w:vAlign w:val="bottom"/>
            <w:hideMark/>
          </w:tcPr>
          <w:p w14:paraId="2856DA61" w14:textId="77777777" w:rsidR="00123BB5" w:rsidRPr="00586B0C" w:rsidRDefault="00123BB5" w:rsidP="00C76EBB">
            <w:pPr>
              <w:jc w:val="right"/>
              <w:rPr>
                <w:rFonts w:ascii="Arial" w:hAnsi="Arial"/>
                <w:color w:val="000000"/>
                <w:lang w:val="en-GB"/>
              </w:rPr>
            </w:pPr>
            <w:r w:rsidRPr="00586B0C">
              <w:rPr>
                <w:rFonts w:ascii="Arial" w:hAnsi="Arial"/>
                <w:color w:val="000000"/>
                <w:lang w:val="en-GB"/>
              </w:rPr>
              <w:t>17.0%</w:t>
            </w:r>
          </w:p>
        </w:tc>
      </w:tr>
      <w:tr w:rsidR="00123BB5" w:rsidRPr="006D678A" w14:paraId="5B4ED2C5" w14:textId="77777777" w:rsidTr="00260B90">
        <w:trPr>
          <w:trHeight w:val="293"/>
          <w:tblHeader/>
          <w:jc w:val="center"/>
        </w:trPr>
        <w:tc>
          <w:tcPr>
            <w:tcW w:w="4186" w:type="dxa"/>
            <w:gridSpan w:val="4"/>
            <w:tcBorders>
              <w:top w:val="nil"/>
              <w:left w:val="nil"/>
              <w:bottom w:val="nil"/>
              <w:right w:val="nil"/>
            </w:tcBorders>
            <w:shd w:val="clear" w:color="auto" w:fill="auto"/>
            <w:noWrap/>
            <w:vAlign w:val="bottom"/>
            <w:hideMark/>
          </w:tcPr>
          <w:p w14:paraId="72CCF4FB"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Total Net Sales</w:t>
            </w:r>
          </w:p>
        </w:tc>
        <w:tc>
          <w:tcPr>
            <w:tcW w:w="1304" w:type="dxa"/>
            <w:tcBorders>
              <w:top w:val="nil"/>
              <w:left w:val="nil"/>
              <w:bottom w:val="nil"/>
              <w:right w:val="nil"/>
            </w:tcBorders>
            <w:shd w:val="clear" w:color="auto" w:fill="auto"/>
            <w:noWrap/>
            <w:vAlign w:val="bottom"/>
            <w:hideMark/>
          </w:tcPr>
          <w:p w14:paraId="3BDF4535" w14:textId="77777777" w:rsidR="00123BB5" w:rsidRPr="00586B0C" w:rsidRDefault="00123BB5" w:rsidP="00C76EBB">
            <w:pPr>
              <w:jc w:val="right"/>
              <w:rPr>
                <w:rFonts w:ascii="Arial" w:hAnsi="Arial"/>
                <w:b/>
                <w:color w:val="000000"/>
                <w:lang w:val="en-GB"/>
              </w:rPr>
            </w:pPr>
            <w:r w:rsidRPr="00586B0C">
              <w:rPr>
                <w:rFonts w:ascii="Arial" w:hAnsi="Arial"/>
                <w:b/>
                <w:color w:val="000000"/>
                <w:lang w:val="en-GB"/>
              </w:rPr>
              <w:t>100.0%</w:t>
            </w:r>
          </w:p>
        </w:tc>
        <w:tc>
          <w:tcPr>
            <w:tcW w:w="1350" w:type="dxa"/>
            <w:tcBorders>
              <w:top w:val="nil"/>
              <w:left w:val="nil"/>
              <w:bottom w:val="nil"/>
              <w:right w:val="nil"/>
            </w:tcBorders>
            <w:shd w:val="clear" w:color="auto" w:fill="auto"/>
            <w:noWrap/>
            <w:vAlign w:val="bottom"/>
            <w:hideMark/>
          </w:tcPr>
          <w:p w14:paraId="7F6EDE30" w14:textId="77777777" w:rsidR="00123BB5" w:rsidRPr="00586B0C" w:rsidRDefault="00123BB5" w:rsidP="00C76EBB">
            <w:pPr>
              <w:jc w:val="right"/>
              <w:rPr>
                <w:rFonts w:ascii="Arial" w:hAnsi="Arial"/>
                <w:b/>
                <w:color w:val="000000"/>
                <w:lang w:val="en-GB"/>
              </w:rPr>
            </w:pPr>
            <w:r w:rsidRPr="00586B0C">
              <w:rPr>
                <w:rFonts w:ascii="Arial" w:hAnsi="Arial"/>
                <w:b/>
                <w:color w:val="000000"/>
                <w:lang w:val="en-GB"/>
              </w:rPr>
              <w:t>100.0%</w:t>
            </w:r>
          </w:p>
        </w:tc>
      </w:tr>
      <w:tr w:rsidR="00123BB5" w:rsidRPr="006D678A" w14:paraId="09058D70" w14:textId="77777777" w:rsidTr="00260B90">
        <w:trPr>
          <w:trHeight w:val="293"/>
          <w:tblHeader/>
          <w:jc w:val="center"/>
        </w:trPr>
        <w:tc>
          <w:tcPr>
            <w:tcW w:w="1933" w:type="dxa"/>
            <w:gridSpan w:val="3"/>
            <w:tcBorders>
              <w:top w:val="nil"/>
              <w:left w:val="nil"/>
              <w:bottom w:val="nil"/>
              <w:right w:val="nil"/>
            </w:tcBorders>
            <w:shd w:val="clear" w:color="auto" w:fill="auto"/>
            <w:noWrap/>
            <w:vAlign w:val="bottom"/>
            <w:hideMark/>
          </w:tcPr>
          <w:p w14:paraId="79F8A8CE" w14:textId="77777777" w:rsidR="00123BB5" w:rsidRPr="00586B0C" w:rsidRDefault="00123BB5" w:rsidP="00533403">
            <w:pPr>
              <w:jc w:val="both"/>
              <w:rPr>
                <w:rFonts w:ascii="Arial" w:hAnsi="Arial"/>
                <w:b/>
                <w:color w:val="000000"/>
                <w:lang w:val="en-GB"/>
              </w:rPr>
            </w:pPr>
          </w:p>
        </w:tc>
        <w:tc>
          <w:tcPr>
            <w:tcW w:w="2253" w:type="dxa"/>
            <w:tcBorders>
              <w:top w:val="nil"/>
              <w:left w:val="nil"/>
              <w:bottom w:val="nil"/>
              <w:right w:val="nil"/>
            </w:tcBorders>
            <w:shd w:val="clear" w:color="auto" w:fill="auto"/>
            <w:noWrap/>
            <w:vAlign w:val="bottom"/>
            <w:hideMark/>
          </w:tcPr>
          <w:p w14:paraId="5370CD7D" w14:textId="77777777" w:rsidR="00123BB5" w:rsidRPr="00586B0C" w:rsidRDefault="00123BB5" w:rsidP="00533403">
            <w:pPr>
              <w:jc w:val="both"/>
              <w:rPr>
                <w:rFonts w:ascii="Arial" w:hAnsi="Arial"/>
                <w:lang w:val="en-GB"/>
              </w:rPr>
            </w:pPr>
          </w:p>
        </w:tc>
        <w:tc>
          <w:tcPr>
            <w:tcW w:w="1304" w:type="dxa"/>
            <w:tcBorders>
              <w:top w:val="nil"/>
              <w:left w:val="nil"/>
              <w:bottom w:val="nil"/>
              <w:right w:val="nil"/>
            </w:tcBorders>
            <w:shd w:val="clear" w:color="auto" w:fill="auto"/>
            <w:noWrap/>
            <w:vAlign w:val="bottom"/>
            <w:hideMark/>
          </w:tcPr>
          <w:p w14:paraId="2988088E" w14:textId="77777777" w:rsidR="00123BB5" w:rsidRPr="00586B0C" w:rsidRDefault="00123BB5" w:rsidP="00C76EBB">
            <w:pPr>
              <w:jc w:val="right"/>
              <w:rPr>
                <w:rFonts w:ascii="Arial" w:hAnsi="Arial"/>
                <w:lang w:val="en-GB"/>
              </w:rPr>
            </w:pPr>
          </w:p>
        </w:tc>
        <w:tc>
          <w:tcPr>
            <w:tcW w:w="1350" w:type="dxa"/>
            <w:tcBorders>
              <w:top w:val="nil"/>
              <w:left w:val="nil"/>
              <w:bottom w:val="nil"/>
              <w:right w:val="nil"/>
            </w:tcBorders>
            <w:shd w:val="clear" w:color="auto" w:fill="auto"/>
            <w:noWrap/>
            <w:vAlign w:val="bottom"/>
            <w:hideMark/>
          </w:tcPr>
          <w:p w14:paraId="62BD08C0" w14:textId="77777777" w:rsidR="00123BB5" w:rsidRPr="00586B0C" w:rsidRDefault="00123BB5" w:rsidP="00C76EBB">
            <w:pPr>
              <w:jc w:val="right"/>
              <w:rPr>
                <w:rFonts w:ascii="Arial" w:hAnsi="Arial"/>
                <w:lang w:val="en-GB"/>
              </w:rPr>
            </w:pPr>
          </w:p>
        </w:tc>
      </w:tr>
      <w:tr w:rsidR="00123BB5" w:rsidRPr="006D678A" w14:paraId="22C760C2" w14:textId="77777777" w:rsidTr="00260B90">
        <w:trPr>
          <w:trHeight w:val="293"/>
          <w:tblHeader/>
          <w:jc w:val="center"/>
        </w:trPr>
        <w:tc>
          <w:tcPr>
            <w:tcW w:w="4186" w:type="dxa"/>
            <w:gridSpan w:val="4"/>
            <w:tcBorders>
              <w:top w:val="nil"/>
              <w:left w:val="nil"/>
              <w:right w:val="nil"/>
            </w:tcBorders>
            <w:shd w:val="clear" w:color="auto" w:fill="auto"/>
            <w:noWrap/>
            <w:vAlign w:val="bottom"/>
            <w:hideMark/>
          </w:tcPr>
          <w:p w14:paraId="350FB371" w14:textId="01B7E07D" w:rsidR="00123BB5" w:rsidRPr="00586B0C" w:rsidRDefault="00123BB5" w:rsidP="00533403">
            <w:pPr>
              <w:jc w:val="both"/>
              <w:rPr>
                <w:rFonts w:ascii="Arial" w:hAnsi="Arial"/>
                <w:color w:val="000000"/>
                <w:lang w:val="en-GB"/>
              </w:rPr>
            </w:pPr>
            <w:r w:rsidRPr="00586B0C">
              <w:rPr>
                <w:rFonts w:ascii="Arial" w:hAnsi="Arial"/>
                <w:color w:val="000000"/>
                <w:lang w:val="en-GB"/>
              </w:rPr>
              <w:t xml:space="preserve">Less: Cost of </w:t>
            </w:r>
            <w:r w:rsidR="002C0685">
              <w:rPr>
                <w:rFonts w:ascii="Arial" w:hAnsi="Arial"/>
                <w:color w:val="000000"/>
                <w:lang w:val="en-GB"/>
              </w:rPr>
              <w:t>Goods Sold</w:t>
            </w:r>
          </w:p>
        </w:tc>
        <w:tc>
          <w:tcPr>
            <w:tcW w:w="1304" w:type="dxa"/>
            <w:tcBorders>
              <w:top w:val="nil"/>
              <w:left w:val="nil"/>
              <w:bottom w:val="single" w:sz="4" w:space="0" w:color="auto"/>
              <w:right w:val="nil"/>
            </w:tcBorders>
            <w:shd w:val="clear" w:color="auto" w:fill="auto"/>
            <w:noWrap/>
            <w:vAlign w:val="bottom"/>
            <w:hideMark/>
          </w:tcPr>
          <w:p w14:paraId="3663C0E8" w14:textId="77777777" w:rsidR="00123BB5" w:rsidRPr="00586B0C" w:rsidRDefault="00123BB5" w:rsidP="00C76EBB">
            <w:pPr>
              <w:jc w:val="right"/>
              <w:rPr>
                <w:rFonts w:ascii="Arial" w:hAnsi="Arial"/>
                <w:color w:val="000000"/>
                <w:lang w:val="en-GB"/>
              </w:rPr>
            </w:pPr>
            <w:r w:rsidRPr="00586B0C">
              <w:rPr>
                <w:rFonts w:ascii="Arial" w:hAnsi="Arial"/>
                <w:color w:val="000000"/>
                <w:lang w:val="en-GB"/>
              </w:rPr>
              <w:t>52.7%</w:t>
            </w:r>
          </w:p>
        </w:tc>
        <w:tc>
          <w:tcPr>
            <w:tcW w:w="1350" w:type="dxa"/>
            <w:tcBorders>
              <w:top w:val="nil"/>
              <w:left w:val="nil"/>
              <w:bottom w:val="single" w:sz="4" w:space="0" w:color="auto"/>
              <w:right w:val="nil"/>
            </w:tcBorders>
            <w:shd w:val="clear" w:color="auto" w:fill="auto"/>
            <w:noWrap/>
            <w:vAlign w:val="bottom"/>
            <w:hideMark/>
          </w:tcPr>
          <w:p w14:paraId="2BEC495E" w14:textId="77777777" w:rsidR="00123BB5" w:rsidRPr="00586B0C" w:rsidRDefault="00123BB5" w:rsidP="00C76EBB">
            <w:pPr>
              <w:jc w:val="right"/>
              <w:rPr>
                <w:rFonts w:ascii="Arial" w:hAnsi="Arial"/>
                <w:color w:val="000000"/>
                <w:lang w:val="en-GB"/>
              </w:rPr>
            </w:pPr>
            <w:r w:rsidRPr="00586B0C">
              <w:rPr>
                <w:rFonts w:ascii="Arial" w:hAnsi="Arial"/>
                <w:color w:val="000000"/>
                <w:lang w:val="en-GB"/>
              </w:rPr>
              <w:t>51.1%</w:t>
            </w:r>
          </w:p>
        </w:tc>
      </w:tr>
      <w:tr w:rsidR="00123BB5" w:rsidRPr="006D678A" w14:paraId="1DB9769F" w14:textId="77777777" w:rsidTr="00260B90">
        <w:trPr>
          <w:trHeight w:val="293"/>
          <w:tblHeader/>
          <w:jc w:val="center"/>
        </w:trPr>
        <w:tc>
          <w:tcPr>
            <w:tcW w:w="4186" w:type="dxa"/>
            <w:gridSpan w:val="4"/>
            <w:tcBorders>
              <w:top w:val="nil"/>
              <w:left w:val="nil"/>
              <w:bottom w:val="nil"/>
              <w:right w:val="nil"/>
            </w:tcBorders>
            <w:shd w:val="clear" w:color="auto" w:fill="auto"/>
            <w:noWrap/>
            <w:vAlign w:val="bottom"/>
            <w:hideMark/>
          </w:tcPr>
          <w:p w14:paraId="55D7C280"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Gross Profit</w:t>
            </w:r>
          </w:p>
        </w:tc>
        <w:tc>
          <w:tcPr>
            <w:tcW w:w="1304" w:type="dxa"/>
            <w:tcBorders>
              <w:top w:val="nil"/>
              <w:left w:val="nil"/>
              <w:bottom w:val="nil"/>
              <w:right w:val="nil"/>
            </w:tcBorders>
            <w:shd w:val="clear" w:color="auto" w:fill="auto"/>
            <w:noWrap/>
            <w:vAlign w:val="bottom"/>
            <w:hideMark/>
          </w:tcPr>
          <w:p w14:paraId="514D820A" w14:textId="77777777" w:rsidR="00123BB5" w:rsidRPr="00586B0C" w:rsidRDefault="00123BB5" w:rsidP="00C76EBB">
            <w:pPr>
              <w:jc w:val="right"/>
              <w:rPr>
                <w:rFonts w:ascii="Arial" w:hAnsi="Arial"/>
                <w:b/>
                <w:color w:val="000000"/>
                <w:lang w:val="en-GB"/>
              </w:rPr>
            </w:pPr>
            <w:r w:rsidRPr="00586B0C">
              <w:rPr>
                <w:rFonts w:ascii="Arial" w:hAnsi="Arial"/>
                <w:b/>
                <w:color w:val="000000"/>
                <w:lang w:val="en-GB"/>
              </w:rPr>
              <w:t>47.3%</w:t>
            </w:r>
          </w:p>
        </w:tc>
        <w:tc>
          <w:tcPr>
            <w:tcW w:w="1350" w:type="dxa"/>
            <w:tcBorders>
              <w:top w:val="nil"/>
              <w:left w:val="nil"/>
              <w:bottom w:val="nil"/>
              <w:right w:val="nil"/>
            </w:tcBorders>
            <w:shd w:val="clear" w:color="auto" w:fill="auto"/>
            <w:noWrap/>
            <w:vAlign w:val="bottom"/>
            <w:hideMark/>
          </w:tcPr>
          <w:p w14:paraId="258295CC" w14:textId="77777777" w:rsidR="00123BB5" w:rsidRPr="00586B0C" w:rsidRDefault="00123BB5" w:rsidP="00C76EBB">
            <w:pPr>
              <w:jc w:val="right"/>
              <w:rPr>
                <w:rFonts w:ascii="Arial" w:hAnsi="Arial"/>
                <w:b/>
                <w:color w:val="000000"/>
                <w:lang w:val="en-GB"/>
              </w:rPr>
            </w:pPr>
            <w:r w:rsidRPr="00586B0C">
              <w:rPr>
                <w:rFonts w:ascii="Arial" w:hAnsi="Arial"/>
                <w:b/>
                <w:color w:val="000000"/>
                <w:lang w:val="en-GB"/>
              </w:rPr>
              <w:t>48.9%</w:t>
            </w:r>
          </w:p>
        </w:tc>
      </w:tr>
      <w:tr w:rsidR="00123BB5" w:rsidRPr="006D678A" w14:paraId="4D0C6DBE" w14:textId="77777777" w:rsidTr="00260B90">
        <w:trPr>
          <w:trHeight w:val="293"/>
          <w:tblHeader/>
          <w:jc w:val="center"/>
        </w:trPr>
        <w:tc>
          <w:tcPr>
            <w:tcW w:w="1933" w:type="dxa"/>
            <w:gridSpan w:val="3"/>
            <w:tcBorders>
              <w:top w:val="nil"/>
              <w:left w:val="nil"/>
              <w:bottom w:val="nil"/>
              <w:right w:val="nil"/>
            </w:tcBorders>
            <w:shd w:val="clear" w:color="auto" w:fill="auto"/>
            <w:noWrap/>
            <w:vAlign w:val="bottom"/>
            <w:hideMark/>
          </w:tcPr>
          <w:p w14:paraId="6F087E7C" w14:textId="77777777" w:rsidR="00123BB5" w:rsidRPr="00586B0C" w:rsidRDefault="00123BB5" w:rsidP="00533403">
            <w:pPr>
              <w:jc w:val="both"/>
              <w:rPr>
                <w:rFonts w:ascii="Arial" w:hAnsi="Arial"/>
                <w:b/>
                <w:color w:val="000000"/>
                <w:lang w:val="en-GB"/>
              </w:rPr>
            </w:pPr>
          </w:p>
        </w:tc>
        <w:tc>
          <w:tcPr>
            <w:tcW w:w="2253" w:type="dxa"/>
            <w:tcBorders>
              <w:top w:val="nil"/>
              <w:left w:val="nil"/>
              <w:bottom w:val="nil"/>
              <w:right w:val="nil"/>
            </w:tcBorders>
            <w:shd w:val="clear" w:color="auto" w:fill="auto"/>
            <w:noWrap/>
            <w:vAlign w:val="bottom"/>
            <w:hideMark/>
          </w:tcPr>
          <w:p w14:paraId="33E95B40" w14:textId="77777777" w:rsidR="00123BB5" w:rsidRPr="00586B0C" w:rsidRDefault="00123BB5" w:rsidP="00533403">
            <w:pPr>
              <w:jc w:val="both"/>
              <w:rPr>
                <w:rFonts w:ascii="Arial" w:hAnsi="Arial"/>
                <w:lang w:val="en-GB"/>
              </w:rPr>
            </w:pPr>
          </w:p>
        </w:tc>
        <w:tc>
          <w:tcPr>
            <w:tcW w:w="1304" w:type="dxa"/>
            <w:tcBorders>
              <w:top w:val="nil"/>
              <w:left w:val="nil"/>
              <w:bottom w:val="nil"/>
              <w:right w:val="nil"/>
            </w:tcBorders>
            <w:shd w:val="clear" w:color="auto" w:fill="auto"/>
            <w:noWrap/>
            <w:vAlign w:val="bottom"/>
            <w:hideMark/>
          </w:tcPr>
          <w:p w14:paraId="1A5E7800" w14:textId="77777777" w:rsidR="00123BB5" w:rsidRPr="00586B0C" w:rsidRDefault="00123BB5" w:rsidP="00C76EBB">
            <w:pPr>
              <w:jc w:val="right"/>
              <w:rPr>
                <w:rFonts w:ascii="Arial" w:hAnsi="Arial"/>
                <w:lang w:val="en-GB"/>
              </w:rPr>
            </w:pPr>
          </w:p>
        </w:tc>
        <w:tc>
          <w:tcPr>
            <w:tcW w:w="1350" w:type="dxa"/>
            <w:tcBorders>
              <w:top w:val="nil"/>
              <w:left w:val="nil"/>
              <w:bottom w:val="nil"/>
              <w:right w:val="nil"/>
            </w:tcBorders>
            <w:shd w:val="clear" w:color="auto" w:fill="auto"/>
            <w:noWrap/>
            <w:vAlign w:val="bottom"/>
            <w:hideMark/>
          </w:tcPr>
          <w:p w14:paraId="352E51FF" w14:textId="77777777" w:rsidR="00123BB5" w:rsidRPr="00586B0C" w:rsidRDefault="00123BB5" w:rsidP="00C76EBB">
            <w:pPr>
              <w:jc w:val="right"/>
              <w:rPr>
                <w:rFonts w:ascii="Arial" w:hAnsi="Arial"/>
                <w:lang w:val="en-GB"/>
              </w:rPr>
            </w:pPr>
          </w:p>
        </w:tc>
      </w:tr>
      <w:tr w:rsidR="00123BB5" w:rsidRPr="006D678A" w14:paraId="7A5509AD" w14:textId="77777777" w:rsidTr="00260B90">
        <w:trPr>
          <w:trHeight w:val="293"/>
          <w:tblHeader/>
          <w:jc w:val="center"/>
        </w:trPr>
        <w:tc>
          <w:tcPr>
            <w:tcW w:w="4186" w:type="dxa"/>
            <w:gridSpan w:val="4"/>
            <w:tcBorders>
              <w:top w:val="nil"/>
              <w:left w:val="nil"/>
              <w:bottom w:val="nil"/>
              <w:right w:val="nil"/>
            </w:tcBorders>
            <w:shd w:val="clear" w:color="auto" w:fill="auto"/>
            <w:noWrap/>
            <w:vAlign w:val="bottom"/>
            <w:hideMark/>
          </w:tcPr>
          <w:p w14:paraId="70DADE26" w14:textId="77777777" w:rsidR="00123BB5" w:rsidRPr="00586B0C" w:rsidRDefault="00123BB5" w:rsidP="00533403">
            <w:pPr>
              <w:jc w:val="both"/>
              <w:rPr>
                <w:rFonts w:ascii="Arial" w:hAnsi="Arial"/>
                <w:b/>
                <w:color w:val="000000"/>
                <w:lang w:val="en-GB"/>
              </w:rPr>
            </w:pPr>
            <w:r w:rsidRPr="00586B0C">
              <w:rPr>
                <w:rFonts w:ascii="Arial" w:hAnsi="Arial"/>
                <w:b/>
                <w:color w:val="000000"/>
                <w:lang w:val="en-GB"/>
              </w:rPr>
              <w:t>Total Operating Expenses</w:t>
            </w:r>
          </w:p>
        </w:tc>
        <w:tc>
          <w:tcPr>
            <w:tcW w:w="1304" w:type="dxa"/>
            <w:tcBorders>
              <w:top w:val="nil"/>
              <w:left w:val="nil"/>
              <w:bottom w:val="nil"/>
              <w:right w:val="nil"/>
            </w:tcBorders>
            <w:shd w:val="clear" w:color="auto" w:fill="auto"/>
            <w:noWrap/>
            <w:vAlign w:val="bottom"/>
            <w:hideMark/>
          </w:tcPr>
          <w:p w14:paraId="178946A0" w14:textId="77777777" w:rsidR="00123BB5" w:rsidRPr="00586B0C" w:rsidRDefault="00123BB5" w:rsidP="00C76EBB">
            <w:pPr>
              <w:jc w:val="right"/>
              <w:rPr>
                <w:rFonts w:ascii="Arial" w:hAnsi="Arial"/>
                <w:b/>
                <w:color w:val="000000"/>
                <w:lang w:val="en-GB"/>
              </w:rPr>
            </w:pPr>
            <w:r w:rsidRPr="00586B0C">
              <w:rPr>
                <w:rFonts w:ascii="Arial" w:hAnsi="Arial"/>
                <w:b/>
                <w:color w:val="000000"/>
                <w:lang w:val="en-GB"/>
              </w:rPr>
              <w:t>19.3%</w:t>
            </w:r>
          </w:p>
        </w:tc>
        <w:tc>
          <w:tcPr>
            <w:tcW w:w="1350" w:type="dxa"/>
            <w:tcBorders>
              <w:top w:val="nil"/>
              <w:left w:val="nil"/>
              <w:bottom w:val="nil"/>
              <w:right w:val="nil"/>
            </w:tcBorders>
            <w:shd w:val="clear" w:color="auto" w:fill="auto"/>
            <w:noWrap/>
            <w:vAlign w:val="bottom"/>
            <w:hideMark/>
          </w:tcPr>
          <w:p w14:paraId="0867347B" w14:textId="77777777" w:rsidR="00123BB5" w:rsidRPr="00586B0C" w:rsidRDefault="00123BB5" w:rsidP="00C76EBB">
            <w:pPr>
              <w:jc w:val="right"/>
              <w:rPr>
                <w:rFonts w:ascii="Arial" w:hAnsi="Arial"/>
                <w:b/>
                <w:color w:val="000000"/>
                <w:lang w:val="en-GB"/>
              </w:rPr>
            </w:pPr>
            <w:r w:rsidRPr="00586B0C">
              <w:rPr>
                <w:rFonts w:ascii="Arial" w:hAnsi="Arial"/>
                <w:b/>
                <w:color w:val="000000"/>
                <w:lang w:val="en-GB"/>
              </w:rPr>
              <w:t>18.6%</w:t>
            </w:r>
          </w:p>
        </w:tc>
      </w:tr>
      <w:tr w:rsidR="00123BB5" w:rsidRPr="006D678A" w14:paraId="75895DC4" w14:textId="77777777" w:rsidTr="00260B90">
        <w:trPr>
          <w:trHeight w:val="293"/>
          <w:tblHeader/>
          <w:jc w:val="center"/>
        </w:trPr>
        <w:tc>
          <w:tcPr>
            <w:tcW w:w="1933" w:type="dxa"/>
            <w:gridSpan w:val="3"/>
            <w:tcBorders>
              <w:top w:val="nil"/>
              <w:left w:val="nil"/>
              <w:bottom w:val="nil"/>
              <w:right w:val="nil"/>
            </w:tcBorders>
            <w:shd w:val="clear" w:color="auto" w:fill="auto"/>
            <w:noWrap/>
            <w:vAlign w:val="bottom"/>
            <w:hideMark/>
          </w:tcPr>
          <w:p w14:paraId="2B613E7D" w14:textId="77777777" w:rsidR="00123BB5" w:rsidRPr="00586B0C" w:rsidRDefault="00123BB5" w:rsidP="00533403">
            <w:pPr>
              <w:jc w:val="both"/>
              <w:rPr>
                <w:rFonts w:ascii="Arial" w:hAnsi="Arial"/>
                <w:b/>
                <w:color w:val="000000"/>
                <w:lang w:val="en-GB"/>
              </w:rPr>
            </w:pPr>
          </w:p>
        </w:tc>
        <w:tc>
          <w:tcPr>
            <w:tcW w:w="2253" w:type="dxa"/>
            <w:tcBorders>
              <w:top w:val="nil"/>
              <w:left w:val="nil"/>
              <w:bottom w:val="nil"/>
              <w:right w:val="nil"/>
            </w:tcBorders>
            <w:shd w:val="clear" w:color="auto" w:fill="auto"/>
            <w:noWrap/>
            <w:vAlign w:val="bottom"/>
            <w:hideMark/>
          </w:tcPr>
          <w:p w14:paraId="4CA71900" w14:textId="77777777" w:rsidR="00123BB5" w:rsidRPr="00586B0C" w:rsidRDefault="00123BB5" w:rsidP="00533403">
            <w:pPr>
              <w:jc w:val="both"/>
              <w:rPr>
                <w:rFonts w:ascii="Arial" w:hAnsi="Arial"/>
                <w:lang w:val="en-GB"/>
              </w:rPr>
            </w:pPr>
          </w:p>
        </w:tc>
        <w:tc>
          <w:tcPr>
            <w:tcW w:w="1304" w:type="dxa"/>
            <w:tcBorders>
              <w:top w:val="nil"/>
              <w:left w:val="nil"/>
              <w:bottom w:val="nil"/>
              <w:right w:val="nil"/>
            </w:tcBorders>
            <w:shd w:val="clear" w:color="auto" w:fill="auto"/>
            <w:noWrap/>
            <w:vAlign w:val="bottom"/>
            <w:hideMark/>
          </w:tcPr>
          <w:p w14:paraId="4176FBCD" w14:textId="77777777" w:rsidR="00123BB5" w:rsidRPr="00586B0C" w:rsidRDefault="00123BB5" w:rsidP="00C76EBB">
            <w:pPr>
              <w:jc w:val="right"/>
              <w:rPr>
                <w:rFonts w:ascii="Arial" w:hAnsi="Arial"/>
                <w:lang w:val="en-GB"/>
              </w:rPr>
            </w:pPr>
          </w:p>
        </w:tc>
        <w:tc>
          <w:tcPr>
            <w:tcW w:w="1350" w:type="dxa"/>
            <w:tcBorders>
              <w:top w:val="nil"/>
              <w:left w:val="nil"/>
              <w:bottom w:val="nil"/>
              <w:right w:val="nil"/>
            </w:tcBorders>
            <w:shd w:val="clear" w:color="auto" w:fill="auto"/>
            <w:noWrap/>
            <w:vAlign w:val="bottom"/>
            <w:hideMark/>
          </w:tcPr>
          <w:p w14:paraId="0CA6C968" w14:textId="77777777" w:rsidR="00123BB5" w:rsidRPr="00586B0C" w:rsidRDefault="00123BB5" w:rsidP="00C76EBB">
            <w:pPr>
              <w:jc w:val="right"/>
              <w:rPr>
                <w:rFonts w:ascii="Arial" w:hAnsi="Arial"/>
                <w:lang w:val="en-GB"/>
              </w:rPr>
            </w:pPr>
          </w:p>
        </w:tc>
      </w:tr>
      <w:tr w:rsidR="00123BB5" w:rsidRPr="006D678A" w14:paraId="377E4FDB" w14:textId="77777777" w:rsidTr="00260B90">
        <w:trPr>
          <w:trHeight w:val="293"/>
          <w:tblHeader/>
          <w:jc w:val="center"/>
        </w:trPr>
        <w:tc>
          <w:tcPr>
            <w:tcW w:w="4186" w:type="dxa"/>
            <w:gridSpan w:val="4"/>
            <w:tcBorders>
              <w:top w:val="nil"/>
              <w:left w:val="nil"/>
              <w:bottom w:val="nil"/>
              <w:right w:val="nil"/>
            </w:tcBorders>
            <w:shd w:val="clear" w:color="auto" w:fill="auto"/>
            <w:noWrap/>
            <w:vAlign w:val="bottom"/>
            <w:hideMark/>
          </w:tcPr>
          <w:p w14:paraId="31DF10E1" w14:textId="062BC081" w:rsidR="00123BB5" w:rsidRPr="00586B0C" w:rsidRDefault="00123BB5" w:rsidP="00533403">
            <w:pPr>
              <w:jc w:val="both"/>
              <w:rPr>
                <w:rFonts w:ascii="Arial" w:hAnsi="Arial"/>
                <w:b/>
                <w:color w:val="000000"/>
                <w:lang w:val="en-GB"/>
              </w:rPr>
            </w:pPr>
            <w:r w:rsidRPr="00586B0C">
              <w:rPr>
                <w:rFonts w:ascii="Arial" w:hAnsi="Arial"/>
                <w:b/>
                <w:color w:val="000000"/>
                <w:lang w:val="en-GB"/>
              </w:rPr>
              <w:t xml:space="preserve">Net Income </w:t>
            </w:r>
            <w:r w:rsidR="002C0685">
              <w:rPr>
                <w:rFonts w:ascii="Arial" w:hAnsi="Arial"/>
                <w:b/>
                <w:color w:val="000000"/>
                <w:lang w:val="en-GB"/>
              </w:rPr>
              <w:t>before</w:t>
            </w:r>
            <w:r w:rsidR="002C0685" w:rsidRPr="00586B0C">
              <w:rPr>
                <w:rFonts w:ascii="Arial" w:hAnsi="Arial"/>
                <w:b/>
                <w:color w:val="000000"/>
                <w:lang w:val="en-GB"/>
              </w:rPr>
              <w:t xml:space="preserve"> </w:t>
            </w:r>
            <w:r w:rsidRPr="00586B0C">
              <w:rPr>
                <w:rFonts w:ascii="Arial" w:hAnsi="Arial"/>
                <w:b/>
                <w:color w:val="000000"/>
                <w:lang w:val="en-GB"/>
              </w:rPr>
              <w:t>Tax</w:t>
            </w:r>
          </w:p>
        </w:tc>
        <w:tc>
          <w:tcPr>
            <w:tcW w:w="1304" w:type="dxa"/>
            <w:tcBorders>
              <w:top w:val="nil"/>
              <w:left w:val="nil"/>
              <w:bottom w:val="nil"/>
              <w:right w:val="nil"/>
            </w:tcBorders>
            <w:shd w:val="clear" w:color="auto" w:fill="auto"/>
            <w:noWrap/>
            <w:vAlign w:val="bottom"/>
            <w:hideMark/>
          </w:tcPr>
          <w:p w14:paraId="55975823" w14:textId="77777777" w:rsidR="00123BB5" w:rsidRPr="00586B0C" w:rsidRDefault="00123BB5" w:rsidP="00C76EBB">
            <w:pPr>
              <w:jc w:val="right"/>
              <w:rPr>
                <w:rFonts w:ascii="Arial" w:hAnsi="Arial"/>
                <w:color w:val="000000"/>
                <w:lang w:val="en-GB"/>
              </w:rPr>
            </w:pPr>
            <w:r w:rsidRPr="00586B0C">
              <w:rPr>
                <w:rFonts w:ascii="Arial" w:hAnsi="Arial"/>
                <w:color w:val="000000"/>
                <w:lang w:val="en-GB"/>
              </w:rPr>
              <w:t>28.0%</w:t>
            </w:r>
          </w:p>
        </w:tc>
        <w:tc>
          <w:tcPr>
            <w:tcW w:w="1350" w:type="dxa"/>
            <w:tcBorders>
              <w:top w:val="nil"/>
              <w:left w:val="nil"/>
              <w:bottom w:val="nil"/>
              <w:right w:val="nil"/>
            </w:tcBorders>
            <w:shd w:val="clear" w:color="auto" w:fill="auto"/>
            <w:noWrap/>
            <w:vAlign w:val="bottom"/>
            <w:hideMark/>
          </w:tcPr>
          <w:p w14:paraId="2A1D0CBC" w14:textId="77777777" w:rsidR="00123BB5" w:rsidRPr="00586B0C" w:rsidRDefault="00123BB5" w:rsidP="00C76EBB">
            <w:pPr>
              <w:jc w:val="right"/>
              <w:rPr>
                <w:rFonts w:ascii="Arial" w:hAnsi="Arial"/>
                <w:color w:val="000000"/>
                <w:lang w:val="en-GB"/>
              </w:rPr>
            </w:pPr>
            <w:r w:rsidRPr="00586B0C">
              <w:rPr>
                <w:rFonts w:ascii="Arial" w:hAnsi="Arial"/>
                <w:color w:val="000000"/>
                <w:lang w:val="en-GB"/>
              </w:rPr>
              <w:t>27.6%</w:t>
            </w:r>
          </w:p>
        </w:tc>
      </w:tr>
      <w:tr w:rsidR="00123BB5" w:rsidRPr="006D678A" w14:paraId="22C0D53B" w14:textId="77777777" w:rsidTr="00260B90">
        <w:trPr>
          <w:trHeight w:val="293"/>
          <w:tblHeader/>
          <w:jc w:val="center"/>
        </w:trPr>
        <w:tc>
          <w:tcPr>
            <w:tcW w:w="610" w:type="dxa"/>
            <w:gridSpan w:val="2"/>
            <w:tcBorders>
              <w:top w:val="nil"/>
              <w:left w:val="nil"/>
              <w:bottom w:val="nil"/>
              <w:right w:val="nil"/>
            </w:tcBorders>
            <w:shd w:val="clear" w:color="auto" w:fill="auto"/>
            <w:noWrap/>
            <w:vAlign w:val="bottom"/>
            <w:hideMark/>
          </w:tcPr>
          <w:p w14:paraId="03CA49F2" w14:textId="77777777" w:rsidR="00123BB5" w:rsidRPr="00586B0C" w:rsidRDefault="00123BB5" w:rsidP="00533403">
            <w:pPr>
              <w:jc w:val="both"/>
              <w:rPr>
                <w:rFonts w:ascii="Arial" w:hAnsi="Arial"/>
                <w:color w:val="000000"/>
                <w:lang w:val="en-GB"/>
              </w:rPr>
            </w:pPr>
          </w:p>
        </w:tc>
        <w:tc>
          <w:tcPr>
            <w:tcW w:w="3576" w:type="dxa"/>
            <w:gridSpan w:val="2"/>
            <w:tcBorders>
              <w:top w:val="nil"/>
              <w:left w:val="nil"/>
              <w:bottom w:val="nil"/>
              <w:right w:val="nil"/>
            </w:tcBorders>
            <w:shd w:val="clear" w:color="auto" w:fill="auto"/>
            <w:noWrap/>
            <w:vAlign w:val="bottom"/>
            <w:hideMark/>
          </w:tcPr>
          <w:p w14:paraId="02838409"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Income Tax</w:t>
            </w:r>
          </w:p>
        </w:tc>
        <w:tc>
          <w:tcPr>
            <w:tcW w:w="1304" w:type="dxa"/>
            <w:tcBorders>
              <w:top w:val="nil"/>
              <w:left w:val="nil"/>
              <w:bottom w:val="nil"/>
              <w:right w:val="nil"/>
            </w:tcBorders>
            <w:shd w:val="clear" w:color="auto" w:fill="auto"/>
            <w:noWrap/>
            <w:vAlign w:val="bottom"/>
            <w:hideMark/>
          </w:tcPr>
          <w:p w14:paraId="0A6D0CD0" w14:textId="77777777" w:rsidR="00123BB5" w:rsidRPr="00586B0C" w:rsidRDefault="00123BB5" w:rsidP="00C76EBB">
            <w:pPr>
              <w:jc w:val="right"/>
              <w:rPr>
                <w:rFonts w:ascii="Arial" w:hAnsi="Arial"/>
                <w:color w:val="000000"/>
                <w:lang w:val="en-GB"/>
              </w:rPr>
            </w:pPr>
            <w:r w:rsidRPr="00586B0C">
              <w:rPr>
                <w:rFonts w:ascii="Arial" w:hAnsi="Arial"/>
                <w:color w:val="000000"/>
                <w:lang w:val="en-GB"/>
              </w:rPr>
              <w:t>4.2%</w:t>
            </w:r>
          </w:p>
        </w:tc>
        <w:tc>
          <w:tcPr>
            <w:tcW w:w="1350" w:type="dxa"/>
            <w:tcBorders>
              <w:top w:val="nil"/>
              <w:left w:val="nil"/>
              <w:bottom w:val="nil"/>
              <w:right w:val="nil"/>
            </w:tcBorders>
            <w:shd w:val="clear" w:color="auto" w:fill="auto"/>
            <w:noWrap/>
            <w:vAlign w:val="bottom"/>
            <w:hideMark/>
          </w:tcPr>
          <w:p w14:paraId="14913C3E" w14:textId="77777777" w:rsidR="00123BB5" w:rsidRPr="00586B0C" w:rsidRDefault="00123BB5" w:rsidP="00C76EBB">
            <w:pPr>
              <w:jc w:val="right"/>
              <w:rPr>
                <w:rFonts w:ascii="Arial" w:hAnsi="Arial"/>
                <w:color w:val="000000"/>
                <w:lang w:val="en-GB"/>
              </w:rPr>
            </w:pPr>
            <w:r w:rsidRPr="00586B0C">
              <w:rPr>
                <w:rFonts w:ascii="Arial" w:hAnsi="Arial"/>
                <w:color w:val="000000"/>
                <w:lang w:val="en-GB"/>
              </w:rPr>
              <w:t>4.1%</w:t>
            </w:r>
          </w:p>
        </w:tc>
      </w:tr>
      <w:tr w:rsidR="00123BB5" w:rsidRPr="006D678A" w14:paraId="56BE4895" w14:textId="77777777" w:rsidTr="00260B90">
        <w:trPr>
          <w:trHeight w:val="293"/>
          <w:tblHeader/>
          <w:jc w:val="center"/>
        </w:trPr>
        <w:tc>
          <w:tcPr>
            <w:tcW w:w="610" w:type="dxa"/>
            <w:gridSpan w:val="2"/>
            <w:tcBorders>
              <w:top w:val="nil"/>
              <w:left w:val="nil"/>
              <w:bottom w:val="nil"/>
              <w:right w:val="nil"/>
            </w:tcBorders>
            <w:shd w:val="clear" w:color="auto" w:fill="auto"/>
            <w:noWrap/>
            <w:vAlign w:val="bottom"/>
            <w:hideMark/>
          </w:tcPr>
          <w:p w14:paraId="5AC1044C" w14:textId="77777777" w:rsidR="00123BB5" w:rsidRPr="00586B0C" w:rsidRDefault="00123BB5" w:rsidP="00533403">
            <w:pPr>
              <w:jc w:val="both"/>
              <w:rPr>
                <w:rFonts w:ascii="Arial" w:hAnsi="Arial"/>
                <w:color w:val="000000"/>
                <w:lang w:val="en-GB"/>
              </w:rPr>
            </w:pPr>
          </w:p>
        </w:tc>
        <w:tc>
          <w:tcPr>
            <w:tcW w:w="3576" w:type="dxa"/>
            <w:gridSpan w:val="2"/>
            <w:tcBorders>
              <w:top w:val="nil"/>
              <w:left w:val="nil"/>
              <w:bottom w:val="nil"/>
              <w:right w:val="nil"/>
            </w:tcBorders>
            <w:shd w:val="clear" w:color="auto" w:fill="auto"/>
            <w:noWrap/>
            <w:vAlign w:val="bottom"/>
            <w:hideMark/>
          </w:tcPr>
          <w:p w14:paraId="39CEC139" w14:textId="77777777" w:rsidR="00123BB5" w:rsidRPr="00586B0C" w:rsidRDefault="00123BB5" w:rsidP="00533403">
            <w:pPr>
              <w:jc w:val="both"/>
              <w:rPr>
                <w:rFonts w:ascii="Arial" w:hAnsi="Arial"/>
                <w:lang w:val="en-GB"/>
              </w:rPr>
            </w:pPr>
          </w:p>
        </w:tc>
        <w:tc>
          <w:tcPr>
            <w:tcW w:w="1304" w:type="dxa"/>
            <w:tcBorders>
              <w:top w:val="nil"/>
              <w:left w:val="nil"/>
              <w:bottom w:val="nil"/>
              <w:right w:val="nil"/>
            </w:tcBorders>
            <w:shd w:val="clear" w:color="auto" w:fill="auto"/>
            <w:noWrap/>
            <w:vAlign w:val="bottom"/>
            <w:hideMark/>
          </w:tcPr>
          <w:p w14:paraId="4BD76F30" w14:textId="77777777" w:rsidR="00123BB5" w:rsidRPr="00586B0C" w:rsidRDefault="00123BB5" w:rsidP="00C76EBB">
            <w:pPr>
              <w:jc w:val="right"/>
              <w:rPr>
                <w:rFonts w:ascii="Arial" w:hAnsi="Arial"/>
                <w:lang w:val="en-GB"/>
              </w:rPr>
            </w:pPr>
          </w:p>
        </w:tc>
        <w:tc>
          <w:tcPr>
            <w:tcW w:w="1350" w:type="dxa"/>
            <w:tcBorders>
              <w:top w:val="nil"/>
              <w:left w:val="nil"/>
              <w:bottom w:val="nil"/>
              <w:right w:val="nil"/>
            </w:tcBorders>
            <w:shd w:val="clear" w:color="auto" w:fill="auto"/>
            <w:noWrap/>
            <w:vAlign w:val="bottom"/>
            <w:hideMark/>
          </w:tcPr>
          <w:p w14:paraId="22D16938" w14:textId="77777777" w:rsidR="00123BB5" w:rsidRPr="00586B0C" w:rsidRDefault="00123BB5" w:rsidP="00C76EBB">
            <w:pPr>
              <w:jc w:val="right"/>
              <w:rPr>
                <w:rFonts w:ascii="Arial" w:hAnsi="Arial"/>
                <w:lang w:val="en-GB"/>
              </w:rPr>
            </w:pPr>
          </w:p>
        </w:tc>
      </w:tr>
      <w:tr w:rsidR="00123BB5" w:rsidRPr="006D678A" w14:paraId="40008927" w14:textId="77777777" w:rsidTr="00260B90">
        <w:trPr>
          <w:trHeight w:val="293"/>
          <w:tblHeader/>
          <w:jc w:val="center"/>
        </w:trPr>
        <w:tc>
          <w:tcPr>
            <w:tcW w:w="4186" w:type="dxa"/>
            <w:gridSpan w:val="4"/>
            <w:tcBorders>
              <w:top w:val="nil"/>
              <w:left w:val="nil"/>
              <w:bottom w:val="nil"/>
              <w:right w:val="nil"/>
            </w:tcBorders>
            <w:shd w:val="clear" w:color="auto" w:fill="auto"/>
            <w:noWrap/>
            <w:vAlign w:val="bottom"/>
            <w:hideMark/>
          </w:tcPr>
          <w:p w14:paraId="5CF361A8" w14:textId="5784C4F8" w:rsidR="00123BB5" w:rsidRPr="00586B0C" w:rsidRDefault="00123BB5" w:rsidP="00533403">
            <w:pPr>
              <w:jc w:val="both"/>
              <w:rPr>
                <w:rFonts w:ascii="Arial" w:hAnsi="Arial"/>
                <w:b/>
                <w:color w:val="000000"/>
                <w:lang w:val="en-GB"/>
              </w:rPr>
            </w:pPr>
            <w:r w:rsidRPr="00586B0C">
              <w:rPr>
                <w:rFonts w:ascii="Arial" w:hAnsi="Arial"/>
                <w:b/>
                <w:color w:val="000000"/>
                <w:lang w:val="en-GB"/>
              </w:rPr>
              <w:t xml:space="preserve">Net Income </w:t>
            </w:r>
            <w:r w:rsidR="002C0685">
              <w:rPr>
                <w:rFonts w:ascii="Arial" w:hAnsi="Arial"/>
                <w:b/>
                <w:color w:val="000000"/>
                <w:lang w:val="en-GB"/>
              </w:rPr>
              <w:t>after</w:t>
            </w:r>
            <w:r w:rsidR="002C0685" w:rsidRPr="00586B0C">
              <w:rPr>
                <w:rFonts w:ascii="Arial" w:hAnsi="Arial"/>
                <w:b/>
                <w:color w:val="000000"/>
                <w:lang w:val="en-GB"/>
              </w:rPr>
              <w:t xml:space="preserve"> </w:t>
            </w:r>
            <w:r w:rsidRPr="00586B0C">
              <w:rPr>
                <w:rFonts w:ascii="Arial" w:hAnsi="Arial"/>
                <w:b/>
                <w:color w:val="000000"/>
                <w:lang w:val="en-GB"/>
              </w:rPr>
              <w:t>Tax</w:t>
            </w:r>
          </w:p>
        </w:tc>
        <w:tc>
          <w:tcPr>
            <w:tcW w:w="1304" w:type="dxa"/>
            <w:tcBorders>
              <w:top w:val="nil"/>
              <w:left w:val="nil"/>
              <w:bottom w:val="nil"/>
              <w:right w:val="nil"/>
            </w:tcBorders>
            <w:shd w:val="clear" w:color="auto" w:fill="auto"/>
            <w:noWrap/>
            <w:vAlign w:val="bottom"/>
            <w:hideMark/>
          </w:tcPr>
          <w:p w14:paraId="7FF64896" w14:textId="77777777" w:rsidR="00123BB5" w:rsidRPr="00586B0C" w:rsidRDefault="00123BB5" w:rsidP="00C76EBB">
            <w:pPr>
              <w:jc w:val="right"/>
              <w:rPr>
                <w:rFonts w:ascii="Arial" w:hAnsi="Arial"/>
                <w:b/>
                <w:color w:val="000000"/>
                <w:lang w:val="en-GB"/>
              </w:rPr>
            </w:pPr>
            <w:r w:rsidRPr="00586B0C">
              <w:rPr>
                <w:rFonts w:ascii="Arial" w:hAnsi="Arial"/>
                <w:b/>
                <w:color w:val="000000"/>
                <w:lang w:val="en-GB"/>
              </w:rPr>
              <w:t>23.8%</w:t>
            </w:r>
          </w:p>
        </w:tc>
        <w:tc>
          <w:tcPr>
            <w:tcW w:w="1350" w:type="dxa"/>
            <w:tcBorders>
              <w:top w:val="nil"/>
              <w:left w:val="nil"/>
              <w:bottom w:val="nil"/>
              <w:right w:val="nil"/>
            </w:tcBorders>
            <w:shd w:val="clear" w:color="auto" w:fill="auto"/>
            <w:noWrap/>
            <w:vAlign w:val="bottom"/>
            <w:hideMark/>
          </w:tcPr>
          <w:p w14:paraId="264BAB8A" w14:textId="77777777" w:rsidR="00123BB5" w:rsidRPr="00586B0C" w:rsidRDefault="00123BB5" w:rsidP="00C76EBB">
            <w:pPr>
              <w:jc w:val="right"/>
              <w:rPr>
                <w:rFonts w:ascii="Arial" w:hAnsi="Arial"/>
                <w:b/>
                <w:color w:val="000000"/>
                <w:lang w:val="en-GB"/>
              </w:rPr>
            </w:pPr>
            <w:r w:rsidRPr="00586B0C">
              <w:rPr>
                <w:rFonts w:ascii="Arial" w:hAnsi="Arial"/>
                <w:b/>
                <w:color w:val="000000"/>
                <w:lang w:val="en-GB"/>
              </w:rPr>
              <w:t>23.4%</w:t>
            </w:r>
          </w:p>
        </w:tc>
      </w:tr>
      <w:tr w:rsidR="00123BB5" w:rsidRPr="006D678A" w14:paraId="2E1DCAA7" w14:textId="77777777" w:rsidTr="00260B90">
        <w:trPr>
          <w:trHeight w:val="293"/>
          <w:tblHeader/>
          <w:jc w:val="center"/>
        </w:trPr>
        <w:tc>
          <w:tcPr>
            <w:tcW w:w="1933" w:type="dxa"/>
            <w:gridSpan w:val="3"/>
            <w:tcBorders>
              <w:top w:val="nil"/>
              <w:left w:val="nil"/>
              <w:bottom w:val="nil"/>
              <w:right w:val="nil"/>
            </w:tcBorders>
            <w:shd w:val="clear" w:color="auto" w:fill="auto"/>
            <w:noWrap/>
            <w:vAlign w:val="bottom"/>
            <w:hideMark/>
          </w:tcPr>
          <w:p w14:paraId="6F9A6399" w14:textId="77777777" w:rsidR="00123BB5" w:rsidRPr="00586B0C" w:rsidRDefault="00123BB5" w:rsidP="00533403">
            <w:pPr>
              <w:jc w:val="both"/>
              <w:rPr>
                <w:rFonts w:ascii="Arial" w:hAnsi="Arial"/>
                <w:b/>
                <w:color w:val="000000"/>
                <w:lang w:val="en-GB"/>
              </w:rPr>
            </w:pPr>
          </w:p>
        </w:tc>
        <w:tc>
          <w:tcPr>
            <w:tcW w:w="2253" w:type="dxa"/>
            <w:tcBorders>
              <w:top w:val="nil"/>
              <w:left w:val="nil"/>
              <w:bottom w:val="nil"/>
              <w:right w:val="nil"/>
            </w:tcBorders>
            <w:shd w:val="clear" w:color="auto" w:fill="auto"/>
            <w:noWrap/>
            <w:vAlign w:val="bottom"/>
            <w:hideMark/>
          </w:tcPr>
          <w:p w14:paraId="10EBDAE6" w14:textId="77777777" w:rsidR="00123BB5" w:rsidRPr="00586B0C" w:rsidRDefault="00123BB5" w:rsidP="00533403">
            <w:pPr>
              <w:jc w:val="both"/>
              <w:rPr>
                <w:rFonts w:ascii="Arial" w:hAnsi="Arial"/>
                <w:lang w:val="en-GB"/>
              </w:rPr>
            </w:pPr>
          </w:p>
        </w:tc>
        <w:tc>
          <w:tcPr>
            <w:tcW w:w="1304" w:type="dxa"/>
            <w:tcBorders>
              <w:top w:val="nil"/>
              <w:left w:val="nil"/>
              <w:bottom w:val="nil"/>
              <w:right w:val="nil"/>
            </w:tcBorders>
            <w:shd w:val="clear" w:color="auto" w:fill="auto"/>
            <w:noWrap/>
            <w:vAlign w:val="bottom"/>
            <w:hideMark/>
          </w:tcPr>
          <w:p w14:paraId="433955D6" w14:textId="77777777" w:rsidR="00123BB5" w:rsidRPr="00586B0C" w:rsidRDefault="00123BB5" w:rsidP="00533403">
            <w:pPr>
              <w:jc w:val="center"/>
              <w:rPr>
                <w:rFonts w:ascii="Arial" w:hAnsi="Arial"/>
                <w:lang w:val="en-GB"/>
              </w:rPr>
            </w:pPr>
          </w:p>
        </w:tc>
        <w:tc>
          <w:tcPr>
            <w:tcW w:w="1350" w:type="dxa"/>
            <w:tcBorders>
              <w:top w:val="nil"/>
              <w:left w:val="nil"/>
              <w:bottom w:val="nil"/>
              <w:right w:val="nil"/>
            </w:tcBorders>
            <w:shd w:val="clear" w:color="auto" w:fill="auto"/>
            <w:noWrap/>
            <w:vAlign w:val="bottom"/>
            <w:hideMark/>
          </w:tcPr>
          <w:p w14:paraId="099ED9FF" w14:textId="77777777" w:rsidR="00123BB5" w:rsidRPr="00586B0C" w:rsidRDefault="00123BB5" w:rsidP="00533403">
            <w:pPr>
              <w:jc w:val="center"/>
              <w:rPr>
                <w:rFonts w:ascii="Arial" w:hAnsi="Arial"/>
                <w:lang w:val="en-GB"/>
              </w:rPr>
            </w:pPr>
          </w:p>
        </w:tc>
      </w:tr>
      <w:tr w:rsidR="00123BB5" w:rsidRPr="006D678A" w14:paraId="56DFDE64" w14:textId="77777777" w:rsidTr="00260B90">
        <w:trPr>
          <w:gridAfter w:val="2"/>
          <w:wAfter w:w="2654" w:type="dxa"/>
          <w:trHeight w:val="293"/>
          <w:tblHeader/>
          <w:jc w:val="center"/>
        </w:trPr>
        <w:tc>
          <w:tcPr>
            <w:tcW w:w="1933" w:type="dxa"/>
            <w:gridSpan w:val="3"/>
            <w:tcBorders>
              <w:top w:val="nil"/>
              <w:left w:val="nil"/>
              <w:bottom w:val="nil"/>
              <w:right w:val="nil"/>
            </w:tcBorders>
            <w:shd w:val="clear" w:color="auto" w:fill="auto"/>
            <w:noWrap/>
            <w:vAlign w:val="bottom"/>
            <w:hideMark/>
          </w:tcPr>
          <w:p w14:paraId="47F4394A" w14:textId="77777777" w:rsidR="00123BB5" w:rsidRPr="00586B0C" w:rsidRDefault="00123BB5" w:rsidP="00533403">
            <w:pPr>
              <w:jc w:val="both"/>
              <w:rPr>
                <w:rFonts w:ascii="Arial" w:hAnsi="Arial"/>
                <w:lang w:val="en-GB"/>
              </w:rPr>
            </w:pPr>
          </w:p>
        </w:tc>
        <w:tc>
          <w:tcPr>
            <w:tcW w:w="2253" w:type="dxa"/>
            <w:tcBorders>
              <w:top w:val="nil"/>
              <w:left w:val="nil"/>
              <w:bottom w:val="nil"/>
              <w:right w:val="nil"/>
            </w:tcBorders>
            <w:shd w:val="clear" w:color="auto" w:fill="auto"/>
            <w:noWrap/>
            <w:vAlign w:val="bottom"/>
            <w:hideMark/>
          </w:tcPr>
          <w:p w14:paraId="7F46B6CD" w14:textId="77777777" w:rsidR="00123BB5" w:rsidRPr="00586B0C" w:rsidRDefault="00123BB5" w:rsidP="00533403">
            <w:pPr>
              <w:jc w:val="both"/>
              <w:rPr>
                <w:rFonts w:ascii="Arial" w:hAnsi="Arial"/>
                <w:lang w:val="en-GB"/>
              </w:rPr>
            </w:pPr>
          </w:p>
        </w:tc>
      </w:tr>
      <w:tr w:rsidR="00123BB5" w:rsidRPr="006D678A" w14:paraId="31E17459" w14:textId="77777777" w:rsidTr="00260B90">
        <w:trPr>
          <w:trHeight w:val="293"/>
          <w:tblHeader/>
          <w:jc w:val="center"/>
        </w:trPr>
        <w:tc>
          <w:tcPr>
            <w:tcW w:w="4186" w:type="dxa"/>
            <w:gridSpan w:val="4"/>
            <w:tcBorders>
              <w:top w:val="nil"/>
              <w:left w:val="nil"/>
              <w:bottom w:val="nil"/>
              <w:right w:val="nil"/>
            </w:tcBorders>
            <w:shd w:val="clear" w:color="auto" w:fill="auto"/>
            <w:noWrap/>
            <w:vAlign w:val="bottom"/>
            <w:hideMark/>
          </w:tcPr>
          <w:p w14:paraId="65638F59" w14:textId="77777777" w:rsidR="00123BB5" w:rsidRPr="00586B0C" w:rsidRDefault="00123BB5" w:rsidP="00533403">
            <w:pPr>
              <w:jc w:val="both"/>
              <w:rPr>
                <w:rFonts w:ascii="Arial" w:hAnsi="Arial"/>
                <w:b/>
                <w:color w:val="000000"/>
                <w:u w:val="single"/>
                <w:lang w:val="en-GB"/>
              </w:rPr>
            </w:pPr>
            <w:r w:rsidRPr="00586B0C">
              <w:rPr>
                <w:rFonts w:ascii="Arial" w:hAnsi="Arial"/>
                <w:b/>
                <w:color w:val="000000"/>
                <w:u w:val="single"/>
                <w:lang w:val="en-GB"/>
              </w:rPr>
              <w:t>Liquidity</w:t>
            </w:r>
          </w:p>
        </w:tc>
        <w:tc>
          <w:tcPr>
            <w:tcW w:w="1304" w:type="dxa"/>
            <w:tcBorders>
              <w:top w:val="nil"/>
              <w:left w:val="nil"/>
              <w:bottom w:val="nil"/>
              <w:right w:val="nil"/>
            </w:tcBorders>
            <w:shd w:val="clear" w:color="auto" w:fill="auto"/>
            <w:noWrap/>
            <w:vAlign w:val="bottom"/>
            <w:hideMark/>
          </w:tcPr>
          <w:p w14:paraId="377F2E30" w14:textId="77777777" w:rsidR="00123BB5" w:rsidRPr="00586B0C" w:rsidRDefault="00123BB5" w:rsidP="00533403">
            <w:pPr>
              <w:jc w:val="center"/>
              <w:rPr>
                <w:rFonts w:ascii="Arial" w:hAnsi="Arial"/>
                <w:b/>
                <w:color w:val="000000"/>
                <w:lang w:val="en-GB"/>
              </w:rPr>
            </w:pPr>
          </w:p>
        </w:tc>
        <w:tc>
          <w:tcPr>
            <w:tcW w:w="1350" w:type="dxa"/>
            <w:tcBorders>
              <w:top w:val="nil"/>
              <w:left w:val="nil"/>
              <w:bottom w:val="nil"/>
              <w:right w:val="nil"/>
            </w:tcBorders>
            <w:shd w:val="clear" w:color="auto" w:fill="auto"/>
            <w:noWrap/>
            <w:vAlign w:val="bottom"/>
            <w:hideMark/>
          </w:tcPr>
          <w:p w14:paraId="251BADA6" w14:textId="77777777" w:rsidR="00123BB5" w:rsidRPr="00586B0C" w:rsidRDefault="00123BB5" w:rsidP="00533403">
            <w:pPr>
              <w:jc w:val="center"/>
              <w:rPr>
                <w:rFonts w:ascii="Arial" w:hAnsi="Arial"/>
                <w:lang w:val="en-GB"/>
              </w:rPr>
            </w:pPr>
          </w:p>
        </w:tc>
      </w:tr>
      <w:tr w:rsidR="00123BB5" w:rsidRPr="006D678A" w14:paraId="66978E3F" w14:textId="77777777" w:rsidTr="00260B90">
        <w:trPr>
          <w:trHeight w:val="293"/>
          <w:tblHeader/>
          <w:jc w:val="center"/>
        </w:trPr>
        <w:tc>
          <w:tcPr>
            <w:tcW w:w="4186" w:type="dxa"/>
            <w:gridSpan w:val="4"/>
            <w:tcBorders>
              <w:top w:val="nil"/>
              <w:left w:val="nil"/>
              <w:bottom w:val="nil"/>
              <w:right w:val="nil"/>
            </w:tcBorders>
            <w:shd w:val="clear" w:color="auto" w:fill="auto"/>
            <w:noWrap/>
            <w:vAlign w:val="bottom"/>
            <w:hideMark/>
          </w:tcPr>
          <w:p w14:paraId="31395944"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Current Ratio</w:t>
            </w:r>
          </w:p>
        </w:tc>
        <w:tc>
          <w:tcPr>
            <w:tcW w:w="1304" w:type="dxa"/>
            <w:tcBorders>
              <w:top w:val="nil"/>
              <w:left w:val="nil"/>
              <w:bottom w:val="nil"/>
              <w:right w:val="nil"/>
            </w:tcBorders>
            <w:shd w:val="clear" w:color="auto" w:fill="auto"/>
            <w:noWrap/>
            <w:vAlign w:val="center"/>
            <w:hideMark/>
          </w:tcPr>
          <w:p w14:paraId="002264DE" w14:textId="61F89363" w:rsidR="00123BB5" w:rsidRPr="00586B0C" w:rsidRDefault="00123BB5" w:rsidP="00C76EBB">
            <w:pPr>
              <w:jc w:val="right"/>
              <w:rPr>
                <w:rFonts w:ascii="Arial" w:hAnsi="Arial"/>
                <w:color w:val="000000"/>
                <w:lang w:val="en-GB"/>
              </w:rPr>
            </w:pPr>
            <w:r w:rsidRPr="00586B0C">
              <w:rPr>
                <w:rFonts w:ascii="Arial" w:hAnsi="Arial"/>
                <w:color w:val="000000"/>
                <w:lang w:val="en-GB"/>
              </w:rPr>
              <w:t>2.39:1</w:t>
            </w:r>
          </w:p>
        </w:tc>
        <w:tc>
          <w:tcPr>
            <w:tcW w:w="1350" w:type="dxa"/>
            <w:tcBorders>
              <w:top w:val="nil"/>
              <w:left w:val="nil"/>
              <w:bottom w:val="nil"/>
              <w:right w:val="nil"/>
            </w:tcBorders>
            <w:shd w:val="clear" w:color="auto" w:fill="auto"/>
            <w:noWrap/>
            <w:vAlign w:val="center"/>
            <w:hideMark/>
          </w:tcPr>
          <w:p w14:paraId="42843FFC" w14:textId="183B1F6C" w:rsidR="00123BB5" w:rsidRPr="00586B0C" w:rsidRDefault="00123BB5" w:rsidP="00C76EBB">
            <w:pPr>
              <w:jc w:val="right"/>
              <w:rPr>
                <w:rFonts w:ascii="Arial" w:hAnsi="Arial"/>
                <w:color w:val="000000"/>
                <w:lang w:val="en-GB"/>
              </w:rPr>
            </w:pPr>
            <w:r w:rsidRPr="00586B0C">
              <w:rPr>
                <w:rFonts w:ascii="Arial" w:hAnsi="Arial"/>
                <w:color w:val="000000"/>
                <w:lang w:val="en-GB"/>
              </w:rPr>
              <w:t>2.33:1</w:t>
            </w:r>
          </w:p>
        </w:tc>
      </w:tr>
      <w:tr w:rsidR="00123BB5" w:rsidRPr="006D678A" w14:paraId="2003BEB8" w14:textId="77777777" w:rsidTr="00260B90">
        <w:trPr>
          <w:trHeight w:val="293"/>
          <w:tblHeader/>
          <w:jc w:val="center"/>
        </w:trPr>
        <w:tc>
          <w:tcPr>
            <w:tcW w:w="4186" w:type="dxa"/>
            <w:gridSpan w:val="4"/>
            <w:tcBorders>
              <w:top w:val="nil"/>
              <w:left w:val="nil"/>
              <w:bottom w:val="nil"/>
              <w:right w:val="nil"/>
            </w:tcBorders>
            <w:shd w:val="clear" w:color="auto" w:fill="auto"/>
            <w:noWrap/>
            <w:vAlign w:val="bottom"/>
            <w:hideMark/>
          </w:tcPr>
          <w:p w14:paraId="5F38FE19"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Quick Ratio</w:t>
            </w:r>
          </w:p>
        </w:tc>
        <w:tc>
          <w:tcPr>
            <w:tcW w:w="1304" w:type="dxa"/>
            <w:tcBorders>
              <w:top w:val="nil"/>
              <w:left w:val="nil"/>
              <w:bottom w:val="nil"/>
              <w:right w:val="nil"/>
            </w:tcBorders>
            <w:shd w:val="clear" w:color="auto" w:fill="auto"/>
            <w:noWrap/>
            <w:vAlign w:val="center"/>
            <w:hideMark/>
          </w:tcPr>
          <w:p w14:paraId="2878DE8C" w14:textId="0F631C0C" w:rsidR="00123BB5" w:rsidRPr="00586B0C" w:rsidRDefault="00123BB5" w:rsidP="00C76EBB">
            <w:pPr>
              <w:jc w:val="right"/>
              <w:rPr>
                <w:rFonts w:ascii="Arial" w:hAnsi="Arial"/>
                <w:color w:val="000000"/>
                <w:lang w:val="en-GB"/>
              </w:rPr>
            </w:pPr>
            <w:r w:rsidRPr="00586B0C">
              <w:rPr>
                <w:rFonts w:ascii="Arial" w:hAnsi="Arial"/>
                <w:color w:val="000000"/>
                <w:lang w:val="en-GB"/>
              </w:rPr>
              <w:t>0.41:1</w:t>
            </w:r>
          </w:p>
        </w:tc>
        <w:tc>
          <w:tcPr>
            <w:tcW w:w="1350" w:type="dxa"/>
            <w:tcBorders>
              <w:top w:val="nil"/>
              <w:left w:val="nil"/>
              <w:bottom w:val="nil"/>
              <w:right w:val="nil"/>
            </w:tcBorders>
            <w:shd w:val="clear" w:color="auto" w:fill="auto"/>
            <w:noWrap/>
            <w:vAlign w:val="center"/>
            <w:hideMark/>
          </w:tcPr>
          <w:p w14:paraId="3FFE760E" w14:textId="39BF8E50" w:rsidR="00123BB5" w:rsidRPr="00586B0C" w:rsidRDefault="00123BB5" w:rsidP="00C76EBB">
            <w:pPr>
              <w:jc w:val="right"/>
              <w:rPr>
                <w:rFonts w:ascii="Arial" w:hAnsi="Arial"/>
                <w:color w:val="000000"/>
                <w:lang w:val="en-GB"/>
              </w:rPr>
            </w:pPr>
            <w:r w:rsidRPr="00586B0C">
              <w:rPr>
                <w:rFonts w:ascii="Arial" w:hAnsi="Arial"/>
                <w:color w:val="000000"/>
                <w:lang w:val="en-GB"/>
              </w:rPr>
              <w:t>0.35:1</w:t>
            </w:r>
          </w:p>
        </w:tc>
      </w:tr>
      <w:tr w:rsidR="00123BB5" w:rsidRPr="006D678A" w14:paraId="4356EA26" w14:textId="77777777" w:rsidTr="00260B90">
        <w:trPr>
          <w:trHeight w:val="293"/>
          <w:tblHeader/>
          <w:jc w:val="center"/>
        </w:trPr>
        <w:tc>
          <w:tcPr>
            <w:tcW w:w="1933" w:type="dxa"/>
            <w:gridSpan w:val="3"/>
            <w:tcBorders>
              <w:top w:val="nil"/>
              <w:left w:val="nil"/>
              <w:bottom w:val="nil"/>
              <w:right w:val="nil"/>
            </w:tcBorders>
            <w:shd w:val="clear" w:color="auto" w:fill="auto"/>
            <w:noWrap/>
            <w:vAlign w:val="bottom"/>
            <w:hideMark/>
          </w:tcPr>
          <w:p w14:paraId="4AB86532" w14:textId="77777777" w:rsidR="00123BB5" w:rsidRPr="00586B0C" w:rsidRDefault="00123BB5" w:rsidP="00533403">
            <w:pPr>
              <w:jc w:val="both"/>
              <w:rPr>
                <w:rFonts w:ascii="Arial" w:hAnsi="Arial"/>
                <w:color w:val="000000"/>
                <w:lang w:val="en-GB"/>
              </w:rPr>
            </w:pPr>
          </w:p>
        </w:tc>
        <w:tc>
          <w:tcPr>
            <w:tcW w:w="2253" w:type="dxa"/>
            <w:tcBorders>
              <w:top w:val="nil"/>
              <w:left w:val="nil"/>
              <w:bottom w:val="nil"/>
              <w:right w:val="nil"/>
            </w:tcBorders>
            <w:shd w:val="clear" w:color="auto" w:fill="auto"/>
            <w:noWrap/>
            <w:vAlign w:val="bottom"/>
            <w:hideMark/>
          </w:tcPr>
          <w:p w14:paraId="1F0F0C87" w14:textId="77777777" w:rsidR="00123BB5" w:rsidRPr="00586B0C" w:rsidRDefault="00123BB5" w:rsidP="00533403">
            <w:pPr>
              <w:jc w:val="both"/>
              <w:rPr>
                <w:rFonts w:ascii="Arial" w:hAnsi="Arial"/>
                <w:lang w:val="en-GB"/>
              </w:rPr>
            </w:pPr>
          </w:p>
        </w:tc>
        <w:tc>
          <w:tcPr>
            <w:tcW w:w="1304" w:type="dxa"/>
            <w:tcBorders>
              <w:top w:val="nil"/>
              <w:left w:val="nil"/>
              <w:bottom w:val="nil"/>
              <w:right w:val="nil"/>
            </w:tcBorders>
            <w:shd w:val="clear" w:color="auto" w:fill="auto"/>
            <w:noWrap/>
            <w:vAlign w:val="bottom"/>
            <w:hideMark/>
          </w:tcPr>
          <w:p w14:paraId="1F6056F6" w14:textId="77777777" w:rsidR="00123BB5" w:rsidRPr="00586B0C" w:rsidRDefault="00123BB5" w:rsidP="00533403">
            <w:pPr>
              <w:jc w:val="center"/>
              <w:rPr>
                <w:rFonts w:ascii="Arial" w:hAnsi="Arial"/>
                <w:lang w:val="en-GB"/>
              </w:rPr>
            </w:pPr>
          </w:p>
        </w:tc>
        <w:tc>
          <w:tcPr>
            <w:tcW w:w="1350" w:type="dxa"/>
            <w:tcBorders>
              <w:top w:val="nil"/>
              <w:left w:val="nil"/>
              <w:bottom w:val="nil"/>
              <w:right w:val="nil"/>
            </w:tcBorders>
            <w:shd w:val="clear" w:color="auto" w:fill="auto"/>
            <w:noWrap/>
            <w:vAlign w:val="bottom"/>
            <w:hideMark/>
          </w:tcPr>
          <w:p w14:paraId="4DF4CC85" w14:textId="77777777" w:rsidR="00123BB5" w:rsidRPr="00586B0C" w:rsidRDefault="00123BB5" w:rsidP="00533403">
            <w:pPr>
              <w:jc w:val="center"/>
              <w:rPr>
                <w:rFonts w:ascii="Arial" w:hAnsi="Arial"/>
                <w:lang w:val="en-GB"/>
              </w:rPr>
            </w:pPr>
          </w:p>
        </w:tc>
      </w:tr>
      <w:tr w:rsidR="00123BB5" w:rsidRPr="006D678A" w14:paraId="7B56D8BE" w14:textId="77777777" w:rsidTr="00260B90">
        <w:trPr>
          <w:trHeight w:val="293"/>
          <w:tblHeader/>
          <w:jc w:val="center"/>
        </w:trPr>
        <w:tc>
          <w:tcPr>
            <w:tcW w:w="4186" w:type="dxa"/>
            <w:gridSpan w:val="4"/>
            <w:tcBorders>
              <w:top w:val="nil"/>
              <w:left w:val="nil"/>
              <w:bottom w:val="nil"/>
              <w:right w:val="nil"/>
            </w:tcBorders>
            <w:shd w:val="clear" w:color="auto" w:fill="auto"/>
            <w:noWrap/>
            <w:vAlign w:val="bottom"/>
            <w:hideMark/>
          </w:tcPr>
          <w:p w14:paraId="786199DB" w14:textId="77777777" w:rsidR="00123BB5" w:rsidRPr="00586B0C" w:rsidRDefault="00123BB5" w:rsidP="00533403">
            <w:pPr>
              <w:jc w:val="both"/>
              <w:rPr>
                <w:rFonts w:ascii="Arial" w:hAnsi="Arial"/>
                <w:b/>
                <w:color w:val="000000"/>
                <w:u w:val="single"/>
                <w:lang w:val="en-GB"/>
              </w:rPr>
            </w:pPr>
            <w:r w:rsidRPr="00586B0C">
              <w:rPr>
                <w:rFonts w:ascii="Arial" w:hAnsi="Arial"/>
                <w:b/>
                <w:color w:val="000000"/>
                <w:u w:val="single"/>
                <w:lang w:val="en-GB"/>
              </w:rPr>
              <w:t>Efficiency</w:t>
            </w:r>
          </w:p>
        </w:tc>
        <w:tc>
          <w:tcPr>
            <w:tcW w:w="1304" w:type="dxa"/>
            <w:tcBorders>
              <w:top w:val="nil"/>
              <w:left w:val="nil"/>
              <w:bottom w:val="nil"/>
              <w:right w:val="nil"/>
            </w:tcBorders>
            <w:shd w:val="clear" w:color="auto" w:fill="auto"/>
            <w:noWrap/>
            <w:vAlign w:val="bottom"/>
            <w:hideMark/>
          </w:tcPr>
          <w:p w14:paraId="53584F88" w14:textId="77777777" w:rsidR="00123BB5" w:rsidRPr="00586B0C" w:rsidRDefault="00123BB5" w:rsidP="00533403">
            <w:pPr>
              <w:jc w:val="center"/>
              <w:rPr>
                <w:rFonts w:ascii="Arial" w:hAnsi="Arial"/>
                <w:b/>
                <w:color w:val="000000"/>
                <w:lang w:val="en-GB"/>
              </w:rPr>
            </w:pPr>
          </w:p>
        </w:tc>
        <w:tc>
          <w:tcPr>
            <w:tcW w:w="1350" w:type="dxa"/>
            <w:tcBorders>
              <w:top w:val="nil"/>
              <w:left w:val="nil"/>
              <w:bottom w:val="nil"/>
              <w:right w:val="nil"/>
            </w:tcBorders>
            <w:shd w:val="clear" w:color="auto" w:fill="auto"/>
            <w:noWrap/>
            <w:vAlign w:val="bottom"/>
            <w:hideMark/>
          </w:tcPr>
          <w:p w14:paraId="7DF000AD" w14:textId="77777777" w:rsidR="00123BB5" w:rsidRPr="00586B0C" w:rsidRDefault="00123BB5" w:rsidP="00533403">
            <w:pPr>
              <w:jc w:val="center"/>
              <w:rPr>
                <w:rFonts w:ascii="Arial" w:hAnsi="Arial"/>
                <w:lang w:val="en-GB"/>
              </w:rPr>
            </w:pPr>
          </w:p>
        </w:tc>
      </w:tr>
      <w:tr w:rsidR="00123BB5" w:rsidRPr="006D678A" w14:paraId="15CE7E35" w14:textId="77777777" w:rsidTr="00260B90">
        <w:trPr>
          <w:trHeight w:val="293"/>
          <w:tblHeader/>
          <w:jc w:val="center"/>
        </w:trPr>
        <w:tc>
          <w:tcPr>
            <w:tcW w:w="4186" w:type="dxa"/>
            <w:gridSpan w:val="4"/>
            <w:tcBorders>
              <w:top w:val="nil"/>
              <w:left w:val="nil"/>
              <w:bottom w:val="nil"/>
              <w:right w:val="nil"/>
            </w:tcBorders>
            <w:shd w:val="clear" w:color="auto" w:fill="auto"/>
            <w:noWrap/>
            <w:vAlign w:val="bottom"/>
            <w:hideMark/>
          </w:tcPr>
          <w:p w14:paraId="4DC5E071"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Days of Accounts Payable</w:t>
            </w:r>
          </w:p>
        </w:tc>
        <w:tc>
          <w:tcPr>
            <w:tcW w:w="1304" w:type="dxa"/>
            <w:tcBorders>
              <w:top w:val="nil"/>
              <w:left w:val="nil"/>
              <w:bottom w:val="nil"/>
              <w:right w:val="nil"/>
            </w:tcBorders>
            <w:shd w:val="clear" w:color="auto" w:fill="auto"/>
            <w:noWrap/>
            <w:vAlign w:val="center"/>
            <w:hideMark/>
          </w:tcPr>
          <w:p w14:paraId="3B402CC9" w14:textId="77777777" w:rsidR="00123BB5" w:rsidRPr="00586B0C" w:rsidRDefault="00123BB5" w:rsidP="008C0B0C">
            <w:pPr>
              <w:jc w:val="right"/>
              <w:rPr>
                <w:rFonts w:ascii="Arial" w:hAnsi="Arial"/>
                <w:color w:val="000000"/>
                <w:lang w:val="en-GB"/>
              </w:rPr>
            </w:pPr>
            <w:r w:rsidRPr="00586B0C">
              <w:rPr>
                <w:rFonts w:ascii="Arial" w:hAnsi="Arial"/>
                <w:color w:val="000000"/>
                <w:lang w:val="en-GB"/>
              </w:rPr>
              <w:t>46.5 days</w:t>
            </w:r>
          </w:p>
        </w:tc>
        <w:tc>
          <w:tcPr>
            <w:tcW w:w="1350" w:type="dxa"/>
            <w:tcBorders>
              <w:top w:val="nil"/>
              <w:left w:val="nil"/>
              <w:bottom w:val="nil"/>
              <w:right w:val="nil"/>
            </w:tcBorders>
            <w:shd w:val="clear" w:color="auto" w:fill="auto"/>
            <w:noWrap/>
            <w:vAlign w:val="center"/>
            <w:hideMark/>
          </w:tcPr>
          <w:p w14:paraId="2802FDC7" w14:textId="77777777" w:rsidR="00123BB5" w:rsidRPr="00586B0C" w:rsidRDefault="00123BB5" w:rsidP="008C0B0C">
            <w:pPr>
              <w:jc w:val="right"/>
              <w:rPr>
                <w:rFonts w:ascii="Arial" w:hAnsi="Arial"/>
                <w:color w:val="000000"/>
                <w:lang w:val="en-GB"/>
              </w:rPr>
            </w:pPr>
            <w:r w:rsidRPr="00586B0C">
              <w:rPr>
                <w:rFonts w:ascii="Arial" w:hAnsi="Arial"/>
                <w:color w:val="000000"/>
                <w:lang w:val="en-GB"/>
              </w:rPr>
              <w:t>46.0 days</w:t>
            </w:r>
          </w:p>
        </w:tc>
      </w:tr>
      <w:tr w:rsidR="00123BB5" w:rsidRPr="006D678A" w14:paraId="04FB4E8C" w14:textId="77777777" w:rsidTr="00260B90">
        <w:trPr>
          <w:trHeight w:val="293"/>
          <w:tblHeader/>
          <w:jc w:val="center"/>
        </w:trPr>
        <w:tc>
          <w:tcPr>
            <w:tcW w:w="4186" w:type="dxa"/>
            <w:gridSpan w:val="4"/>
            <w:tcBorders>
              <w:top w:val="nil"/>
              <w:left w:val="nil"/>
              <w:bottom w:val="nil"/>
              <w:right w:val="nil"/>
            </w:tcBorders>
            <w:shd w:val="clear" w:color="auto" w:fill="auto"/>
            <w:noWrap/>
            <w:vAlign w:val="bottom"/>
            <w:hideMark/>
          </w:tcPr>
          <w:p w14:paraId="2DCC7299"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Days of Inventory</w:t>
            </w:r>
          </w:p>
        </w:tc>
        <w:tc>
          <w:tcPr>
            <w:tcW w:w="1304" w:type="dxa"/>
            <w:tcBorders>
              <w:top w:val="nil"/>
              <w:left w:val="nil"/>
              <w:bottom w:val="nil"/>
              <w:right w:val="nil"/>
            </w:tcBorders>
            <w:shd w:val="clear" w:color="auto" w:fill="auto"/>
            <w:noWrap/>
            <w:vAlign w:val="center"/>
            <w:hideMark/>
          </w:tcPr>
          <w:p w14:paraId="17552C07" w14:textId="77777777" w:rsidR="00123BB5" w:rsidRPr="00586B0C" w:rsidRDefault="00123BB5" w:rsidP="008C0B0C">
            <w:pPr>
              <w:jc w:val="right"/>
              <w:rPr>
                <w:rFonts w:ascii="Arial" w:hAnsi="Arial"/>
                <w:color w:val="000000"/>
                <w:lang w:val="en-GB"/>
              </w:rPr>
            </w:pPr>
            <w:r w:rsidRPr="00586B0C">
              <w:rPr>
                <w:rFonts w:ascii="Arial" w:hAnsi="Arial"/>
                <w:color w:val="000000"/>
                <w:lang w:val="en-GB"/>
              </w:rPr>
              <w:t>109.7 days</w:t>
            </w:r>
          </w:p>
        </w:tc>
        <w:tc>
          <w:tcPr>
            <w:tcW w:w="1350" w:type="dxa"/>
            <w:tcBorders>
              <w:top w:val="nil"/>
              <w:left w:val="nil"/>
              <w:bottom w:val="nil"/>
              <w:right w:val="nil"/>
            </w:tcBorders>
            <w:shd w:val="clear" w:color="auto" w:fill="auto"/>
            <w:noWrap/>
            <w:vAlign w:val="center"/>
            <w:hideMark/>
          </w:tcPr>
          <w:p w14:paraId="3986D738" w14:textId="77777777" w:rsidR="00123BB5" w:rsidRPr="00586B0C" w:rsidRDefault="00123BB5" w:rsidP="008C0B0C">
            <w:pPr>
              <w:jc w:val="right"/>
              <w:rPr>
                <w:rFonts w:ascii="Arial" w:hAnsi="Arial"/>
                <w:color w:val="000000"/>
                <w:lang w:val="en-GB"/>
              </w:rPr>
            </w:pPr>
            <w:r w:rsidRPr="00586B0C">
              <w:rPr>
                <w:rFonts w:ascii="Arial" w:hAnsi="Arial"/>
                <w:color w:val="000000"/>
                <w:lang w:val="en-GB"/>
              </w:rPr>
              <w:t>117.7 days</w:t>
            </w:r>
          </w:p>
        </w:tc>
      </w:tr>
      <w:tr w:rsidR="00123BB5" w:rsidRPr="006D678A" w14:paraId="73C4ECCD" w14:textId="77777777" w:rsidTr="00260B90">
        <w:trPr>
          <w:trHeight w:val="293"/>
          <w:tblHeader/>
          <w:jc w:val="center"/>
        </w:trPr>
        <w:tc>
          <w:tcPr>
            <w:tcW w:w="1933" w:type="dxa"/>
            <w:gridSpan w:val="3"/>
            <w:tcBorders>
              <w:top w:val="nil"/>
              <w:left w:val="nil"/>
              <w:bottom w:val="nil"/>
              <w:right w:val="nil"/>
            </w:tcBorders>
            <w:shd w:val="clear" w:color="auto" w:fill="auto"/>
            <w:noWrap/>
            <w:vAlign w:val="bottom"/>
            <w:hideMark/>
          </w:tcPr>
          <w:p w14:paraId="3801041C" w14:textId="77777777" w:rsidR="00123BB5" w:rsidRPr="00586B0C" w:rsidRDefault="00123BB5" w:rsidP="00533403">
            <w:pPr>
              <w:jc w:val="both"/>
              <w:rPr>
                <w:rFonts w:ascii="Arial" w:hAnsi="Arial"/>
                <w:color w:val="000000"/>
                <w:lang w:val="en-GB"/>
              </w:rPr>
            </w:pPr>
          </w:p>
        </w:tc>
        <w:tc>
          <w:tcPr>
            <w:tcW w:w="2253" w:type="dxa"/>
            <w:tcBorders>
              <w:top w:val="nil"/>
              <w:left w:val="nil"/>
              <w:bottom w:val="nil"/>
              <w:right w:val="nil"/>
            </w:tcBorders>
            <w:shd w:val="clear" w:color="auto" w:fill="auto"/>
            <w:noWrap/>
            <w:vAlign w:val="bottom"/>
            <w:hideMark/>
          </w:tcPr>
          <w:p w14:paraId="1A07894E" w14:textId="77777777" w:rsidR="00123BB5" w:rsidRPr="00586B0C" w:rsidRDefault="00123BB5" w:rsidP="00533403">
            <w:pPr>
              <w:jc w:val="both"/>
              <w:rPr>
                <w:rFonts w:ascii="Arial" w:hAnsi="Arial"/>
                <w:lang w:val="en-GB"/>
              </w:rPr>
            </w:pPr>
          </w:p>
        </w:tc>
        <w:tc>
          <w:tcPr>
            <w:tcW w:w="1304" w:type="dxa"/>
            <w:tcBorders>
              <w:top w:val="nil"/>
              <w:left w:val="nil"/>
              <w:bottom w:val="nil"/>
              <w:right w:val="nil"/>
            </w:tcBorders>
            <w:shd w:val="clear" w:color="auto" w:fill="auto"/>
            <w:noWrap/>
            <w:vAlign w:val="bottom"/>
            <w:hideMark/>
          </w:tcPr>
          <w:p w14:paraId="2E2B34BA" w14:textId="77777777" w:rsidR="00123BB5" w:rsidRPr="00586B0C" w:rsidRDefault="00123BB5" w:rsidP="00533403">
            <w:pPr>
              <w:jc w:val="center"/>
              <w:rPr>
                <w:rFonts w:ascii="Arial" w:hAnsi="Arial"/>
                <w:lang w:val="en-GB"/>
              </w:rPr>
            </w:pPr>
          </w:p>
        </w:tc>
        <w:tc>
          <w:tcPr>
            <w:tcW w:w="1350" w:type="dxa"/>
            <w:tcBorders>
              <w:top w:val="nil"/>
              <w:left w:val="nil"/>
              <w:bottom w:val="nil"/>
              <w:right w:val="nil"/>
            </w:tcBorders>
            <w:shd w:val="clear" w:color="auto" w:fill="auto"/>
            <w:noWrap/>
            <w:vAlign w:val="bottom"/>
            <w:hideMark/>
          </w:tcPr>
          <w:p w14:paraId="4A9290AC" w14:textId="77777777" w:rsidR="00123BB5" w:rsidRPr="00586B0C" w:rsidRDefault="00123BB5" w:rsidP="00533403">
            <w:pPr>
              <w:jc w:val="center"/>
              <w:rPr>
                <w:rFonts w:ascii="Arial" w:hAnsi="Arial"/>
                <w:lang w:val="en-GB"/>
              </w:rPr>
            </w:pPr>
          </w:p>
        </w:tc>
      </w:tr>
      <w:tr w:rsidR="00123BB5" w:rsidRPr="006D678A" w14:paraId="136CC703" w14:textId="77777777" w:rsidTr="00260B90">
        <w:trPr>
          <w:trHeight w:val="293"/>
          <w:tblHeader/>
          <w:jc w:val="center"/>
        </w:trPr>
        <w:tc>
          <w:tcPr>
            <w:tcW w:w="4186" w:type="dxa"/>
            <w:gridSpan w:val="4"/>
            <w:tcBorders>
              <w:top w:val="nil"/>
              <w:left w:val="nil"/>
              <w:bottom w:val="nil"/>
              <w:right w:val="nil"/>
            </w:tcBorders>
            <w:shd w:val="clear" w:color="auto" w:fill="auto"/>
            <w:noWrap/>
            <w:vAlign w:val="bottom"/>
            <w:hideMark/>
          </w:tcPr>
          <w:p w14:paraId="64BD57E7" w14:textId="77777777" w:rsidR="00123BB5" w:rsidRPr="00586B0C" w:rsidRDefault="00123BB5" w:rsidP="00533403">
            <w:pPr>
              <w:jc w:val="both"/>
              <w:rPr>
                <w:rFonts w:ascii="Arial" w:hAnsi="Arial"/>
                <w:b/>
                <w:color w:val="000000"/>
                <w:u w:val="single"/>
                <w:lang w:val="en-GB"/>
              </w:rPr>
            </w:pPr>
            <w:r w:rsidRPr="00586B0C">
              <w:rPr>
                <w:rFonts w:ascii="Arial" w:hAnsi="Arial"/>
                <w:b/>
                <w:color w:val="000000"/>
                <w:u w:val="single"/>
                <w:lang w:val="en-GB"/>
              </w:rPr>
              <w:t>Stability</w:t>
            </w:r>
          </w:p>
        </w:tc>
        <w:tc>
          <w:tcPr>
            <w:tcW w:w="1304" w:type="dxa"/>
            <w:tcBorders>
              <w:top w:val="nil"/>
              <w:left w:val="nil"/>
              <w:bottom w:val="nil"/>
              <w:right w:val="nil"/>
            </w:tcBorders>
            <w:shd w:val="clear" w:color="auto" w:fill="auto"/>
            <w:noWrap/>
            <w:vAlign w:val="bottom"/>
            <w:hideMark/>
          </w:tcPr>
          <w:p w14:paraId="4EE21441" w14:textId="77777777" w:rsidR="00123BB5" w:rsidRPr="00586B0C" w:rsidRDefault="00123BB5" w:rsidP="00533403">
            <w:pPr>
              <w:jc w:val="center"/>
              <w:rPr>
                <w:rFonts w:ascii="Arial" w:hAnsi="Arial"/>
                <w:b/>
                <w:color w:val="000000"/>
                <w:lang w:val="en-GB"/>
              </w:rPr>
            </w:pPr>
          </w:p>
        </w:tc>
        <w:tc>
          <w:tcPr>
            <w:tcW w:w="1350" w:type="dxa"/>
            <w:tcBorders>
              <w:top w:val="nil"/>
              <w:left w:val="nil"/>
              <w:bottom w:val="nil"/>
              <w:right w:val="nil"/>
            </w:tcBorders>
            <w:shd w:val="clear" w:color="auto" w:fill="auto"/>
            <w:noWrap/>
            <w:vAlign w:val="bottom"/>
            <w:hideMark/>
          </w:tcPr>
          <w:p w14:paraId="522FEB90" w14:textId="77777777" w:rsidR="00123BB5" w:rsidRPr="00586B0C" w:rsidRDefault="00123BB5" w:rsidP="00533403">
            <w:pPr>
              <w:jc w:val="center"/>
              <w:rPr>
                <w:rFonts w:ascii="Arial" w:hAnsi="Arial"/>
                <w:lang w:val="en-GB"/>
              </w:rPr>
            </w:pPr>
          </w:p>
        </w:tc>
      </w:tr>
      <w:tr w:rsidR="00123BB5" w:rsidRPr="006D678A" w14:paraId="038D8049" w14:textId="77777777" w:rsidTr="00260B90">
        <w:trPr>
          <w:trHeight w:val="293"/>
          <w:tblHeader/>
          <w:jc w:val="center"/>
        </w:trPr>
        <w:tc>
          <w:tcPr>
            <w:tcW w:w="4186" w:type="dxa"/>
            <w:gridSpan w:val="4"/>
            <w:tcBorders>
              <w:top w:val="nil"/>
              <w:left w:val="nil"/>
              <w:bottom w:val="nil"/>
              <w:right w:val="nil"/>
            </w:tcBorders>
            <w:shd w:val="clear" w:color="auto" w:fill="auto"/>
            <w:noWrap/>
            <w:vAlign w:val="bottom"/>
            <w:hideMark/>
          </w:tcPr>
          <w:p w14:paraId="4F1B6D72"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Debt to Equity</w:t>
            </w:r>
          </w:p>
        </w:tc>
        <w:tc>
          <w:tcPr>
            <w:tcW w:w="1304" w:type="dxa"/>
            <w:tcBorders>
              <w:top w:val="nil"/>
              <w:left w:val="nil"/>
              <w:bottom w:val="nil"/>
              <w:right w:val="nil"/>
            </w:tcBorders>
            <w:shd w:val="clear" w:color="auto" w:fill="auto"/>
            <w:noWrap/>
            <w:vAlign w:val="center"/>
            <w:hideMark/>
          </w:tcPr>
          <w:p w14:paraId="6A428075" w14:textId="77777777" w:rsidR="00123BB5" w:rsidRPr="00586B0C" w:rsidRDefault="00123BB5" w:rsidP="00C76EBB">
            <w:pPr>
              <w:jc w:val="right"/>
              <w:rPr>
                <w:rFonts w:ascii="Arial" w:hAnsi="Arial"/>
                <w:color w:val="000000"/>
                <w:lang w:val="en-GB"/>
              </w:rPr>
            </w:pPr>
            <w:r w:rsidRPr="00586B0C">
              <w:rPr>
                <w:rFonts w:ascii="Arial" w:hAnsi="Arial"/>
                <w:color w:val="000000"/>
                <w:lang w:val="en-GB"/>
              </w:rPr>
              <w:t>0.47</w:t>
            </w:r>
          </w:p>
        </w:tc>
        <w:tc>
          <w:tcPr>
            <w:tcW w:w="1350" w:type="dxa"/>
            <w:tcBorders>
              <w:top w:val="nil"/>
              <w:left w:val="nil"/>
              <w:bottom w:val="nil"/>
              <w:right w:val="nil"/>
            </w:tcBorders>
            <w:shd w:val="clear" w:color="auto" w:fill="auto"/>
            <w:noWrap/>
            <w:vAlign w:val="center"/>
            <w:hideMark/>
          </w:tcPr>
          <w:p w14:paraId="144704BD" w14:textId="77777777" w:rsidR="00123BB5" w:rsidRPr="00586B0C" w:rsidRDefault="00123BB5" w:rsidP="00C76EBB">
            <w:pPr>
              <w:jc w:val="right"/>
              <w:rPr>
                <w:rFonts w:ascii="Arial" w:hAnsi="Arial"/>
                <w:color w:val="000000"/>
                <w:lang w:val="en-GB"/>
              </w:rPr>
            </w:pPr>
            <w:r w:rsidRPr="00586B0C">
              <w:rPr>
                <w:rFonts w:ascii="Arial" w:hAnsi="Arial"/>
                <w:color w:val="000000"/>
                <w:lang w:val="en-GB"/>
              </w:rPr>
              <w:t>0.45</w:t>
            </w:r>
          </w:p>
        </w:tc>
      </w:tr>
      <w:tr w:rsidR="00123BB5" w:rsidRPr="006D678A" w14:paraId="305E1688" w14:textId="77777777" w:rsidTr="00260B90">
        <w:trPr>
          <w:trHeight w:val="293"/>
          <w:tblHeader/>
          <w:jc w:val="center"/>
        </w:trPr>
        <w:tc>
          <w:tcPr>
            <w:tcW w:w="4186" w:type="dxa"/>
            <w:gridSpan w:val="4"/>
            <w:tcBorders>
              <w:top w:val="nil"/>
              <w:left w:val="nil"/>
              <w:bottom w:val="nil"/>
              <w:right w:val="nil"/>
            </w:tcBorders>
            <w:shd w:val="clear" w:color="auto" w:fill="auto"/>
            <w:noWrap/>
            <w:vAlign w:val="bottom"/>
            <w:hideMark/>
          </w:tcPr>
          <w:p w14:paraId="667F17C8"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Interest Coverage</w:t>
            </w:r>
          </w:p>
        </w:tc>
        <w:tc>
          <w:tcPr>
            <w:tcW w:w="1304" w:type="dxa"/>
            <w:tcBorders>
              <w:top w:val="nil"/>
              <w:left w:val="nil"/>
              <w:bottom w:val="nil"/>
              <w:right w:val="nil"/>
            </w:tcBorders>
            <w:shd w:val="clear" w:color="auto" w:fill="auto"/>
            <w:noWrap/>
            <w:vAlign w:val="center"/>
            <w:hideMark/>
          </w:tcPr>
          <w:p w14:paraId="34C03464" w14:textId="77777777" w:rsidR="00123BB5" w:rsidRPr="00586B0C" w:rsidRDefault="00123BB5" w:rsidP="008C0B0C">
            <w:pPr>
              <w:jc w:val="right"/>
              <w:rPr>
                <w:rFonts w:ascii="Arial" w:hAnsi="Arial"/>
                <w:color w:val="000000"/>
                <w:lang w:val="en-GB"/>
              </w:rPr>
            </w:pPr>
            <w:r w:rsidRPr="00586B0C">
              <w:rPr>
                <w:rFonts w:ascii="Arial" w:hAnsi="Arial"/>
                <w:color w:val="000000"/>
                <w:lang w:val="en-GB"/>
              </w:rPr>
              <w:t>N/A</w:t>
            </w:r>
          </w:p>
        </w:tc>
        <w:tc>
          <w:tcPr>
            <w:tcW w:w="1350" w:type="dxa"/>
            <w:tcBorders>
              <w:top w:val="nil"/>
              <w:left w:val="nil"/>
              <w:bottom w:val="nil"/>
              <w:right w:val="nil"/>
            </w:tcBorders>
            <w:shd w:val="clear" w:color="auto" w:fill="auto"/>
            <w:noWrap/>
            <w:vAlign w:val="center"/>
            <w:hideMark/>
          </w:tcPr>
          <w:p w14:paraId="4CA6A6E9" w14:textId="77777777" w:rsidR="00123BB5" w:rsidRPr="00586B0C" w:rsidRDefault="00123BB5" w:rsidP="008C0B0C">
            <w:pPr>
              <w:jc w:val="right"/>
              <w:rPr>
                <w:rFonts w:ascii="Arial" w:hAnsi="Arial"/>
                <w:color w:val="000000"/>
                <w:lang w:val="en-GB"/>
              </w:rPr>
            </w:pPr>
            <w:r w:rsidRPr="00586B0C">
              <w:rPr>
                <w:rFonts w:ascii="Arial" w:hAnsi="Arial"/>
                <w:color w:val="000000"/>
                <w:lang w:val="en-GB"/>
              </w:rPr>
              <w:t>N/A</w:t>
            </w:r>
          </w:p>
        </w:tc>
      </w:tr>
      <w:tr w:rsidR="00123BB5" w:rsidRPr="006D678A" w14:paraId="0BE03EC1" w14:textId="77777777" w:rsidTr="00260B90">
        <w:trPr>
          <w:trHeight w:val="293"/>
          <w:tblHeader/>
          <w:jc w:val="center"/>
        </w:trPr>
        <w:tc>
          <w:tcPr>
            <w:tcW w:w="1933" w:type="dxa"/>
            <w:gridSpan w:val="3"/>
            <w:tcBorders>
              <w:top w:val="nil"/>
              <w:left w:val="nil"/>
              <w:bottom w:val="nil"/>
              <w:right w:val="nil"/>
            </w:tcBorders>
            <w:shd w:val="clear" w:color="auto" w:fill="auto"/>
            <w:noWrap/>
            <w:vAlign w:val="bottom"/>
            <w:hideMark/>
          </w:tcPr>
          <w:p w14:paraId="249329BD" w14:textId="77777777" w:rsidR="00123BB5" w:rsidRPr="00586B0C" w:rsidRDefault="00123BB5" w:rsidP="00533403">
            <w:pPr>
              <w:jc w:val="both"/>
              <w:rPr>
                <w:rFonts w:ascii="Arial" w:hAnsi="Arial"/>
                <w:color w:val="000000"/>
                <w:lang w:val="en-GB"/>
              </w:rPr>
            </w:pPr>
          </w:p>
        </w:tc>
        <w:tc>
          <w:tcPr>
            <w:tcW w:w="2253" w:type="dxa"/>
            <w:tcBorders>
              <w:top w:val="nil"/>
              <w:left w:val="nil"/>
              <w:bottom w:val="nil"/>
              <w:right w:val="nil"/>
            </w:tcBorders>
            <w:shd w:val="clear" w:color="auto" w:fill="auto"/>
            <w:noWrap/>
            <w:vAlign w:val="bottom"/>
            <w:hideMark/>
          </w:tcPr>
          <w:p w14:paraId="3CB4F254" w14:textId="77777777" w:rsidR="00123BB5" w:rsidRPr="00586B0C" w:rsidRDefault="00123BB5" w:rsidP="00533403">
            <w:pPr>
              <w:jc w:val="both"/>
              <w:rPr>
                <w:rFonts w:ascii="Arial" w:hAnsi="Arial"/>
                <w:lang w:val="en-GB"/>
              </w:rPr>
            </w:pPr>
          </w:p>
        </w:tc>
        <w:tc>
          <w:tcPr>
            <w:tcW w:w="1304" w:type="dxa"/>
            <w:tcBorders>
              <w:top w:val="nil"/>
              <w:left w:val="nil"/>
              <w:bottom w:val="nil"/>
              <w:right w:val="nil"/>
            </w:tcBorders>
            <w:shd w:val="clear" w:color="auto" w:fill="auto"/>
            <w:noWrap/>
            <w:vAlign w:val="bottom"/>
            <w:hideMark/>
          </w:tcPr>
          <w:p w14:paraId="04C162FA" w14:textId="77777777" w:rsidR="00123BB5" w:rsidRPr="00586B0C" w:rsidRDefault="00123BB5" w:rsidP="00533403">
            <w:pPr>
              <w:jc w:val="center"/>
              <w:rPr>
                <w:rFonts w:ascii="Arial" w:hAnsi="Arial"/>
                <w:lang w:val="en-GB"/>
              </w:rPr>
            </w:pPr>
          </w:p>
        </w:tc>
        <w:tc>
          <w:tcPr>
            <w:tcW w:w="1350" w:type="dxa"/>
            <w:tcBorders>
              <w:top w:val="nil"/>
              <w:left w:val="nil"/>
              <w:bottom w:val="nil"/>
              <w:right w:val="nil"/>
            </w:tcBorders>
            <w:shd w:val="clear" w:color="auto" w:fill="auto"/>
            <w:noWrap/>
            <w:vAlign w:val="bottom"/>
            <w:hideMark/>
          </w:tcPr>
          <w:p w14:paraId="09FEB7DD" w14:textId="77777777" w:rsidR="00123BB5" w:rsidRPr="00586B0C" w:rsidRDefault="00123BB5" w:rsidP="00533403">
            <w:pPr>
              <w:jc w:val="center"/>
              <w:rPr>
                <w:rFonts w:ascii="Arial" w:hAnsi="Arial"/>
                <w:lang w:val="en-GB"/>
              </w:rPr>
            </w:pPr>
          </w:p>
        </w:tc>
      </w:tr>
      <w:tr w:rsidR="00123BB5" w:rsidRPr="006D678A" w14:paraId="4D817D7E" w14:textId="77777777" w:rsidTr="00260B90">
        <w:trPr>
          <w:trHeight w:val="293"/>
          <w:tblHeader/>
          <w:jc w:val="center"/>
        </w:trPr>
        <w:tc>
          <w:tcPr>
            <w:tcW w:w="4186" w:type="dxa"/>
            <w:gridSpan w:val="4"/>
            <w:tcBorders>
              <w:top w:val="nil"/>
              <w:left w:val="nil"/>
              <w:bottom w:val="nil"/>
              <w:right w:val="nil"/>
            </w:tcBorders>
            <w:shd w:val="clear" w:color="auto" w:fill="auto"/>
            <w:noWrap/>
            <w:vAlign w:val="bottom"/>
            <w:hideMark/>
          </w:tcPr>
          <w:p w14:paraId="34D41EB2" w14:textId="77777777" w:rsidR="00123BB5" w:rsidRPr="00586B0C" w:rsidRDefault="00123BB5" w:rsidP="00533403">
            <w:pPr>
              <w:jc w:val="both"/>
              <w:rPr>
                <w:rFonts w:ascii="Arial" w:hAnsi="Arial"/>
                <w:b/>
                <w:color w:val="000000"/>
                <w:u w:val="single"/>
                <w:lang w:val="en-GB"/>
              </w:rPr>
            </w:pPr>
            <w:r w:rsidRPr="00586B0C">
              <w:rPr>
                <w:rFonts w:ascii="Arial" w:hAnsi="Arial"/>
                <w:b/>
                <w:color w:val="000000"/>
                <w:u w:val="single"/>
                <w:lang w:val="en-GB"/>
              </w:rPr>
              <w:t>Growth</w:t>
            </w:r>
          </w:p>
        </w:tc>
        <w:tc>
          <w:tcPr>
            <w:tcW w:w="2654" w:type="dxa"/>
            <w:gridSpan w:val="2"/>
            <w:tcBorders>
              <w:top w:val="nil"/>
              <w:left w:val="nil"/>
              <w:bottom w:val="nil"/>
              <w:right w:val="nil"/>
            </w:tcBorders>
            <w:shd w:val="clear" w:color="auto" w:fill="auto"/>
            <w:noWrap/>
            <w:vAlign w:val="bottom"/>
            <w:hideMark/>
          </w:tcPr>
          <w:p w14:paraId="48AA6F6D" w14:textId="04C367F6" w:rsidR="00123BB5" w:rsidRPr="00586B0C" w:rsidRDefault="00123BB5" w:rsidP="00533403">
            <w:pPr>
              <w:jc w:val="center"/>
              <w:rPr>
                <w:rFonts w:ascii="Arial" w:hAnsi="Arial"/>
                <w:b/>
                <w:color w:val="000000"/>
                <w:u w:val="single"/>
                <w:lang w:val="en-GB"/>
              </w:rPr>
            </w:pPr>
            <w:r w:rsidRPr="00586B0C">
              <w:rPr>
                <w:rFonts w:ascii="Arial" w:hAnsi="Arial"/>
                <w:b/>
                <w:color w:val="000000"/>
                <w:u w:val="single"/>
                <w:lang w:val="en-GB"/>
              </w:rPr>
              <w:t>2018</w:t>
            </w:r>
            <w:r w:rsidR="00385B7D">
              <w:rPr>
                <w:rFonts w:ascii="Arial" w:hAnsi="Arial"/>
                <w:b/>
                <w:color w:val="000000"/>
                <w:u w:val="single"/>
                <w:lang w:val="en-GB"/>
              </w:rPr>
              <w:t>–</w:t>
            </w:r>
            <w:r w:rsidRPr="00586B0C">
              <w:rPr>
                <w:rFonts w:ascii="Arial" w:hAnsi="Arial"/>
                <w:b/>
                <w:color w:val="000000"/>
                <w:u w:val="single"/>
                <w:lang w:val="en-GB"/>
              </w:rPr>
              <w:t>2019</w:t>
            </w:r>
          </w:p>
        </w:tc>
      </w:tr>
      <w:tr w:rsidR="00123BB5" w:rsidRPr="006D678A" w14:paraId="703F9A7A" w14:textId="77777777" w:rsidTr="00260B90">
        <w:trPr>
          <w:trHeight w:val="293"/>
          <w:tblHeader/>
          <w:jc w:val="center"/>
        </w:trPr>
        <w:tc>
          <w:tcPr>
            <w:tcW w:w="4186" w:type="dxa"/>
            <w:gridSpan w:val="4"/>
            <w:tcBorders>
              <w:top w:val="nil"/>
              <w:left w:val="nil"/>
              <w:bottom w:val="nil"/>
              <w:right w:val="nil"/>
            </w:tcBorders>
            <w:shd w:val="clear" w:color="auto" w:fill="auto"/>
            <w:noWrap/>
            <w:vAlign w:val="bottom"/>
            <w:hideMark/>
          </w:tcPr>
          <w:p w14:paraId="7BB81CE4"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Revenue</w:t>
            </w:r>
          </w:p>
        </w:tc>
        <w:tc>
          <w:tcPr>
            <w:tcW w:w="2654" w:type="dxa"/>
            <w:gridSpan w:val="2"/>
            <w:tcBorders>
              <w:top w:val="nil"/>
              <w:left w:val="nil"/>
              <w:bottom w:val="nil"/>
              <w:right w:val="nil"/>
            </w:tcBorders>
            <w:shd w:val="clear" w:color="auto" w:fill="auto"/>
            <w:noWrap/>
            <w:vAlign w:val="center"/>
            <w:hideMark/>
          </w:tcPr>
          <w:p w14:paraId="61395A07" w14:textId="77777777" w:rsidR="00123BB5" w:rsidRPr="00586B0C" w:rsidRDefault="00123BB5" w:rsidP="008C0B0C">
            <w:pPr>
              <w:jc w:val="center"/>
              <w:rPr>
                <w:rFonts w:ascii="Arial" w:hAnsi="Arial"/>
                <w:color w:val="000000"/>
                <w:lang w:val="en-GB"/>
              </w:rPr>
            </w:pPr>
            <w:r w:rsidRPr="00586B0C">
              <w:rPr>
                <w:rFonts w:ascii="Arial" w:hAnsi="Arial"/>
                <w:color w:val="000000"/>
                <w:lang w:val="en-GB"/>
              </w:rPr>
              <w:t>15%</w:t>
            </w:r>
          </w:p>
        </w:tc>
      </w:tr>
      <w:tr w:rsidR="00123BB5" w:rsidRPr="006D678A" w14:paraId="5DF386D1" w14:textId="77777777" w:rsidTr="00260B90">
        <w:trPr>
          <w:trHeight w:val="293"/>
          <w:tblHeader/>
          <w:jc w:val="center"/>
        </w:trPr>
        <w:tc>
          <w:tcPr>
            <w:tcW w:w="1933" w:type="dxa"/>
            <w:gridSpan w:val="3"/>
            <w:tcBorders>
              <w:top w:val="nil"/>
              <w:left w:val="nil"/>
              <w:bottom w:val="nil"/>
              <w:right w:val="nil"/>
            </w:tcBorders>
            <w:shd w:val="clear" w:color="auto" w:fill="auto"/>
            <w:noWrap/>
            <w:vAlign w:val="bottom"/>
            <w:hideMark/>
          </w:tcPr>
          <w:p w14:paraId="531635A7"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Profit</w:t>
            </w:r>
          </w:p>
        </w:tc>
        <w:tc>
          <w:tcPr>
            <w:tcW w:w="2253" w:type="dxa"/>
            <w:tcBorders>
              <w:top w:val="nil"/>
              <w:left w:val="nil"/>
              <w:bottom w:val="nil"/>
              <w:right w:val="nil"/>
            </w:tcBorders>
            <w:shd w:val="clear" w:color="auto" w:fill="auto"/>
            <w:noWrap/>
            <w:vAlign w:val="bottom"/>
            <w:hideMark/>
          </w:tcPr>
          <w:p w14:paraId="161520E9" w14:textId="77777777" w:rsidR="00123BB5" w:rsidRPr="00586B0C" w:rsidRDefault="00123BB5" w:rsidP="00533403">
            <w:pPr>
              <w:jc w:val="both"/>
              <w:rPr>
                <w:rFonts w:ascii="Arial" w:hAnsi="Arial"/>
                <w:color w:val="000000"/>
                <w:lang w:val="en-GB"/>
              </w:rPr>
            </w:pPr>
          </w:p>
        </w:tc>
        <w:tc>
          <w:tcPr>
            <w:tcW w:w="2654" w:type="dxa"/>
            <w:gridSpan w:val="2"/>
            <w:tcBorders>
              <w:top w:val="nil"/>
              <w:left w:val="nil"/>
              <w:bottom w:val="nil"/>
              <w:right w:val="nil"/>
            </w:tcBorders>
            <w:shd w:val="clear" w:color="auto" w:fill="auto"/>
            <w:noWrap/>
            <w:vAlign w:val="center"/>
            <w:hideMark/>
          </w:tcPr>
          <w:p w14:paraId="439C4AEF" w14:textId="77777777" w:rsidR="00123BB5" w:rsidRPr="00586B0C" w:rsidRDefault="00123BB5" w:rsidP="008C0B0C">
            <w:pPr>
              <w:jc w:val="center"/>
              <w:rPr>
                <w:rFonts w:ascii="Arial" w:hAnsi="Arial"/>
                <w:color w:val="000000"/>
                <w:lang w:val="en-GB"/>
              </w:rPr>
            </w:pPr>
            <w:r w:rsidRPr="00586B0C">
              <w:rPr>
                <w:rFonts w:ascii="Arial" w:hAnsi="Arial"/>
                <w:color w:val="000000"/>
                <w:lang w:val="en-GB"/>
              </w:rPr>
              <w:t>16%</w:t>
            </w:r>
          </w:p>
        </w:tc>
      </w:tr>
      <w:tr w:rsidR="00123BB5" w:rsidRPr="006D678A" w14:paraId="2700ECB5" w14:textId="77777777" w:rsidTr="00260B90">
        <w:trPr>
          <w:trHeight w:val="293"/>
          <w:tblHeader/>
          <w:jc w:val="center"/>
        </w:trPr>
        <w:tc>
          <w:tcPr>
            <w:tcW w:w="1933" w:type="dxa"/>
            <w:gridSpan w:val="3"/>
            <w:tcBorders>
              <w:top w:val="nil"/>
              <w:left w:val="nil"/>
              <w:bottom w:val="nil"/>
              <w:right w:val="nil"/>
            </w:tcBorders>
            <w:shd w:val="clear" w:color="auto" w:fill="auto"/>
            <w:noWrap/>
            <w:vAlign w:val="bottom"/>
            <w:hideMark/>
          </w:tcPr>
          <w:p w14:paraId="6287F184"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Equity</w:t>
            </w:r>
          </w:p>
        </w:tc>
        <w:tc>
          <w:tcPr>
            <w:tcW w:w="2253" w:type="dxa"/>
            <w:tcBorders>
              <w:top w:val="nil"/>
              <w:left w:val="nil"/>
              <w:bottom w:val="nil"/>
              <w:right w:val="nil"/>
            </w:tcBorders>
            <w:shd w:val="clear" w:color="auto" w:fill="auto"/>
            <w:noWrap/>
            <w:vAlign w:val="bottom"/>
            <w:hideMark/>
          </w:tcPr>
          <w:p w14:paraId="14493CE2" w14:textId="77777777" w:rsidR="00123BB5" w:rsidRPr="00586B0C" w:rsidRDefault="00123BB5" w:rsidP="00533403">
            <w:pPr>
              <w:jc w:val="both"/>
              <w:rPr>
                <w:rFonts w:ascii="Arial" w:hAnsi="Arial"/>
                <w:color w:val="000000"/>
                <w:lang w:val="en-GB"/>
              </w:rPr>
            </w:pPr>
          </w:p>
        </w:tc>
        <w:tc>
          <w:tcPr>
            <w:tcW w:w="2654" w:type="dxa"/>
            <w:gridSpan w:val="2"/>
            <w:tcBorders>
              <w:top w:val="nil"/>
              <w:left w:val="nil"/>
              <w:bottom w:val="nil"/>
              <w:right w:val="nil"/>
            </w:tcBorders>
            <w:shd w:val="clear" w:color="auto" w:fill="auto"/>
            <w:noWrap/>
            <w:vAlign w:val="center"/>
            <w:hideMark/>
          </w:tcPr>
          <w:p w14:paraId="58B15B1A" w14:textId="77777777" w:rsidR="00123BB5" w:rsidRPr="00586B0C" w:rsidRDefault="00123BB5" w:rsidP="008C0B0C">
            <w:pPr>
              <w:jc w:val="center"/>
              <w:rPr>
                <w:rFonts w:ascii="Arial" w:hAnsi="Arial"/>
                <w:color w:val="000000"/>
                <w:lang w:val="en-GB"/>
              </w:rPr>
            </w:pPr>
            <w:r w:rsidRPr="00586B0C">
              <w:rPr>
                <w:rFonts w:ascii="Arial" w:hAnsi="Arial"/>
                <w:color w:val="000000"/>
                <w:lang w:val="en-GB"/>
              </w:rPr>
              <w:t>5%</w:t>
            </w:r>
          </w:p>
        </w:tc>
      </w:tr>
      <w:tr w:rsidR="00123BB5" w:rsidRPr="006D678A" w14:paraId="13B1A71C" w14:textId="77777777" w:rsidTr="00260B90">
        <w:trPr>
          <w:trHeight w:val="293"/>
          <w:tblHeader/>
          <w:jc w:val="center"/>
        </w:trPr>
        <w:tc>
          <w:tcPr>
            <w:tcW w:w="1933" w:type="dxa"/>
            <w:gridSpan w:val="3"/>
            <w:tcBorders>
              <w:top w:val="nil"/>
              <w:left w:val="nil"/>
              <w:bottom w:val="nil"/>
              <w:right w:val="nil"/>
            </w:tcBorders>
            <w:shd w:val="clear" w:color="auto" w:fill="auto"/>
            <w:noWrap/>
            <w:vAlign w:val="bottom"/>
            <w:hideMark/>
          </w:tcPr>
          <w:p w14:paraId="6985A3AF" w14:textId="77777777" w:rsidR="00123BB5" w:rsidRPr="00586B0C" w:rsidRDefault="00123BB5" w:rsidP="00533403">
            <w:pPr>
              <w:jc w:val="both"/>
              <w:rPr>
                <w:rFonts w:ascii="Arial" w:hAnsi="Arial"/>
                <w:color w:val="000000"/>
                <w:lang w:val="en-GB"/>
              </w:rPr>
            </w:pPr>
            <w:r w:rsidRPr="00586B0C">
              <w:rPr>
                <w:rFonts w:ascii="Arial" w:hAnsi="Arial"/>
                <w:color w:val="000000"/>
                <w:lang w:val="en-GB"/>
              </w:rPr>
              <w:t>Assets</w:t>
            </w:r>
          </w:p>
        </w:tc>
        <w:tc>
          <w:tcPr>
            <w:tcW w:w="2253" w:type="dxa"/>
            <w:tcBorders>
              <w:top w:val="nil"/>
              <w:left w:val="nil"/>
              <w:bottom w:val="nil"/>
              <w:right w:val="nil"/>
            </w:tcBorders>
            <w:shd w:val="clear" w:color="auto" w:fill="auto"/>
            <w:noWrap/>
            <w:vAlign w:val="bottom"/>
            <w:hideMark/>
          </w:tcPr>
          <w:p w14:paraId="46E558CD" w14:textId="77777777" w:rsidR="00123BB5" w:rsidRPr="00586B0C" w:rsidRDefault="00123BB5" w:rsidP="00533403">
            <w:pPr>
              <w:jc w:val="both"/>
              <w:rPr>
                <w:rFonts w:ascii="Arial" w:hAnsi="Arial"/>
                <w:color w:val="000000"/>
                <w:lang w:val="en-GB"/>
              </w:rPr>
            </w:pPr>
          </w:p>
        </w:tc>
        <w:tc>
          <w:tcPr>
            <w:tcW w:w="2654" w:type="dxa"/>
            <w:gridSpan w:val="2"/>
            <w:tcBorders>
              <w:top w:val="nil"/>
              <w:left w:val="nil"/>
              <w:bottom w:val="nil"/>
              <w:right w:val="nil"/>
            </w:tcBorders>
            <w:shd w:val="clear" w:color="auto" w:fill="auto"/>
            <w:noWrap/>
            <w:vAlign w:val="center"/>
            <w:hideMark/>
          </w:tcPr>
          <w:p w14:paraId="678C7D59" w14:textId="77777777" w:rsidR="00123BB5" w:rsidRPr="00586B0C" w:rsidRDefault="00123BB5" w:rsidP="008C0B0C">
            <w:pPr>
              <w:jc w:val="center"/>
              <w:rPr>
                <w:rFonts w:ascii="Arial" w:hAnsi="Arial"/>
                <w:color w:val="000000"/>
                <w:lang w:val="en-GB"/>
              </w:rPr>
            </w:pPr>
            <w:r w:rsidRPr="00586B0C">
              <w:rPr>
                <w:rFonts w:ascii="Arial" w:hAnsi="Arial"/>
                <w:color w:val="000000"/>
                <w:lang w:val="en-GB"/>
              </w:rPr>
              <w:t>7%</w:t>
            </w:r>
          </w:p>
        </w:tc>
      </w:tr>
    </w:tbl>
    <w:p w14:paraId="2164A69B" w14:textId="77777777" w:rsidR="00123BB5" w:rsidRPr="006D678A" w:rsidRDefault="00123BB5" w:rsidP="00123BB5">
      <w:pPr>
        <w:jc w:val="both"/>
        <w:outlineLvl w:val="0"/>
        <w:rPr>
          <w:sz w:val="22"/>
          <w:szCs w:val="22"/>
          <w:lang w:val="en-GB"/>
        </w:rPr>
      </w:pPr>
    </w:p>
    <w:p w14:paraId="2D583C16" w14:textId="77777777" w:rsidR="00123BB5" w:rsidRPr="006D678A" w:rsidRDefault="00123BB5" w:rsidP="00123BB5">
      <w:pPr>
        <w:pStyle w:val="Footnote"/>
        <w:rPr>
          <w:sz w:val="22"/>
          <w:szCs w:val="22"/>
          <w:lang w:val="en-GB"/>
        </w:rPr>
      </w:pPr>
      <w:r w:rsidRPr="00586B0C">
        <w:rPr>
          <w:lang w:val="en-GB"/>
        </w:rPr>
        <w:t>Source: Company files.</w:t>
      </w:r>
    </w:p>
    <w:p w14:paraId="1064257C" w14:textId="77777777" w:rsidR="00DB7D99" w:rsidRPr="007A1915" w:rsidRDefault="00DB7D99" w:rsidP="00DB7D99">
      <w:pPr>
        <w:pStyle w:val="BodyTextMain"/>
        <w:rPr>
          <w:lang w:val="en-GB"/>
        </w:rPr>
      </w:pPr>
    </w:p>
    <w:sectPr w:rsidR="00DB7D99" w:rsidRPr="007A1915" w:rsidSect="00751E0B">
      <w:headerReference w:type="default" r:id="rId10"/>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8CCA6" w16cex:dateUtc="2021-02-18T16:23:00Z"/>
  <w16cex:commentExtensible w16cex:durableId="23D8DAF0" w16cex:dateUtc="2021-02-18T17:24:00Z"/>
  <w16cex:commentExtensible w16cex:durableId="23D8E572" w16cex:dateUtc="2021-02-18T18:09:00Z"/>
  <w16cex:commentExtensible w16cex:durableId="23D8E94B" w16cex:dateUtc="2021-02-18T18: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4E060" w14:textId="77777777" w:rsidR="00BD71ED" w:rsidRDefault="00BD71ED" w:rsidP="00D75295">
      <w:r>
        <w:separator/>
      </w:r>
    </w:p>
  </w:endnote>
  <w:endnote w:type="continuationSeparator" w:id="0">
    <w:p w14:paraId="085ECB01" w14:textId="77777777" w:rsidR="00BD71ED" w:rsidRDefault="00BD71ED" w:rsidP="00D75295">
      <w:r>
        <w:continuationSeparator/>
      </w:r>
    </w:p>
  </w:endnote>
  <w:endnote w:type="continuationNotice" w:id="1">
    <w:p w14:paraId="5BECAFAC" w14:textId="77777777" w:rsidR="00BD71ED" w:rsidRDefault="00BD71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93930" w14:textId="77777777" w:rsidR="00BD71ED" w:rsidRDefault="00BD71ED" w:rsidP="00D75295">
      <w:r>
        <w:separator/>
      </w:r>
    </w:p>
  </w:footnote>
  <w:footnote w:type="continuationSeparator" w:id="0">
    <w:p w14:paraId="3BD7ACAC" w14:textId="77777777" w:rsidR="00BD71ED" w:rsidRDefault="00BD71ED" w:rsidP="00D75295">
      <w:r>
        <w:continuationSeparator/>
      </w:r>
    </w:p>
  </w:footnote>
  <w:footnote w:type="continuationNotice" w:id="1">
    <w:p w14:paraId="3C61C2C7" w14:textId="77777777" w:rsidR="00BD71ED" w:rsidRDefault="00BD71ED"/>
  </w:footnote>
  <w:footnote w:id="2">
    <w:p w14:paraId="0B407E97" w14:textId="11387C1C" w:rsidR="00BD71ED" w:rsidRPr="00586B0C" w:rsidRDefault="00BD71ED" w:rsidP="00DB7D99">
      <w:pPr>
        <w:pStyle w:val="Footnote"/>
        <w:rPr>
          <w:lang w:val="en-GB"/>
        </w:rPr>
      </w:pPr>
      <w:r w:rsidRPr="00586B0C">
        <w:rPr>
          <w:rStyle w:val="FootnoteReference"/>
          <w:lang w:val="en-GB"/>
        </w:rPr>
        <w:footnoteRef/>
      </w:r>
      <w:r w:rsidRPr="00586B0C">
        <w:rPr>
          <w:shd w:val="clear" w:color="auto" w:fill="FFFFFF"/>
          <w:lang w:val="en-GB"/>
        </w:rPr>
        <w:t xml:space="preserve"> </w:t>
      </w:r>
      <w:proofErr w:type="spellStart"/>
      <w:r w:rsidRPr="00586B0C">
        <w:rPr>
          <w:shd w:val="clear" w:color="auto" w:fill="FFFFFF"/>
          <w:lang w:val="en-GB"/>
        </w:rPr>
        <w:t>Vividata</w:t>
      </w:r>
      <w:proofErr w:type="spellEnd"/>
      <w:r>
        <w:rPr>
          <w:shd w:val="clear" w:color="auto" w:fill="FFFFFF"/>
          <w:lang w:val="en-GB"/>
        </w:rPr>
        <w:t xml:space="preserve"> (website), accessed July 11, 2020, </w:t>
      </w:r>
      <w:r w:rsidRPr="00586B0C">
        <w:rPr>
          <w:shd w:val="clear" w:color="auto" w:fill="FFFFFF"/>
          <w:lang w:val="en-GB"/>
        </w:rPr>
        <w:t>https://vividata.ca</w:t>
      </w:r>
      <w:r>
        <w:rPr>
          <w:shd w:val="clear" w:color="auto" w:fill="FFFFFF"/>
          <w:lang w:val="en-GB"/>
        </w:rPr>
        <w:t>.</w:t>
      </w:r>
      <w:r w:rsidRPr="00586B0C">
        <w:rPr>
          <w:shd w:val="clear" w:color="auto" w:fill="FFFFFF"/>
          <w:lang w:val="en-GB"/>
        </w:rPr>
        <w:t xml:space="preserve"> </w:t>
      </w:r>
    </w:p>
  </w:footnote>
  <w:footnote w:id="3">
    <w:p w14:paraId="444529EB" w14:textId="7026F9BB" w:rsidR="00BD71ED" w:rsidRPr="00586B0C" w:rsidRDefault="00BD71ED" w:rsidP="00DB7D99">
      <w:pPr>
        <w:pStyle w:val="Footnote"/>
        <w:rPr>
          <w:color w:val="637279"/>
          <w:lang w:val="en-GB"/>
        </w:rPr>
      </w:pPr>
      <w:r w:rsidRPr="00586B0C">
        <w:rPr>
          <w:rStyle w:val="FootnoteReference"/>
          <w:lang w:val="en-GB"/>
        </w:rPr>
        <w:footnoteRef/>
      </w:r>
      <w:r w:rsidRPr="00586B0C">
        <w:rPr>
          <w:lang w:val="en-GB"/>
        </w:rPr>
        <w:t xml:space="preserve"> </w:t>
      </w:r>
      <w:r>
        <w:rPr>
          <w:lang w:val="en-GB"/>
        </w:rPr>
        <w:t>“</w:t>
      </w:r>
      <w:r w:rsidRPr="002A516B">
        <w:rPr>
          <w:lang w:val="en-GB"/>
        </w:rPr>
        <w:t>Massive Competition in Pursuit of the $5.7 Billion Canadian Youth Sports Market</w:t>
      </w:r>
      <w:r>
        <w:rPr>
          <w:lang w:val="en-GB"/>
        </w:rPr>
        <w:t>,”</w:t>
      </w:r>
      <w:r w:rsidRPr="00586B0C">
        <w:rPr>
          <w:lang w:val="en-GB"/>
        </w:rPr>
        <w:t xml:space="preserve"> </w:t>
      </w:r>
      <w:r w:rsidRPr="005E10D0">
        <w:rPr>
          <w:lang w:val="en-GB"/>
        </w:rPr>
        <w:t>Solutions Research Group Consultants Inc.</w:t>
      </w:r>
      <w:r>
        <w:rPr>
          <w:lang w:val="en-GB"/>
        </w:rPr>
        <w:t xml:space="preserve">, </w:t>
      </w:r>
      <w:r w:rsidRPr="00586B0C">
        <w:rPr>
          <w:lang w:val="en-GB"/>
        </w:rPr>
        <w:t xml:space="preserve">June </w:t>
      </w:r>
      <w:r>
        <w:rPr>
          <w:lang w:val="en-GB"/>
        </w:rPr>
        <w:t>16</w:t>
      </w:r>
      <w:r w:rsidRPr="00586B0C">
        <w:rPr>
          <w:lang w:val="en-GB"/>
        </w:rPr>
        <w:t>, 201</w:t>
      </w:r>
      <w:r>
        <w:rPr>
          <w:lang w:val="en-GB"/>
        </w:rPr>
        <w:t>4, accessed July 20, 2020,</w:t>
      </w:r>
      <w:r w:rsidRPr="00586B0C">
        <w:rPr>
          <w:lang w:val="en-GB"/>
        </w:rPr>
        <w:t xml:space="preserve"> http://www.srgnet.com/2014/06/10/massive-competition-in-pursuit-of-the-5-7-billion-canadian-youth-sports-market/</w:t>
      </w:r>
      <w:r>
        <w:rPr>
          <w:lang w:val="en-GB"/>
        </w:rPr>
        <w:t>.</w:t>
      </w:r>
    </w:p>
  </w:footnote>
  <w:footnote w:id="4">
    <w:p w14:paraId="2C65E5A7" w14:textId="758CAF10" w:rsidR="00BD71ED" w:rsidRPr="00586B0C" w:rsidRDefault="00BD71ED" w:rsidP="00DB7D99">
      <w:pPr>
        <w:pStyle w:val="Footnote"/>
        <w:rPr>
          <w:lang w:val="en-GB"/>
        </w:rPr>
      </w:pPr>
      <w:r w:rsidRPr="00586B0C">
        <w:rPr>
          <w:rStyle w:val="FootnoteReference"/>
          <w:lang w:val="en-GB"/>
        </w:rPr>
        <w:footnoteRef/>
      </w:r>
      <w:r w:rsidRPr="00586B0C">
        <w:rPr>
          <w:lang w:val="en-GB"/>
        </w:rPr>
        <w:t xml:space="preserve"> </w:t>
      </w:r>
      <w:r w:rsidRPr="003444DE">
        <w:rPr>
          <w:lang w:val="en-GB"/>
        </w:rPr>
        <w:t>Joel Barnes</w:t>
      </w:r>
      <w:r>
        <w:rPr>
          <w:lang w:val="en-GB"/>
        </w:rPr>
        <w:t>,</w:t>
      </w:r>
      <w:r w:rsidRPr="003444DE">
        <w:rPr>
          <w:lang w:val="en-GB"/>
        </w:rPr>
        <w:t xml:space="preserve"> </w:t>
      </w:r>
      <w:r w:rsidRPr="00C76EBB">
        <w:rPr>
          <w:i/>
          <w:iCs/>
          <w:lang w:val="en-GB"/>
        </w:rPr>
        <w:t xml:space="preserve">2018 </w:t>
      </w:r>
      <w:proofErr w:type="spellStart"/>
      <w:r w:rsidRPr="00C76EBB">
        <w:rPr>
          <w:i/>
          <w:iCs/>
          <w:lang w:val="en-GB"/>
        </w:rPr>
        <w:t>ParticipACTION</w:t>
      </w:r>
      <w:proofErr w:type="spellEnd"/>
      <w:r w:rsidRPr="00C76EBB">
        <w:rPr>
          <w:i/>
          <w:iCs/>
          <w:lang w:val="en-GB"/>
        </w:rPr>
        <w:t xml:space="preserve"> Report Card on Physical Activity for Children and Youth</w:t>
      </w:r>
      <w:r>
        <w:rPr>
          <w:lang w:val="en-GB"/>
        </w:rPr>
        <w:t>,</w:t>
      </w:r>
      <w:r w:rsidRPr="003444DE" w:rsidDel="003444DE">
        <w:rPr>
          <w:lang w:val="en-GB"/>
        </w:rPr>
        <w:t xml:space="preserve"> </w:t>
      </w:r>
      <w:r>
        <w:rPr>
          <w:lang w:val="en-GB"/>
        </w:rPr>
        <w:t xml:space="preserve">June 19, 2018, </w:t>
      </w:r>
      <w:r w:rsidRPr="00586B0C">
        <w:rPr>
          <w:lang w:val="en-GB"/>
        </w:rPr>
        <w:t>accessed July 19,</w:t>
      </w:r>
      <w:r>
        <w:rPr>
          <w:lang w:val="en-GB"/>
        </w:rPr>
        <w:t> </w:t>
      </w:r>
      <w:r w:rsidRPr="00586B0C">
        <w:rPr>
          <w:lang w:val="en-GB"/>
        </w:rPr>
        <w:t>2020</w:t>
      </w:r>
      <w:r>
        <w:rPr>
          <w:lang w:val="en-GB"/>
        </w:rPr>
        <w:t>, </w:t>
      </w:r>
      <w:r w:rsidRPr="00BD71ED">
        <w:rPr>
          <w:lang w:val="en-GB"/>
        </w:rPr>
        <w:t>https://participaction.cdn.prismic.io/participaction%2F38570bed-b325-4fc8-8855-</w:t>
      </w:r>
      <w:r w:rsidRPr="00EE7250">
        <w:rPr>
          <w:lang w:val="en-GB"/>
        </w:rPr>
        <w:t>f15c9aebac12_2018_</w:t>
      </w:r>
      <w:r>
        <w:rPr>
          <w:lang w:val="en-GB"/>
        </w:rPr>
        <w:t xml:space="preserve">participatio </w:t>
      </w:r>
      <w:r w:rsidRPr="00EE7250">
        <w:rPr>
          <w:lang w:val="en-GB"/>
        </w:rPr>
        <w:t>n_report_card_-_full_report_0.pdf</w:t>
      </w:r>
      <w:r>
        <w:rPr>
          <w:lang w:val="en-GB"/>
        </w:rPr>
        <w:t>.</w:t>
      </w:r>
    </w:p>
  </w:footnote>
  <w:footnote w:id="5">
    <w:p w14:paraId="5C2803DE" w14:textId="63F39430" w:rsidR="00BD71ED" w:rsidRPr="00586B0C" w:rsidRDefault="00BD71ED" w:rsidP="00DB7D99">
      <w:pPr>
        <w:pStyle w:val="Footnote"/>
        <w:rPr>
          <w:lang w:val="en-GB"/>
        </w:rPr>
      </w:pPr>
      <w:r w:rsidRPr="00586B0C">
        <w:rPr>
          <w:rStyle w:val="FootnoteReference"/>
          <w:lang w:val="en-GB"/>
        </w:rPr>
        <w:footnoteRef/>
      </w:r>
      <w:r w:rsidRPr="00586B0C">
        <w:rPr>
          <w:lang w:val="en-GB"/>
        </w:rPr>
        <w:t xml:space="preserve"> </w:t>
      </w:r>
      <w:r>
        <w:rPr>
          <w:lang w:val="en-GB"/>
        </w:rPr>
        <w:t>Global Info Research</w:t>
      </w:r>
      <w:r w:rsidRPr="00586B0C">
        <w:rPr>
          <w:lang w:val="en-GB"/>
        </w:rPr>
        <w:t xml:space="preserve">, </w:t>
      </w:r>
      <w:r w:rsidRPr="00C76EBB">
        <w:rPr>
          <w:i/>
          <w:iCs/>
          <w:lang w:val="en-GB"/>
        </w:rPr>
        <w:t>Global Dancewear Market 2018 by Manufacturers, Regions, Type and Application, Forecast to 2023</w:t>
      </w:r>
      <w:r>
        <w:rPr>
          <w:lang w:val="en-GB"/>
        </w:rPr>
        <w:t>,</w:t>
      </w:r>
      <w:r w:rsidRPr="00586B0C">
        <w:rPr>
          <w:lang w:val="en-GB"/>
        </w:rPr>
        <w:t xml:space="preserve"> </w:t>
      </w:r>
      <w:proofErr w:type="spellStart"/>
      <w:r>
        <w:rPr>
          <w:lang w:val="en-GB"/>
        </w:rPr>
        <w:t>Orian</w:t>
      </w:r>
      <w:proofErr w:type="spellEnd"/>
      <w:r>
        <w:rPr>
          <w:lang w:val="en-GB"/>
        </w:rPr>
        <w:t xml:space="preserve"> Research, </w:t>
      </w:r>
      <w:r w:rsidRPr="00586B0C">
        <w:rPr>
          <w:lang w:val="en-GB"/>
        </w:rPr>
        <w:t xml:space="preserve">June 15, 2018, </w:t>
      </w:r>
      <w:r w:rsidRPr="00586B0C">
        <w:rPr>
          <w:rStyle w:val="Hyperlink"/>
          <w:color w:val="auto"/>
          <w:u w:val="none"/>
          <w:lang w:val="en-GB"/>
        </w:rPr>
        <w:t>accessed July 2, 2020</w:t>
      </w:r>
      <w:r>
        <w:rPr>
          <w:rStyle w:val="Hyperlink"/>
          <w:color w:val="auto"/>
          <w:u w:val="none"/>
          <w:lang w:val="en-GB"/>
        </w:rPr>
        <w:t xml:space="preserve">, </w:t>
      </w:r>
      <w:r w:rsidRPr="00586B0C">
        <w:rPr>
          <w:lang w:val="en-GB"/>
        </w:rPr>
        <w:t>https://www.orianresearch.com/report/global-dancewear-market-2018-by-manufacturers-regions-type-and-application-forecast-to-2023/549492</w:t>
      </w:r>
      <w:r>
        <w:rPr>
          <w:rStyle w:val="Hyperlink"/>
          <w:color w:val="auto"/>
          <w:u w:val="none"/>
          <w:lang w:val="en-GB"/>
        </w:rPr>
        <w:t>.</w:t>
      </w:r>
    </w:p>
  </w:footnote>
  <w:footnote w:id="6">
    <w:p w14:paraId="06295171" w14:textId="77777777" w:rsidR="00BD71ED" w:rsidRPr="00586B0C" w:rsidRDefault="00BD71ED" w:rsidP="00DB7D99">
      <w:pPr>
        <w:pStyle w:val="Footnote"/>
        <w:rPr>
          <w:lang w:val="en-GB"/>
        </w:rPr>
      </w:pPr>
      <w:r w:rsidRPr="00586B0C">
        <w:rPr>
          <w:rStyle w:val="FootnoteReference"/>
          <w:lang w:val="en-GB"/>
        </w:rPr>
        <w:footnoteRef/>
      </w:r>
      <w:r w:rsidRPr="00586B0C">
        <w:rPr>
          <w:lang w:val="en-GB"/>
        </w:rPr>
        <w:t xml:space="preserve"> A dance studio referred to the place where a dancer trained and took dance classes. </w:t>
      </w:r>
    </w:p>
  </w:footnote>
  <w:footnote w:id="7">
    <w:p w14:paraId="1E881E3D" w14:textId="47D15CFF" w:rsidR="00BD71ED" w:rsidRPr="00586B0C" w:rsidRDefault="00BD71ED" w:rsidP="00DB7D99">
      <w:pPr>
        <w:pStyle w:val="Footnote"/>
        <w:rPr>
          <w:lang w:val="en-GB"/>
        </w:rPr>
      </w:pPr>
      <w:r w:rsidRPr="00586B0C">
        <w:rPr>
          <w:rStyle w:val="FootnoteReference"/>
          <w:lang w:val="en-GB"/>
        </w:rPr>
        <w:footnoteRef/>
      </w:r>
      <w:r w:rsidRPr="00586B0C">
        <w:rPr>
          <w:lang w:val="en-GB"/>
        </w:rPr>
        <w:t xml:space="preserve"> All </w:t>
      </w:r>
      <w:r>
        <w:rPr>
          <w:lang w:val="en-GB"/>
        </w:rPr>
        <w:t>dollar amounts</w:t>
      </w:r>
      <w:r w:rsidRPr="00586B0C">
        <w:rPr>
          <w:lang w:val="en-GB"/>
        </w:rPr>
        <w:t xml:space="preserve"> are in Canadian dollars</w:t>
      </w:r>
      <w:r>
        <w:rPr>
          <w:lang w:val="en-GB"/>
        </w:rPr>
        <w:t>.</w:t>
      </w:r>
    </w:p>
  </w:footnote>
  <w:footnote w:id="8">
    <w:p w14:paraId="66FCCAD2" w14:textId="77777777" w:rsidR="00BD71ED" w:rsidRPr="00586B0C" w:rsidRDefault="00BD71ED" w:rsidP="00DB7D99">
      <w:pPr>
        <w:pStyle w:val="Footnote"/>
        <w:rPr>
          <w:lang w:val="en-GB"/>
        </w:rPr>
      </w:pPr>
      <w:r w:rsidRPr="00586B0C">
        <w:rPr>
          <w:rStyle w:val="FootnoteReference"/>
          <w:lang w:val="en-GB"/>
        </w:rPr>
        <w:footnoteRef/>
      </w:r>
      <w:r w:rsidRPr="00586B0C">
        <w:rPr>
          <w:lang w:val="en-GB"/>
        </w:rPr>
        <w:t xml:space="preserve"> A ballet barre was a handrail that helped dancers balance while training. The barre was very useful during the pointe shoe fitting process. </w:t>
      </w:r>
    </w:p>
  </w:footnote>
  <w:footnote w:id="9">
    <w:p w14:paraId="0AFDD121" w14:textId="4028B918" w:rsidR="00BD71ED" w:rsidRPr="00586B0C" w:rsidRDefault="00BD71ED" w:rsidP="00DB7D99">
      <w:pPr>
        <w:pStyle w:val="Footnote"/>
        <w:rPr>
          <w:lang w:val="en-GB"/>
        </w:rPr>
      </w:pPr>
      <w:r w:rsidRPr="00586B0C">
        <w:rPr>
          <w:rStyle w:val="FootnoteReference"/>
          <w:lang w:val="en-GB"/>
        </w:rPr>
        <w:footnoteRef/>
      </w:r>
      <w:r w:rsidRPr="00586B0C">
        <w:rPr>
          <w:lang w:val="en-GB"/>
        </w:rPr>
        <w:t xml:space="preserve"> Emma Bedford, </w:t>
      </w:r>
      <w:r w:rsidRPr="00C76EBB">
        <w:rPr>
          <w:i/>
          <w:iCs/>
          <w:lang w:val="en-GB"/>
        </w:rPr>
        <w:t>Back-to-School Items Most Likely to Be Purchased in Canada in 2019</w:t>
      </w:r>
      <w:r>
        <w:rPr>
          <w:iCs/>
          <w:lang w:val="en-GB"/>
        </w:rPr>
        <w:t>,</w:t>
      </w:r>
      <w:r w:rsidRPr="00C76EBB">
        <w:rPr>
          <w:i/>
          <w:iCs/>
          <w:lang w:val="en-GB"/>
        </w:rPr>
        <w:t xml:space="preserve"> </w:t>
      </w:r>
      <w:r w:rsidRPr="00586B0C">
        <w:rPr>
          <w:lang w:val="en-GB"/>
        </w:rPr>
        <w:t>Statista, October 21, 2019</w:t>
      </w:r>
      <w:r>
        <w:rPr>
          <w:lang w:val="en-GB"/>
        </w:rPr>
        <w:t xml:space="preserve">, accessed </w:t>
      </w:r>
      <w:r w:rsidR="00AA75C6" w:rsidRPr="006D5B20">
        <w:rPr>
          <w:rStyle w:val="Hyperlink"/>
          <w:color w:val="auto"/>
          <w:u w:val="none"/>
        </w:rPr>
        <w:t>ac</w:t>
      </w:r>
      <w:r w:rsidR="00AA75C6">
        <w:rPr>
          <w:rStyle w:val="Hyperlink"/>
          <w:color w:val="auto"/>
          <w:u w:val="none"/>
        </w:rPr>
        <w:t xml:space="preserve">cessed July 27, </w:t>
      </w:r>
      <w:r w:rsidR="00AA75C6" w:rsidRPr="006D5B20">
        <w:rPr>
          <w:rStyle w:val="Hyperlink"/>
          <w:color w:val="auto"/>
          <w:u w:val="none"/>
        </w:rPr>
        <w:t>2020</w:t>
      </w:r>
      <w:r w:rsidR="00AA75C6">
        <w:rPr>
          <w:rStyle w:val="Hyperlink"/>
          <w:color w:val="auto"/>
          <w:u w:val="none"/>
        </w:rPr>
        <w:t xml:space="preserve"> </w:t>
      </w:r>
      <w:r w:rsidR="00AA75C6" w:rsidRPr="006D5B20">
        <w:t>https://www-statista-com.proxy1.lib.uwo.ca/statistics/592916/popular-back-to-school-products-canada/</w:t>
      </w:r>
      <w:r w:rsidR="00504093">
        <w:rPr>
          <w:rStyle w:val="Hyperlink"/>
          <w:color w:val="auto"/>
          <w:u w:val="none"/>
        </w:rPr>
        <w:t>.</w:t>
      </w:r>
    </w:p>
  </w:footnote>
  <w:footnote w:id="10">
    <w:p w14:paraId="464C959C" w14:textId="72BF2BE4" w:rsidR="00BD71ED" w:rsidRPr="00586B0C" w:rsidRDefault="00BD71ED" w:rsidP="00DB7D99">
      <w:pPr>
        <w:pStyle w:val="Footnote"/>
        <w:rPr>
          <w:lang w:val="en-GB"/>
        </w:rPr>
      </w:pPr>
      <w:r w:rsidRPr="00586B0C">
        <w:rPr>
          <w:rStyle w:val="FootnoteReference"/>
          <w:lang w:val="en-GB"/>
        </w:rPr>
        <w:footnoteRef/>
      </w:r>
      <w:r w:rsidRPr="00586B0C">
        <w:rPr>
          <w:lang w:val="en-GB"/>
        </w:rPr>
        <w:t xml:space="preserve"> Pointe &amp; Pick</w:t>
      </w:r>
      <w:r>
        <w:rPr>
          <w:lang w:val="en-GB"/>
        </w:rPr>
        <w:t xml:space="preserve"> (website)</w:t>
      </w:r>
      <w:r w:rsidRPr="00586B0C">
        <w:rPr>
          <w:lang w:val="en-GB"/>
        </w:rPr>
        <w:t>, accessed July 2, 2020</w:t>
      </w:r>
      <w:r>
        <w:rPr>
          <w:lang w:val="en-GB"/>
        </w:rPr>
        <w:t xml:space="preserve">, </w:t>
      </w:r>
      <w:r w:rsidRPr="00586B0C">
        <w:rPr>
          <w:lang w:val="en-GB"/>
        </w:rPr>
        <w:t xml:space="preserve">https://pointeandpick.com. </w:t>
      </w:r>
    </w:p>
  </w:footnote>
  <w:footnote w:id="11">
    <w:p w14:paraId="03146B7A" w14:textId="4B000B83" w:rsidR="00BD71ED" w:rsidRPr="00586B0C" w:rsidRDefault="00BD71ED" w:rsidP="00DB7D99">
      <w:pPr>
        <w:pStyle w:val="Footnote"/>
        <w:rPr>
          <w:lang w:val="en-GB"/>
        </w:rPr>
      </w:pPr>
      <w:r w:rsidRPr="00586B0C">
        <w:rPr>
          <w:rStyle w:val="FootnoteReference"/>
          <w:lang w:val="en-GB"/>
        </w:rPr>
        <w:footnoteRef/>
      </w:r>
      <w:r w:rsidRPr="00586B0C">
        <w:rPr>
          <w:lang w:val="en-GB"/>
        </w:rPr>
        <w:t xml:space="preserve"> Dancewear Plus</w:t>
      </w:r>
      <w:r>
        <w:rPr>
          <w:lang w:val="en-GB"/>
        </w:rPr>
        <w:t xml:space="preserve"> (website)</w:t>
      </w:r>
      <w:r w:rsidRPr="00586B0C">
        <w:rPr>
          <w:lang w:val="en-GB"/>
        </w:rPr>
        <w:t>, accessed July 2, 2020</w:t>
      </w:r>
      <w:r>
        <w:rPr>
          <w:lang w:val="en-GB"/>
        </w:rPr>
        <w:t xml:space="preserve">, </w:t>
      </w:r>
      <w:r w:rsidRPr="00586B0C">
        <w:rPr>
          <w:lang w:val="en-GB"/>
        </w:rPr>
        <w:t>https://dancewearplus.ca.</w:t>
      </w:r>
    </w:p>
  </w:footnote>
  <w:footnote w:id="12">
    <w:p w14:paraId="416BC6B7" w14:textId="6A33AA08" w:rsidR="00BD71ED" w:rsidRPr="00586B0C" w:rsidRDefault="00BD71ED" w:rsidP="00DB7D99">
      <w:pPr>
        <w:pStyle w:val="Footnote"/>
        <w:rPr>
          <w:lang w:val="en-GB"/>
        </w:rPr>
      </w:pPr>
      <w:r w:rsidRPr="00586B0C">
        <w:rPr>
          <w:rStyle w:val="FootnoteReference"/>
          <w:lang w:val="en-GB"/>
        </w:rPr>
        <w:footnoteRef/>
      </w:r>
      <w:r w:rsidRPr="00586B0C">
        <w:rPr>
          <w:lang w:val="en-GB"/>
        </w:rPr>
        <w:t xml:space="preserve"> “</w:t>
      </w:r>
      <w:r>
        <w:rPr>
          <w:lang w:val="en-GB"/>
        </w:rPr>
        <w:t>2013 Winners,”</w:t>
      </w:r>
      <w:r w:rsidRPr="00586B0C">
        <w:rPr>
          <w:lang w:val="en-GB"/>
        </w:rPr>
        <w:t xml:space="preserve"> </w:t>
      </w:r>
      <w:r w:rsidRPr="00C76EBB">
        <w:rPr>
          <w:iCs/>
          <w:lang w:val="en-GB"/>
        </w:rPr>
        <w:t>Great Places in Canada</w:t>
      </w:r>
      <w:r w:rsidRPr="0003175B">
        <w:rPr>
          <w:iCs/>
          <w:lang w:val="en-GB"/>
        </w:rPr>
        <w:t>,</w:t>
      </w:r>
      <w:r w:rsidRPr="00586B0C">
        <w:rPr>
          <w:lang w:val="en-GB"/>
        </w:rPr>
        <w:t xml:space="preserve"> </w:t>
      </w:r>
      <w:r w:rsidRPr="00586B0C">
        <w:rPr>
          <w:rStyle w:val="Hyperlink"/>
          <w:color w:val="auto"/>
          <w:u w:val="none"/>
          <w:lang w:val="en-GB"/>
        </w:rPr>
        <w:t>accessed July 27, 2020</w:t>
      </w:r>
      <w:r>
        <w:rPr>
          <w:rStyle w:val="Hyperlink"/>
          <w:color w:val="auto"/>
          <w:u w:val="none"/>
          <w:lang w:val="en-GB"/>
        </w:rPr>
        <w:t xml:space="preserve">, </w:t>
      </w:r>
      <w:r w:rsidRPr="00586B0C">
        <w:rPr>
          <w:lang w:val="en-GB"/>
        </w:rPr>
        <w:t>http://greatplacesincanada.ca/2013-winners/</w:t>
      </w:r>
      <w:r w:rsidRPr="00586B0C">
        <w:rPr>
          <w:rStyle w:val="Hyperlink"/>
          <w:color w:val="auto"/>
          <w:u w:val="none"/>
          <w:lang w:val="en-GB"/>
        </w:rPr>
        <w:t>.</w:t>
      </w:r>
    </w:p>
  </w:footnote>
  <w:footnote w:id="13">
    <w:p w14:paraId="58CD62DD" w14:textId="77777777" w:rsidR="00BD71ED" w:rsidRPr="00586B0C" w:rsidRDefault="00BD71ED" w:rsidP="007F1111">
      <w:pPr>
        <w:pStyle w:val="Footnote"/>
        <w:rPr>
          <w:lang w:val="en-GB"/>
        </w:rPr>
      </w:pPr>
      <w:r w:rsidRPr="00586B0C">
        <w:rPr>
          <w:rStyle w:val="FootnoteReference"/>
          <w:lang w:val="en-GB"/>
        </w:rPr>
        <w:footnoteRef/>
      </w:r>
      <w:r w:rsidRPr="00586B0C">
        <w:rPr>
          <w:lang w:val="en-GB"/>
        </w:rPr>
        <w:t xml:space="preserve"> Subletting referred to taking a rented space and renting it to a third party to help cover rental costs. </w:t>
      </w:r>
    </w:p>
  </w:footnote>
  <w:footnote w:id="14">
    <w:p w14:paraId="1C892F5A" w14:textId="5B0EF6FB" w:rsidR="00BD71ED" w:rsidRPr="00586B0C" w:rsidRDefault="00BD71ED" w:rsidP="00C76EBB">
      <w:pPr>
        <w:pStyle w:val="Footnote"/>
        <w:tabs>
          <w:tab w:val="center" w:pos="4680"/>
          <w:tab w:val="left" w:pos="5092"/>
        </w:tabs>
        <w:rPr>
          <w:lang w:val="en-GB"/>
        </w:rPr>
      </w:pPr>
      <w:r w:rsidRPr="00586B0C">
        <w:rPr>
          <w:rStyle w:val="FootnoteReference"/>
          <w:lang w:val="en-GB"/>
        </w:rPr>
        <w:footnoteRef/>
      </w:r>
      <w:r w:rsidRPr="00586B0C">
        <w:rPr>
          <w:lang w:val="en-GB"/>
        </w:rPr>
        <w:t xml:space="preserve"> The new items had a useful life of </w:t>
      </w:r>
      <w:r>
        <w:rPr>
          <w:lang w:val="en-GB"/>
        </w:rPr>
        <w:t>seven</w:t>
      </w:r>
      <w:r w:rsidRPr="00586B0C">
        <w:rPr>
          <w:lang w:val="en-GB"/>
        </w:rPr>
        <w:t xml:space="preserve"> years. </w:t>
      </w:r>
      <w:r>
        <w:rPr>
          <w:lang w:val="en-GB"/>
        </w:rPr>
        <w:tab/>
      </w:r>
      <w:r>
        <w:rPr>
          <w:lang w:val="en-GB"/>
        </w:rPr>
        <w:tab/>
      </w:r>
    </w:p>
  </w:footnote>
  <w:footnote w:id="15">
    <w:p w14:paraId="16081715" w14:textId="60F145A2" w:rsidR="00BD71ED" w:rsidRPr="00586B0C" w:rsidRDefault="00BD71ED" w:rsidP="007D17DE">
      <w:pPr>
        <w:pStyle w:val="Footnote"/>
        <w:rPr>
          <w:lang w:val="en-GB"/>
        </w:rPr>
      </w:pPr>
      <w:r w:rsidRPr="00586B0C">
        <w:rPr>
          <w:rStyle w:val="FootnoteReference"/>
          <w:lang w:val="en-GB"/>
        </w:rPr>
        <w:footnoteRef/>
      </w:r>
      <w:r w:rsidRPr="00586B0C">
        <w:rPr>
          <w:lang w:val="en-GB"/>
        </w:rPr>
        <w:t xml:space="preserve"> Though a pointe shoe fitting took much longer than 30 minutes, not all dancers required pointe shoes</w:t>
      </w:r>
      <w:r>
        <w:rPr>
          <w:lang w:val="en-GB"/>
        </w:rPr>
        <w:t>,</w:t>
      </w:r>
      <w:r w:rsidRPr="00586B0C">
        <w:rPr>
          <w:lang w:val="en-GB"/>
        </w:rPr>
        <w:t xml:space="preserve"> and some dancers could be fitted for items in under 10 minutes. Therefore</w:t>
      </w:r>
      <w:r>
        <w:rPr>
          <w:lang w:val="en-GB"/>
        </w:rPr>
        <w:t>,</w:t>
      </w:r>
      <w:r w:rsidRPr="00586B0C">
        <w:rPr>
          <w:lang w:val="en-GB"/>
        </w:rPr>
        <w:t xml:space="preserve"> on average, Cameron felt that 30 minutes was an appropriate estimate.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49472521" w:rsidR="00BD71ED" w:rsidRPr="00C92CC4" w:rsidRDefault="00BD71ED"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D0A39">
      <w:rPr>
        <w:rFonts w:ascii="Arial" w:hAnsi="Arial"/>
        <w:b/>
        <w:noProof/>
      </w:rPr>
      <w:t>12</w:t>
    </w:r>
    <w:r>
      <w:rPr>
        <w:rFonts w:ascii="Arial" w:hAnsi="Arial"/>
        <w:b/>
      </w:rPr>
      <w:fldChar w:fldCharType="end"/>
    </w:r>
    <w:r>
      <w:rPr>
        <w:rFonts w:ascii="Arial" w:hAnsi="Arial"/>
        <w:b/>
      </w:rPr>
      <w:tab/>
    </w:r>
    <w:r w:rsidR="00504093">
      <w:rPr>
        <w:rFonts w:ascii="Arial" w:hAnsi="Arial"/>
        <w:b/>
      </w:rPr>
      <w:t>9B21M049</w:t>
    </w:r>
  </w:p>
  <w:p w14:paraId="2B53C0A0" w14:textId="77777777" w:rsidR="00BD71ED" w:rsidRDefault="00BD71ED" w:rsidP="00D13667">
    <w:pPr>
      <w:pStyle w:val="Header"/>
      <w:tabs>
        <w:tab w:val="clear" w:pos="4680"/>
      </w:tabs>
      <w:rPr>
        <w:sz w:val="18"/>
        <w:szCs w:val="18"/>
      </w:rPr>
    </w:pPr>
  </w:p>
  <w:p w14:paraId="47119730" w14:textId="77777777" w:rsidR="00BD71ED" w:rsidRPr="00C92CC4" w:rsidRDefault="00BD71ED"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5345"/>
    <w:rsid w:val="00016759"/>
    <w:rsid w:val="000216CE"/>
    <w:rsid w:val="00024ED4"/>
    <w:rsid w:val="00025DC7"/>
    <w:rsid w:val="00031143"/>
    <w:rsid w:val="0003175B"/>
    <w:rsid w:val="0003371D"/>
    <w:rsid w:val="00033FE7"/>
    <w:rsid w:val="00035F09"/>
    <w:rsid w:val="00037CD3"/>
    <w:rsid w:val="00044713"/>
    <w:rsid w:val="00044A43"/>
    <w:rsid w:val="00044ECC"/>
    <w:rsid w:val="000531D3"/>
    <w:rsid w:val="0005646B"/>
    <w:rsid w:val="0005695A"/>
    <w:rsid w:val="000615D1"/>
    <w:rsid w:val="00066844"/>
    <w:rsid w:val="00067899"/>
    <w:rsid w:val="00074E3D"/>
    <w:rsid w:val="0008102D"/>
    <w:rsid w:val="00086098"/>
    <w:rsid w:val="00086B26"/>
    <w:rsid w:val="00094C0E"/>
    <w:rsid w:val="000A0D40"/>
    <w:rsid w:val="000A146D"/>
    <w:rsid w:val="000B5C48"/>
    <w:rsid w:val="000C04FF"/>
    <w:rsid w:val="000D2387"/>
    <w:rsid w:val="000D2A2F"/>
    <w:rsid w:val="000D3D6C"/>
    <w:rsid w:val="000D7091"/>
    <w:rsid w:val="000E5358"/>
    <w:rsid w:val="000E5C3D"/>
    <w:rsid w:val="000E6EB9"/>
    <w:rsid w:val="000F0C22"/>
    <w:rsid w:val="000F6B09"/>
    <w:rsid w:val="000F6FDC"/>
    <w:rsid w:val="00104567"/>
    <w:rsid w:val="00104916"/>
    <w:rsid w:val="00104AA7"/>
    <w:rsid w:val="00122858"/>
    <w:rsid w:val="00123BB5"/>
    <w:rsid w:val="001252C0"/>
    <w:rsid w:val="0012732D"/>
    <w:rsid w:val="00143F25"/>
    <w:rsid w:val="001463E7"/>
    <w:rsid w:val="00152682"/>
    <w:rsid w:val="00154FC9"/>
    <w:rsid w:val="00161118"/>
    <w:rsid w:val="001836D4"/>
    <w:rsid w:val="001901C0"/>
    <w:rsid w:val="0019241A"/>
    <w:rsid w:val="00192711"/>
    <w:rsid w:val="00192A18"/>
    <w:rsid w:val="001A22D1"/>
    <w:rsid w:val="001A4EBA"/>
    <w:rsid w:val="001A752D"/>
    <w:rsid w:val="001A757E"/>
    <w:rsid w:val="001B0798"/>
    <w:rsid w:val="001B5032"/>
    <w:rsid w:val="001C7777"/>
    <w:rsid w:val="001D344B"/>
    <w:rsid w:val="001D437D"/>
    <w:rsid w:val="001E1EB7"/>
    <w:rsid w:val="001E364F"/>
    <w:rsid w:val="001F2DCC"/>
    <w:rsid w:val="001F4222"/>
    <w:rsid w:val="001F5682"/>
    <w:rsid w:val="00203AA1"/>
    <w:rsid w:val="00204440"/>
    <w:rsid w:val="00213E98"/>
    <w:rsid w:val="0021441B"/>
    <w:rsid w:val="00217E1D"/>
    <w:rsid w:val="00221B44"/>
    <w:rsid w:val="00226076"/>
    <w:rsid w:val="002271A4"/>
    <w:rsid w:val="00230150"/>
    <w:rsid w:val="0023081A"/>
    <w:rsid w:val="00233111"/>
    <w:rsid w:val="0024412D"/>
    <w:rsid w:val="002539CB"/>
    <w:rsid w:val="0025441B"/>
    <w:rsid w:val="002574D3"/>
    <w:rsid w:val="00260B90"/>
    <w:rsid w:val="00265FA8"/>
    <w:rsid w:val="0027494D"/>
    <w:rsid w:val="00280F88"/>
    <w:rsid w:val="00281124"/>
    <w:rsid w:val="0029523D"/>
    <w:rsid w:val="0029640C"/>
    <w:rsid w:val="002A516B"/>
    <w:rsid w:val="002B17E0"/>
    <w:rsid w:val="002B1AB0"/>
    <w:rsid w:val="002B40FF"/>
    <w:rsid w:val="002C0685"/>
    <w:rsid w:val="002C4E29"/>
    <w:rsid w:val="002D4824"/>
    <w:rsid w:val="002D4E37"/>
    <w:rsid w:val="002D613E"/>
    <w:rsid w:val="002F460C"/>
    <w:rsid w:val="002F48D6"/>
    <w:rsid w:val="003042CF"/>
    <w:rsid w:val="00315562"/>
    <w:rsid w:val="00317391"/>
    <w:rsid w:val="00326216"/>
    <w:rsid w:val="00327699"/>
    <w:rsid w:val="003279A7"/>
    <w:rsid w:val="00331A60"/>
    <w:rsid w:val="00336580"/>
    <w:rsid w:val="003444DE"/>
    <w:rsid w:val="003508B5"/>
    <w:rsid w:val="00354899"/>
    <w:rsid w:val="00355FD6"/>
    <w:rsid w:val="00356D9F"/>
    <w:rsid w:val="00362495"/>
    <w:rsid w:val="0036468D"/>
    <w:rsid w:val="00364A5C"/>
    <w:rsid w:val="00373FB1"/>
    <w:rsid w:val="00380B0E"/>
    <w:rsid w:val="00383F11"/>
    <w:rsid w:val="00385B7D"/>
    <w:rsid w:val="00396C76"/>
    <w:rsid w:val="003A5366"/>
    <w:rsid w:val="003B30D8"/>
    <w:rsid w:val="003B78E8"/>
    <w:rsid w:val="003B7EF2"/>
    <w:rsid w:val="003C2822"/>
    <w:rsid w:val="003C3FA4"/>
    <w:rsid w:val="003D0BA1"/>
    <w:rsid w:val="003F2B0C"/>
    <w:rsid w:val="004105B2"/>
    <w:rsid w:val="00410B39"/>
    <w:rsid w:val="0041145A"/>
    <w:rsid w:val="00412900"/>
    <w:rsid w:val="004221E4"/>
    <w:rsid w:val="004273F8"/>
    <w:rsid w:val="00431D1A"/>
    <w:rsid w:val="004355A3"/>
    <w:rsid w:val="004400F1"/>
    <w:rsid w:val="00443554"/>
    <w:rsid w:val="00446546"/>
    <w:rsid w:val="00452769"/>
    <w:rsid w:val="00454FA7"/>
    <w:rsid w:val="00460642"/>
    <w:rsid w:val="004609A7"/>
    <w:rsid w:val="004621D9"/>
    <w:rsid w:val="00465348"/>
    <w:rsid w:val="00476AD0"/>
    <w:rsid w:val="004835BC"/>
    <w:rsid w:val="0049156B"/>
    <w:rsid w:val="004979A5"/>
    <w:rsid w:val="004A25E0"/>
    <w:rsid w:val="004A3F17"/>
    <w:rsid w:val="004A6D71"/>
    <w:rsid w:val="004A7C5B"/>
    <w:rsid w:val="004B1CCB"/>
    <w:rsid w:val="004B632F"/>
    <w:rsid w:val="004D3FB1"/>
    <w:rsid w:val="004D6F21"/>
    <w:rsid w:val="004D73A5"/>
    <w:rsid w:val="004E2191"/>
    <w:rsid w:val="004F5BE6"/>
    <w:rsid w:val="004F743E"/>
    <w:rsid w:val="00504093"/>
    <w:rsid w:val="005147B7"/>
    <w:rsid w:val="005160F1"/>
    <w:rsid w:val="0052016B"/>
    <w:rsid w:val="0052274F"/>
    <w:rsid w:val="00524F2F"/>
    <w:rsid w:val="005252B4"/>
    <w:rsid w:val="00527E5C"/>
    <w:rsid w:val="00532CF5"/>
    <w:rsid w:val="00533403"/>
    <w:rsid w:val="00536E81"/>
    <w:rsid w:val="00546900"/>
    <w:rsid w:val="0055200A"/>
    <w:rsid w:val="005528CB"/>
    <w:rsid w:val="00557E93"/>
    <w:rsid w:val="005634F9"/>
    <w:rsid w:val="0056626C"/>
    <w:rsid w:val="00566771"/>
    <w:rsid w:val="00575FCE"/>
    <w:rsid w:val="00576577"/>
    <w:rsid w:val="00581810"/>
    <w:rsid w:val="00581E2E"/>
    <w:rsid w:val="00584F15"/>
    <w:rsid w:val="00586B0C"/>
    <w:rsid w:val="00590B5A"/>
    <w:rsid w:val="00592A46"/>
    <w:rsid w:val="0059514B"/>
    <w:rsid w:val="005A1B0F"/>
    <w:rsid w:val="005B3411"/>
    <w:rsid w:val="005B4CE6"/>
    <w:rsid w:val="005B5EFE"/>
    <w:rsid w:val="005C2792"/>
    <w:rsid w:val="005E10D0"/>
    <w:rsid w:val="005F40F4"/>
    <w:rsid w:val="005F5B74"/>
    <w:rsid w:val="00610EBD"/>
    <w:rsid w:val="0061169A"/>
    <w:rsid w:val="00613715"/>
    <w:rsid w:val="006163F7"/>
    <w:rsid w:val="0062385B"/>
    <w:rsid w:val="00624110"/>
    <w:rsid w:val="00627C63"/>
    <w:rsid w:val="006322B4"/>
    <w:rsid w:val="0063350B"/>
    <w:rsid w:val="00652606"/>
    <w:rsid w:val="0065588C"/>
    <w:rsid w:val="0066494C"/>
    <w:rsid w:val="00673DB6"/>
    <w:rsid w:val="0067595C"/>
    <w:rsid w:val="00685CB6"/>
    <w:rsid w:val="0069009A"/>
    <w:rsid w:val="00693822"/>
    <w:rsid w:val="006946EE"/>
    <w:rsid w:val="006A58A9"/>
    <w:rsid w:val="006A606D"/>
    <w:rsid w:val="006B7234"/>
    <w:rsid w:val="006C0371"/>
    <w:rsid w:val="006C08B6"/>
    <w:rsid w:val="006C0B1A"/>
    <w:rsid w:val="006C6065"/>
    <w:rsid w:val="006C7F9F"/>
    <w:rsid w:val="006D3A85"/>
    <w:rsid w:val="006D64B3"/>
    <w:rsid w:val="006D678A"/>
    <w:rsid w:val="006E0270"/>
    <w:rsid w:val="006E067B"/>
    <w:rsid w:val="006E2F6D"/>
    <w:rsid w:val="006E58F6"/>
    <w:rsid w:val="006E77E1"/>
    <w:rsid w:val="006F131D"/>
    <w:rsid w:val="00711642"/>
    <w:rsid w:val="007146DA"/>
    <w:rsid w:val="007341BD"/>
    <w:rsid w:val="00735959"/>
    <w:rsid w:val="00744654"/>
    <w:rsid w:val="007461C7"/>
    <w:rsid w:val="00747833"/>
    <w:rsid w:val="007507C6"/>
    <w:rsid w:val="00751E0B"/>
    <w:rsid w:val="00752BCD"/>
    <w:rsid w:val="007532A0"/>
    <w:rsid w:val="007548BD"/>
    <w:rsid w:val="007615FD"/>
    <w:rsid w:val="00766DA1"/>
    <w:rsid w:val="00780D94"/>
    <w:rsid w:val="007866A6"/>
    <w:rsid w:val="00790C44"/>
    <w:rsid w:val="00792270"/>
    <w:rsid w:val="007A130D"/>
    <w:rsid w:val="007A1915"/>
    <w:rsid w:val="007B1E4E"/>
    <w:rsid w:val="007B354F"/>
    <w:rsid w:val="007C3E0D"/>
    <w:rsid w:val="007D17DE"/>
    <w:rsid w:val="007D1A2D"/>
    <w:rsid w:val="007D1A64"/>
    <w:rsid w:val="007D32E6"/>
    <w:rsid w:val="007D4102"/>
    <w:rsid w:val="007E303E"/>
    <w:rsid w:val="007E54A7"/>
    <w:rsid w:val="007F1111"/>
    <w:rsid w:val="007F43B7"/>
    <w:rsid w:val="0081067F"/>
    <w:rsid w:val="00814134"/>
    <w:rsid w:val="00816BD7"/>
    <w:rsid w:val="00820F55"/>
    <w:rsid w:val="00821FFC"/>
    <w:rsid w:val="0082587B"/>
    <w:rsid w:val="008271CA"/>
    <w:rsid w:val="008467D5"/>
    <w:rsid w:val="00851A56"/>
    <w:rsid w:val="0086202F"/>
    <w:rsid w:val="0087127D"/>
    <w:rsid w:val="00876BF1"/>
    <w:rsid w:val="00877914"/>
    <w:rsid w:val="008844B4"/>
    <w:rsid w:val="0088584E"/>
    <w:rsid w:val="008A4535"/>
    <w:rsid w:val="008A4DC4"/>
    <w:rsid w:val="008B438C"/>
    <w:rsid w:val="008C0B0C"/>
    <w:rsid w:val="008C35B4"/>
    <w:rsid w:val="008D06CA"/>
    <w:rsid w:val="008D3A46"/>
    <w:rsid w:val="008D4350"/>
    <w:rsid w:val="008D77D2"/>
    <w:rsid w:val="008E6A57"/>
    <w:rsid w:val="008F02C2"/>
    <w:rsid w:val="008F2385"/>
    <w:rsid w:val="008F3C27"/>
    <w:rsid w:val="009067A4"/>
    <w:rsid w:val="00920180"/>
    <w:rsid w:val="00923F4A"/>
    <w:rsid w:val="009277D5"/>
    <w:rsid w:val="00930885"/>
    <w:rsid w:val="00933D68"/>
    <w:rsid w:val="009340DB"/>
    <w:rsid w:val="00944D94"/>
    <w:rsid w:val="0094618C"/>
    <w:rsid w:val="0094710E"/>
    <w:rsid w:val="0095684B"/>
    <w:rsid w:val="00956C4B"/>
    <w:rsid w:val="00962E7D"/>
    <w:rsid w:val="00972498"/>
    <w:rsid w:val="0097481F"/>
    <w:rsid w:val="00974CC6"/>
    <w:rsid w:val="00976AD4"/>
    <w:rsid w:val="00982BB2"/>
    <w:rsid w:val="00991F59"/>
    <w:rsid w:val="00995547"/>
    <w:rsid w:val="009A312F"/>
    <w:rsid w:val="009A5348"/>
    <w:rsid w:val="009A6D17"/>
    <w:rsid w:val="009B03B3"/>
    <w:rsid w:val="009B0AB7"/>
    <w:rsid w:val="009B285A"/>
    <w:rsid w:val="009C4D28"/>
    <w:rsid w:val="009C76D5"/>
    <w:rsid w:val="009E076F"/>
    <w:rsid w:val="009E1122"/>
    <w:rsid w:val="009F73B9"/>
    <w:rsid w:val="009F7AA4"/>
    <w:rsid w:val="00A01D82"/>
    <w:rsid w:val="00A10550"/>
    <w:rsid w:val="00A10AD7"/>
    <w:rsid w:val="00A23140"/>
    <w:rsid w:val="00A24AA1"/>
    <w:rsid w:val="00A24EC9"/>
    <w:rsid w:val="00A323B0"/>
    <w:rsid w:val="00A3452F"/>
    <w:rsid w:val="00A40731"/>
    <w:rsid w:val="00A407FC"/>
    <w:rsid w:val="00A50751"/>
    <w:rsid w:val="00A559DB"/>
    <w:rsid w:val="00A569EA"/>
    <w:rsid w:val="00A676A0"/>
    <w:rsid w:val="00A82961"/>
    <w:rsid w:val="00A851A0"/>
    <w:rsid w:val="00A911EC"/>
    <w:rsid w:val="00AA0EF1"/>
    <w:rsid w:val="00AA2B03"/>
    <w:rsid w:val="00AA5A46"/>
    <w:rsid w:val="00AA6AF9"/>
    <w:rsid w:val="00AA75C6"/>
    <w:rsid w:val="00AB092E"/>
    <w:rsid w:val="00AB416B"/>
    <w:rsid w:val="00AC50F6"/>
    <w:rsid w:val="00AC6AD9"/>
    <w:rsid w:val="00AD2FA7"/>
    <w:rsid w:val="00AF14D7"/>
    <w:rsid w:val="00AF184D"/>
    <w:rsid w:val="00AF35FC"/>
    <w:rsid w:val="00AF5556"/>
    <w:rsid w:val="00B03639"/>
    <w:rsid w:val="00B03B33"/>
    <w:rsid w:val="00B0652A"/>
    <w:rsid w:val="00B07DE7"/>
    <w:rsid w:val="00B213EC"/>
    <w:rsid w:val="00B24794"/>
    <w:rsid w:val="00B25287"/>
    <w:rsid w:val="00B33202"/>
    <w:rsid w:val="00B40937"/>
    <w:rsid w:val="00B423EF"/>
    <w:rsid w:val="00B453DE"/>
    <w:rsid w:val="00B46228"/>
    <w:rsid w:val="00B5366B"/>
    <w:rsid w:val="00B61F1C"/>
    <w:rsid w:val="00B62497"/>
    <w:rsid w:val="00B65BB6"/>
    <w:rsid w:val="00B72597"/>
    <w:rsid w:val="00B763E7"/>
    <w:rsid w:val="00B76D75"/>
    <w:rsid w:val="00B84649"/>
    <w:rsid w:val="00B84C3E"/>
    <w:rsid w:val="00B87DC0"/>
    <w:rsid w:val="00B901F9"/>
    <w:rsid w:val="00BA1FD2"/>
    <w:rsid w:val="00BA4D5A"/>
    <w:rsid w:val="00BC4D98"/>
    <w:rsid w:val="00BD6EFB"/>
    <w:rsid w:val="00BD71ED"/>
    <w:rsid w:val="00BD7FB5"/>
    <w:rsid w:val="00BE3509"/>
    <w:rsid w:val="00BE36F3"/>
    <w:rsid w:val="00BE3DF5"/>
    <w:rsid w:val="00BF5EAB"/>
    <w:rsid w:val="00C02410"/>
    <w:rsid w:val="00C031A7"/>
    <w:rsid w:val="00C04EE2"/>
    <w:rsid w:val="00C1584D"/>
    <w:rsid w:val="00C15BE2"/>
    <w:rsid w:val="00C16FE1"/>
    <w:rsid w:val="00C3447F"/>
    <w:rsid w:val="00C408FA"/>
    <w:rsid w:val="00C44714"/>
    <w:rsid w:val="00C60E69"/>
    <w:rsid w:val="00C63CB9"/>
    <w:rsid w:val="00C653FD"/>
    <w:rsid w:val="00C67102"/>
    <w:rsid w:val="00C73D7F"/>
    <w:rsid w:val="00C75CB7"/>
    <w:rsid w:val="00C76A17"/>
    <w:rsid w:val="00C76EBB"/>
    <w:rsid w:val="00C802F8"/>
    <w:rsid w:val="00C81491"/>
    <w:rsid w:val="00C81676"/>
    <w:rsid w:val="00C85C5D"/>
    <w:rsid w:val="00C92CC4"/>
    <w:rsid w:val="00CA06BF"/>
    <w:rsid w:val="00CA0AFB"/>
    <w:rsid w:val="00CA234A"/>
    <w:rsid w:val="00CA2CE1"/>
    <w:rsid w:val="00CA3976"/>
    <w:rsid w:val="00CA3F4F"/>
    <w:rsid w:val="00CA50E3"/>
    <w:rsid w:val="00CA757B"/>
    <w:rsid w:val="00CB0ABF"/>
    <w:rsid w:val="00CB2328"/>
    <w:rsid w:val="00CC1787"/>
    <w:rsid w:val="00CC182C"/>
    <w:rsid w:val="00CD0824"/>
    <w:rsid w:val="00CD0A39"/>
    <w:rsid w:val="00CD2908"/>
    <w:rsid w:val="00CD4190"/>
    <w:rsid w:val="00CE6C04"/>
    <w:rsid w:val="00CF303A"/>
    <w:rsid w:val="00CF4B9C"/>
    <w:rsid w:val="00D03A82"/>
    <w:rsid w:val="00D13667"/>
    <w:rsid w:val="00D15344"/>
    <w:rsid w:val="00D21EAF"/>
    <w:rsid w:val="00D23F57"/>
    <w:rsid w:val="00D24659"/>
    <w:rsid w:val="00D27035"/>
    <w:rsid w:val="00D31BEC"/>
    <w:rsid w:val="00D52C60"/>
    <w:rsid w:val="00D63150"/>
    <w:rsid w:val="00D636BA"/>
    <w:rsid w:val="00D64A32"/>
    <w:rsid w:val="00D64EFC"/>
    <w:rsid w:val="00D72A3A"/>
    <w:rsid w:val="00D75295"/>
    <w:rsid w:val="00D76CE9"/>
    <w:rsid w:val="00D80506"/>
    <w:rsid w:val="00D8319A"/>
    <w:rsid w:val="00D96C66"/>
    <w:rsid w:val="00D97F12"/>
    <w:rsid w:val="00DA3AFB"/>
    <w:rsid w:val="00DA6095"/>
    <w:rsid w:val="00DA7CE6"/>
    <w:rsid w:val="00DB04FB"/>
    <w:rsid w:val="00DB2326"/>
    <w:rsid w:val="00DB42E7"/>
    <w:rsid w:val="00DB7D99"/>
    <w:rsid w:val="00DC09D8"/>
    <w:rsid w:val="00DC1448"/>
    <w:rsid w:val="00DE01A6"/>
    <w:rsid w:val="00DE7A98"/>
    <w:rsid w:val="00DE7D65"/>
    <w:rsid w:val="00DF22F9"/>
    <w:rsid w:val="00DF266F"/>
    <w:rsid w:val="00DF32C2"/>
    <w:rsid w:val="00E02021"/>
    <w:rsid w:val="00E06A93"/>
    <w:rsid w:val="00E11B37"/>
    <w:rsid w:val="00E16937"/>
    <w:rsid w:val="00E20141"/>
    <w:rsid w:val="00E23F72"/>
    <w:rsid w:val="00E26402"/>
    <w:rsid w:val="00E27F94"/>
    <w:rsid w:val="00E37241"/>
    <w:rsid w:val="00E4271E"/>
    <w:rsid w:val="00E471A7"/>
    <w:rsid w:val="00E635CF"/>
    <w:rsid w:val="00E658C4"/>
    <w:rsid w:val="00E675B0"/>
    <w:rsid w:val="00E749C2"/>
    <w:rsid w:val="00E75C5C"/>
    <w:rsid w:val="00E772A9"/>
    <w:rsid w:val="00E83423"/>
    <w:rsid w:val="00E94BB2"/>
    <w:rsid w:val="00EB1E3B"/>
    <w:rsid w:val="00EC6E0A"/>
    <w:rsid w:val="00ED4E18"/>
    <w:rsid w:val="00ED50FF"/>
    <w:rsid w:val="00ED7922"/>
    <w:rsid w:val="00EE02C4"/>
    <w:rsid w:val="00EE1F37"/>
    <w:rsid w:val="00EE4E98"/>
    <w:rsid w:val="00EE7250"/>
    <w:rsid w:val="00EF09C4"/>
    <w:rsid w:val="00EF765F"/>
    <w:rsid w:val="00EF7E60"/>
    <w:rsid w:val="00F014EB"/>
    <w:rsid w:val="00F0159C"/>
    <w:rsid w:val="00F057AB"/>
    <w:rsid w:val="00F06681"/>
    <w:rsid w:val="00F105B7"/>
    <w:rsid w:val="00F13220"/>
    <w:rsid w:val="00F17A21"/>
    <w:rsid w:val="00F21174"/>
    <w:rsid w:val="00F26979"/>
    <w:rsid w:val="00F36FC2"/>
    <w:rsid w:val="00F37B27"/>
    <w:rsid w:val="00F435C8"/>
    <w:rsid w:val="00F46556"/>
    <w:rsid w:val="00F505A1"/>
    <w:rsid w:val="00F50E91"/>
    <w:rsid w:val="00F5201E"/>
    <w:rsid w:val="00F54ECF"/>
    <w:rsid w:val="00F56799"/>
    <w:rsid w:val="00F57D29"/>
    <w:rsid w:val="00F60786"/>
    <w:rsid w:val="00F71703"/>
    <w:rsid w:val="00F76402"/>
    <w:rsid w:val="00F83790"/>
    <w:rsid w:val="00F85957"/>
    <w:rsid w:val="00F91BC7"/>
    <w:rsid w:val="00F96201"/>
    <w:rsid w:val="00FA1BBC"/>
    <w:rsid w:val="00FA1CE2"/>
    <w:rsid w:val="00FA6EAA"/>
    <w:rsid w:val="00FB02D6"/>
    <w:rsid w:val="00FC0CA9"/>
    <w:rsid w:val="00FC121C"/>
    <w:rsid w:val="00FC3372"/>
    <w:rsid w:val="00FC34A3"/>
    <w:rsid w:val="00FC43A2"/>
    <w:rsid w:val="00FC4717"/>
    <w:rsid w:val="00FD0B18"/>
    <w:rsid w:val="00FD2FAD"/>
    <w:rsid w:val="00FE0A56"/>
    <w:rsid w:val="00FE302E"/>
    <w:rsid w:val="00FE6D25"/>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UnresolvedMention1">
    <w:name w:val="Unresolved Mention1"/>
    <w:basedOn w:val="DefaultParagraphFont"/>
    <w:uiPriority w:val="99"/>
    <w:semiHidden/>
    <w:unhideWhenUsed/>
    <w:rsid w:val="00BD71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9922A-55B8-49F3-8AF9-F1AFF21AB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4013</Words>
  <Characters>22876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9B21M049</vt:lpstr>
    </vt:vector>
  </TitlesOfParts>
  <Company>Ivey Business School</Company>
  <LinksUpToDate>false</LinksUpToDate>
  <CharactersWithSpaces>26836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9B21M049</dc:title>
  <dc:subject/>
  <dc:creator>smuir</dc:creator>
  <cp:keywords/>
  <cp:lastModifiedBy>Product Coordinator</cp:lastModifiedBy>
  <cp:revision>2</cp:revision>
  <cp:lastPrinted>2015-03-04T20:34:00Z</cp:lastPrinted>
  <dcterms:created xsi:type="dcterms:W3CDTF">2022-03-09T16:37:00Z</dcterms:created>
  <dcterms:modified xsi:type="dcterms:W3CDTF">2022-03-09T16:37:00Z</dcterms:modified>
</cp:coreProperties>
</file>