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5EF79" w14:textId="77777777" w:rsidR="00CD674B" w:rsidRDefault="00CD674B" w:rsidP="00CD674B">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32082D50" wp14:editId="26C07CA2">
            <wp:extent cx="2613804" cy="551245"/>
            <wp:effectExtent l="0" t="0" r="0" b="1270"/>
            <wp:docPr id="2" name="Picture 2"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570C37B" w14:textId="640E4D20" w:rsidR="00CD674B" w:rsidRDefault="00CD674B" w:rsidP="00CD674B">
      <w:pPr>
        <w:pStyle w:val="ProductNumber"/>
      </w:pPr>
      <w:r>
        <w:t>9B21m053</w:t>
      </w:r>
    </w:p>
    <w:p w14:paraId="59D14844" w14:textId="77777777" w:rsidR="00D75295" w:rsidRDefault="00D75295" w:rsidP="00D75295">
      <w:pPr>
        <w:jc w:val="right"/>
        <w:rPr>
          <w:rFonts w:ascii="Arial" w:hAnsi="Arial"/>
          <w:b/>
        </w:rPr>
      </w:pPr>
    </w:p>
    <w:p w14:paraId="4CCE2F52" w14:textId="77777777" w:rsidR="001901C0" w:rsidRPr="001901C0" w:rsidRDefault="001901C0" w:rsidP="00D75295">
      <w:pPr>
        <w:jc w:val="right"/>
        <w:rPr>
          <w:rFonts w:ascii="Arial" w:hAnsi="Arial"/>
          <w:b/>
        </w:rPr>
      </w:pPr>
    </w:p>
    <w:p w14:paraId="1CFA35BB" w14:textId="4D403999" w:rsidR="00013360" w:rsidRDefault="00D334AE" w:rsidP="00013360">
      <w:pPr>
        <w:pStyle w:val="CaseTitle"/>
        <w:spacing w:after="0" w:line="240" w:lineRule="auto"/>
        <w:rPr>
          <w:sz w:val="20"/>
          <w:szCs w:val="20"/>
        </w:rPr>
      </w:pPr>
      <w:r>
        <w:t>G</w:t>
      </w:r>
      <w:r w:rsidRPr="00F42D11">
        <w:rPr>
          <w:spacing w:val="20"/>
        </w:rPr>
        <w:t>o</w:t>
      </w:r>
      <w:r>
        <w:t>Sports</w:t>
      </w:r>
      <w:r w:rsidR="00BE0D71">
        <w:t xml:space="preserve"> </w:t>
      </w:r>
      <w:r>
        <w:t>Foundation: Going Beyond the Gold</w:t>
      </w:r>
    </w:p>
    <w:p w14:paraId="45EC11B6" w14:textId="77777777" w:rsidR="00CA3976" w:rsidRDefault="00CA3976" w:rsidP="00013360">
      <w:pPr>
        <w:pStyle w:val="CaseTitle"/>
        <w:spacing w:after="0" w:line="240" w:lineRule="auto"/>
        <w:rPr>
          <w:sz w:val="20"/>
          <w:szCs w:val="20"/>
        </w:rPr>
      </w:pPr>
    </w:p>
    <w:p w14:paraId="0C705799" w14:textId="77777777" w:rsidR="00013360" w:rsidRPr="00013360" w:rsidRDefault="00013360" w:rsidP="00013360">
      <w:pPr>
        <w:pStyle w:val="CaseTitle"/>
        <w:spacing w:after="0" w:line="240" w:lineRule="auto"/>
        <w:rPr>
          <w:sz w:val="20"/>
          <w:szCs w:val="20"/>
        </w:rPr>
      </w:pPr>
    </w:p>
    <w:p w14:paraId="4CDD5250" w14:textId="77777777" w:rsidR="00086B26" w:rsidRPr="00287D6F" w:rsidRDefault="00D334AE" w:rsidP="00086B26">
      <w:pPr>
        <w:pStyle w:val="StyleCopyrightStatementAfter0ptBottomSinglesolidline1"/>
      </w:pPr>
      <w:r>
        <w:t>Sanjeev Tripathi and Vijay Krishnamurthy</w:t>
      </w:r>
      <w:r w:rsidR="00BB2749">
        <w:t xml:space="preserve"> </w:t>
      </w:r>
      <w:r w:rsidR="00086B26" w:rsidRPr="00287D6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1AB96B6" w14:textId="77777777" w:rsidR="00086B26" w:rsidRDefault="00086B26" w:rsidP="00086B26">
      <w:pPr>
        <w:pStyle w:val="StyleCopyrightStatementAfter0ptBottomSinglesolidline1"/>
      </w:pPr>
    </w:p>
    <w:p w14:paraId="5C224631" w14:textId="77777777" w:rsidR="00CD674B" w:rsidRPr="00A323B0" w:rsidRDefault="00CD674B" w:rsidP="00CD674B">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9EBAD47" w14:textId="77777777" w:rsidR="00CD674B" w:rsidRPr="00A323B0" w:rsidRDefault="00CD674B" w:rsidP="00CD674B">
      <w:pPr>
        <w:pStyle w:val="StyleStyleCopyrightStatementAfter0ptBottomSinglesolid"/>
        <w:rPr>
          <w:rFonts w:cs="Arial"/>
          <w:szCs w:val="16"/>
        </w:rPr>
      </w:pPr>
    </w:p>
    <w:p w14:paraId="714E59CC" w14:textId="562F7A6B" w:rsidR="00751E0B" w:rsidRPr="00C02410" w:rsidRDefault="00CD674B" w:rsidP="00CD674B">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2021-05-20</w:t>
      </w:r>
    </w:p>
    <w:p w14:paraId="65D7CBD0" w14:textId="77777777" w:rsidR="00751E0B" w:rsidRPr="00F60786" w:rsidRDefault="00751E0B" w:rsidP="00751E0B">
      <w:pPr>
        <w:pStyle w:val="StyleCopyrightStatementAfter0ptBottomSinglesolidline1"/>
        <w:rPr>
          <w:rFonts w:ascii="Times New Roman" w:hAnsi="Times New Roman"/>
          <w:sz w:val="20"/>
        </w:rPr>
      </w:pPr>
    </w:p>
    <w:p w14:paraId="22B2C933" w14:textId="77777777" w:rsidR="00B87DC0" w:rsidRDefault="00B87DC0" w:rsidP="00485BDD">
      <w:pPr>
        <w:pStyle w:val="BodyTextMain"/>
      </w:pPr>
    </w:p>
    <w:p w14:paraId="5B0DDDC9" w14:textId="375DC393" w:rsidR="00DA6B45" w:rsidRPr="00CF5F12" w:rsidRDefault="00DA6B45" w:rsidP="00DA6B45">
      <w:pPr>
        <w:pStyle w:val="BodyTextMain"/>
      </w:pPr>
      <w:r w:rsidRPr="00CF5F12">
        <w:t xml:space="preserve">Nandan Kamath, the co-founder and managing trustee of GoSports Foundation (GoSports), was stalling in his office. It was a Friday evening in December 2019, just five days before Christmas, and Kamath was in no rush to join the weekend city traffic jammed with everyone keen to leave the city and start the holiday season. Instead, he was reflecting on the past year for GoSports. The organization had grown in size and impact over the past decade, and last year had been especially satisfying with the highlight being the prestigious national award for sports promotion, the </w:t>
      </w:r>
      <w:r w:rsidRPr="00CF5F12">
        <w:rPr>
          <w:i/>
          <w:iCs/>
        </w:rPr>
        <w:t>Rashtriya Khel Protsahan Puruskar</w:t>
      </w:r>
      <w:r w:rsidRPr="00CF5F12">
        <w:t>, conferred on GoSports by the president of India.</w:t>
      </w:r>
      <w:r w:rsidR="00E87E08" w:rsidRPr="00E87E08">
        <w:rPr>
          <w:rStyle w:val="FootnoteReference"/>
        </w:rPr>
        <w:footnoteReference w:id="1"/>
      </w:r>
      <w:r w:rsidRPr="00CF5F12">
        <w:t xml:space="preserve"> </w:t>
      </w:r>
    </w:p>
    <w:p w14:paraId="3E0249F4" w14:textId="77777777" w:rsidR="00DA6B45" w:rsidRPr="00CF5F12" w:rsidRDefault="00DA6B45" w:rsidP="00DA6B45">
      <w:pPr>
        <w:pStyle w:val="BodyTextMain"/>
      </w:pPr>
    </w:p>
    <w:p w14:paraId="78DBD8A0" w14:textId="5CB77157" w:rsidR="00DA6B45" w:rsidRPr="00CF5F12" w:rsidRDefault="00DA6B45" w:rsidP="00DA6B45">
      <w:pPr>
        <w:pStyle w:val="BodyTextMain"/>
      </w:pPr>
      <w:r w:rsidRPr="00CF5F12">
        <w:t xml:space="preserve">As Kamath continued reflecting, his eye caught a file lying on his </w:t>
      </w:r>
      <w:r w:rsidR="00DD0FDC">
        <w:t>desk</w:t>
      </w:r>
      <w:r w:rsidRPr="00CF5F12">
        <w:t xml:space="preserve">. The GoSports team was in the middle of its athlete selection process. Kamath picked up the file and flipped through the various profiles of those </w:t>
      </w:r>
      <w:r w:rsidR="00DD0FDC">
        <w:t xml:space="preserve">athletes </w:t>
      </w:r>
      <w:r w:rsidRPr="00CF5F12">
        <w:t xml:space="preserve">being considered. For over a decade, GoSports had identified and supported Indian athletes aspiring to participate and succeed at multisport events such as the Olympic </w:t>
      </w:r>
      <w:r w:rsidR="009F51C5" w:rsidRPr="00CF5F12">
        <w:t xml:space="preserve">Games (Olympics) </w:t>
      </w:r>
      <w:r w:rsidRPr="00CF5F12">
        <w:t xml:space="preserve">and Paralympic Games, the Asian Games, and the Commonwealth Games. One criteria </w:t>
      </w:r>
      <w:r w:rsidR="00024B90">
        <w:t xml:space="preserve">item </w:t>
      </w:r>
      <w:r w:rsidRPr="00CF5F12">
        <w:t xml:space="preserve">that GoSports used to select the athletes it would sponsor was their potential for qualifying and winning medals. Another consideration was </w:t>
      </w:r>
      <w:r w:rsidR="007C54F0" w:rsidRPr="00CF5F12">
        <w:t xml:space="preserve">athletes </w:t>
      </w:r>
      <w:r w:rsidRPr="00CF5F12">
        <w:t>who could inspire an entire generation by their stories of breaking through against all the odds</w:t>
      </w:r>
      <w:r w:rsidR="007C54F0" w:rsidRPr="00CF5F12">
        <w:t>, even if they did not win medals</w:t>
      </w:r>
      <w:r w:rsidRPr="00CF5F12">
        <w:t xml:space="preserve">. </w:t>
      </w:r>
    </w:p>
    <w:p w14:paraId="25125ACD" w14:textId="77777777" w:rsidR="00DA6B45" w:rsidRPr="00CF5F12" w:rsidRDefault="00DA6B45" w:rsidP="00DA6B45">
      <w:pPr>
        <w:pStyle w:val="BodyTextMain"/>
      </w:pPr>
    </w:p>
    <w:p w14:paraId="4C323ADF" w14:textId="11EDD1B9" w:rsidR="00DA6B45" w:rsidRPr="00DA6B45" w:rsidRDefault="00DA6B45" w:rsidP="00DA6B45">
      <w:pPr>
        <w:pStyle w:val="BodyTextMain"/>
      </w:pPr>
      <w:r w:rsidRPr="00CF5F12">
        <w:t>Each athlete was a change agent, carrying a purpose and an objective. GoSports had limited funding, and Kamath wondered who the next sponsored athlete would be. He also wondered whether GoSports needed to extend its programs to develop and support coaches and trainers. What was the organization</w:t>
      </w:r>
      <w:r w:rsidR="00E45AFA" w:rsidRPr="00CF5F12">
        <w:t>’</w:t>
      </w:r>
      <w:r w:rsidRPr="00CF5F12">
        <w:t>s immediate next priority?</w:t>
      </w:r>
      <w:r w:rsidRPr="00DA6B45">
        <w:t xml:space="preserve"> </w:t>
      </w:r>
    </w:p>
    <w:p w14:paraId="71E1EF67" w14:textId="14D60EB7" w:rsidR="00D334AE" w:rsidRDefault="00D334AE" w:rsidP="00D334AE">
      <w:pPr>
        <w:pStyle w:val="BodyTextMain"/>
      </w:pPr>
    </w:p>
    <w:p w14:paraId="72FF51AD" w14:textId="77777777" w:rsidR="00F4399B" w:rsidRDefault="00F4399B" w:rsidP="00D334AE">
      <w:pPr>
        <w:pStyle w:val="BodyTextMain"/>
      </w:pPr>
    </w:p>
    <w:p w14:paraId="03AA2660" w14:textId="18683748" w:rsidR="00D334AE" w:rsidRDefault="00D334AE" w:rsidP="003E4A9C">
      <w:pPr>
        <w:pStyle w:val="Casehead1"/>
      </w:pPr>
      <w:r>
        <w:t>THE OLYMPIC AND PARALYMPIC MOVEMENT</w:t>
      </w:r>
    </w:p>
    <w:p w14:paraId="318EF057" w14:textId="77777777" w:rsidR="00D334AE" w:rsidRDefault="00D334AE" w:rsidP="00485BDD">
      <w:pPr>
        <w:pStyle w:val="BodyTextMain"/>
      </w:pPr>
    </w:p>
    <w:p w14:paraId="53A70DAD" w14:textId="28D24CE3" w:rsidR="00D334AE" w:rsidRDefault="00D334AE" w:rsidP="00485BDD">
      <w:pPr>
        <w:pStyle w:val="BodyTextMain"/>
      </w:pPr>
      <w:r>
        <w:t>The Olympics</w:t>
      </w:r>
      <w:r w:rsidR="00E53398">
        <w:t xml:space="preserve">, originally </w:t>
      </w:r>
      <w:r>
        <w:t>a festive celebration of the Greek god Zeus</w:t>
      </w:r>
      <w:r w:rsidR="00E53398">
        <w:t>, became</w:t>
      </w:r>
      <w:r>
        <w:t xml:space="preserve"> the </w:t>
      </w:r>
      <w:r w:rsidR="00E53398">
        <w:t xml:space="preserve">event as the modern world knew it </w:t>
      </w:r>
      <w:r>
        <w:t>in 1896.</w:t>
      </w:r>
      <w:r w:rsidR="00F26993" w:rsidRPr="0096272E">
        <w:rPr>
          <w:rStyle w:val="FootnoteReference"/>
        </w:rPr>
        <w:footnoteReference w:id="2"/>
      </w:r>
      <w:r>
        <w:t xml:space="preserve"> Since then, the </w:t>
      </w:r>
      <w:r w:rsidR="009F51C5">
        <w:t>Olympics</w:t>
      </w:r>
      <w:r>
        <w:t xml:space="preserve"> </w:t>
      </w:r>
      <w:r w:rsidR="00E45AFA">
        <w:t xml:space="preserve">were </w:t>
      </w:r>
      <w:r>
        <w:t xml:space="preserve">held every four years, barring the disruptions </w:t>
      </w:r>
      <w:r w:rsidR="00E45AFA">
        <w:t xml:space="preserve">caused </w:t>
      </w:r>
      <w:r w:rsidR="00E45AFA">
        <w:lastRenderedPageBreak/>
        <w:t>by</w:t>
      </w:r>
      <w:r>
        <w:t xml:space="preserve"> the two World Wars</w:t>
      </w:r>
      <w:r w:rsidR="00E45AFA">
        <w:t xml:space="preserve"> in 1916, 1940, and 1944 and by the COVID-19 pandemic in 2020.</w:t>
      </w:r>
      <w:r w:rsidR="002920E2">
        <w:rPr>
          <w:rStyle w:val="FootnoteReference"/>
        </w:rPr>
        <w:footnoteReference w:id="3"/>
      </w:r>
      <w:r>
        <w:t xml:space="preserve"> The Olympics </w:t>
      </w:r>
      <w:r w:rsidR="00E45AFA">
        <w:t xml:space="preserve">were </w:t>
      </w:r>
      <w:r>
        <w:t>considered the world</w:t>
      </w:r>
      <w:r w:rsidR="00E45AFA">
        <w:t>’</w:t>
      </w:r>
      <w:r>
        <w:t xml:space="preserve">s </w:t>
      </w:r>
      <w:r w:rsidR="00E45AFA">
        <w:t xml:space="preserve">largest </w:t>
      </w:r>
      <w:r>
        <w:t xml:space="preserve">stage for sports competitions with more than 200 </w:t>
      </w:r>
      <w:r w:rsidR="00CD674B">
        <w:t>n</w:t>
      </w:r>
      <w:r w:rsidR="00FC3062">
        <w:t xml:space="preserve">ational Olympic </w:t>
      </w:r>
      <w:r w:rsidR="00CD674B">
        <w:t>c</w:t>
      </w:r>
      <w:r w:rsidR="00FC3062">
        <w:t xml:space="preserve">ommittees </w:t>
      </w:r>
      <w:r>
        <w:t>participating</w:t>
      </w:r>
      <w:r w:rsidR="00CD674B">
        <w:t>.</w:t>
      </w:r>
      <w:r w:rsidR="00FC3062">
        <w:rPr>
          <w:rStyle w:val="FootnoteReference"/>
        </w:rPr>
        <w:footnoteReference w:id="4"/>
      </w:r>
      <w:r>
        <w:t xml:space="preserve"> The Olympic movement</w:t>
      </w:r>
      <w:r w:rsidR="00E45AFA">
        <w:t>’</w:t>
      </w:r>
      <w:r>
        <w:t xml:space="preserve">s goal </w:t>
      </w:r>
      <w:r w:rsidR="00E45AFA">
        <w:t xml:space="preserve">was </w:t>
      </w:r>
      <w:r>
        <w:t>to create a peaceful and better world by using sport as a medium for educating youth and removing discrimination of any kind. A designate</w:t>
      </w:r>
      <w:r w:rsidR="00BB2749">
        <w:t>d</w:t>
      </w:r>
      <w:r>
        <w:t xml:space="preserve"> host city organize</w:t>
      </w:r>
      <w:r w:rsidR="00E45AFA">
        <w:t>d</w:t>
      </w:r>
      <w:r>
        <w:t xml:space="preserve"> the Olympics under the auspices of the International Olympic Committee.</w:t>
      </w:r>
      <w:r w:rsidR="002920E2">
        <w:rPr>
          <w:rStyle w:val="FootnoteReference"/>
        </w:rPr>
        <w:footnoteReference w:id="5"/>
      </w:r>
    </w:p>
    <w:p w14:paraId="4AC4780B" w14:textId="77777777" w:rsidR="00D334AE" w:rsidRDefault="00D334AE" w:rsidP="00D334AE">
      <w:pPr>
        <w:pStyle w:val="BodyTextMain"/>
      </w:pPr>
    </w:p>
    <w:p w14:paraId="6E3E21CC" w14:textId="2975F31E" w:rsidR="00D334AE" w:rsidRPr="00994F60" w:rsidRDefault="009C68F9" w:rsidP="00D334AE">
      <w:pPr>
        <w:pStyle w:val="BodyTextMain"/>
        <w:rPr>
          <w:spacing w:val="-4"/>
        </w:rPr>
      </w:pPr>
      <w:r w:rsidRPr="00994F60">
        <w:rPr>
          <w:spacing w:val="-4"/>
        </w:rPr>
        <w:t xml:space="preserve">Although </w:t>
      </w:r>
      <w:r w:rsidR="00054F07" w:rsidRPr="00994F60">
        <w:rPr>
          <w:spacing w:val="-4"/>
        </w:rPr>
        <w:t>sport designated for athletes with impairments existed as early as the 1880s,</w:t>
      </w:r>
      <w:r w:rsidR="00015BC3" w:rsidRPr="00994F60">
        <w:rPr>
          <w:spacing w:val="-4"/>
        </w:rPr>
        <w:t xml:space="preserve"> </w:t>
      </w:r>
      <w:r w:rsidR="00054F07" w:rsidRPr="00994F60">
        <w:rPr>
          <w:spacing w:val="-4"/>
        </w:rPr>
        <w:t>it was not until 1948 that competition existed for those athletes at the Olympic level.</w:t>
      </w:r>
      <w:r w:rsidR="00D334AE" w:rsidRPr="00994F60">
        <w:rPr>
          <w:spacing w:val="-4"/>
        </w:rPr>
        <w:t xml:space="preserve"> </w:t>
      </w:r>
      <w:r w:rsidR="00676B2A" w:rsidRPr="00994F60">
        <w:rPr>
          <w:spacing w:val="-4"/>
        </w:rPr>
        <w:t>It was then that t</w:t>
      </w:r>
      <w:r w:rsidR="00D334AE" w:rsidRPr="00994F60">
        <w:rPr>
          <w:spacing w:val="-4"/>
        </w:rPr>
        <w:t xml:space="preserve">he Paralympic movement began, initiated by </w:t>
      </w:r>
      <w:r w:rsidR="00676B2A" w:rsidRPr="00994F60">
        <w:rPr>
          <w:spacing w:val="-4"/>
        </w:rPr>
        <w:t>a physician who treated spinal injuries. The first competition was in archery for injured</w:t>
      </w:r>
      <w:r w:rsidR="00D334AE" w:rsidRPr="00994F60">
        <w:rPr>
          <w:spacing w:val="-4"/>
        </w:rPr>
        <w:t xml:space="preserve"> war veterans</w:t>
      </w:r>
      <w:r w:rsidR="00676B2A" w:rsidRPr="00994F60">
        <w:rPr>
          <w:spacing w:val="-4"/>
        </w:rPr>
        <w:t>, men and women, in wheelchairs.</w:t>
      </w:r>
      <w:r w:rsidR="00D334AE" w:rsidRPr="00994F60">
        <w:rPr>
          <w:spacing w:val="-4"/>
        </w:rPr>
        <w:t xml:space="preserve"> </w:t>
      </w:r>
      <w:r w:rsidR="00935D63" w:rsidRPr="00994F60">
        <w:rPr>
          <w:spacing w:val="-4"/>
        </w:rPr>
        <w:t xml:space="preserve">Those competitions grew and in 1960, they became the Paralympic Games, </w:t>
      </w:r>
      <w:r w:rsidR="00D334AE" w:rsidRPr="00994F60">
        <w:rPr>
          <w:spacing w:val="-4"/>
        </w:rPr>
        <w:t>held in parallel with the Olympics and includ</w:t>
      </w:r>
      <w:r w:rsidR="00935D63" w:rsidRPr="00994F60">
        <w:rPr>
          <w:spacing w:val="-4"/>
        </w:rPr>
        <w:t>ing</w:t>
      </w:r>
      <w:r w:rsidR="00D334AE" w:rsidRPr="00994F60">
        <w:rPr>
          <w:spacing w:val="-4"/>
        </w:rPr>
        <w:t xml:space="preserve"> athletes from more than 100 countries. A designated host city organize</w:t>
      </w:r>
      <w:r w:rsidR="00935D63" w:rsidRPr="00994F60">
        <w:rPr>
          <w:spacing w:val="-4"/>
        </w:rPr>
        <w:t>d the Paralympic Games</w:t>
      </w:r>
      <w:r w:rsidR="00D334AE" w:rsidRPr="00994F60">
        <w:rPr>
          <w:spacing w:val="-4"/>
        </w:rPr>
        <w:t xml:space="preserve"> under the auspices of the International Paralympic Committee.</w:t>
      </w:r>
      <w:r w:rsidR="00F26993" w:rsidRPr="00994F60">
        <w:rPr>
          <w:rStyle w:val="FootnoteReference"/>
          <w:spacing w:val="-4"/>
        </w:rPr>
        <w:footnoteReference w:id="6"/>
      </w:r>
    </w:p>
    <w:p w14:paraId="3093E870" w14:textId="3548CE94" w:rsidR="00DF0E18" w:rsidRPr="00CF5F12" w:rsidRDefault="00DF0E18" w:rsidP="00CF5F12">
      <w:pPr>
        <w:pStyle w:val="BodyTextMain"/>
      </w:pPr>
    </w:p>
    <w:p w14:paraId="4529DEF4" w14:textId="77777777" w:rsidR="00DF0E18" w:rsidRPr="00CF5F12" w:rsidRDefault="00DF0E18" w:rsidP="00CF5F12">
      <w:pPr>
        <w:pStyle w:val="BodyTextMain"/>
      </w:pPr>
    </w:p>
    <w:p w14:paraId="640D6D9E" w14:textId="77777777" w:rsidR="00D334AE" w:rsidRDefault="00D334AE" w:rsidP="00F42D11">
      <w:pPr>
        <w:pStyle w:val="Casehead2"/>
      </w:pPr>
      <w:r>
        <w:t>Olympic and Paralympic Sports Administration in India</w:t>
      </w:r>
    </w:p>
    <w:p w14:paraId="72332C86" w14:textId="77777777" w:rsidR="00D334AE" w:rsidRDefault="00D334AE" w:rsidP="00D334AE">
      <w:pPr>
        <w:pStyle w:val="BodyTextMain"/>
      </w:pPr>
    </w:p>
    <w:p w14:paraId="63BAF9C7" w14:textId="3D21AD56" w:rsidR="00DF3276" w:rsidRDefault="003A2D50" w:rsidP="00D334AE">
      <w:pPr>
        <w:pStyle w:val="BodyTextMain"/>
      </w:pPr>
      <w:r>
        <w:t>India first participated in the Olympics in 1900</w:t>
      </w:r>
      <w:r w:rsidR="000F1E11">
        <w:t>,</w:t>
      </w:r>
      <w:r w:rsidR="00CA0D5B">
        <w:t xml:space="preserve"> when a single </w:t>
      </w:r>
      <w:r w:rsidR="00DF0E18">
        <w:t>English-</w:t>
      </w:r>
      <w:r w:rsidR="00CA0D5B">
        <w:t>India</w:t>
      </w:r>
      <w:r w:rsidR="00DF0E18">
        <w:t>n athlete</w:t>
      </w:r>
      <w:r w:rsidR="00CA0D5B">
        <w:t xml:space="preserve"> holidaying in Paris participated in the </w:t>
      </w:r>
      <w:r w:rsidR="009F51C5">
        <w:t>Olympics</w:t>
      </w:r>
      <w:r w:rsidR="00DF0E18">
        <w:t>. T</w:t>
      </w:r>
      <w:r w:rsidR="009D20C6">
        <w:t>he country did not send a</w:t>
      </w:r>
      <w:r w:rsidR="00BA12AE">
        <w:t xml:space="preserve"> proper team</w:t>
      </w:r>
      <w:r w:rsidR="009D20C6">
        <w:t xml:space="preserve"> to </w:t>
      </w:r>
      <w:r w:rsidR="009F51C5">
        <w:t xml:space="preserve">the </w:t>
      </w:r>
      <w:r w:rsidR="009D20C6">
        <w:t xml:space="preserve">Olympics </w:t>
      </w:r>
      <w:r w:rsidR="00A21729">
        <w:t>until</w:t>
      </w:r>
      <w:r w:rsidR="00CA0D5B">
        <w:t xml:space="preserve"> 1920 </w:t>
      </w:r>
      <w:r w:rsidR="009D20C6">
        <w:t>when it was represented by six athletes</w:t>
      </w:r>
      <w:r w:rsidR="006710DC">
        <w:t xml:space="preserve"> who failed to win any medal</w:t>
      </w:r>
      <w:r w:rsidR="00B411A5">
        <w:t>s.</w:t>
      </w:r>
      <w:r w:rsidR="00A475D2">
        <w:rPr>
          <w:rStyle w:val="FootnoteReference"/>
        </w:rPr>
        <w:footnoteReference w:id="7"/>
      </w:r>
      <w:r w:rsidR="006710DC">
        <w:t xml:space="preserve"> </w:t>
      </w:r>
      <w:r w:rsidR="00CF2DE9">
        <w:t>I</w:t>
      </w:r>
      <w:r w:rsidR="006710DC">
        <w:t xml:space="preserve">n </w:t>
      </w:r>
      <w:r w:rsidR="00CA0D5B">
        <w:t xml:space="preserve">1924, </w:t>
      </w:r>
      <w:r w:rsidR="00CF2DE9">
        <w:t xml:space="preserve">the Indian squad </w:t>
      </w:r>
      <w:r w:rsidR="0084417B">
        <w:t>had its</w:t>
      </w:r>
      <w:r w:rsidR="00CF2DE9">
        <w:t xml:space="preserve"> first </w:t>
      </w:r>
      <w:r w:rsidR="0084417B">
        <w:t>woman member</w:t>
      </w:r>
      <w:r w:rsidR="00BA12AE">
        <w:t>.</w:t>
      </w:r>
      <w:r w:rsidR="0084417B">
        <w:rPr>
          <w:rStyle w:val="FootnoteReference"/>
        </w:rPr>
        <w:footnoteReference w:id="8"/>
      </w:r>
      <w:r w:rsidR="00D4741B">
        <w:t xml:space="preserve"> </w:t>
      </w:r>
      <w:r w:rsidR="00CF2DE9">
        <w:t>I</w:t>
      </w:r>
      <w:r w:rsidR="00D334AE">
        <w:t xml:space="preserve">n 1927, </w:t>
      </w:r>
      <w:r w:rsidR="009A37E8">
        <w:t xml:space="preserve">the Indian Olympic Association (IOA) was established by </w:t>
      </w:r>
      <w:r w:rsidR="00CA0D5B">
        <w:t xml:space="preserve">Sir </w:t>
      </w:r>
      <w:r w:rsidR="00D334AE">
        <w:t xml:space="preserve">Dorabji Tata </w:t>
      </w:r>
      <w:r>
        <w:t>and</w:t>
      </w:r>
      <w:r w:rsidR="00D334AE">
        <w:t xml:space="preserve"> </w:t>
      </w:r>
      <w:r w:rsidR="009A37E8">
        <w:t xml:space="preserve">by </w:t>
      </w:r>
      <w:r w:rsidR="00D334AE">
        <w:t>Dr. A.</w:t>
      </w:r>
      <w:r>
        <w:t xml:space="preserve"> </w:t>
      </w:r>
      <w:r w:rsidR="00D334AE">
        <w:t>G. Noehren</w:t>
      </w:r>
      <w:r w:rsidR="00CA0D5B">
        <w:t>, the physical education director of YMCA India</w:t>
      </w:r>
      <w:r w:rsidR="009A37E8">
        <w:t>. The</w:t>
      </w:r>
      <w:r w:rsidR="00D334AE">
        <w:t xml:space="preserve"> IOA</w:t>
      </w:r>
      <w:r w:rsidR="00CA0D5B">
        <w:t xml:space="preserve"> coordinate</w:t>
      </w:r>
      <w:r w:rsidR="009A37E8">
        <w:t>d</w:t>
      </w:r>
      <w:r w:rsidR="00CA0D5B">
        <w:t xml:space="preserve"> India’s participation in the </w:t>
      </w:r>
      <w:r w:rsidR="009F51C5">
        <w:t>Olympics</w:t>
      </w:r>
      <w:r>
        <w:t>.</w:t>
      </w:r>
      <w:r w:rsidR="00D334AE" w:rsidRPr="0096272E">
        <w:rPr>
          <w:rStyle w:val="FootnoteReference"/>
        </w:rPr>
        <w:footnoteReference w:id="9"/>
      </w:r>
      <w:r w:rsidR="00D334AE">
        <w:t xml:space="preserve"> </w:t>
      </w:r>
      <w:r w:rsidR="009A37E8">
        <w:t>The next year, i</w:t>
      </w:r>
      <w:r w:rsidR="00BA12AE">
        <w:t>n</w:t>
      </w:r>
      <w:r w:rsidR="00D4741B">
        <w:t xml:space="preserve"> 1928</w:t>
      </w:r>
      <w:r w:rsidR="00BA12AE">
        <w:t>,</w:t>
      </w:r>
      <w:r w:rsidR="00D4741B">
        <w:t xml:space="preserve"> </w:t>
      </w:r>
      <w:r w:rsidR="0084417B">
        <w:t>India w</w:t>
      </w:r>
      <w:r w:rsidR="00BA12AE">
        <w:t>on</w:t>
      </w:r>
      <w:r w:rsidR="0084417B">
        <w:t xml:space="preserve"> a gold medal for the first time</w:t>
      </w:r>
      <w:r w:rsidR="00BA12AE">
        <w:t>,</w:t>
      </w:r>
      <w:r w:rsidR="0084417B">
        <w:t xml:space="preserve"> </w:t>
      </w:r>
      <w:r w:rsidR="00DD2E09">
        <w:t xml:space="preserve">which </w:t>
      </w:r>
      <w:r w:rsidR="00BA12AE">
        <w:t>occurred</w:t>
      </w:r>
      <w:r w:rsidR="00DD2E09">
        <w:t xml:space="preserve"> in the </w:t>
      </w:r>
      <w:r w:rsidR="00BA12AE">
        <w:t>f</w:t>
      </w:r>
      <w:r w:rsidR="00DD2E09">
        <w:t xml:space="preserve">ield </w:t>
      </w:r>
      <w:r w:rsidR="00BA12AE">
        <w:t>h</w:t>
      </w:r>
      <w:r w:rsidR="00DD2E09">
        <w:t>ockey event</w:t>
      </w:r>
      <w:r w:rsidR="00BA12AE">
        <w:t>.</w:t>
      </w:r>
      <w:r w:rsidR="00DD2E09">
        <w:rPr>
          <w:rStyle w:val="FootnoteReference"/>
        </w:rPr>
        <w:footnoteReference w:id="10"/>
      </w:r>
      <w:r w:rsidR="00DD2E09">
        <w:t xml:space="preserve"> </w:t>
      </w:r>
    </w:p>
    <w:p w14:paraId="714C1E06" w14:textId="77777777" w:rsidR="00DF3276" w:rsidRDefault="00DF3276" w:rsidP="00D334AE">
      <w:pPr>
        <w:pStyle w:val="BodyTextMain"/>
      </w:pPr>
    </w:p>
    <w:p w14:paraId="77806B65" w14:textId="18688230" w:rsidR="00516C7B" w:rsidRDefault="00BA12AE" w:rsidP="00D334AE">
      <w:pPr>
        <w:pStyle w:val="BodyTextMain"/>
      </w:pPr>
      <w:r>
        <w:t>By 2012</w:t>
      </w:r>
      <w:r w:rsidR="00D4741B">
        <w:t xml:space="preserve">, the size of the Indian contingent at </w:t>
      </w:r>
      <w:r>
        <w:t xml:space="preserve">the </w:t>
      </w:r>
      <w:r w:rsidR="00D4741B">
        <w:t>Olympics</w:t>
      </w:r>
      <w:r w:rsidR="00A21729">
        <w:t xml:space="preserve"> had</w:t>
      </w:r>
      <w:r w:rsidR="00D4741B">
        <w:t xml:space="preserve"> increased to more than 80 </w:t>
      </w:r>
      <w:r>
        <w:t xml:space="preserve">team members. At </w:t>
      </w:r>
      <w:r w:rsidR="00D4741B">
        <w:t>the 2012 Olympics</w:t>
      </w:r>
      <w:r w:rsidR="009A37E8">
        <w:t xml:space="preserve"> in London, UK</w:t>
      </w:r>
      <w:r>
        <w:t>,</w:t>
      </w:r>
      <w:r w:rsidR="00D4741B">
        <w:t xml:space="preserve"> India </w:t>
      </w:r>
      <w:r>
        <w:t>won six medals</w:t>
      </w:r>
      <w:r w:rsidR="009A37E8">
        <w:t>—</w:t>
      </w:r>
      <w:r w:rsidR="00D4741B">
        <w:t xml:space="preserve">its highest </w:t>
      </w:r>
      <w:r>
        <w:t>total</w:t>
      </w:r>
      <w:r w:rsidR="009A37E8">
        <w:t xml:space="preserve"> ever</w:t>
      </w:r>
      <w:r w:rsidR="00D4741B">
        <w:t xml:space="preserve">. </w:t>
      </w:r>
      <w:r>
        <w:t>At</w:t>
      </w:r>
      <w:r w:rsidR="00646B62">
        <w:t xml:space="preserve"> the 2016 Olympics</w:t>
      </w:r>
      <w:r>
        <w:t>,</w:t>
      </w:r>
      <w:r w:rsidR="00646B62">
        <w:t xml:space="preserve"> India sent its </w:t>
      </w:r>
      <w:r w:rsidR="009A37E8">
        <w:t>largest</w:t>
      </w:r>
      <w:r w:rsidR="00646B62">
        <w:t xml:space="preserve"> contingent</w:t>
      </w:r>
      <w:r>
        <w:t>, with</w:t>
      </w:r>
      <w:r w:rsidR="00646B62">
        <w:t xml:space="preserve"> 117 athletes represent</w:t>
      </w:r>
      <w:r>
        <w:t>ing</w:t>
      </w:r>
      <w:r w:rsidR="00646B62">
        <w:t xml:space="preserve"> India </w:t>
      </w:r>
      <w:r>
        <w:t>in</w:t>
      </w:r>
      <w:r w:rsidR="00646B62">
        <w:t xml:space="preserve"> 15 different </w:t>
      </w:r>
      <w:r>
        <w:t>events.</w:t>
      </w:r>
      <w:r w:rsidR="00646B62">
        <w:rPr>
          <w:rStyle w:val="FootnoteReference"/>
        </w:rPr>
        <w:footnoteReference w:id="11"/>
      </w:r>
      <w:r w:rsidR="00646B62">
        <w:t xml:space="preserve"> </w:t>
      </w:r>
      <w:r>
        <w:t xml:space="preserve">However, </w:t>
      </w:r>
      <w:r w:rsidR="00646B62">
        <w:t xml:space="preserve">the </w:t>
      </w:r>
      <w:r w:rsidR="00D910AD">
        <w:t>team won only</w:t>
      </w:r>
      <w:r>
        <w:t xml:space="preserve"> </w:t>
      </w:r>
      <w:r w:rsidR="00D910AD">
        <w:t xml:space="preserve">two </w:t>
      </w:r>
      <w:r w:rsidR="00646B62">
        <w:t>medal</w:t>
      </w:r>
      <w:r w:rsidR="00D910AD">
        <w:t>s</w:t>
      </w:r>
      <w:r w:rsidR="009A37E8">
        <w:t>. The team</w:t>
      </w:r>
      <w:r>
        <w:t xml:space="preserve"> narrowly</w:t>
      </w:r>
      <w:r w:rsidR="00D910AD">
        <w:t xml:space="preserve"> </w:t>
      </w:r>
      <w:r w:rsidR="00FC3062">
        <w:t xml:space="preserve">missed </w:t>
      </w:r>
      <w:r w:rsidR="00D910AD">
        <w:t>a</w:t>
      </w:r>
      <w:r w:rsidR="00646B62">
        <w:t xml:space="preserve"> medal</w:t>
      </w:r>
      <w:r w:rsidR="00D910AD">
        <w:t xml:space="preserve"> position in several event</w:t>
      </w:r>
      <w:r w:rsidR="00646B62">
        <w:t xml:space="preserve">s such as </w:t>
      </w:r>
      <w:r w:rsidR="00D910AD">
        <w:t>g</w:t>
      </w:r>
      <w:r w:rsidR="00646B62">
        <w:t>ymnastics</w:t>
      </w:r>
      <w:r w:rsidR="00D910AD">
        <w:t>,</w:t>
      </w:r>
      <w:r w:rsidR="00646B62">
        <w:t xml:space="preserve"> where India </w:t>
      </w:r>
      <w:r w:rsidR="00D910AD">
        <w:t>performed better than</w:t>
      </w:r>
      <w:r w:rsidR="00646B62">
        <w:t xml:space="preserve"> expect</w:t>
      </w:r>
      <w:r w:rsidR="00D910AD">
        <w:t>ed,</w:t>
      </w:r>
      <w:r w:rsidR="00646B62">
        <w:t xml:space="preserve"> </w:t>
      </w:r>
      <w:r w:rsidR="009A37E8">
        <w:t xml:space="preserve">thereby </w:t>
      </w:r>
      <w:r w:rsidR="00646B62">
        <w:t>rais</w:t>
      </w:r>
      <w:r w:rsidR="00D910AD">
        <w:t>ing</w:t>
      </w:r>
      <w:r w:rsidR="00646B62">
        <w:t xml:space="preserve"> hopes for the 2020 Olympics.</w:t>
      </w:r>
      <w:r w:rsidR="00D910AD">
        <w:rPr>
          <w:rStyle w:val="FootnoteReference"/>
        </w:rPr>
        <w:footnoteReference w:id="12"/>
      </w:r>
    </w:p>
    <w:p w14:paraId="161344E0" w14:textId="77777777" w:rsidR="00516C7B" w:rsidRDefault="00516C7B" w:rsidP="00D334AE">
      <w:pPr>
        <w:pStyle w:val="BodyTextMain"/>
      </w:pPr>
    </w:p>
    <w:p w14:paraId="304000A0" w14:textId="52EBD94A" w:rsidR="00D334AE" w:rsidRDefault="00EE0AF0" w:rsidP="00D334AE">
      <w:pPr>
        <w:pStyle w:val="BodyTextMain"/>
      </w:pPr>
      <w:r>
        <w:t>T</w:t>
      </w:r>
      <w:r w:rsidR="00A42047">
        <w:t xml:space="preserve">he </w:t>
      </w:r>
      <w:r>
        <w:t xml:space="preserve">responsibility for </w:t>
      </w:r>
      <w:r w:rsidR="00A42047">
        <w:t>selectin</w:t>
      </w:r>
      <w:r>
        <w:t>g</w:t>
      </w:r>
      <w:r w:rsidR="00A42047">
        <w:t xml:space="preserve"> the athletes </w:t>
      </w:r>
      <w:r>
        <w:t>who would represent India at</w:t>
      </w:r>
      <w:r w:rsidR="00A42047">
        <w:t xml:space="preserve"> the Olympics</w:t>
      </w:r>
      <w:r>
        <w:t xml:space="preserve"> rested with</w:t>
      </w:r>
      <w:r w:rsidR="00D334AE">
        <w:t xml:space="preserve"> the IOA</w:t>
      </w:r>
      <w:r>
        <w:t>,</w:t>
      </w:r>
      <w:r w:rsidR="003A2D50">
        <w:t xml:space="preserve"> </w:t>
      </w:r>
      <w:r w:rsidR="00A42047">
        <w:t>act</w:t>
      </w:r>
      <w:r>
        <w:t>ing</w:t>
      </w:r>
      <w:r w:rsidR="00A42047">
        <w:t xml:space="preserve"> as National Olympic Committee for the country under </w:t>
      </w:r>
      <w:r>
        <w:t xml:space="preserve">the direction of the </w:t>
      </w:r>
      <w:r w:rsidR="00A42047">
        <w:t>International Ol</w:t>
      </w:r>
      <w:r>
        <w:t>y</w:t>
      </w:r>
      <w:r w:rsidR="00A42047">
        <w:t xml:space="preserve">mpic </w:t>
      </w:r>
      <w:r>
        <w:t>C</w:t>
      </w:r>
      <w:r w:rsidR="00A42047">
        <w:t>ommittee</w:t>
      </w:r>
      <w:r>
        <w:t>. B</w:t>
      </w:r>
      <w:r w:rsidR="004D7D32">
        <w:t>efore India achieved</w:t>
      </w:r>
      <w:r w:rsidR="00A42047">
        <w:t xml:space="preserve"> i</w:t>
      </w:r>
      <w:r w:rsidR="00554459">
        <w:t xml:space="preserve">ndependence </w:t>
      </w:r>
      <w:r w:rsidR="004D7D32">
        <w:t xml:space="preserve">in </w:t>
      </w:r>
      <w:r w:rsidR="00554459">
        <w:t xml:space="preserve">1947, the </w:t>
      </w:r>
      <w:r w:rsidR="004D7D32">
        <w:t>IO</w:t>
      </w:r>
      <w:r w:rsidR="00554459">
        <w:t>A was</w:t>
      </w:r>
      <w:r>
        <w:t xml:space="preserve"> more</w:t>
      </w:r>
      <w:r w:rsidR="00554459">
        <w:t xml:space="preserve"> </w:t>
      </w:r>
      <w:r>
        <w:t>focused</w:t>
      </w:r>
      <w:r w:rsidR="00554459">
        <w:t xml:space="preserve"> on sending the </w:t>
      </w:r>
      <w:r w:rsidR="004D7D32">
        <w:t xml:space="preserve">Indian </w:t>
      </w:r>
      <w:r w:rsidR="00554459">
        <w:t xml:space="preserve">team to the </w:t>
      </w:r>
      <w:r w:rsidR="009F51C5">
        <w:t>Olympics</w:t>
      </w:r>
      <w:r>
        <w:t>, while</w:t>
      </w:r>
      <w:r w:rsidR="00554459">
        <w:t xml:space="preserve"> </w:t>
      </w:r>
      <w:r w:rsidR="00D334AE">
        <w:t xml:space="preserve">the respective sports federations </w:t>
      </w:r>
      <w:r>
        <w:t>remained</w:t>
      </w:r>
      <w:r w:rsidR="00D334AE">
        <w:t xml:space="preserve"> accountable for training and </w:t>
      </w:r>
      <w:r w:rsidR="00554459">
        <w:lastRenderedPageBreak/>
        <w:t>selecting the athletes</w:t>
      </w:r>
      <w:r w:rsidR="00D334AE">
        <w:t xml:space="preserve">. </w:t>
      </w:r>
      <w:r w:rsidR="009F51C5">
        <w:t>After India</w:t>
      </w:r>
      <w:r w:rsidR="004D7D32">
        <w:t>’s</w:t>
      </w:r>
      <w:r w:rsidR="009F51C5">
        <w:t xml:space="preserve"> </w:t>
      </w:r>
      <w:r w:rsidR="00A42047">
        <w:t>independence, the r</w:t>
      </w:r>
      <w:r w:rsidR="00340E45">
        <w:t xml:space="preserve">esponsibility for India’s participation in the Olympics </w:t>
      </w:r>
      <w:r w:rsidR="00D334AE">
        <w:t>was shared</w:t>
      </w:r>
      <w:r w:rsidR="004D7D32">
        <w:t xml:space="preserve"> by</w:t>
      </w:r>
      <w:r>
        <w:t xml:space="preserve"> the IOA,</w:t>
      </w:r>
      <w:r w:rsidR="004D7D32">
        <w:t xml:space="preserve"> various sports federations, </w:t>
      </w:r>
      <w:r>
        <w:t>and</w:t>
      </w:r>
      <w:r w:rsidR="004D7D32">
        <w:t xml:space="preserve"> </w:t>
      </w:r>
      <w:r w:rsidR="00516C7B">
        <w:t xml:space="preserve">India’s </w:t>
      </w:r>
      <w:r w:rsidR="004D7D32">
        <w:t>d</w:t>
      </w:r>
      <w:r w:rsidR="00D334AE">
        <w:t xml:space="preserve">epartment of </w:t>
      </w:r>
      <w:r w:rsidR="004D7D32">
        <w:t>s</w:t>
      </w:r>
      <w:r w:rsidR="00D334AE">
        <w:t>ports</w:t>
      </w:r>
      <w:r w:rsidR="004D7D32">
        <w:t>, working</w:t>
      </w:r>
      <w:r w:rsidR="00D334AE">
        <w:t xml:space="preserve"> under the Ministry of Youth Affairs and Sports.</w:t>
      </w:r>
      <w:r w:rsidR="00F26993" w:rsidRPr="0096272E">
        <w:rPr>
          <w:rStyle w:val="FootnoteReference"/>
        </w:rPr>
        <w:footnoteReference w:id="13"/>
      </w:r>
    </w:p>
    <w:p w14:paraId="299B5CEF" w14:textId="77777777" w:rsidR="00F97A2C" w:rsidRDefault="00F97A2C" w:rsidP="00D334AE">
      <w:pPr>
        <w:pStyle w:val="BodyTextMain"/>
      </w:pPr>
    </w:p>
    <w:p w14:paraId="6B8F8A01" w14:textId="69C5E90F" w:rsidR="005B0529" w:rsidRDefault="00D334AE" w:rsidP="00D334AE">
      <w:pPr>
        <w:pStyle w:val="BodyTextMain"/>
      </w:pPr>
      <w:r>
        <w:t xml:space="preserve">In 1992, M. Mahadeva started an organization for the promotion and development of sports for </w:t>
      </w:r>
      <w:r w:rsidR="00340E45">
        <w:t>athletes with physical challenges</w:t>
      </w:r>
      <w:r w:rsidR="005B0529">
        <w:t>,</w:t>
      </w:r>
      <w:r w:rsidR="00516C7B">
        <w:t xml:space="preserve"> nam</w:t>
      </w:r>
      <w:r w:rsidR="005B0529">
        <w:t>ed</w:t>
      </w:r>
      <w:r w:rsidR="00516C7B">
        <w:t xml:space="preserve"> </w:t>
      </w:r>
      <w:r>
        <w:t>the Physically Handicapped Sports Federation of India</w:t>
      </w:r>
      <w:r w:rsidR="00516C7B">
        <w:t>.</w:t>
      </w:r>
      <w:r>
        <w:t xml:space="preserve"> By 1994, </w:t>
      </w:r>
      <w:r w:rsidR="00516C7B">
        <w:t xml:space="preserve">the organization </w:t>
      </w:r>
      <w:r>
        <w:t xml:space="preserve">was renamed the Paralympic Committee of India </w:t>
      </w:r>
      <w:r w:rsidR="004D7D32">
        <w:t>(</w:t>
      </w:r>
      <w:r>
        <w:t>affiliated with the International Paralympic Committee</w:t>
      </w:r>
      <w:r w:rsidR="004D7D32">
        <w:t>)</w:t>
      </w:r>
      <w:r>
        <w:t xml:space="preserve"> </w:t>
      </w:r>
      <w:r w:rsidR="005B0529">
        <w:t xml:space="preserve">with </w:t>
      </w:r>
      <w:r>
        <w:t xml:space="preserve">objectives to promote sports for </w:t>
      </w:r>
      <w:r w:rsidR="00F97A2C">
        <w:t>athletes with disabilities</w:t>
      </w:r>
      <w:r>
        <w:t>, identify talent, impart training, and select athletes for national and international competitions.</w:t>
      </w:r>
      <w:r w:rsidR="007625BC">
        <w:rPr>
          <w:rStyle w:val="FootnoteReference"/>
        </w:rPr>
        <w:footnoteReference w:id="14"/>
      </w:r>
    </w:p>
    <w:p w14:paraId="43AA254A" w14:textId="77777777" w:rsidR="005B0529" w:rsidRDefault="005B0529" w:rsidP="00D334AE">
      <w:pPr>
        <w:pStyle w:val="BodyTextMain"/>
      </w:pPr>
    </w:p>
    <w:p w14:paraId="67C0F7CB" w14:textId="41BA9367" w:rsidR="00D334AE" w:rsidRDefault="00D334AE" w:rsidP="00D334AE">
      <w:pPr>
        <w:pStyle w:val="BodyTextMain"/>
      </w:pPr>
      <w:r>
        <w:t xml:space="preserve">In 1968, India made its debut at the </w:t>
      </w:r>
      <w:r w:rsidR="005B0529">
        <w:t>s</w:t>
      </w:r>
      <w:r>
        <w:t>ummer Paralympic</w:t>
      </w:r>
      <w:r w:rsidR="000F1E11">
        <w:t xml:space="preserve"> Game</w:t>
      </w:r>
      <w:r>
        <w:t>s</w:t>
      </w:r>
      <w:r w:rsidR="005B0529">
        <w:t xml:space="preserve"> and</w:t>
      </w:r>
      <w:r w:rsidR="00097A81">
        <w:t xml:space="preserve"> competed again in 1972</w:t>
      </w:r>
      <w:r w:rsidR="005B0529">
        <w:t>. A</w:t>
      </w:r>
      <w:r w:rsidR="00097A81">
        <w:t>fter a long gap</w:t>
      </w:r>
      <w:r w:rsidR="007625BC">
        <w:t>,</w:t>
      </w:r>
      <w:r w:rsidR="00097A81">
        <w:t xml:space="preserve"> the</w:t>
      </w:r>
      <w:r w:rsidR="007625BC">
        <w:t xml:space="preserve"> country became a regular participant starting with the</w:t>
      </w:r>
      <w:r w:rsidR="00097A81">
        <w:t xml:space="preserve"> 1984 </w:t>
      </w:r>
      <w:r w:rsidR="005B0529">
        <w:t>Para</w:t>
      </w:r>
      <w:r w:rsidR="009F51C5">
        <w:t>lympic</w:t>
      </w:r>
      <w:r w:rsidR="005B0529">
        <w:t xml:space="preserve"> Game</w:t>
      </w:r>
      <w:r w:rsidR="009F51C5">
        <w:t>s</w:t>
      </w:r>
      <w:r w:rsidR="00097A81">
        <w:t>. In</w:t>
      </w:r>
      <w:r w:rsidR="005B0529">
        <w:t xml:space="preserve">dia </w:t>
      </w:r>
      <w:r w:rsidR="007625BC">
        <w:t xml:space="preserve">had </w:t>
      </w:r>
      <w:r w:rsidR="005B0529">
        <w:t>won only one medal in</w:t>
      </w:r>
      <w:r w:rsidR="00097A81">
        <w:t xml:space="preserve"> the 1972 </w:t>
      </w:r>
      <w:r w:rsidR="005B0529">
        <w:t>Paralympic G</w:t>
      </w:r>
      <w:r w:rsidR="00097A81">
        <w:t>ame</w:t>
      </w:r>
      <w:r w:rsidR="005B0529">
        <w:t>s,</w:t>
      </w:r>
      <w:r w:rsidR="00097A81">
        <w:t xml:space="preserve"> four medals</w:t>
      </w:r>
      <w:r w:rsidR="005B0529">
        <w:t xml:space="preserve"> in 1984, and two medals in</w:t>
      </w:r>
      <w:r w:rsidR="00097A81">
        <w:t xml:space="preserve"> 2004. </w:t>
      </w:r>
      <w:r w:rsidR="007625BC">
        <w:t>However, a</w:t>
      </w:r>
      <w:r w:rsidR="00D12A2E">
        <w:t xml:space="preserve">n </w:t>
      </w:r>
      <w:r w:rsidR="007625BC">
        <w:t>improvement</w:t>
      </w:r>
      <w:r w:rsidR="00D12A2E">
        <w:t xml:space="preserve"> in performance </w:t>
      </w:r>
      <w:r w:rsidR="007625BC">
        <w:t>was seen at</w:t>
      </w:r>
      <w:r w:rsidR="00D12A2E">
        <w:t xml:space="preserve"> the 2016</w:t>
      </w:r>
      <w:r w:rsidR="005B0529">
        <w:t xml:space="preserve"> Paralympic G</w:t>
      </w:r>
      <w:r w:rsidR="00D12A2E">
        <w:t>ames</w:t>
      </w:r>
      <w:r w:rsidR="00C254B5">
        <w:t xml:space="preserve"> in Rio, Brazil</w:t>
      </w:r>
      <w:r w:rsidR="005B0529">
        <w:t>,</w:t>
      </w:r>
      <w:r w:rsidR="00D12A2E">
        <w:t xml:space="preserve"> when the country won </w:t>
      </w:r>
      <w:r w:rsidR="005B0529">
        <w:t>four</w:t>
      </w:r>
      <w:r w:rsidR="00D12A2E">
        <w:t xml:space="preserve"> medals</w:t>
      </w:r>
      <w:r w:rsidR="005B0529">
        <w:t>,</w:t>
      </w:r>
      <w:r w:rsidR="00D12A2E">
        <w:t xml:space="preserve"> including two gold medals. </w:t>
      </w:r>
      <w:r w:rsidR="005B0529">
        <w:t>India’s athletes received media attention and recognition f</w:t>
      </w:r>
      <w:r w:rsidR="00D12A2E">
        <w:t>or the</w:t>
      </w:r>
      <w:r w:rsidR="007625BC">
        <w:t>ir performance</w:t>
      </w:r>
      <w:r w:rsidR="005B0529">
        <w:t>, w</w:t>
      </w:r>
      <w:r w:rsidR="007625BC">
        <w:t>h</w:t>
      </w:r>
      <w:r w:rsidR="005B0529">
        <w:t>i</w:t>
      </w:r>
      <w:r w:rsidR="007625BC">
        <w:t>c</w:t>
      </w:r>
      <w:r w:rsidR="005B0529">
        <w:t xml:space="preserve">h </w:t>
      </w:r>
      <w:r w:rsidR="007625BC">
        <w:t>raised</w:t>
      </w:r>
      <w:r w:rsidR="005B0529">
        <w:t xml:space="preserve"> expectations for the next</w:t>
      </w:r>
      <w:r w:rsidR="00D12A2E">
        <w:t xml:space="preserve"> Paralympic </w:t>
      </w:r>
      <w:r w:rsidR="005B0529">
        <w:t>Games in 2020</w:t>
      </w:r>
      <w:r w:rsidR="00D12A2E">
        <w:t>.</w:t>
      </w:r>
      <w:r w:rsidR="00D12A2E">
        <w:rPr>
          <w:rStyle w:val="FootnoteReference"/>
        </w:rPr>
        <w:footnoteReference w:id="15"/>
      </w:r>
    </w:p>
    <w:p w14:paraId="779BD6C8" w14:textId="3616A2B4" w:rsidR="00F4399B" w:rsidRDefault="00F4399B" w:rsidP="00D334AE">
      <w:pPr>
        <w:pStyle w:val="BodyTextMain"/>
      </w:pPr>
    </w:p>
    <w:p w14:paraId="07D6C1B2" w14:textId="77777777" w:rsidR="00DF3276" w:rsidRPr="00DF3276" w:rsidRDefault="00DF3276" w:rsidP="00DF3276">
      <w:pPr>
        <w:pStyle w:val="BodyTextMain"/>
      </w:pPr>
    </w:p>
    <w:p w14:paraId="70EF1689" w14:textId="77777777" w:rsidR="00D334AE" w:rsidRDefault="00D334AE" w:rsidP="00F4399B">
      <w:pPr>
        <w:pStyle w:val="Casehead1"/>
      </w:pPr>
      <w:r>
        <w:t>SPORTS IN INDIA</w:t>
      </w:r>
    </w:p>
    <w:p w14:paraId="1F408646" w14:textId="77777777" w:rsidR="00D334AE" w:rsidRDefault="00D334AE" w:rsidP="00485BDD">
      <w:pPr>
        <w:pStyle w:val="BodyTextMain"/>
      </w:pPr>
    </w:p>
    <w:p w14:paraId="6E0E2A54" w14:textId="244DFF41" w:rsidR="001F26EF" w:rsidRDefault="001F26EF" w:rsidP="00485BDD">
      <w:pPr>
        <w:pStyle w:val="BodyTextMain"/>
      </w:pPr>
      <w:r>
        <w:t xml:space="preserve">Although </w:t>
      </w:r>
      <w:r w:rsidR="00D334AE">
        <w:t xml:space="preserve">India </w:t>
      </w:r>
      <w:r w:rsidR="00DF44A8">
        <w:t>wa</w:t>
      </w:r>
      <w:r w:rsidR="00D334AE">
        <w:t>s the second-most populous country in the world</w:t>
      </w:r>
      <w:r w:rsidR="00F26993" w:rsidRPr="0096272E">
        <w:rPr>
          <w:rStyle w:val="FootnoteReference"/>
        </w:rPr>
        <w:footnoteReference w:id="16"/>
      </w:r>
      <w:r w:rsidR="00D334AE">
        <w:t xml:space="preserve"> and one of the top </w:t>
      </w:r>
      <w:r w:rsidR="00214E43">
        <w:t>10</w:t>
      </w:r>
      <w:r w:rsidR="00D334AE">
        <w:t xml:space="preserve"> economies</w:t>
      </w:r>
      <w:r w:rsidR="007625BC">
        <w:t>,</w:t>
      </w:r>
      <w:r w:rsidR="00F26993" w:rsidRPr="0096272E">
        <w:rPr>
          <w:rStyle w:val="FootnoteReference"/>
        </w:rPr>
        <w:footnoteReference w:id="17"/>
      </w:r>
      <w:r w:rsidR="00D334AE">
        <w:t xml:space="preserve"> </w:t>
      </w:r>
      <w:r>
        <w:t>i</w:t>
      </w:r>
      <w:r w:rsidR="007625BC">
        <w:t xml:space="preserve">t </w:t>
      </w:r>
      <w:r>
        <w:t>ranked extremely low in terms</w:t>
      </w:r>
      <w:r w:rsidR="00DF44A8">
        <w:t xml:space="preserve"> of </w:t>
      </w:r>
      <w:r>
        <w:t xml:space="preserve">Olympic </w:t>
      </w:r>
      <w:r w:rsidR="00D334AE">
        <w:t>medals</w:t>
      </w:r>
      <w:r w:rsidR="00A07FD7">
        <w:t xml:space="preserve"> (see Exhibit 1)</w:t>
      </w:r>
      <w:r w:rsidR="00D334AE">
        <w:t>.</w:t>
      </w:r>
      <w:r>
        <w:t xml:space="preserve"> </w:t>
      </w:r>
      <w:r w:rsidR="00DF44A8">
        <w:t xml:space="preserve">After </w:t>
      </w:r>
      <w:r w:rsidR="00214E43">
        <w:t>achieving i</w:t>
      </w:r>
      <w:r w:rsidR="00D334AE">
        <w:t>ndependence</w:t>
      </w:r>
      <w:r w:rsidR="00214E43">
        <w:t xml:space="preserve"> in 1947</w:t>
      </w:r>
      <w:r w:rsidR="00D334AE">
        <w:t xml:space="preserve">, India </w:t>
      </w:r>
      <w:r w:rsidR="00CD2759">
        <w:t>was</w:t>
      </w:r>
      <w:r w:rsidR="00D334AE">
        <w:t xml:space="preserve"> challenge</w:t>
      </w:r>
      <w:r w:rsidR="00CD2759">
        <w:t>d</w:t>
      </w:r>
      <w:r w:rsidR="00D334AE">
        <w:t xml:space="preserve"> </w:t>
      </w:r>
      <w:r w:rsidR="00214E43">
        <w:t>with</w:t>
      </w:r>
      <w:r w:rsidR="00DF44A8">
        <w:t xml:space="preserve"> </w:t>
      </w:r>
      <w:r>
        <w:t>simply</w:t>
      </w:r>
      <w:r w:rsidR="00CD2759">
        <w:t xml:space="preserve"> </w:t>
      </w:r>
      <w:r w:rsidR="00D334AE">
        <w:t xml:space="preserve">providing the necessities </w:t>
      </w:r>
      <w:r w:rsidR="00214E43">
        <w:t xml:space="preserve">of life </w:t>
      </w:r>
      <w:r w:rsidR="00D334AE">
        <w:t>to its citizens, most of who</w:t>
      </w:r>
      <w:r w:rsidR="00DF44A8">
        <w:t>m</w:t>
      </w:r>
      <w:r w:rsidR="00D334AE">
        <w:t xml:space="preserve"> lived in poverty. The </w:t>
      </w:r>
      <w:r w:rsidR="00CD2759">
        <w:t>nation struggled in the 19</w:t>
      </w:r>
      <w:r w:rsidR="00D334AE">
        <w:t>50s</w:t>
      </w:r>
      <w:r w:rsidR="00CD2759">
        <w:t xml:space="preserve">, </w:t>
      </w:r>
      <w:r w:rsidR="00214E43">
        <w:t>19</w:t>
      </w:r>
      <w:r w:rsidR="00CD2759">
        <w:t xml:space="preserve">60s, and </w:t>
      </w:r>
      <w:r w:rsidR="00214E43">
        <w:t>19</w:t>
      </w:r>
      <w:r w:rsidR="00D334AE">
        <w:t xml:space="preserve">70s </w:t>
      </w:r>
      <w:r w:rsidR="00CD2759">
        <w:t xml:space="preserve">as it </w:t>
      </w:r>
      <w:r w:rsidR="00D334AE">
        <w:t>work</w:t>
      </w:r>
      <w:r w:rsidR="00CD2759">
        <w:t>ed</w:t>
      </w:r>
      <w:r w:rsidR="00D334AE">
        <w:t xml:space="preserve"> to</w:t>
      </w:r>
      <w:r w:rsidR="00214E43">
        <w:t xml:space="preserve"> achieve</w:t>
      </w:r>
      <w:r w:rsidR="00D334AE">
        <w:t xml:space="preserve"> self-sufficiency.</w:t>
      </w:r>
    </w:p>
    <w:p w14:paraId="71A575F0" w14:textId="77777777" w:rsidR="001F26EF" w:rsidRDefault="001F26EF" w:rsidP="00485BDD">
      <w:pPr>
        <w:pStyle w:val="BodyTextMain"/>
      </w:pPr>
    </w:p>
    <w:p w14:paraId="541F72BE" w14:textId="7821B92F" w:rsidR="00D57269" w:rsidRDefault="00D334AE" w:rsidP="00485BDD">
      <w:pPr>
        <w:pStyle w:val="BodyTextMain"/>
      </w:pPr>
      <w:r>
        <w:t xml:space="preserve">Sports </w:t>
      </w:r>
      <w:r w:rsidR="00CD2759">
        <w:t>w</w:t>
      </w:r>
      <w:r w:rsidR="00214E43">
        <w:t>ere</w:t>
      </w:r>
      <w:r w:rsidR="00CD2759">
        <w:t xml:space="preserve"> largely </w:t>
      </w:r>
      <w:r>
        <w:t>ignored</w:t>
      </w:r>
      <w:r w:rsidR="00214E43">
        <w:t xml:space="preserve"> by the country’s leaders,</w:t>
      </w:r>
      <w:r w:rsidR="004F6EB2">
        <w:t xml:space="preserve"> with </w:t>
      </w:r>
      <w:r w:rsidR="00CD2759">
        <w:t>little</w:t>
      </w:r>
      <w:r>
        <w:t xml:space="preserve"> systematic investment</w:t>
      </w:r>
      <w:r w:rsidR="00CD2759">
        <w:t>.</w:t>
      </w:r>
      <w:r>
        <w:t xml:space="preserve"> </w:t>
      </w:r>
      <w:r w:rsidR="00214E43">
        <w:t>Despite its</w:t>
      </w:r>
      <w:r w:rsidR="004F6EB2">
        <w:t xml:space="preserve"> vast population, </w:t>
      </w:r>
      <w:r w:rsidR="00214E43">
        <w:t>the country could not afford even a</w:t>
      </w:r>
      <w:r w:rsidR="004F6EB2">
        <w:t xml:space="preserve"> basic </w:t>
      </w:r>
      <w:r w:rsidR="00214E43">
        <w:t>sports program. Sports were generally</w:t>
      </w:r>
      <w:r w:rsidR="004F6EB2">
        <w:t xml:space="preserve"> considered a pastime</w:t>
      </w:r>
      <w:r w:rsidR="00214E43">
        <w:t xml:space="preserve"> for the wealthy</w:t>
      </w:r>
      <w:r w:rsidR="004F6EB2">
        <w:t xml:space="preserve">. </w:t>
      </w:r>
      <w:r>
        <w:t>India</w:t>
      </w:r>
      <w:r w:rsidR="00E45AFA">
        <w:t>’</w:t>
      </w:r>
      <w:r>
        <w:t xml:space="preserve">s performance </w:t>
      </w:r>
      <w:r w:rsidR="00CD2759">
        <w:t xml:space="preserve">at the </w:t>
      </w:r>
      <w:r w:rsidR="00214E43">
        <w:t xml:space="preserve">various </w:t>
      </w:r>
      <w:r>
        <w:t>Olympic</w:t>
      </w:r>
      <w:r w:rsidR="00CD2759">
        <w:t>s</w:t>
      </w:r>
      <w:r>
        <w:t xml:space="preserve"> </w:t>
      </w:r>
      <w:r w:rsidR="004F6EB2">
        <w:t xml:space="preserve">reflected the </w:t>
      </w:r>
      <w:r w:rsidR="00214E43">
        <w:t xml:space="preserve">country’s social, political, and financial </w:t>
      </w:r>
      <w:r w:rsidR="004F6EB2">
        <w:t xml:space="preserve">conditions. </w:t>
      </w:r>
      <w:r w:rsidR="00214E43">
        <w:t>The country’s Olympics a</w:t>
      </w:r>
      <w:r w:rsidR="004F6EB2">
        <w:t xml:space="preserve">chievements were </w:t>
      </w:r>
      <w:r>
        <w:t xml:space="preserve">primarily </w:t>
      </w:r>
      <w:r w:rsidR="00214E43">
        <w:t>reserved to</w:t>
      </w:r>
      <w:r>
        <w:t xml:space="preserve"> traditional </w:t>
      </w:r>
      <w:r w:rsidR="00214E43">
        <w:t>activities</w:t>
      </w:r>
      <w:r>
        <w:t xml:space="preserve"> such as </w:t>
      </w:r>
      <w:r w:rsidR="00353AEE">
        <w:t xml:space="preserve">field </w:t>
      </w:r>
      <w:r w:rsidR="00CD2759">
        <w:t>h</w:t>
      </w:r>
      <w:r>
        <w:t>ockey</w:t>
      </w:r>
      <w:r w:rsidR="00214E43">
        <w:t>. B</w:t>
      </w:r>
      <w:r w:rsidR="00D57269">
        <w:t xml:space="preserve">y the 1980s, with </w:t>
      </w:r>
      <w:r w:rsidR="00214E43">
        <w:t>a</w:t>
      </w:r>
      <w:r w:rsidR="00D57269">
        <w:t xml:space="preserve"> lack of investment</w:t>
      </w:r>
      <w:r w:rsidR="00214E43">
        <w:t xml:space="preserve"> in the country’s sports program</w:t>
      </w:r>
      <w:r w:rsidR="00D57269">
        <w:t xml:space="preserve">, </w:t>
      </w:r>
      <w:r>
        <w:t xml:space="preserve">India lost </w:t>
      </w:r>
      <w:r w:rsidR="00214E43">
        <w:t>any</w:t>
      </w:r>
      <w:r>
        <w:t xml:space="preserve"> advantage it had enjoyed in traditional strongholds</w:t>
      </w:r>
      <w:r w:rsidR="00214E43">
        <w:t xml:space="preserve">, </w:t>
      </w:r>
      <w:r w:rsidR="001F26EF">
        <w:t>earning</w:t>
      </w:r>
      <w:r w:rsidR="00214E43">
        <w:t xml:space="preserve"> no</w:t>
      </w:r>
      <w:r>
        <w:t xml:space="preserve"> medal</w:t>
      </w:r>
      <w:r w:rsidR="00214E43">
        <w:t xml:space="preserve">s </w:t>
      </w:r>
      <w:r>
        <w:t xml:space="preserve">in the </w:t>
      </w:r>
      <w:r w:rsidR="00D57269">
        <w:t xml:space="preserve">1984 or 1988 </w:t>
      </w:r>
      <w:r>
        <w:t>Olympics</w:t>
      </w:r>
      <w:r w:rsidR="00D57269">
        <w:t>.</w:t>
      </w:r>
      <w:r w:rsidR="00F26993" w:rsidRPr="0096272E">
        <w:rPr>
          <w:rStyle w:val="FootnoteReference"/>
        </w:rPr>
        <w:footnoteReference w:id="18"/>
      </w:r>
    </w:p>
    <w:p w14:paraId="6D8D7813" w14:textId="77777777" w:rsidR="00D57269" w:rsidRDefault="00D57269" w:rsidP="00485BDD">
      <w:pPr>
        <w:pStyle w:val="BodyTextMain"/>
      </w:pPr>
    </w:p>
    <w:p w14:paraId="6406379A" w14:textId="330F6D60" w:rsidR="0058586C" w:rsidRDefault="001F26EF" w:rsidP="00485BDD">
      <w:pPr>
        <w:pStyle w:val="BodyTextMain"/>
      </w:pPr>
      <w:r>
        <w:t>B</w:t>
      </w:r>
      <w:r w:rsidR="00D334AE">
        <w:t xml:space="preserve">y </w:t>
      </w:r>
      <w:r w:rsidR="0058586C">
        <w:t>th</w:t>
      </w:r>
      <w:r>
        <w:t>at time</w:t>
      </w:r>
      <w:r w:rsidR="00D334AE">
        <w:t xml:space="preserve">, </w:t>
      </w:r>
      <w:r>
        <w:t xml:space="preserve">India had </w:t>
      </w:r>
      <w:r w:rsidR="00D334AE">
        <w:t xml:space="preserve">adopted </w:t>
      </w:r>
      <w:r w:rsidR="0058586C">
        <w:t>c</w:t>
      </w:r>
      <w:r w:rsidR="00D334AE">
        <w:t xml:space="preserve">ricket as its </w:t>
      </w:r>
      <w:r>
        <w:t xml:space="preserve">main </w:t>
      </w:r>
      <w:r w:rsidR="00D334AE">
        <w:t xml:space="preserve">sport, winning the </w:t>
      </w:r>
      <w:r w:rsidR="0058586C">
        <w:t xml:space="preserve">Cricket </w:t>
      </w:r>
      <w:r w:rsidR="00D334AE">
        <w:t xml:space="preserve">World </w:t>
      </w:r>
      <w:r w:rsidR="0058586C">
        <w:t>C</w:t>
      </w:r>
      <w:r w:rsidR="00D334AE">
        <w:t xml:space="preserve">up in 1983. </w:t>
      </w:r>
      <w:r>
        <w:t>Although it was not an Olympic sport,</w:t>
      </w:r>
      <w:r w:rsidR="0058586C">
        <w:t xml:space="preserve"> </w:t>
      </w:r>
      <w:r>
        <w:t xml:space="preserve">cricket </w:t>
      </w:r>
      <w:r w:rsidR="0058586C">
        <w:t xml:space="preserve">gained </w:t>
      </w:r>
      <w:r w:rsidR="00D334AE">
        <w:t>popularity a</w:t>
      </w:r>
      <w:r>
        <w:t>mong Indian fans to become</w:t>
      </w:r>
      <w:r w:rsidR="00D334AE">
        <w:t xml:space="preserve"> the country</w:t>
      </w:r>
      <w:r w:rsidR="00E45AFA">
        <w:t>’</w:t>
      </w:r>
      <w:r w:rsidR="00D334AE">
        <w:t xml:space="preserve">s </w:t>
      </w:r>
      <w:r>
        <w:t>favourite</w:t>
      </w:r>
      <w:r w:rsidR="00D334AE">
        <w:t xml:space="preserve"> sport</w:t>
      </w:r>
      <w:r>
        <w:t>.</w:t>
      </w:r>
      <w:r w:rsidR="00F26993" w:rsidRPr="0096272E">
        <w:rPr>
          <w:rStyle w:val="FootnoteReference"/>
        </w:rPr>
        <w:footnoteReference w:id="19"/>
      </w:r>
      <w:r>
        <w:t xml:space="preserve"> However</w:t>
      </w:r>
      <w:r w:rsidR="00D334AE">
        <w:t xml:space="preserve">, </w:t>
      </w:r>
      <w:r w:rsidR="00856CD3">
        <w:t>t</w:t>
      </w:r>
      <w:r w:rsidR="0006239B">
        <w:t xml:space="preserve">he governing body of </w:t>
      </w:r>
      <w:r w:rsidR="00856CD3">
        <w:t>c</w:t>
      </w:r>
      <w:r w:rsidR="0006239B">
        <w:t xml:space="preserve">ricket had </w:t>
      </w:r>
      <w:r w:rsidR="00856CD3">
        <w:t xml:space="preserve">only </w:t>
      </w:r>
      <w:r w:rsidR="0006239B">
        <w:t>given full membership to</w:t>
      </w:r>
      <w:r w:rsidR="0058586C">
        <w:t xml:space="preserve"> </w:t>
      </w:r>
      <w:r w:rsidR="00D334AE">
        <w:t>about a dozen countries</w:t>
      </w:r>
      <w:r>
        <w:t>, which</w:t>
      </w:r>
      <w:r w:rsidR="0006239B">
        <w:t xml:space="preserve"> were recognized at the </w:t>
      </w:r>
      <w:r>
        <w:t xml:space="preserve">sport’s </w:t>
      </w:r>
      <w:r w:rsidR="0006239B">
        <w:t>top level</w:t>
      </w:r>
      <w:r w:rsidR="00856CD3">
        <w:t>.</w:t>
      </w:r>
      <w:r w:rsidR="0006239B">
        <w:rPr>
          <w:rStyle w:val="FootnoteReference"/>
        </w:rPr>
        <w:footnoteReference w:id="20"/>
      </w:r>
      <w:r w:rsidR="00D334AE">
        <w:t xml:space="preserve"> </w:t>
      </w:r>
    </w:p>
    <w:p w14:paraId="7CCB914F" w14:textId="2F98DBFB" w:rsidR="0096295A" w:rsidRDefault="0058586C" w:rsidP="00353AEE">
      <w:pPr>
        <w:pStyle w:val="BodyTextMain"/>
      </w:pPr>
      <w:r>
        <w:lastRenderedPageBreak/>
        <w:t xml:space="preserve">From the </w:t>
      </w:r>
      <w:r w:rsidR="00856CD3">
        <w:t xml:space="preserve">1984 </w:t>
      </w:r>
      <w:r w:rsidR="009F51C5">
        <w:t xml:space="preserve">Olympics </w:t>
      </w:r>
      <w:r>
        <w:t xml:space="preserve">in Los Angeles to </w:t>
      </w:r>
      <w:r w:rsidR="00856CD3">
        <w:t>the</w:t>
      </w:r>
      <w:r>
        <w:t xml:space="preserve"> 2004 </w:t>
      </w:r>
      <w:r w:rsidR="00856CD3">
        <w:t xml:space="preserve">Olympics in </w:t>
      </w:r>
      <w:r>
        <w:t xml:space="preserve">Athens, </w:t>
      </w:r>
      <w:r w:rsidR="00D334AE">
        <w:t>India</w:t>
      </w:r>
      <w:r w:rsidR="00E45AFA">
        <w:t>’</w:t>
      </w:r>
      <w:r w:rsidR="00D334AE">
        <w:t xml:space="preserve">s </w:t>
      </w:r>
      <w:r>
        <w:t xml:space="preserve">Olympic </w:t>
      </w:r>
      <w:r w:rsidR="00D334AE">
        <w:t>performance was poor</w:t>
      </w:r>
      <w:r w:rsidR="00A54C43">
        <w:t>, as reflected by few</w:t>
      </w:r>
      <w:r w:rsidR="00D334AE">
        <w:t xml:space="preserve"> medals </w:t>
      </w:r>
      <w:r w:rsidR="00A54C43">
        <w:t>earned</w:t>
      </w:r>
      <w:r w:rsidR="00D334AE">
        <w:t xml:space="preserve">. </w:t>
      </w:r>
      <w:r w:rsidR="00A54C43">
        <w:t>B</w:t>
      </w:r>
      <w:r w:rsidR="00D334AE">
        <w:t xml:space="preserve">efore </w:t>
      </w:r>
      <w:r w:rsidR="00291B86">
        <w:t xml:space="preserve">each </w:t>
      </w:r>
      <w:r w:rsidR="00D334AE">
        <w:t xml:space="preserve">Olympic </w:t>
      </w:r>
      <w:r w:rsidR="00A54C43">
        <w:t>year</w:t>
      </w:r>
      <w:r w:rsidR="00D334AE">
        <w:t xml:space="preserve">, the conversation </w:t>
      </w:r>
      <w:r w:rsidR="00A54C43">
        <w:t xml:space="preserve">in India </w:t>
      </w:r>
      <w:r w:rsidR="00D334AE">
        <w:t xml:space="preserve">would invariably </w:t>
      </w:r>
      <w:r w:rsidR="00A54C43">
        <w:t>return to</w:t>
      </w:r>
      <w:r w:rsidR="00D334AE">
        <w:t xml:space="preserve"> cynical </w:t>
      </w:r>
      <w:r w:rsidR="00A54C43">
        <w:t>discussions on</w:t>
      </w:r>
      <w:r w:rsidR="00291B86">
        <w:t xml:space="preserve"> whether India would </w:t>
      </w:r>
      <w:r w:rsidR="00D334AE">
        <w:t xml:space="preserve">again return empty-handed. The media </w:t>
      </w:r>
      <w:r w:rsidR="00A54C43">
        <w:t xml:space="preserve">would </w:t>
      </w:r>
      <w:r w:rsidR="00D334AE">
        <w:t>spotlight various systemic problems</w:t>
      </w:r>
      <w:r w:rsidR="00291B86">
        <w:t>,</w:t>
      </w:r>
      <w:r w:rsidR="00D334AE">
        <w:t xml:space="preserve"> </w:t>
      </w:r>
      <w:r w:rsidR="00A54C43">
        <w:t xml:space="preserve">from </w:t>
      </w:r>
      <w:r w:rsidR="00D334AE">
        <w:t xml:space="preserve">the </w:t>
      </w:r>
      <w:r w:rsidR="00291B86">
        <w:t xml:space="preserve">poor </w:t>
      </w:r>
      <w:r w:rsidR="00D334AE">
        <w:t>quality of local municipal playground</w:t>
      </w:r>
      <w:r w:rsidR="00291B86">
        <w:t>s</w:t>
      </w:r>
      <w:r w:rsidR="00D334AE">
        <w:t xml:space="preserve"> to </w:t>
      </w:r>
      <w:r w:rsidR="00291B86">
        <w:t xml:space="preserve">the lack of </w:t>
      </w:r>
      <w:r w:rsidR="00D334AE">
        <w:t>world-class athlete preparation, general</w:t>
      </w:r>
      <w:r w:rsidR="00291B86">
        <w:t xml:space="preserve">ly exposing the government’s failure to engage the issue with any </w:t>
      </w:r>
      <w:r w:rsidR="00D334AE">
        <w:t>seriousness</w:t>
      </w:r>
      <w:r w:rsidR="00856CD3">
        <w:t>.</w:t>
      </w:r>
      <w:r w:rsidR="00B30969">
        <w:rPr>
          <w:rStyle w:val="FootnoteReference"/>
        </w:rPr>
        <w:footnoteReference w:id="21"/>
      </w:r>
      <w:r w:rsidR="00193E9B">
        <w:t xml:space="preserve"> Cricket enjoyed a massive boom d</w:t>
      </w:r>
      <w:r w:rsidR="00D334AE">
        <w:t>uring the 1990s</w:t>
      </w:r>
      <w:r w:rsidR="00A54C43">
        <w:t xml:space="preserve">, with </w:t>
      </w:r>
      <w:r w:rsidR="00291B86">
        <w:t>few</w:t>
      </w:r>
      <w:r w:rsidR="00A54C43">
        <w:t xml:space="preserve"> Indian sports fans </w:t>
      </w:r>
      <w:r w:rsidR="00D334AE">
        <w:t>follow</w:t>
      </w:r>
      <w:r w:rsidR="00A54C43">
        <w:t>ing</w:t>
      </w:r>
      <w:r w:rsidR="00D334AE">
        <w:t xml:space="preserve"> any other sport</w:t>
      </w:r>
      <w:r w:rsidR="00A54C43">
        <w:t xml:space="preserve">, while </w:t>
      </w:r>
      <w:r w:rsidR="00D334AE">
        <w:t xml:space="preserve">India </w:t>
      </w:r>
      <w:r w:rsidR="0096295A">
        <w:t xml:space="preserve">failed to win even </w:t>
      </w:r>
      <w:r w:rsidR="00D334AE">
        <w:t xml:space="preserve">one medal in the 1992 </w:t>
      </w:r>
      <w:r w:rsidR="0096295A">
        <w:t xml:space="preserve">or </w:t>
      </w:r>
      <w:r w:rsidR="00D334AE">
        <w:t xml:space="preserve">1996 </w:t>
      </w:r>
      <w:r w:rsidR="009F51C5">
        <w:t>Olympics</w:t>
      </w:r>
      <w:r w:rsidR="00D334AE">
        <w:t>.</w:t>
      </w:r>
      <w:r w:rsidR="0096295A">
        <w:rPr>
          <w:rStyle w:val="FootnoteReference"/>
        </w:rPr>
        <w:footnoteReference w:id="22"/>
      </w:r>
      <w:r w:rsidR="00D334AE">
        <w:t xml:space="preserve"> </w:t>
      </w:r>
    </w:p>
    <w:p w14:paraId="16991527" w14:textId="77777777" w:rsidR="0096295A" w:rsidRDefault="0096295A" w:rsidP="00D334AE">
      <w:pPr>
        <w:pStyle w:val="BodyTextMain"/>
      </w:pPr>
    </w:p>
    <w:p w14:paraId="6ECD0C2A" w14:textId="2CE68DE9" w:rsidR="00D334AE" w:rsidRDefault="00D334AE" w:rsidP="00D334AE">
      <w:pPr>
        <w:pStyle w:val="BodyTextMain"/>
      </w:pPr>
      <w:r>
        <w:t>With economic liberalization</w:t>
      </w:r>
      <w:r w:rsidR="0096295A">
        <w:t xml:space="preserve"> in </w:t>
      </w:r>
      <w:r>
        <w:t xml:space="preserve">the </w:t>
      </w:r>
      <w:r w:rsidR="0096295A">
        <w:t>19</w:t>
      </w:r>
      <w:r>
        <w:t>90s</w:t>
      </w:r>
      <w:r w:rsidR="0096295A">
        <w:t>, India underwent</w:t>
      </w:r>
      <w:r>
        <w:t xml:space="preserve"> a period of rapid growth</w:t>
      </w:r>
      <w:r w:rsidR="00193E9B">
        <w:t>. T</w:t>
      </w:r>
      <w:r w:rsidR="0096295A">
        <w:t>he country became self-sufficient</w:t>
      </w:r>
      <w:r w:rsidR="00A07FD7">
        <w:t xml:space="preserve"> </w:t>
      </w:r>
      <w:r w:rsidR="0096295A">
        <w:t>in the</w:t>
      </w:r>
      <w:r>
        <w:t xml:space="preserve"> late </w:t>
      </w:r>
      <w:r w:rsidR="0096295A">
        <w:t>19</w:t>
      </w:r>
      <w:r>
        <w:t>90s and early 2000s</w:t>
      </w:r>
      <w:r w:rsidR="00A07FD7">
        <w:t>, and t</w:t>
      </w:r>
      <w:r>
        <w:t>he nation suddenly became aspirational</w:t>
      </w:r>
      <w:r w:rsidR="00A07FD7">
        <w:t>. S</w:t>
      </w:r>
      <w:r>
        <w:t xml:space="preserve">ports </w:t>
      </w:r>
      <w:r w:rsidR="00A07FD7">
        <w:t>w</w:t>
      </w:r>
      <w:r w:rsidR="00A54C43">
        <w:t>ere</w:t>
      </w:r>
      <w:r w:rsidR="00A07FD7">
        <w:t xml:space="preserve"> also covered </w:t>
      </w:r>
      <w:r>
        <w:t>on television</w:t>
      </w:r>
      <w:r w:rsidR="00A07FD7">
        <w:t xml:space="preserve">, </w:t>
      </w:r>
      <w:r w:rsidR="00A54C43">
        <w:t>raising the attention of Indian</w:t>
      </w:r>
      <w:r>
        <w:t xml:space="preserve"> people and the </w:t>
      </w:r>
      <w:r w:rsidR="00A07FD7">
        <w:t>g</w:t>
      </w:r>
      <w:r>
        <w:t xml:space="preserve">overnment </w:t>
      </w:r>
      <w:r w:rsidR="00A54C43">
        <w:t>to the need for</w:t>
      </w:r>
      <w:r>
        <w:t xml:space="preserve"> more investment. </w:t>
      </w:r>
      <w:r w:rsidR="00A54C43">
        <w:t>Discussions about India’s</w:t>
      </w:r>
      <w:r>
        <w:t xml:space="preserve"> disappoint</w:t>
      </w:r>
      <w:r w:rsidR="00A54C43">
        <w:t>ing sports</w:t>
      </w:r>
      <w:r>
        <w:t xml:space="preserve"> performance grew louder. With the economy growing at a brisk pace, the private sector was eager to get involved and supplement the </w:t>
      </w:r>
      <w:r w:rsidR="00A07FD7">
        <w:t>g</w:t>
      </w:r>
      <w:r>
        <w:t>overnment</w:t>
      </w:r>
      <w:r w:rsidR="00A07FD7">
        <w:t>’s</w:t>
      </w:r>
      <w:r>
        <w:t xml:space="preserve"> </w:t>
      </w:r>
      <w:r w:rsidR="00A07FD7">
        <w:t xml:space="preserve">support of </w:t>
      </w:r>
      <w:r>
        <w:t>India</w:t>
      </w:r>
      <w:r w:rsidR="00E45AFA">
        <w:t>’</w:t>
      </w:r>
      <w:r>
        <w:t xml:space="preserve">s athletes competing at world events. </w:t>
      </w:r>
      <w:r w:rsidR="00597160" w:rsidRPr="00597160">
        <w:t xml:space="preserve">Organizations such as Mittal Champions Trust were founded with financial backing </w:t>
      </w:r>
      <w:r w:rsidR="00A07FD7">
        <w:t xml:space="preserve">from corporations </w:t>
      </w:r>
      <w:r w:rsidR="00597160" w:rsidRPr="00597160">
        <w:t xml:space="preserve">to assist athletes </w:t>
      </w:r>
      <w:r w:rsidR="00A07FD7">
        <w:t xml:space="preserve">with needs </w:t>
      </w:r>
      <w:r w:rsidR="00597160" w:rsidRPr="00597160">
        <w:t>such as coaching, travel, and equipment.</w:t>
      </w:r>
      <w:r w:rsidR="000F27CA">
        <w:rPr>
          <w:rStyle w:val="FootnoteReference"/>
        </w:rPr>
        <w:footnoteReference w:id="23"/>
      </w:r>
      <w:r w:rsidR="00A07FD7">
        <w:t xml:space="preserve"> </w:t>
      </w:r>
      <w:r>
        <w:t>With several former Olympians and athletes</w:t>
      </w:r>
      <w:r w:rsidR="00193E9B">
        <w:t xml:space="preserve"> guiding them</w:t>
      </w:r>
      <w:r>
        <w:t xml:space="preserve">, the smaller private organizations that </w:t>
      </w:r>
      <w:r w:rsidR="00A07FD7">
        <w:t xml:space="preserve">directly </w:t>
      </w:r>
      <w:r>
        <w:t>supported athletes showed professional management value</w:t>
      </w:r>
      <w:r w:rsidR="000F27CA">
        <w:t>,</w:t>
      </w:r>
      <w:r>
        <w:t xml:space="preserve"> and better results started to emerge. </w:t>
      </w:r>
    </w:p>
    <w:p w14:paraId="4B588BA9" w14:textId="77777777" w:rsidR="00D334AE" w:rsidRDefault="00D334AE" w:rsidP="00D334AE">
      <w:pPr>
        <w:pStyle w:val="BodyTextMain"/>
      </w:pPr>
    </w:p>
    <w:p w14:paraId="1EF2BB85" w14:textId="77777777" w:rsidR="00D334AE" w:rsidRDefault="00D334AE" w:rsidP="00D334AE">
      <w:pPr>
        <w:pStyle w:val="BodyTextMain"/>
      </w:pPr>
    </w:p>
    <w:p w14:paraId="6110B116" w14:textId="4CDE0DA5" w:rsidR="00D334AE" w:rsidRDefault="00D334AE" w:rsidP="00D334AE">
      <w:pPr>
        <w:pStyle w:val="Casehead1"/>
      </w:pPr>
      <w:r>
        <w:t>ABOUT G</w:t>
      </w:r>
      <w:r w:rsidRPr="00F42D11">
        <w:rPr>
          <w:spacing w:val="20"/>
        </w:rPr>
        <w:t>o</w:t>
      </w:r>
      <w:r>
        <w:t>Sports</w:t>
      </w:r>
    </w:p>
    <w:p w14:paraId="7DBE54F2" w14:textId="77777777" w:rsidR="00DE0AB4" w:rsidRDefault="00DE0AB4" w:rsidP="006179D4">
      <w:pPr>
        <w:pStyle w:val="BodyTextMain"/>
      </w:pPr>
    </w:p>
    <w:p w14:paraId="4C23B2AD" w14:textId="3A237CE5" w:rsidR="00B02259" w:rsidRDefault="00D334AE" w:rsidP="00D334AE">
      <w:pPr>
        <w:pStyle w:val="BodyTextMain"/>
        <w:rPr>
          <w:shd w:val="clear" w:color="auto" w:fill="FFFFFF"/>
        </w:rPr>
      </w:pPr>
      <w:r>
        <w:rPr>
          <w:shd w:val="clear" w:color="auto" w:fill="FFFFFF"/>
        </w:rPr>
        <w:t xml:space="preserve">Kamath </w:t>
      </w:r>
      <w:r w:rsidR="00B02259">
        <w:rPr>
          <w:shd w:val="clear" w:color="auto" w:fill="FFFFFF"/>
        </w:rPr>
        <w:t>earned his law degree from the National Law School in Bengaluru</w:t>
      </w:r>
      <w:r w:rsidR="000B49C7">
        <w:rPr>
          <w:shd w:val="clear" w:color="auto" w:fill="FFFFFF"/>
        </w:rPr>
        <w:t>.</w:t>
      </w:r>
      <w:r w:rsidR="00B02259">
        <w:rPr>
          <w:shd w:val="clear" w:color="auto" w:fill="FFFFFF"/>
        </w:rPr>
        <w:t xml:space="preserve"> </w:t>
      </w:r>
      <w:r w:rsidR="000B49C7">
        <w:rPr>
          <w:shd w:val="clear" w:color="auto" w:fill="FFFFFF"/>
        </w:rPr>
        <w:t xml:space="preserve">He </w:t>
      </w:r>
      <w:r>
        <w:rPr>
          <w:shd w:val="clear" w:color="auto" w:fill="FFFFFF"/>
        </w:rPr>
        <w:t xml:space="preserve">was a Rhodes Scholar at Oxford and </w:t>
      </w:r>
      <w:r w:rsidR="00B02259">
        <w:rPr>
          <w:shd w:val="clear" w:color="auto" w:fill="FFFFFF"/>
        </w:rPr>
        <w:t xml:space="preserve">a graduate of the </w:t>
      </w:r>
      <w:r w:rsidR="00F30848">
        <w:rPr>
          <w:shd w:val="clear" w:color="auto" w:fill="FFFFFF"/>
        </w:rPr>
        <w:t>Master of Laws</w:t>
      </w:r>
      <w:r>
        <w:rPr>
          <w:shd w:val="clear" w:color="auto" w:fill="FFFFFF"/>
        </w:rPr>
        <w:t xml:space="preserve"> </w:t>
      </w:r>
      <w:r w:rsidR="00B02259">
        <w:rPr>
          <w:shd w:val="clear" w:color="auto" w:fill="FFFFFF"/>
        </w:rPr>
        <w:t xml:space="preserve">program at </w:t>
      </w:r>
      <w:r>
        <w:rPr>
          <w:shd w:val="clear" w:color="auto" w:fill="FFFFFF"/>
        </w:rPr>
        <w:t xml:space="preserve">Harvard Law School. </w:t>
      </w:r>
      <w:r w:rsidR="002B64AB" w:rsidRPr="002B64AB">
        <w:rPr>
          <w:shd w:val="clear" w:color="auto" w:fill="FFFFFF"/>
        </w:rPr>
        <w:t xml:space="preserve">He worked for a US law firm from 2003 to 2006, then returned to India to start </w:t>
      </w:r>
      <w:r w:rsidR="000B49C7">
        <w:rPr>
          <w:shd w:val="clear" w:color="auto" w:fill="FFFFFF"/>
        </w:rPr>
        <w:t xml:space="preserve">LawNK, </w:t>
      </w:r>
      <w:r w:rsidR="002B64AB" w:rsidRPr="002B64AB">
        <w:rPr>
          <w:shd w:val="clear" w:color="auto" w:fill="FFFFFF"/>
        </w:rPr>
        <w:t xml:space="preserve">his </w:t>
      </w:r>
      <w:r w:rsidR="000B49C7">
        <w:rPr>
          <w:shd w:val="clear" w:color="auto" w:fill="FFFFFF"/>
        </w:rPr>
        <w:t xml:space="preserve">own </w:t>
      </w:r>
      <w:r w:rsidR="002B64AB" w:rsidRPr="002B64AB">
        <w:rPr>
          <w:shd w:val="clear" w:color="auto" w:fill="FFFFFF"/>
        </w:rPr>
        <w:t>law firm</w:t>
      </w:r>
      <w:r w:rsidR="00F30848">
        <w:rPr>
          <w:shd w:val="clear" w:color="auto" w:fill="FFFFFF"/>
        </w:rPr>
        <w:t xml:space="preserve"> in Bengaluru. </w:t>
      </w:r>
      <w:r w:rsidR="002B64AB" w:rsidRPr="002B64AB">
        <w:rPr>
          <w:shd w:val="clear" w:color="auto" w:fill="FFFFFF"/>
        </w:rPr>
        <w:t>LawNK</w:t>
      </w:r>
      <w:r w:rsidR="00F30848">
        <w:rPr>
          <w:shd w:val="clear" w:color="auto" w:fill="FFFFFF"/>
        </w:rPr>
        <w:t xml:space="preserve"> </w:t>
      </w:r>
      <w:r w:rsidR="000B49C7">
        <w:rPr>
          <w:shd w:val="clear" w:color="auto" w:fill="FFFFFF"/>
        </w:rPr>
        <w:t>became a</w:t>
      </w:r>
      <w:r w:rsidR="002B64AB" w:rsidRPr="002B64AB">
        <w:rPr>
          <w:shd w:val="clear" w:color="auto" w:fill="FFFFFF"/>
        </w:rPr>
        <w:t xml:space="preserve"> leading law firm in </w:t>
      </w:r>
      <w:r w:rsidR="00F30848">
        <w:rPr>
          <w:shd w:val="clear" w:color="auto" w:fill="FFFFFF"/>
        </w:rPr>
        <w:t>s</w:t>
      </w:r>
      <w:r w:rsidR="002B64AB" w:rsidRPr="002B64AB">
        <w:rPr>
          <w:shd w:val="clear" w:color="auto" w:fill="FFFFFF"/>
        </w:rPr>
        <w:t xml:space="preserve">ports, </w:t>
      </w:r>
      <w:r w:rsidR="00F30848">
        <w:rPr>
          <w:shd w:val="clear" w:color="auto" w:fill="FFFFFF"/>
        </w:rPr>
        <w:t>m</w:t>
      </w:r>
      <w:r w:rsidR="002B64AB" w:rsidRPr="002B64AB">
        <w:rPr>
          <w:shd w:val="clear" w:color="auto" w:fill="FFFFFF"/>
        </w:rPr>
        <w:t xml:space="preserve">edia, </w:t>
      </w:r>
      <w:r w:rsidR="00F30848">
        <w:rPr>
          <w:shd w:val="clear" w:color="auto" w:fill="FFFFFF"/>
        </w:rPr>
        <w:t>t</w:t>
      </w:r>
      <w:r w:rsidR="002B64AB" w:rsidRPr="002B64AB">
        <w:rPr>
          <w:shd w:val="clear" w:color="auto" w:fill="FFFFFF"/>
        </w:rPr>
        <w:t xml:space="preserve">echnology, and </w:t>
      </w:r>
      <w:r w:rsidR="00F30848">
        <w:rPr>
          <w:shd w:val="clear" w:color="auto" w:fill="FFFFFF"/>
        </w:rPr>
        <w:t>intellectual property</w:t>
      </w:r>
      <w:r w:rsidR="002B64AB" w:rsidRPr="002B64AB">
        <w:rPr>
          <w:shd w:val="clear" w:color="auto" w:fill="FFFFFF"/>
        </w:rPr>
        <w:t>.</w:t>
      </w:r>
      <w:r w:rsidR="002B64AB">
        <w:rPr>
          <w:shd w:val="clear" w:color="auto" w:fill="FFFFFF"/>
        </w:rPr>
        <w:t xml:space="preserve"> </w:t>
      </w:r>
    </w:p>
    <w:p w14:paraId="2B4853A5" w14:textId="77777777" w:rsidR="00B02259" w:rsidRDefault="00B02259" w:rsidP="00D334AE">
      <w:pPr>
        <w:pStyle w:val="BodyTextMain"/>
        <w:rPr>
          <w:shd w:val="clear" w:color="auto" w:fill="FFFFFF"/>
        </w:rPr>
      </w:pPr>
    </w:p>
    <w:p w14:paraId="586675AD" w14:textId="295963F1" w:rsidR="00D334AE" w:rsidRDefault="003246D4" w:rsidP="00D334AE">
      <w:pPr>
        <w:pStyle w:val="BodyTextMain"/>
        <w:rPr>
          <w:shd w:val="clear" w:color="auto" w:fill="FFFFFF"/>
        </w:rPr>
      </w:pPr>
      <w:r>
        <w:rPr>
          <w:shd w:val="clear" w:color="auto" w:fill="FFFFFF"/>
        </w:rPr>
        <w:t>Kamath was an accomplished athlete</w:t>
      </w:r>
      <w:r w:rsidR="000B49C7">
        <w:rPr>
          <w:shd w:val="clear" w:color="auto" w:fill="FFFFFF"/>
        </w:rPr>
        <w:t>.</w:t>
      </w:r>
      <w:r>
        <w:rPr>
          <w:shd w:val="clear" w:color="auto" w:fill="FFFFFF"/>
        </w:rPr>
        <w:t xml:space="preserve"> </w:t>
      </w:r>
      <w:r w:rsidR="000B49C7">
        <w:rPr>
          <w:shd w:val="clear" w:color="auto" w:fill="FFFFFF"/>
        </w:rPr>
        <w:t xml:space="preserve">He </w:t>
      </w:r>
      <w:r w:rsidR="00D334AE">
        <w:rPr>
          <w:shd w:val="clear" w:color="auto" w:fill="FFFFFF"/>
        </w:rPr>
        <w:t>represent</w:t>
      </w:r>
      <w:r w:rsidR="000B49C7">
        <w:rPr>
          <w:shd w:val="clear" w:color="auto" w:fill="FFFFFF"/>
        </w:rPr>
        <w:t>ed</w:t>
      </w:r>
      <w:r>
        <w:rPr>
          <w:shd w:val="clear" w:color="auto" w:fill="FFFFFF"/>
        </w:rPr>
        <w:t xml:space="preserve"> India</w:t>
      </w:r>
      <w:r w:rsidR="000B49C7">
        <w:rPr>
          <w:shd w:val="clear" w:color="auto" w:fill="FFFFFF"/>
        </w:rPr>
        <w:t>’s</w:t>
      </w:r>
      <w:r>
        <w:rPr>
          <w:shd w:val="clear" w:color="auto" w:fill="FFFFFF"/>
        </w:rPr>
        <w:t xml:space="preserve"> Under-16</w:t>
      </w:r>
      <w:r w:rsidR="000B49C7">
        <w:rPr>
          <w:shd w:val="clear" w:color="auto" w:fill="FFFFFF"/>
        </w:rPr>
        <w:t xml:space="preserve"> team</w:t>
      </w:r>
      <w:r>
        <w:rPr>
          <w:shd w:val="clear" w:color="auto" w:fill="FFFFFF"/>
        </w:rPr>
        <w:t xml:space="preserve"> and </w:t>
      </w:r>
      <w:r w:rsidR="000B49C7">
        <w:rPr>
          <w:shd w:val="clear" w:color="auto" w:fill="FFFFFF"/>
        </w:rPr>
        <w:t xml:space="preserve">was </w:t>
      </w:r>
      <w:r>
        <w:rPr>
          <w:shd w:val="clear" w:color="auto" w:fill="FFFFFF"/>
        </w:rPr>
        <w:t>captain</w:t>
      </w:r>
      <w:r w:rsidR="000B49C7">
        <w:rPr>
          <w:shd w:val="clear" w:color="auto" w:fill="FFFFFF"/>
        </w:rPr>
        <w:t xml:space="preserve"> of</w:t>
      </w:r>
      <w:r>
        <w:rPr>
          <w:shd w:val="clear" w:color="auto" w:fill="FFFFFF"/>
        </w:rPr>
        <w:t xml:space="preserve"> the </w:t>
      </w:r>
      <w:r w:rsidR="00D334AE">
        <w:rPr>
          <w:shd w:val="clear" w:color="auto" w:fill="FFFFFF"/>
        </w:rPr>
        <w:t xml:space="preserve">Karnataka state </w:t>
      </w:r>
      <w:r>
        <w:rPr>
          <w:shd w:val="clear" w:color="auto" w:fill="FFFFFF"/>
        </w:rPr>
        <w:t>team in cricket</w:t>
      </w:r>
      <w:r w:rsidR="000B49C7">
        <w:rPr>
          <w:shd w:val="clear" w:color="auto" w:fill="FFFFFF"/>
        </w:rPr>
        <w:t>. He</w:t>
      </w:r>
      <w:r w:rsidR="002224FA">
        <w:rPr>
          <w:shd w:val="clear" w:color="auto" w:fill="FFFFFF"/>
        </w:rPr>
        <w:t xml:space="preserve"> play</w:t>
      </w:r>
      <w:r w:rsidR="000B49C7">
        <w:rPr>
          <w:shd w:val="clear" w:color="auto" w:fill="FFFFFF"/>
        </w:rPr>
        <w:t>ed</w:t>
      </w:r>
      <w:r w:rsidR="002224FA">
        <w:rPr>
          <w:shd w:val="clear" w:color="auto" w:fill="FFFFFF"/>
        </w:rPr>
        <w:t xml:space="preserve"> field hockey and, for a short time, </w:t>
      </w:r>
      <w:r w:rsidR="000B49C7">
        <w:rPr>
          <w:shd w:val="clear" w:color="auto" w:fill="FFFFFF"/>
        </w:rPr>
        <w:t xml:space="preserve">was </w:t>
      </w:r>
      <w:r w:rsidR="002224FA">
        <w:rPr>
          <w:shd w:val="clear" w:color="auto" w:fill="FFFFFF"/>
        </w:rPr>
        <w:t>goalkeep</w:t>
      </w:r>
      <w:r w:rsidR="000B49C7">
        <w:rPr>
          <w:shd w:val="clear" w:color="auto" w:fill="FFFFFF"/>
        </w:rPr>
        <w:t>er</w:t>
      </w:r>
      <w:r w:rsidR="002224FA">
        <w:rPr>
          <w:shd w:val="clear" w:color="auto" w:fill="FFFFFF"/>
        </w:rPr>
        <w:t xml:space="preserve"> on a football (soccer) team</w:t>
      </w:r>
      <w:r w:rsidR="00D334AE">
        <w:rPr>
          <w:shd w:val="clear" w:color="auto" w:fill="FFFFFF"/>
        </w:rPr>
        <w:t>.</w:t>
      </w:r>
      <w:r>
        <w:rPr>
          <w:shd w:val="clear" w:color="auto" w:fill="FFFFFF"/>
        </w:rPr>
        <w:t xml:space="preserve"> He was on track to play cricket professionally until he was accepted to law school.</w:t>
      </w:r>
      <w:r w:rsidR="00D334AE">
        <w:rPr>
          <w:shd w:val="clear" w:color="auto" w:fill="FFFFFF"/>
        </w:rPr>
        <w:t xml:space="preserve"> His love for sports </w:t>
      </w:r>
      <w:r>
        <w:rPr>
          <w:shd w:val="clear" w:color="auto" w:fill="FFFFFF"/>
        </w:rPr>
        <w:t xml:space="preserve">led him to </w:t>
      </w:r>
      <w:r w:rsidR="002224FA">
        <w:rPr>
          <w:shd w:val="clear" w:color="auto" w:fill="FFFFFF"/>
        </w:rPr>
        <w:t>merge his two interests and s</w:t>
      </w:r>
      <w:r>
        <w:rPr>
          <w:shd w:val="clear" w:color="auto" w:fill="FFFFFF"/>
        </w:rPr>
        <w:t>pecialize in sports law</w:t>
      </w:r>
      <w:r w:rsidR="00591F62">
        <w:rPr>
          <w:shd w:val="clear" w:color="auto" w:fill="FFFFFF"/>
        </w:rPr>
        <w:t>, which</w:t>
      </w:r>
      <w:r w:rsidR="006E0784">
        <w:rPr>
          <w:shd w:val="clear" w:color="auto" w:fill="FFFFFF"/>
        </w:rPr>
        <w:t xml:space="preserve"> evolved </w:t>
      </w:r>
      <w:r w:rsidR="00D334AE">
        <w:rPr>
          <w:shd w:val="clear" w:color="auto" w:fill="FFFFFF"/>
        </w:rPr>
        <w:t>into setting up an organization</w:t>
      </w:r>
      <w:r w:rsidR="006E0784">
        <w:rPr>
          <w:shd w:val="clear" w:color="auto" w:fill="FFFFFF"/>
        </w:rPr>
        <w:t xml:space="preserve"> </w:t>
      </w:r>
      <w:r w:rsidR="00D334AE">
        <w:rPr>
          <w:shd w:val="clear" w:color="auto" w:fill="FFFFFF"/>
        </w:rPr>
        <w:t>with friends who shared a passion for improving the state of sports</w:t>
      </w:r>
      <w:r w:rsidR="00591F62">
        <w:rPr>
          <w:shd w:val="clear" w:color="auto" w:fill="FFFFFF"/>
        </w:rPr>
        <w:t xml:space="preserve"> in India</w:t>
      </w:r>
      <w:r w:rsidR="00D334AE">
        <w:rPr>
          <w:shd w:val="clear" w:color="auto" w:fill="FFFFFF"/>
        </w:rPr>
        <w:t xml:space="preserve">. </w:t>
      </w:r>
      <w:r w:rsidR="006E0784">
        <w:rPr>
          <w:shd w:val="clear" w:color="auto" w:fill="FFFFFF"/>
        </w:rPr>
        <w:t xml:space="preserve">Through GoSports, the group </w:t>
      </w:r>
      <w:r w:rsidR="00D334AE">
        <w:rPr>
          <w:shd w:val="clear" w:color="auto" w:fill="FFFFFF"/>
        </w:rPr>
        <w:t>w</w:t>
      </w:r>
      <w:r w:rsidR="00A54C43">
        <w:rPr>
          <w:shd w:val="clear" w:color="auto" w:fill="FFFFFF"/>
        </w:rPr>
        <w:t>as</w:t>
      </w:r>
      <w:r w:rsidR="00D334AE">
        <w:rPr>
          <w:shd w:val="clear" w:color="auto" w:fill="FFFFFF"/>
        </w:rPr>
        <w:t xml:space="preserve"> determined to fight the prevailing cynicism around India</w:t>
      </w:r>
      <w:r w:rsidR="00E45AFA">
        <w:rPr>
          <w:shd w:val="clear" w:color="auto" w:fill="FFFFFF"/>
        </w:rPr>
        <w:t>’</w:t>
      </w:r>
      <w:r w:rsidR="00591F62">
        <w:rPr>
          <w:shd w:val="clear" w:color="auto" w:fill="FFFFFF"/>
        </w:rPr>
        <w:t>s</w:t>
      </w:r>
      <w:r w:rsidR="00D334AE">
        <w:rPr>
          <w:shd w:val="clear" w:color="auto" w:fill="FFFFFF"/>
        </w:rPr>
        <w:t xml:space="preserve"> </w:t>
      </w:r>
      <w:r w:rsidR="00591F62">
        <w:rPr>
          <w:shd w:val="clear" w:color="auto" w:fill="FFFFFF"/>
        </w:rPr>
        <w:t xml:space="preserve">lack of </w:t>
      </w:r>
      <w:r w:rsidR="00D334AE">
        <w:rPr>
          <w:shd w:val="clear" w:color="auto" w:fill="FFFFFF"/>
        </w:rPr>
        <w:t xml:space="preserve">ability to win at sports. </w:t>
      </w:r>
      <w:r w:rsidR="00A54C43">
        <w:rPr>
          <w:shd w:val="clear" w:color="auto" w:fill="FFFFFF"/>
        </w:rPr>
        <w:t xml:space="preserve">Kamath </w:t>
      </w:r>
      <w:r w:rsidR="001E50FB">
        <w:rPr>
          <w:shd w:val="clear" w:color="auto" w:fill="FFFFFF"/>
        </w:rPr>
        <w:t>believed that talent,</w:t>
      </w:r>
      <w:r w:rsidR="006E0784">
        <w:rPr>
          <w:shd w:val="clear" w:color="auto" w:fill="FFFFFF"/>
        </w:rPr>
        <w:t xml:space="preserve"> </w:t>
      </w:r>
      <w:r w:rsidR="00D334AE">
        <w:rPr>
          <w:shd w:val="clear" w:color="auto" w:fill="FFFFFF"/>
        </w:rPr>
        <w:t xml:space="preserve">concerted care, support, and management </w:t>
      </w:r>
      <w:r w:rsidR="006E0784">
        <w:rPr>
          <w:shd w:val="clear" w:color="auto" w:fill="FFFFFF"/>
        </w:rPr>
        <w:t xml:space="preserve">could </w:t>
      </w:r>
      <w:r w:rsidR="00D334AE">
        <w:rPr>
          <w:shd w:val="clear" w:color="auto" w:fill="FFFFFF"/>
        </w:rPr>
        <w:t xml:space="preserve">channel </w:t>
      </w:r>
      <w:r w:rsidR="00591F62">
        <w:rPr>
          <w:shd w:val="clear" w:color="auto" w:fill="FFFFFF"/>
        </w:rPr>
        <w:t>India’s</w:t>
      </w:r>
      <w:r w:rsidR="00D334AE">
        <w:rPr>
          <w:shd w:val="clear" w:color="auto" w:fill="FFFFFF"/>
        </w:rPr>
        <w:t xml:space="preserve"> potential and win medals. The</w:t>
      </w:r>
      <w:r w:rsidR="006E0784">
        <w:rPr>
          <w:shd w:val="clear" w:color="auto" w:fill="FFFFFF"/>
        </w:rPr>
        <w:t xml:space="preserve"> group</w:t>
      </w:r>
      <w:r w:rsidR="00D334AE">
        <w:rPr>
          <w:shd w:val="clear" w:color="auto" w:fill="FFFFFF"/>
        </w:rPr>
        <w:t xml:space="preserve"> also believed </w:t>
      </w:r>
      <w:r w:rsidR="00591F62">
        <w:rPr>
          <w:shd w:val="clear" w:color="auto" w:fill="FFFFFF"/>
        </w:rPr>
        <w:t xml:space="preserve">in </w:t>
      </w:r>
      <w:r w:rsidR="00D334AE">
        <w:rPr>
          <w:shd w:val="clear" w:color="auto" w:fill="FFFFFF"/>
        </w:rPr>
        <w:t>th</w:t>
      </w:r>
      <w:r w:rsidR="00591F62">
        <w:rPr>
          <w:shd w:val="clear" w:color="auto" w:fill="FFFFFF"/>
        </w:rPr>
        <w:t>e</w:t>
      </w:r>
      <w:r w:rsidR="00D334AE">
        <w:rPr>
          <w:shd w:val="clear" w:color="auto" w:fill="FFFFFF"/>
        </w:rPr>
        <w:t xml:space="preserve"> </w:t>
      </w:r>
      <w:r w:rsidR="003D6892">
        <w:rPr>
          <w:shd w:val="clear" w:color="auto" w:fill="FFFFFF"/>
        </w:rPr>
        <w:t xml:space="preserve">ability </w:t>
      </w:r>
      <w:r w:rsidR="00591F62">
        <w:rPr>
          <w:shd w:val="clear" w:color="auto" w:fill="FFFFFF"/>
        </w:rPr>
        <w:t xml:space="preserve">of sports </w:t>
      </w:r>
      <w:r w:rsidR="00D334AE">
        <w:rPr>
          <w:shd w:val="clear" w:color="auto" w:fill="FFFFFF"/>
        </w:rPr>
        <w:t>to drive economic and social change.</w:t>
      </w:r>
    </w:p>
    <w:p w14:paraId="6DBD6222" w14:textId="77777777" w:rsidR="00D334AE" w:rsidRDefault="00D334AE" w:rsidP="00D334AE">
      <w:pPr>
        <w:pStyle w:val="BodyTextMain"/>
        <w:rPr>
          <w:shd w:val="clear" w:color="auto" w:fill="FFFFFF"/>
        </w:rPr>
      </w:pPr>
    </w:p>
    <w:p w14:paraId="012CFE04" w14:textId="775A8FD2" w:rsidR="00F7163E" w:rsidRDefault="00D334AE" w:rsidP="00D334AE">
      <w:pPr>
        <w:pStyle w:val="BodyTextMain"/>
        <w:rPr>
          <w:shd w:val="clear" w:color="auto" w:fill="FFFFFF"/>
        </w:rPr>
      </w:pPr>
      <w:r>
        <w:rPr>
          <w:shd w:val="clear" w:color="auto" w:fill="FFFFFF"/>
        </w:rPr>
        <w:t xml:space="preserve">In 2008, GoSports was founded as a non-profit organization </w:t>
      </w:r>
      <w:r w:rsidR="003D6892">
        <w:rPr>
          <w:shd w:val="clear" w:color="auto" w:fill="FFFFFF"/>
        </w:rPr>
        <w:t>to</w:t>
      </w:r>
      <w:r>
        <w:rPr>
          <w:shd w:val="clear" w:color="auto" w:fill="FFFFFF"/>
        </w:rPr>
        <w:t xml:space="preserve"> develop India</w:t>
      </w:r>
      <w:r w:rsidR="00E45AFA">
        <w:rPr>
          <w:shd w:val="clear" w:color="auto" w:fill="FFFFFF"/>
        </w:rPr>
        <w:t>’</w:t>
      </w:r>
      <w:r>
        <w:rPr>
          <w:shd w:val="clear" w:color="auto" w:fill="FFFFFF"/>
        </w:rPr>
        <w:t xml:space="preserve">s athletes in Olympic and Paralympic disciplines through structured athlete support programs. The </w:t>
      </w:r>
      <w:r w:rsidR="003D6892">
        <w:rPr>
          <w:shd w:val="clear" w:color="auto" w:fill="FFFFFF"/>
        </w:rPr>
        <w:t xml:space="preserve">organization’s </w:t>
      </w:r>
      <w:r>
        <w:rPr>
          <w:shd w:val="clear" w:color="auto" w:fill="FFFFFF"/>
        </w:rPr>
        <w:t>trustees include</w:t>
      </w:r>
      <w:r w:rsidR="003D6892">
        <w:rPr>
          <w:shd w:val="clear" w:color="auto" w:fill="FFFFFF"/>
        </w:rPr>
        <w:t>d</w:t>
      </w:r>
      <w:r>
        <w:rPr>
          <w:shd w:val="clear" w:color="auto" w:fill="FFFFFF"/>
        </w:rPr>
        <w:t xml:space="preserve"> Kamath, Abishek</w:t>
      </w:r>
      <w:r w:rsidR="003D6892">
        <w:rPr>
          <w:shd w:val="clear" w:color="auto" w:fill="FFFFFF"/>
        </w:rPr>
        <w:t xml:space="preserve"> </w:t>
      </w:r>
      <w:r>
        <w:rPr>
          <w:shd w:val="clear" w:color="auto" w:fill="FFFFFF"/>
        </w:rPr>
        <w:t xml:space="preserve">Laxminarayan, and Thomas Ollapally. The </w:t>
      </w:r>
      <w:r w:rsidR="003D6892">
        <w:rPr>
          <w:shd w:val="clear" w:color="auto" w:fill="FFFFFF"/>
        </w:rPr>
        <w:t>b</w:t>
      </w:r>
      <w:r>
        <w:rPr>
          <w:shd w:val="clear" w:color="auto" w:fill="FFFFFF"/>
        </w:rPr>
        <w:t xml:space="preserve">oard of </w:t>
      </w:r>
      <w:r w:rsidR="003D6892">
        <w:rPr>
          <w:shd w:val="clear" w:color="auto" w:fill="FFFFFF"/>
        </w:rPr>
        <w:t>a</w:t>
      </w:r>
      <w:r>
        <w:rPr>
          <w:shd w:val="clear" w:color="auto" w:fill="FFFFFF"/>
        </w:rPr>
        <w:t xml:space="preserve">dvisors </w:t>
      </w:r>
      <w:r w:rsidR="003D6892">
        <w:rPr>
          <w:shd w:val="clear" w:color="auto" w:fill="FFFFFF"/>
        </w:rPr>
        <w:t xml:space="preserve">had been served at different times by </w:t>
      </w:r>
      <w:r w:rsidR="003C6ACA">
        <w:rPr>
          <w:shd w:val="clear" w:color="auto" w:fill="FFFFFF"/>
        </w:rPr>
        <w:t xml:space="preserve">various </w:t>
      </w:r>
      <w:r w:rsidR="003D6892">
        <w:rPr>
          <w:shd w:val="clear" w:color="auto" w:fill="FFFFFF"/>
        </w:rPr>
        <w:t xml:space="preserve">accomplished athletes: </w:t>
      </w:r>
      <w:r>
        <w:rPr>
          <w:shd w:val="clear" w:color="auto" w:fill="FFFFFF"/>
        </w:rPr>
        <w:t>Abhinav Bindra</w:t>
      </w:r>
      <w:r w:rsidR="003D6892">
        <w:rPr>
          <w:shd w:val="clear" w:color="auto" w:fill="FFFFFF"/>
        </w:rPr>
        <w:t xml:space="preserve">, an </w:t>
      </w:r>
      <w:r>
        <w:rPr>
          <w:shd w:val="clear" w:color="auto" w:fill="FFFFFF"/>
        </w:rPr>
        <w:t xml:space="preserve">Olympic </w:t>
      </w:r>
      <w:r w:rsidR="003D6892">
        <w:rPr>
          <w:shd w:val="clear" w:color="auto" w:fill="FFFFFF"/>
        </w:rPr>
        <w:t>g</w:t>
      </w:r>
      <w:r>
        <w:rPr>
          <w:shd w:val="clear" w:color="auto" w:fill="FFFFFF"/>
        </w:rPr>
        <w:t>old medallist</w:t>
      </w:r>
      <w:r w:rsidR="003D6892">
        <w:rPr>
          <w:shd w:val="clear" w:color="auto" w:fill="FFFFFF"/>
        </w:rPr>
        <w:t xml:space="preserve"> in sport shooting; </w:t>
      </w:r>
      <w:r>
        <w:rPr>
          <w:shd w:val="clear" w:color="auto" w:fill="FFFFFF"/>
        </w:rPr>
        <w:t>Rahul Dravid</w:t>
      </w:r>
      <w:r w:rsidR="003D6892">
        <w:rPr>
          <w:shd w:val="clear" w:color="auto" w:fill="FFFFFF"/>
        </w:rPr>
        <w:t>,</w:t>
      </w:r>
      <w:r>
        <w:rPr>
          <w:shd w:val="clear" w:color="auto" w:fill="FFFFFF"/>
        </w:rPr>
        <w:t xml:space="preserve"> former</w:t>
      </w:r>
      <w:r w:rsidR="00F7163E">
        <w:rPr>
          <w:shd w:val="clear" w:color="auto" w:fill="FFFFFF"/>
        </w:rPr>
        <w:t xml:space="preserve"> c</w:t>
      </w:r>
      <w:r>
        <w:rPr>
          <w:shd w:val="clear" w:color="auto" w:fill="FFFFFF"/>
        </w:rPr>
        <w:t>ricketer</w:t>
      </w:r>
      <w:r w:rsidR="00F7163E">
        <w:rPr>
          <w:shd w:val="clear" w:color="auto" w:fill="FFFFFF"/>
        </w:rPr>
        <w:t xml:space="preserve"> and captain of the Indian national team; </w:t>
      </w:r>
      <w:r>
        <w:rPr>
          <w:shd w:val="clear" w:color="auto" w:fill="FFFFFF"/>
        </w:rPr>
        <w:t>and Pullela Gopichand</w:t>
      </w:r>
      <w:r w:rsidR="00F7163E">
        <w:rPr>
          <w:shd w:val="clear" w:color="auto" w:fill="FFFFFF"/>
        </w:rPr>
        <w:t>, coach of India’s national badminton team and winner of the All England Open Badminton Championships</w:t>
      </w:r>
      <w:r>
        <w:rPr>
          <w:shd w:val="clear" w:color="auto" w:fill="FFFFFF"/>
        </w:rPr>
        <w:t>. The foundation receive</w:t>
      </w:r>
      <w:r w:rsidR="00F7163E">
        <w:rPr>
          <w:shd w:val="clear" w:color="auto" w:fill="FFFFFF"/>
        </w:rPr>
        <w:t>d</w:t>
      </w:r>
      <w:r>
        <w:rPr>
          <w:shd w:val="clear" w:color="auto" w:fill="FFFFFF"/>
        </w:rPr>
        <w:t xml:space="preserve"> grants </w:t>
      </w:r>
      <w:r w:rsidR="00F7163E">
        <w:rPr>
          <w:shd w:val="clear" w:color="auto" w:fill="FFFFFF"/>
        </w:rPr>
        <w:t xml:space="preserve">through </w:t>
      </w:r>
      <w:r>
        <w:rPr>
          <w:shd w:val="clear" w:color="auto" w:fill="FFFFFF"/>
        </w:rPr>
        <w:t>organizations</w:t>
      </w:r>
      <w:r w:rsidR="00F7163E">
        <w:rPr>
          <w:shd w:val="clear" w:color="auto" w:fill="FFFFFF"/>
        </w:rPr>
        <w:t>’</w:t>
      </w:r>
      <w:r>
        <w:rPr>
          <w:shd w:val="clear" w:color="auto" w:fill="FFFFFF"/>
        </w:rPr>
        <w:t xml:space="preserve"> </w:t>
      </w:r>
      <w:r w:rsidR="00F7163E">
        <w:rPr>
          <w:shd w:val="clear" w:color="auto" w:fill="FFFFFF"/>
        </w:rPr>
        <w:t>c</w:t>
      </w:r>
      <w:r>
        <w:rPr>
          <w:shd w:val="clear" w:color="auto" w:fill="FFFFFF"/>
        </w:rPr>
        <w:t xml:space="preserve">orporate </w:t>
      </w:r>
      <w:r w:rsidR="00F7163E">
        <w:rPr>
          <w:shd w:val="clear" w:color="auto" w:fill="FFFFFF"/>
        </w:rPr>
        <w:t>s</w:t>
      </w:r>
      <w:r>
        <w:rPr>
          <w:shd w:val="clear" w:color="auto" w:fill="FFFFFF"/>
        </w:rPr>
        <w:t xml:space="preserve">ocial </w:t>
      </w:r>
      <w:r w:rsidR="00F7163E">
        <w:rPr>
          <w:shd w:val="clear" w:color="auto" w:fill="FFFFFF"/>
        </w:rPr>
        <w:t>r</w:t>
      </w:r>
      <w:r>
        <w:rPr>
          <w:shd w:val="clear" w:color="auto" w:fill="FFFFFF"/>
        </w:rPr>
        <w:t xml:space="preserve">esponsibility </w:t>
      </w:r>
      <w:r w:rsidR="00F7163E">
        <w:rPr>
          <w:shd w:val="clear" w:color="auto" w:fill="FFFFFF"/>
        </w:rPr>
        <w:t xml:space="preserve">efforts </w:t>
      </w:r>
      <w:r>
        <w:rPr>
          <w:shd w:val="clear" w:color="auto" w:fill="FFFFFF"/>
        </w:rPr>
        <w:t xml:space="preserve">and from individual donors. </w:t>
      </w:r>
    </w:p>
    <w:p w14:paraId="0EE71D79" w14:textId="77777777" w:rsidR="00F7163E" w:rsidRDefault="00F7163E" w:rsidP="00D334AE">
      <w:pPr>
        <w:pStyle w:val="BodyTextMain"/>
        <w:rPr>
          <w:shd w:val="clear" w:color="auto" w:fill="FFFFFF"/>
        </w:rPr>
      </w:pPr>
    </w:p>
    <w:p w14:paraId="38C6C98B" w14:textId="32627413" w:rsidR="00D334AE" w:rsidRPr="00F42D11" w:rsidRDefault="00D334AE" w:rsidP="00D334AE">
      <w:pPr>
        <w:pStyle w:val="BodyTextMain"/>
        <w:rPr>
          <w:shd w:val="clear" w:color="auto" w:fill="FFFFFF"/>
        </w:rPr>
      </w:pPr>
      <w:r>
        <w:rPr>
          <w:shd w:val="clear" w:color="auto" w:fill="FFFFFF"/>
        </w:rPr>
        <w:lastRenderedPageBreak/>
        <w:t xml:space="preserve">The mission of GoSports </w:t>
      </w:r>
      <w:r w:rsidR="00F7163E">
        <w:rPr>
          <w:shd w:val="clear" w:color="auto" w:fill="FFFFFF"/>
        </w:rPr>
        <w:t>was</w:t>
      </w:r>
      <w:r>
        <w:rPr>
          <w:shd w:val="clear" w:color="auto" w:fill="FFFFFF"/>
        </w:rPr>
        <w:t xml:space="preserve"> </w:t>
      </w:r>
      <w:r w:rsidR="00F7163E">
        <w:rPr>
          <w:shd w:val="clear" w:color="auto" w:fill="FFFFFF"/>
        </w:rPr>
        <w:t>“</w:t>
      </w:r>
      <w:r>
        <w:rPr>
          <w:shd w:val="clear" w:color="auto" w:fill="FFFFFF"/>
        </w:rPr>
        <w:t xml:space="preserve">to use sports excellence as a vehicle for social change and a tool to improve the lives of individuals, communities, and the state of </w:t>
      </w:r>
      <w:r w:rsidR="00F7163E">
        <w:t>our</w:t>
      </w:r>
      <w:r w:rsidR="00F7163E">
        <w:rPr>
          <w:shd w:val="clear" w:color="auto" w:fill="FFFFFF"/>
        </w:rPr>
        <w:t xml:space="preserve"> </w:t>
      </w:r>
      <w:r>
        <w:rPr>
          <w:shd w:val="clear" w:color="auto" w:fill="FFFFFF"/>
        </w:rPr>
        <w:t>nation.</w:t>
      </w:r>
      <w:r w:rsidR="00F7163E">
        <w:rPr>
          <w:shd w:val="clear" w:color="auto" w:fill="FFFFFF"/>
        </w:rPr>
        <w:t>”</w:t>
      </w:r>
      <w:r w:rsidR="00F7163E">
        <w:rPr>
          <w:rStyle w:val="FootnoteReference"/>
          <w:shd w:val="clear" w:color="auto" w:fill="FFFFFF"/>
        </w:rPr>
        <w:footnoteReference w:id="24"/>
      </w:r>
      <w:r>
        <w:rPr>
          <w:shd w:val="clear" w:color="auto" w:fill="FFFFFF"/>
        </w:rPr>
        <w:t xml:space="preserve"> </w:t>
      </w:r>
      <w:r w:rsidR="000B619E">
        <w:rPr>
          <w:shd w:val="clear" w:color="auto" w:fill="FFFFFF"/>
        </w:rPr>
        <w:t xml:space="preserve">Besides helping </w:t>
      </w:r>
      <w:r w:rsidR="007C47F6">
        <w:rPr>
          <w:shd w:val="clear" w:color="auto" w:fill="FFFFFF"/>
        </w:rPr>
        <w:t xml:space="preserve">the </w:t>
      </w:r>
      <w:r>
        <w:rPr>
          <w:shd w:val="clear" w:color="auto" w:fill="FFFFFF"/>
        </w:rPr>
        <w:t xml:space="preserve">athletes win Olympic medals, the organization also </w:t>
      </w:r>
      <w:r w:rsidR="00637C86">
        <w:t xml:space="preserve">strove </w:t>
      </w:r>
      <w:r>
        <w:t xml:space="preserve">to empower athletes and coaches in their professional sporting journey. </w:t>
      </w:r>
      <w:r w:rsidR="006B3422" w:rsidRPr="006B3422">
        <w:t>GoSports also conduct</w:t>
      </w:r>
      <w:r w:rsidR="00637C86">
        <w:t>ed</w:t>
      </w:r>
      <w:r w:rsidR="006B3422" w:rsidRPr="006B3422">
        <w:t xml:space="preserve"> seminars, workshops, and conclaves on diverse topics such as nutrition, sports science, mental health, and career management</w:t>
      </w:r>
      <w:r w:rsidR="006B3422">
        <w:t xml:space="preserve">. </w:t>
      </w:r>
    </w:p>
    <w:p w14:paraId="3D2E997C" w14:textId="09CDB83C" w:rsidR="00D334AE" w:rsidRDefault="00D334AE" w:rsidP="00D334AE">
      <w:pPr>
        <w:pStyle w:val="BodyTextMain"/>
      </w:pPr>
    </w:p>
    <w:p w14:paraId="34219410" w14:textId="77777777" w:rsidR="00DE0AB4" w:rsidRDefault="00DE0AB4" w:rsidP="00D334AE">
      <w:pPr>
        <w:pStyle w:val="BodyTextMain"/>
      </w:pPr>
    </w:p>
    <w:p w14:paraId="3FC30888" w14:textId="0D70FD43" w:rsidR="00D334AE" w:rsidRDefault="00637C86" w:rsidP="00F42D11">
      <w:pPr>
        <w:pStyle w:val="Casehead2"/>
      </w:pPr>
      <w:r>
        <w:t xml:space="preserve">The </w:t>
      </w:r>
      <w:r w:rsidR="00D334AE">
        <w:t xml:space="preserve">GoSports </w:t>
      </w:r>
      <w:r>
        <w:t xml:space="preserve">Journey </w:t>
      </w:r>
    </w:p>
    <w:p w14:paraId="382B251F" w14:textId="77777777" w:rsidR="00D334AE" w:rsidRDefault="00D334AE" w:rsidP="006179D4">
      <w:pPr>
        <w:pStyle w:val="BodyTextMain"/>
        <w:rPr>
          <w:shd w:val="clear" w:color="auto" w:fill="FFFFFF"/>
        </w:rPr>
      </w:pPr>
    </w:p>
    <w:p w14:paraId="6A3BD653" w14:textId="33D39849" w:rsidR="00D334AE" w:rsidRPr="00F83582" w:rsidRDefault="00D334AE" w:rsidP="00F83582">
      <w:pPr>
        <w:pStyle w:val="pf0"/>
        <w:jc w:val="both"/>
        <w:rPr>
          <w:sz w:val="22"/>
          <w:szCs w:val="22"/>
          <w:shd w:val="clear" w:color="auto" w:fill="FFFFFF"/>
        </w:rPr>
      </w:pPr>
      <w:r w:rsidRPr="00F83582">
        <w:rPr>
          <w:sz w:val="22"/>
          <w:szCs w:val="22"/>
          <w:shd w:val="clear" w:color="auto" w:fill="FFFFFF"/>
        </w:rPr>
        <w:t xml:space="preserve">In 2008, when GoSports </w:t>
      </w:r>
      <w:r w:rsidR="00591F62" w:rsidRPr="00F83582">
        <w:rPr>
          <w:sz w:val="22"/>
          <w:szCs w:val="22"/>
          <w:shd w:val="clear" w:color="auto" w:fill="FFFFFF"/>
        </w:rPr>
        <w:t xml:space="preserve">was </w:t>
      </w:r>
      <w:r w:rsidRPr="00F83582">
        <w:rPr>
          <w:sz w:val="22"/>
          <w:szCs w:val="22"/>
          <w:shd w:val="clear" w:color="auto" w:fill="FFFFFF"/>
        </w:rPr>
        <w:t>started, it had a simple mission</w:t>
      </w:r>
      <w:r w:rsidR="00637C86" w:rsidRPr="00F83582">
        <w:rPr>
          <w:sz w:val="22"/>
          <w:szCs w:val="22"/>
          <w:shd w:val="clear" w:color="auto" w:fill="FFFFFF"/>
        </w:rPr>
        <w:t xml:space="preserve">: </w:t>
      </w:r>
      <w:r w:rsidRPr="00F83582">
        <w:rPr>
          <w:sz w:val="22"/>
          <w:szCs w:val="22"/>
          <w:shd w:val="clear" w:color="auto" w:fill="FFFFFF"/>
        </w:rPr>
        <w:t>support a few worthy athletes to qualify for the Olympics</w:t>
      </w:r>
      <w:r w:rsidR="006B3422" w:rsidRPr="00F83582">
        <w:rPr>
          <w:sz w:val="22"/>
          <w:szCs w:val="22"/>
          <w:shd w:val="clear" w:color="auto" w:fill="FFFFFF"/>
        </w:rPr>
        <w:t xml:space="preserve"> </w:t>
      </w:r>
      <w:r w:rsidRPr="00F83582">
        <w:rPr>
          <w:sz w:val="22"/>
          <w:szCs w:val="22"/>
          <w:shd w:val="clear" w:color="auto" w:fill="FFFFFF"/>
        </w:rPr>
        <w:t xml:space="preserve">and aim for a podium finish. </w:t>
      </w:r>
      <w:r w:rsidR="00637C86" w:rsidRPr="00F83582">
        <w:rPr>
          <w:sz w:val="22"/>
          <w:szCs w:val="22"/>
          <w:shd w:val="clear" w:color="auto" w:fill="FFFFFF"/>
        </w:rPr>
        <w:t xml:space="preserve">Kamath </w:t>
      </w:r>
      <w:r w:rsidRPr="00F83582">
        <w:rPr>
          <w:sz w:val="22"/>
          <w:szCs w:val="22"/>
          <w:shd w:val="clear" w:color="auto" w:fill="FFFFFF"/>
        </w:rPr>
        <w:t xml:space="preserve">knew that a grassroots development of sports was the ideal way to develop sports excellence; however, he realized that it would need both time and resources. Identifying athletes who could win medals at the Olympics and supporting them could be a </w:t>
      </w:r>
      <w:r w:rsidR="00637C86" w:rsidRPr="00F83582">
        <w:rPr>
          <w:sz w:val="22"/>
          <w:szCs w:val="22"/>
          <w:shd w:val="clear" w:color="auto" w:fill="FFFFFF"/>
        </w:rPr>
        <w:t xml:space="preserve">quick </w:t>
      </w:r>
      <w:r w:rsidRPr="00F83582">
        <w:rPr>
          <w:sz w:val="22"/>
          <w:szCs w:val="22"/>
          <w:shd w:val="clear" w:color="auto" w:fill="FFFFFF"/>
        </w:rPr>
        <w:t xml:space="preserve">way to show that Indians could win medals by having the right support system. </w:t>
      </w:r>
      <w:r w:rsidR="00F83582" w:rsidRPr="00F83582">
        <w:rPr>
          <w:sz w:val="22"/>
          <w:szCs w:val="22"/>
          <w:shd w:val="clear" w:color="auto" w:fill="FFFFFF"/>
        </w:rPr>
        <w:t>Thus, GoSports created a system that supported Indian athletes in order to demonstrate that proper support could help Indians win medals, and inspire positive change.</w:t>
      </w:r>
      <w:r w:rsidRPr="00F83582">
        <w:rPr>
          <w:sz w:val="22"/>
          <w:szCs w:val="22"/>
          <w:shd w:val="clear" w:color="auto" w:fill="FFFFFF"/>
        </w:rPr>
        <w:t xml:space="preserve">. </w:t>
      </w:r>
      <w:r w:rsidR="00637C86" w:rsidRPr="00F83582">
        <w:rPr>
          <w:sz w:val="22"/>
          <w:szCs w:val="22"/>
          <w:shd w:val="clear" w:color="auto" w:fill="FFFFFF"/>
        </w:rPr>
        <w:t xml:space="preserve">Kamath </w:t>
      </w:r>
      <w:r w:rsidRPr="00F83582">
        <w:rPr>
          <w:sz w:val="22"/>
          <w:szCs w:val="22"/>
          <w:shd w:val="clear" w:color="auto" w:fill="FFFFFF"/>
        </w:rPr>
        <w:t>believed that building pathways for athletes would make the tougher</w:t>
      </w:r>
      <w:r w:rsidR="00015BC3" w:rsidRPr="00F83582">
        <w:rPr>
          <w:sz w:val="22"/>
          <w:szCs w:val="22"/>
          <w:shd w:val="clear" w:color="auto" w:fill="FFFFFF"/>
        </w:rPr>
        <w:t xml:space="preserve"> </w:t>
      </w:r>
      <w:r w:rsidRPr="00F83582">
        <w:rPr>
          <w:sz w:val="22"/>
          <w:szCs w:val="22"/>
          <w:shd w:val="clear" w:color="auto" w:fill="FFFFFF"/>
        </w:rPr>
        <w:t>but more significant battle</w:t>
      </w:r>
      <w:r w:rsidR="00637C86" w:rsidRPr="00F83582">
        <w:rPr>
          <w:sz w:val="22"/>
          <w:szCs w:val="22"/>
          <w:shd w:val="clear" w:color="auto" w:fill="FFFFFF"/>
        </w:rPr>
        <w:t xml:space="preserve"> of competition </w:t>
      </w:r>
      <w:r w:rsidRPr="00F83582">
        <w:rPr>
          <w:sz w:val="22"/>
          <w:szCs w:val="22"/>
          <w:shd w:val="clear" w:color="auto" w:fill="FFFFFF"/>
        </w:rPr>
        <w:t xml:space="preserve">easier down the road. </w:t>
      </w:r>
    </w:p>
    <w:p w14:paraId="53FE9263" w14:textId="77777777" w:rsidR="003C6ACA" w:rsidRDefault="003C6ACA" w:rsidP="006179D4">
      <w:pPr>
        <w:pStyle w:val="BodyTextMain"/>
        <w:rPr>
          <w:shd w:val="clear" w:color="auto" w:fill="FFFFFF"/>
        </w:rPr>
      </w:pPr>
    </w:p>
    <w:p w14:paraId="0A25E07D" w14:textId="4DBC186F" w:rsidR="00F058C6" w:rsidRDefault="00D334AE" w:rsidP="00D334AE">
      <w:pPr>
        <w:pStyle w:val="BodyTextMain"/>
        <w:rPr>
          <w:shd w:val="clear" w:color="auto" w:fill="FFFFFF"/>
        </w:rPr>
      </w:pPr>
      <w:r>
        <w:rPr>
          <w:shd w:val="clear" w:color="auto" w:fill="FFFFFF"/>
        </w:rPr>
        <w:t xml:space="preserve">Initially, GoSports was only focused on Olympic athletes and sports excellence. In line with this vision, GoSports increased its support to athletes who competed in the Olympics and </w:t>
      </w:r>
      <w:r w:rsidR="00F058C6">
        <w:rPr>
          <w:shd w:val="clear" w:color="auto" w:fill="FFFFFF"/>
        </w:rPr>
        <w:t xml:space="preserve">to </w:t>
      </w:r>
      <w:r>
        <w:rPr>
          <w:shd w:val="clear" w:color="auto" w:fill="FFFFFF"/>
        </w:rPr>
        <w:t>differently</w:t>
      </w:r>
      <w:r w:rsidR="00F058C6">
        <w:rPr>
          <w:shd w:val="clear" w:color="auto" w:fill="FFFFFF"/>
        </w:rPr>
        <w:t xml:space="preserve"> </w:t>
      </w:r>
      <w:r>
        <w:rPr>
          <w:shd w:val="clear" w:color="auto" w:fill="FFFFFF"/>
        </w:rPr>
        <w:t>abled athletes who competed in the Paralympic</w:t>
      </w:r>
      <w:r w:rsidR="000F1E11">
        <w:t xml:space="preserve"> Game</w:t>
      </w:r>
      <w:r>
        <w:rPr>
          <w:shd w:val="clear" w:color="auto" w:fill="FFFFFF"/>
        </w:rPr>
        <w:t xml:space="preserve">s. </w:t>
      </w:r>
      <w:r w:rsidR="000132EC">
        <w:rPr>
          <w:shd w:val="clear" w:color="auto" w:fill="FFFFFF"/>
        </w:rPr>
        <w:t>The organization</w:t>
      </w:r>
      <w:r w:rsidR="00F058C6">
        <w:rPr>
          <w:shd w:val="clear" w:color="auto" w:fill="FFFFFF"/>
        </w:rPr>
        <w:t xml:space="preserve"> solicited donations from individuals and organizations to support the athletes’ needs for training, coaching, equipment, medical support, and injury management to excel on the world stage.</w:t>
      </w:r>
    </w:p>
    <w:p w14:paraId="3143A705" w14:textId="77777777" w:rsidR="00F058C6" w:rsidRDefault="00F058C6" w:rsidP="00D334AE">
      <w:pPr>
        <w:pStyle w:val="BodyTextMain"/>
        <w:rPr>
          <w:shd w:val="clear" w:color="auto" w:fill="FFFFFF"/>
        </w:rPr>
      </w:pPr>
    </w:p>
    <w:p w14:paraId="75EEF8E6" w14:textId="6CC0A0D4" w:rsidR="00D334AE" w:rsidRDefault="00F058C6" w:rsidP="00D334AE">
      <w:pPr>
        <w:pStyle w:val="BodyTextMain"/>
        <w:rPr>
          <w:shd w:val="clear" w:color="auto" w:fill="FFFFFF"/>
        </w:rPr>
      </w:pPr>
      <w:r>
        <w:rPr>
          <w:shd w:val="clear" w:color="auto" w:fill="FFFFFF"/>
        </w:rPr>
        <w:t xml:space="preserve">Later, Kamath realized that sports could </w:t>
      </w:r>
      <w:r w:rsidR="000132EC">
        <w:rPr>
          <w:shd w:val="clear" w:color="auto" w:fill="FFFFFF"/>
        </w:rPr>
        <w:t xml:space="preserve">also </w:t>
      </w:r>
      <w:r>
        <w:rPr>
          <w:shd w:val="clear" w:color="auto" w:fill="FFFFFF"/>
        </w:rPr>
        <w:t xml:space="preserve">be used as a vehicle for social change (see Exhibit 2). </w:t>
      </w:r>
      <w:r w:rsidR="00D334AE">
        <w:rPr>
          <w:shd w:val="clear" w:color="auto" w:fill="FFFFFF"/>
        </w:rPr>
        <w:t xml:space="preserve">Besides directly supporting athletes, GoSports started focusing on education and advocacy for various stakeholders in the sports domain. </w:t>
      </w:r>
    </w:p>
    <w:p w14:paraId="6BCF765B" w14:textId="1BC7F2B1" w:rsidR="00D334AE" w:rsidRDefault="00D334AE" w:rsidP="00D334AE">
      <w:pPr>
        <w:pStyle w:val="BodyTextMain"/>
        <w:rPr>
          <w:shd w:val="clear" w:color="auto" w:fill="FFFFFF"/>
        </w:rPr>
      </w:pPr>
    </w:p>
    <w:p w14:paraId="60B636BB" w14:textId="77777777" w:rsidR="00353AEE" w:rsidRDefault="00353AEE" w:rsidP="00D334AE">
      <w:pPr>
        <w:pStyle w:val="BodyTextMain"/>
        <w:rPr>
          <w:shd w:val="clear" w:color="auto" w:fill="FFFFFF"/>
        </w:rPr>
      </w:pPr>
    </w:p>
    <w:p w14:paraId="5828F1E1" w14:textId="4638CE22" w:rsidR="00D334AE" w:rsidRDefault="000132EC" w:rsidP="00F42D11">
      <w:pPr>
        <w:pStyle w:val="Casehead2"/>
      </w:pPr>
      <w:r>
        <w:t>Activities at</w:t>
      </w:r>
      <w:r w:rsidR="00D334AE">
        <w:t xml:space="preserve"> GoSports</w:t>
      </w:r>
    </w:p>
    <w:p w14:paraId="35D43A87" w14:textId="77777777" w:rsidR="00D334AE" w:rsidRDefault="00D334AE" w:rsidP="00D334AE">
      <w:pPr>
        <w:pStyle w:val="BodyTextMain"/>
      </w:pPr>
    </w:p>
    <w:p w14:paraId="29D61533" w14:textId="71ACA1C9" w:rsidR="00D334AE" w:rsidRDefault="00D334AE" w:rsidP="00D334AE">
      <w:pPr>
        <w:pStyle w:val="BodyTextMain"/>
      </w:pPr>
      <w:r>
        <w:t xml:space="preserve">The activities at GoSports </w:t>
      </w:r>
      <w:r w:rsidR="000132EC">
        <w:t>could</w:t>
      </w:r>
      <w:r>
        <w:t xml:space="preserve"> be divided into </w:t>
      </w:r>
      <w:r w:rsidR="000132EC">
        <w:t xml:space="preserve">four categories: </w:t>
      </w:r>
      <w:r>
        <w:t>athlete selection, athlete support, athlete management, and fundraising.</w:t>
      </w:r>
    </w:p>
    <w:p w14:paraId="14F81C4C" w14:textId="373833EF" w:rsidR="00EA4D4D" w:rsidRDefault="00EA4D4D" w:rsidP="00D334AE">
      <w:pPr>
        <w:pStyle w:val="BodyTextMain"/>
      </w:pPr>
    </w:p>
    <w:p w14:paraId="022D2E12" w14:textId="77777777" w:rsidR="000132EC" w:rsidRDefault="000132EC" w:rsidP="00D334AE">
      <w:pPr>
        <w:pStyle w:val="BodyTextMain"/>
      </w:pPr>
    </w:p>
    <w:p w14:paraId="0FA89E2A" w14:textId="77777777" w:rsidR="00D334AE" w:rsidRDefault="00D334AE" w:rsidP="00F42D11">
      <w:pPr>
        <w:pStyle w:val="Casehead3"/>
      </w:pPr>
      <w:r>
        <w:t xml:space="preserve">Athlete Selection </w:t>
      </w:r>
    </w:p>
    <w:p w14:paraId="287C3877" w14:textId="77777777" w:rsidR="000132EC" w:rsidRDefault="000132EC" w:rsidP="00D334AE">
      <w:pPr>
        <w:pStyle w:val="BodyTextMain"/>
        <w:rPr>
          <w:shd w:val="clear" w:color="auto" w:fill="FFFFFF"/>
        </w:rPr>
      </w:pPr>
    </w:p>
    <w:p w14:paraId="4F0DB22B" w14:textId="374F1655" w:rsidR="00D334AE" w:rsidRDefault="000132EC" w:rsidP="000132EC">
      <w:pPr>
        <w:pStyle w:val="BodyTextMain"/>
      </w:pPr>
      <w:r>
        <w:rPr>
          <w:shd w:val="clear" w:color="auto" w:fill="FFFFFF"/>
        </w:rPr>
        <w:t>A</w:t>
      </w:r>
      <w:r w:rsidR="00D334AE">
        <w:rPr>
          <w:shd w:val="clear" w:color="auto" w:fill="FFFFFF"/>
        </w:rPr>
        <w:t>thlete selection at GoSports follow</w:t>
      </w:r>
      <w:r>
        <w:rPr>
          <w:shd w:val="clear" w:color="auto" w:fill="FFFFFF"/>
        </w:rPr>
        <w:t>ed</w:t>
      </w:r>
      <w:r w:rsidR="00D334AE">
        <w:rPr>
          <w:shd w:val="clear" w:color="auto" w:fill="FFFFFF"/>
        </w:rPr>
        <w:t xml:space="preserve"> a </w:t>
      </w:r>
      <w:r>
        <w:rPr>
          <w:shd w:val="clear" w:color="auto" w:fill="FFFFFF"/>
        </w:rPr>
        <w:t>five</w:t>
      </w:r>
      <w:r w:rsidR="00D334AE">
        <w:rPr>
          <w:shd w:val="clear" w:color="auto" w:fill="FFFFFF"/>
        </w:rPr>
        <w:t>-step process (</w:t>
      </w:r>
      <w:r>
        <w:rPr>
          <w:shd w:val="clear" w:color="auto" w:fill="FFFFFF"/>
        </w:rPr>
        <w:t xml:space="preserve">see </w:t>
      </w:r>
      <w:r w:rsidR="00D334AE">
        <w:rPr>
          <w:shd w:val="clear" w:color="auto" w:fill="FFFFFF"/>
        </w:rPr>
        <w:t xml:space="preserve">Exhibit 3). </w:t>
      </w:r>
      <w:r>
        <w:rPr>
          <w:shd w:val="clear" w:color="auto" w:fill="FFFFFF"/>
        </w:rPr>
        <w:t xml:space="preserve">The first stage, Stage 1, was outreach. </w:t>
      </w:r>
      <w:r w:rsidR="00D334AE">
        <w:rPr>
          <w:shd w:val="clear" w:color="auto" w:fill="FFFFFF"/>
        </w:rPr>
        <w:t>GoSports cast a wide net to identify prospective athletes</w:t>
      </w:r>
      <w:r w:rsidR="004634BE">
        <w:rPr>
          <w:shd w:val="clear" w:color="auto" w:fill="FFFFFF"/>
        </w:rPr>
        <w:t xml:space="preserve">, </w:t>
      </w:r>
      <w:r w:rsidR="00D334AE">
        <w:rPr>
          <w:shd w:val="clear" w:color="auto" w:fill="FFFFFF"/>
        </w:rPr>
        <w:t>invit</w:t>
      </w:r>
      <w:r w:rsidR="004634BE">
        <w:rPr>
          <w:shd w:val="clear" w:color="auto" w:fill="FFFFFF"/>
        </w:rPr>
        <w:t>ing</w:t>
      </w:r>
      <w:r w:rsidR="00D334AE">
        <w:rPr>
          <w:shd w:val="clear" w:color="auto" w:fill="FFFFFF"/>
        </w:rPr>
        <w:t xml:space="preserve"> applications from young and exciting talent</w:t>
      </w:r>
      <w:r w:rsidR="004634BE">
        <w:rPr>
          <w:shd w:val="clear" w:color="auto" w:fill="FFFFFF"/>
        </w:rPr>
        <w:t xml:space="preserve"> across India</w:t>
      </w:r>
      <w:r w:rsidR="00D334AE">
        <w:rPr>
          <w:shd w:val="clear" w:color="auto" w:fill="FFFFFF"/>
        </w:rPr>
        <w:t xml:space="preserve">. The </w:t>
      </w:r>
      <w:r w:rsidR="004634BE">
        <w:rPr>
          <w:shd w:val="clear" w:color="auto" w:fill="FFFFFF"/>
        </w:rPr>
        <w:t>applications were</w:t>
      </w:r>
      <w:r w:rsidR="00D334AE">
        <w:rPr>
          <w:shd w:val="clear" w:color="auto" w:fill="FFFFFF"/>
        </w:rPr>
        <w:t xml:space="preserve"> shared with the </w:t>
      </w:r>
      <w:r w:rsidR="00D334AE">
        <w:t xml:space="preserve">public and coaches, sports science experts, sports journalists, and </w:t>
      </w:r>
      <w:r w:rsidR="004634BE">
        <w:t xml:space="preserve">on GoSports’ </w:t>
      </w:r>
      <w:r w:rsidR="00D334AE">
        <w:t>social media.</w:t>
      </w:r>
    </w:p>
    <w:p w14:paraId="136A1AB9" w14:textId="70188DE6" w:rsidR="004634BE" w:rsidRDefault="004634BE" w:rsidP="000132EC">
      <w:pPr>
        <w:pStyle w:val="BodyTextMain"/>
      </w:pPr>
    </w:p>
    <w:p w14:paraId="19D356F5" w14:textId="4433E7BB" w:rsidR="001834F2" w:rsidRDefault="004634BE" w:rsidP="004634BE">
      <w:pPr>
        <w:pStyle w:val="BodyTextMain"/>
      </w:pPr>
      <w:r>
        <w:rPr>
          <w:shd w:val="clear" w:color="auto" w:fill="FFFFFF"/>
        </w:rPr>
        <w:t xml:space="preserve">In the next two stages, </w:t>
      </w:r>
      <w:r w:rsidR="00D334AE">
        <w:t>Stage</w:t>
      </w:r>
      <w:r>
        <w:t>s</w:t>
      </w:r>
      <w:r w:rsidR="00D334AE">
        <w:t xml:space="preserve"> 2 and 3</w:t>
      </w:r>
      <w:r>
        <w:t xml:space="preserve">, </w:t>
      </w:r>
      <w:r w:rsidR="00D334AE">
        <w:t xml:space="preserve">GoSports </w:t>
      </w:r>
      <w:r>
        <w:t xml:space="preserve">worked through the </w:t>
      </w:r>
      <w:r w:rsidR="00D334AE">
        <w:t>many applications</w:t>
      </w:r>
      <w:r>
        <w:t xml:space="preserve"> </w:t>
      </w:r>
      <w:r w:rsidR="00D334AE">
        <w:t xml:space="preserve">to identify the most promising athletes for the slots available at GoSports. </w:t>
      </w:r>
      <w:r w:rsidR="001834F2">
        <w:t xml:space="preserve">The organization </w:t>
      </w:r>
      <w:r w:rsidR="00D334AE">
        <w:t>shortlist</w:t>
      </w:r>
      <w:r w:rsidR="001834F2">
        <w:t>ed</w:t>
      </w:r>
      <w:r w:rsidR="00D334AE">
        <w:t xml:space="preserve"> candidates on eligibility criteria, comparative performance analysis, and feedback from multiple national level coaches in the two internal stages.</w:t>
      </w:r>
    </w:p>
    <w:p w14:paraId="49A16AB9" w14:textId="2D6F0EEE" w:rsidR="00D334AE" w:rsidRDefault="001834F2" w:rsidP="001834F2">
      <w:pPr>
        <w:pStyle w:val="BodyTextMain"/>
      </w:pPr>
      <w:r>
        <w:lastRenderedPageBreak/>
        <w:t xml:space="preserve">During </w:t>
      </w:r>
      <w:r w:rsidR="00D334AE">
        <w:t>Stage 4</w:t>
      </w:r>
      <w:r>
        <w:t xml:space="preserve">, </w:t>
      </w:r>
      <w:r w:rsidR="00D334AE">
        <w:t xml:space="preserve">the shortlisted athletes </w:t>
      </w:r>
      <w:r>
        <w:t xml:space="preserve">were </w:t>
      </w:r>
      <w:r w:rsidR="00D334AE">
        <w:t xml:space="preserve">invited for </w:t>
      </w:r>
      <w:r>
        <w:t xml:space="preserve">a </w:t>
      </w:r>
      <w:r w:rsidR="00D334AE">
        <w:t xml:space="preserve">personal interview </w:t>
      </w:r>
      <w:r>
        <w:t xml:space="preserve">with a </w:t>
      </w:r>
      <w:r w:rsidR="00D334AE">
        <w:t>panel. The panel consist</w:t>
      </w:r>
      <w:r>
        <w:t>ed</w:t>
      </w:r>
      <w:r w:rsidR="00D334AE">
        <w:t xml:space="preserve"> of eminent personalities from the sports domain </w:t>
      </w:r>
      <w:r>
        <w:t xml:space="preserve">who </w:t>
      </w:r>
      <w:r w:rsidR="00D334AE">
        <w:t>underst</w:t>
      </w:r>
      <w:r>
        <w:t>ood</w:t>
      </w:r>
      <w:r w:rsidR="00D334AE">
        <w:t xml:space="preserve"> the struggle </w:t>
      </w:r>
      <w:r>
        <w:t>to</w:t>
      </w:r>
      <w:r w:rsidR="00D334AE">
        <w:t xml:space="preserve"> achiev</w:t>
      </w:r>
      <w:r>
        <w:t>e</w:t>
      </w:r>
      <w:r w:rsidR="00D334AE">
        <w:t xml:space="preserve"> success at the international level. During the </w:t>
      </w:r>
      <w:r>
        <w:t>interview</w:t>
      </w:r>
      <w:r w:rsidR="00D334AE">
        <w:t xml:space="preserve">, the panel </w:t>
      </w:r>
      <w:r>
        <w:t xml:space="preserve">sought </w:t>
      </w:r>
      <w:r w:rsidR="00D334AE">
        <w:t>to understand the athlete</w:t>
      </w:r>
      <w:r w:rsidR="00E45AFA">
        <w:t>’</w:t>
      </w:r>
      <w:r w:rsidR="00D334AE">
        <w:t>s background, resilience, and drive.</w:t>
      </w:r>
    </w:p>
    <w:p w14:paraId="3F160AAA" w14:textId="77777777" w:rsidR="001834F2" w:rsidRDefault="001834F2" w:rsidP="00F42D11">
      <w:pPr>
        <w:pStyle w:val="BodyTextMain"/>
      </w:pPr>
    </w:p>
    <w:p w14:paraId="50880649" w14:textId="4F2FB49E" w:rsidR="00D334AE" w:rsidRDefault="001834F2" w:rsidP="00F42D11">
      <w:pPr>
        <w:pStyle w:val="BodyTextMain"/>
        <w:rPr>
          <w:shd w:val="clear" w:color="auto" w:fill="FFFFFF"/>
        </w:rPr>
      </w:pPr>
      <w:r>
        <w:t xml:space="preserve">The last step of the process, </w:t>
      </w:r>
      <w:r w:rsidR="00D334AE">
        <w:t>Stage 5</w:t>
      </w:r>
      <w:r>
        <w:t>,</w:t>
      </w:r>
      <w:r w:rsidR="00D334AE">
        <w:t xml:space="preserve"> </w:t>
      </w:r>
      <w:r>
        <w:t>involved</w:t>
      </w:r>
      <w:r w:rsidR="00D334AE">
        <w:t xml:space="preserve"> all the applicants who cleared the earlier rounds. In this stage, a member of the GoSports team visit</w:t>
      </w:r>
      <w:r>
        <w:t>ed</w:t>
      </w:r>
      <w:r w:rsidR="00D334AE">
        <w:t xml:space="preserve"> the applicant</w:t>
      </w:r>
      <w:r w:rsidR="00E45AFA">
        <w:t>’</w:t>
      </w:r>
      <w:r w:rsidR="00D334AE">
        <w:t xml:space="preserve">s hometown and training base to </w:t>
      </w:r>
      <w:r>
        <w:t xml:space="preserve">verify </w:t>
      </w:r>
      <w:r w:rsidR="00D334AE">
        <w:t xml:space="preserve">the </w:t>
      </w:r>
      <w:r>
        <w:t xml:space="preserve">applicant’s </w:t>
      </w:r>
      <w:r w:rsidR="00D334AE">
        <w:t>authenticity.</w:t>
      </w:r>
    </w:p>
    <w:p w14:paraId="0D65F883" w14:textId="073A017B" w:rsidR="00EA4D4D" w:rsidRDefault="00EA4D4D" w:rsidP="00D334AE">
      <w:pPr>
        <w:pStyle w:val="BodyTextMain"/>
      </w:pPr>
    </w:p>
    <w:p w14:paraId="57579317" w14:textId="77777777" w:rsidR="00DE0AB4" w:rsidRDefault="00DE0AB4" w:rsidP="00D334AE">
      <w:pPr>
        <w:pStyle w:val="BodyTextMain"/>
      </w:pPr>
    </w:p>
    <w:p w14:paraId="1BFB72D6" w14:textId="7430E0BF" w:rsidR="00D334AE" w:rsidRDefault="00D334AE" w:rsidP="00F42D11">
      <w:pPr>
        <w:pStyle w:val="Casehead3"/>
      </w:pPr>
      <w:r>
        <w:t>Athlete Support Programs</w:t>
      </w:r>
    </w:p>
    <w:p w14:paraId="18714CE4" w14:textId="77777777" w:rsidR="00EA4D4D" w:rsidRDefault="00EA4D4D" w:rsidP="00D334AE">
      <w:pPr>
        <w:pStyle w:val="BodyTextMain"/>
        <w:rPr>
          <w:shd w:val="clear" w:color="auto" w:fill="FFFFFF"/>
        </w:rPr>
      </w:pPr>
    </w:p>
    <w:p w14:paraId="4D9F95CD" w14:textId="38F87A55" w:rsidR="00D334AE" w:rsidRDefault="00D334AE" w:rsidP="00D334AE">
      <w:pPr>
        <w:pStyle w:val="BodyTextMain"/>
        <w:rPr>
          <w:shd w:val="clear" w:color="auto" w:fill="FFFFFF"/>
        </w:rPr>
      </w:pPr>
      <w:r>
        <w:rPr>
          <w:shd w:val="clear" w:color="auto" w:fill="FFFFFF"/>
        </w:rPr>
        <w:t>Go</w:t>
      </w:r>
      <w:r w:rsidR="003F1CDC">
        <w:rPr>
          <w:shd w:val="clear" w:color="auto" w:fill="FFFFFF"/>
        </w:rPr>
        <w:t>S</w:t>
      </w:r>
      <w:r>
        <w:rPr>
          <w:shd w:val="clear" w:color="auto" w:fill="FFFFFF"/>
        </w:rPr>
        <w:t>ports support</w:t>
      </w:r>
      <w:r w:rsidR="00455AB1">
        <w:rPr>
          <w:shd w:val="clear" w:color="auto" w:fill="FFFFFF"/>
        </w:rPr>
        <w:t>ed</w:t>
      </w:r>
      <w:r>
        <w:rPr>
          <w:shd w:val="clear" w:color="auto" w:fill="FFFFFF"/>
        </w:rPr>
        <w:t xml:space="preserve"> athletes in various ways under different programs</w:t>
      </w:r>
      <w:r w:rsidR="00455AB1">
        <w:rPr>
          <w:shd w:val="clear" w:color="auto" w:fill="FFFFFF"/>
        </w:rPr>
        <w:t xml:space="preserve"> (see Exhibit 4)</w:t>
      </w:r>
      <w:r>
        <w:rPr>
          <w:shd w:val="clear" w:color="auto" w:fill="FFFFFF"/>
        </w:rPr>
        <w:t xml:space="preserve">. </w:t>
      </w:r>
      <w:r w:rsidR="00455AB1">
        <w:rPr>
          <w:shd w:val="clear" w:color="auto" w:fill="FFFFFF"/>
        </w:rPr>
        <w:t xml:space="preserve">However, the foundation </w:t>
      </w:r>
      <w:r>
        <w:rPr>
          <w:shd w:val="clear" w:color="auto" w:fill="FFFFFF"/>
        </w:rPr>
        <w:t>only support</w:t>
      </w:r>
      <w:r w:rsidR="00455AB1">
        <w:rPr>
          <w:shd w:val="clear" w:color="auto" w:fill="FFFFFF"/>
        </w:rPr>
        <w:t>ed</w:t>
      </w:r>
      <w:r>
        <w:rPr>
          <w:shd w:val="clear" w:color="auto" w:fill="FFFFFF"/>
        </w:rPr>
        <w:t xml:space="preserve"> athletes in individual sports</w:t>
      </w:r>
      <w:r w:rsidR="00F42D11">
        <w:rPr>
          <w:shd w:val="clear" w:color="auto" w:fill="FFFFFF"/>
        </w:rPr>
        <w:t>;</w:t>
      </w:r>
      <w:r w:rsidR="00455AB1">
        <w:rPr>
          <w:shd w:val="clear" w:color="auto" w:fill="FFFFFF"/>
        </w:rPr>
        <w:t xml:space="preserve"> t</w:t>
      </w:r>
      <w:r>
        <w:rPr>
          <w:shd w:val="clear" w:color="auto" w:fill="FFFFFF"/>
        </w:rPr>
        <w:t xml:space="preserve">he ability to intervene and </w:t>
      </w:r>
      <w:r w:rsidR="00455AB1">
        <w:rPr>
          <w:shd w:val="clear" w:color="auto" w:fill="FFFFFF"/>
        </w:rPr>
        <w:t>affect</w:t>
      </w:r>
      <w:r>
        <w:rPr>
          <w:shd w:val="clear" w:color="auto" w:fill="FFFFFF"/>
        </w:rPr>
        <w:t xml:space="preserve"> </w:t>
      </w:r>
      <w:r w:rsidR="00455AB1">
        <w:rPr>
          <w:shd w:val="clear" w:color="auto" w:fill="FFFFFF"/>
        </w:rPr>
        <w:t xml:space="preserve">outcomes was better in </w:t>
      </w:r>
      <w:r>
        <w:rPr>
          <w:shd w:val="clear" w:color="auto" w:fill="FFFFFF"/>
        </w:rPr>
        <w:t xml:space="preserve">individual sports than </w:t>
      </w:r>
      <w:r w:rsidR="00455AB1">
        <w:rPr>
          <w:shd w:val="clear" w:color="auto" w:fill="FFFFFF"/>
        </w:rPr>
        <w:t>in</w:t>
      </w:r>
      <w:r>
        <w:rPr>
          <w:shd w:val="clear" w:color="auto" w:fill="FFFFFF"/>
        </w:rPr>
        <w:t xml:space="preserve"> team sport</w:t>
      </w:r>
      <w:r w:rsidR="00455AB1">
        <w:rPr>
          <w:shd w:val="clear" w:color="auto" w:fill="FFFFFF"/>
        </w:rPr>
        <w:t>s</w:t>
      </w:r>
      <w:r>
        <w:rPr>
          <w:shd w:val="clear" w:color="auto" w:fill="FFFFFF"/>
        </w:rPr>
        <w:t xml:space="preserve"> where there </w:t>
      </w:r>
      <w:r w:rsidR="00455AB1">
        <w:rPr>
          <w:shd w:val="clear" w:color="auto" w:fill="FFFFFF"/>
        </w:rPr>
        <w:t>were</w:t>
      </w:r>
      <w:r>
        <w:rPr>
          <w:shd w:val="clear" w:color="auto" w:fill="FFFFFF"/>
        </w:rPr>
        <w:t xml:space="preserve"> more variables outside the athlete</w:t>
      </w:r>
      <w:r w:rsidR="00E45AFA">
        <w:rPr>
          <w:shd w:val="clear" w:color="auto" w:fill="FFFFFF"/>
        </w:rPr>
        <w:t>’</w:t>
      </w:r>
      <w:r>
        <w:rPr>
          <w:shd w:val="clear" w:color="auto" w:fill="FFFFFF"/>
        </w:rPr>
        <w:t>s control. Moreover, the return on investment</w:t>
      </w:r>
      <w:r w:rsidR="00455AB1">
        <w:rPr>
          <w:shd w:val="clear" w:color="auto" w:fill="FFFFFF"/>
        </w:rPr>
        <w:t>, measured as the number of medals earned, wa</w:t>
      </w:r>
      <w:r>
        <w:rPr>
          <w:shd w:val="clear" w:color="auto" w:fill="FFFFFF"/>
        </w:rPr>
        <w:t xml:space="preserve">s also higher for individual sports. Finally, </w:t>
      </w:r>
      <w:r w:rsidR="00455AB1">
        <w:rPr>
          <w:shd w:val="clear" w:color="auto" w:fill="FFFFFF"/>
        </w:rPr>
        <w:t xml:space="preserve">to effect change in </w:t>
      </w:r>
      <w:r>
        <w:rPr>
          <w:shd w:val="clear" w:color="auto" w:fill="FFFFFF"/>
        </w:rPr>
        <w:t>team sports, several athletes need</w:t>
      </w:r>
      <w:r w:rsidR="00073E93">
        <w:rPr>
          <w:shd w:val="clear" w:color="auto" w:fill="FFFFFF"/>
        </w:rPr>
        <w:t>ed</w:t>
      </w:r>
      <w:r>
        <w:rPr>
          <w:shd w:val="clear" w:color="auto" w:fill="FFFFFF"/>
        </w:rPr>
        <w:t xml:space="preserve"> to be supported</w:t>
      </w:r>
      <w:r w:rsidR="00073E93">
        <w:rPr>
          <w:shd w:val="clear" w:color="auto" w:fill="FFFFFF"/>
        </w:rPr>
        <w:t xml:space="preserve">—an endeavour best left to </w:t>
      </w:r>
      <w:r>
        <w:rPr>
          <w:shd w:val="clear" w:color="auto" w:fill="FFFFFF"/>
        </w:rPr>
        <w:t>sports federations</w:t>
      </w:r>
      <w:r w:rsidR="00073E93">
        <w:rPr>
          <w:shd w:val="clear" w:color="auto" w:fill="FFFFFF"/>
        </w:rPr>
        <w:t>. H</w:t>
      </w:r>
      <w:r>
        <w:rPr>
          <w:shd w:val="clear" w:color="auto" w:fill="FFFFFF"/>
        </w:rPr>
        <w:t>ence</w:t>
      </w:r>
      <w:r w:rsidR="00F42D11">
        <w:rPr>
          <w:shd w:val="clear" w:color="auto" w:fill="FFFFFF"/>
        </w:rPr>
        <w:t>, by</w:t>
      </w:r>
      <w:r>
        <w:rPr>
          <w:shd w:val="clear" w:color="auto" w:fill="FFFFFF"/>
        </w:rPr>
        <w:t xml:space="preserve"> focusing on individual sports</w:t>
      </w:r>
      <w:r w:rsidR="00F42D11">
        <w:rPr>
          <w:shd w:val="clear" w:color="auto" w:fill="FFFFFF"/>
        </w:rPr>
        <w:t>,</w:t>
      </w:r>
      <w:r>
        <w:rPr>
          <w:shd w:val="clear" w:color="auto" w:fill="FFFFFF"/>
        </w:rPr>
        <w:t xml:space="preserve"> GoSports </w:t>
      </w:r>
      <w:r w:rsidR="00F42D11">
        <w:rPr>
          <w:shd w:val="clear" w:color="auto" w:fill="FFFFFF"/>
        </w:rPr>
        <w:t xml:space="preserve">could </w:t>
      </w:r>
      <w:r>
        <w:rPr>
          <w:shd w:val="clear" w:color="auto" w:fill="FFFFFF"/>
        </w:rPr>
        <w:t>concentrate on the greater impact.</w:t>
      </w:r>
    </w:p>
    <w:p w14:paraId="7E42C48B" w14:textId="77777777" w:rsidR="00EA4D4D" w:rsidRDefault="00EA4D4D" w:rsidP="00D334AE">
      <w:pPr>
        <w:pStyle w:val="BodyTextMain"/>
        <w:rPr>
          <w:shd w:val="clear" w:color="auto" w:fill="FFFFFF"/>
        </w:rPr>
      </w:pPr>
    </w:p>
    <w:p w14:paraId="790AD29F" w14:textId="117693C8" w:rsidR="00D334AE" w:rsidRDefault="00D334AE" w:rsidP="00746D30">
      <w:pPr>
        <w:pStyle w:val="BodyTextMain"/>
      </w:pPr>
      <w:r>
        <w:t>The organization ha</w:t>
      </w:r>
      <w:r w:rsidR="00F42D11">
        <w:t>d</w:t>
      </w:r>
      <w:r>
        <w:t xml:space="preserve"> an extensive </w:t>
      </w:r>
      <w:r w:rsidR="00F42D11">
        <w:t>a</w:t>
      </w:r>
      <w:r>
        <w:t>thlete support program</w:t>
      </w:r>
      <w:r w:rsidR="00F42D11">
        <w:t xml:space="preserve"> that served the different</w:t>
      </w:r>
      <w:r>
        <w:rPr>
          <w:shd w:val="clear" w:color="auto" w:fill="FFFFFF"/>
        </w:rPr>
        <w:t xml:space="preserve"> needs </w:t>
      </w:r>
      <w:r w:rsidR="00F42D11">
        <w:rPr>
          <w:shd w:val="clear" w:color="auto" w:fill="FFFFFF"/>
        </w:rPr>
        <w:t xml:space="preserve">of athletes with and without disabilities </w:t>
      </w:r>
      <w:r>
        <w:rPr>
          <w:shd w:val="clear" w:color="auto" w:fill="FFFFFF"/>
        </w:rPr>
        <w:t xml:space="preserve">at </w:t>
      </w:r>
      <w:r w:rsidR="00F42D11">
        <w:rPr>
          <w:shd w:val="clear" w:color="auto" w:fill="FFFFFF"/>
        </w:rPr>
        <w:t xml:space="preserve">various </w:t>
      </w:r>
      <w:r>
        <w:rPr>
          <w:shd w:val="clear" w:color="auto" w:fill="FFFFFF"/>
        </w:rPr>
        <w:t xml:space="preserve">stages of </w:t>
      </w:r>
      <w:r w:rsidR="00A5461A">
        <w:rPr>
          <w:shd w:val="clear" w:color="auto" w:fill="FFFFFF"/>
        </w:rPr>
        <w:t>the</w:t>
      </w:r>
      <w:r w:rsidR="00F42D11">
        <w:rPr>
          <w:shd w:val="clear" w:color="auto" w:fill="FFFFFF"/>
        </w:rPr>
        <w:t xml:space="preserve"> </w:t>
      </w:r>
      <w:r>
        <w:rPr>
          <w:shd w:val="clear" w:color="auto" w:fill="FFFFFF"/>
        </w:rPr>
        <w:t>athlete</w:t>
      </w:r>
      <w:r w:rsidR="00F42D11">
        <w:rPr>
          <w:shd w:val="clear" w:color="auto" w:fill="FFFFFF"/>
        </w:rPr>
        <w:t>’</w:t>
      </w:r>
      <w:r>
        <w:rPr>
          <w:shd w:val="clear" w:color="auto" w:fill="FFFFFF"/>
        </w:rPr>
        <w:t xml:space="preserve">s lifecycles. </w:t>
      </w:r>
      <w:r w:rsidR="00F962B9">
        <w:rPr>
          <w:shd w:val="clear" w:color="auto" w:fill="FFFFFF"/>
        </w:rPr>
        <w:t>I</w:t>
      </w:r>
      <w:r w:rsidR="00A5461A">
        <w:rPr>
          <w:shd w:val="clear" w:color="auto" w:fill="FFFFFF"/>
        </w:rPr>
        <w:t xml:space="preserve">n the </w:t>
      </w:r>
      <w:r>
        <w:t>Rahul Dravid Athlete Mentorship Program</w:t>
      </w:r>
      <w:r w:rsidR="00A5461A">
        <w:t xml:space="preserve">, Dravid and his team </w:t>
      </w:r>
      <w:r>
        <w:t>personally mentor</w:t>
      </w:r>
      <w:r w:rsidR="00A5461A">
        <w:t>ed</w:t>
      </w:r>
      <w:r>
        <w:t xml:space="preserve"> elite athletes in their quest for sporting glory. </w:t>
      </w:r>
      <w:r w:rsidR="00A5461A">
        <w:t xml:space="preserve">In fiscal year </w:t>
      </w:r>
      <w:r>
        <w:t>2019</w:t>
      </w:r>
      <w:r w:rsidR="00A5461A">
        <w:t>–</w:t>
      </w:r>
      <w:r>
        <w:t>20, the program support</w:t>
      </w:r>
      <w:r w:rsidR="00A5461A">
        <w:t>ed</w:t>
      </w:r>
      <w:r>
        <w:t xml:space="preserve"> 25</w:t>
      </w:r>
      <w:r w:rsidR="00A5461A">
        <w:t xml:space="preserve"> </w:t>
      </w:r>
      <w:r>
        <w:t>elite athletes.</w:t>
      </w:r>
      <w:r w:rsidR="00A83EAD">
        <w:t xml:space="preserve"> </w:t>
      </w:r>
      <w:r w:rsidR="005B25E8">
        <w:t xml:space="preserve">The </w:t>
      </w:r>
      <w:r>
        <w:t>Para Champions Program</w:t>
      </w:r>
      <w:r w:rsidR="005B25E8">
        <w:t xml:space="preserve"> specifically supported </w:t>
      </w:r>
      <w:r>
        <w:t>para</w:t>
      </w:r>
      <w:r w:rsidR="008D5916">
        <w:t>-</w:t>
      </w:r>
      <w:r>
        <w:t>athletes</w:t>
      </w:r>
      <w:r w:rsidR="005B25E8">
        <w:t xml:space="preserve"> and</w:t>
      </w:r>
      <w:r>
        <w:t xml:space="preserve"> rais</w:t>
      </w:r>
      <w:r w:rsidR="005B25E8">
        <w:t>ed</w:t>
      </w:r>
      <w:r>
        <w:t xml:space="preserve"> awareness</w:t>
      </w:r>
      <w:r w:rsidR="005B25E8">
        <w:t xml:space="preserve"> about competitive </w:t>
      </w:r>
      <w:r w:rsidR="008D5916">
        <w:t>para-athletes</w:t>
      </w:r>
      <w:r w:rsidR="005B25E8">
        <w:t xml:space="preserve"> in an attempt to change </w:t>
      </w:r>
      <w:r>
        <w:t xml:space="preserve">societal perceptions about disabilities. The program </w:t>
      </w:r>
      <w:r w:rsidR="005B25E8">
        <w:t xml:space="preserve">was </w:t>
      </w:r>
      <w:r>
        <w:t>currently support</w:t>
      </w:r>
      <w:r w:rsidR="005B25E8">
        <w:t>ing</w:t>
      </w:r>
      <w:r>
        <w:t xml:space="preserve"> 45 athletes.</w:t>
      </w:r>
    </w:p>
    <w:p w14:paraId="2F3F0E75" w14:textId="77777777" w:rsidR="00EA4D4D" w:rsidRDefault="00EA4D4D" w:rsidP="00D334AE">
      <w:pPr>
        <w:pStyle w:val="BodyTextMain"/>
      </w:pPr>
    </w:p>
    <w:p w14:paraId="05B65E13" w14:textId="4B660A28" w:rsidR="00A83EAD" w:rsidRDefault="00080CEA" w:rsidP="00A83EAD">
      <w:pPr>
        <w:pStyle w:val="BodyTextMain"/>
      </w:pPr>
      <w:r>
        <w:t>Two</w:t>
      </w:r>
      <w:r w:rsidR="005B25E8">
        <w:t xml:space="preserve"> programs were meant to develop next-generation talent. </w:t>
      </w:r>
      <w:r>
        <w:t>T</w:t>
      </w:r>
      <w:r w:rsidR="005B25E8">
        <w:t xml:space="preserve">he </w:t>
      </w:r>
      <w:r w:rsidR="00D334AE">
        <w:t>Long</w:t>
      </w:r>
      <w:r w:rsidR="005B25E8">
        <w:t>-</w:t>
      </w:r>
      <w:r w:rsidR="00D334AE">
        <w:t xml:space="preserve">Term Athlete Development Program </w:t>
      </w:r>
      <w:r w:rsidR="005B25E8">
        <w:t xml:space="preserve">recognized the length of time it took to succeed as an elite athlete and </w:t>
      </w:r>
      <w:r w:rsidR="00D334AE">
        <w:t>provid</w:t>
      </w:r>
      <w:r w:rsidR="005B25E8">
        <w:t>ed</w:t>
      </w:r>
      <w:r w:rsidR="00D334AE">
        <w:t xml:space="preserve"> financial aid and support on a long-term basis. </w:t>
      </w:r>
      <w:r w:rsidR="005B25E8">
        <w:t xml:space="preserve">That </w:t>
      </w:r>
      <w:r w:rsidR="00D334AE">
        <w:t xml:space="preserve">program </w:t>
      </w:r>
      <w:r w:rsidR="005B25E8">
        <w:t xml:space="preserve">was </w:t>
      </w:r>
      <w:r w:rsidR="00D334AE">
        <w:t>support</w:t>
      </w:r>
      <w:r w:rsidR="005B25E8">
        <w:t>ing</w:t>
      </w:r>
      <w:r w:rsidR="00D334AE">
        <w:t xml:space="preserve"> 35 athletes.</w:t>
      </w:r>
      <w:r w:rsidR="005B25E8">
        <w:t xml:space="preserve"> </w:t>
      </w:r>
      <w:r w:rsidR="00A83EAD">
        <w:t>Junior athletes who showed promising talent in one of five sports—t</w:t>
      </w:r>
      <w:r w:rsidR="00D334AE">
        <w:t xml:space="preserve">ennis, </w:t>
      </w:r>
      <w:r w:rsidR="00A83EAD">
        <w:t>s</w:t>
      </w:r>
      <w:r w:rsidR="00D334AE">
        <w:t>quash,</w:t>
      </w:r>
      <w:r w:rsidR="00A83EAD">
        <w:t xml:space="preserve"> s</w:t>
      </w:r>
      <w:r w:rsidR="00D334AE">
        <w:t xml:space="preserve">wimming, </w:t>
      </w:r>
      <w:r w:rsidR="00A83EAD">
        <w:t>s</w:t>
      </w:r>
      <w:r w:rsidR="00D334AE">
        <w:t xml:space="preserve">ailing, and </w:t>
      </w:r>
      <w:r w:rsidR="00A83EAD">
        <w:t>g</w:t>
      </w:r>
      <w:r w:rsidR="00D334AE">
        <w:t>olf</w:t>
      </w:r>
      <w:r w:rsidR="00A83EAD">
        <w:t xml:space="preserve">—could be launched with support under the Stars of Tomorrow Program. In 2019–20, that </w:t>
      </w:r>
      <w:r w:rsidR="00D334AE">
        <w:t>program</w:t>
      </w:r>
      <w:r w:rsidR="00A83EAD">
        <w:t xml:space="preserve"> was</w:t>
      </w:r>
      <w:r w:rsidR="00D334AE">
        <w:t xml:space="preserve"> support</w:t>
      </w:r>
      <w:r w:rsidR="00A83EAD">
        <w:t>ing</w:t>
      </w:r>
      <w:r w:rsidR="00D334AE">
        <w:t xml:space="preserve"> 11 athletes. </w:t>
      </w:r>
    </w:p>
    <w:p w14:paraId="7EC6146D" w14:textId="77777777" w:rsidR="00A83EAD" w:rsidRDefault="00A83EAD" w:rsidP="00A83EAD">
      <w:pPr>
        <w:pStyle w:val="BodyTextMain"/>
      </w:pPr>
    </w:p>
    <w:p w14:paraId="0ADBCF72" w14:textId="5D04337E" w:rsidR="00D334AE" w:rsidRDefault="00A83EAD" w:rsidP="00746D30">
      <w:pPr>
        <w:pStyle w:val="BodyTextMain"/>
      </w:pPr>
      <w:r>
        <w:t xml:space="preserve">GoSports also provided </w:t>
      </w:r>
      <w:r w:rsidR="00D334AE">
        <w:t xml:space="preserve">grants to a few athletes </w:t>
      </w:r>
      <w:r>
        <w:t xml:space="preserve">who might not have fallen under any one of the foundation’s structured programs. These athletes </w:t>
      </w:r>
      <w:r w:rsidR="00B417F3">
        <w:t>had</w:t>
      </w:r>
      <w:r>
        <w:t xml:space="preserve"> a specific need or strength that </w:t>
      </w:r>
      <w:r w:rsidR="00D334AE">
        <w:t xml:space="preserve">GoSports </w:t>
      </w:r>
      <w:r>
        <w:t xml:space="preserve">wanted </w:t>
      </w:r>
      <w:r w:rsidR="00D334AE">
        <w:t>to support.</w:t>
      </w:r>
    </w:p>
    <w:p w14:paraId="010AACFF" w14:textId="19010745" w:rsidR="00A83EAD" w:rsidRDefault="00A83EAD" w:rsidP="00D334AE">
      <w:pPr>
        <w:pStyle w:val="BodyTextMain"/>
      </w:pPr>
    </w:p>
    <w:p w14:paraId="57809FA8" w14:textId="77777777" w:rsidR="00A83EAD" w:rsidRDefault="00A83EAD" w:rsidP="00D334AE">
      <w:pPr>
        <w:pStyle w:val="BodyTextMain"/>
      </w:pPr>
    </w:p>
    <w:p w14:paraId="7EFDFD09" w14:textId="77777777" w:rsidR="00D334AE" w:rsidRDefault="00D334AE" w:rsidP="006179D4">
      <w:pPr>
        <w:pStyle w:val="Casehead3"/>
      </w:pPr>
      <w:r>
        <w:t>Athlete Management, Education, and Support</w:t>
      </w:r>
    </w:p>
    <w:p w14:paraId="70E14564" w14:textId="77777777" w:rsidR="00EA4D4D" w:rsidRDefault="00EA4D4D" w:rsidP="00D334AE">
      <w:pPr>
        <w:pStyle w:val="BodyTextMain"/>
        <w:rPr>
          <w:shd w:val="clear" w:color="auto" w:fill="FFFFFF"/>
        </w:rPr>
      </w:pPr>
    </w:p>
    <w:p w14:paraId="69C40E05" w14:textId="53FE22F9" w:rsidR="00272495" w:rsidRDefault="00D334AE" w:rsidP="00D334AE">
      <w:pPr>
        <w:pStyle w:val="BodyTextMain"/>
        <w:rPr>
          <w:shd w:val="clear" w:color="auto" w:fill="FFFFFF"/>
        </w:rPr>
      </w:pPr>
      <w:r>
        <w:rPr>
          <w:shd w:val="clear" w:color="auto" w:fill="FFFFFF"/>
        </w:rPr>
        <w:t xml:space="preserve">Once the athlete </w:t>
      </w:r>
      <w:r w:rsidR="00B417F3">
        <w:rPr>
          <w:shd w:val="clear" w:color="auto" w:fill="FFFFFF"/>
        </w:rPr>
        <w:t xml:space="preserve">was </w:t>
      </w:r>
      <w:r>
        <w:rPr>
          <w:shd w:val="clear" w:color="auto" w:fill="FFFFFF"/>
        </w:rPr>
        <w:t>on</w:t>
      </w:r>
      <w:r w:rsidR="00272495">
        <w:rPr>
          <w:shd w:val="clear" w:color="auto" w:fill="FFFFFF"/>
        </w:rPr>
        <w:t xml:space="preserve"> </w:t>
      </w:r>
      <w:r>
        <w:rPr>
          <w:shd w:val="clear" w:color="auto" w:fill="FFFFFF"/>
        </w:rPr>
        <w:t>board, GoSports assign</w:t>
      </w:r>
      <w:r w:rsidR="00272495">
        <w:rPr>
          <w:shd w:val="clear" w:color="auto" w:fill="FFFFFF"/>
        </w:rPr>
        <w:t>ed</w:t>
      </w:r>
      <w:r>
        <w:rPr>
          <w:shd w:val="clear" w:color="auto" w:fill="FFFFFF"/>
        </w:rPr>
        <w:t xml:space="preserve"> a manager </w:t>
      </w:r>
      <w:r w:rsidR="00272495">
        <w:rPr>
          <w:shd w:val="clear" w:color="auto" w:fill="FFFFFF"/>
        </w:rPr>
        <w:t xml:space="preserve">to </w:t>
      </w:r>
      <w:r>
        <w:rPr>
          <w:shd w:val="clear" w:color="auto" w:fill="FFFFFF"/>
        </w:rPr>
        <w:t xml:space="preserve">the respective athlete. </w:t>
      </w:r>
      <w:r w:rsidR="00B640DC" w:rsidRPr="00B640DC">
        <w:rPr>
          <w:shd w:val="clear" w:color="auto" w:fill="FFFFFF"/>
        </w:rPr>
        <w:t xml:space="preserve">The </w:t>
      </w:r>
      <w:r w:rsidR="00272495">
        <w:rPr>
          <w:shd w:val="clear" w:color="auto" w:fill="FFFFFF"/>
        </w:rPr>
        <w:t>m</w:t>
      </w:r>
      <w:r w:rsidR="00B640DC" w:rsidRPr="00B640DC">
        <w:rPr>
          <w:shd w:val="clear" w:color="auto" w:fill="FFFFFF"/>
        </w:rPr>
        <w:t>anager</w:t>
      </w:r>
      <w:r w:rsidR="00E45AFA">
        <w:rPr>
          <w:shd w:val="clear" w:color="auto" w:fill="FFFFFF"/>
        </w:rPr>
        <w:t>’</w:t>
      </w:r>
      <w:r w:rsidR="00B640DC" w:rsidRPr="00B640DC">
        <w:rPr>
          <w:shd w:val="clear" w:color="auto" w:fill="FFFFFF"/>
        </w:rPr>
        <w:t xml:space="preserve">s principal responsibility </w:t>
      </w:r>
      <w:r w:rsidR="00272495">
        <w:rPr>
          <w:shd w:val="clear" w:color="auto" w:fill="FFFFFF"/>
        </w:rPr>
        <w:t>was</w:t>
      </w:r>
      <w:r w:rsidR="00272495" w:rsidRPr="00B640DC">
        <w:rPr>
          <w:shd w:val="clear" w:color="auto" w:fill="FFFFFF"/>
        </w:rPr>
        <w:t xml:space="preserve"> </w:t>
      </w:r>
      <w:r w:rsidR="00B640DC" w:rsidRPr="00B640DC">
        <w:rPr>
          <w:shd w:val="clear" w:color="auto" w:fill="FFFFFF"/>
        </w:rPr>
        <w:t>to identify the athlete</w:t>
      </w:r>
      <w:r w:rsidR="00E45AFA">
        <w:rPr>
          <w:shd w:val="clear" w:color="auto" w:fill="FFFFFF"/>
        </w:rPr>
        <w:t>’</w:t>
      </w:r>
      <w:r w:rsidR="00B640DC" w:rsidRPr="00B640DC">
        <w:rPr>
          <w:shd w:val="clear" w:color="auto" w:fill="FFFFFF"/>
        </w:rPr>
        <w:t xml:space="preserve">s </w:t>
      </w:r>
      <w:r w:rsidR="00272495">
        <w:rPr>
          <w:shd w:val="clear" w:color="auto" w:fill="FFFFFF"/>
        </w:rPr>
        <w:t xml:space="preserve">performance </w:t>
      </w:r>
      <w:r w:rsidR="00B640DC" w:rsidRPr="00B640DC">
        <w:rPr>
          <w:shd w:val="clear" w:color="auto" w:fill="FFFFFF"/>
        </w:rPr>
        <w:t>strengths and weaknesses and fill the gaps</w:t>
      </w:r>
      <w:r w:rsidR="00272495" w:rsidRPr="00272495">
        <w:rPr>
          <w:shd w:val="clear" w:color="auto" w:fill="FFFFFF"/>
        </w:rPr>
        <w:t xml:space="preserve"> </w:t>
      </w:r>
      <w:r w:rsidR="00272495">
        <w:rPr>
          <w:shd w:val="clear" w:color="auto" w:fill="FFFFFF"/>
        </w:rPr>
        <w:t xml:space="preserve">where </w:t>
      </w:r>
      <w:r w:rsidR="00272495" w:rsidRPr="00B640DC">
        <w:rPr>
          <w:shd w:val="clear" w:color="auto" w:fill="FFFFFF"/>
        </w:rPr>
        <w:t>necessary</w:t>
      </w:r>
      <w:r w:rsidR="00B640DC">
        <w:rPr>
          <w:shd w:val="clear" w:color="auto" w:fill="FFFFFF"/>
        </w:rPr>
        <w:t xml:space="preserve">. </w:t>
      </w:r>
      <w:r>
        <w:rPr>
          <w:shd w:val="clear" w:color="auto" w:fill="FFFFFF"/>
        </w:rPr>
        <w:t xml:space="preserve">An elite athlete </w:t>
      </w:r>
      <w:r w:rsidR="00272495">
        <w:rPr>
          <w:shd w:val="clear" w:color="auto" w:fill="FFFFFF"/>
        </w:rPr>
        <w:t>needed to attend to</w:t>
      </w:r>
      <w:r>
        <w:rPr>
          <w:shd w:val="clear" w:color="auto" w:fill="FFFFFF"/>
        </w:rPr>
        <w:t xml:space="preserve"> skill, mental conditioning, nutrition, injury recovery, digital media presence</w:t>
      </w:r>
      <w:r w:rsidR="00272495">
        <w:rPr>
          <w:shd w:val="clear" w:color="auto" w:fill="FFFFFF"/>
        </w:rPr>
        <w:t>, and more</w:t>
      </w:r>
      <w:r>
        <w:rPr>
          <w:shd w:val="clear" w:color="auto" w:fill="FFFFFF"/>
        </w:rPr>
        <w:t>. The</w:t>
      </w:r>
      <w:r w:rsidR="00E0040D">
        <w:rPr>
          <w:shd w:val="clear" w:color="auto" w:fill="FFFFFF"/>
        </w:rPr>
        <w:t xml:space="preserve"> </w:t>
      </w:r>
      <w:r w:rsidR="00272495">
        <w:rPr>
          <w:shd w:val="clear" w:color="auto" w:fill="FFFFFF"/>
        </w:rPr>
        <w:t>a</w:t>
      </w:r>
      <w:r>
        <w:rPr>
          <w:shd w:val="clear" w:color="auto" w:fill="FFFFFF"/>
        </w:rPr>
        <w:t xml:space="preserve">thlete </w:t>
      </w:r>
      <w:r w:rsidR="00272495">
        <w:rPr>
          <w:shd w:val="clear" w:color="auto" w:fill="FFFFFF"/>
        </w:rPr>
        <w:t>m</w:t>
      </w:r>
      <w:r>
        <w:rPr>
          <w:shd w:val="clear" w:color="auto" w:fill="FFFFFF"/>
        </w:rPr>
        <w:t xml:space="preserve">anager at GoSports </w:t>
      </w:r>
      <w:r w:rsidR="00272495">
        <w:rPr>
          <w:shd w:val="clear" w:color="auto" w:fill="FFFFFF"/>
        </w:rPr>
        <w:t xml:space="preserve">linked </w:t>
      </w:r>
      <w:r>
        <w:rPr>
          <w:shd w:val="clear" w:color="auto" w:fill="FFFFFF"/>
        </w:rPr>
        <w:t xml:space="preserve">the various coaches and stakeholders to ensure that </w:t>
      </w:r>
      <w:r w:rsidR="00272495">
        <w:rPr>
          <w:shd w:val="clear" w:color="auto" w:fill="FFFFFF"/>
        </w:rPr>
        <w:t xml:space="preserve">the </w:t>
      </w:r>
      <w:r>
        <w:rPr>
          <w:shd w:val="clear" w:color="auto" w:fill="FFFFFF"/>
        </w:rPr>
        <w:t>athlete</w:t>
      </w:r>
      <w:r w:rsidR="00E45AFA">
        <w:rPr>
          <w:shd w:val="clear" w:color="auto" w:fill="FFFFFF"/>
        </w:rPr>
        <w:t>’</w:t>
      </w:r>
      <w:r>
        <w:rPr>
          <w:shd w:val="clear" w:color="auto" w:fill="FFFFFF"/>
        </w:rPr>
        <w:t xml:space="preserve">s needs </w:t>
      </w:r>
      <w:r w:rsidR="00272495">
        <w:rPr>
          <w:shd w:val="clear" w:color="auto" w:fill="FFFFFF"/>
        </w:rPr>
        <w:t xml:space="preserve">were coordinated and </w:t>
      </w:r>
      <w:r>
        <w:rPr>
          <w:shd w:val="clear" w:color="auto" w:fill="FFFFFF"/>
        </w:rPr>
        <w:t xml:space="preserve">fulfilled. </w:t>
      </w:r>
    </w:p>
    <w:p w14:paraId="32224E66" w14:textId="77777777" w:rsidR="00272495" w:rsidRDefault="00272495" w:rsidP="00D334AE">
      <w:pPr>
        <w:pStyle w:val="BodyTextMain"/>
        <w:rPr>
          <w:shd w:val="clear" w:color="auto" w:fill="FFFFFF"/>
        </w:rPr>
      </w:pPr>
    </w:p>
    <w:p w14:paraId="0D3008BD" w14:textId="0D1016BB" w:rsidR="00D334AE" w:rsidRDefault="00E0040D" w:rsidP="00D334AE">
      <w:pPr>
        <w:pStyle w:val="BodyTextMain"/>
        <w:rPr>
          <w:shd w:val="clear" w:color="auto" w:fill="FFFFFF"/>
        </w:rPr>
      </w:pPr>
      <w:r>
        <w:rPr>
          <w:shd w:val="clear" w:color="auto" w:fill="FFFFFF"/>
        </w:rPr>
        <w:t xml:space="preserve">The support structure involved providing sports science expertise and tracking physical, emotional, and mental well-being in addition to providing financial support for equipment, coaching, travel, and tournament expenses (see Exhibit 5). </w:t>
      </w:r>
      <w:r w:rsidR="00D334AE">
        <w:rPr>
          <w:shd w:val="clear" w:color="auto" w:fill="FFFFFF"/>
        </w:rPr>
        <w:t xml:space="preserve">The </w:t>
      </w:r>
      <w:r>
        <w:rPr>
          <w:shd w:val="clear" w:color="auto" w:fill="FFFFFF"/>
        </w:rPr>
        <w:t>foundation</w:t>
      </w:r>
      <w:r w:rsidR="00272495">
        <w:rPr>
          <w:shd w:val="clear" w:color="auto" w:fill="FFFFFF"/>
        </w:rPr>
        <w:t xml:space="preserve"> </w:t>
      </w:r>
      <w:r w:rsidR="00D334AE">
        <w:rPr>
          <w:shd w:val="clear" w:color="auto" w:fill="FFFFFF"/>
        </w:rPr>
        <w:t>us</w:t>
      </w:r>
      <w:r>
        <w:rPr>
          <w:shd w:val="clear" w:color="auto" w:fill="FFFFFF"/>
        </w:rPr>
        <w:t>ed</w:t>
      </w:r>
      <w:r w:rsidR="00D334AE">
        <w:rPr>
          <w:shd w:val="clear" w:color="auto" w:fill="FFFFFF"/>
        </w:rPr>
        <w:t xml:space="preserve"> an </w:t>
      </w:r>
      <w:r w:rsidR="00272495">
        <w:rPr>
          <w:shd w:val="clear" w:color="auto" w:fill="FFFFFF"/>
        </w:rPr>
        <w:t>a</w:t>
      </w:r>
      <w:r w:rsidR="00D334AE">
        <w:rPr>
          <w:shd w:val="clear" w:color="auto" w:fill="FFFFFF"/>
        </w:rPr>
        <w:t xml:space="preserve">thlete </w:t>
      </w:r>
      <w:r w:rsidR="00272495">
        <w:rPr>
          <w:shd w:val="clear" w:color="auto" w:fill="FFFFFF"/>
        </w:rPr>
        <w:t>m</w:t>
      </w:r>
      <w:r w:rsidR="00D334AE">
        <w:rPr>
          <w:shd w:val="clear" w:color="auto" w:fill="FFFFFF"/>
        </w:rPr>
        <w:t xml:space="preserve">onitoring </w:t>
      </w:r>
      <w:r w:rsidR="00272495">
        <w:rPr>
          <w:shd w:val="clear" w:color="auto" w:fill="FFFFFF"/>
        </w:rPr>
        <w:t>s</w:t>
      </w:r>
      <w:r w:rsidR="00D334AE">
        <w:rPr>
          <w:shd w:val="clear" w:color="auto" w:fill="FFFFFF"/>
        </w:rPr>
        <w:t xml:space="preserve">ystem database to record all technical parameters (physical and mental) </w:t>
      </w:r>
      <w:r w:rsidR="00272495">
        <w:rPr>
          <w:shd w:val="clear" w:color="auto" w:fill="FFFFFF"/>
        </w:rPr>
        <w:t xml:space="preserve">so </w:t>
      </w:r>
      <w:r w:rsidR="00D334AE">
        <w:rPr>
          <w:shd w:val="clear" w:color="auto" w:fill="FFFFFF"/>
        </w:rPr>
        <w:t xml:space="preserve">issues </w:t>
      </w:r>
      <w:r w:rsidR="00272495">
        <w:rPr>
          <w:shd w:val="clear" w:color="auto" w:fill="FFFFFF"/>
        </w:rPr>
        <w:t xml:space="preserve">could be addressed </w:t>
      </w:r>
      <w:r w:rsidR="00D334AE">
        <w:rPr>
          <w:shd w:val="clear" w:color="auto" w:fill="FFFFFF"/>
        </w:rPr>
        <w:t xml:space="preserve">promptly. The athletes also </w:t>
      </w:r>
      <w:r w:rsidR="00272495">
        <w:rPr>
          <w:shd w:val="clear" w:color="auto" w:fill="FFFFFF"/>
        </w:rPr>
        <w:lastRenderedPageBreak/>
        <w:t xml:space="preserve">went </w:t>
      </w:r>
      <w:r w:rsidR="00D334AE">
        <w:rPr>
          <w:shd w:val="clear" w:color="auto" w:fill="FFFFFF"/>
        </w:rPr>
        <w:t>through various training and education programs</w:t>
      </w:r>
      <w:r>
        <w:rPr>
          <w:shd w:val="clear" w:color="auto" w:fill="FFFFFF"/>
        </w:rPr>
        <w:t xml:space="preserve"> in addition to those </w:t>
      </w:r>
      <w:r w:rsidR="00D334AE">
        <w:rPr>
          <w:shd w:val="clear" w:color="auto" w:fill="FFFFFF"/>
        </w:rPr>
        <w:t>related to their sport, such as anti-doping awareness and communication and life skills, which holistically enable</w:t>
      </w:r>
      <w:r>
        <w:rPr>
          <w:shd w:val="clear" w:color="auto" w:fill="FFFFFF"/>
        </w:rPr>
        <w:t>d the athlete’s</w:t>
      </w:r>
      <w:r w:rsidR="00D334AE">
        <w:rPr>
          <w:shd w:val="clear" w:color="auto" w:fill="FFFFFF"/>
        </w:rPr>
        <w:t xml:space="preserve"> personal development. </w:t>
      </w:r>
      <w:r>
        <w:rPr>
          <w:shd w:val="clear" w:color="auto" w:fill="FFFFFF"/>
        </w:rPr>
        <w:t xml:space="preserve">The </w:t>
      </w:r>
      <w:r w:rsidR="00D334AE">
        <w:rPr>
          <w:shd w:val="clear" w:color="auto" w:fill="FFFFFF"/>
        </w:rPr>
        <w:t>wholesome structure allow</w:t>
      </w:r>
      <w:r>
        <w:rPr>
          <w:shd w:val="clear" w:color="auto" w:fill="FFFFFF"/>
        </w:rPr>
        <w:t>ed</w:t>
      </w:r>
      <w:r w:rsidR="00D334AE">
        <w:rPr>
          <w:shd w:val="clear" w:color="auto" w:fill="FFFFFF"/>
        </w:rPr>
        <w:t xml:space="preserve"> an athlete to </w:t>
      </w:r>
      <w:r>
        <w:rPr>
          <w:shd w:val="clear" w:color="auto" w:fill="FFFFFF"/>
        </w:rPr>
        <w:t xml:space="preserve">progressively </w:t>
      </w:r>
      <w:r w:rsidR="00D334AE">
        <w:rPr>
          <w:shd w:val="clear" w:color="auto" w:fill="FFFFFF"/>
        </w:rPr>
        <w:t>improve and succeed.</w:t>
      </w:r>
    </w:p>
    <w:p w14:paraId="06CBF46F" w14:textId="77777777" w:rsidR="00EA4D4D" w:rsidRDefault="00EA4D4D" w:rsidP="00D334AE">
      <w:pPr>
        <w:pStyle w:val="BodyTextMain"/>
        <w:rPr>
          <w:shd w:val="clear" w:color="auto" w:fill="FFFFFF"/>
        </w:rPr>
      </w:pPr>
    </w:p>
    <w:p w14:paraId="596CFB86" w14:textId="77777777" w:rsidR="00EA4D4D" w:rsidRDefault="00EA4D4D" w:rsidP="00D334AE">
      <w:pPr>
        <w:pStyle w:val="BodyTextMain"/>
        <w:rPr>
          <w:shd w:val="clear" w:color="auto" w:fill="FFFFFF"/>
        </w:rPr>
      </w:pPr>
    </w:p>
    <w:p w14:paraId="44FA1C2C" w14:textId="3D44CAD1" w:rsidR="00D334AE" w:rsidRDefault="00D334AE" w:rsidP="00CF5F12">
      <w:pPr>
        <w:pStyle w:val="Casehead3"/>
      </w:pPr>
      <w:r>
        <w:t>G</w:t>
      </w:r>
      <w:r w:rsidRPr="006179D4">
        <w:rPr>
          <w:spacing w:val="20"/>
        </w:rPr>
        <w:t>o</w:t>
      </w:r>
      <w:r>
        <w:t>Sports F</w:t>
      </w:r>
      <w:r w:rsidR="003C6ACA">
        <w:t>undraising</w:t>
      </w:r>
    </w:p>
    <w:p w14:paraId="4A178B51" w14:textId="77777777" w:rsidR="00EA4D4D" w:rsidRDefault="00EA4D4D" w:rsidP="00D334AE">
      <w:pPr>
        <w:pStyle w:val="BodyTextMain"/>
        <w:rPr>
          <w:shd w:val="clear" w:color="auto" w:fill="FFFFFF"/>
        </w:rPr>
      </w:pPr>
    </w:p>
    <w:p w14:paraId="04487946" w14:textId="21C53500" w:rsidR="00D334AE" w:rsidRDefault="00E0040D" w:rsidP="00D334AE">
      <w:pPr>
        <w:pStyle w:val="BodyTextMain"/>
        <w:rPr>
          <w:shd w:val="clear" w:color="auto" w:fill="FFFFFF"/>
        </w:rPr>
      </w:pPr>
      <w:r>
        <w:rPr>
          <w:shd w:val="clear" w:color="auto" w:fill="FFFFFF"/>
        </w:rPr>
        <w:t xml:space="preserve">When </w:t>
      </w:r>
      <w:r w:rsidR="00D334AE">
        <w:rPr>
          <w:shd w:val="clear" w:color="auto" w:fill="FFFFFF"/>
        </w:rPr>
        <w:t xml:space="preserve">GoSports </w:t>
      </w:r>
      <w:r>
        <w:rPr>
          <w:shd w:val="clear" w:color="auto" w:fill="FFFFFF"/>
        </w:rPr>
        <w:t xml:space="preserve">began </w:t>
      </w:r>
      <w:r w:rsidR="00D334AE">
        <w:rPr>
          <w:shd w:val="clear" w:color="auto" w:fill="FFFFFF"/>
        </w:rPr>
        <w:t xml:space="preserve">soliciting donations, </w:t>
      </w:r>
      <w:r>
        <w:rPr>
          <w:shd w:val="clear" w:color="auto" w:fill="FFFFFF"/>
        </w:rPr>
        <w:t xml:space="preserve">Kamath quickly </w:t>
      </w:r>
      <w:r w:rsidR="00D334AE">
        <w:rPr>
          <w:shd w:val="clear" w:color="auto" w:fill="FFFFFF"/>
        </w:rPr>
        <w:t xml:space="preserve">realized that it was not easy to get </w:t>
      </w:r>
      <w:r w:rsidR="003C6ACA">
        <w:rPr>
          <w:shd w:val="clear" w:color="auto" w:fill="FFFFFF"/>
        </w:rPr>
        <w:t>funding</w:t>
      </w:r>
      <w:r w:rsidR="00D334AE">
        <w:rPr>
          <w:shd w:val="clear" w:color="auto" w:fill="FFFFFF"/>
        </w:rPr>
        <w:t xml:space="preserve"> </w:t>
      </w:r>
      <w:r w:rsidR="00707A77">
        <w:rPr>
          <w:shd w:val="clear" w:color="auto" w:fill="FFFFFF"/>
        </w:rPr>
        <w:t>to support s</w:t>
      </w:r>
      <w:r w:rsidR="00D334AE">
        <w:rPr>
          <w:shd w:val="clear" w:color="auto" w:fill="FFFFFF"/>
        </w:rPr>
        <w:t xml:space="preserve">ports and </w:t>
      </w:r>
      <w:r w:rsidR="003C6ACA">
        <w:rPr>
          <w:shd w:val="clear" w:color="auto" w:fill="FFFFFF"/>
        </w:rPr>
        <w:t xml:space="preserve">the </w:t>
      </w:r>
      <w:r w:rsidR="006B2DB8">
        <w:rPr>
          <w:shd w:val="clear" w:color="auto" w:fill="FFFFFF"/>
        </w:rPr>
        <w:t xml:space="preserve">pursuit of </w:t>
      </w:r>
      <w:r w:rsidR="00D334AE">
        <w:rPr>
          <w:shd w:val="clear" w:color="auto" w:fill="FFFFFF"/>
        </w:rPr>
        <w:t xml:space="preserve">Olympic medals. </w:t>
      </w:r>
      <w:r w:rsidR="00707A77">
        <w:rPr>
          <w:shd w:val="clear" w:color="auto" w:fill="FFFFFF"/>
        </w:rPr>
        <w:t xml:space="preserve">Both corporations and individuals </w:t>
      </w:r>
      <w:r w:rsidR="006B2DB8">
        <w:rPr>
          <w:shd w:val="clear" w:color="auto" w:fill="FFFFFF"/>
        </w:rPr>
        <w:t xml:space="preserve">indicated that there were more critical avenues that needed support, such as food and education. </w:t>
      </w:r>
      <w:r w:rsidR="00707A77">
        <w:rPr>
          <w:shd w:val="clear" w:color="auto" w:fill="FFFFFF"/>
        </w:rPr>
        <w:t xml:space="preserve">People were </w:t>
      </w:r>
      <w:r w:rsidR="006B2DB8">
        <w:rPr>
          <w:shd w:val="clear" w:color="auto" w:fill="FFFFFF"/>
        </w:rPr>
        <w:t xml:space="preserve">also skeptical and </w:t>
      </w:r>
      <w:r w:rsidR="00707A77">
        <w:rPr>
          <w:shd w:val="clear" w:color="auto" w:fill="FFFFFF"/>
        </w:rPr>
        <w:t xml:space="preserve">cynical </w:t>
      </w:r>
      <w:r w:rsidR="006B2DB8">
        <w:rPr>
          <w:shd w:val="clear" w:color="auto" w:fill="FFFFFF"/>
        </w:rPr>
        <w:t xml:space="preserve">about funding sports; they </w:t>
      </w:r>
      <w:r w:rsidR="00D334AE">
        <w:rPr>
          <w:shd w:val="clear" w:color="auto" w:fill="FFFFFF"/>
        </w:rPr>
        <w:t xml:space="preserve">felt </w:t>
      </w:r>
      <w:r w:rsidR="00707A77">
        <w:rPr>
          <w:shd w:val="clear" w:color="auto" w:fill="FFFFFF"/>
        </w:rPr>
        <w:t xml:space="preserve">that </w:t>
      </w:r>
      <w:r w:rsidR="00D334AE">
        <w:rPr>
          <w:shd w:val="clear" w:color="auto" w:fill="FFFFFF"/>
        </w:rPr>
        <w:t>no real sports talent exist</w:t>
      </w:r>
      <w:r w:rsidR="00707A77">
        <w:rPr>
          <w:shd w:val="clear" w:color="auto" w:fill="FFFFFF"/>
        </w:rPr>
        <w:t>ed</w:t>
      </w:r>
      <w:r w:rsidR="00D334AE">
        <w:rPr>
          <w:shd w:val="clear" w:color="auto" w:fill="FFFFFF"/>
        </w:rPr>
        <w:t xml:space="preserve"> in India. There was also a belief that</w:t>
      </w:r>
      <w:r w:rsidR="00015BC3">
        <w:rPr>
          <w:shd w:val="clear" w:color="auto" w:fill="FFFFFF"/>
        </w:rPr>
        <w:t xml:space="preserve"> </w:t>
      </w:r>
      <w:r w:rsidR="00D334AE">
        <w:rPr>
          <w:shd w:val="clear" w:color="auto" w:fill="FFFFFF"/>
        </w:rPr>
        <w:t>Indian</w:t>
      </w:r>
      <w:r w:rsidR="003C6ACA">
        <w:rPr>
          <w:shd w:val="clear" w:color="auto" w:fill="FFFFFF"/>
        </w:rPr>
        <w:t xml:space="preserve"> people</w:t>
      </w:r>
      <w:r w:rsidR="00D334AE">
        <w:rPr>
          <w:shd w:val="clear" w:color="auto" w:fill="FFFFFF"/>
        </w:rPr>
        <w:t xml:space="preserve"> could do reasonably well in sports that required skill but not </w:t>
      </w:r>
      <w:r w:rsidR="00707A77">
        <w:rPr>
          <w:shd w:val="clear" w:color="auto" w:fill="FFFFFF"/>
        </w:rPr>
        <w:t xml:space="preserve">in </w:t>
      </w:r>
      <w:r w:rsidR="00D334AE">
        <w:rPr>
          <w:shd w:val="clear" w:color="auto" w:fill="FFFFFF"/>
        </w:rPr>
        <w:t xml:space="preserve">those </w:t>
      </w:r>
      <w:r w:rsidR="00707A77">
        <w:rPr>
          <w:shd w:val="clear" w:color="auto" w:fill="FFFFFF"/>
        </w:rPr>
        <w:t xml:space="preserve">sports </w:t>
      </w:r>
      <w:r w:rsidR="00D334AE">
        <w:rPr>
          <w:shd w:val="clear" w:color="auto" w:fill="FFFFFF"/>
        </w:rPr>
        <w:t xml:space="preserve">that required strength. Moreover, there was hardly any awareness of disability sports. </w:t>
      </w:r>
    </w:p>
    <w:p w14:paraId="6B61138C" w14:textId="77777777" w:rsidR="00EA4D4D" w:rsidRDefault="00EA4D4D" w:rsidP="00D334AE">
      <w:pPr>
        <w:pStyle w:val="BodyTextMain"/>
        <w:rPr>
          <w:shd w:val="clear" w:color="auto" w:fill="FFFFFF"/>
        </w:rPr>
      </w:pPr>
    </w:p>
    <w:p w14:paraId="0637C6A4" w14:textId="258EFD2B" w:rsidR="00D334AE" w:rsidRPr="006179D4" w:rsidRDefault="00D334AE" w:rsidP="00D334AE">
      <w:pPr>
        <w:pStyle w:val="BodyTextMain"/>
        <w:rPr>
          <w:shd w:val="clear" w:color="auto" w:fill="FFFFFF"/>
          <w:lang w:val="en-CA"/>
        </w:rPr>
      </w:pPr>
      <w:r>
        <w:rPr>
          <w:shd w:val="clear" w:color="auto" w:fill="FFFFFF"/>
        </w:rPr>
        <w:t xml:space="preserve">Raising funds was a struggle, but GoSports identified individuals and organizations </w:t>
      </w:r>
      <w:r w:rsidR="003C6ACA">
        <w:rPr>
          <w:shd w:val="clear" w:color="auto" w:fill="FFFFFF"/>
        </w:rPr>
        <w:t xml:space="preserve">who were </w:t>
      </w:r>
      <w:r>
        <w:rPr>
          <w:shd w:val="clear" w:color="auto" w:fill="FFFFFF"/>
        </w:rPr>
        <w:t xml:space="preserve">keen to support </w:t>
      </w:r>
      <w:r w:rsidR="006B2DB8">
        <w:rPr>
          <w:shd w:val="clear" w:color="auto" w:fill="FFFFFF"/>
        </w:rPr>
        <w:t xml:space="preserve">the foundation’s </w:t>
      </w:r>
      <w:r>
        <w:rPr>
          <w:shd w:val="clear" w:color="auto" w:fill="FFFFFF"/>
        </w:rPr>
        <w:t xml:space="preserve">cause. </w:t>
      </w:r>
      <w:r w:rsidR="00494FA1">
        <w:rPr>
          <w:shd w:val="clear" w:color="auto" w:fill="FFFFFF"/>
        </w:rPr>
        <w:t>Then</w:t>
      </w:r>
      <w:r w:rsidR="00591F62">
        <w:rPr>
          <w:shd w:val="clear" w:color="auto" w:fill="FFFFFF"/>
        </w:rPr>
        <w:t>,</w:t>
      </w:r>
      <w:r w:rsidR="00494FA1">
        <w:rPr>
          <w:shd w:val="clear" w:color="auto" w:fill="FFFFFF"/>
        </w:rPr>
        <w:t xml:space="preserve"> in 2013, </w:t>
      </w:r>
      <w:r w:rsidR="006B2DB8">
        <w:rPr>
          <w:shd w:val="clear" w:color="auto" w:fill="FFFFFF"/>
        </w:rPr>
        <w:t>the</w:t>
      </w:r>
      <w:r w:rsidR="00B640DC" w:rsidRPr="00B640DC">
        <w:rPr>
          <w:shd w:val="clear" w:color="auto" w:fill="FFFFFF"/>
        </w:rPr>
        <w:t xml:space="preserve"> Government of India </w:t>
      </w:r>
      <w:r w:rsidR="001E66D3">
        <w:rPr>
          <w:shd w:val="clear" w:color="auto" w:fill="FFFFFF"/>
        </w:rPr>
        <w:t xml:space="preserve">amended the </w:t>
      </w:r>
      <w:r w:rsidR="001E66D3" w:rsidRPr="006179D4">
        <w:rPr>
          <w:i/>
          <w:iCs/>
          <w:shd w:val="clear" w:color="auto" w:fill="FFFFFF"/>
        </w:rPr>
        <w:t>Companies Act</w:t>
      </w:r>
      <w:r w:rsidR="001E66D3">
        <w:rPr>
          <w:shd w:val="clear" w:color="auto" w:fill="FFFFFF"/>
        </w:rPr>
        <w:t xml:space="preserve"> to legally mandate </w:t>
      </w:r>
      <w:r w:rsidR="006B2DB8">
        <w:rPr>
          <w:shd w:val="clear" w:color="auto" w:fill="FFFFFF"/>
        </w:rPr>
        <w:t>c</w:t>
      </w:r>
      <w:r w:rsidR="00B640DC" w:rsidRPr="00B640DC">
        <w:rPr>
          <w:shd w:val="clear" w:color="auto" w:fill="FFFFFF"/>
        </w:rPr>
        <w:t xml:space="preserve">orporate </w:t>
      </w:r>
      <w:r w:rsidR="006B2DB8">
        <w:rPr>
          <w:shd w:val="clear" w:color="auto" w:fill="FFFFFF"/>
        </w:rPr>
        <w:t>s</w:t>
      </w:r>
      <w:r w:rsidR="00B640DC" w:rsidRPr="00B640DC">
        <w:rPr>
          <w:shd w:val="clear" w:color="auto" w:fill="FFFFFF"/>
        </w:rPr>
        <w:t xml:space="preserve">ocial </w:t>
      </w:r>
      <w:r w:rsidR="006B2DB8">
        <w:rPr>
          <w:shd w:val="clear" w:color="auto" w:fill="FFFFFF"/>
        </w:rPr>
        <w:t>r</w:t>
      </w:r>
      <w:r w:rsidR="00B640DC" w:rsidRPr="00B640DC">
        <w:rPr>
          <w:shd w:val="clear" w:color="auto" w:fill="FFFFFF"/>
        </w:rPr>
        <w:t>esponsibility (CSR)</w:t>
      </w:r>
      <w:r w:rsidR="006B2DB8">
        <w:rPr>
          <w:shd w:val="clear" w:color="auto" w:fill="FFFFFF"/>
        </w:rPr>
        <w:t xml:space="preserve">. </w:t>
      </w:r>
      <w:r w:rsidR="009839A5">
        <w:rPr>
          <w:shd w:val="clear" w:color="auto" w:fill="FFFFFF"/>
        </w:rPr>
        <w:t xml:space="preserve">It was a </w:t>
      </w:r>
      <w:r w:rsidR="00494FA1">
        <w:rPr>
          <w:shd w:val="clear" w:color="auto" w:fill="FFFFFF"/>
        </w:rPr>
        <w:t>watershed moment for non-profit organizations in general, and thus for GoSports</w:t>
      </w:r>
      <w:r w:rsidR="009839A5">
        <w:rPr>
          <w:shd w:val="clear" w:color="auto" w:fill="FFFFFF"/>
        </w:rPr>
        <w:t xml:space="preserve">. </w:t>
      </w:r>
      <w:r w:rsidR="001E66D3">
        <w:rPr>
          <w:shd w:val="clear" w:color="auto" w:fill="FFFFFF"/>
        </w:rPr>
        <w:t xml:space="preserve">The amendment required that companies of a certain </w:t>
      </w:r>
      <w:r w:rsidR="003C6ACA">
        <w:rPr>
          <w:shd w:val="clear" w:color="auto" w:fill="FFFFFF"/>
        </w:rPr>
        <w:t xml:space="preserve">financial </w:t>
      </w:r>
      <w:r w:rsidR="001E66D3">
        <w:rPr>
          <w:shd w:val="clear" w:color="auto" w:fill="FFFFFF"/>
        </w:rPr>
        <w:t xml:space="preserve">turnover and profitability had to spend </w:t>
      </w:r>
      <w:r w:rsidR="00B640DC" w:rsidRPr="00B640DC">
        <w:rPr>
          <w:shd w:val="clear" w:color="auto" w:fill="FFFFFF"/>
        </w:rPr>
        <w:t>2</w:t>
      </w:r>
      <w:r w:rsidR="001E66D3">
        <w:rPr>
          <w:shd w:val="clear" w:color="auto" w:fill="FFFFFF"/>
        </w:rPr>
        <w:t xml:space="preserve"> per cent of the company’s average net profit for the p</w:t>
      </w:r>
      <w:r w:rsidR="003C6ACA">
        <w:rPr>
          <w:shd w:val="clear" w:color="auto" w:fill="FFFFFF"/>
        </w:rPr>
        <w:t>revious</w:t>
      </w:r>
      <w:r w:rsidR="001E66D3">
        <w:rPr>
          <w:shd w:val="clear" w:color="auto" w:fill="FFFFFF"/>
        </w:rPr>
        <w:t xml:space="preserve"> three years </w:t>
      </w:r>
      <w:r w:rsidR="00B640DC" w:rsidRPr="00B640DC">
        <w:rPr>
          <w:shd w:val="clear" w:color="auto" w:fill="FFFFFF"/>
        </w:rPr>
        <w:t>on societal development projects</w:t>
      </w:r>
      <w:r w:rsidR="00B640DC">
        <w:rPr>
          <w:shd w:val="clear" w:color="auto" w:fill="FFFFFF"/>
        </w:rPr>
        <w:t xml:space="preserve">. </w:t>
      </w:r>
      <w:r>
        <w:rPr>
          <w:shd w:val="clear" w:color="auto" w:fill="FFFFFF"/>
        </w:rPr>
        <w:t xml:space="preserve">The traditional CSR projects included programs addressing </w:t>
      </w:r>
      <w:r>
        <w:t>hunger, poverty, and malnutrition</w:t>
      </w:r>
      <w:r w:rsidR="001E66D3">
        <w:t>;</w:t>
      </w:r>
      <w:r>
        <w:t xml:space="preserve"> promoting health </w:t>
      </w:r>
      <w:r w:rsidR="00B640DC">
        <w:t>care, education</w:t>
      </w:r>
      <w:r>
        <w:t>,</w:t>
      </w:r>
      <w:r w:rsidR="00B640DC">
        <w:t xml:space="preserve"> </w:t>
      </w:r>
      <w:r w:rsidR="001E66D3">
        <w:t xml:space="preserve">and </w:t>
      </w:r>
      <w:r>
        <w:t>gender equality</w:t>
      </w:r>
      <w:r w:rsidR="001E66D3">
        <w:t>;</w:t>
      </w:r>
      <w:r>
        <w:t xml:space="preserve"> empowering women</w:t>
      </w:r>
      <w:r w:rsidR="00B640DC">
        <w:t xml:space="preserve">, </w:t>
      </w:r>
      <w:r w:rsidR="001E66D3">
        <w:t xml:space="preserve">advancing </w:t>
      </w:r>
      <w:r w:rsidR="00B640DC">
        <w:t>environmental</w:t>
      </w:r>
      <w:r>
        <w:t xml:space="preserve"> sustainability, </w:t>
      </w:r>
      <w:r w:rsidR="001E66D3">
        <w:t>protecting</w:t>
      </w:r>
      <w:r>
        <w:t xml:space="preserve"> national heritage, </w:t>
      </w:r>
      <w:r w:rsidR="001E66D3">
        <w:t xml:space="preserve">supporting </w:t>
      </w:r>
      <w:r>
        <w:t xml:space="preserve">art and culture, </w:t>
      </w:r>
      <w:r w:rsidR="001E66D3">
        <w:t xml:space="preserve">and providing </w:t>
      </w:r>
      <w:r>
        <w:t>disaster</w:t>
      </w:r>
      <w:r w:rsidR="00445284">
        <w:t xml:space="preserve"> </w:t>
      </w:r>
      <w:r>
        <w:t>management</w:t>
      </w:r>
      <w:r>
        <w:rPr>
          <w:shd w:val="clear" w:color="auto" w:fill="FFFFFF"/>
        </w:rPr>
        <w:t>.</w:t>
      </w:r>
      <w:r w:rsidR="00494FA1">
        <w:rPr>
          <w:rStyle w:val="FootnoteReference"/>
          <w:shd w:val="clear" w:color="auto" w:fill="FFFFFF"/>
        </w:rPr>
        <w:footnoteReference w:id="25"/>
      </w:r>
      <w:r>
        <w:rPr>
          <w:shd w:val="clear" w:color="auto" w:fill="FFFFFF"/>
        </w:rPr>
        <w:t xml:space="preserve"> The CSR </w:t>
      </w:r>
      <w:r w:rsidR="001E66D3">
        <w:rPr>
          <w:shd w:val="clear" w:color="auto" w:fill="FFFFFF"/>
        </w:rPr>
        <w:t xml:space="preserve">mandate </w:t>
      </w:r>
      <w:r>
        <w:rPr>
          <w:shd w:val="clear" w:color="auto" w:fill="FFFFFF"/>
        </w:rPr>
        <w:t xml:space="preserve">also </w:t>
      </w:r>
      <w:r w:rsidR="009D480D">
        <w:rPr>
          <w:shd w:val="clear" w:color="auto" w:fill="FFFFFF"/>
        </w:rPr>
        <w:t>included “</w:t>
      </w:r>
      <w:r w:rsidR="009D480D" w:rsidRPr="009D480D">
        <w:rPr>
          <w:shd w:val="clear" w:color="auto" w:fill="FFFFFF"/>
          <w:lang w:val="en-CA"/>
        </w:rPr>
        <w:t>training to promote rural sports, nationally recognised sports, Paralympic sports and Olympic sports</w:t>
      </w:r>
      <w:r>
        <w:rPr>
          <w:shd w:val="clear" w:color="auto" w:fill="FFFFFF"/>
        </w:rPr>
        <w:t>.</w:t>
      </w:r>
      <w:r w:rsidR="009D480D">
        <w:rPr>
          <w:shd w:val="clear" w:color="auto" w:fill="FFFFFF"/>
        </w:rPr>
        <w:t>”</w:t>
      </w:r>
      <w:r w:rsidR="00494FA1">
        <w:rPr>
          <w:rStyle w:val="FootnoteReference"/>
          <w:shd w:val="clear" w:color="auto" w:fill="FFFFFF"/>
        </w:rPr>
        <w:footnoteReference w:id="26"/>
      </w:r>
    </w:p>
    <w:p w14:paraId="24CC40E5" w14:textId="77777777" w:rsidR="00EA4D4D" w:rsidRDefault="00EA4D4D" w:rsidP="00D334AE">
      <w:pPr>
        <w:pStyle w:val="BodyTextMain"/>
        <w:rPr>
          <w:shd w:val="clear" w:color="auto" w:fill="FFFFFF"/>
        </w:rPr>
      </w:pPr>
    </w:p>
    <w:p w14:paraId="0BEF6379" w14:textId="79DBFB84" w:rsidR="009839A5" w:rsidRDefault="00D334AE" w:rsidP="00D334AE">
      <w:pPr>
        <w:pStyle w:val="BodyTextMain"/>
        <w:rPr>
          <w:shd w:val="clear" w:color="auto" w:fill="FFFFFF"/>
        </w:rPr>
      </w:pPr>
      <w:r>
        <w:rPr>
          <w:shd w:val="clear" w:color="auto" w:fill="FFFFFF"/>
        </w:rPr>
        <w:t>GoSports interact</w:t>
      </w:r>
      <w:r w:rsidR="009839A5">
        <w:rPr>
          <w:shd w:val="clear" w:color="auto" w:fill="FFFFFF"/>
        </w:rPr>
        <w:t>ed</w:t>
      </w:r>
      <w:r>
        <w:rPr>
          <w:shd w:val="clear" w:color="auto" w:fill="FFFFFF"/>
        </w:rPr>
        <w:t xml:space="preserve"> with potential partner organizations</w:t>
      </w:r>
      <w:r w:rsidR="009E05FD">
        <w:rPr>
          <w:shd w:val="clear" w:color="auto" w:fill="FFFFFF"/>
        </w:rPr>
        <w:t xml:space="preserve"> </w:t>
      </w:r>
      <w:r>
        <w:rPr>
          <w:shd w:val="clear" w:color="auto" w:fill="FFFFFF"/>
        </w:rPr>
        <w:t xml:space="preserve">to raise funds through </w:t>
      </w:r>
      <w:r w:rsidR="009839A5">
        <w:rPr>
          <w:shd w:val="clear" w:color="auto" w:fill="FFFFFF"/>
        </w:rPr>
        <w:t xml:space="preserve">the organizations’ </w:t>
      </w:r>
      <w:r>
        <w:rPr>
          <w:shd w:val="clear" w:color="auto" w:fill="FFFFFF"/>
        </w:rPr>
        <w:t>outreach effort</w:t>
      </w:r>
      <w:r w:rsidR="009839A5">
        <w:rPr>
          <w:shd w:val="clear" w:color="auto" w:fill="FFFFFF"/>
        </w:rPr>
        <w:t>s</w:t>
      </w:r>
      <w:r>
        <w:rPr>
          <w:shd w:val="clear" w:color="auto" w:fill="FFFFFF"/>
        </w:rPr>
        <w:t xml:space="preserve"> or </w:t>
      </w:r>
      <w:r w:rsidR="009839A5">
        <w:rPr>
          <w:shd w:val="clear" w:color="auto" w:fill="FFFFFF"/>
        </w:rPr>
        <w:t xml:space="preserve">in </w:t>
      </w:r>
      <w:r>
        <w:rPr>
          <w:shd w:val="clear" w:color="auto" w:fill="FFFFFF"/>
        </w:rPr>
        <w:t>respon</w:t>
      </w:r>
      <w:r w:rsidR="007A084F">
        <w:rPr>
          <w:shd w:val="clear" w:color="auto" w:fill="FFFFFF"/>
        </w:rPr>
        <w:t>s</w:t>
      </w:r>
      <w:r w:rsidR="009839A5">
        <w:rPr>
          <w:shd w:val="clear" w:color="auto" w:fill="FFFFFF"/>
        </w:rPr>
        <w:t>e</w:t>
      </w:r>
      <w:r>
        <w:rPr>
          <w:shd w:val="clear" w:color="auto" w:fill="FFFFFF"/>
        </w:rPr>
        <w:t xml:space="preserve"> to the growing number of inbound requests. The broader discussion </w:t>
      </w:r>
      <w:r w:rsidR="009839A5">
        <w:rPr>
          <w:shd w:val="clear" w:color="auto" w:fill="FFFFFF"/>
        </w:rPr>
        <w:t xml:space="preserve">involved identifying </w:t>
      </w:r>
      <w:r>
        <w:rPr>
          <w:shd w:val="clear" w:color="auto" w:fill="FFFFFF"/>
        </w:rPr>
        <w:t>the objectives to be achieved</w:t>
      </w:r>
      <w:r w:rsidR="009839A5">
        <w:rPr>
          <w:shd w:val="clear" w:color="auto" w:fill="FFFFFF"/>
        </w:rPr>
        <w:t xml:space="preserve">, </w:t>
      </w:r>
      <w:r>
        <w:rPr>
          <w:shd w:val="clear" w:color="auto" w:fill="FFFFFF"/>
        </w:rPr>
        <w:t xml:space="preserve">the associated metrics </w:t>
      </w:r>
      <w:r w:rsidR="009839A5">
        <w:rPr>
          <w:shd w:val="clear" w:color="auto" w:fill="FFFFFF"/>
        </w:rPr>
        <w:t xml:space="preserve">that would define success in </w:t>
      </w:r>
      <w:r>
        <w:rPr>
          <w:shd w:val="clear" w:color="auto" w:fill="FFFFFF"/>
        </w:rPr>
        <w:t>the program</w:t>
      </w:r>
      <w:r w:rsidR="009839A5">
        <w:rPr>
          <w:shd w:val="clear" w:color="auto" w:fill="FFFFFF"/>
        </w:rPr>
        <w:t xml:space="preserve">, and </w:t>
      </w:r>
      <w:r>
        <w:rPr>
          <w:shd w:val="clear" w:color="auto" w:fill="FFFFFF"/>
        </w:rPr>
        <w:t xml:space="preserve">how </w:t>
      </w:r>
      <w:r w:rsidR="009839A5">
        <w:rPr>
          <w:shd w:val="clear" w:color="auto" w:fill="FFFFFF"/>
        </w:rPr>
        <w:t xml:space="preserve">the </w:t>
      </w:r>
      <w:r>
        <w:rPr>
          <w:shd w:val="clear" w:color="auto" w:fill="FFFFFF"/>
        </w:rPr>
        <w:t xml:space="preserve">funds </w:t>
      </w:r>
      <w:r w:rsidR="009839A5">
        <w:rPr>
          <w:shd w:val="clear" w:color="auto" w:fill="FFFFFF"/>
        </w:rPr>
        <w:t xml:space="preserve">would </w:t>
      </w:r>
      <w:r>
        <w:rPr>
          <w:shd w:val="clear" w:color="auto" w:fill="FFFFFF"/>
        </w:rPr>
        <w:t xml:space="preserve">be </w:t>
      </w:r>
      <w:r w:rsidR="009839A5">
        <w:rPr>
          <w:shd w:val="clear" w:color="auto" w:fill="FFFFFF"/>
        </w:rPr>
        <w:t>used</w:t>
      </w:r>
      <w:r>
        <w:rPr>
          <w:shd w:val="clear" w:color="auto" w:fill="FFFFFF"/>
        </w:rPr>
        <w:t xml:space="preserve">. </w:t>
      </w:r>
    </w:p>
    <w:p w14:paraId="32149666" w14:textId="77777777" w:rsidR="00746D30" w:rsidRDefault="00746D30" w:rsidP="00D334AE">
      <w:pPr>
        <w:pStyle w:val="BodyTextMain"/>
        <w:rPr>
          <w:shd w:val="clear" w:color="auto" w:fill="FFFFFF"/>
        </w:rPr>
      </w:pPr>
    </w:p>
    <w:p w14:paraId="3116676A" w14:textId="7C4BCC1C" w:rsidR="009D480D" w:rsidRDefault="00D334AE" w:rsidP="00D334AE">
      <w:pPr>
        <w:pStyle w:val="BodyTextMain"/>
        <w:rPr>
          <w:shd w:val="clear" w:color="auto" w:fill="FFFFFF"/>
        </w:rPr>
      </w:pPr>
      <w:r>
        <w:rPr>
          <w:shd w:val="clear" w:color="auto" w:fill="FFFFFF"/>
        </w:rPr>
        <w:t>Corporat</w:t>
      </w:r>
      <w:r w:rsidR="009839A5">
        <w:rPr>
          <w:shd w:val="clear" w:color="auto" w:fill="FFFFFF"/>
        </w:rPr>
        <w:t>ion</w:t>
      </w:r>
      <w:r>
        <w:rPr>
          <w:shd w:val="clear" w:color="auto" w:fill="FFFFFF"/>
        </w:rPr>
        <w:t xml:space="preserve">s </w:t>
      </w:r>
      <w:r w:rsidR="009839A5">
        <w:rPr>
          <w:shd w:val="clear" w:color="auto" w:fill="FFFFFF"/>
        </w:rPr>
        <w:t xml:space="preserve">were </w:t>
      </w:r>
      <w:r>
        <w:rPr>
          <w:shd w:val="clear" w:color="auto" w:fill="FFFFFF"/>
        </w:rPr>
        <w:t xml:space="preserve">motivated to donate to the cause for a variety of reasons. Some </w:t>
      </w:r>
      <w:r w:rsidR="009839A5">
        <w:rPr>
          <w:shd w:val="clear" w:color="auto" w:fill="FFFFFF"/>
        </w:rPr>
        <w:t xml:space="preserve">saw </w:t>
      </w:r>
      <w:r>
        <w:rPr>
          <w:shd w:val="clear" w:color="auto" w:fill="FFFFFF"/>
        </w:rPr>
        <w:t xml:space="preserve">sport as </w:t>
      </w:r>
      <w:r w:rsidR="009839A5">
        <w:rPr>
          <w:shd w:val="clear" w:color="auto" w:fill="FFFFFF"/>
        </w:rPr>
        <w:t>being able</w:t>
      </w:r>
      <w:r>
        <w:rPr>
          <w:shd w:val="clear" w:color="auto" w:fill="FFFFFF"/>
        </w:rPr>
        <w:t xml:space="preserve"> to deliver values that align</w:t>
      </w:r>
      <w:r w:rsidR="009839A5">
        <w:rPr>
          <w:shd w:val="clear" w:color="auto" w:fill="FFFFFF"/>
        </w:rPr>
        <w:t>ed</w:t>
      </w:r>
      <w:r>
        <w:rPr>
          <w:shd w:val="clear" w:color="auto" w:fill="FFFFFF"/>
        </w:rPr>
        <w:t xml:space="preserve"> with </w:t>
      </w:r>
      <w:r w:rsidR="009839A5">
        <w:rPr>
          <w:shd w:val="clear" w:color="auto" w:fill="FFFFFF"/>
        </w:rPr>
        <w:t xml:space="preserve">the corporation’s </w:t>
      </w:r>
      <w:r>
        <w:rPr>
          <w:shd w:val="clear" w:color="auto" w:fill="FFFFFF"/>
        </w:rPr>
        <w:t xml:space="preserve">CSR mandates. Others </w:t>
      </w:r>
      <w:r w:rsidR="003940E7">
        <w:rPr>
          <w:shd w:val="clear" w:color="auto" w:fill="FFFFFF"/>
        </w:rPr>
        <w:t xml:space="preserve">had </w:t>
      </w:r>
      <w:r>
        <w:rPr>
          <w:shd w:val="clear" w:color="auto" w:fill="FFFFFF"/>
        </w:rPr>
        <w:t>leadership teams who love</w:t>
      </w:r>
      <w:r w:rsidR="003940E7">
        <w:rPr>
          <w:shd w:val="clear" w:color="auto" w:fill="FFFFFF"/>
        </w:rPr>
        <w:t>d</w:t>
      </w:r>
      <w:r>
        <w:rPr>
          <w:shd w:val="clear" w:color="auto" w:fill="FFFFFF"/>
        </w:rPr>
        <w:t xml:space="preserve"> Indian sport, </w:t>
      </w:r>
      <w:r w:rsidR="003940E7">
        <w:rPr>
          <w:shd w:val="clear" w:color="auto" w:fill="FFFFFF"/>
        </w:rPr>
        <w:t xml:space="preserve">had </w:t>
      </w:r>
      <w:r>
        <w:rPr>
          <w:shd w:val="clear" w:color="auto" w:fill="FFFFFF"/>
        </w:rPr>
        <w:t xml:space="preserve">played sports seriously, and </w:t>
      </w:r>
      <w:r w:rsidR="003940E7">
        <w:rPr>
          <w:shd w:val="clear" w:color="auto" w:fill="FFFFFF"/>
        </w:rPr>
        <w:t xml:space="preserve">understood </w:t>
      </w:r>
      <w:r>
        <w:rPr>
          <w:shd w:val="clear" w:color="auto" w:fill="FFFFFF"/>
        </w:rPr>
        <w:t>the importance of supporting athlete</w:t>
      </w:r>
      <w:r w:rsidR="003940E7">
        <w:rPr>
          <w:shd w:val="clear" w:color="auto" w:fill="FFFFFF"/>
        </w:rPr>
        <w:t>s’</w:t>
      </w:r>
      <w:r>
        <w:rPr>
          <w:shd w:val="clear" w:color="auto" w:fill="FFFFFF"/>
        </w:rPr>
        <w:t xml:space="preserve"> journeys in the broader context. The donors and partners</w:t>
      </w:r>
      <w:r w:rsidRPr="0096272E">
        <w:rPr>
          <w:rStyle w:val="FootnoteReference"/>
        </w:rPr>
        <w:footnoteReference w:id="27"/>
      </w:r>
      <w:r w:rsidR="00E20CB7">
        <w:rPr>
          <w:shd w:val="clear" w:color="auto" w:fill="FFFFFF"/>
        </w:rPr>
        <w:t xml:space="preserve"> </w:t>
      </w:r>
      <w:r>
        <w:rPr>
          <w:shd w:val="clear" w:color="auto" w:fill="FFFFFF"/>
        </w:rPr>
        <w:t>view</w:t>
      </w:r>
      <w:r w:rsidR="003940E7">
        <w:rPr>
          <w:shd w:val="clear" w:color="auto" w:fill="FFFFFF"/>
        </w:rPr>
        <w:t>ed</w:t>
      </w:r>
      <w:r>
        <w:rPr>
          <w:shd w:val="clear" w:color="auto" w:fill="FFFFFF"/>
        </w:rPr>
        <w:t xml:space="preserve"> GoSports as a credible, neutral, and independent platform that </w:t>
      </w:r>
      <w:r w:rsidR="003940E7">
        <w:rPr>
          <w:shd w:val="clear" w:color="auto" w:fill="FFFFFF"/>
        </w:rPr>
        <w:t xml:space="preserve">was </w:t>
      </w:r>
      <w:r>
        <w:rPr>
          <w:shd w:val="clear" w:color="auto" w:fill="FFFFFF"/>
        </w:rPr>
        <w:t xml:space="preserve">well-governed, accountable, </w:t>
      </w:r>
      <w:r w:rsidR="00746D30">
        <w:rPr>
          <w:shd w:val="clear" w:color="auto" w:fill="FFFFFF"/>
        </w:rPr>
        <w:t xml:space="preserve">and </w:t>
      </w:r>
      <w:r>
        <w:rPr>
          <w:shd w:val="clear" w:color="auto" w:fill="FFFFFF"/>
        </w:rPr>
        <w:t>transparent and deliver</w:t>
      </w:r>
      <w:r w:rsidR="00746D30">
        <w:rPr>
          <w:shd w:val="clear" w:color="auto" w:fill="FFFFFF"/>
        </w:rPr>
        <w:t>ed</w:t>
      </w:r>
      <w:r>
        <w:rPr>
          <w:shd w:val="clear" w:color="auto" w:fill="FFFFFF"/>
        </w:rPr>
        <w:t xml:space="preserve"> on the program goals as committed. The secure protocols, reports, and feedback loops help</w:t>
      </w:r>
      <w:r w:rsidR="00746D30">
        <w:rPr>
          <w:shd w:val="clear" w:color="auto" w:fill="FFFFFF"/>
        </w:rPr>
        <w:t>ed</w:t>
      </w:r>
      <w:r>
        <w:rPr>
          <w:shd w:val="clear" w:color="auto" w:fill="FFFFFF"/>
        </w:rPr>
        <w:t xml:space="preserve"> to </w:t>
      </w:r>
      <w:r w:rsidR="00746D30">
        <w:rPr>
          <w:shd w:val="clear" w:color="auto" w:fill="FFFFFF"/>
        </w:rPr>
        <w:t>highlight</w:t>
      </w:r>
      <w:r>
        <w:rPr>
          <w:shd w:val="clear" w:color="auto" w:fill="FFFFFF"/>
        </w:rPr>
        <w:t xml:space="preserve"> the </w:t>
      </w:r>
      <w:r w:rsidR="00746D30">
        <w:rPr>
          <w:shd w:val="clear" w:color="auto" w:fill="FFFFFF"/>
        </w:rPr>
        <w:t xml:space="preserve">foundation’s </w:t>
      </w:r>
      <w:r>
        <w:rPr>
          <w:shd w:val="clear" w:color="auto" w:fill="FFFFFF"/>
        </w:rPr>
        <w:t>transparency. Simultaneously, involv</w:t>
      </w:r>
      <w:r w:rsidR="00746D30">
        <w:rPr>
          <w:shd w:val="clear" w:color="auto" w:fill="FFFFFF"/>
        </w:rPr>
        <w:t>ing</w:t>
      </w:r>
      <w:r>
        <w:rPr>
          <w:shd w:val="clear" w:color="auto" w:fill="FFFFFF"/>
        </w:rPr>
        <w:t xml:space="preserve"> senior industry figures and sports champions in </w:t>
      </w:r>
      <w:r w:rsidR="00746D30">
        <w:rPr>
          <w:shd w:val="clear" w:color="auto" w:fill="FFFFFF"/>
        </w:rPr>
        <w:t xml:space="preserve">the </w:t>
      </w:r>
      <w:r>
        <w:rPr>
          <w:shd w:val="clear" w:color="auto" w:fill="FFFFFF"/>
        </w:rPr>
        <w:t xml:space="preserve">governance </w:t>
      </w:r>
      <w:r w:rsidR="00746D30">
        <w:rPr>
          <w:shd w:val="clear" w:color="auto" w:fill="FFFFFF"/>
        </w:rPr>
        <w:t xml:space="preserve">structure gave </w:t>
      </w:r>
      <w:r>
        <w:rPr>
          <w:shd w:val="clear" w:color="auto" w:fill="FFFFFF"/>
        </w:rPr>
        <w:t xml:space="preserve">the </w:t>
      </w:r>
      <w:r w:rsidR="00746D30">
        <w:rPr>
          <w:shd w:val="clear" w:color="auto" w:fill="FFFFFF"/>
        </w:rPr>
        <w:t xml:space="preserve">foundation </w:t>
      </w:r>
      <w:r>
        <w:rPr>
          <w:shd w:val="clear" w:color="auto" w:fill="FFFFFF"/>
        </w:rPr>
        <w:t xml:space="preserve">credibility. </w:t>
      </w:r>
    </w:p>
    <w:p w14:paraId="2245DED9" w14:textId="77777777" w:rsidR="009D480D" w:rsidRDefault="009D480D" w:rsidP="00D334AE">
      <w:pPr>
        <w:pStyle w:val="BodyTextMain"/>
        <w:rPr>
          <w:shd w:val="clear" w:color="auto" w:fill="FFFFFF"/>
        </w:rPr>
      </w:pPr>
    </w:p>
    <w:p w14:paraId="413BA002" w14:textId="79932EFD" w:rsidR="00080CEA" w:rsidRDefault="00D334AE">
      <w:pPr>
        <w:pStyle w:val="BodyTextMain"/>
        <w:rPr>
          <w:shd w:val="clear" w:color="auto" w:fill="FFFFFF"/>
        </w:rPr>
      </w:pPr>
      <w:r w:rsidRPr="006179D4">
        <w:t xml:space="preserve">GoSports realized that partnerships </w:t>
      </w:r>
      <w:r w:rsidR="00746D30" w:rsidRPr="006179D4">
        <w:t xml:space="preserve">were the most potent </w:t>
      </w:r>
      <w:r w:rsidRPr="006179D4">
        <w:t xml:space="preserve">when the partners </w:t>
      </w:r>
      <w:r w:rsidR="00746D30" w:rsidRPr="006179D4">
        <w:t xml:space="preserve">were </w:t>
      </w:r>
      <w:r w:rsidRPr="006179D4">
        <w:t xml:space="preserve">aligned </w:t>
      </w:r>
      <w:r w:rsidR="00746D30" w:rsidRPr="006179D4">
        <w:t>with the</w:t>
      </w:r>
      <w:r w:rsidR="00746D30">
        <w:rPr>
          <w:shd w:val="clear" w:color="auto" w:fill="FFFFFF"/>
        </w:rPr>
        <w:t xml:space="preserve"> foundation’s </w:t>
      </w:r>
      <w:r>
        <w:rPr>
          <w:shd w:val="clear" w:color="auto" w:fill="FFFFFF"/>
        </w:rPr>
        <w:t xml:space="preserve">mission and vision, especially </w:t>
      </w:r>
      <w:r w:rsidR="00746D30">
        <w:rPr>
          <w:shd w:val="clear" w:color="auto" w:fill="FFFFFF"/>
        </w:rPr>
        <w:t>the belief in</w:t>
      </w:r>
      <w:r>
        <w:rPr>
          <w:shd w:val="clear" w:color="auto" w:fill="FFFFFF"/>
        </w:rPr>
        <w:t xml:space="preserve"> the societal value of sports excellence.</w:t>
      </w:r>
      <w:r w:rsidR="00015BC3">
        <w:rPr>
          <w:shd w:val="clear" w:color="auto" w:fill="FFFFFF"/>
        </w:rPr>
        <w:t xml:space="preserve"> </w:t>
      </w:r>
      <w:r>
        <w:rPr>
          <w:shd w:val="clear" w:color="auto" w:fill="FFFFFF"/>
        </w:rPr>
        <w:t>Although sport</w:t>
      </w:r>
      <w:r w:rsidR="009D480D">
        <w:rPr>
          <w:shd w:val="clear" w:color="auto" w:fill="FFFFFF"/>
        </w:rPr>
        <w:t>s</w:t>
      </w:r>
      <w:r>
        <w:rPr>
          <w:shd w:val="clear" w:color="auto" w:fill="FFFFFF"/>
        </w:rPr>
        <w:t xml:space="preserve"> was not a top priority for CSR projects and </w:t>
      </w:r>
      <w:r w:rsidR="009D480D">
        <w:rPr>
          <w:shd w:val="clear" w:color="auto" w:fill="FFFFFF"/>
        </w:rPr>
        <w:t xml:space="preserve">contribution of CSR funds to sports </w:t>
      </w:r>
      <w:r>
        <w:rPr>
          <w:shd w:val="clear" w:color="auto" w:fill="FFFFFF"/>
        </w:rPr>
        <w:t xml:space="preserve">accounted for less </w:t>
      </w:r>
      <w:r>
        <w:rPr>
          <w:shd w:val="clear" w:color="auto" w:fill="FFFFFF"/>
        </w:rPr>
        <w:lastRenderedPageBreak/>
        <w:t>than 2</w:t>
      </w:r>
      <w:r w:rsidR="009D480D">
        <w:rPr>
          <w:shd w:val="clear" w:color="auto" w:fill="FFFFFF"/>
        </w:rPr>
        <w:t xml:space="preserve"> per cent </w:t>
      </w:r>
      <w:r w:rsidR="00B30969">
        <w:rPr>
          <w:shd w:val="clear" w:color="auto" w:fill="FFFFFF"/>
        </w:rPr>
        <w:t>of the total spends on CSR project</w:t>
      </w:r>
      <w:r w:rsidR="00591F62">
        <w:rPr>
          <w:shd w:val="clear" w:color="auto" w:fill="FFFFFF"/>
        </w:rPr>
        <w:t>,</w:t>
      </w:r>
      <w:r w:rsidR="00B30969">
        <w:rPr>
          <w:rStyle w:val="FootnoteReference"/>
          <w:shd w:val="clear" w:color="auto" w:fill="FFFFFF"/>
        </w:rPr>
        <w:footnoteReference w:id="28"/>
      </w:r>
      <w:r>
        <w:rPr>
          <w:shd w:val="clear" w:color="auto" w:fill="FFFFFF"/>
        </w:rPr>
        <w:t xml:space="preserve"> GoSports </w:t>
      </w:r>
      <w:r w:rsidR="00F962B9">
        <w:rPr>
          <w:shd w:val="clear" w:color="auto" w:fill="FFFFFF"/>
        </w:rPr>
        <w:t xml:space="preserve">had </w:t>
      </w:r>
      <w:r>
        <w:rPr>
          <w:shd w:val="clear" w:color="auto" w:fill="FFFFFF"/>
        </w:rPr>
        <w:t>been able to find like-minded organization</w:t>
      </w:r>
      <w:r w:rsidR="007A084F">
        <w:rPr>
          <w:shd w:val="clear" w:color="auto" w:fill="FFFFFF"/>
        </w:rPr>
        <w:t>s</w:t>
      </w:r>
      <w:r>
        <w:rPr>
          <w:shd w:val="clear" w:color="auto" w:fill="FFFFFF"/>
        </w:rPr>
        <w:t xml:space="preserve"> that believed that funding India</w:t>
      </w:r>
      <w:r w:rsidR="00E45AFA">
        <w:rPr>
          <w:shd w:val="clear" w:color="auto" w:fill="FFFFFF"/>
        </w:rPr>
        <w:t>’</w:t>
      </w:r>
      <w:r>
        <w:rPr>
          <w:shd w:val="clear" w:color="auto" w:fill="FFFFFF"/>
        </w:rPr>
        <w:t xml:space="preserve">s emerging athletes had intrinsic societal value. </w:t>
      </w:r>
    </w:p>
    <w:p w14:paraId="00DCAA93" w14:textId="77777777" w:rsidR="00080CEA" w:rsidRDefault="00080CEA" w:rsidP="00D334AE">
      <w:pPr>
        <w:pStyle w:val="BodyTextMain"/>
        <w:rPr>
          <w:shd w:val="clear" w:color="auto" w:fill="FFFFFF"/>
        </w:rPr>
      </w:pPr>
    </w:p>
    <w:p w14:paraId="0340B4EA" w14:textId="09B69C45" w:rsidR="00EA4D4D" w:rsidRDefault="00D334AE" w:rsidP="00D334AE">
      <w:pPr>
        <w:pStyle w:val="BodyTextMain"/>
        <w:rPr>
          <w:shd w:val="clear" w:color="auto" w:fill="FFFFFF"/>
        </w:rPr>
      </w:pPr>
      <w:r>
        <w:rPr>
          <w:shd w:val="clear" w:color="auto" w:fill="FFFFFF"/>
        </w:rPr>
        <w:t xml:space="preserve">Over the years, </w:t>
      </w:r>
      <w:r w:rsidR="00F962B9">
        <w:rPr>
          <w:shd w:val="clear" w:color="auto" w:fill="FFFFFF"/>
        </w:rPr>
        <w:t xml:space="preserve">the foundation had </w:t>
      </w:r>
      <w:r>
        <w:rPr>
          <w:shd w:val="clear" w:color="auto" w:fill="FFFFFF"/>
        </w:rPr>
        <w:t xml:space="preserve">raised over </w:t>
      </w:r>
      <w:r w:rsidR="00F962B9">
        <w:rPr>
          <w:shd w:val="clear" w:color="auto" w:fill="FFFFFF"/>
        </w:rPr>
        <w:t>₹</w:t>
      </w:r>
      <w:r>
        <w:rPr>
          <w:shd w:val="clear" w:color="auto" w:fill="FFFFFF"/>
        </w:rPr>
        <w:t>350 million</w:t>
      </w:r>
      <w:r w:rsidR="00F962B9">
        <w:rPr>
          <w:rStyle w:val="FootnoteReference"/>
          <w:shd w:val="clear" w:color="auto" w:fill="FFFFFF"/>
        </w:rPr>
        <w:footnoteReference w:id="29"/>
      </w:r>
      <w:r>
        <w:rPr>
          <w:shd w:val="clear" w:color="auto" w:fill="FFFFFF"/>
        </w:rPr>
        <w:t xml:space="preserve"> from about 25 corporate donors </w:t>
      </w:r>
      <w:r w:rsidR="00F962B9">
        <w:rPr>
          <w:shd w:val="clear" w:color="auto" w:fill="FFFFFF"/>
        </w:rPr>
        <w:t xml:space="preserve">willing to direct resources to GoSports’ </w:t>
      </w:r>
      <w:r>
        <w:rPr>
          <w:shd w:val="clear" w:color="auto" w:fill="FFFFFF"/>
        </w:rPr>
        <w:t xml:space="preserve">four programs. </w:t>
      </w:r>
      <w:r w:rsidR="00080CEA">
        <w:rPr>
          <w:shd w:val="clear" w:color="auto" w:fill="FFFFFF"/>
        </w:rPr>
        <w:t xml:space="preserve">Fundraising had steadily grown year over year </w:t>
      </w:r>
      <w:r>
        <w:rPr>
          <w:shd w:val="clear" w:color="auto" w:fill="FFFFFF"/>
        </w:rPr>
        <w:t xml:space="preserve">since the CSR mandate </w:t>
      </w:r>
      <w:r w:rsidR="00080CEA">
        <w:rPr>
          <w:shd w:val="clear" w:color="auto" w:fill="FFFFFF"/>
        </w:rPr>
        <w:t xml:space="preserve">was implemented in </w:t>
      </w:r>
      <w:r>
        <w:rPr>
          <w:shd w:val="clear" w:color="auto" w:fill="FFFFFF"/>
        </w:rPr>
        <w:t xml:space="preserve">2013 </w:t>
      </w:r>
      <w:r w:rsidR="00080CEA">
        <w:rPr>
          <w:shd w:val="clear" w:color="auto" w:fill="FFFFFF"/>
        </w:rPr>
        <w:t xml:space="preserve">with </w:t>
      </w:r>
      <w:r>
        <w:rPr>
          <w:shd w:val="clear" w:color="auto" w:fill="FFFFFF"/>
        </w:rPr>
        <w:t>CSR funds form</w:t>
      </w:r>
      <w:r w:rsidR="00080CEA">
        <w:rPr>
          <w:shd w:val="clear" w:color="auto" w:fill="FFFFFF"/>
        </w:rPr>
        <w:t>ing</w:t>
      </w:r>
      <w:r>
        <w:rPr>
          <w:shd w:val="clear" w:color="auto" w:fill="FFFFFF"/>
        </w:rPr>
        <w:t xml:space="preserve"> a </w:t>
      </w:r>
      <w:r w:rsidR="00080CEA">
        <w:rPr>
          <w:shd w:val="clear" w:color="auto" w:fill="FFFFFF"/>
        </w:rPr>
        <w:t>major portion</w:t>
      </w:r>
      <w:r>
        <w:rPr>
          <w:shd w:val="clear" w:color="auto" w:fill="FFFFFF"/>
        </w:rPr>
        <w:t xml:space="preserve"> of </w:t>
      </w:r>
      <w:r w:rsidR="00080CEA">
        <w:rPr>
          <w:shd w:val="clear" w:color="auto" w:fill="FFFFFF"/>
        </w:rPr>
        <w:t xml:space="preserve">the </w:t>
      </w:r>
      <w:r>
        <w:rPr>
          <w:shd w:val="clear" w:color="auto" w:fill="FFFFFF"/>
        </w:rPr>
        <w:t>fund</w:t>
      </w:r>
      <w:r w:rsidR="00080CEA">
        <w:rPr>
          <w:shd w:val="clear" w:color="auto" w:fill="FFFFFF"/>
        </w:rPr>
        <w:t xml:space="preserve">s </w:t>
      </w:r>
      <w:r>
        <w:rPr>
          <w:shd w:val="clear" w:color="auto" w:fill="FFFFFF"/>
        </w:rPr>
        <w:t>raised by GoSports. The CSR partners include</w:t>
      </w:r>
      <w:r w:rsidR="00080CEA">
        <w:rPr>
          <w:shd w:val="clear" w:color="auto" w:fill="FFFFFF"/>
        </w:rPr>
        <w:t>d</w:t>
      </w:r>
      <w:r>
        <w:rPr>
          <w:shd w:val="clear" w:color="auto" w:fill="FFFFFF"/>
        </w:rPr>
        <w:t xml:space="preserve"> blue</w:t>
      </w:r>
      <w:r w:rsidR="00080CEA">
        <w:rPr>
          <w:shd w:val="clear" w:color="auto" w:fill="FFFFFF"/>
        </w:rPr>
        <w:t xml:space="preserve"> </w:t>
      </w:r>
      <w:r>
        <w:rPr>
          <w:shd w:val="clear" w:color="auto" w:fill="FFFFFF"/>
        </w:rPr>
        <w:t xml:space="preserve">chip companies and foundations </w:t>
      </w:r>
      <w:r w:rsidR="00080CEA">
        <w:rPr>
          <w:shd w:val="clear" w:color="auto" w:fill="FFFFFF"/>
        </w:rPr>
        <w:t xml:space="preserve">such as </w:t>
      </w:r>
      <w:r>
        <w:rPr>
          <w:shd w:val="clear" w:color="auto" w:fill="FFFFFF"/>
        </w:rPr>
        <w:t>Aditya Birla Finance Limited, Aditya Birla Capital, Sony Pictures Networks India Private Limited, IndusInd Bank</w:t>
      </w:r>
      <w:r w:rsidR="00080CEA">
        <w:rPr>
          <w:shd w:val="clear" w:color="auto" w:fill="FFFFFF"/>
        </w:rPr>
        <w:t xml:space="preserve"> Limited</w:t>
      </w:r>
      <w:r>
        <w:rPr>
          <w:shd w:val="clear" w:color="auto" w:fill="FFFFFF"/>
        </w:rPr>
        <w:t>, AT&amp;T Communication</w:t>
      </w:r>
      <w:r w:rsidR="00080CEA">
        <w:rPr>
          <w:shd w:val="clear" w:color="auto" w:fill="FFFFFF"/>
        </w:rPr>
        <w:t>s Incorporated</w:t>
      </w:r>
      <w:r>
        <w:rPr>
          <w:shd w:val="clear" w:color="auto" w:fill="FFFFFF"/>
        </w:rPr>
        <w:t>, Bry-Air, Infosys Foundation, Federation of India Fantasy Sports, and Dream Sports Foundation</w:t>
      </w:r>
      <w:r w:rsidR="008851DD">
        <w:rPr>
          <w:shd w:val="clear" w:color="auto" w:fill="FFFFFF"/>
        </w:rPr>
        <w:t xml:space="preserve">. </w:t>
      </w:r>
    </w:p>
    <w:p w14:paraId="64692D6D" w14:textId="77777777" w:rsidR="00EA4D4D" w:rsidRDefault="00EA4D4D" w:rsidP="00D334AE">
      <w:pPr>
        <w:pStyle w:val="BodyTextMain"/>
        <w:rPr>
          <w:shd w:val="clear" w:color="auto" w:fill="FFFFFF"/>
        </w:rPr>
      </w:pPr>
    </w:p>
    <w:p w14:paraId="3200A630" w14:textId="77777777" w:rsidR="00D334AE" w:rsidRDefault="00D334AE" w:rsidP="00D334AE">
      <w:pPr>
        <w:pStyle w:val="BodyTextMain"/>
        <w:rPr>
          <w:shd w:val="clear" w:color="auto" w:fill="FFFFFF"/>
        </w:rPr>
      </w:pPr>
    </w:p>
    <w:p w14:paraId="5DF44605" w14:textId="77777777" w:rsidR="00D334AE" w:rsidRDefault="00D334AE" w:rsidP="00EA4D4D">
      <w:pPr>
        <w:pStyle w:val="Casehead2"/>
      </w:pPr>
      <w:r>
        <w:t xml:space="preserve">Impact </w:t>
      </w:r>
    </w:p>
    <w:p w14:paraId="7F2F0BB3" w14:textId="77777777" w:rsidR="00EA4D4D" w:rsidRDefault="00EA4D4D" w:rsidP="00D334AE">
      <w:pPr>
        <w:pStyle w:val="BodyTextMain"/>
        <w:rPr>
          <w:shd w:val="clear" w:color="auto" w:fill="FFFFFF"/>
        </w:rPr>
      </w:pPr>
    </w:p>
    <w:p w14:paraId="62CEC49A" w14:textId="1E7E8DFB" w:rsidR="003F18A7" w:rsidRDefault="00D334AE" w:rsidP="00D334AE">
      <w:pPr>
        <w:pStyle w:val="BodyTextMain"/>
        <w:rPr>
          <w:shd w:val="clear" w:color="auto" w:fill="FFFFFF"/>
        </w:rPr>
      </w:pPr>
      <w:r>
        <w:rPr>
          <w:shd w:val="clear" w:color="auto" w:fill="FFFFFF"/>
        </w:rPr>
        <w:t>GoSports started in 2008</w:t>
      </w:r>
      <w:r w:rsidR="003F18A7">
        <w:rPr>
          <w:shd w:val="clear" w:color="auto" w:fill="FFFFFF"/>
        </w:rPr>
        <w:t xml:space="preserve">, </w:t>
      </w:r>
      <w:r>
        <w:rPr>
          <w:shd w:val="clear" w:color="auto" w:fill="FFFFFF"/>
        </w:rPr>
        <w:t xml:space="preserve">providing support to five athletes. By 2020, </w:t>
      </w:r>
      <w:r w:rsidR="003F18A7">
        <w:rPr>
          <w:shd w:val="clear" w:color="auto" w:fill="FFFFFF"/>
        </w:rPr>
        <w:t xml:space="preserve">the foundation was supporting </w:t>
      </w:r>
      <w:r>
        <w:rPr>
          <w:shd w:val="clear" w:color="auto" w:fill="FFFFFF"/>
        </w:rPr>
        <w:t>127 athletes (</w:t>
      </w:r>
      <w:r w:rsidR="003F18A7">
        <w:rPr>
          <w:shd w:val="clear" w:color="auto" w:fill="FFFFFF"/>
        </w:rPr>
        <w:t xml:space="preserve">see </w:t>
      </w:r>
      <w:r>
        <w:rPr>
          <w:shd w:val="clear" w:color="auto" w:fill="FFFFFF"/>
        </w:rPr>
        <w:t xml:space="preserve">Exhibits 6 and 7). The </w:t>
      </w:r>
      <w:r w:rsidR="003F18A7">
        <w:rPr>
          <w:shd w:val="clear" w:color="auto" w:fill="FFFFFF"/>
        </w:rPr>
        <w:t xml:space="preserve">supported </w:t>
      </w:r>
      <w:r>
        <w:rPr>
          <w:shd w:val="clear" w:color="auto" w:fill="FFFFFF"/>
        </w:rPr>
        <w:t xml:space="preserve">athletes </w:t>
      </w:r>
      <w:r w:rsidR="003F18A7">
        <w:rPr>
          <w:shd w:val="clear" w:color="auto" w:fill="FFFFFF"/>
        </w:rPr>
        <w:t>came</w:t>
      </w:r>
      <w:r>
        <w:rPr>
          <w:shd w:val="clear" w:color="auto" w:fill="FFFFFF"/>
        </w:rPr>
        <w:t xml:space="preserve"> from almost every part of the country and represent</w:t>
      </w:r>
      <w:r w:rsidR="003F18A7">
        <w:rPr>
          <w:shd w:val="clear" w:color="auto" w:fill="FFFFFF"/>
        </w:rPr>
        <w:t>ed</w:t>
      </w:r>
      <w:r>
        <w:rPr>
          <w:shd w:val="clear" w:color="auto" w:fill="FFFFFF"/>
        </w:rPr>
        <w:t xml:space="preserve"> 22 states and union territories. Of the athletes supported by GoSports, nine represented India at </w:t>
      </w:r>
      <w:r w:rsidR="003F18A7">
        <w:rPr>
          <w:shd w:val="clear" w:color="auto" w:fill="FFFFFF"/>
        </w:rPr>
        <w:t xml:space="preserve">the </w:t>
      </w:r>
      <w:r>
        <w:rPr>
          <w:shd w:val="clear" w:color="auto" w:fill="FFFFFF"/>
        </w:rPr>
        <w:t xml:space="preserve">Olympics across </w:t>
      </w:r>
      <w:r w:rsidR="00591F62">
        <w:rPr>
          <w:shd w:val="clear" w:color="auto" w:fill="FFFFFF"/>
        </w:rPr>
        <w:t>14</w:t>
      </w:r>
      <w:r>
        <w:rPr>
          <w:shd w:val="clear" w:color="auto" w:fill="FFFFFF"/>
        </w:rPr>
        <w:t xml:space="preserve"> disciplines</w:t>
      </w:r>
      <w:r w:rsidR="003F18A7">
        <w:rPr>
          <w:shd w:val="clear" w:color="auto" w:fill="FFFFFF"/>
        </w:rPr>
        <w:t xml:space="preserve">; </w:t>
      </w:r>
      <w:r>
        <w:rPr>
          <w:shd w:val="clear" w:color="auto" w:fill="FFFFFF"/>
        </w:rPr>
        <w:t xml:space="preserve">29 represented India at </w:t>
      </w:r>
      <w:r w:rsidR="003F18A7">
        <w:rPr>
          <w:shd w:val="clear" w:color="auto" w:fill="FFFFFF"/>
        </w:rPr>
        <w:t xml:space="preserve">the </w:t>
      </w:r>
      <w:r>
        <w:rPr>
          <w:shd w:val="clear" w:color="auto" w:fill="FFFFFF"/>
        </w:rPr>
        <w:t>Asian Games</w:t>
      </w:r>
      <w:r w:rsidR="003F18A7">
        <w:rPr>
          <w:shd w:val="clear" w:color="auto" w:fill="FFFFFF"/>
        </w:rPr>
        <w:t xml:space="preserve">; </w:t>
      </w:r>
      <w:r>
        <w:rPr>
          <w:shd w:val="clear" w:color="auto" w:fill="FFFFFF"/>
        </w:rPr>
        <w:t>and 19 participated at the Commonwealth Games (</w:t>
      </w:r>
      <w:r w:rsidR="003F18A7">
        <w:rPr>
          <w:shd w:val="clear" w:color="auto" w:fill="FFFFFF"/>
        </w:rPr>
        <w:t xml:space="preserve">see </w:t>
      </w:r>
      <w:r>
        <w:rPr>
          <w:shd w:val="clear" w:color="auto" w:fill="FFFFFF"/>
        </w:rPr>
        <w:t xml:space="preserve">Exhibit 8). </w:t>
      </w:r>
    </w:p>
    <w:p w14:paraId="4623CEA7" w14:textId="77777777" w:rsidR="003F18A7" w:rsidRDefault="003F18A7" w:rsidP="00D334AE">
      <w:pPr>
        <w:pStyle w:val="BodyTextMain"/>
        <w:rPr>
          <w:shd w:val="clear" w:color="auto" w:fill="FFFFFF"/>
        </w:rPr>
      </w:pPr>
    </w:p>
    <w:p w14:paraId="4AE0C2B8" w14:textId="430CD0B0" w:rsidR="00D334AE" w:rsidRDefault="00D334AE" w:rsidP="00D334AE">
      <w:pPr>
        <w:pStyle w:val="BodyTextMain"/>
        <w:rPr>
          <w:shd w:val="clear" w:color="auto" w:fill="FFFFFF"/>
        </w:rPr>
      </w:pPr>
      <w:r>
        <w:rPr>
          <w:shd w:val="clear" w:color="auto" w:fill="FFFFFF"/>
        </w:rPr>
        <w:t xml:space="preserve">GoSports </w:t>
      </w:r>
      <w:r w:rsidR="003F18A7">
        <w:rPr>
          <w:shd w:val="clear" w:color="auto" w:fill="FFFFFF"/>
        </w:rPr>
        <w:t xml:space="preserve">had </w:t>
      </w:r>
      <w:r>
        <w:rPr>
          <w:shd w:val="clear" w:color="auto" w:fill="FFFFFF"/>
        </w:rPr>
        <w:t xml:space="preserve">been a pioneer in supporting </w:t>
      </w:r>
      <w:r w:rsidR="008D5916">
        <w:rPr>
          <w:shd w:val="clear" w:color="auto" w:fill="FFFFFF"/>
        </w:rPr>
        <w:t>para-athletes</w:t>
      </w:r>
      <w:r>
        <w:rPr>
          <w:shd w:val="clear" w:color="auto" w:fill="FFFFFF"/>
        </w:rPr>
        <w:t xml:space="preserve">. </w:t>
      </w:r>
      <w:r w:rsidR="003F18A7">
        <w:rPr>
          <w:shd w:val="clear" w:color="auto" w:fill="FFFFFF"/>
        </w:rPr>
        <w:t>To date</w:t>
      </w:r>
      <w:r>
        <w:rPr>
          <w:shd w:val="clear" w:color="auto" w:fill="FFFFFF"/>
        </w:rPr>
        <w:t xml:space="preserve">, 19 </w:t>
      </w:r>
      <w:r w:rsidR="003F18A7">
        <w:rPr>
          <w:shd w:val="clear" w:color="auto" w:fill="FFFFFF"/>
        </w:rPr>
        <w:t xml:space="preserve">supported </w:t>
      </w:r>
      <w:r>
        <w:rPr>
          <w:shd w:val="clear" w:color="auto" w:fill="FFFFFF"/>
        </w:rPr>
        <w:t>athletes represented India at the Paralympic</w:t>
      </w:r>
      <w:r w:rsidR="000F1E11">
        <w:t xml:space="preserve"> Game</w:t>
      </w:r>
      <w:r>
        <w:rPr>
          <w:shd w:val="clear" w:color="auto" w:fill="FFFFFF"/>
        </w:rPr>
        <w:t xml:space="preserve">s with three of them winning medals. </w:t>
      </w:r>
      <w:r w:rsidR="003F18A7">
        <w:rPr>
          <w:shd w:val="clear" w:color="auto" w:fill="FFFFFF"/>
        </w:rPr>
        <w:t xml:space="preserve">Another </w:t>
      </w:r>
      <w:r>
        <w:rPr>
          <w:shd w:val="clear" w:color="auto" w:fill="FFFFFF"/>
        </w:rPr>
        <w:t xml:space="preserve">48 athletes participated in the Para Asian Games. </w:t>
      </w:r>
    </w:p>
    <w:p w14:paraId="2B9AEDE1" w14:textId="77777777" w:rsidR="00EA4D4D" w:rsidRDefault="00EA4D4D" w:rsidP="00D334AE">
      <w:pPr>
        <w:pStyle w:val="BodyTextMain"/>
        <w:rPr>
          <w:shd w:val="clear" w:color="auto" w:fill="FFFFFF"/>
        </w:rPr>
      </w:pPr>
    </w:p>
    <w:p w14:paraId="71A48CD4" w14:textId="77777777" w:rsidR="00EA4D4D" w:rsidRDefault="00EA4D4D" w:rsidP="00D334AE">
      <w:pPr>
        <w:pStyle w:val="BodyTextMain"/>
        <w:rPr>
          <w:shd w:val="clear" w:color="auto" w:fill="FFFFFF"/>
        </w:rPr>
      </w:pPr>
    </w:p>
    <w:p w14:paraId="50BB94C7" w14:textId="77777777" w:rsidR="00D334AE" w:rsidRDefault="00D334AE" w:rsidP="00EA4D4D">
      <w:pPr>
        <w:pStyle w:val="Casehead1"/>
      </w:pPr>
      <w:r>
        <w:t>THE PATHWAY TO THE FUTURE</w:t>
      </w:r>
    </w:p>
    <w:p w14:paraId="4747888F" w14:textId="77777777" w:rsidR="00EA4D4D" w:rsidRDefault="00EA4D4D" w:rsidP="00D334AE">
      <w:pPr>
        <w:pStyle w:val="BodyTextMain"/>
        <w:rPr>
          <w:shd w:val="clear" w:color="auto" w:fill="FFFFFF"/>
        </w:rPr>
      </w:pPr>
    </w:p>
    <w:p w14:paraId="4A0C7928" w14:textId="776D7246" w:rsidR="00732E6E" w:rsidRDefault="00732E6E" w:rsidP="006179D4">
      <w:pPr>
        <w:pStyle w:val="Casehead2"/>
        <w:rPr>
          <w:shd w:val="clear" w:color="auto" w:fill="FFFFFF"/>
        </w:rPr>
      </w:pPr>
      <w:r>
        <w:rPr>
          <w:shd w:val="clear" w:color="auto" w:fill="FFFFFF"/>
        </w:rPr>
        <w:t>The Athletes</w:t>
      </w:r>
    </w:p>
    <w:p w14:paraId="5D4605A1" w14:textId="77777777" w:rsidR="00732E6E" w:rsidRDefault="00732E6E" w:rsidP="00D334AE">
      <w:pPr>
        <w:pStyle w:val="BodyTextMain"/>
        <w:rPr>
          <w:shd w:val="clear" w:color="auto" w:fill="FFFFFF"/>
        </w:rPr>
      </w:pPr>
    </w:p>
    <w:p w14:paraId="1E4EAFDE" w14:textId="1987D18E" w:rsidR="00D334AE" w:rsidRDefault="003F18A7" w:rsidP="00D334AE">
      <w:pPr>
        <w:pStyle w:val="BodyTextMain"/>
      </w:pPr>
      <w:r>
        <w:rPr>
          <w:shd w:val="clear" w:color="auto" w:fill="FFFFFF"/>
        </w:rPr>
        <w:t>U</w:t>
      </w:r>
      <w:r w:rsidR="00D334AE">
        <w:rPr>
          <w:shd w:val="clear" w:color="auto" w:fill="FFFFFF"/>
        </w:rPr>
        <w:t xml:space="preserve">nchanged through the GoSports journey was </w:t>
      </w:r>
      <w:r>
        <w:rPr>
          <w:shd w:val="clear" w:color="auto" w:fill="FFFFFF"/>
        </w:rPr>
        <w:t xml:space="preserve">the foundation’s focus on </w:t>
      </w:r>
      <w:r w:rsidR="00D334AE">
        <w:rPr>
          <w:shd w:val="clear" w:color="auto" w:fill="FFFFFF"/>
        </w:rPr>
        <w:t xml:space="preserve">the athlete </w:t>
      </w:r>
      <w:r w:rsidR="008169AB">
        <w:rPr>
          <w:shd w:val="clear" w:color="auto" w:fill="FFFFFF"/>
        </w:rPr>
        <w:t xml:space="preserve">as </w:t>
      </w:r>
      <w:r w:rsidR="00D334AE">
        <w:rPr>
          <w:shd w:val="clear" w:color="auto" w:fill="FFFFFF"/>
        </w:rPr>
        <w:t xml:space="preserve">the heart of its work. </w:t>
      </w:r>
      <w:r w:rsidR="008169AB">
        <w:rPr>
          <w:shd w:val="clear" w:color="auto" w:fill="FFFFFF"/>
        </w:rPr>
        <w:t xml:space="preserve">In an ideal world, </w:t>
      </w:r>
      <w:r w:rsidR="00FE24D0" w:rsidRPr="00FE24D0">
        <w:rPr>
          <w:shd w:val="clear" w:color="auto" w:fill="FFFFFF"/>
        </w:rPr>
        <w:t>GoSports would have liked to help every athlete win a medal on an international stage</w:t>
      </w:r>
      <w:r w:rsidR="008169AB">
        <w:rPr>
          <w:shd w:val="clear" w:color="auto" w:fill="FFFFFF"/>
        </w:rPr>
        <w:t xml:space="preserve">; </w:t>
      </w:r>
      <w:r w:rsidR="008169AB">
        <w:t>h</w:t>
      </w:r>
      <w:r w:rsidR="00D334AE">
        <w:t>owever, supporting an athlete for global events like the Olympics need</w:t>
      </w:r>
      <w:r w:rsidR="008169AB">
        <w:t>ed</w:t>
      </w:r>
      <w:r w:rsidR="00D334AE">
        <w:t xml:space="preserve"> substantial investment</w:t>
      </w:r>
      <w:r w:rsidR="008169AB">
        <w:t xml:space="preserve"> and </w:t>
      </w:r>
      <w:r w:rsidR="006F087E" w:rsidRPr="006F087E">
        <w:t xml:space="preserve">supporting athletes </w:t>
      </w:r>
      <w:r w:rsidR="008169AB">
        <w:t>was</w:t>
      </w:r>
      <w:r w:rsidR="008169AB" w:rsidRPr="006F087E">
        <w:t xml:space="preserve"> </w:t>
      </w:r>
      <w:r w:rsidR="006F087E" w:rsidRPr="006F087E">
        <w:t>not at the top of many CSR agendas.</w:t>
      </w:r>
      <w:r w:rsidR="006F087E">
        <w:t xml:space="preserve"> </w:t>
      </w:r>
      <w:r w:rsidR="008169AB">
        <w:t xml:space="preserve">Deciding which athletes to support, therefore, always included the painful decision of having to exclude someone. </w:t>
      </w:r>
      <w:r w:rsidR="00D334AE">
        <w:t xml:space="preserve">Usually, </w:t>
      </w:r>
      <w:r w:rsidR="008169AB">
        <w:t xml:space="preserve">even with the five-step selection process, the decision </w:t>
      </w:r>
      <w:r w:rsidR="00D334AE">
        <w:t xml:space="preserve">came down to a choice between two or three athletes who </w:t>
      </w:r>
      <w:r w:rsidR="008169AB">
        <w:t xml:space="preserve">were </w:t>
      </w:r>
      <w:r w:rsidR="00D334AE">
        <w:t xml:space="preserve">all deserving and </w:t>
      </w:r>
      <w:r w:rsidR="008169AB">
        <w:t xml:space="preserve">had </w:t>
      </w:r>
      <w:r w:rsidR="00D334AE">
        <w:t>different attributes.</w:t>
      </w:r>
    </w:p>
    <w:p w14:paraId="4BBD89ED" w14:textId="77777777" w:rsidR="00EA4D4D" w:rsidRDefault="00EA4D4D" w:rsidP="00D334AE">
      <w:pPr>
        <w:pStyle w:val="BodyTextMain"/>
      </w:pPr>
    </w:p>
    <w:p w14:paraId="543640DC" w14:textId="7819A993" w:rsidR="0089356B" w:rsidRDefault="0089356B" w:rsidP="00D334AE">
      <w:pPr>
        <w:pStyle w:val="BodyTextMain"/>
      </w:pPr>
      <w:r>
        <w:t xml:space="preserve">GoSports had one slot left for the current round of support but the folder Kamath held </w:t>
      </w:r>
      <w:r w:rsidR="00DD0FDC">
        <w:t xml:space="preserve">on his desk </w:t>
      </w:r>
      <w:r>
        <w:t>contained profiles for four athletes</w:t>
      </w:r>
      <w:r w:rsidR="00CF4054">
        <w:t xml:space="preserve">, identified </w:t>
      </w:r>
      <w:r w:rsidR="00A21729">
        <w:t>simply</w:t>
      </w:r>
      <w:r w:rsidR="00CF4054">
        <w:t xml:space="preserve"> as </w:t>
      </w:r>
      <w:r w:rsidR="00A21729">
        <w:t xml:space="preserve">Athlete </w:t>
      </w:r>
      <w:r w:rsidR="002D53FD">
        <w:t xml:space="preserve">A, </w:t>
      </w:r>
      <w:r w:rsidR="00A21729">
        <w:t xml:space="preserve">Athlete </w:t>
      </w:r>
      <w:r w:rsidR="002D53FD">
        <w:t xml:space="preserve">B, </w:t>
      </w:r>
      <w:r w:rsidR="00A21729">
        <w:t xml:space="preserve">Athlete </w:t>
      </w:r>
      <w:r w:rsidR="002D53FD">
        <w:t xml:space="preserve">C, and </w:t>
      </w:r>
      <w:r w:rsidR="00A21729">
        <w:t xml:space="preserve">Athlete </w:t>
      </w:r>
      <w:r w:rsidR="002D53FD">
        <w:t>D.</w:t>
      </w:r>
    </w:p>
    <w:p w14:paraId="45D6CAC0" w14:textId="77777777" w:rsidR="00EA4D4D" w:rsidRDefault="00EA4D4D" w:rsidP="00D334AE">
      <w:pPr>
        <w:pStyle w:val="BodyTextMain"/>
      </w:pPr>
    </w:p>
    <w:p w14:paraId="5C2CEFFB" w14:textId="393CB2A7" w:rsidR="00D334AE" w:rsidRDefault="00D334AE" w:rsidP="0089356B">
      <w:pPr>
        <w:pStyle w:val="BodyTextMain"/>
      </w:pPr>
      <w:r w:rsidRPr="001E2281">
        <w:t>Athlete A</w:t>
      </w:r>
      <w:r w:rsidR="0089356B">
        <w:t xml:space="preserve"> was a </w:t>
      </w:r>
      <w:r w:rsidR="006501A0">
        <w:t>male</w:t>
      </w:r>
      <w:r w:rsidR="0089356B">
        <w:t xml:space="preserve"> </w:t>
      </w:r>
      <w:r w:rsidR="006501A0">
        <w:t>world-class</w:t>
      </w:r>
      <w:r w:rsidRPr="0089356B">
        <w:t xml:space="preserve"> aspirant</w:t>
      </w:r>
      <w:r w:rsidR="0089356B">
        <w:t xml:space="preserve">. </w:t>
      </w:r>
      <w:r w:rsidRPr="0089356B">
        <w:t>The athlete excel</w:t>
      </w:r>
      <w:r w:rsidR="0089356B">
        <w:t>led</w:t>
      </w:r>
      <w:r w:rsidRPr="0089356B">
        <w:t xml:space="preserve"> in a sport in which India ha</w:t>
      </w:r>
      <w:r w:rsidR="0089356B">
        <w:t>d</w:t>
      </w:r>
      <w:r w:rsidRPr="0089356B">
        <w:t xml:space="preserve"> already won multiple Olympic medals. </w:t>
      </w:r>
      <w:r w:rsidR="007374BA">
        <w:t>H</w:t>
      </w:r>
      <w:r w:rsidRPr="0089356B">
        <w:t>e show</w:t>
      </w:r>
      <w:r w:rsidR="0089356B">
        <w:t>ed</w:t>
      </w:r>
      <w:r w:rsidRPr="0089356B">
        <w:t xml:space="preserve"> strong potential to win a medal at the Olympics, having already won medals</w:t>
      </w:r>
      <w:r w:rsidR="0008134F" w:rsidRPr="0089356B">
        <w:t xml:space="preserve"> globally</w:t>
      </w:r>
      <w:r w:rsidRPr="0089356B">
        <w:t>, continental</w:t>
      </w:r>
      <w:r w:rsidR="0089356B">
        <w:t>ly,</w:t>
      </w:r>
      <w:r w:rsidRPr="0089356B">
        <w:t xml:space="preserve"> and international</w:t>
      </w:r>
      <w:r w:rsidR="0089356B">
        <w:t>ly</w:t>
      </w:r>
      <w:r w:rsidRPr="0089356B">
        <w:t xml:space="preserve">. </w:t>
      </w:r>
      <w:r w:rsidR="007374BA">
        <w:t>H</w:t>
      </w:r>
      <w:r w:rsidRPr="0089356B">
        <w:t xml:space="preserve">e </w:t>
      </w:r>
      <w:r w:rsidR="0089356B">
        <w:t>was</w:t>
      </w:r>
      <w:r w:rsidR="0089356B" w:rsidRPr="0089356B">
        <w:t xml:space="preserve"> </w:t>
      </w:r>
      <w:r w:rsidRPr="0089356B">
        <w:t>financially self-sufficient, coming from an upper</w:t>
      </w:r>
      <w:r w:rsidR="0089356B">
        <w:t xml:space="preserve"> </w:t>
      </w:r>
      <w:r w:rsidRPr="0089356B">
        <w:t>middle-class family.</w:t>
      </w:r>
    </w:p>
    <w:p w14:paraId="4B3C6A44" w14:textId="77777777" w:rsidR="0089356B" w:rsidRPr="0089356B" w:rsidRDefault="0089356B" w:rsidP="001E2281">
      <w:pPr>
        <w:pStyle w:val="BodyTextMain"/>
      </w:pPr>
    </w:p>
    <w:p w14:paraId="42FF4DEB" w14:textId="33FF73AB" w:rsidR="00D334AE" w:rsidRDefault="00D334AE" w:rsidP="0089356B">
      <w:pPr>
        <w:pStyle w:val="BodyTextMain"/>
      </w:pPr>
      <w:r w:rsidRPr="001E2281">
        <w:lastRenderedPageBreak/>
        <w:t>Athlete B</w:t>
      </w:r>
      <w:r w:rsidRPr="0089356B">
        <w:t xml:space="preserve"> </w:t>
      </w:r>
      <w:r w:rsidR="006501A0">
        <w:t xml:space="preserve">was a </w:t>
      </w:r>
      <w:r w:rsidR="00854FA4">
        <w:t>fe</w:t>
      </w:r>
      <w:r w:rsidR="006501A0">
        <w:t>male c</w:t>
      </w:r>
      <w:r w:rsidRPr="0089356B">
        <w:t xml:space="preserve">ontinental </w:t>
      </w:r>
      <w:r w:rsidR="006501A0">
        <w:t xml:space="preserve">champion and had </w:t>
      </w:r>
      <w:r w:rsidRPr="0089356B">
        <w:t xml:space="preserve">won a gold medal at the Asian Games in a challenging event. There </w:t>
      </w:r>
      <w:r w:rsidR="006501A0">
        <w:t>was</w:t>
      </w:r>
      <w:r w:rsidR="006501A0" w:rsidRPr="0089356B">
        <w:t xml:space="preserve"> </w:t>
      </w:r>
      <w:r w:rsidRPr="0089356B">
        <w:t xml:space="preserve">a high probability </w:t>
      </w:r>
      <w:r w:rsidR="006501A0">
        <w:t xml:space="preserve">that </w:t>
      </w:r>
      <w:r w:rsidR="00854FA4">
        <w:t>s</w:t>
      </w:r>
      <w:r w:rsidRPr="0089356B">
        <w:t xml:space="preserve">he </w:t>
      </w:r>
      <w:r w:rsidR="006501A0">
        <w:t>would</w:t>
      </w:r>
      <w:r w:rsidR="006501A0" w:rsidRPr="0089356B">
        <w:t xml:space="preserve"> </w:t>
      </w:r>
      <w:r w:rsidRPr="0089356B">
        <w:t xml:space="preserve">continue to win at the </w:t>
      </w:r>
      <w:r w:rsidR="006501A0">
        <w:t>c</w:t>
      </w:r>
      <w:r w:rsidRPr="0089356B">
        <w:t>ontinental level</w:t>
      </w:r>
      <w:r w:rsidR="006501A0">
        <w:t xml:space="preserve">, and </w:t>
      </w:r>
      <w:r w:rsidR="00854FA4">
        <w:t>s</w:t>
      </w:r>
      <w:r w:rsidR="006501A0">
        <w:t>he would likely qualify for the Olympics but not earn a medal.</w:t>
      </w:r>
      <w:r w:rsidRPr="0089356B">
        <w:t xml:space="preserve"> This athlete overcome numerous personal challenges to get to where </w:t>
      </w:r>
      <w:r w:rsidR="00854FA4">
        <w:t>s</w:t>
      </w:r>
      <w:r w:rsidRPr="0089356B">
        <w:t xml:space="preserve">he </w:t>
      </w:r>
      <w:r w:rsidR="006501A0">
        <w:t xml:space="preserve">was—a story often profiled by the </w:t>
      </w:r>
      <w:r w:rsidRPr="0089356B">
        <w:t>media.</w:t>
      </w:r>
    </w:p>
    <w:p w14:paraId="5936EBCA" w14:textId="77777777" w:rsidR="006501A0" w:rsidRPr="0089356B" w:rsidRDefault="006501A0" w:rsidP="001E2281">
      <w:pPr>
        <w:pStyle w:val="BodyTextMain"/>
      </w:pPr>
    </w:p>
    <w:p w14:paraId="575D1320" w14:textId="169C3C2A" w:rsidR="00D334AE" w:rsidRDefault="00D334AE" w:rsidP="0089356B">
      <w:pPr>
        <w:pStyle w:val="BodyTextMain"/>
      </w:pPr>
      <w:r w:rsidRPr="001E2281">
        <w:t>Athlete C</w:t>
      </w:r>
      <w:r w:rsidRPr="0089356B">
        <w:t xml:space="preserve"> </w:t>
      </w:r>
      <w:r w:rsidR="004624F7">
        <w:t xml:space="preserve">was a </w:t>
      </w:r>
      <w:r w:rsidR="00801327">
        <w:t>fe</w:t>
      </w:r>
      <w:r w:rsidR="004624F7">
        <w:t xml:space="preserve">male </w:t>
      </w:r>
      <w:r w:rsidRPr="0089356B">
        <w:t xml:space="preserve">Paralympic </w:t>
      </w:r>
      <w:r w:rsidR="004624F7">
        <w:t>c</w:t>
      </w:r>
      <w:r w:rsidRPr="0089356B">
        <w:t>hampion</w:t>
      </w:r>
      <w:r w:rsidR="004624F7">
        <w:t xml:space="preserve">. </w:t>
      </w:r>
      <w:r w:rsidR="00801327">
        <w:t>Sh</w:t>
      </w:r>
      <w:r w:rsidR="004624F7">
        <w:t xml:space="preserve">e had </w:t>
      </w:r>
      <w:r w:rsidRPr="0089356B">
        <w:t>already won medals at the Paralympic</w:t>
      </w:r>
      <w:r w:rsidR="000F1E11">
        <w:t xml:space="preserve"> Game</w:t>
      </w:r>
      <w:r w:rsidRPr="0089356B">
        <w:t xml:space="preserve">s and </w:t>
      </w:r>
      <w:r w:rsidR="004624F7">
        <w:t xml:space="preserve">at </w:t>
      </w:r>
      <w:r w:rsidRPr="0089356B">
        <w:t>continental levels. The athlete ha</w:t>
      </w:r>
      <w:r w:rsidR="004624F7">
        <w:t>d</w:t>
      </w:r>
      <w:r w:rsidRPr="0089356B">
        <w:t xml:space="preserve"> grabbed much attention as a Paralympian and </w:t>
      </w:r>
      <w:r w:rsidR="004624F7">
        <w:t>was</w:t>
      </w:r>
      <w:r w:rsidR="004624F7" w:rsidRPr="0089356B">
        <w:t xml:space="preserve"> </w:t>
      </w:r>
      <w:r w:rsidRPr="0089356B">
        <w:t>likely to win more medals at the next Paralympic</w:t>
      </w:r>
      <w:r w:rsidR="000F1E11">
        <w:t xml:space="preserve"> Game</w:t>
      </w:r>
      <w:r w:rsidRPr="0089356B">
        <w:t xml:space="preserve">s if </w:t>
      </w:r>
      <w:r w:rsidR="00801327">
        <w:t>s</w:t>
      </w:r>
      <w:r w:rsidRPr="0089356B">
        <w:t>he retain</w:t>
      </w:r>
      <w:r w:rsidR="004624F7">
        <w:t>ed</w:t>
      </w:r>
      <w:r w:rsidRPr="0089356B">
        <w:t xml:space="preserve"> </w:t>
      </w:r>
      <w:r w:rsidR="00801327">
        <w:t>her</w:t>
      </w:r>
      <w:r w:rsidR="00801327" w:rsidRPr="0089356B">
        <w:t xml:space="preserve"> </w:t>
      </w:r>
      <w:r w:rsidRPr="0089356B">
        <w:t xml:space="preserve">form. </w:t>
      </w:r>
      <w:r w:rsidR="00801327">
        <w:t>Sh</w:t>
      </w:r>
      <w:r w:rsidRPr="0089356B">
        <w:t xml:space="preserve">e </w:t>
      </w:r>
      <w:r w:rsidR="004624F7">
        <w:t>was</w:t>
      </w:r>
      <w:r w:rsidR="004624F7" w:rsidRPr="0089356B">
        <w:t xml:space="preserve"> </w:t>
      </w:r>
      <w:r w:rsidRPr="0089356B">
        <w:t>also active on social media, ha</w:t>
      </w:r>
      <w:r w:rsidR="004624F7">
        <w:t>d</w:t>
      </w:r>
      <w:r w:rsidRPr="0089356B">
        <w:t xml:space="preserve"> a large following, and </w:t>
      </w:r>
      <w:r w:rsidR="004624F7">
        <w:t>was</w:t>
      </w:r>
      <w:r w:rsidR="004624F7" w:rsidRPr="0089356B">
        <w:t xml:space="preserve"> </w:t>
      </w:r>
      <w:r w:rsidRPr="0089356B">
        <w:t>considered an icon in the disability space.</w:t>
      </w:r>
    </w:p>
    <w:p w14:paraId="4BE60EAA" w14:textId="77777777" w:rsidR="006501A0" w:rsidRPr="0089356B" w:rsidRDefault="006501A0" w:rsidP="001E2281">
      <w:pPr>
        <w:pStyle w:val="BodyTextMain"/>
      </w:pPr>
    </w:p>
    <w:p w14:paraId="28B39BE7" w14:textId="2CEED9D1" w:rsidR="00D334AE" w:rsidRPr="0089356B" w:rsidRDefault="00D334AE" w:rsidP="001E2281">
      <w:pPr>
        <w:pStyle w:val="BodyTextMain"/>
      </w:pPr>
      <w:r w:rsidRPr="001E2281">
        <w:t>Athlete D</w:t>
      </w:r>
      <w:r w:rsidR="004624F7">
        <w:t xml:space="preserve"> was a male e</w:t>
      </w:r>
      <w:r w:rsidRPr="0089356B">
        <w:t xml:space="preserve">merging </w:t>
      </w:r>
      <w:r w:rsidR="004624F7">
        <w:t>a</w:t>
      </w:r>
      <w:r w:rsidRPr="0089356B">
        <w:t>thlete</w:t>
      </w:r>
      <w:r w:rsidR="004624F7">
        <w:t xml:space="preserve">. This </w:t>
      </w:r>
      <w:r w:rsidRPr="0089356B">
        <w:t xml:space="preserve">athlete </w:t>
      </w:r>
      <w:r w:rsidR="004624F7">
        <w:t>was</w:t>
      </w:r>
      <w:r w:rsidR="004624F7" w:rsidRPr="0089356B">
        <w:t xml:space="preserve"> </w:t>
      </w:r>
      <w:r w:rsidRPr="0089356B">
        <w:t>already in the junior circuit</w:t>
      </w:r>
      <w:r w:rsidR="00E45AFA" w:rsidRPr="0089356B">
        <w:t>’</w:t>
      </w:r>
      <w:r w:rsidRPr="0089356B">
        <w:t xml:space="preserve">s top ranks in a sport in which India </w:t>
      </w:r>
      <w:r w:rsidR="004624F7">
        <w:t>had</w:t>
      </w:r>
      <w:r w:rsidR="004624F7" w:rsidRPr="0089356B">
        <w:t xml:space="preserve"> </w:t>
      </w:r>
      <w:r w:rsidRPr="0089356B">
        <w:t>never sent an athlete to the Olympics.</w:t>
      </w:r>
      <w:r w:rsidR="00015BC3" w:rsidRPr="0089356B">
        <w:t xml:space="preserve"> </w:t>
      </w:r>
      <w:r w:rsidR="00801327">
        <w:t>H</w:t>
      </w:r>
      <w:r w:rsidRPr="0089356B">
        <w:t>e ha</w:t>
      </w:r>
      <w:r w:rsidR="00994F60">
        <w:t>d</w:t>
      </w:r>
      <w:r w:rsidRPr="0089356B">
        <w:t xml:space="preserve"> been </w:t>
      </w:r>
      <w:r w:rsidR="004624F7">
        <w:t>identified by experts as the up</w:t>
      </w:r>
      <w:r w:rsidR="00CF4054">
        <w:t>-</w:t>
      </w:r>
      <w:r w:rsidR="004624F7">
        <w:t>and</w:t>
      </w:r>
      <w:r w:rsidR="00CF4054">
        <w:t>-</w:t>
      </w:r>
      <w:r w:rsidR="004624F7">
        <w:t>coming</w:t>
      </w:r>
      <w:r w:rsidR="004624F7" w:rsidRPr="0089356B">
        <w:t xml:space="preserve"> </w:t>
      </w:r>
      <w:r w:rsidR="004624F7">
        <w:t>star in the field</w:t>
      </w:r>
      <w:r w:rsidRPr="0089356B">
        <w:t xml:space="preserve">. </w:t>
      </w:r>
    </w:p>
    <w:p w14:paraId="0D70A844" w14:textId="77777777" w:rsidR="00EA4D4D" w:rsidRPr="0089356B" w:rsidRDefault="00EA4D4D">
      <w:pPr>
        <w:pStyle w:val="BodyTextMain"/>
      </w:pPr>
    </w:p>
    <w:p w14:paraId="35F3E6C9" w14:textId="77777777" w:rsidR="00EA4D4D" w:rsidRDefault="00EA4D4D" w:rsidP="00D334AE">
      <w:pPr>
        <w:pStyle w:val="BodyTextMain"/>
      </w:pPr>
    </w:p>
    <w:p w14:paraId="68E97BB1" w14:textId="77777777" w:rsidR="00D334AE" w:rsidRDefault="00D334AE" w:rsidP="001E2281">
      <w:pPr>
        <w:pStyle w:val="Casehead2"/>
      </w:pPr>
      <w:r>
        <w:t>Coaches and Trainers</w:t>
      </w:r>
    </w:p>
    <w:p w14:paraId="603B2ADD" w14:textId="77777777" w:rsidR="00EA4D4D" w:rsidRDefault="00EA4D4D" w:rsidP="00D334AE">
      <w:pPr>
        <w:pStyle w:val="BodyTextMain"/>
      </w:pPr>
    </w:p>
    <w:p w14:paraId="44E0C9D6" w14:textId="52112722" w:rsidR="0035029F" w:rsidRDefault="00D334AE" w:rsidP="00D334AE">
      <w:pPr>
        <w:pStyle w:val="BodyTextMain"/>
      </w:pPr>
      <w:r>
        <w:t xml:space="preserve">GoSports aimed </w:t>
      </w:r>
      <w:r w:rsidR="004624F7">
        <w:t>to e</w:t>
      </w:r>
      <w:r>
        <w:t>nabl</w:t>
      </w:r>
      <w:r w:rsidR="004624F7">
        <w:t>e</w:t>
      </w:r>
      <w:r>
        <w:t xml:space="preserve"> </w:t>
      </w:r>
      <w:r w:rsidR="004624F7">
        <w:t>s</w:t>
      </w:r>
      <w:r>
        <w:t xml:space="preserve">porting </w:t>
      </w:r>
      <w:r w:rsidR="004624F7">
        <w:t>e</w:t>
      </w:r>
      <w:r>
        <w:t>xcellence</w:t>
      </w:r>
      <w:r w:rsidR="00732E6E">
        <w:t>, and</w:t>
      </w:r>
      <w:r>
        <w:t xml:space="preserve"> </w:t>
      </w:r>
      <w:r w:rsidR="004624F7">
        <w:t xml:space="preserve">Kamath </w:t>
      </w:r>
      <w:r>
        <w:t xml:space="preserve">knew that </w:t>
      </w:r>
      <w:r w:rsidR="004624F7">
        <w:t>s</w:t>
      </w:r>
      <w:r>
        <w:t xml:space="preserve">porting </w:t>
      </w:r>
      <w:r w:rsidR="004624F7">
        <w:t>e</w:t>
      </w:r>
      <w:r>
        <w:t xml:space="preserve">xcellence extended well beyond athletes. </w:t>
      </w:r>
      <w:r w:rsidR="004624F7">
        <w:t>Solid</w:t>
      </w:r>
      <w:r w:rsidR="00B60815" w:rsidRPr="00B60815">
        <w:t xml:space="preserve"> athlet</w:t>
      </w:r>
      <w:r w:rsidR="004624F7">
        <w:t>ic</w:t>
      </w:r>
      <w:r w:rsidR="00B60815" w:rsidRPr="00B60815">
        <w:t xml:space="preserve"> perform</w:t>
      </w:r>
      <w:r w:rsidR="004624F7">
        <w:t>ance</w:t>
      </w:r>
      <w:r w:rsidR="00B60815" w:rsidRPr="00B60815">
        <w:t xml:space="preserve"> at the international </w:t>
      </w:r>
      <w:r w:rsidR="00B60815">
        <w:t xml:space="preserve">level </w:t>
      </w:r>
      <w:r w:rsidR="00732E6E">
        <w:t xml:space="preserve">was not possible </w:t>
      </w:r>
      <w:r w:rsidR="00B60815" w:rsidRPr="00B60815">
        <w:t xml:space="preserve">without </w:t>
      </w:r>
      <w:r w:rsidR="00732E6E">
        <w:t xml:space="preserve">training and support from </w:t>
      </w:r>
      <w:r w:rsidR="00B60815" w:rsidRPr="00B60815">
        <w:t>coaches</w:t>
      </w:r>
      <w:r w:rsidR="00732E6E">
        <w:t xml:space="preserve"> and support and expertise from </w:t>
      </w:r>
      <w:r w:rsidR="00B60815" w:rsidRPr="00B60815">
        <w:t>support staff.</w:t>
      </w:r>
      <w:r w:rsidR="00B60815">
        <w:t xml:space="preserve"> </w:t>
      </w:r>
      <w:r w:rsidR="00732E6E">
        <w:t xml:space="preserve">Kamath wondered, again, whether and when </w:t>
      </w:r>
      <w:r w:rsidR="00E3247A" w:rsidRPr="00E3247A">
        <w:t xml:space="preserve">GoSports should extend its program to </w:t>
      </w:r>
      <w:r w:rsidR="00732E6E">
        <w:t xml:space="preserve">developing </w:t>
      </w:r>
      <w:r w:rsidR="00E3247A" w:rsidRPr="00E3247A">
        <w:t>coaches and trainers.</w:t>
      </w:r>
      <w:r w:rsidR="00E3247A">
        <w:t xml:space="preserve"> </w:t>
      </w:r>
      <w:r>
        <w:t xml:space="preserve">The coaches primarily came from the </w:t>
      </w:r>
      <w:r w:rsidR="00732E6E">
        <w:t xml:space="preserve">Netaji Subha National Institute of Sports: Patiala, </w:t>
      </w:r>
      <w:r>
        <w:t>the national training institute for coaches. The</w:t>
      </w:r>
      <w:r w:rsidR="00732E6E">
        <w:t xml:space="preserve"> institute’s graduates </w:t>
      </w:r>
      <w:r>
        <w:t>had a good understanding of sports</w:t>
      </w:r>
      <w:r w:rsidR="00732E6E">
        <w:t xml:space="preserve">, but </w:t>
      </w:r>
      <w:r>
        <w:t>they had limited experience at the international level</w:t>
      </w:r>
      <w:r w:rsidR="0035029F">
        <w:t>. T</w:t>
      </w:r>
      <w:r>
        <w:t>h</w:t>
      </w:r>
      <w:r w:rsidR="0035029F">
        <w:t>us, th</w:t>
      </w:r>
      <w:r>
        <w:t xml:space="preserve">e pool of local coaches able to support Indian athletes toward the Olympics was relatively small. The other source was foreign coaches, but they came at a high price. </w:t>
      </w:r>
      <w:r w:rsidR="0035029F">
        <w:t xml:space="preserve">A </w:t>
      </w:r>
      <w:r>
        <w:t xml:space="preserve">third source </w:t>
      </w:r>
      <w:r w:rsidR="0035029F">
        <w:t xml:space="preserve">of coaches </w:t>
      </w:r>
      <w:r>
        <w:t xml:space="preserve">was the </w:t>
      </w:r>
      <w:r w:rsidR="0035029F">
        <w:t xml:space="preserve">pool of </w:t>
      </w:r>
      <w:r>
        <w:t xml:space="preserve">former Indian athletes who had taken up coaching after performing commendably at the international level. </w:t>
      </w:r>
    </w:p>
    <w:p w14:paraId="2807F579" w14:textId="77777777" w:rsidR="0035029F" w:rsidRDefault="0035029F" w:rsidP="00D334AE">
      <w:pPr>
        <w:pStyle w:val="BodyTextMain"/>
      </w:pPr>
    </w:p>
    <w:p w14:paraId="58E839E6" w14:textId="3C911FB1" w:rsidR="00D334AE" w:rsidRDefault="00D334AE" w:rsidP="00D334AE">
      <w:pPr>
        <w:pStyle w:val="BodyTextMain"/>
      </w:pPr>
      <w:r>
        <w:t xml:space="preserve">As </w:t>
      </w:r>
      <w:r w:rsidR="0035029F">
        <w:t xml:space="preserve">Kamath thought </w:t>
      </w:r>
      <w:r>
        <w:t xml:space="preserve">about how to piece a sports performance system together, </w:t>
      </w:r>
      <w:r w:rsidR="0035029F">
        <w:t xml:space="preserve">he </w:t>
      </w:r>
      <w:r>
        <w:t xml:space="preserve">felt the time </w:t>
      </w:r>
      <w:r w:rsidR="0035029F">
        <w:t xml:space="preserve">might be </w:t>
      </w:r>
      <w:r>
        <w:t xml:space="preserve">ripe to </w:t>
      </w:r>
      <w:r w:rsidR="006D32A2">
        <w:t xml:space="preserve">consider </w:t>
      </w:r>
      <w:r>
        <w:t>supporting coaches and trainers to enable</w:t>
      </w:r>
      <w:r w:rsidR="006D32A2">
        <w:t xml:space="preserve"> </w:t>
      </w:r>
      <w:r>
        <w:t>GoSports</w:t>
      </w:r>
      <w:r w:rsidR="00FF661F">
        <w:t xml:space="preserve"> to</w:t>
      </w:r>
      <w:r>
        <w:t xml:space="preserve"> further its mission.</w:t>
      </w:r>
    </w:p>
    <w:p w14:paraId="60020FAF" w14:textId="77777777" w:rsidR="00EA4D4D" w:rsidRDefault="00EA4D4D" w:rsidP="00D334AE">
      <w:pPr>
        <w:pStyle w:val="BodyTextMain"/>
      </w:pPr>
    </w:p>
    <w:p w14:paraId="4A209254" w14:textId="77777777" w:rsidR="00EA4D4D" w:rsidRDefault="00EA4D4D" w:rsidP="00D334AE">
      <w:pPr>
        <w:pStyle w:val="BodyTextMain"/>
      </w:pPr>
    </w:p>
    <w:p w14:paraId="5E9A6D9E" w14:textId="6129ABF6" w:rsidR="00D334AE" w:rsidRDefault="00D334AE" w:rsidP="001E2281">
      <w:pPr>
        <w:pStyle w:val="Casehead2"/>
      </w:pPr>
      <w:r>
        <w:t xml:space="preserve">Paralympic </w:t>
      </w:r>
      <w:r w:rsidR="002D53FD">
        <w:t xml:space="preserve">Games </w:t>
      </w:r>
      <w:r>
        <w:t xml:space="preserve">Athletes </w:t>
      </w:r>
    </w:p>
    <w:p w14:paraId="656C1CB7" w14:textId="77777777" w:rsidR="00EA4D4D" w:rsidRDefault="00EA4D4D" w:rsidP="00D334AE">
      <w:pPr>
        <w:pStyle w:val="BodyTextMain"/>
      </w:pPr>
    </w:p>
    <w:p w14:paraId="679CFF92" w14:textId="708A336C" w:rsidR="00C03AB6" w:rsidRDefault="00D334AE" w:rsidP="00D334AE">
      <w:pPr>
        <w:pStyle w:val="BodyTextMain"/>
      </w:pPr>
      <w:r>
        <w:t>Go</w:t>
      </w:r>
      <w:r w:rsidR="0090488E">
        <w:t>S</w:t>
      </w:r>
      <w:r>
        <w:t>port</w:t>
      </w:r>
      <w:r w:rsidR="0090488E">
        <w:t>s</w:t>
      </w:r>
      <w:r>
        <w:t xml:space="preserve"> was one of the first private organizations to </w:t>
      </w:r>
      <w:r w:rsidR="0090488E">
        <w:t xml:space="preserve">actively </w:t>
      </w:r>
      <w:r>
        <w:t xml:space="preserve">support </w:t>
      </w:r>
      <w:r w:rsidR="008D5916">
        <w:t>para-athletes</w:t>
      </w:r>
      <w:r>
        <w:t>. Historically, Paralympic</w:t>
      </w:r>
      <w:r w:rsidR="001A3911">
        <w:t xml:space="preserve"> </w:t>
      </w:r>
      <w:r w:rsidR="002D53FD">
        <w:t xml:space="preserve">Games </w:t>
      </w:r>
      <w:r>
        <w:t>sports</w:t>
      </w:r>
      <w:r w:rsidR="001A3911">
        <w:t xml:space="preserve"> </w:t>
      </w:r>
      <w:r w:rsidR="0090488E">
        <w:t xml:space="preserve">were not </w:t>
      </w:r>
      <w:r>
        <w:t>popular</w:t>
      </w:r>
      <w:r w:rsidR="00C26775">
        <w:t xml:space="preserve"> globally</w:t>
      </w:r>
      <w:r w:rsidR="0090488E">
        <w:t xml:space="preserve"> and were even less popular </w:t>
      </w:r>
      <w:r>
        <w:t xml:space="preserve">in India. </w:t>
      </w:r>
      <w:r w:rsidR="0090488E">
        <w:t>Kamath</w:t>
      </w:r>
      <w:r w:rsidR="0090488E" w:rsidRPr="000908C9">
        <w:t xml:space="preserve"> </w:t>
      </w:r>
      <w:r w:rsidR="000908C9" w:rsidRPr="000908C9">
        <w:t xml:space="preserve">felt a strong need to support Paralympic </w:t>
      </w:r>
      <w:r w:rsidR="002D53FD">
        <w:t xml:space="preserve">Games </w:t>
      </w:r>
      <w:r w:rsidR="000908C9" w:rsidRPr="000908C9">
        <w:t>sports</w:t>
      </w:r>
      <w:r w:rsidR="0090488E">
        <w:t xml:space="preserve"> and reverse the narrative both in sports and society generally</w:t>
      </w:r>
      <w:r w:rsidR="000908C9" w:rsidRPr="000908C9">
        <w:t>.</w:t>
      </w:r>
      <w:r w:rsidR="00E20CB7">
        <w:t xml:space="preserve"> </w:t>
      </w:r>
      <w:r w:rsidR="0090488E">
        <w:t xml:space="preserve">However, he was torn: </w:t>
      </w:r>
      <w:r>
        <w:t xml:space="preserve">there were </w:t>
      </w:r>
      <w:r w:rsidR="0090488E">
        <w:t>also few</w:t>
      </w:r>
      <w:r>
        <w:t xml:space="preserve"> organizations supporting unheralded athletes from low-profile Olympic and other </w:t>
      </w:r>
      <w:r w:rsidR="00BA25A8">
        <w:t xml:space="preserve">sports. He </w:t>
      </w:r>
      <w:r>
        <w:t>wanted to balance</w:t>
      </w:r>
      <w:r w:rsidR="00BA25A8">
        <w:t xml:space="preserve"> </w:t>
      </w:r>
      <w:r w:rsidR="0090488E">
        <w:t xml:space="preserve">support to include a variety of </w:t>
      </w:r>
      <w:r>
        <w:t xml:space="preserve">sports disciplines and athletes who were worthy and deserving of support. </w:t>
      </w:r>
    </w:p>
    <w:p w14:paraId="27811244" w14:textId="77777777" w:rsidR="00C03AB6" w:rsidRDefault="00C03AB6" w:rsidP="00D334AE">
      <w:pPr>
        <w:pStyle w:val="BodyTextMain"/>
      </w:pPr>
    </w:p>
    <w:p w14:paraId="7F967BE8" w14:textId="3DA4A63C" w:rsidR="00D334AE" w:rsidRDefault="00D334AE" w:rsidP="00D334AE">
      <w:pPr>
        <w:pStyle w:val="BodyTextMain"/>
      </w:pPr>
      <w:r>
        <w:t>Currently, GoSports spent about 37.5</w:t>
      </w:r>
      <w:r w:rsidR="00C03AB6">
        <w:t xml:space="preserve"> per cent</w:t>
      </w:r>
      <w:r>
        <w:t xml:space="preserve"> of its funds on athletes</w:t>
      </w:r>
      <w:r w:rsidR="00C03AB6">
        <w:t xml:space="preserve"> participating in para events</w:t>
      </w:r>
      <w:r>
        <w:t xml:space="preserve">. </w:t>
      </w:r>
      <w:r w:rsidR="00C03AB6">
        <w:t xml:space="preserve">Kamath </w:t>
      </w:r>
      <w:r>
        <w:t xml:space="preserve">knew that with more investment in </w:t>
      </w:r>
      <w:r w:rsidR="00C03AB6">
        <w:t xml:space="preserve">the </w:t>
      </w:r>
      <w:r>
        <w:t xml:space="preserve">athletes, the chances of </w:t>
      </w:r>
      <w:r w:rsidR="00C03AB6">
        <w:t xml:space="preserve">winning </w:t>
      </w:r>
      <w:r>
        <w:t xml:space="preserve">multiple Paralympic </w:t>
      </w:r>
      <w:r w:rsidR="002D53FD">
        <w:t xml:space="preserve">Games </w:t>
      </w:r>
      <w:r>
        <w:t xml:space="preserve">medals would </w:t>
      </w:r>
      <w:r w:rsidR="00C03AB6">
        <w:t>increase</w:t>
      </w:r>
      <w:r>
        <w:t xml:space="preserve"> substantially. However, he also knew that every rupee invested in </w:t>
      </w:r>
      <w:r w:rsidR="008D5916">
        <w:t>para-athletes</w:t>
      </w:r>
      <w:r w:rsidR="00C03AB6">
        <w:t xml:space="preserve"> </w:t>
      </w:r>
      <w:r>
        <w:t>would mean one less rupee for athletes</w:t>
      </w:r>
      <w:r w:rsidR="00C03AB6">
        <w:t xml:space="preserve"> in underrepresented sports</w:t>
      </w:r>
      <w:r>
        <w:t>. He wondered about the right balance.</w:t>
      </w:r>
    </w:p>
    <w:p w14:paraId="1492ADE3" w14:textId="77777777" w:rsidR="00C03AB6" w:rsidRDefault="00C03AB6" w:rsidP="00D334AE">
      <w:pPr>
        <w:pStyle w:val="BodyTextMain"/>
      </w:pPr>
    </w:p>
    <w:p w14:paraId="4B1C74E8" w14:textId="6B6342B8" w:rsidR="00D334AE" w:rsidRDefault="00C03AB6" w:rsidP="00D334AE">
      <w:pPr>
        <w:pStyle w:val="BodyTextMain"/>
        <w:rPr>
          <w:rFonts w:eastAsiaTheme="minorHAnsi"/>
          <w:sz w:val="24"/>
          <w:szCs w:val="24"/>
        </w:rPr>
      </w:pPr>
      <w:r>
        <w:t xml:space="preserve">Kamath </w:t>
      </w:r>
      <w:r w:rsidR="00D334AE">
        <w:t>glanced at his watch</w:t>
      </w:r>
      <w:r>
        <w:t>. He had lost track of time and was surprised to realize that i</w:t>
      </w:r>
      <w:r w:rsidR="00D334AE">
        <w:t xml:space="preserve">t was almost 9 </w:t>
      </w:r>
      <w:r>
        <w:t>p.m.</w:t>
      </w:r>
      <w:r w:rsidR="00D334AE">
        <w:t xml:space="preserve"> </w:t>
      </w:r>
      <w:r>
        <w:t>As he closed the folder and prepared to leave the office</w:t>
      </w:r>
      <w:r w:rsidR="00D334AE">
        <w:t xml:space="preserve">, he wondered if </w:t>
      </w:r>
      <w:r>
        <w:t xml:space="preserve">the drive home </w:t>
      </w:r>
      <w:r w:rsidR="00D334AE">
        <w:t xml:space="preserve">would bring some clarity </w:t>
      </w:r>
      <w:r>
        <w:t xml:space="preserve">to his need to decide </w:t>
      </w:r>
      <w:r w:rsidR="00D334AE">
        <w:t>what GoSports should do next.</w:t>
      </w:r>
    </w:p>
    <w:p w14:paraId="1DBDCB6A" w14:textId="77777777" w:rsidR="00EA4D4D" w:rsidRDefault="00EA4D4D">
      <w:pPr>
        <w:spacing w:after="200" w:line="276" w:lineRule="auto"/>
        <w:rPr>
          <w:rFonts w:ascii="Arial" w:hAnsi="Arial" w:cs="Arial"/>
          <w:b/>
          <w:caps/>
        </w:rPr>
      </w:pPr>
      <w:r>
        <w:br w:type="page"/>
      </w:r>
    </w:p>
    <w:p w14:paraId="153160E6" w14:textId="53165040" w:rsidR="00EA4D4D" w:rsidRDefault="00EA4D4D" w:rsidP="00EA4D4D">
      <w:pPr>
        <w:pStyle w:val="Casehead1"/>
        <w:jc w:val="center"/>
        <w:rPr>
          <w:shd w:val="clear" w:color="auto" w:fill="FFFFFF"/>
        </w:rPr>
      </w:pPr>
      <w:r>
        <w:rPr>
          <w:shd w:val="clear" w:color="auto" w:fill="FFFFFF"/>
        </w:rPr>
        <w:lastRenderedPageBreak/>
        <w:t>Exhibit 1: India</w:t>
      </w:r>
      <w:r w:rsidR="00E45AFA">
        <w:rPr>
          <w:shd w:val="clear" w:color="auto" w:fill="FFFFFF"/>
        </w:rPr>
        <w:t>’</w:t>
      </w:r>
      <w:r>
        <w:rPr>
          <w:shd w:val="clear" w:color="auto" w:fill="FFFFFF"/>
        </w:rPr>
        <w:t xml:space="preserve">s Performance </w:t>
      </w:r>
      <w:r w:rsidR="00431B09">
        <w:rPr>
          <w:shd w:val="clear" w:color="auto" w:fill="FFFFFF"/>
        </w:rPr>
        <w:t xml:space="preserve">at </w:t>
      </w:r>
      <w:r>
        <w:rPr>
          <w:shd w:val="clear" w:color="auto" w:fill="FFFFFF"/>
        </w:rPr>
        <w:t>the Olympics</w:t>
      </w:r>
    </w:p>
    <w:p w14:paraId="225F24A8" w14:textId="77777777" w:rsidR="00EA4D4D" w:rsidRDefault="00EA4D4D" w:rsidP="001E2281">
      <w:pPr>
        <w:pStyle w:val="ExhibitText"/>
        <w:rPr>
          <w:shd w:val="clear" w:color="auto" w:fill="FFFFFF"/>
        </w:rPr>
      </w:pPr>
    </w:p>
    <w:p w14:paraId="370E1759" w14:textId="77777777" w:rsidR="00EA4D4D" w:rsidRDefault="00EA4D4D" w:rsidP="001E2281">
      <w:pPr>
        <w:pStyle w:val="ExhibitText"/>
      </w:pPr>
      <w:r>
        <w:rPr>
          <w:noProof/>
        </w:rPr>
        <w:drawing>
          <wp:inline distT="0" distB="0" distL="0" distR="0" wp14:anchorId="37DE5F35" wp14:editId="5A3B7E8E">
            <wp:extent cx="5943600" cy="2200275"/>
            <wp:effectExtent l="0" t="0" r="12700" b="9525"/>
            <wp:docPr id="5" name="Chart 5" descr="Number of medals won per yea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A294C3" w14:textId="77777777" w:rsidR="00EA4D4D" w:rsidRDefault="00EA4D4D" w:rsidP="001E2281">
      <w:pPr>
        <w:pStyle w:val="ExhibitText"/>
      </w:pPr>
    </w:p>
    <w:p w14:paraId="2231D81B" w14:textId="3C88357C" w:rsidR="00EA4D4D" w:rsidRDefault="00EA4D4D" w:rsidP="00EA4D4D">
      <w:pPr>
        <w:pStyle w:val="Footnote"/>
        <w:rPr>
          <w:rFonts w:ascii="Times New Roman" w:hAnsi="Times New Roman" w:cs="Times New Roman"/>
          <w:sz w:val="22"/>
          <w:szCs w:val="22"/>
        </w:rPr>
      </w:pPr>
      <w:r>
        <w:rPr>
          <w:color w:val="000000"/>
        </w:rPr>
        <w:t>Source:</w:t>
      </w:r>
      <w:r w:rsidR="001834F2">
        <w:rPr>
          <w:color w:val="000000"/>
        </w:rPr>
        <w:t xml:space="preserve"> </w:t>
      </w:r>
      <w:r w:rsidR="00431B09">
        <w:rPr>
          <w:color w:val="000000"/>
        </w:rPr>
        <w:t xml:space="preserve">“Olympic Games: Medals by Country,” Telerik UI, accessed </w:t>
      </w:r>
      <w:r w:rsidR="00021907">
        <w:rPr>
          <w:color w:val="000000"/>
        </w:rPr>
        <w:t>July 1, 2020</w:t>
      </w:r>
      <w:r w:rsidR="00431B09">
        <w:rPr>
          <w:color w:val="000000"/>
        </w:rPr>
        <w:t xml:space="preserve">, </w:t>
      </w:r>
      <w:r w:rsidR="005A7402" w:rsidRPr="005A7402">
        <w:t>https://demos.telerik.com/aspnet-ajax/sample-applications/olympic-games</w:t>
      </w:r>
      <w:r w:rsidR="00431B09">
        <w:t>.</w:t>
      </w:r>
    </w:p>
    <w:p w14:paraId="6D3C406C" w14:textId="77777777" w:rsidR="00EA4D4D" w:rsidRDefault="00EA4D4D" w:rsidP="001E2281">
      <w:pPr>
        <w:pStyle w:val="ExhibitText"/>
      </w:pPr>
    </w:p>
    <w:p w14:paraId="3B806D6A" w14:textId="77777777" w:rsidR="00EA4D4D" w:rsidRDefault="00EA4D4D" w:rsidP="001E2281">
      <w:pPr>
        <w:pStyle w:val="ExhibitText"/>
      </w:pPr>
    </w:p>
    <w:p w14:paraId="48F250DA" w14:textId="121326DC" w:rsidR="00EA4D4D" w:rsidRDefault="00EA4D4D" w:rsidP="00EA4D4D">
      <w:pPr>
        <w:pStyle w:val="ExhibitHeading"/>
        <w:rPr>
          <w:shd w:val="clear" w:color="auto" w:fill="FFFFFF"/>
        </w:rPr>
      </w:pPr>
      <w:r>
        <w:rPr>
          <w:shd w:val="clear" w:color="auto" w:fill="FFFFFF"/>
        </w:rPr>
        <w:t>Exhibit 2: G</w:t>
      </w:r>
      <w:r w:rsidRPr="00F42D11">
        <w:rPr>
          <w:spacing w:val="20"/>
          <w:shd w:val="clear" w:color="auto" w:fill="FFFFFF"/>
        </w:rPr>
        <w:t>o</w:t>
      </w:r>
      <w:r>
        <w:rPr>
          <w:shd w:val="clear" w:color="auto" w:fill="FFFFFF"/>
        </w:rPr>
        <w:t>Sports</w:t>
      </w:r>
      <w:r w:rsidR="009317BD">
        <w:rPr>
          <w:shd w:val="clear" w:color="auto" w:fill="FFFFFF"/>
        </w:rPr>
        <w:t>’</w:t>
      </w:r>
      <w:r>
        <w:rPr>
          <w:shd w:val="clear" w:color="auto" w:fill="FFFFFF"/>
        </w:rPr>
        <w:t xml:space="preserve"> Vision and Mission</w:t>
      </w:r>
    </w:p>
    <w:p w14:paraId="131490C4" w14:textId="77777777" w:rsidR="00EA4D4D" w:rsidRDefault="00EA4D4D">
      <w:pPr>
        <w:pStyle w:val="ExhibitText"/>
        <w:rPr>
          <w:shd w:val="clear" w:color="auto" w:fill="FFFFFF"/>
        </w:rPr>
      </w:pPr>
    </w:p>
    <w:p w14:paraId="17027351" w14:textId="77777777" w:rsidR="00EA4D4D" w:rsidRDefault="00EA4D4D" w:rsidP="00EA4D4D">
      <w:pPr>
        <w:pStyle w:val="ExhibitText"/>
        <w:rPr>
          <w:rFonts w:cs="Times New Roman"/>
          <w:bCs/>
          <w:szCs w:val="22"/>
        </w:rPr>
      </w:pPr>
      <w:r>
        <w:rPr>
          <w:bCs/>
        </w:rPr>
        <w:t>Vision: We have directed our projects and initiatives towards Enabling Sports Excellence.</w:t>
      </w:r>
    </w:p>
    <w:p w14:paraId="540EA22C" w14:textId="77777777" w:rsidR="00EA4D4D" w:rsidRDefault="00EA4D4D" w:rsidP="00EA4D4D">
      <w:pPr>
        <w:pStyle w:val="ExhibitText"/>
        <w:rPr>
          <w:bCs/>
        </w:rPr>
      </w:pPr>
    </w:p>
    <w:p w14:paraId="50705138" w14:textId="54BC5973" w:rsidR="00EA4D4D" w:rsidRDefault="00EA4D4D" w:rsidP="00EA4D4D">
      <w:pPr>
        <w:pStyle w:val="ExhibitText"/>
        <w:rPr>
          <w:bCs/>
        </w:rPr>
      </w:pPr>
      <w:r>
        <w:rPr>
          <w:bCs/>
        </w:rPr>
        <w:t>Mission: Our mission is to use sports excellence as a vehicle for social change and a tool to improve the lives of individuals, communities, and the state of our nation.</w:t>
      </w:r>
    </w:p>
    <w:p w14:paraId="58C08571" w14:textId="6CCC12C5" w:rsidR="009317BD" w:rsidRDefault="009317BD" w:rsidP="00EA4D4D">
      <w:pPr>
        <w:pStyle w:val="ExhibitText"/>
        <w:rPr>
          <w:bCs/>
        </w:rPr>
      </w:pPr>
    </w:p>
    <w:p w14:paraId="6BF8FDC9" w14:textId="3641DE7D" w:rsidR="009317BD" w:rsidRDefault="009317BD" w:rsidP="00F42D11">
      <w:pPr>
        <w:pStyle w:val="Footnote"/>
      </w:pPr>
      <w:r>
        <w:t xml:space="preserve">Source: “About Us: Vision and Mission,” GoSports Foundation, accessed February 9, 2021, </w:t>
      </w:r>
      <w:r w:rsidRPr="009317BD">
        <w:t>https://www.gosportsfoundation.in/about-us</w:t>
      </w:r>
      <w:r>
        <w:t>.</w:t>
      </w:r>
    </w:p>
    <w:p w14:paraId="7FE8A602" w14:textId="77777777" w:rsidR="00EA4D4D" w:rsidRDefault="00EA4D4D" w:rsidP="00EA4D4D">
      <w:pPr>
        <w:pStyle w:val="ExhibitText"/>
      </w:pPr>
    </w:p>
    <w:p w14:paraId="1B35A4AC" w14:textId="77777777" w:rsidR="00EA4D4D" w:rsidRDefault="00EA4D4D" w:rsidP="00EA4D4D">
      <w:pPr>
        <w:pStyle w:val="ExhibitText"/>
      </w:pPr>
    </w:p>
    <w:p w14:paraId="73FB1D64" w14:textId="0B395461" w:rsidR="00EA4D4D" w:rsidRDefault="00EA4D4D" w:rsidP="00EA4D4D">
      <w:pPr>
        <w:pStyle w:val="ExhibitHeading"/>
      </w:pPr>
      <w:r>
        <w:t>Exhibit 3:</w:t>
      </w:r>
      <w:r w:rsidR="009317BD">
        <w:t xml:space="preserve"> </w:t>
      </w:r>
      <w:r>
        <w:t>G</w:t>
      </w:r>
      <w:r w:rsidRPr="00F42D11">
        <w:rPr>
          <w:spacing w:val="20"/>
        </w:rPr>
        <w:t>o</w:t>
      </w:r>
      <w:r>
        <w:t>Sports</w:t>
      </w:r>
      <w:r w:rsidR="009317BD">
        <w:t>’</w:t>
      </w:r>
      <w:r>
        <w:t xml:space="preserve"> Athlete Selection Process</w:t>
      </w:r>
    </w:p>
    <w:p w14:paraId="3166C8E2" w14:textId="77777777" w:rsidR="00D67702" w:rsidRPr="00485BDD" w:rsidRDefault="00D67702" w:rsidP="001E2281">
      <w:pPr>
        <w:pStyle w:val="ExhibitText"/>
      </w:pPr>
    </w:p>
    <w:p w14:paraId="03A38D67" w14:textId="4F35500E" w:rsidR="00EA4D4D" w:rsidRDefault="00EA4D4D" w:rsidP="00D67702">
      <w:pPr>
        <w:pStyle w:val="ExhibitText"/>
        <w:rPr>
          <w:color w:val="000000"/>
          <w:szCs w:val="22"/>
        </w:rPr>
      </w:pPr>
      <w:r>
        <w:rPr>
          <w:noProof/>
        </w:rPr>
        <w:drawing>
          <wp:inline distT="0" distB="0" distL="0" distR="0" wp14:anchorId="73A0F332" wp14:editId="19A05C71">
            <wp:extent cx="5829300" cy="2540635"/>
            <wp:effectExtent l="0" t="0" r="0" b="0"/>
            <wp:docPr id="4" name="Picture 4" descr="Athlete sele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2540635"/>
                    </a:xfrm>
                    <a:prstGeom prst="rect">
                      <a:avLst/>
                    </a:prstGeom>
                    <a:noFill/>
                  </pic:spPr>
                </pic:pic>
              </a:graphicData>
            </a:graphic>
          </wp:inline>
        </w:drawing>
      </w:r>
    </w:p>
    <w:p w14:paraId="34745680" w14:textId="77777777" w:rsidR="00EA4D4D" w:rsidRDefault="00EA4D4D" w:rsidP="001E2281">
      <w:pPr>
        <w:pStyle w:val="ExhibitText"/>
      </w:pPr>
    </w:p>
    <w:p w14:paraId="7215FC8B" w14:textId="399CF852" w:rsidR="00EA4D4D" w:rsidRDefault="00EA4D4D" w:rsidP="001E2281">
      <w:pPr>
        <w:pStyle w:val="Footnote"/>
      </w:pPr>
      <w:r w:rsidRPr="00EA4D4D">
        <w:t>Source:</w:t>
      </w:r>
      <w:r w:rsidR="009317BD">
        <w:t xml:space="preserve"> Company documents.</w:t>
      </w:r>
    </w:p>
    <w:p w14:paraId="5086608C" w14:textId="77777777" w:rsidR="00EA4D4D" w:rsidRDefault="00EA4D4D">
      <w:pPr>
        <w:spacing w:after="200" w:line="276" w:lineRule="auto"/>
        <w:rPr>
          <w:rFonts w:ascii="Arial" w:hAnsi="Arial" w:cs="Arial"/>
          <w:b/>
        </w:rPr>
      </w:pPr>
      <w:r>
        <w:rPr>
          <w:rFonts w:ascii="Arial" w:hAnsi="Arial" w:cs="Arial"/>
          <w:b/>
        </w:rPr>
        <w:br w:type="page"/>
      </w:r>
    </w:p>
    <w:p w14:paraId="4E32C508" w14:textId="46D45B22" w:rsidR="00EA4D4D" w:rsidRDefault="00EA4D4D" w:rsidP="00EA4D4D">
      <w:pPr>
        <w:pStyle w:val="ExhibitHeading"/>
      </w:pPr>
      <w:r>
        <w:lastRenderedPageBreak/>
        <w:t>Exhibit 4: G</w:t>
      </w:r>
      <w:r w:rsidRPr="00F42D11">
        <w:rPr>
          <w:spacing w:val="20"/>
        </w:rPr>
        <w:t>o</w:t>
      </w:r>
      <w:r>
        <w:t xml:space="preserve">Sports Athlete Support Structure </w:t>
      </w:r>
    </w:p>
    <w:p w14:paraId="0CBDAC82" w14:textId="77777777" w:rsidR="00EA4D4D" w:rsidRDefault="00EA4D4D" w:rsidP="001E2281">
      <w:pPr>
        <w:pStyle w:val="ExhibitText"/>
      </w:pPr>
    </w:p>
    <w:p w14:paraId="638FC094" w14:textId="77777777" w:rsidR="00EA4D4D" w:rsidRDefault="00EA4D4D" w:rsidP="001E2281">
      <w:pPr>
        <w:pStyle w:val="ExhibitText"/>
      </w:pPr>
      <w:r>
        <w:rPr>
          <w:noProof/>
        </w:rPr>
        <w:drawing>
          <wp:inline distT="0" distB="0" distL="0" distR="0" wp14:anchorId="663476D3" wp14:editId="0AEB5421">
            <wp:extent cx="5943600" cy="2684635"/>
            <wp:effectExtent l="0" t="0" r="0" b="0"/>
            <wp:docPr id="3" name="Picture 3" descr="Athlete suppor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84635"/>
                    </a:xfrm>
                    <a:prstGeom prst="rect">
                      <a:avLst/>
                    </a:prstGeom>
                    <a:noFill/>
                    <a:ln>
                      <a:noFill/>
                    </a:ln>
                  </pic:spPr>
                </pic:pic>
              </a:graphicData>
            </a:graphic>
          </wp:inline>
        </w:drawing>
      </w:r>
    </w:p>
    <w:p w14:paraId="7D66C2FC" w14:textId="77777777" w:rsidR="009317BD" w:rsidRDefault="009317BD" w:rsidP="001E2281">
      <w:pPr>
        <w:pStyle w:val="ExhibitText"/>
      </w:pPr>
    </w:p>
    <w:p w14:paraId="1CDBE74D" w14:textId="7281D9CB" w:rsidR="00EA4D4D" w:rsidRPr="00EA4D4D" w:rsidRDefault="00EA4D4D" w:rsidP="00EA4D4D">
      <w:pPr>
        <w:pStyle w:val="Footnote"/>
      </w:pPr>
      <w:r w:rsidRPr="00EA4D4D">
        <w:t>Source:</w:t>
      </w:r>
      <w:r w:rsidR="009317BD">
        <w:t xml:space="preserve"> Company documents.</w:t>
      </w:r>
    </w:p>
    <w:p w14:paraId="3B454047" w14:textId="77777777" w:rsidR="00EA4D4D" w:rsidRDefault="00EA4D4D" w:rsidP="001E2281">
      <w:pPr>
        <w:pStyle w:val="ExhibitText"/>
        <w:rPr>
          <w:shd w:val="clear" w:color="auto" w:fill="FFFFFF"/>
        </w:rPr>
      </w:pPr>
    </w:p>
    <w:p w14:paraId="137ECA50" w14:textId="77777777" w:rsidR="00FF08AD" w:rsidRDefault="00FF08AD" w:rsidP="001E2281">
      <w:pPr>
        <w:pStyle w:val="ExhibitText"/>
      </w:pPr>
    </w:p>
    <w:p w14:paraId="022426EC" w14:textId="71A292CC" w:rsidR="00FF08AD" w:rsidRDefault="00FF08AD" w:rsidP="00FF08AD">
      <w:pPr>
        <w:pStyle w:val="ExhibitHeading"/>
        <w:rPr>
          <w:shd w:val="clear" w:color="auto" w:fill="FFFFFF"/>
        </w:rPr>
      </w:pPr>
      <w:r>
        <w:rPr>
          <w:shd w:val="clear" w:color="auto" w:fill="FFFFFF"/>
        </w:rPr>
        <w:t>Exhibit 5:</w:t>
      </w:r>
      <w:r w:rsidR="009317BD">
        <w:rPr>
          <w:shd w:val="clear" w:color="auto" w:fill="FFFFFF"/>
        </w:rPr>
        <w:t xml:space="preserve"> </w:t>
      </w:r>
      <w:r>
        <w:rPr>
          <w:shd w:val="clear" w:color="auto" w:fill="FFFFFF"/>
        </w:rPr>
        <w:t>G</w:t>
      </w:r>
      <w:r w:rsidRPr="00F42D11">
        <w:rPr>
          <w:spacing w:val="20"/>
          <w:shd w:val="clear" w:color="auto" w:fill="FFFFFF"/>
        </w:rPr>
        <w:t>o</w:t>
      </w:r>
      <w:r>
        <w:rPr>
          <w:shd w:val="clear" w:color="auto" w:fill="FFFFFF"/>
        </w:rPr>
        <w:t>Sports</w:t>
      </w:r>
      <w:r w:rsidR="002827C6">
        <w:rPr>
          <w:shd w:val="clear" w:color="auto" w:fill="FFFFFF"/>
        </w:rPr>
        <w:t xml:space="preserve"> Funds and Disbursements</w:t>
      </w:r>
    </w:p>
    <w:p w14:paraId="57EE269B" w14:textId="77777777" w:rsidR="00E9496E" w:rsidRPr="00F42D11" w:rsidRDefault="00E9496E" w:rsidP="00F42D11">
      <w:pPr>
        <w:pStyle w:val="ExhibitText"/>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581"/>
      </w:tblGrid>
      <w:tr w:rsidR="00FF08AD" w14:paraId="5030B673" w14:textId="77777777" w:rsidTr="00F42D11">
        <w:tc>
          <w:tcPr>
            <w:tcW w:w="4782" w:type="dxa"/>
          </w:tcPr>
          <w:p w14:paraId="3FF5E6A1" w14:textId="77777777" w:rsidR="00FF08AD" w:rsidRDefault="00FF08AD" w:rsidP="001E2281">
            <w:pPr>
              <w:pStyle w:val="ExhibitText"/>
            </w:pPr>
            <w:r>
              <w:rPr>
                <w:noProof/>
              </w:rPr>
              <w:drawing>
                <wp:inline distT="0" distB="0" distL="0" distR="0" wp14:anchorId="1AFDFF0A" wp14:editId="267D504F">
                  <wp:extent cx="2888841" cy="1920240"/>
                  <wp:effectExtent l="0" t="0" r="0" b="0"/>
                  <wp:docPr id="1" name="Graphic 1" descr="Distribution of funds ra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96DAC541-7B7A-43D3-8B79-37D633B846F1}">
                                <asvg:svgBlip xmlns:asvg="http://schemas.microsoft.com/office/drawing/2016/SVG/main" r:embed="rId13"/>
                              </a:ext>
                            </a:extLst>
                          </a:blip>
                          <a:srcRect l="7858" r="6571"/>
                          <a:stretch/>
                        </pic:blipFill>
                        <pic:spPr bwMode="auto">
                          <a:xfrm>
                            <a:off x="0" y="0"/>
                            <a:ext cx="2888841" cy="1920240"/>
                          </a:xfrm>
                          <a:prstGeom prst="rect">
                            <a:avLst/>
                          </a:prstGeom>
                          <a:ln>
                            <a:noFill/>
                          </a:ln>
                          <a:extLst>
                            <a:ext uri="{53640926-AAD7-44D8-BBD7-CCE9431645EC}">
                              <a14:shadowObscured xmlns:a14="http://schemas.microsoft.com/office/drawing/2010/main"/>
                            </a:ext>
                          </a:extLst>
                        </pic:spPr>
                      </pic:pic>
                    </a:graphicData>
                  </a:graphic>
                </wp:inline>
              </w:drawing>
            </w:r>
          </w:p>
        </w:tc>
        <w:tc>
          <w:tcPr>
            <w:tcW w:w="4794" w:type="dxa"/>
          </w:tcPr>
          <w:p w14:paraId="579D7F7D" w14:textId="77777777" w:rsidR="00FF08AD" w:rsidRDefault="00FF08AD" w:rsidP="001E2281">
            <w:pPr>
              <w:pStyle w:val="ExhibitText"/>
            </w:pPr>
            <w:r>
              <w:rPr>
                <w:noProof/>
              </w:rPr>
              <w:drawing>
                <wp:inline distT="0" distB="0" distL="0" distR="0" wp14:anchorId="0248042D" wp14:editId="3ED2BCFF">
                  <wp:extent cx="2027976" cy="1920240"/>
                  <wp:effectExtent l="0" t="0" r="4445" b="0"/>
                  <wp:docPr id="6" name="Graphic 6" descr="Distribution of fund disburs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96DAC541-7B7A-43D3-8B79-37D633B846F1}">
                                <asvg:svgBlip xmlns:asvg="http://schemas.microsoft.com/office/drawing/2016/SVG/main" r:embed="rId15"/>
                              </a:ext>
                            </a:extLst>
                          </a:blip>
                          <a:srcRect l="14216" r="13831"/>
                          <a:stretch/>
                        </pic:blipFill>
                        <pic:spPr bwMode="auto">
                          <a:xfrm>
                            <a:off x="0" y="0"/>
                            <a:ext cx="2027976" cy="19202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2851921" w14:textId="77777777" w:rsidR="00E9496E" w:rsidRDefault="00E9496E" w:rsidP="001E2281">
      <w:pPr>
        <w:pStyle w:val="ExhibitText"/>
      </w:pPr>
    </w:p>
    <w:p w14:paraId="77D44406" w14:textId="42279859" w:rsidR="00FF08AD" w:rsidRDefault="00FF08AD" w:rsidP="00FF08AD">
      <w:pPr>
        <w:pStyle w:val="Footnote"/>
      </w:pPr>
      <w:r>
        <w:t xml:space="preserve">Note: </w:t>
      </w:r>
      <w:r w:rsidR="00DD0FDC">
        <w:t>F</w:t>
      </w:r>
      <w:r>
        <w:t xml:space="preserve">unds raised are typically close to funds disbursed </w:t>
      </w:r>
      <w:r w:rsidR="00E9496E">
        <w:t xml:space="preserve">under </w:t>
      </w:r>
      <w:r>
        <w:t>various heads</w:t>
      </w:r>
      <w:r w:rsidR="00DD0FDC">
        <w:t>; CSR = corporate social responsibility</w:t>
      </w:r>
    </w:p>
    <w:p w14:paraId="04AB5010" w14:textId="3BE41982" w:rsidR="00FF08AD" w:rsidRDefault="00FF08AD" w:rsidP="00FF08AD">
      <w:pPr>
        <w:pStyle w:val="Footnote"/>
      </w:pPr>
      <w:r w:rsidRPr="00EA4D4D">
        <w:t xml:space="preserve">Source: </w:t>
      </w:r>
      <w:r w:rsidR="00E9496E">
        <w:t>Company documents.</w:t>
      </w:r>
    </w:p>
    <w:p w14:paraId="01F5AC65" w14:textId="77777777" w:rsidR="00FF08AD" w:rsidRDefault="00FF08AD">
      <w:pPr>
        <w:spacing w:after="200" w:line="276" w:lineRule="auto"/>
        <w:rPr>
          <w:rFonts w:ascii="Arial" w:hAnsi="Arial" w:cs="Arial"/>
          <w:b/>
          <w:color w:val="000000"/>
          <w:shd w:val="clear" w:color="auto" w:fill="FFFFFF"/>
        </w:rPr>
      </w:pPr>
      <w:r>
        <w:rPr>
          <w:rFonts w:ascii="Arial" w:hAnsi="Arial" w:cs="Arial"/>
          <w:b/>
          <w:color w:val="000000"/>
          <w:shd w:val="clear" w:color="auto" w:fill="FFFFFF"/>
        </w:rPr>
        <w:br w:type="page"/>
      </w:r>
    </w:p>
    <w:p w14:paraId="53F3ABDF" w14:textId="4B02F7C4" w:rsidR="00EA4D4D" w:rsidRDefault="00EA4D4D" w:rsidP="00EA4D4D">
      <w:pPr>
        <w:pStyle w:val="ExhibitHeading"/>
        <w:rPr>
          <w:shd w:val="clear" w:color="auto" w:fill="FFFFFF"/>
        </w:rPr>
      </w:pPr>
      <w:r>
        <w:rPr>
          <w:shd w:val="clear" w:color="auto" w:fill="FFFFFF"/>
        </w:rPr>
        <w:lastRenderedPageBreak/>
        <w:t>Exhibit</w:t>
      </w:r>
      <w:r w:rsidR="00E9496E">
        <w:rPr>
          <w:shd w:val="clear" w:color="auto" w:fill="FFFFFF"/>
        </w:rPr>
        <w:t xml:space="preserve"> </w:t>
      </w:r>
      <w:r>
        <w:rPr>
          <w:shd w:val="clear" w:color="auto" w:fill="FFFFFF"/>
        </w:rPr>
        <w:t>6</w:t>
      </w:r>
      <w:r w:rsidR="00E9496E">
        <w:rPr>
          <w:shd w:val="clear" w:color="auto" w:fill="FFFFFF"/>
        </w:rPr>
        <w:t xml:space="preserve">: </w:t>
      </w:r>
      <w:r>
        <w:rPr>
          <w:shd w:val="clear" w:color="auto" w:fill="FFFFFF"/>
        </w:rPr>
        <w:t>Number of athletes supported by G</w:t>
      </w:r>
      <w:r w:rsidRPr="00F42D11">
        <w:rPr>
          <w:spacing w:val="20"/>
          <w:shd w:val="clear" w:color="auto" w:fill="FFFFFF"/>
        </w:rPr>
        <w:t>o</w:t>
      </w:r>
      <w:r>
        <w:rPr>
          <w:shd w:val="clear" w:color="auto" w:fill="FFFFFF"/>
        </w:rPr>
        <w:t>Sports</w:t>
      </w:r>
    </w:p>
    <w:p w14:paraId="46157370" w14:textId="77777777" w:rsidR="00EA4D4D" w:rsidRDefault="00EA4D4D" w:rsidP="001E2281">
      <w:pPr>
        <w:pStyle w:val="ExhibitText"/>
        <w:rPr>
          <w:shd w:val="clear" w:color="auto" w:fill="FFFFFF"/>
        </w:rPr>
      </w:pPr>
    </w:p>
    <w:p w14:paraId="3ABC4603" w14:textId="77777777" w:rsidR="00A0295C" w:rsidRDefault="00E9496E" w:rsidP="001E2281">
      <w:pPr>
        <w:pStyle w:val="ExhibitText"/>
      </w:pPr>
      <w:bookmarkStart w:id="0" w:name="_GoBack"/>
      <w:r>
        <w:rPr>
          <w:noProof/>
        </w:rPr>
        <w:drawing>
          <wp:inline distT="0" distB="0" distL="0" distR="0" wp14:anchorId="188E107C" wp14:editId="6CF457D1">
            <wp:extent cx="5943600" cy="2743200"/>
            <wp:effectExtent l="0" t="0" r="12700" b="12700"/>
            <wp:docPr id="7" name="Chart 7" descr="Number of athletes supported by GoSports">
              <a:extLst xmlns:a="http://schemas.openxmlformats.org/drawingml/2006/main">
                <a:ext uri="{FF2B5EF4-FFF2-40B4-BE49-F238E27FC236}">
                  <a16:creationId xmlns:a16="http://schemas.microsoft.com/office/drawing/2014/main" id="{17DAA53F-41B4-CC4C-9264-D8A624B67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0"/>
      <w:r w:rsidRPr="00EA4D4D">
        <w:t xml:space="preserve"> </w:t>
      </w:r>
    </w:p>
    <w:p w14:paraId="3D031609" w14:textId="77777777" w:rsidR="00D67702" w:rsidRDefault="00D67702" w:rsidP="001E2281">
      <w:pPr>
        <w:pStyle w:val="ExhibitText"/>
      </w:pPr>
    </w:p>
    <w:p w14:paraId="0233EE4D" w14:textId="56595AF4" w:rsidR="00EA4D4D" w:rsidRPr="00EA4D4D" w:rsidRDefault="00EA4D4D" w:rsidP="00EA4D4D">
      <w:pPr>
        <w:pStyle w:val="Footnote"/>
      </w:pPr>
      <w:r w:rsidRPr="00EA4D4D">
        <w:t>Source:</w:t>
      </w:r>
      <w:r w:rsidR="00E20CB7">
        <w:t xml:space="preserve"> </w:t>
      </w:r>
      <w:r w:rsidR="00A0295C">
        <w:t>Company documents.</w:t>
      </w:r>
    </w:p>
    <w:p w14:paraId="1D49A909" w14:textId="77777777" w:rsidR="00EA4D4D" w:rsidRDefault="00EA4D4D">
      <w:pPr>
        <w:spacing w:after="200" w:line="276" w:lineRule="auto"/>
      </w:pPr>
      <w:r>
        <w:br w:type="page"/>
      </w:r>
    </w:p>
    <w:p w14:paraId="2DE6866E" w14:textId="77777777" w:rsidR="00EA4D4D" w:rsidRDefault="00EA4D4D" w:rsidP="00EA4D4D">
      <w:pPr>
        <w:pStyle w:val="ExhibitHeading"/>
        <w:rPr>
          <w:shd w:val="clear" w:color="auto" w:fill="FFFFFF"/>
        </w:rPr>
      </w:pPr>
      <w:r>
        <w:rPr>
          <w:shd w:val="clear" w:color="auto" w:fill="FFFFFF"/>
        </w:rPr>
        <w:lastRenderedPageBreak/>
        <w:t>Exhibit 7: Athletes supported by G</w:t>
      </w:r>
      <w:r w:rsidRPr="001E2281">
        <w:rPr>
          <w:spacing w:val="20"/>
          <w:shd w:val="clear" w:color="auto" w:fill="FFFFFF"/>
        </w:rPr>
        <w:t>o</w:t>
      </w:r>
      <w:r>
        <w:rPr>
          <w:shd w:val="clear" w:color="auto" w:fill="FFFFFF"/>
        </w:rPr>
        <w:t>Sports in 2020</w:t>
      </w:r>
    </w:p>
    <w:p w14:paraId="7FBFF15D" w14:textId="77777777" w:rsidR="00EA4D4D" w:rsidRDefault="00EA4D4D" w:rsidP="001E2281">
      <w:pPr>
        <w:pStyle w:val="ExhibitText"/>
        <w:rPr>
          <w:shd w:val="clear" w:color="auto" w:fill="FFFFFF"/>
        </w:rPr>
      </w:pPr>
    </w:p>
    <w:tbl>
      <w:tblPr>
        <w:tblStyle w:val="TableGrid"/>
        <w:tblW w:w="57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9"/>
        <w:gridCol w:w="2681"/>
      </w:tblGrid>
      <w:tr w:rsidR="00A0295C" w:rsidRPr="00D67702" w14:paraId="495B1585" w14:textId="77777777" w:rsidTr="00D67702">
        <w:trPr>
          <w:trHeight w:val="288"/>
          <w:jc w:val="center"/>
        </w:trPr>
        <w:tc>
          <w:tcPr>
            <w:tcW w:w="2425" w:type="dxa"/>
            <w:tcBorders>
              <w:top w:val="single" w:sz="4" w:space="0" w:color="auto"/>
              <w:bottom w:val="single" w:sz="4" w:space="0" w:color="auto"/>
            </w:tcBorders>
            <w:vAlign w:val="center"/>
          </w:tcPr>
          <w:p w14:paraId="649721D4" w14:textId="3F9AD2EC" w:rsidR="00A0295C" w:rsidRPr="00D67702" w:rsidRDefault="00A0295C" w:rsidP="00D67702">
            <w:pPr>
              <w:pStyle w:val="ExhibitText"/>
              <w:rPr>
                <w:b/>
                <w:bCs/>
              </w:rPr>
            </w:pPr>
            <w:r w:rsidRPr="00D67702">
              <w:rPr>
                <w:b/>
                <w:bCs/>
              </w:rPr>
              <w:t>Sport</w:t>
            </w:r>
          </w:p>
        </w:tc>
        <w:tc>
          <w:tcPr>
            <w:tcW w:w="2111" w:type="dxa"/>
            <w:tcBorders>
              <w:top w:val="single" w:sz="4" w:space="0" w:color="auto"/>
              <w:bottom w:val="single" w:sz="4" w:space="0" w:color="auto"/>
            </w:tcBorders>
            <w:vAlign w:val="center"/>
          </w:tcPr>
          <w:p w14:paraId="14F9AC7E" w14:textId="3B47DD52" w:rsidR="00A0295C" w:rsidRPr="00D67702" w:rsidRDefault="00A0295C" w:rsidP="00D67702">
            <w:pPr>
              <w:pStyle w:val="ExhibitText"/>
              <w:jc w:val="right"/>
              <w:rPr>
                <w:b/>
                <w:bCs/>
              </w:rPr>
            </w:pPr>
            <w:r w:rsidRPr="00D67702">
              <w:rPr>
                <w:b/>
                <w:bCs/>
              </w:rPr>
              <w:t>Number of Athletes</w:t>
            </w:r>
          </w:p>
        </w:tc>
      </w:tr>
      <w:tr w:rsidR="00A0295C" w:rsidRPr="00EA4D4D" w14:paraId="672FFAC0" w14:textId="77777777" w:rsidTr="00D67702">
        <w:trPr>
          <w:trHeight w:val="288"/>
          <w:jc w:val="center"/>
        </w:trPr>
        <w:tc>
          <w:tcPr>
            <w:tcW w:w="2425" w:type="dxa"/>
            <w:tcBorders>
              <w:top w:val="single" w:sz="4" w:space="0" w:color="auto"/>
            </w:tcBorders>
            <w:vAlign w:val="center"/>
            <w:hideMark/>
          </w:tcPr>
          <w:p w14:paraId="45AF20BA" w14:textId="77777777" w:rsidR="00A0295C" w:rsidRPr="00EA4D4D" w:rsidRDefault="00A0295C" w:rsidP="00D67702">
            <w:pPr>
              <w:pStyle w:val="ExhibitText"/>
            </w:pPr>
            <w:r w:rsidRPr="00EA4D4D">
              <w:t>Archery</w:t>
            </w:r>
          </w:p>
        </w:tc>
        <w:tc>
          <w:tcPr>
            <w:tcW w:w="2111" w:type="dxa"/>
            <w:tcBorders>
              <w:top w:val="single" w:sz="4" w:space="0" w:color="auto"/>
            </w:tcBorders>
            <w:vAlign w:val="center"/>
            <w:hideMark/>
          </w:tcPr>
          <w:p w14:paraId="6A8764B9" w14:textId="77777777" w:rsidR="00A0295C" w:rsidRPr="00EA4D4D" w:rsidRDefault="00A0295C" w:rsidP="00D67702">
            <w:pPr>
              <w:pStyle w:val="ExhibitText"/>
              <w:ind w:right="720"/>
              <w:jc w:val="right"/>
            </w:pPr>
            <w:r w:rsidRPr="00EA4D4D">
              <w:t>4</w:t>
            </w:r>
          </w:p>
        </w:tc>
      </w:tr>
      <w:tr w:rsidR="00A0295C" w:rsidRPr="00EA4D4D" w14:paraId="7B23058A" w14:textId="77777777" w:rsidTr="00D67702">
        <w:trPr>
          <w:trHeight w:val="288"/>
          <w:jc w:val="center"/>
        </w:trPr>
        <w:tc>
          <w:tcPr>
            <w:tcW w:w="2425" w:type="dxa"/>
            <w:vAlign w:val="center"/>
            <w:hideMark/>
          </w:tcPr>
          <w:p w14:paraId="204F9A8B" w14:textId="77777777" w:rsidR="00A0295C" w:rsidRPr="00EA4D4D" w:rsidRDefault="00A0295C" w:rsidP="00D67702">
            <w:pPr>
              <w:pStyle w:val="ExhibitText"/>
            </w:pPr>
            <w:r w:rsidRPr="00EA4D4D">
              <w:t>Athletics</w:t>
            </w:r>
          </w:p>
        </w:tc>
        <w:tc>
          <w:tcPr>
            <w:tcW w:w="2111" w:type="dxa"/>
            <w:vAlign w:val="center"/>
            <w:hideMark/>
          </w:tcPr>
          <w:p w14:paraId="28E8842A" w14:textId="77777777" w:rsidR="00A0295C" w:rsidRPr="00EA4D4D" w:rsidRDefault="00A0295C" w:rsidP="00D67702">
            <w:pPr>
              <w:pStyle w:val="ExhibitText"/>
              <w:ind w:right="720"/>
              <w:jc w:val="right"/>
            </w:pPr>
            <w:r w:rsidRPr="00EA4D4D">
              <w:t>12</w:t>
            </w:r>
          </w:p>
        </w:tc>
      </w:tr>
      <w:tr w:rsidR="00A0295C" w:rsidRPr="00EA4D4D" w14:paraId="7AFFB1B0" w14:textId="77777777" w:rsidTr="00D67702">
        <w:trPr>
          <w:trHeight w:val="288"/>
          <w:jc w:val="center"/>
        </w:trPr>
        <w:tc>
          <w:tcPr>
            <w:tcW w:w="2425" w:type="dxa"/>
            <w:vAlign w:val="center"/>
            <w:hideMark/>
          </w:tcPr>
          <w:p w14:paraId="36C7C11E" w14:textId="77777777" w:rsidR="00A0295C" w:rsidRPr="00EA4D4D" w:rsidRDefault="00A0295C" w:rsidP="00D67702">
            <w:pPr>
              <w:pStyle w:val="ExhibitText"/>
            </w:pPr>
            <w:r w:rsidRPr="00EA4D4D">
              <w:t>Badminton</w:t>
            </w:r>
          </w:p>
        </w:tc>
        <w:tc>
          <w:tcPr>
            <w:tcW w:w="2111" w:type="dxa"/>
            <w:vAlign w:val="center"/>
            <w:hideMark/>
          </w:tcPr>
          <w:p w14:paraId="28485C0A" w14:textId="77777777" w:rsidR="00A0295C" w:rsidRPr="00EA4D4D" w:rsidRDefault="00A0295C" w:rsidP="00D67702">
            <w:pPr>
              <w:pStyle w:val="ExhibitText"/>
              <w:ind w:right="720"/>
              <w:jc w:val="right"/>
            </w:pPr>
            <w:r w:rsidRPr="00EA4D4D">
              <w:t>17</w:t>
            </w:r>
          </w:p>
        </w:tc>
      </w:tr>
      <w:tr w:rsidR="00A0295C" w:rsidRPr="00EA4D4D" w14:paraId="3DE6EFDA" w14:textId="77777777" w:rsidTr="00D67702">
        <w:trPr>
          <w:trHeight w:val="288"/>
          <w:jc w:val="center"/>
        </w:trPr>
        <w:tc>
          <w:tcPr>
            <w:tcW w:w="2425" w:type="dxa"/>
            <w:vAlign w:val="center"/>
            <w:hideMark/>
          </w:tcPr>
          <w:p w14:paraId="371ABAE5" w14:textId="77777777" w:rsidR="00A0295C" w:rsidRPr="00EA4D4D" w:rsidRDefault="00A0295C" w:rsidP="00D67702">
            <w:pPr>
              <w:pStyle w:val="ExhibitText"/>
            </w:pPr>
            <w:r w:rsidRPr="00EA4D4D">
              <w:t>Canoeing</w:t>
            </w:r>
          </w:p>
        </w:tc>
        <w:tc>
          <w:tcPr>
            <w:tcW w:w="2111" w:type="dxa"/>
            <w:vAlign w:val="center"/>
            <w:hideMark/>
          </w:tcPr>
          <w:p w14:paraId="1780A92D" w14:textId="77777777" w:rsidR="00A0295C" w:rsidRPr="00EA4D4D" w:rsidRDefault="00A0295C" w:rsidP="00D67702">
            <w:pPr>
              <w:pStyle w:val="ExhibitText"/>
              <w:ind w:right="720"/>
              <w:jc w:val="right"/>
            </w:pPr>
            <w:r w:rsidRPr="00EA4D4D">
              <w:t>1</w:t>
            </w:r>
          </w:p>
        </w:tc>
      </w:tr>
      <w:tr w:rsidR="00A0295C" w:rsidRPr="00EA4D4D" w14:paraId="3BF19334" w14:textId="77777777" w:rsidTr="00D67702">
        <w:trPr>
          <w:trHeight w:val="288"/>
          <w:jc w:val="center"/>
        </w:trPr>
        <w:tc>
          <w:tcPr>
            <w:tcW w:w="2425" w:type="dxa"/>
            <w:vAlign w:val="center"/>
            <w:hideMark/>
          </w:tcPr>
          <w:p w14:paraId="22F82706" w14:textId="77777777" w:rsidR="00A0295C" w:rsidRPr="00EA4D4D" w:rsidRDefault="00A0295C" w:rsidP="00D67702">
            <w:pPr>
              <w:pStyle w:val="ExhibitText"/>
            </w:pPr>
            <w:r w:rsidRPr="00EA4D4D">
              <w:t>Fencing</w:t>
            </w:r>
          </w:p>
        </w:tc>
        <w:tc>
          <w:tcPr>
            <w:tcW w:w="2111" w:type="dxa"/>
            <w:vAlign w:val="center"/>
            <w:hideMark/>
          </w:tcPr>
          <w:p w14:paraId="24FDE972" w14:textId="77777777" w:rsidR="00A0295C" w:rsidRPr="00EA4D4D" w:rsidRDefault="00A0295C" w:rsidP="00D67702">
            <w:pPr>
              <w:pStyle w:val="ExhibitText"/>
              <w:ind w:right="720"/>
              <w:jc w:val="right"/>
            </w:pPr>
            <w:r w:rsidRPr="00EA4D4D">
              <w:t>4</w:t>
            </w:r>
          </w:p>
        </w:tc>
      </w:tr>
      <w:tr w:rsidR="00A0295C" w:rsidRPr="00EA4D4D" w14:paraId="2708B79A" w14:textId="77777777" w:rsidTr="00D67702">
        <w:trPr>
          <w:trHeight w:val="288"/>
          <w:jc w:val="center"/>
        </w:trPr>
        <w:tc>
          <w:tcPr>
            <w:tcW w:w="2425" w:type="dxa"/>
            <w:vAlign w:val="center"/>
            <w:hideMark/>
          </w:tcPr>
          <w:p w14:paraId="1A9B2671" w14:textId="77777777" w:rsidR="00A0295C" w:rsidRPr="00EA4D4D" w:rsidRDefault="00A0295C" w:rsidP="00D67702">
            <w:pPr>
              <w:pStyle w:val="ExhibitText"/>
            </w:pPr>
            <w:r w:rsidRPr="00EA4D4D">
              <w:t>Golf</w:t>
            </w:r>
          </w:p>
        </w:tc>
        <w:tc>
          <w:tcPr>
            <w:tcW w:w="2111" w:type="dxa"/>
            <w:vAlign w:val="center"/>
            <w:hideMark/>
          </w:tcPr>
          <w:p w14:paraId="4D1E8608" w14:textId="77777777" w:rsidR="00A0295C" w:rsidRPr="00EA4D4D" w:rsidRDefault="00A0295C" w:rsidP="00D67702">
            <w:pPr>
              <w:pStyle w:val="ExhibitText"/>
              <w:ind w:right="720"/>
              <w:jc w:val="right"/>
            </w:pPr>
            <w:r w:rsidRPr="00EA4D4D">
              <w:t>3</w:t>
            </w:r>
          </w:p>
        </w:tc>
      </w:tr>
      <w:tr w:rsidR="00A0295C" w:rsidRPr="00EA4D4D" w14:paraId="0A944823" w14:textId="77777777" w:rsidTr="00D67702">
        <w:trPr>
          <w:trHeight w:val="288"/>
          <w:jc w:val="center"/>
        </w:trPr>
        <w:tc>
          <w:tcPr>
            <w:tcW w:w="2425" w:type="dxa"/>
            <w:vAlign w:val="center"/>
            <w:hideMark/>
          </w:tcPr>
          <w:p w14:paraId="6581D06E" w14:textId="77777777" w:rsidR="00A0295C" w:rsidRPr="00EA4D4D" w:rsidRDefault="00A0295C" w:rsidP="00D67702">
            <w:pPr>
              <w:pStyle w:val="ExhibitText"/>
            </w:pPr>
            <w:r w:rsidRPr="00EA4D4D">
              <w:t>Gymnastics</w:t>
            </w:r>
          </w:p>
        </w:tc>
        <w:tc>
          <w:tcPr>
            <w:tcW w:w="2111" w:type="dxa"/>
            <w:vAlign w:val="center"/>
            <w:hideMark/>
          </w:tcPr>
          <w:p w14:paraId="4025F0D1" w14:textId="77777777" w:rsidR="00A0295C" w:rsidRPr="00EA4D4D" w:rsidRDefault="00A0295C" w:rsidP="00D67702">
            <w:pPr>
              <w:pStyle w:val="ExhibitText"/>
              <w:ind w:right="720"/>
              <w:jc w:val="right"/>
            </w:pPr>
            <w:r w:rsidRPr="00EA4D4D">
              <w:t>4</w:t>
            </w:r>
          </w:p>
        </w:tc>
      </w:tr>
      <w:tr w:rsidR="00A0295C" w:rsidRPr="00EA4D4D" w14:paraId="66458AE8" w14:textId="77777777" w:rsidTr="00D67702">
        <w:trPr>
          <w:trHeight w:val="288"/>
          <w:jc w:val="center"/>
        </w:trPr>
        <w:tc>
          <w:tcPr>
            <w:tcW w:w="2425" w:type="dxa"/>
            <w:vAlign w:val="center"/>
            <w:hideMark/>
          </w:tcPr>
          <w:p w14:paraId="1B3BEE6A" w14:textId="77777777" w:rsidR="00A0295C" w:rsidRPr="00EA4D4D" w:rsidRDefault="00A0295C" w:rsidP="00D67702">
            <w:pPr>
              <w:pStyle w:val="ExhibitText"/>
            </w:pPr>
            <w:r w:rsidRPr="00EA4D4D">
              <w:t>Rowing</w:t>
            </w:r>
          </w:p>
        </w:tc>
        <w:tc>
          <w:tcPr>
            <w:tcW w:w="2111" w:type="dxa"/>
            <w:vAlign w:val="center"/>
            <w:hideMark/>
          </w:tcPr>
          <w:p w14:paraId="65361160" w14:textId="77777777" w:rsidR="00A0295C" w:rsidRPr="00EA4D4D" w:rsidRDefault="00A0295C" w:rsidP="00D67702">
            <w:pPr>
              <w:pStyle w:val="ExhibitText"/>
              <w:ind w:right="720"/>
              <w:jc w:val="right"/>
            </w:pPr>
            <w:r w:rsidRPr="00EA4D4D">
              <w:t>1</w:t>
            </w:r>
          </w:p>
        </w:tc>
      </w:tr>
      <w:tr w:rsidR="00A0295C" w:rsidRPr="00EA4D4D" w14:paraId="3F3CEE91" w14:textId="77777777" w:rsidTr="00D67702">
        <w:trPr>
          <w:trHeight w:val="288"/>
          <w:jc w:val="center"/>
        </w:trPr>
        <w:tc>
          <w:tcPr>
            <w:tcW w:w="2425" w:type="dxa"/>
            <w:vAlign w:val="center"/>
            <w:hideMark/>
          </w:tcPr>
          <w:p w14:paraId="27C2E61F" w14:textId="77777777" w:rsidR="00A0295C" w:rsidRPr="00EA4D4D" w:rsidRDefault="00A0295C" w:rsidP="00D67702">
            <w:pPr>
              <w:pStyle w:val="ExhibitText"/>
            </w:pPr>
            <w:r w:rsidRPr="00EA4D4D">
              <w:t>Sailing</w:t>
            </w:r>
          </w:p>
        </w:tc>
        <w:tc>
          <w:tcPr>
            <w:tcW w:w="2111" w:type="dxa"/>
            <w:vAlign w:val="center"/>
            <w:hideMark/>
          </w:tcPr>
          <w:p w14:paraId="7B030DFF" w14:textId="77777777" w:rsidR="00A0295C" w:rsidRPr="00EA4D4D" w:rsidRDefault="00A0295C" w:rsidP="00D67702">
            <w:pPr>
              <w:pStyle w:val="ExhibitText"/>
              <w:ind w:right="720"/>
              <w:jc w:val="right"/>
            </w:pPr>
            <w:r w:rsidRPr="00EA4D4D">
              <w:t>1</w:t>
            </w:r>
          </w:p>
        </w:tc>
      </w:tr>
      <w:tr w:rsidR="00A0295C" w:rsidRPr="00EA4D4D" w14:paraId="69DDF15B" w14:textId="77777777" w:rsidTr="00D67702">
        <w:trPr>
          <w:trHeight w:val="288"/>
          <w:jc w:val="center"/>
        </w:trPr>
        <w:tc>
          <w:tcPr>
            <w:tcW w:w="2425" w:type="dxa"/>
            <w:vAlign w:val="center"/>
            <w:hideMark/>
          </w:tcPr>
          <w:p w14:paraId="4B804F48" w14:textId="77777777" w:rsidR="00A0295C" w:rsidRPr="00EA4D4D" w:rsidRDefault="00A0295C" w:rsidP="00D67702">
            <w:pPr>
              <w:pStyle w:val="ExhibitText"/>
            </w:pPr>
            <w:r w:rsidRPr="00EA4D4D">
              <w:t>Shooting</w:t>
            </w:r>
          </w:p>
        </w:tc>
        <w:tc>
          <w:tcPr>
            <w:tcW w:w="2111" w:type="dxa"/>
            <w:vAlign w:val="center"/>
            <w:hideMark/>
          </w:tcPr>
          <w:p w14:paraId="146E6323" w14:textId="77777777" w:rsidR="00A0295C" w:rsidRPr="00EA4D4D" w:rsidRDefault="00A0295C" w:rsidP="00D67702">
            <w:pPr>
              <w:pStyle w:val="ExhibitText"/>
              <w:ind w:right="720"/>
              <w:jc w:val="right"/>
            </w:pPr>
            <w:r w:rsidRPr="00EA4D4D">
              <w:t>8</w:t>
            </w:r>
          </w:p>
        </w:tc>
      </w:tr>
      <w:tr w:rsidR="00A0295C" w:rsidRPr="00EA4D4D" w14:paraId="006E30EE" w14:textId="77777777" w:rsidTr="00D67702">
        <w:trPr>
          <w:trHeight w:val="288"/>
          <w:jc w:val="center"/>
        </w:trPr>
        <w:tc>
          <w:tcPr>
            <w:tcW w:w="2425" w:type="dxa"/>
            <w:vAlign w:val="center"/>
            <w:hideMark/>
          </w:tcPr>
          <w:p w14:paraId="2EC3E76E" w14:textId="77777777" w:rsidR="00A0295C" w:rsidRPr="00EA4D4D" w:rsidRDefault="00A0295C" w:rsidP="00D67702">
            <w:pPr>
              <w:pStyle w:val="ExhibitText"/>
            </w:pPr>
            <w:r w:rsidRPr="00EA4D4D">
              <w:t>Squash</w:t>
            </w:r>
          </w:p>
        </w:tc>
        <w:tc>
          <w:tcPr>
            <w:tcW w:w="2111" w:type="dxa"/>
            <w:vAlign w:val="center"/>
            <w:hideMark/>
          </w:tcPr>
          <w:p w14:paraId="2C9237AA" w14:textId="77777777" w:rsidR="00A0295C" w:rsidRPr="00EA4D4D" w:rsidRDefault="00A0295C" w:rsidP="00D67702">
            <w:pPr>
              <w:pStyle w:val="ExhibitText"/>
              <w:ind w:right="720"/>
              <w:jc w:val="right"/>
            </w:pPr>
            <w:r w:rsidRPr="00EA4D4D">
              <w:t>4</w:t>
            </w:r>
          </w:p>
        </w:tc>
      </w:tr>
      <w:tr w:rsidR="00A0295C" w:rsidRPr="00EA4D4D" w14:paraId="148E1EA3" w14:textId="77777777" w:rsidTr="00D67702">
        <w:trPr>
          <w:trHeight w:val="288"/>
          <w:jc w:val="center"/>
        </w:trPr>
        <w:tc>
          <w:tcPr>
            <w:tcW w:w="2425" w:type="dxa"/>
            <w:vAlign w:val="center"/>
            <w:hideMark/>
          </w:tcPr>
          <w:p w14:paraId="28B26B4E" w14:textId="77777777" w:rsidR="00A0295C" w:rsidRPr="00EA4D4D" w:rsidRDefault="00A0295C" w:rsidP="00D67702">
            <w:pPr>
              <w:pStyle w:val="ExhibitText"/>
            </w:pPr>
            <w:r w:rsidRPr="00EA4D4D">
              <w:t>Swimming</w:t>
            </w:r>
          </w:p>
        </w:tc>
        <w:tc>
          <w:tcPr>
            <w:tcW w:w="2111" w:type="dxa"/>
            <w:vAlign w:val="center"/>
            <w:hideMark/>
          </w:tcPr>
          <w:p w14:paraId="5FCB47CB" w14:textId="77777777" w:rsidR="00A0295C" w:rsidRPr="00EA4D4D" w:rsidRDefault="00A0295C" w:rsidP="00D67702">
            <w:pPr>
              <w:pStyle w:val="ExhibitText"/>
              <w:ind w:right="720"/>
              <w:jc w:val="right"/>
            </w:pPr>
            <w:r w:rsidRPr="00EA4D4D">
              <w:t>5</w:t>
            </w:r>
          </w:p>
        </w:tc>
      </w:tr>
      <w:tr w:rsidR="00A0295C" w:rsidRPr="00EA4D4D" w14:paraId="1B301919" w14:textId="77777777" w:rsidTr="00D67702">
        <w:trPr>
          <w:trHeight w:val="288"/>
          <w:jc w:val="center"/>
        </w:trPr>
        <w:tc>
          <w:tcPr>
            <w:tcW w:w="2425" w:type="dxa"/>
            <w:vAlign w:val="center"/>
            <w:hideMark/>
          </w:tcPr>
          <w:p w14:paraId="6E1C4F14" w14:textId="77777777" w:rsidR="00A0295C" w:rsidRPr="00EA4D4D" w:rsidRDefault="00A0295C" w:rsidP="00D67702">
            <w:pPr>
              <w:pStyle w:val="ExhibitText"/>
            </w:pPr>
            <w:r w:rsidRPr="00EA4D4D">
              <w:t>Table Tennis</w:t>
            </w:r>
          </w:p>
        </w:tc>
        <w:tc>
          <w:tcPr>
            <w:tcW w:w="2111" w:type="dxa"/>
            <w:vAlign w:val="center"/>
            <w:hideMark/>
          </w:tcPr>
          <w:p w14:paraId="4F12B17E" w14:textId="77777777" w:rsidR="00A0295C" w:rsidRPr="00EA4D4D" w:rsidRDefault="00A0295C" w:rsidP="00D67702">
            <w:pPr>
              <w:pStyle w:val="ExhibitText"/>
              <w:ind w:right="720"/>
              <w:jc w:val="right"/>
            </w:pPr>
            <w:r w:rsidRPr="00EA4D4D">
              <w:t>3</w:t>
            </w:r>
          </w:p>
        </w:tc>
      </w:tr>
      <w:tr w:rsidR="00A0295C" w:rsidRPr="00EA4D4D" w14:paraId="725B970D" w14:textId="77777777" w:rsidTr="00D67702">
        <w:trPr>
          <w:trHeight w:val="288"/>
          <w:jc w:val="center"/>
        </w:trPr>
        <w:tc>
          <w:tcPr>
            <w:tcW w:w="2425" w:type="dxa"/>
            <w:vAlign w:val="center"/>
            <w:hideMark/>
          </w:tcPr>
          <w:p w14:paraId="678D3916" w14:textId="77777777" w:rsidR="00A0295C" w:rsidRPr="00EA4D4D" w:rsidRDefault="00A0295C" w:rsidP="00D67702">
            <w:pPr>
              <w:pStyle w:val="ExhibitText"/>
            </w:pPr>
            <w:r w:rsidRPr="00EA4D4D">
              <w:t>Taekwondo</w:t>
            </w:r>
          </w:p>
        </w:tc>
        <w:tc>
          <w:tcPr>
            <w:tcW w:w="2111" w:type="dxa"/>
            <w:vAlign w:val="center"/>
            <w:hideMark/>
          </w:tcPr>
          <w:p w14:paraId="2FD3FB47" w14:textId="77777777" w:rsidR="00A0295C" w:rsidRPr="00EA4D4D" w:rsidRDefault="00A0295C" w:rsidP="00D67702">
            <w:pPr>
              <w:pStyle w:val="ExhibitText"/>
              <w:ind w:right="720"/>
              <w:jc w:val="right"/>
            </w:pPr>
            <w:r w:rsidRPr="00EA4D4D">
              <w:t>3</w:t>
            </w:r>
          </w:p>
        </w:tc>
      </w:tr>
      <w:tr w:rsidR="00A0295C" w:rsidRPr="00EA4D4D" w14:paraId="5C7BF677" w14:textId="77777777" w:rsidTr="00D67702">
        <w:trPr>
          <w:trHeight w:val="288"/>
          <w:jc w:val="center"/>
        </w:trPr>
        <w:tc>
          <w:tcPr>
            <w:tcW w:w="2425" w:type="dxa"/>
            <w:vAlign w:val="center"/>
            <w:hideMark/>
          </w:tcPr>
          <w:p w14:paraId="35E991B5" w14:textId="77777777" w:rsidR="00A0295C" w:rsidRPr="00EA4D4D" w:rsidRDefault="00A0295C" w:rsidP="00D67702">
            <w:pPr>
              <w:pStyle w:val="ExhibitText"/>
            </w:pPr>
            <w:r w:rsidRPr="00EA4D4D">
              <w:t>Tennis</w:t>
            </w:r>
          </w:p>
        </w:tc>
        <w:tc>
          <w:tcPr>
            <w:tcW w:w="2111" w:type="dxa"/>
            <w:vAlign w:val="center"/>
            <w:hideMark/>
          </w:tcPr>
          <w:p w14:paraId="5C87B01B" w14:textId="77777777" w:rsidR="00A0295C" w:rsidRPr="00EA4D4D" w:rsidRDefault="00A0295C" w:rsidP="00D67702">
            <w:pPr>
              <w:pStyle w:val="ExhibitText"/>
              <w:ind w:right="720"/>
              <w:jc w:val="right"/>
            </w:pPr>
            <w:r w:rsidRPr="00EA4D4D">
              <w:t>4</w:t>
            </w:r>
          </w:p>
        </w:tc>
      </w:tr>
      <w:tr w:rsidR="00A0295C" w:rsidRPr="00EA4D4D" w14:paraId="635400D7" w14:textId="77777777" w:rsidTr="00D67702">
        <w:trPr>
          <w:trHeight w:val="288"/>
          <w:jc w:val="center"/>
        </w:trPr>
        <w:tc>
          <w:tcPr>
            <w:tcW w:w="2425" w:type="dxa"/>
            <w:vAlign w:val="center"/>
            <w:hideMark/>
          </w:tcPr>
          <w:p w14:paraId="311E0652" w14:textId="77777777" w:rsidR="00A0295C" w:rsidRPr="00EA4D4D" w:rsidRDefault="00A0295C" w:rsidP="00D67702">
            <w:pPr>
              <w:pStyle w:val="ExhibitText"/>
            </w:pPr>
            <w:r w:rsidRPr="00EA4D4D">
              <w:t>Weightlifting</w:t>
            </w:r>
          </w:p>
        </w:tc>
        <w:tc>
          <w:tcPr>
            <w:tcW w:w="2111" w:type="dxa"/>
            <w:vAlign w:val="center"/>
            <w:hideMark/>
          </w:tcPr>
          <w:p w14:paraId="67E550A7" w14:textId="77777777" w:rsidR="00A0295C" w:rsidRPr="00EA4D4D" w:rsidRDefault="00A0295C" w:rsidP="00D67702">
            <w:pPr>
              <w:pStyle w:val="ExhibitText"/>
              <w:ind w:right="720"/>
              <w:jc w:val="right"/>
            </w:pPr>
            <w:r w:rsidRPr="00EA4D4D">
              <w:t>6</w:t>
            </w:r>
          </w:p>
        </w:tc>
      </w:tr>
      <w:tr w:rsidR="00A0295C" w:rsidRPr="00EA4D4D" w14:paraId="23D75D46" w14:textId="77777777" w:rsidTr="00D67702">
        <w:trPr>
          <w:trHeight w:val="288"/>
          <w:jc w:val="center"/>
        </w:trPr>
        <w:tc>
          <w:tcPr>
            <w:tcW w:w="2425" w:type="dxa"/>
            <w:vAlign w:val="center"/>
            <w:hideMark/>
          </w:tcPr>
          <w:p w14:paraId="2E40891C" w14:textId="77777777" w:rsidR="00A0295C" w:rsidRPr="00EA4D4D" w:rsidRDefault="00A0295C" w:rsidP="00D67702">
            <w:pPr>
              <w:pStyle w:val="ExhibitText"/>
            </w:pPr>
            <w:r w:rsidRPr="00EA4D4D">
              <w:t>Para Archery</w:t>
            </w:r>
          </w:p>
        </w:tc>
        <w:tc>
          <w:tcPr>
            <w:tcW w:w="2111" w:type="dxa"/>
            <w:vAlign w:val="center"/>
            <w:hideMark/>
          </w:tcPr>
          <w:p w14:paraId="7CD8CA57" w14:textId="77777777" w:rsidR="00A0295C" w:rsidRPr="00EA4D4D" w:rsidRDefault="00A0295C" w:rsidP="00D67702">
            <w:pPr>
              <w:pStyle w:val="ExhibitText"/>
              <w:ind w:right="720"/>
              <w:jc w:val="right"/>
            </w:pPr>
            <w:r w:rsidRPr="00EA4D4D">
              <w:t>3</w:t>
            </w:r>
          </w:p>
        </w:tc>
      </w:tr>
      <w:tr w:rsidR="00A0295C" w:rsidRPr="00EA4D4D" w14:paraId="565CB663" w14:textId="77777777" w:rsidTr="00D67702">
        <w:trPr>
          <w:trHeight w:val="288"/>
          <w:jc w:val="center"/>
        </w:trPr>
        <w:tc>
          <w:tcPr>
            <w:tcW w:w="2425" w:type="dxa"/>
            <w:vAlign w:val="center"/>
            <w:hideMark/>
          </w:tcPr>
          <w:p w14:paraId="6DA7A67B" w14:textId="77777777" w:rsidR="00A0295C" w:rsidRPr="00EA4D4D" w:rsidRDefault="00A0295C" w:rsidP="00D67702">
            <w:pPr>
              <w:pStyle w:val="ExhibitText"/>
            </w:pPr>
            <w:r w:rsidRPr="00EA4D4D">
              <w:t>Para Athletics</w:t>
            </w:r>
          </w:p>
        </w:tc>
        <w:tc>
          <w:tcPr>
            <w:tcW w:w="2111" w:type="dxa"/>
            <w:vAlign w:val="center"/>
            <w:hideMark/>
          </w:tcPr>
          <w:p w14:paraId="53AAB132" w14:textId="77777777" w:rsidR="00A0295C" w:rsidRPr="00EA4D4D" w:rsidRDefault="00A0295C" w:rsidP="00D67702">
            <w:pPr>
              <w:pStyle w:val="ExhibitText"/>
              <w:ind w:right="720"/>
              <w:jc w:val="right"/>
            </w:pPr>
            <w:r w:rsidRPr="00EA4D4D">
              <w:t>21</w:t>
            </w:r>
          </w:p>
        </w:tc>
      </w:tr>
      <w:tr w:rsidR="00A0295C" w:rsidRPr="00EA4D4D" w14:paraId="22BD9920" w14:textId="77777777" w:rsidTr="00D67702">
        <w:trPr>
          <w:trHeight w:val="288"/>
          <w:jc w:val="center"/>
        </w:trPr>
        <w:tc>
          <w:tcPr>
            <w:tcW w:w="2425" w:type="dxa"/>
            <w:vAlign w:val="center"/>
            <w:hideMark/>
          </w:tcPr>
          <w:p w14:paraId="1AF2CE4C" w14:textId="2BCE6CA1" w:rsidR="00A0295C" w:rsidRPr="00EA4D4D" w:rsidRDefault="00A0295C" w:rsidP="00D67702">
            <w:pPr>
              <w:pStyle w:val="ExhibitText"/>
            </w:pPr>
            <w:r w:rsidRPr="00EA4D4D">
              <w:t>Para</w:t>
            </w:r>
            <w:r w:rsidR="00DA4DD1">
              <w:t xml:space="preserve"> </w:t>
            </w:r>
            <w:r w:rsidRPr="00EA4D4D">
              <w:t>Badminton</w:t>
            </w:r>
          </w:p>
        </w:tc>
        <w:tc>
          <w:tcPr>
            <w:tcW w:w="2111" w:type="dxa"/>
            <w:vAlign w:val="center"/>
            <w:hideMark/>
          </w:tcPr>
          <w:p w14:paraId="6FE0EBA9" w14:textId="77777777" w:rsidR="00A0295C" w:rsidRPr="00EA4D4D" w:rsidRDefault="00A0295C" w:rsidP="00D67702">
            <w:pPr>
              <w:pStyle w:val="ExhibitText"/>
              <w:ind w:right="720"/>
              <w:jc w:val="right"/>
            </w:pPr>
            <w:r w:rsidRPr="00EA4D4D">
              <w:t>7</w:t>
            </w:r>
          </w:p>
        </w:tc>
      </w:tr>
      <w:tr w:rsidR="00A0295C" w:rsidRPr="00EA4D4D" w14:paraId="7D5CF36C" w14:textId="77777777" w:rsidTr="00D67702">
        <w:trPr>
          <w:trHeight w:val="288"/>
          <w:jc w:val="center"/>
        </w:trPr>
        <w:tc>
          <w:tcPr>
            <w:tcW w:w="2425" w:type="dxa"/>
            <w:vAlign w:val="center"/>
            <w:hideMark/>
          </w:tcPr>
          <w:p w14:paraId="7145F90C" w14:textId="77777777" w:rsidR="00A0295C" w:rsidRPr="00EA4D4D" w:rsidRDefault="00A0295C" w:rsidP="00D67702">
            <w:pPr>
              <w:pStyle w:val="ExhibitText"/>
            </w:pPr>
            <w:r w:rsidRPr="00EA4D4D">
              <w:t>Para Powerlifting</w:t>
            </w:r>
          </w:p>
        </w:tc>
        <w:tc>
          <w:tcPr>
            <w:tcW w:w="2111" w:type="dxa"/>
            <w:vAlign w:val="center"/>
            <w:hideMark/>
          </w:tcPr>
          <w:p w14:paraId="2470258A" w14:textId="77777777" w:rsidR="00A0295C" w:rsidRPr="00EA4D4D" w:rsidRDefault="00A0295C" w:rsidP="00D67702">
            <w:pPr>
              <w:pStyle w:val="ExhibitText"/>
              <w:ind w:right="720"/>
              <w:jc w:val="right"/>
            </w:pPr>
            <w:r w:rsidRPr="00EA4D4D">
              <w:t>1</w:t>
            </w:r>
          </w:p>
        </w:tc>
      </w:tr>
      <w:tr w:rsidR="00A0295C" w:rsidRPr="00EA4D4D" w14:paraId="6A8C5F8C" w14:textId="77777777" w:rsidTr="00D67702">
        <w:trPr>
          <w:trHeight w:val="288"/>
          <w:jc w:val="center"/>
        </w:trPr>
        <w:tc>
          <w:tcPr>
            <w:tcW w:w="2425" w:type="dxa"/>
            <w:vAlign w:val="center"/>
            <w:hideMark/>
          </w:tcPr>
          <w:p w14:paraId="26104178" w14:textId="77777777" w:rsidR="00A0295C" w:rsidRPr="00EA4D4D" w:rsidRDefault="00A0295C" w:rsidP="00D67702">
            <w:pPr>
              <w:pStyle w:val="ExhibitText"/>
            </w:pPr>
            <w:r w:rsidRPr="00EA4D4D">
              <w:t>Para Shooting</w:t>
            </w:r>
          </w:p>
        </w:tc>
        <w:tc>
          <w:tcPr>
            <w:tcW w:w="2111" w:type="dxa"/>
            <w:vAlign w:val="center"/>
            <w:hideMark/>
          </w:tcPr>
          <w:p w14:paraId="58AC7188" w14:textId="77777777" w:rsidR="00A0295C" w:rsidRPr="00EA4D4D" w:rsidRDefault="00A0295C" w:rsidP="00D67702">
            <w:pPr>
              <w:pStyle w:val="ExhibitText"/>
              <w:ind w:right="720"/>
              <w:jc w:val="right"/>
            </w:pPr>
            <w:r w:rsidRPr="00EA4D4D">
              <w:t>5</w:t>
            </w:r>
          </w:p>
        </w:tc>
      </w:tr>
      <w:tr w:rsidR="00A0295C" w:rsidRPr="00EA4D4D" w14:paraId="2AB246E4" w14:textId="77777777" w:rsidTr="00D67702">
        <w:trPr>
          <w:trHeight w:val="288"/>
          <w:jc w:val="center"/>
        </w:trPr>
        <w:tc>
          <w:tcPr>
            <w:tcW w:w="2425" w:type="dxa"/>
            <w:vAlign w:val="center"/>
            <w:hideMark/>
          </w:tcPr>
          <w:p w14:paraId="28DB6D56" w14:textId="292A1C2E" w:rsidR="00A0295C" w:rsidRPr="00EA4D4D" w:rsidRDefault="00A0295C" w:rsidP="00D67702">
            <w:pPr>
              <w:pStyle w:val="ExhibitText"/>
            </w:pPr>
            <w:r w:rsidRPr="00EA4D4D">
              <w:t>Para</w:t>
            </w:r>
            <w:r w:rsidR="00DA4DD1">
              <w:t xml:space="preserve"> </w:t>
            </w:r>
            <w:r w:rsidRPr="00EA4D4D">
              <w:t>Swimming</w:t>
            </w:r>
          </w:p>
        </w:tc>
        <w:tc>
          <w:tcPr>
            <w:tcW w:w="2111" w:type="dxa"/>
            <w:vAlign w:val="center"/>
            <w:hideMark/>
          </w:tcPr>
          <w:p w14:paraId="04FE4BE5" w14:textId="77777777" w:rsidR="00A0295C" w:rsidRPr="00EA4D4D" w:rsidRDefault="00A0295C" w:rsidP="00D67702">
            <w:pPr>
              <w:pStyle w:val="ExhibitText"/>
              <w:ind w:right="720"/>
              <w:jc w:val="right"/>
            </w:pPr>
            <w:r w:rsidRPr="00EA4D4D">
              <w:t>8</w:t>
            </w:r>
          </w:p>
        </w:tc>
      </w:tr>
      <w:tr w:rsidR="00A0295C" w:rsidRPr="00EA4D4D" w14:paraId="24FB872C" w14:textId="77777777" w:rsidTr="00D67702">
        <w:trPr>
          <w:trHeight w:val="288"/>
          <w:jc w:val="center"/>
        </w:trPr>
        <w:tc>
          <w:tcPr>
            <w:tcW w:w="2425" w:type="dxa"/>
            <w:vAlign w:val="center"/>
            <w:hideMark/>
          </w:tcPr>
          <w:p w14:paraId="5129B66F" w14:textId="4F87D352" w:rsidR="00A0295C" w:rsidRPr="00EA4D4D" w:rsidRDefault="00A0295C" w:rsidP="00D67702">
            <w:pPr>
              <w:pStyle w:val="ExhibitText"/>
            </w:pPr>
            <w:r w:rsidRPr="00EA4D4D">
              <w:t>Para</w:t>
            </w:r>
            <w:r w:rsidR="00DA4DD1">
              <w:t xml:space="preserve"> </w:t>
            </w:r>
            <w:r w:rsidRPr="00EA4D4D">
              <w:t>Taekwondo</w:t>
            </w:r>
          </w:p>
        </w:tc>
        <w:tc>
          <w:tcPr>
            <w:tcW w:w="2111" w:type="dxa"/>
            <w:vAlign w:val="center"/>
            <w:hideMark/>
          </w:tcPr>
          <w:p w14:paraId="48489EA9" w14:textId="77777777" w:rsidR="00A0295C" w:rsidRPr="00EA4D4D" w:rsidRDefault="00A0295C" w:rsidP="00D67702">
            <w:pPr>
              <w:pStyle w:val="ExhibitText"/>
              <w:ind w:right="720"/>
              <w:jc w:val="right"/>
            </w:pPr>
            <w:r w:rsidRPr="00EA4D4D">
              <w:t>1</w:t>
            </w:r>
          </w:p>
        </w:tc>
      </w:tr>
    </w:tbl>
    <w:p w14:paraId="607D6B4A" w14:textId="77777777" w:rsidR="00EA4D4D" w:rsidRDefault="00EA4D4D" w:rsidP="001E2281">
      <w:pPr>
        <w:pStyle w:val="ExhibitText"/>
      </w:pPr>
    </w:p>
    <w:p w14:paraId="4689DA96" w14:textId="282534AA" w:rsidR="00EA4D4D" w:rsidRPr="00EA4D4D" w:rsidRDefault="00EA4D4D" w:rsidP="00EA4D4D">
      <w:pPr>
        <w:pStyle w:val="Footnote"/>
      </w:pPr>
      <w:r w:rsidRPr="00EA4D4D">
        <w:t>Source:</w:t>
      </w:r>
      <w:r w:rsidR="00A15CF7">
        <w:t xml:space="preserve"> </w:t>
      </w:r>
      <w:r w:rsidR="00DA4DD1">
        <w:t>Company documents.</w:t>
      </w:r>
    </w:p>
    <w:p w14:paraId="31938B21" w14:textId="77777777" w:rsidR="00EA4D4D" w:rsidRDefault="00EA4D4D" w:rsidP="001E2281">
      <w:pPr>
        <w:pStyle w:val="ExhibitText"/>
        <w:rPr>
          <w:shd w:val="clear" w:color="auto" w:fill="FFFFFF"/>
        </w:rPr>
      </w:pPr>
    </w:p>
    <w:p w14:paraId="044D3447" w14:textId="77777777" w:rsidR="00EA4D4D" w:rsidRDefault="00EA4D4D" w:rsidP="001E2281">
      <w:pPr>
        <w:pStyle w:val="ExhibitText"/>
        <w:rPr>
          <w:shd w:val="clear" w:color="auto" w:fill="FFFFFF"/>
        </w:rPr>
      </w:pPr>
    </w:p>
    <w:p w14:paraId="20DB3F9E" w14:textId="77777777" w:rsidR="00EA4D4D" w:rsidRDefault="00EA4D4D" w:rsidP="00EA4D4D">
      <w:pPr>
        <w:pStyle w:val="ExhibitHeading"/>
        <w:rPr>
          <w:shd w:val="clear" w:color="auto" w:fill="FFFFFF"/>
        </w:rPr>
      </w:pPr>
      <w:r>
        <w:rPr>
          <w:shd w:val="clear" w:color="auto" w:fill="FFFFFF"/>
        </w:rPr>
        <w:t>Exhibit 8: Impact of G</w:t>
      </w:r>
      <w:r w:rsidRPr="001E2281">
        <w:rPr>
          <w:spacing w:val="20"/>
          <w:shd w:val="clear" w:color="auto" w:fill="FFFFFF"/>
        </w:rPr>
        <w:t>o</w:t>
      </w:r>
      <w:r>
        <w:rPr>
          <w:shd w:val="clear" w:color="auto" w:fill="FFFFFF"/>
        </w:rPr>
        <w:t>Sports</w:t>
      </w:r>
    </w:p>
    <w:p w14:paraId="1624503D" w14:textId="77777777" w:rsidR="00EA4D4D" w:rsidRDefault="00EA4D4D" w:rsidP="001E2281">
      <w:pPr>
        <w:pStyle w:val="ExhibitText"/>
        <w:rPr>
          <w:shd w:val="clear" w:color="auto" w:fill="FFFFFF"/>
        </w:rPr>
      </w:pPr>
    </w:p>
    <w:tbl>
      <w:tblPr>
        <w:tblW w:w="5760" w:type="dxa"/>
        <w:jc w:val="center"/>
        <w:tblBorders>
          <w:top w:val="single" w:sz="4" w:space="0" w:color="auto"/>
          <w:bottom w:val="single" w:sz="4" w:space="0" w:color="auto"/>
        </w:tblBorders>
        <w:tblLook w:val="04A0" w:firstRow="1" w:lastRow="0" w:firstColumn="1" w:lastColumn="0" w:noHBand="0" w:noVBand="1"/>
      </w:tblPr>
      <w:tblGrid>
        <w:gridCol w:w="4611"/>
        <w:gridCol w:w="1149"/>
      </w:tblGrid>
      <w:tr w:rsidR="00EA4D4D" w14:paraId="2BB9406F" w14:textId="77777777" w:rsidTr="00A15CF7">
        <w:trPr>
          <w:trHeight w:val="300"/>
          <w:jc w:val="center"/>
        </w:trPr>
        <w:tc>
          <w:tcPr>
            <w:tcW w:w="4551" w:type="dxa"/>
            <w:noWrap/>
            <w:vAlign w:val="center"/>
            <w:hideMark/>
          </w:tcPr>
          <w:p w14:paraId="0A2704B6" w14:textId="36621B20" w:rsidR="00EA4D4D" w:rsidRDefault="00EA4D4D" w:rsidP="00A15CF7">
            <w:pPr>
              <w:pStyle w:val="ExhibitText"/>
              <w:rPr>
                <w:rFonts w:ascii="Times New Roman" w:hAnsi="Times New Roman" w:cs="Times New Roman"/>
                <w:sz w:val="22"/>
                <w:szCs w:val="22"/>
              </w:rPr>
            </w:pPr>
            <w:r>
              <w:t xml:space="preserve">Number of </w:t>
            </w:r>
            <w:r w:rsidR="00DA4DD1">
              <w:t>a</w:t>
            </w:r>
            <w:r>
              <w:t xml:space="preserve">thletes </w:t>
            </w:r>
          </w:p>
        </w:tc>
        <w:tc>
          <w:tcPr>
            <w:tcW w:w="1134" w:type="dxa"/>
            <w:noWrap/>
            <w:vAlign w:val="center"/>
            <w:hideMark/>
          </w:tcPr>
          <w:p w14:paraId="15EC77B6" w14:textId="77777777" w:rsidR="00EA4D4D" w:rsidRDefault="00EA4D4D" w:rsidP="00A15CF7">
            <w:pPr>
              <w:pStyle w:val="ExhibitText"/>
              <w:jc w:val="right"/>
            </w:pPr>
            <w:r>
              <w:t>182</w:t>
            </w:r>
          </w:p>
        </w:tc>
      </w:tr>
      <w:tr w:rsidR="00EA4D4D" w14:paraId="644382AE" w14:textId="77777777" w:rsidTr="00A15CF7">
        <w:trPr>
          <w:trHeight w:val="300"/>
          <w:jc w:val="center"/>
        </w:trPr>
        <w:tc>
          <w:tcPr>
            <w:tcW w:w="4551" w:type="dxa"/>
            <w:noWrap/>
            <w:vAlign w:val="center"/>
            <w:hideMark/>
          </w:tcPr>
          <w:p w14:paraId="7CE9A874" w14:textId="3B5BCC9D" w:rsidR="00EA4D4D" w:rsidRDefault="00EA4D4D" w:rsidP="00A15CF7">
            <w:pPr>
              <w:pStyle w:val="ExhibitText"/>
            </w:pPr>
            <w:r>
              <w:t xml:space="preserve">Number of </w:t>
            </w:r>
            <w:r w:rsidR="00DA4DD1">
              <w:t>s</w:t>
            </w:r>
            <w:r>
              <w:t>tates</w:t>
            </w:r>
            <w:r w:rsidR="00DA4DD1">
              <w:t xml:space="preserve"> and u</w:t>
            </w:r>
            <w:r>
              <w:t xml:space="preserve">nion </w:t>
            </w:r>
            <w:r w:rsidR="00DA4DD1">
              <w:t>t</w:t>
            </w:r>
            <w:r>
              <w:t>erritories represented</w:t>
            </w:r>
          </w:p>
        </w:tc>
        <w:tc>
          <w:tcPr>
            <w:tcW w:w="1134" w:type="dxa"/>
            <w:noWrap/>
            <w:vAlign w:val="center"/>
            <w:hideMark/>
          </w:tcPr>
          <w:p w14:paraId="2AF06AF2" w14:textId="77777777" w:rsidR="00EA4D4D" w:rsidRDefault="00EA4D4D" w:rsidP="00A15CF7">
            <w:pPr>
              <w:pStyle w:val="ExhibitText"/>
              <w:jc w:val="right"/>
            </w:pPr>
            <w:r>
              <w:t>24</w:t>
            </w:r>
          </w:p>
        </w:tc>
      </w:tr>
      <w:tr w:rsidR="00EA4D4D" w14:paraId="58B793B2" w14:textId="77777777" w:rsidTr="00A15CF7">
        <w:trPr>
          <w:trHeight w:val="300"/>
          <w:jc w:val="center"/>
        </w:trPr>
        <w:tc>
          <w:tcPr>
            <w:tcW w:w="4551" w:type="dxa"/>
            <w:noWrap/>
            <w:vAlign w:val="center"/>
            <w:hideMark/>
          </w:tcPr>
          <w:p w14:paraId="0CF932F8" w14:textId="77777777" w:rsidR="00EA4D4D" w:rsidRDefault="00EA4D4D" w:rsidP="00A15CF7">
            <w:pPr>
              <w:pStyle w:val="ExhibitText"/>
            </w:pPr>
            <w:r>
              <w:t>Number of Olympians</w:t>
            </w:r>
          </w:p>
        </w:tc>
        <w:tc>
          <w:tcPr>
            <w:tcW w:w="1134" w:type="dxa"/>
            <w:noWrap/>
            <w:vAlign w:val="center"/>
            <w:hideMark/>
          </w:tcPr>
          <w:p w14:paraId="4F24FAD5" w14:textId="77777777" w:rsidR="00EA4D4D" w:rsidRDefault="00EA4D4D" w:rsidP="00A15CF7">
            <w:pPr>
              <w:pStyle w:val="ExhibitText"/>
              <w:jc w:val="right"/>
            </w:pPr>
            <w:r>
              <w:t>9</w:t>
            </w:r>
          </w:p>
        </w:tc>
      </w:tr>
      <w:tr w:rsidR="00EA4D4D" w14:paraId="280C362A" w14:textId="77777777" w:rsidTr="00A15CF7">
        <w:trPr>
          <w:trHeight w:val="300"/>
          <w:jc w:val="center"/>
        </w:trPr>
        <w:tc>
          <w:tcPr>
            <w:tcW w:w="4551" w:type="dxa"/>
            <w:noWrap/>
            <w:vAlign w:val="center"/>
            <w:hideMark/>
          </w:tcPr>
          <w:p w14:paraId="15A9F719" w14:textId="53E902C9" w:rsidR="00EA4D4D" w:rsidRDefault="00EA4D4D" w:rsidP="00A15CF7">
            <w:pPr>
              <w:pStyle w:val="ExhibitText"/>
            </w:pPr>
            <w:r>
              <w:t xml:space="preserve">Number of Olympic </w:t>
            </w:r>
            <w:r w:rsidR="00FE171F">
              <w:t xml:space="preserve">Games </w:t>
            </w:r>
            <w:r>
              <w:t>disciplines</w:t>
            </w:r>
          </w:p>
        </w:tc>
        <w:tc>
          <w:tcPr>
            <w:tcW w:w="1134" w:type="dxa"/>
            <w:noWrap/>
            <w:vAlign w:val="center"/>
            <w:hideMark/>
          </w:tcPr>
          <w:p w14:paraId="34792EFC" w14:textId="77777777" w:rsidR="00EA4D4D" w:rsidRDefault="00EA4D4D" w:rsidP="00A15CF7">
            <w:pPr>
              <w:pStyle w:val="ExhibitText"/>
              <w:jc w:val="right"/>
            </w:pPr>
            <w:r>
              <w:t>14</w:t>
            </w:r>
          </w:p>
        </w:tc>
      </w:tr>
      <w:tr w:rsidR="00EA4D4D" w14:paraId="17E70588" w14:textId="77777777" w:rsidTr="00A15CF7">
        <w:trPr>
          <w:trHeight w:val="300"/>
          <w:jc w:val="center"/>
        </w:trPr>
        <w:tc>
          <w:tcPr>
            <w:tcW w:w="4551" w:type="dxa"/>
            <w:noWrap/>
            <w:vAlign w:val="center"/>
            <w:hideMark/>
          </w:tcPr>
          <w:p w14:paraId="7786C112" w14:textId="77777777" w:rsidR="00EA4D4D" w:rsidRDefault="00EA4D4D" w:rsidP="00A15CF7">
            <w:pPr>
              <w:pStyle w:val="ExhibitText"/>
            </w:pPr>
            <w:r>
              <w:t>Number of Paralympians</w:t>
            </w:r>
          </w:p>
        </w:tc>
        <w:tc>
          <w:tcPr>
            <w:tcW w:w="1134" w:type="dxa"/>
            <w:noWrap/>
            <w:vAlign w:val="center"/>
            <w:hideMark/>
          </w:tcPr>
          <w:p w14:paraId="07A9CB40" w14:textId="77777777" w:rsidR="00EA4D4D" w:rsidRDefault="00EA4D4D" w:rsidP="00A15CF7">
            <w:pPr>
              <w:pStyle w:val="ExhibitText"/>
              <w:jc w:val="right"/>
            </w:pPr>
            <w:r>
              <w:t>19</w:t>
            </w:r>
          </w:p>
        </w:tc>
      </w:tr>
      <w:tr w:rsidR="00EA4D4D" w14:paraId="50E630E1" w14:textId="77777777" w:rsidTr="00A15CF7">
        <w:trPr>
          <w:trHeight w:val="300"/>
          <w:jc w:val="center"/>
        </w:trPr>
        <w:tc>
          <w:tcPr>
            <w:tcW w:w="4551" w:type="dxa"/>
            <w:noWrap/>
            <w:vAlign w:val="center"/>
            <w:hideMark/>
          </w:tcPr>
          <w:p w14:paraId="14CBFD7D" w14:textId="5030834F" w:rsidR="00EA4D4D" w:rsidRDefault="00EA4D4D" w:rsidP="00A15CF7">
            <w:pPr>
              <w:pStyle w:val="ExhibitText"/>
            </w:pPr>
            <w:r>
              <w:t xml:space="preserve">Number of Paralympic </w:t>
            </w:r>
            <w:r w:rsidR="00FE171F">
              <w:t xml:space="preserve">Games </w:t>
            </w:r>
            <w:r>
              <w:t>medals</w:t>
            </w:r>
          </w:p>
        </w:tc>
        <w:tc>
          <w:tcPr>
            <w:tcW w:w="1134" w:type="dxa"/>
            <w:noWrap/>
            <w:vAlign w:val="center"/>
            <w:hideMark/>
          </w:tcPr>
          <w:p w14:paraId="70C85808" w14:textId="77777777" w:rsidR="00EA4D4D" w:rsidRDefault="00EA4D4D" w:rsidP="00A15CF7">
            <w:pPr>
              <w:pStyle w:val="ExhibitText"/>
              <w:jc w:val="right"/>
            </w:pPr>
            <w:r>
              <w:t>3</w:t>
            </w:r>
          </w:p>
        </w:tc>
      </w:tr>
      <w:tr w:rsidR="00EA4D4D" w14:paraId="126212C3" w14:textId="77777777" w:rsidTr="00A15CF7">
        <w:trPr>
          <w:trHeight w:val="300"/>
          <w:jc w:val="center"/>
        </w:trPr>
        <w:tc>
          <w:tcPr>
            <w:tcW w:w="4551" w:type="dxa"/>
            <w:noWrap/>
            <w:vAlign w:val="center"/>
            <w:hideMark/>
          </w:tcPr>
          <w:p w14:paraId="29EDF8E3" w14:textId="6ED9B091" w:rsidR="00EA4D4D" w:rsidRDefault="00EA4D4D" w:rsidP="00A15CF7">
            <w:pPr>
              <w:pStyle w:val="ExhibitText"/>
            </w:pPr>
            <w:r>
              <w:t xml:space="preserve">Number of Paralympic </w:t>
            </w:r>
            <w:r w:rsidR="00FE171F">
              <w:t xml:space="preserve">Games </w:t>
            </w:r>
            <w:r>
              <w:t>disciplines</w:t>
            </w:r>
          </w:p>
        </w:tc>
        <w:tc>
          <w:tcPr>
            <w:tcW w:w="1134" w:type="dxa"/>
            <w:noWrap/>
            <w:vAlign w:val="center"/>
            <w:hideMark/>
          </w:tcPr>
          <w:p w14:paraId="2971EB71" w14:textId="77777777" w:rsidR="00EA4D4D" w:rsidRDefault="00EA4D4D" w:rsidP="00A15CF7">
            <w:pPr>
              <w:pStyle w:val="ExhibitText"/>
              <w:jc w:val="right"/>
            </w:pPr>
            <w:r>
              <w:t>7</w:t>
            </w:r>
          </w:p>
        </w:tc>
      </w:tr>
    </w:tbl>
    <w:p w14:paraId="57768BF8" w14:textId="77777777" w:rsidR="00EA4D4D" w:rsidRDefault="00EA4D4D" w:rsidP="001E2281">
      <w:pPr>
        <w:pStyle w:val="ExhibitText"/>
      </w:pPr>
    </w:p>
    <w:p w14:paraId="79E48DB8" w14:textId="5B08E515" w:rsidR="00EA4D4D" w:rsidRPr="00EA4D4D" w:rsidRDefault="00EA4D4D" w:rsidP="00EA4D4D">
      <w:pPr>
        <w:pStyle w:val="Footnote"/>
      </w:pPr>
      <w:r w:rsidRPr="00EA4D4D">
        <w:t>Source:</w:t>
      </w:r>
      <w:r w:rsidR="00DA4DD1">
        <w:t xml:space="preserve"> Company documents.</w:t>
      </w:r>
    </w:p>
    <w:p w14:paraId="21D65DEF" w14:textId="2468B237" w:rsidR="00D334AE" w:rsidRDefault="00D334AE" w:rsidP="001E2281">
      <w:pPr>
        <w:pStyle w:val="ExhibitText"/>
      </w:pPr>
    </w:p>
    <w:sectPr w:rsidR="00D334AE" w:rsidSect="00751E0B">
      <w:headerReference w:type="default" r:id="rId17"/>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8227B" w16cex:dateUtc="2021-04-07T16:22:00Z"/>
  <w16cex:commentExtensible w16cex:durableId="244E198B" w16cex:dateUtc="2021-05-18T05:16:00Z"/>
  <w16cex:commentExtensible w16cex:durableId="2416F395" w16cex:dateUtc="2021-04-06T18:49:00Z"/>
  <w16cex:commentExtensible w16cex:durableId="244E1B86" w16cex:dateUtc="2021-05-18T05:25:00Z"/>
  <w16cex:commentExtensible w16cex:durableId="244E1B47" w16cex:dateUtc="2021-05-18T05:23:00Z"/>
  <w16cex:commentExtensible w16cex:durableId="24182A1F" w16cex:dateUtc="2021-04-07T16:54:00Z"/>
  <w16cex:commentExtensible w16cex:durableId="244E1B9C" w16cex:dateUtc="2021-05-18T05:25:00Z"/>
  <w16cex:commentExtensible w16cex:durableId="244E1BEB" w16cex:dateUtc="2021-05-18T05:26:00Z"/>
  <w16cex:commentExtensible w16cex:durableId="244E1C01" w16cex:dateUtc="2021-05-18T05: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A5787" w14:textId="77777777" w:rsidR="008F7243" w:rsidRDefault="008F7243" w:rsidP="00D75295">
      <w:r>
        <w:separator/>
      </w:r>
    </w:p>
  </w:endnote>
  <w:endnote w:type="continuationSeparator" w:id="0">
    <w:p w14:paraId="5727CA88" w14:textId="77777777" w:rsidR="008F7243" w:rsidRDefault="008F724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_GB2312"/>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E13E6" w14:textId="77777777" w:rsidR="008F7243" w:rsidRDefault="008F7243" w:rsidP="00D75295">
      <w:r>
        <w:separator/>
      </w:r>
    </w:p>
  </w:footnote>
  <w:footnote w:type="continuationSeparator" w:id="0">
    <w:p w14:paraId="31763BD0" w14:textId="77777777" w:rsidR="008F7243" w:rsidRDefault="008F7243" w:rsidP="00D75295">
      <w:r>
        <w:continuationSeparator/>
      </w:r>
    </w:p>
  </w:footnote>
  <w:footnote w:id="1">
    <w:p w14:paraId="2324B0E7" w14:textId="77777777" w:rsidR="00A54C43" w:rsidRPr="001E2281" w:rsidRDefault="00A54C43" w:rsidP="00CF5F12">
      <w:pPr>
        <w:pStyle w:val="Footnote"/>
        <w:jc w:val="both"/>
        <w:rPr>
          <w:rFonts w:eastAsia="Calibri"/>
          <w:sz w:val="20"/>
          <w:szCs w:val="20"/>
          <w:lang w:eastAsia="en-IN"/>
        </w:rPr>
      </w:pPr>
      <w:r w:rsidRPr="001E2281">
        <w:rPr>
          <w:rStyle w:val="FootnoteReference"/>
        </w:rPr>
        <w:footnoteRef/>
      </w:r>
      <w:r w:rsidRPr="001E2281">
        <w:t xml:space="preserve"> Kamesh Srinivasan, “Backing the Players since 2008: The GoSports Story,” Sportstar, August 31, 2019, accessed July 11, 2020, https://sportstar.thehindu.com/other-sports/gosports-foundation-rohan-bopanna-roger-federer-rashtriya-khel-protsahan-puraskar-rahul-dravid/article29310123.ece.</w:t>
      </w:r>
    </w:p>
  </w:footnote>
  <w:footnote w:id="2">
    <w:p w14:paraId="18BA3ABF" w14:textId="040C6ACC" w:rsidR="00A54C43" w:rsidRPr="001E2281" w:rsidRDefault="00A54C43" w:rsidP="00CF5F12">
      <w:pPr>
        <w:pStyle w:val="Footnote"/>
        <w:jc w:val="both"/>
      </w:pPr>
      <w:r w:rsidRPr="001E2281">
        <w:rPr>
          <w:rStyle w:val="FootnoteReference"/>
        </w:rPr>
        <w:footnoteRef/>
      </w:r>
      <w:r w:rsidRPr="001E2281">
        <w:t xml:space="preserve"> </w:t>
      </w:r>
      <w:r>
        <w:t xml:space="preserve">Editors, “The Olympic Games,” History, August 21, 2018, </w:t>
      </w:r>
      <w:r w:rsidRPr="00AD43A9">
        <w:t>accessed February 8, 2021,</w:t>
      </w:r>
      <w:r>
        <w:t xml:space="preserve"> </w:t>
      </w:r>
      <w:r w:rsidRPr="00787183">
        <w:t>www.history.com/topics/sports/olympic-games</w:t>
      </w:r>
      <w:r>
        <w:t>.</w:t>
      </w:r>
    </w:p>
  </w:footnote>
  <w:footnote w:id="3">
    <w:p w14:paraId="6B487C58" w14:textId="6B69CD21" w:rsidR="00A54C43" w:rsidRPr="002920E2" w:rsidRDefault="00A54C43" w:rsidP="00CF5F12">
      <w:pPr>
        <w:pStyle w:val="Footnote"/>
        <w:jc w:val="both"/>
        <w:rPr>
          <w:lang w:val="en-US"/>
        </w:rPr>
      </w:pPr>
      <w:r>
        <w:rPr>
          <w:rStyle w:val="FootnoteReference"/>
        </w:rPr>
        <w:footnoteRef/>
      </w:r>
      <w:r>
        <w:t xml:space="preserve"> </w:t>
      </w:r>
      <w:r w:rsidRPr="001E2281">
        <w:t>Dave Roos, “When World Events Disrupted the Olympics,” History, March 24, 2020, accessed December 29, 2020, www.history.com/news/olympics-postponed-cancelled.</w:t>
      </w:r>
    </w:p>
  </w:footnote>
  <w:footnote w:id="4">
    <w:p w14:paraId="6F2429FC" w14:textId="44102584" w:rsidR="00FC3062" w:rsidRPr="00FC3062" w:rsidRDefault="00FC3062" w:rsidP="00FC3062">
      <w:pPr>
        <w:pStyle w:val="Footnote"/>
        <w:jc w:val="both"/>
      </w:pPr>
      <w:r>
        <w:rPr>
          <w:rStyle w:val="FootnoteReference"/>
        </w:rPr>
        <w:footnoteRef/>
      </w:r>
      <w:r>
        <w:t xml:space="preserve"> </w:t>
      </w:r>
      <w:hyperlink r:id="rId1" w:history="1">
        <w:r w:rsidRPr="00FC3062">
          <w:t>Adam Augustyn</w:t>
        </w:r>
      </w:hyperlink>
      <w:r w:rsidRPr="00FC3062">
        <w:t xml:space="preserve">, “Rio de Janeiro 2016 Olympic Games,” </w:t>
      </w:r>
      <w:r w:rsidR="00CD674B">
        <w:t xml:space="preserve">Britannica, </w:t>
      </w:r>
      <w:r w:rsidRPr="001E2281">
        <w:t xml:space="preserve">accessed </w:t>
      </w:r>
      <w:r>
        <w:t>May 18,</w:t>
      </w:r>
      <w:r w:rsidRPr="001E2281">
        <w:t xml:space="preserve"> 202</w:t>
      </w:r>
      <w:r>
        <w:t>1</w:t>
      </w:r>
      <w:r w:rsidRPr="001E2281">
        <w:t xml:space="preserve">, </w:t>
      </w:r>
      <w:r w:rsidRPr="00FC3062">
        <w:t>https://www.britannica.com/event/Rio-de-Janeiro-2016-Olympic-Games</w:t>
      </w:r>
      <w:r w:rsidR="00CD674B">
        <w:t>.</w:t>
      </w:r>
    </w:p>
  </w:footnote>
  <w:footnote w:id="5">
    <w:p w14:paraId="3FA94628" w14:textId="54EF4D98" w:rsidR="00A54C43" w:rsidRPr="002920E2" w:rsidRDefault="00A54C43" w:rsidP="00CF5F12">
      <w:pPr>
        <w:pStyle w:val="Footnote"/>
        <w:jc w:val="both"/>
        <w:rPr>
          <w:lang w:val="en-US"/>
        </w:rPr>
      </w:pPr>
      <w:r>
        <w:rPr>
          <w:rStyle w:val="FootnoteReference"/>
        </w:rPr>
        <w:footnoteRef/>
      </w:r>
      <w:r>
        <w:t xml:space="preserve"> </w:t>
      </w:r>
      <w:r w:rsidRPr="002920E2">
        <w:t>Dr</w:t>
      </w:r>
      <w:r>
        <w:t>. Alexandre Miguel Mestre, “</w:t>
      </w:r>
      <w:r w:rsidRPr="00F50664">
        <w:t>The Institutional Framework for the Development of Olympic Education and the Role of the National Olympic Academy</w:t>
      </w:r>
      <w:r>
        <w:t xml:space="preserve">,” </w:t>
      </w:r>
      <w:r w:rsidRPr="002920E2">
        <w:rPr>
          <w:i/>
        </w:rPr>
        <w:t>The Sport Journal</w:t>
      </w:r>
      <w:r>
        <w:t xml:space="preserve">, accessed March 24, 2021, </w:t>
      </w:r>
      <w:r w:rsidRPr="002920E2">
        <w:t>https://thesportjournal.org/article/the-institutional-framework-for-the-development-of-olympic-education-and-the-role-of-the-national-olympic-academy</w:t>
      </w:r>
      <w:r>
        <w:t>.</w:t>
      </w:r>
    </w:p>
  </w:footnote>
  <w:footnote w:id="6">
    <w:p w14:paraId="4BFB3AB4" w14:textId="078D79EA" w:rsidR="00A54C43" w:rsidRPr="00463746" w:rsidRDefault="00A54C43" w:rsidP="00CF5F12">
      <w:pPr>
        <w:pStyle w:val="Footnote"/>
        <w:jc w:val="both"/>
      </w:pPr>
      <w:r w:rsidRPr="0096272E">
        <w:rPr>
          <w:rStyle w:val="FootnoteReference"/>
        </w:rPr>
        <w:footnoteRef/>
      </w:r>
      <w:r w:rsidRPr="00463746">
        <w:t xml:space="preserve"> </w:t>
      </w:r>
      <w:r>
        <w:t>Ibid.</w:t>
      </w:r>
    </w:p>
  </w:footnote>
  <w:footnote w:id="7">
    <w:p w14:paraId="07ACB628" w14:textId="74E5EC4B" w:rsidR="00A54C43" w:rsidRPr="00D12A2E" w:rsidRDefault="00A54C43" w:rsidP="00CF5F12">
      <w:pPr>
        <w:pStyle w:val="Footnote"/>
        <w:jc w:val="both"/>
        <w:rPr>
          <w:lang w:val="en-US"/>
        </w:rPr>
      </w:pPr>
      <w:r>
        <w:rPr>
          <w:rStyle w:val="FootnoteReference"/>
        </w:rPr>
        <w:footnoteRef/>
      </w:r>
      <w:r>
        <w:t xml:space="preserve"> “</w:t>
      </w:r>
      <w:r w:rsidRPr="00D910AD">
        <w:t>Untold Lives Blog,</w:t>
      </w:r>
      <w:r>
        <w:t>”</w:t>
      </w:r>
      <w:r w:rsidRPr="00D910AD">
        <w:t xml:space="preserve"> British Library, August 3, 2012, accessed April 6, 2021,</w:t>
      </w:r>
      <w:r>
        <w:t xml:space="preserve"> </w:t>
      </w:r>
      <w:r w:rsidRPr="00A475D2">
        <w:t>https://britishlibrary.typepad.co.uk/untoldlives/2012/08/india-and-the-olympic-games.html</w:t>
      </w:r>
      <w:r>
        <w:t>.</w:t>
      </w:r>
    </w:p>
  </w:footnote>
  <w:footnote w:id="8">
    <w:p w14:paraId="30522045" w14:textId="598AC41F" w:rsidR="00A54C43" w:rsidRPr="00D12A2E" w:rsidRDefault="00A54C43" w:rsidP="00CF5F12">
      <w:pPr>
        <w:pStyle w:val="Footnote"/>
        <w:jc w:val="both"/>
        <w:rPr>
          <w:lang w:val="en-US"/>
        </w:rPr>
      </w:pPr>
      <w:r>
        <w:rPr>
          <w:rStyle w:val="FootnoteReference"/>
        </w:rPr>
        <w:footnoteRef/>
      </w:r>
      <w:r>
        <w:t xml:space="preserve"> </w:t>
      </w:r>
      <w:r w:rsidRPr="008F4B52">
        <w:t xml:space="preserve">Stan Rayan, </w:t>
      </w:r>
      <w:r>
        <w:t>“</w:t>
      </w:r>
      <w:r w:rsidRPr="008F4B52">
        <w:t xml:space="preserve">When Polley </w:t>
      </w:r>
      <w:r>
        <w:t>M</w:t>
      </w:r>
      <w:r w:rsidRPr="008F4B52">
        <w:t xml:space="preserve">ade </w:t>
      </w:r>
      <w:r>
        <w:t>H</w:t>
      </w:r>
      <w:r w:rsidRPr="008F4B52">
        <w:t>istory in Paris,</w:t>
      </w:r>
      <w:r>
        <w:t>”</w:t>
      </w:r>
      <w:r w:rsidRPr="008F4B52">
        <w:t xml:space="preserve"> </w:t>
      </w:r>
      <w:r w:rsidRPr="008F4B52">
        <w:rPr>
          <w:i/>
          <w:iCs/>
        </w:rPr>
        <w:t>The Hindu</w:t>
      </w:r>
      <w:r w:rsidRPr="008F4B52">
        <w:t xml:space="preserve">, July 14, 2012, accessed April 6, 2021, </w:t>
      </w:r>
      <w:r w:rsidRPr="0084417B">
        <w:t>www.thehindu.com/sport/tennis/when-polley-made-history-in-paris/article3635901.ece</w:t>
      </w:r>
      <w:r>
        <w:t>.</w:t>
      </w:r>
    </w:p>
  </w:footnote>
  <w:footnote w:id="9">
    <w:p w14:paraId="0007DA85" w14:textId="78903B67" w:rsidR="00A54C43" w:rsidRPr="00463746" w:rsidRDefault="00A54C43" w:rsidP="00CF5F12">
      <w:pPr>
        <w:pStyle w:val="Footnote"/>
        <w:jc w:val="both"/>
      </w:pPr>
      <w:r w:rsidRPr="0096272E">
        <w:rPr>
          <w:rStyle w:val="FootnoteReference"/>
        </w:rPr>
        <w:footnoteRef/>
      </w:r>
      <w:r w:rsidRPr="00463746">
        <w:t xml:space="preserve"> </w:t>
      </w:r>
      <w:r>
        <w:t>“</w:t>
      </w:r>
      <w:r w:rsidRPr="00463746">
        <w:t>History</w:t>
      </w:r>
      <w:r>
        <w:t>,”</w:t>
      </w:r>
      <w:r w:rsidRPr="00463746">
        <w:t xml:space="preserve"> Indian Olympic Association, accessed December 29, 2020, https://olympic.ind.in/ioa-history</w:t>
      </w:r>
      <w:r>
        <w:t>.</w:t>
      </w:r>
    </w:p>
  </w:footnote>
  <w:footnote w:id="10">
    <w:p w14:paraId="3B64855A" w14:textId="3B92C95B" w:rsidR="00A54C43" w:rsidRPr="00D12A2E" w:rsidRDefault="00A54C43" w:rsidP="00CF5F12">
      <w:pPr>
        <w:pStyle w:val="Footnote"/>
        <w:jc w:val="both"/>
        <w:rPr>
          <w:lang w:val="en-US"/>
        </w:rPr>
      </w:pPr>
      <w:r>
        <w:rPr>
          <w:rStyle w:val="FootnoteReference"/>
        </w:rPr>
        <w:footnoteRef/>
      </w:r>
      <w:r>
        <w:t xml:space="preserve"> “</w:t>
      </w:r>
      <w:r w:rsidRPr="008F4B52">
        <w:t>17 M</w:t>
      </w:r>
      <w:r>
        <w:t>ay</w:t>
      </w:r>
      <w:r w:rsidRPr="008F4B52">
        <w:t xml:space="preserve"> 1928 </w:t>
      </w:r>
      <w:r>
        <w:t>at the</w:t>
      </w:r>
      <w:r w:rsidRPr="008F4B52">
        <w:t xml:space="preserve"> G</w:t>
      </w:r>
      <w:r>
        <w:t>ames in</w:t>
      </w:r>
      <w:r w:rsidRPr="008F4B52">
        <w:t xml:space="preserve"> A</w:t>
      </w:r>
      <w:r>
        <w:t>msterdam</w:t>
      </w:r>
      <w:r w:rsidRPr="008F4B52">
        <w:t>: W</w:t>
      </w:r>
      <w:r>
        <w:t>hen the</w:t>
      </w:r>
      <w:r w:rsidRPr="008F4B52">
        <w:t xml:space="preserve"> W</w:t>
      </w:r>
      <w:r>
        <w:t>orld</w:t>
      </w:r>
      <w:r w:rsidRPr="008F4B52">
        <w:t xml:space="preserve"> D</w:t>
      </w:r>
      <w:r>
        <w:t>iscovered</w:t>
      </w:r>
      <w:r w:rsidRPr="008F4B52">
        <w:t xml:space="preserve"> M</w:t>
      </w:r>
      <w:r>
        <w:t>agician</w:t>
      </w:r>
      <w:r w:rsidRPr="008F4B52">
        <w:t xml:space="preserve"> D</w:t>
      </w:r>
      <w:r>
        <w:t>hyan</w:t>
      </w:r>
      <w:r w:rsidRPr="008F4B52">
        <w:t xml:space="preserve"> C</w:t>
      </w:r>
      <w:r>
        <w:t>hand</w:t>
      </w:r>
      <w:r w:rsidRPr="008F4B52">
        <w:t>,</w:t>
      </w:r>
      <w:r>
        <w:t>”</w:t>
      </w:r>
      <w:r w:rsidRPr="008F4B52">
        <w:t xml:space="preserve"> Olympic Games, May 17, 2019, accessed April 6, 2021, </w:t>
      </w:r>
      <w:r w:rsidRPr="00DD2E09">
        <w:t>www.olympic.org/news/17-may-1928-at-the-games-in-amsterdam-when-the-world-discovered-magician-dhyan-chand</w:t>
      </w:r>
      <w:r>
        <w:t>.</w:t>
      </w:r>
    </w:p>
  </w:footnote>
  <w:footnote w:id="11">
    <w:p w14:paraId="5A9CDE43" w14:textId="3B17F71C" w:rsidR="00A54C43" w:rsidRPr="00646B62" w:rsidRDefault="00A54C43" w:rsidP="00CF5F12">
      <w:pPr>
        <w:pStyle w:val="Footnote"/>
        <w:jc w:val="both"/>
      </w:pPr>
      <w:r>
        <w:rPr>
          <w:rStyle w:val="FootnoteReference"/>
        </w:rPr>
        <w:footnoteRef/>
      </w:r>
      <w:r>
        <w:t xml:space="preserve"> Harpal </w:t>
      </w:r>
      <w:r w:rsidRPr="00D12A2E">
        <w:t xml:space="preserve">Singh Bedi, </w:t>
      </w:r>
      <w:r>
        <w:t>“</w:t>
      </w:r>
      <w:r w:rsidRPr="00D12A2E">
        <w:t>India</w:t>
      </w:r>
      <w:r>
        <w:t>’</w:t>
      </w:r>
      <w:r w:rsidRPr="00D12A2E">
        <w:t xml:space="preserve">s </w:t>
      </w:r>
      <w:r>
        <w:t>B</w:t>
      </w:r>
      <w:r w:rsidRPr="00D12A2E">
        <w:t xml:space="preserve">iggest </w:t>
      </w:r>
      <w:r>
        <w:t>C</w:t>
      </w:r>
      <w:r w:rsidRPr="00D12A2E">
        <w:t xml:space="preserve">ontingent </w:t>
      </w:r>
      <w:r>
        <w:t>F</w:t>
      </w:r>
      <w:r w:rsidRPr="00D12A2E">
        <w:t xml:space="preserve">aces </w:t>
      </w:r>
      <w:r>
        <w:t>B</w:t>
      </w:r>
      <w:r w:rsidRPr="00D12A2E">
        <w:t xml:space="preserve">iggest </w:t>
      </w:r>
      <w:r>
        <w:t>C</w:t>
      </w:r>
      <w:r w:rsidRPr="00D12A2E">
        <w:t>hallenge at Rio</w:t>
      </w:r>
      <w:r>
        <w:t>,”</w:t>
      </w:r>
      <w:r w:rsidRPr="00D12A2E">
        <w:t> ABP News</w:t>
      </w:r>
      <w:r>
        <w:t xml:space="preserve">, </w:t>
      </w:r>
      <w:r w:rsidRPr="00D12A2E">
        <w:t xml:space="preserve">July </w:t>
      </w:r>
      <w:r>
        <w:t xml:space="preserve">30, </w:t>
      </w:r>
      <w:r w:rsidRPr="00D12A2E">
        <w:t>2016</w:t>
      </w:r>
      <w:r>
        <w:t xml:space="preserve">, accessed March 9, 2021, </w:t>
      </w:r>
      <w:r w:rsidRPr="00286BFA">
        <w:t>https://news.abplive.com/sports/indias-biggest-contingent-faces-biggest-challenge-at-rio-olympics-2016-389678</w:t>
      </w:r>
      <w:r w:rsidRPr="00D12A2E">
        <w:t>.</w:t>
      </w:r>
    </w:p>
  </w:footnote>
  <w:footnote w:id="12">
    <w:p w14:paraId="472780A1" w14:textId="6245AAF0" w:rsidR="00A54C43" w:rsidRPr="00646B62" w:rsidRDefault="00A54C43" w:rsidP="00CF5F12">
      <w:pPr>
        <w:pStyle w:val="Footnote"/>
        <w:jc w:val="both"/>
      </w:pPr>
      <w:r>
        <w:rPr>
          <w:rStyle w:val="FootnoteReference"/>
        </w:rPr>
        <w:footnoteRef/>
      </w:r>
      <w:r>
        <w:t xml:space="preserve"> Ibid</w:t>
      </w:r>
      <w:r w:rsidRPr="00D12A2E">
        <w:t>.</w:t>
      </w:r>
    </w:p>
  </w:footnote>
  <w:footnote w:id="13">
    <w:p w14:paraId="4856CC99" w14:textId="34D753BF" w:rsidR="00A54C43" w:rsidRPr="00463746" w:rsidRDefault="00A54C43" w:rsidP="00CF5F12">
      <w:pPr>
        <w:pStyle w:val="Footnote"/>
        <w:jc w:val="both"/>
      </w:pPr>
      <w:r w:rsidRPr="0096272E">
        <w:rPr>
          <w:rStyle w:val="FootnoteReference"/>
        </w:rPr>
        <w:footnoteRef/>
      </w:r>
      <w:r w:rsidRPr="00463746">
        <w:t xml:space="preserve"> </w:t>
      </w:r>
      <w:r>
        <w:t>“</w:t>
      </w:r>
      <w:r w:rsidRPr="00463746">
        <w:t>History</w:t>
      </w:r>
      <w:r>
        <w:t>,”</w:t>
      </w:r>
      <w:r w:rsidRPr="00463746">
        <w:t xml:space="preserve"> Indian Olympic Association, accessed December 29, 2020, https://olympic.ind.in/ioa-history</w:t>
      </w:r>
      <w:r>
        <w:t>.</w:t>
      </w:r>
    </w:p>
  </w:footnote>
  <w:footnote w:id="14">
    <w:p w14:paraId="3E5A6A68" w14:textId="77777777" w:rsidR="00A54C43" w:rsidRPr="00353AEE" w:rsidRDefault="00A54C43" w:rsidP="00CF5F12">
      <w:pPr>
        <w:pStyle w:val="Footnote"/>
        <w:jc w:val="both"/>
        <w:rPr>
          <w:lang w:val="en-US"/>
        </w:rPr>
      </w:pPr>
      <w:r>
        <w:rPr>
          <w:rStyle w:val="FootnoteReference"/>
        </w:rPr>
        <w:footnoteRef/>
      </w:r>
      <w:r>
        <w:t xml:space="preserve"> </w:t>
      </w:r>
      <w:r w:rsidRPr="000002D6">
        <w:t>Samrat Chakraborty</w:t>
      </w:r>
      <w:r>
        <w:t>,</w:t>
      </w:r>
      <w:r w:rsidRPr="000002D6">
        <w:t xml:space="preserve"> </w:t>
      </w:r>
      <w:r>
        <w:t>“I</w:t>
      </w:r>
      <w:r w:rsidRPr="00D12A2E">
        <w:t>ndia</w:t>
      </w:r>
      <w:r>
        <w:t xml:space="preserve"> </w:t>
      </w:r>
      <w:r w:rsidRPr="00D12A2E">
        <w:t>at</w:t>
      </w:r>
      <w:r>
        <w:t xml:space="preserve"> </w:t>
      </w:r>
      <w:r w:rsidRPr="00D12A2E">
        <w:t>the</w:t>
      </w:r>
      <w:r>
        <w:t xml:space="preserve"> P</w:t>
      </w:r>
      <w:r w:rsidRPr="00D12A2E">
        <w:t>aralympics</w:t>
      </w:r>
      <w:r>
        <w:t>: A B</w:t>
      </w:r>
      <w:r w:rsidRPr="00D12A2E">
        <w:t>rief</w:t>
      </w:r>
      <w:r>
        <w:t xml:space="preserve"> H</w:t>
      </w:r>
      <w:r w:rsidRPr="00D12A2E">
        <w:t>istory</w:t>
      </w:r>
      <w:r>
        <w:t>,” O</w:t>
      </w:r>
      <w:r w:rsidRPr="00D12A2E">
        <w:t>lympic</w:t>
      </w:r>
      <w:r>
        <w:t xml:space="preserve"> C</w:t>
      </w:r>
      <w:r w:rsidRPr="00D12A2E">
        <w:t>hanne</w:t>
      </w:r>
      <w:r>
        <w:t xml:space="preserve">l, </w:t>
      </w:r>
      <w:r w:rsidRPr="000002D6">
        <w:t xml:space="preserve">December </w:t>
      </w:r>
      <w:r>
        <w:t xml:space="preserve">19, </w:t>
      </w:r>
      <w:r w:rsidRPr="000002D6">
        <w:t>2020</w:t>
      </w:r>
      <w:r>
        <w:t xml:space="preserve">, </w:t>
      </w:r>
      <w:r w:rsidRPr="008F4B52">
        <w:t xml:space="preserve">accessed April 6, 2021, </w:t>
      </w:r>
      <w:r w:rsidRPr="00D12A2E">
        <w:t>www.olympicchannel.com/en/stories/features/detail/india-at-the-paralympics-a-brief-history</w:t>
      </w:r>
      <w:r>
        <w:t>.</w:t>
      </w:r>
    </w:p>
  </w:footnote>
  <w:footnote w:id="15">
    <w:p w14:paraId="7FBDFB9A" w14:textId="2EBAECCF" w:rsidR="00A54C43" w:rsidRPr="00353AEE" w:rsidRDefault="00A54C43" w:rsidP="00CF5F12">
      <w:pPr>
        <w:pStyle w:val="Footnote"/>
        <w:jc w:val="both"/>
        <w:rPr>
          <w:lang w:val="en-US"/>
        </w:rPr>
      </w:pPr>
      <w:r>
        <w:rPr>
          <w:rStyle w:val="FootnoteReference"/>
        </w:rPr>
        <w:footnoteRef/>
      </w:r>
      <w:r>
        <w:t xml:space="preserve"> Ibid.</w:t>
      </w:r>
    </w:p>
  </w:footnote>
  <w:footnote w:id="16">
    <w:p w14:paraId="5D6B0E64" w14:textId="541B7C51" w:rsidR="00A54C43" w:rsidRDefault="00A54C43" w:rsidP="00CF5F12">
      <w:pPr>
        <w:pStyle w:val="Footnote"/>
        <w:jc w:val="both"/>
      </w:pPr>
      <w:r w:rsidRPr="0096272E">
        <w:rPr>
          <w:rStyle w:val="FootnoteReference"/>
        </w:rPr>
        <w:footnoteRef/>
      </w:r>
      <w:r>
        <w:t xml:space="preserve"> “India: </w:t>
      </w:r>
      <w:r w:rsidRPr="00B0058A">
        <w:t xml:space="preserve">Demographic </w:t>
      </w:r>
      <w:r>
        <w:t>D</w:t>
      </w:r>
      <w:r w:rsidRPr="00B0058A">
        <w:t xml:space="preserve">ata as of July 1, 2020, </w:t>
      </w:r>
      <w:r>
        <w:t>E</w:t>
      </w:r>
      <w:r w:rsidRPr="00B0058A">
        <w:t xml:space="preserve">conomic </w:t>
      </w:r>
      <w:r>
        <w:t>D</w:t>
      </w:r>
      <w:r w:rsidRPr="00B0058A">
        <w:t>ata for 2019</w:t>
      </w:r>
      <w:r>
        <w:t xml:space="preserve">,” United States Census Bureau, accessed December 29, 2020, </w:t>
      </w:r>
      <w:r w:rsidRPr="00860880">
        <w:t>www.census.gov/popclock/world/in</w:t>
      </w:r>
      <w:r>
        <w:t>.</w:t>
      </w:r>
    </w:p>
  </w:footnote>
  <w:footnote w:id="17">
    <w:p w14:paraId="6F140B8F" w14:textId="3D7D1554" w:rsidR="00A54C43" w:rsidRPr="001E2281" w:rsidRDefault="00A54C43" w:rsidP="00CF5F12">
      <w:pPr>
        <w:pStyle w:val="Footnote"/>
        <w:jc w:val="both"/>
      </w:pPr>
      <w:r w:rsidRPr="001E2281">
        <w:rPr>
          <w:rStyle w:val="FootnoteReference"/>
        </w:rPr>
        <w:footnoteRef/>
      </w:r>
      <w:r w:rsidRPr="001E2281">
        <w:t xml:space="preserve"> Business Insider Indian Bureau, “Top 10 Largest Economies in the World,” </w:t>
      </w:r>
      <w:r w:rsidRPr="001E2281">
        <w:rPr>
          <w:i/>
          <w:iCs/>
        </w:rPr>
        <w:t>Business Insider</w:t>
      </w:r>
      <w:r w:rsidRPr="001E2281">
        <w:t>, May 5, 2020, accessed December 29, 2020, www.businessinsider.in/top-10-largest-economies-in-the-world/articleshow/70547252.cms.</w:t>
      </w:r>
    </w:p>
  </w:footnote>
  <w:footnote w:id="18">
    <w:p w14:paraId="6F0C691A" w14:textId="02A8128F" w:rsidR="00A54C43" w:rsidRDefault="00A54C43" w:rsidP="00CF5F12">
      <w:pPr>
        <w:pStyle w:val="Footnote"/>
        <w:jc w:val="both"/>
      </w:pPr>
      <w:r w:rsidRPr="0096272E">
        <w:rPr>
          <w:rStyle w:val="FootnoteReference"/>
        </w:rPr>
        <w:footnoteRef/>
      </w:r>
      <w:r>
        <w:t xml:space="preserve"> </w:t>
      </w:r>
      <w:r w:rsidRPr="00507D5A">
        <w:t>Olympic</w:t>
      </w:r>
      <w:r>
        <w:t xml:space="preserve"> </w:t>
      </w:r>
      <w:r w:rsidRPr="00507D5A">
        <w:t xml:space="preserve">Channel Writer, </w:t>
      </w:r>
      <w:r>
        <w:t>“</w:t>
      </w:r>
      <w:r w:rsidRPr="00507D5A">
        <w:t>From Dhyan Chand to PV Sindhu: India</w:t>
      </w:r>
      <w:r>
        <w:t>’</w:t>
      </w:r>
      <w:r w:rsidRPr="00507D5A">
        <w:t xml:space="preserve">s </w:t>
      </w:r>
      <w:r>
        <w:t>G</w:t>
      </w:r>
      <w:r w:rsidRPr="00507D5A">
        <w:t xml:space="preserve">lorious </w:t>
      </w:r>
      <w:r>
        <w:t>R</w:t>
      </w:r>
      <w:r w:rsidRPr="00507D5A">
        <w:t>un at the Olympics</w:t>
      </w:r>
      <w:r>
        <w:t xml:space="preserve">,” Olympic Channel, </w:t>
      </w:r>
      <w:r w:rsidRPr="001E2281">
        <w:t>December 31, 2019, assessed December 29, 2020, www.olympicchannel.com/en/stories/features/detail/india-</w:t>
      </w:r>
      <w:r w:rsidRPr="00860880">
        <w:t>olympics-medals</w:t>
      </w:r>
      <w:r>
        <w:t>.</w:t>
      </w:r>
    </w:p>
  </w:footnote>
  <w:footnote w:id="19">
    <w:p w14:paraId="236D9559" w14:textId="04DC9FAA" w:rsidR="00A54C43" w:rsidRDefault="00A54C43" w:rsidP="00CF5F12">
      <w:pPr>
        <w:pStyle w:val="Footnote"/>
        <w:jc w:val="both"/>
      </w:pPr>
      <w:r w:rsidRPr="0096272E">
        <w:rPr>
          <w:rStyle w:val="FootnoteReference"/>
        </w:rPr>
        <w:footnoteRef/>
      </w:r>
      <w:r>
        <w:t xml:space="preserve"> “About the BCCI: History,” Board of Control for the Cricket in India (BCCI), accessed December 29, 2020, </w:t>
      </w:r>
      <w:r w:rsidRPr="00860880">
        <w:t>www.bcci.tv/about/history</w:t>
      </w:r>
      <w:r>
        <w:t>.</w:t>
      </w:r>
    </w:p>
  </w:footnote>
  <w:footnote w:id="20">
    <w:p w14:paraId="00586F2C" w14:textId="4B2FDA8F" w:rsidR="00A54C43" w:rsidRPr="00B30969" w:rsidRDefault="00A54C43" w:rsidP="00CF5F12">
      <w:pPr>
        <w:pStyle w:val="Footnote"/>
        <w:jc w:val="both"/>
      </w:pPr>
      <w:r>
        <w:rPr>
          <w:rStyle w:val="FootnoteReference"/>
        </w:rPr>
        <w:footnoteRef/>
      </w:r>
      <w:r>
        <w:t xml:space="preserve"> </w:t>
      </w:r>
      <w:r>
        <w:rPr>
          <w:lang w:val="en-US"/>
        </w:rPr>
        <w:t>“</w:t>
      </w:r>
      <w:r w:rsidRPr="00B30969">
        <w:t xml:space="preserve">About </w:t>
      </w:r>
      <w:r>
        <w:t>O</w:t>
      </w:r>
      <w:r w:rsidRPr="00B30969">
        <w:t xml:space="preserve">ur </w:t>
      </w:r>
      <w:r>
        <w:t>M</w:t>
      </w:r>
      <w:r w:rsidRPr="00B30969">
        <w:t>embers,”</w:t>
      </w:r>
      <w:r>
        <w:t xml:space="preserve"> International Cricket Council, accessed March 8, 2021, </w:t>
      </w:r>
      <w:r w:rsidRPr="00B30969">
        <w:t>www.icc-cricket.com/about/members/about-our-members</w:t>
      </w:r>
      <w:r>
        <w:t>.</w:t>
      </w:r>
    </w:p>
  </w:footnote>
  <w:footnote w:id="21">
    <w:p w14:paraId="0033BB3B" w14:textId="64DC9644" w:rsidR="00A54C43" w:rsidRPr="00B30969" w:rsidRDefault="00A54C43" w:rsidP="00CF5F12">
      <w:pPr>
        <w:pStyle w:val="Footnote"/>
        <w:jc w:val="both"/>
      </w:pPr>
      <w:r w:rsidRPr="00CF5F12">
        <w:rPr>
          <w:vertAlign w:val="superscript"/>
        </w:rPr>
        <w:footnoteRef/>
      </w:r>
      <w:r>
        <w:t xml:space="preserve"> </w:t>
      </w:r>
      <w:r w:rsidRPr="00B30969">
        <w:t xml:space="preserve">Anirudh Krishna, </w:t>
      </w:r>
      <w:r w:rsidRPr="00CF5F12">
        <w:rPr>
          <w:i/>
          <w:iCs/>
        </w:rPr>
        <w:t>The Broken Ladder: The Paradox and Potential of India's One-Billion</w:t>
      </w:r>
      <w:r w:rsidRPr="00B30969">
        <w:t xml:space="preserve"> </w:t>
      </w:r>
      <w:r>
        <w:t xml:space="preserve">(Cambridge, UK: </w:t>
      </w:r>
      <w:r w:rsidRPr="00B30969">
        <w:t>Cambridge University Press</w:t>
      </w:r>
      <w:r>
        <w:t>,</w:t>
      </w:r>
      <w:r w:rsidRPr="00B30969">
        <w:t xml:space="preserve"> 2017).</w:t>
      </w:r>
    </w:p>
  </w:footnote>
  <w:footnote w:id="22">
    <w:p w14:paraId="131C6702" w14:textId="7D7D9F18" w:rsidR="00A54C43" w:rsidRDefault="00A54C43" w:rsidP="00CF5F12">
      <w:pPr>
        <w:pStyle w:val="Footnote"/>
        <w:jc w:val="both"/>
      </w:pPr>
      <w:r>
        <w:rPr>
          <w:rStyle w:val="FootnoteReference"/>
        </w:rPr>
        <w:footnoteRef/>
      </w:r>
      <w:r>
        <w:t xml:space="preserve"> “India,” Olympic Games, accessed February 9, 2021, </w:t>
      </w:r>
      <w:r w:rsidRPr="0096295A">
        <w:t>www.olympic.org/india</w:t>
      </w:r>
      <w:r>
        <w:t>.</w:t>
      </w:r>
    </w:p>
  </w:footnote>
  <w:footnote w:id="23">
    <w:p w14:paraId="1E886549" w14:textId="7CE59762" w:rsidR="00A54C43" w:rsidRDefault="00A54C43" w:rsidP="00CF5F12">
      <w:pPr>
        <w:pStyle w:val="Footnote"/>
        <w:jc w:val="both"/>
      </w:pPr>
      <w:r>
        <w:rPr>
          <w:rStyle w:val="FootnoteReference"/>
        </w:rPr>
        <w:footnoteRef/>
      </w:r>
      <w:r>
        <w:t xml:space="preserve"> “Laxmi Mittal Trust Which Funded India’s Star Athletes Shuts Down,” </w:t>
      </w:r>
      <w:r w:rsidRPr="00F42D11">
        <w:rPr>
          <w:i/>
          <w:iCs/>
        </w:rPr>
        <w:t>Indian Express</w:t>
      </w:r>
      <w:r>
        <w:t xml:space="preserve">, March 12, 2014, accessed February 9, 2021, </w:t>
      </w:r>
      <w:r w:rsidRPr="00267B6C">
        <w:t>https://indianexpress.com/article/india/india-others/mittal-trust-which-funded-indias-star-athletes-shuts-down</w:t>
      </w:r>
      <w:r>
        <w:t>.</w:t>
      </w:r>
    </w:p>
  </w:footnote>
  <w:footnote w:id="24">
    <w:p w14:paraId="7456F95C" w14:textId="574D473D" w:rsidR="00A54C43" w:rsidRDefault="00A54C43" w:rsidP="00CF5F12">
      <w:pPr>
        <w:pStyle w:val="Footnote"/>
        <w:jc w:val="both"/>
      </w:pPr>
      <w:r>
        <w:rPr>
          <w:rStyle w:val="FootnoteReference"/>
        </w:rPr>
        <w:footnoteRef/>
      </w:r>
      <w:r>
        <w:t xml:space="preserve"> “About Us: Vision and Mission,” GoSports, accessed February 9, 2021, </w:t>
      </w:r>
      <w:r w:rsidRPr="00F7163E">
        <w:t>www.gosportsfoundation.in/about-us</w:t>
      </w:r>
      <w:r>
        <w:t>.</w:t>
      </w:r>
    </w:p>
  </w:footnote>
  <w:footnote w:id="25">
    <w:p w14:paraId="3C85A150" w14:textId="54B0DFC0" w:rsidR="00A54C43" w:rsidRPr="001E2281" w:rsidRDefault="00A54C43" w:rsidP="00CF5F12">
      <w:pPr>
        <w:pStyle w:val="Footnote"/>
        <w:jc w:val="both"/>
      </w:pPr>
      <w:r>
        <w:rPr>
          <w:rStyle w:val="FootnoteReference"/>
        </w:rPr>
        <w:footnoteRef/>
      </w:r>
      <w:r>
        <w:t xml:space="preserve"> “CSR in India is Now a Law:  A Look into How Things Have Changed One Year On,” B the Change, June 7, 2016, </w:t>
      </w:r>
      <w:r w:rsidRPr="001E2281">
        <w:t>accessed February 10, 2021, https://bthechange.com/csr-in-india-is-now-a-law-2502aa6d0daa.</w:t>
      </w:r>
    </w:p>
  </w:footnote>
  <w:footnote w:id="26">
    <w:p w14:paraId="29A53F51" w14:textId="54FBED0D" w:rsidR="00A54C43" w:rsidRPr="001E2281" w:rsidRDefault="00A54C43" w:rsidP="00CF5F12">
      <w:pPr>
        <w:pStyle w:val="Footnote"/>
        <w:jc w:val="both"/>
      </w:pPr>
      <w:r w:rsidRPr="001E2281">
        <w:rPr>
          <w:rStyle w:val="FootnoteReference"/>
        </w:rPr>
        <w:footnoteRef/>
      </w:r>
      <w:r w:rsidRPr="001E2281">
        <w:t xml:space="preserve"> “CSR Spending on Sports by Corporate India,” India CSR, June 1, 2018, accessed February 10, 2021, https://indiacsr.in/csr-spending-sports-corporate-india.</w:t>
      </w:r>
    </w:p>
  </w:footnote>
  <w:footnote w:id="27">
    <w:p w14:paraId="3E07342D" w14:textId="3685E474" w:rsidR="00A54C43" w:rsidRPr="001E2281" w:rsidRDefault="00A54C43" w:rsidP="00CF5F12">
      <w:pPr>
        <w:pStyle w:val="Footnote"/>
        <w:jc w:val="both"/>
        <w:rPr>
          <w:lang w:val="en-IN"/>
        </w:rPr>
      </w:pPr>
      <w:r w:rsidRPr="001E2281">
        <w:rPr>
          <w:rStyle w:val="FootnoteReference"/>
        </w:rPr>
        <w:footnoteRef/>
      </w:r>
      <w:r w:rsidRPr="001E2281">
        <w:t xml:space="preserve"> See, for example, IndusInd for Sport, launched by IndusInd Bank Ltd. with Go Sports: IndusInd Bank, “IndusInd Bank Launches ‘IndusInd For Sports,’ A Non-Banking Sports Vertical,” press release, April 1, 2016, accessed, July 1, 2020, https://oldweb.indusind.com/content/forsports/media/press-release/indusInd-for-sports.html.</w:t>
      </w:r>
    </w:p>
  </w:footnote>
  <w:footnote w:id="28">
    <w:p w14:paraId="67F6E1E1" w14:textId="77DC6CBA" w:rsidR="00A54C43" w:rsidRPr="00353AEE" w:rsidRDefault="00A54C43" w:rsidP="00CF5F12">
      <w:pPr>
        <w:pStyle w:val="Footnote"/>
        <w:jc w:val="both"/>
        <w:rPr>
          <w:lang w:val="en-US"/>
        </w:rPr>
      </w:pPr>
      <w:r>
        <w:rPr>
          <w:rStyle w:val="FootnoteReference"/>
        </w:rPr>
        <w:footnoteRef/>
      </w:r>
      <w:r>
        <w:t xml:space="preserve"> </w:t>
      </w:r>
      <w:r>
        <w:rPr>
          <w:shd w:val="clear" w:color="auto" w:fill="FFFFFF"/>
        </w:rPr>
        <w:t xml:space="preserve">KPMG, “CSR Expenditure by Schedule VII Activities,” in </w:t>
      </w:r>
      <w:r w:rsidRPr="00F962B9">
        <w:rPr>
          <w:i/>
          <w:iCs/>
          <w:shd w:val="clear" w:color="auto" w:fill="FFFFFF"/>
        </w:rPr>
        <w:t>India’s CSR Reporting Survey 2019</w:t>
      </w:r>
      <w:r>
        <w:rPr>
          <w:shd w:val="clear" w:color="auto" w:fill="FFFFFF"/>
        </w:rPr>
        <w:t xml:space="preserve">, 39–40, February 2020, accessed February 10, 2021, </w:t>
      </w:r>
      <w:r w:rsidRPr="007767C0">
        <w:rPr>
          <w:shd w:val="clear" w:color="auto" w:fill="FFFFFF"/>
        </w:rPr>
        <w:t>https://assets.kpmg/content/dam/kpmg/in/pdf/2020/02/india-s-csr-reporting-survey-2019.pdf</w:t>
      </w:r>
      <w:r>
        <w:rPr>
          <w:shd w:val="clear" w:color="auto" w:fill="FFFFFF"/>
        </w:rPr>
        <w:t>.</w:t>
      </w:r>
    </w:p>
  </w:footnote>
  <w:footnote w:id="29">
    <w:p w14:paraId="7F2687F0" w14:textId="5E4413AE" w:rsidR="00A54C43" w:rsidRDefault="00A54C43" w:rsidP="00CF5F12">
      <w:pPr>
        <w:pStyle w:val="Footnote"/>
        <w:jc w:val="both"/>
      </w:pPr>
      <w:r>
        <w:rPr>
          <w:rStyle w:val="FootnoteReference"/>
        </w:rPr>
        <w:footnoteRef/>
      </w:r>
      <w:r>
        <w:t xml:space="preserve"> ₹ = INR = Indian rupee; US$1 = ₹71.78 on December 1, 2019; all currency amounts are in ₹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CC19" w14:textId="64F3B90D" w:rsidR="00A54C43" w:rsidRPr="00C92CC4" w:rsidRDefault="00A54C4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5</w:t>
    </w:r>
    <w:r>
      <w:rPr>
        <w:rFonts w:ascii="Arial" w:hAnsi="Arial"/>
        <w:b/>
      </w:rPr>
      <w:fldChar w:fldCharType="end"/>
    </w:r>
    <w:r>
      <w:rPr>
        <w:rFonts w:ascii="Arial" w:hAnsi="Arial"/>
        <w:b/>
      </w:rPr>
      <w:tab/>
    </w:r>
    <w:r w:rsidR="00CD674B">
      <w:rPr>
        <w:rFonts w:ascii="Arial" w:hAnsi="Arial"/>
        <w:b/>
      </w:rPr>
      <w:t>9B21M053</w:t>
    </w:r>
  </w:p>
  <w:p w14:paraId="3F83B9A4" w14:textId="77777777" w:rsidR="00A54C43" w:rsidRDefault="00A54C43" w:rsidP="00D13667">
    <w:pPr>
      <w:pStyle w:val="Header"/>
      <w:tabs>
        <w:tab w:val="clear" w:pos="4680"/>
      </w:tabs>
      <w:rPr>
        <w:sz w:val="18"/>
        <w:szCs w:val="18"/>
      </w:rPr>
    </w:pPr>
  </w:p>
  <w:p w14:paraId="3B75AB42" w14:textId="77777777" w:rsidR="00A54C43" w:rsidRPr="00C92CC4" w:rsidRDefault="00A54C4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6A39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9CE4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D689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500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B2494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679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BEBB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9AAF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6C26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2059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762E6F"/>
    <w:multiLevelType w:val="hybridMultilevel"/>
    <w:tmpl w:val="31CA6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FC74A9"/>
    <w:multiLevelType w:val="hybridMultilevel"/>
    <w:tmpl w:val="ABA8E00E"/>
    <w:lvl w:ilvl="0" w:tplc="6E6456F4">
      <w:start w:val="1"/>
      <w:numFmt w:val="bullet"/>
      <w:lvlText w:val=""/>
      <w:lvlJc w:val="left"/>
      <w:pPr>
        <w:ind w:left="360" w:hanging="360"/>
      </w:pPr>
      <w:rPr>
        <w:rFonts w:ascii="Symbol" w:hAnsi="Symbol" w:hint="default"/>
      </w:rPr>
    </w:lvl>
    <w:lvl w:ilvl="1" w:tplc="682A9BC2">
      <w:start w:val="1"/>
      <w:numFmt w:val="bullet"/>
      <w:lvlText w:val="o"/>
      <w:lvlJc w:val="left"/>
      <w:pPr>
        <w:ind w:left="1080" w:hanging="360"/>
      </w:pPr>
      <w:rPr>
        <w:rFonts w:ascii="Courier New" w:hAnsi="Courier New" w:cs="Courier New" w:hint="default"/>
      </w:rPr>
    </w:lvl>
    <w:lvl w:ilvl="2" w:tplc="0082F8A6">
      <w:start w:val="1"/>
      <w:numFmt w:val="bullet"/>
      <w:lvlText w:val=""/>
      <w:lvlJc w:val="left"/>
      <w:pPr>
        <w:ind w:left="1800" w:hanging="360"/>
      </w:pPr>
      <w:rPr>
        <w:rFonts w:ascii="Wingdings" w:hAnsi="Wingdings" w:hint="default"/>
      </w:rPr>
    </w:lvl>
    <w:lvl w:ilvl="3" w:tplc="A492EBD6">
      <w:start w:val="1"/>
      <w:numFmt w:val="bullet"/>
      <w:lvlText w:val=""/>
      <w:lvlJc w:val="left"/>
      <w:pPr>
        <w:ind w:left="2520" w:hanging="360"/>
      </w:pPr>
      <w:rPr>
        <w:rFonts w:ascii="Symbol" w:hAnsi="Symbol" w:hint="default"/>
      </w:rPr>
    </w:lvl>
    <w:lvl w:ilvl="4" w:tplc="26260510">
      <w:start w:val="1"/>
      <w:numFmt w:val="bullet"/>
      <w:lvlText w:val="o"/>
      <w:lvlJc w:val="left"/>
      <w:pPr>
        <w:ind w:left="3240" w:hanging="360"/>
      </w:pPr>
      <w:rPr>
        <w:rFonts w:ascii="Courier New" w:hAnsi="Courier New" w:cs="Courier New" w:hint="default"/>
      </w:rPr>
    </w:lvl>
    <w:lvl w:ilvl="5" w:tplc="9BFA36F6">
      <w:start w:val="1"/>
      <w:numFmt w:val="bullet"/>
      <w:lvlText w:val=""/>
      <w:lvlJc w:val="left"/>
      <w:pPr>
        <w:ind w:left="3960" w:hanging="360"/>
      </w:pPr>
      <w:rPr>
        <w:rFonts w:ascii="Wingdings" w:hAnsi="Wingdings" w:hint="default"/>
      </w:rPr>
    </w:lvl>
    <w:lvl w:ilvl="6" w:tplc="D8E43676">
      <w:start w:val="1"/>
      <w:numFmt w:val="bullet"/>
      <w:lvlText w:val=""/>
      <w:lvlJc w:val="left"/>
      <w:pPr>
        <w:ind w:left="4680" w:hanging="360"/>
      </w:pPr>
      <w:rPr>
        <w:rFonts w:ascii="Symbol" w:hAnsi="Symbol" w:hint="default"/>
      </w:rPr>
    </w:lvl>
    <w:lvl w:ilvl="7" w:tplc="DA244CA4">
      <w:start w:val="1"/>
      <w:numFmt w:val="bullet"/>
      <w:lvlText w:val="o"/>
      <w:lvlJc w:val="left"/>
      <w:pPr>
        <w:ind w:left="5400" w:hanging="360"/>
      </w:pPr>
      <w:rPr>
        <w:rFonts w:ascii="Courier New" w:hAnsi="Courier New" w:cs="Courier New" w:hint="default"/>
      </w:rPr>
    </w:lvl>
    <w:lvl w:ilvl="8" w:tplc="92ECF2C2">
      <w:start w:val="1"/>
      <w:numFmt w:val="bullet"/>
      <w:lvlText w:val=""/>
      <w:lvlJc w:val="left"/>
      <w:pPr>
        <w:ind w:left="6120" w:hanging="360"/>
      </w:pPr>
      <w:rPr>
        <w:rFonts w:ascii="Wingdings" w:hAnsi="Wingdings" w:hint="default"/>
      </w:r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E1E0B"/>
    <w:multiLevelType w:val="hybridMultilevel"/>
    <w:tmpl w:val="993CF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5"/>
  </w:num>
  <w:num w:numId="4">
    <w:abstractNumId w:val="22"/>
  </w:num>
  <w:num w:numId="5">
    <w:abstractNumId w:val="16"/>
  </w:num>
  <w:num w:numId="6">
    <w:abstractNumId w:val="20"/>
  </w:num>
  <w:num w:numId="7">
    <w:abstractNumId w:val="11"/>
  </w:num>
  <w:num w:numId="8">
    <w:abstractNumId w:val="24"/>
  </w:num>
  <w:num w:numId="9">
    <w:abstractNumId w:val="21"/>
  </w:num>
  <w:num w:numId="10">
    <w:abstractNumId w:val="13"/>
  </w:num>
  <w:num w:numId="11">
    <w:abstractNumId w:val="18"/>
  </w:num>
  <w:num w:numId="12">
    <w:abstractNumId w:val="19"/>
  </w:num>
  <w:num w:numId="13">
    <w:abstractNumId w:val="10"/>
  </w:num>
  <w:num w:numId="14">
    <w:abstractNumId w:val="14"/>
  </w:num>
  <w:num w:numId="15">
    <w:abstractNumId w:val="12"/>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2D6"/>
    <w:rsid w:val="0000085A"/>
    <w:rsid w:val="00001325"/>
    <w:rsid w:val="00002A42"/>
    <w:rsid w:val="00002FF7"/>
    <w:rsid w:val="000079A5"/>
    <w:rsid w:val="000132EC"/>
    <w:rsid w:val="00013360"/>
    <w:rsid w:val="00015BC3"/>
    <w:rsid w:val="00016759"/>
    <w:rsid w:val="000216CE"/>
    <w:rsid w:val="00021907"/>
    <w:rsid w:val="00024B90"/>
    <w:rsid w:val="00024ED4"/>
    <w:rsid w:val="00025DC7"/>
    <w:rsid w:val="0002724A"/>
    <w:rsid w:val="00035F09"/>
    <w:rsid w:val="00044ECC"/>
    <w:rsid w:val="000531D3"/>
    <w:rsid w:val="00054F07"/>
    <w:rsid w:val="0005646B"/>
    <w:rsid w:val="000615D1"/>
    <w:rsid w:val="0006239B"/>
    <w:rsid w:val="0007334A"/>
    <w:rsid w:val="00073E93"/>
    <w:rsid w:val="00080CEA"/>
    <w:rsid w:val="0008102D"/>
    <w:rsid w:val="0008134F"/>
    <w:rsid w:val="00086B26"/>
    <w:rsid w:val="000908C9"/>
    <w:rsid w:val="00094C0E"/>
    <w:rsid w:val="00096E2E"/>
    <w:rsid w:val="00097A81"/>
    <w:rsid w:val="000A146D"/>
    <w:rsid w:val="000A1CA4"/>
    <w:rsid w:val="000A74B6"/>
    <w:rsid w:val="000B49C7"/>
    <w:rsid w:val="000B619E"/>
    <w:rsid w:val="000D2A2F"/>
    <w:rsid w:val="000D7091"/>
    <w:rsid w:val="000E5580"/>
    <w:rsid w:val="000F0C22"/>
    <w:rsid w:val="000F1E11"/>
    <w:rsid w:val="000F27CA"/>
    <w:rsid w:val="000F6B09"/>
    <w:rsid w:val="000F6FDC"/>
    <w:rsid w:val="00104508"/>
    <w:rsid w:val="00104567"/>
    <w:rsid w:val="00104916"/>
    <w:rsid w:val="00104AA7"/>
    <w:rsid w:val="0012732D"/>
    <w:rsid w:val="00127BEB"/>
    <w:rsid w:val="00143F25"/>
    <w:rsid w:val="00152682"/>
    <w:rsid w:val="001546AF"/>
    <w:rsid w:val="00154FC9"/>
    <w:rsid w:val="0016701B"/>
    <w:rsid w:val="001744EA"/>
    <w:rsid w:val="0017630D"/>
    <w:rsid w:val="001834F2"/>
    <w:rsid w:val="00187ADE"/>
    <w:rsid w:val="001901C0"/>
    <w:rsid w:val="0019241A"/>
    <w:rsid w:val="00192A18"/>
    <w:rsid w:val="00193E9B"/>
    <w:rsid w:val="001A22D1"/>
    <w:rsid w:val="001A3911"/>
    <w:rsid w:val="001A752D"/>
    <w:rsid w:val="001A757E"/>
    <w:rsid w:val="001B5032"/>
    <w:rsid w:val="001B61F2"/>
    <w:rsid w:val="001C7777"/>
    <w:rsid w:val="001D344B"/>
    <w:rsid w:val="001E1A8F"/>
    <w:rsid w:val="001E2281"/>
    <w:rsid w:val="001E364F"/>
    <w:rsid w:val="001E50FB"/>
    <w:rsid w:val="001E66D3"/>
    <w:rsid w:val="001F26EF"/>
    <w:rsid w:val="001F4222"/>
    <w:rsid w:val="00203AA1"/>
    <w:rsid w:val="00213E98"/>
    <w:rsid w:val="00214E43"/>
    <w:rsid w:val="002224FA"/>
    <w:rsid w:val="00230150"/>
    <w:rsid w:val="0023081A"/>
    <w:rsid w:val="00233111"/>
    <w:rsid w:val="00241327"/>
    <w:rsid w:val="00265FA8"/>
    <w:rsid w:val="00267121"/>
    <w:rsid w:val="00267B6C"/>
    <w:rsid w:val="00272495"/>
    <w:rsid w:val="002827C6"/>
    <w:rsid w:val="002869CC"/>
    <w:rsid w:val="00286BFA"/>
    <w:rsid w:val="00291B86"/>
    <w:rsid w:val="002920E2"/>
    <w:rsid w:val="002B40FF"/>
    <w:rsid w:val="002B64AB"/>
    <w:rsid w:val="002B7D4B"/>
    <w:rsid w:val="002C4E29"/>
    <w:rsid w:val="002D53FD"/>
    <w:rsid w:val="002F460C"/>
    <w:rsid w:val="002F48D6"/>
    <w:rsid w:val="00317391"/>
    <w:rsid w:val="003246D4"/>
    <w:rsid w:val="00326216"/>
    <w:rsid w:val="0033476F"/>
    <w:rsid w:val="00336580"/>
    <w:rsid w:val="00340E45"/>
    <w:rsid w:val="0035029F"/>
    <w:rsid w:val="00353AEE"/>
    <w:rsid w:val="00354899"/>
    <w:rsid w:val="00355FD6"/>
    <w:rsid w:val="00364A5C"/>
    <w:rsid w:val="00373FB1"/>
    <w:rsid w:val="003940E7"/>
    <w:rsid w:val="00396C76"/>
    <w:rsid w:val="003A2D50"/>
    <w:rsid w:val="003B30D8"/>
    <w:rsid w:val="003B7EF2"/>
    <w:rsid w:val="003C3FA4"/>
    <w:rsid w:val="003C6ACA"/>
    <w:rsid w:val="003D0BA1"/>
    <w:rsid w:val="003D6892"/>
    <w:rsid w:val="003E027A"/>
    <w:rsid w:val="003E4A9C"/>
    <w:rsid w:val="003F18A7"/>
    <w:rsid w:val="003F1CDC"/>
    <w:rsid w:val="003F2B0C"/>
    <w:rsid w:val="004105B2"/>
    <w:rsid w:val="0041145A"/>
    <w:rsid w:val="004120F3"/>
    <w:rsid w:val="00412900"/>
    <w:rsid w:val="004221E4"/>
    <w:rsid w:val="004273F8"/>
    <w:rsid w:val="00431B09"/>
    <w:rsid w:val="004355A3"/>
    <w:rsid w:val="00445284"/>
    <w:rsid w:val="00446546"/>
    <w:rsid w:val="00452769"/>
    <w:rsid w:val="00454FA7"/>
    <w:rsid w:val="00455AB1"/>
    <w:rsid w:val="004624F7"/>
    <w:rsid w:val="004634BE"/>
    <w:rsid w:val="00463746"/>
    <w:rsid w:val="00465348"/>
    <w:rsid w:val="00485BDD"/>
    <w:rsid w:val="0048615A"/>
    <w:rsid w:val="00494FA1"/>
    <w:rsid w:val="004979A5"/>
    <w:rsid w:val="004A25E0"/>
    <w:rsid w:val="004B1CCB"/>
    <w:rsid w:val="004B632F"/>
    <w:rsid w:val="004B7836"/>
    <w:rsid w:val="004D38C1"/>
    <w:rsid w:val="004D3FB1"/>
    <w:rsid w:val="004D6F21"/>
    <w:rsid w:val="004D73A5"/>
    <w:rsid w:val="004D7D32"/>
    <w:rsid w:val="004F4791"/>
    <w:rsid w:val="004F6EB2"/>
    <w:rsid w:val="00507D5A"/>
    <w:rsid w:val="005160F1"/>
    <w:rsid w:val="00516C7B"/>
    <w:rsid w:val="0052167D"/>
    <w:rsid w:val="00524F2F"/>
    <w:rsid w:val="00527E5C"/>
    <w:rsid w:val="00532CF5"/>
    <w:rsid w:val="005528CB"/>
    <w:rsid w:val="00554459"/>
    <w:rsid w:val="00566771"/>
    <w:rsid w:val="005722BE"/>
    <w:rsid w:val="00581E2E"/>
    <w:rsid w:val="00584F15"/>
    <w:rsid w:val="0058586C"/>
    <w:rsid w:val="00591F62"/>
    <w:rsid w:val="0059514B"/>
    <w:rsid w:val="00597160"/>
    <w:rsid w:val="005A1B0F"/>
    <w:rsid w:val="005A7402"/>
    <w:rsid w:val="005B0529"/>
    <w:rsid w:val="005B25E8"/>
    <w:rsid w:val="005B4CE6"/>
    <w:rsid w:val="005B5EFE"/>
    <w:rsid w:val="005E6360"/>
    <w:rsid w:val="00605379"/>
    <w:rsid w:val="006163F7"/>
    <w:rsid w:val="006179D4"/>
    <w:rsid w:val="00627C63"/>
    <w:rsid w:val="0063350B"/>
    <w:rsid w:val="00637C86"/>
    <w:rsid w:val="00646B62"/>
    <w:rsid w:val="006501A0"/>
    <w:rsid w:val="006515AF"/>
    <w:rsid w:val="00652606"/>
    <w:rsid w:val="006710DC"/>
    <w:rsid w:val="00676B2A"/>
    <w:rsid w:val="006946EE"/>
    <w:rsid w:val="006A58A9"/>
    <w:rsid w:val="006A606D"/>
    <w:rsid w:val="006B2DB8"/>
    <w:rsid w:val="006B3422"/>
    <w:rsid w:val="006C0371"/>
    <w:rsid w:val="006C08B6"/>
    <w:rsid w:val="006C0B1A"/>
    <w:rsid w:val="006C6065"/>
    <w:rsid w:val="006C7F9F"/>
    <w:rsid w:val="006D32A2"/>
    <w:rsid w:val="006E0784"/>
    <w:rsid w:val="006E2F6D"/>
    <w:rsid w:val="006E58F6"/>
    <w:rsid w:val="006E77E1"/>
    <w:rsid w:val="006F087E"/>
    <w:rsid w:val="006F131D"/>
    <w:rsid w:val="00707A77"/>
    <w:rsid w:val="00711642"/>
    <w:rsid w:val="00732E6E"/>
    <w:rsid w:val="0073608A"/>
    <w:rsid w:val="007374BA"/>
    <w:rsid w:val="00746D30"/>
    <w:rsid w:val="007507C6"/>
    <w:rsid w:val="00751E0B"/>
    <w:rsid w:val="00752BCD"/>
    <w:rsid w:val="007625BC"/>
    <w:rsid w:val="00766DA1"/>
    <w:rsid w:val="007767C0"/>
    <w:rsid w:val="00780D94"/>
    <w:rsid w:val="007866A6"/>
    <w:rsid w:val="00787183"/>
    <w:rsid w:val="007A084F"/>
    <w:rsid w:val="007A130D"/>
    <w:rsid w:val="007B4E5A"/>
    <w:rsid w:val="007C154E"/>
    <w:rsid w:val="007C32F1"/>
    <w:rsid w:val="007C47F6"/>
    <w:rsid w:val="007C54F0"/>
    <w:rsid w:val="007D1A2D"/>
    <w:rsid w:val="007D32E6"/>
    <w:rsid w:val="007D4102"/>
    <w:rsid w:val="007E54A7"/>
    <w:rsid w:val="007F43B7"/>
    <w:rsid w:val="00801327"/>
    <w:rsid w:val="00810A4D"/>
    <w:rsid w:val="00815380"/>
    <w:rsid w:val="008169AB"/>
    <w:rsid w:val="00821FFC"/>
    <w:rsid w:val="008271CA"/>
    <w:rsid w:val="0084417B"/>
    <w:rsid w:val="008467D5"/>
    <w:rsid w:val="00847600"/>
    <w:rsid w:val="00854FA4"/>
    <w:rsid w:val="00856CD3"/>
    <w:rsid w:val="008851DD"/>
    <w:rsid w:val="0089356B"/>
    <w:rsid w:val="008A4DC4"/>
    <w:rsid w:val="008B1213"/>
    <w:rsid w:val="008B438C"/>
    <w:rsid w:val="008D06CA"/>
    <w:rsid w:val="008D3A46"/>
    <w:rsid w:val="008D5916"/>
    <w:rsid w:val="008E158E"/>
    <w:rsid w:val="008E2A1E"/>
    <w:rsid w:val="008F2385"/>
    <w:rsid w:val="008F4B52"/>
    <w:rsid w:val="008F7243"/>
    <w:rsid w:val="0090488E"/>
    <w:rsid w:val="009067A4"/>
    <w:rsid w:val="00930885"/>
    <w:rsid w:val="009317BD"/>
    <w:rsid w:val="00933D68"/>
    <w:rsid w:val="009340DB"/>
    <w:rsid w:val="00935D63"/>
    <w:rsid w:val="0094618C"/>
    <w:rsid w:val="0095684B"/>
    <w:rsid w:val="0096272E"/>
    <w:rsid w:val="0096295A"/>
    <w:rsid w:val="00972498"/>
    <w:rsid w:val="009743A4"/>
    <w:rsid w:val="0097481F"/>
    <w:rsid w:val="00974CC6"/>
    <w:rsid w:val="00976AD4"/>
    <w:rsid w:val="009839A5"/>
    <w:rsid w:val="00994F60"/>
    <w:rsid w:val="00995547"/>
    <w:rsid w:val="009A312F"/>
    <w:rsid w:val="009A37E8"/>
    <w:rsid w:val="009A5348"/>
    <w:rsid w:val="009B0AB7"/>
    <w:rsid w:val="009B49ED"/>
    <w:rsid w:val="009C68F9"/>
    <w:rsid w:val="009C76D5"/>
    <w:rsid w:val="009D20C6"/>
    <w:rsid w:val="009D480D"/>
    <w:rsid w:val="009E05FD"/>
    <w:rsid w:val="009F51C5"/>
    <w:rsid w:val="009F7AA4"/>
    <w:rsid w:val="00A0295C"/>
    <w:rsid w:val="00A07FD7"/>
    <w:rsid w:val="00A10AD7"/>
    <w:rsid w:val="00A15CF7"/>
    <w:rsid w:val="00A21729"/>
    <w:rsid w:val="00A323B0"/>
    <w:rsid w:val="00A42047"/>
    <w:rsid w:val="00A475D2"/>
    <w:rsid w:val="00A5461A"/>
    <w:rsid w:val="00A54C43"/>
    <w:rsid w:val="00A559DB"/>
    <w:rsid w:val="00A569EA"/>
    <w:rsid w:val="00A676A0"/>
    <w:rsid w:val="00A83EAD"/>
    <w:rsid w:val="00AB001A"/>
    <w:rsid w:val="00AC3A05"/>
    <w:rsid w:val="00AD3EBD"/>
    <w:rsid w:val="00AD43A9"/>
    <w:rsid w:val="00AF35F5"/>
    <w:rsid w:val="00AF35FC"/>
    <w:rsid w:val="00AF5556"/>
    <w:rsid w:val="00B0058A"/>
    <w:rsid w:val="00B02259"/>
    <w:rsid w:val="00B03639"/>
    <w:rsid w:val="00B042EC"/>
    <w:rsid w:val="00B0652A"/>
    <w:rsid w:val="00B26387"/>
    <w:rsid w:val="00B30969"/>
    <w:rsid w:val="00B30FE5"/>
    <w:rsid w:val="00B32D18"/>
    <w:rsid w:val="00B40937"/>
    <w:rsid w:val="00B411A5"/>
    <w:rsid w:val="00B417F3"/>
    <w:rsid w:val="00B423EF"/>
    <w:rsid w:val="00B453DE"/>
    <w:rsid w:val="00B60815"/>
    <w:rsid w:val="00B62497"/>
    <w:rsid w:val="00B640DC"/>
    <w:rsid w:val="00B72597"/>
    <w:rsid w:val="00B87DC0"/>
    <w:rsid w:val="00B901F9"/>
    <w:rsid w:val="00BA12AE"/>
    <w:rsid w:val="00BA25A8"/>
    <w:rsid w:val="00BB2749"/>
    <w:rsid w:val="00BC4D98"/>
    <w:rsid w:val="00BD6EFB"/>
    <w:rsid w:val="00BE0D71"/>
    <w:rsid w:val="00BE3DF5"/>
    <w:rsid w:val="00BF4728"/>
    <w:rsid w:val="00BF5EAB"/>
    <w:rsid w:val="00C02410"/>
    <w:rsid w:val="00C03AB6"/>
    <w:rsid w:val="00C1584D"/>
    <w:rsid w:val="00C15BE2"/>
    <w:rsid w:val="00C229A2"/>
    <w:rsid w:val="00C254B5"/>
    <w:rsid w:val="00C26775"/>
    <w:rsid w:val="00C3447F"/>
    <w:rsid w:val="00C44714"/>
    <w:rsid w:val="00C523F0"/>
    <w:rsid w:val="00C640EB"/>
    <w:rsid w:val="00C67102"/>
    <w:rsid w:val="00C67FC5"/>
    <w:rsid w:val="00C81491"/>
    <w:rsid w:val="00C81676"/>
    <w:rsid w:val="00C85C5D"/>
    <w:rsid w:val="00C92CC4"/>
    <w:rsid w:val="00CA0AFB"/>
    <w:rsid w:val="00CA0D5B"/>
    <w:rsid w:val="00CA2CE1"/>
    <w:rsid w:val="00CA3976"/>
    <w:rsid w:val="00CA50E3"/>
    <w:rsid w:val="00CA757B"/>
    <w:rsid w:val="00CC1787"/>
    <w:rsid w:val="00CC182C"/>
    <w:rsid w:val="00CD0824"/>
    <w:rsid w:val="00CD2759"/>
    <w:rsid w:val="00CD2908"/>
    <w:rsid w:val="00CD674B"/>
    <w:rsid w:val="00CF2DE9"/>
    <w:rsid w:val="00CF4054"/>
    <w:rsid w:val="00CF5F12"/>
    <w:rsid w:val="00D03A82"/>
    <w:rsid w:val="00D12A2E"/>
    <w:rsid w:val="00D13667"/>
    <w:rsid w:val="00D15344"/>
    <w:rsid w:val="00D23F57"/>
    <w:rsid w:val="00D2781F"/>
    <w:rsid w:val="00D31BEC"/>
    <w:rsid w:val="00D334AE"/>
    <w:rsid w:val="00D414F1"/>
    <w:rsid w:val="00D4741B"/>
    <w:rsid w:val="00D57269"/>
    <w:rsid w:val="00D63150"/>
    <w:rsid w:val="00D636BA"/>
    <w:rsid w:val="00D64A32"/>
    <w:rsid w:val="00D64EFC"/>
    <w:rsid w:val="00D67702"/>
    <w:rsid w:val="00D700C1"/>
    <w:rsid w:val="00D75295"/>
    <w:rsid w:val="00D76CE9"/>
    <w:rsid w:val="00D910AD"/>
    <w:rsid w:val="00D923E9"/>
    <w:rsid w:val="00D94EE7"/>
    <w:rsid w:val="00D97F12"/>
    <w:rsid w:val="00DA4DD1"/>
    <w:rsid w:val="00DA6095"/>
    <w:rsid w:val="00DA6B45"/>
    <w:rsid w:val="00DB42E7"/>
    <w:rsid w:val="00DC09D8"/>
    <w:rsid w:val="00DD0FDC"/>
    <w:rsid w:val="00DD2E09"/>
    <w:rsid w:val="00DE01A6"/>
    <w:rsid w:val="00DE0AB4"/>
    <w:rsid w:val="00DE6B74"/>
    <w:rsid w:val="00DE7A98"/>
    <w:rsid w:val="00DF0E18"/>
    <w:rsid w:val="00DF3276"/>
    <w:rsid w:val="00DF32C2"/>
    <w:rsid w:val="00DF44A8"/>
    <w:rsid w:val="00E0040D"/>
    <w:rsid w:val="00E13906"/>
    <w:rsid w:val="00E13DCB"/>
    <w:rsid w:val="00E20CB7"/>
    <w:rsid w:val="00E214FE"/>
    <w:rsid w:val="00E3247A"/>
    <w:rsid w:val="00E45AFA"/>
    <w:rsid w:val="00E471A7"/>
    <w:rsid w:val="00E53398"/>
    <w:rsid w:val="00E635CF"/>
    <w:rsid w:val="00E84E1F"/>
    <w:rsid w:val="00E87E08"/>
    <w:rsid w:val="00E9496E"/>
    <w:rsid w:val="00EA4D4D"/>
    <w:rsid w:val="00EB1E3B"/>
    <w:rsid w:val="00EC6E0A"/>
    <w:rsid w:val="00ED48BC"/>
    <w:rsid w:val="00ED4E18"/>
    <w:rsid w:val="00ED7922"/>
    <w:rsid w:val="00EE02C4"/>
    <w:rsid w:val="00EE0AF0"/>
    <w:rsid w:val="00EE1F37"/>
    <w:rsid w:val="00EE23DB"/>
    <w:rsid w:val="00F0159C"/>
    <w:rsid w:val="00F058C6"/>
    <w:rsid w:val="00F07421"/>
    <w:rsid w:val="00F105B7"/>
    <w:rsid w:val="00F13220"/>
    <w:rsid w:val="00F1561A"/>
    <w:rsid w:val="00F17A21"/>
    <w:rsid w:val="00F26993"/>
    <w:rsid w:val="00F30848"/>
    <w:rsid w:val="00F31B7F"/>
    <w:rsid w:val="00F36FC2"/>
    <w:rsid w:val="00F37B27"/>
    <w:rsid w:val="00F42D11"/>
    <w:rsid w:val="00F4399B"/>
    <w:rsid w:val="00F46556"/>
    <w:rsid w:val="00F50664"/>
    <w:rsid w:val="00F50E91"/>
    <w:rsid w:val="00F56799"/>
    <w:rsid w:val="00F57D29"/>
    <w:rsid w:val="00F60572"/>
    <w:rsid w:val="00F60786"/>
    <w:rsid w:val="00F7163E"/>
    <w:rsid w:val="00F83582"/>
    <w:rsid w:val="00F91BC7"/>
    <w:rsid w:val="00F96201"/>
    <w:rsid w:val="00F962B9"/>
    <w:rsid w:val="00F97A2C"/>
    <w:rsid w:val="00FA1BBC"/>
    <w:rsid w:val="00FC3062"/>
    <w:rsid w:val="00FD0B18"/>
    <w:rsid w:val="00FD2FAD"/>
    <w:rsid w:val="00FE171F"/>
    <w:rsid w:val="00FE24D0"/>
    <w:rsid w:val="00FE714F"/>
    <w:rsid w:val="00FE78D5"/>
    <w:rsid w:val="00FF08AD"/>
    <w:rsid w:val="00FF5E99"/>
    <w:rsid w:val="00FF66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0F45F3"/>
  <w15:docId w15:val="{CFEE3DB5-7737-4191-A8CE-73F054BC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6272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96272E"/>
    <w:pPr>
      <w:keepNext/>
    </w:pPr>
    <w:rPr>
      <w:rFonts w:ascii="Arial" w:hAnsi="Arial" w:cs="Arial"/>
      <w:b/>
      <w:caps/>
      <w:sz w:val="20"/>
      <w:szCs w:val="20"/>
    </w:rPr>
  </w:style>
  <w:style w:type="character" w:customStyle="1" w:styleId="Casehead1Char">
    <w:name w:val="Casehead 1 Char"/>
    <w:basedOn w:val="BodyTextMainChar"/>
    <w:link w:val="Casehead1"/>
    <w:rsid w:val="0096272E"/>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D67702"/>
    <w:rPr>
      <w:b w:val="0"/>
      <w:color w:val="auto"/>
      <w:vertAlign w:val="superscript"/>
    </w:rPr>
  </w:style>
  <w:style w:type="paragraph" w:customStyle="1" w:styleId="Footnote">
    <w:name w:val="Footnote"/>
    <w:basedOn w:val="FootnoteText"/>
    <w:link w:val="FootnoteChar"/>
    <w:qFormat/>
    <w:rsid w:val="00D67702"/>
    <w:rPr>
      <w:rFonts w:ascii="Arial" w:hAnsi="Arial" w:cs="Arial"/>
      <w:sz w:val="17"/>
      <w:szCs w:val="17"/>
    </w:rPr>
  </w:style>
  <w:style w:type="character" w:customStyle="1" w:styleId="FootnoteChar">
    <w:name w:val="Footnote Char"/>
    <w:basedOn w:val="FootnoteTextChar"/>
    <w:link w:val="Footnote"/>
    <w:rsid w:val="00D67702"/>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96272E"/>
    <w:pPr>
      <w:keepNext/>
      <w:jc w:val="center"/>
    </w:pPr>
    <w:rPr>
      <w:rFonts w:ascii="Arial" w:hAnsi="Arial" w:cs="Arial"/>
      <w:b/>
      <w:caps/>
      <w:sz w:val="20"/>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character" w:customStyle="1" w:styleId="ExhibitHeadingChar">
    <w:name w:val="Exhibit Heading Char"/>
    <w:basedOn w:val="BodyTextMainChar"/>
    <w:link w:val="ExhibitHeading"/>
    <w:rsid w:val="0096272E"/>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ED7922"/>
    <w:rPr>
      <w:rFonts w:ascii="Arial" w:eastAsia="Times New Roman"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m-7700161702090109081gmail-msolistparagraph">
    <w:name w:val="m_-7700161702090109081gmail-msolistparagraph"/>
    <w:basedOn w:val="Normal"/>
    <w:rsid w:val="00EA4D4D"/>
    <w:pPr>
      <w:spacing w:before="100" w:beforeAutospacing="1" w:after="100" w:afterAutospacing="1"/>
      <w:ind w:right="-45"/>
    </w:pPr>
    <w:rPr>
      <w:rFonts w:eastAsia="Calibri"/>
      <w:sz w:val="24"/>
      <w:szCs w:val="22"/>
      <w:lang w:val="en-IN" w:eastAsia="en-IN"/>
    </w:rPr>
  </w:style>
  <w:style w:type="character" w:customStyle="1" w:styleId="UnresolvedMention1">
    <w:name w:val="Unresolved Mention1"/>
    <w:basedOn w:val="DefaultParagraphFont"/>
    <w:uiPriority w:val="99"/>
    <w:semiHidden/>
    <w:unhideWhenUsed/>
    <w:rsid w:val="00F26993"/>
    <w:rPr>
      <w:color w:val="605E5C"/>
      <w:shd w:val="clear" w:color="auto" w:fill="E1DFDD"/>
    </w:rPr>
  </w:style>
  <w:style w:type="character" w:styleId="Hyperlink">
    <w:name w:val="Hyperlink"/>
    <w:basedOn w:val="DefaultParagraphFont"/>
    <w:uiPriority w:val="99"/>
    <w:unhideWhenUsed/>
    <w:rsid w:val="00646B62"/>
    <w:rPr>
      <w:color w:val="0000FF"/>
      <w:u w:val="single"/>
    </w:rPr>
  </w:style>
  <w:style w:type="character" w:customStyle="1" w:styleId="nowrap">
    <w:name w:val="nowrap"/>
    <w:basedOn w:val="DefaultParagraphFont"/>
    <w:rsid w:val="00646B62"/>
  </w:style>
  <w:style w:type="character" w:styleId="UnresolvedMention">
    <w:name w:val="Unresolved Mention"/>
    <w:basedOn w:val="DefaultParagraphFont"/>
    <w:uiPriority w:val="99"/>
    <w:semiHidden/>
    <w:unhideWhenUsed/>
    <w:rsid w:val="00646B62"/>
    <w:rPr>
      <w:color w:val="605E5C"/>
      <w:shd w:val="clear" w:color="auto" w:fill="E1DFDD"/>
    </w:rPr>
  </w:style>
  <w:style w:type="paragraph" w:customStyle="1" w:styleId="pf0">
    <w:name w:val="pf0"/>
    <w:basedOn w:val="Normal"/>
    <w:rsid w:val="00F83582"/>
    <w:pPr>
      <w:spacing w:before="100" w:beforeAutospacing="1" w:after="100" w:afterAutospacing="1"/>
    </w:pPr>
    <w:rPr>
      <w:sz w:val="24"/>
      <w:szCs w:val="24"/>
      <w:lang w:val="en-US"/>
    </w:rPr>
  </w:style>
  <w:style w:type="character" w:customStyle="1" w:styleId="cf01">
    <w:name w:val="cf01"/>
    <w:basedOn w:val="DefaultParagraphFont"/>
    <w:rsid w:val="00F8358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9976">
      <w:bodyDiv w:val="1"/>
      <w:marLeft w:val="0"/>
      <w:marRight w:val="0"/>
      <w:marTop w:val="0"/>
      <w:marBottom w:val="0"/>
      <w:divBdr>
        <w:top w:val="none" w:sz="0" w:space="0" w:color="auto"/>
        <w:left w:val="none" w:sz="0" w:space="0" w:color="auto"/>
        <w:bottom w:val="none" w:sz="0" w:space="0" w:color="auto"/>
        <w:right w:val="none" w:sz="0" w:space="0" w:color="auto"/>
      </w:divBdr>
    </w:div>
    <w:div w:id="196546409">
      <w:bodyDiv w:val="1"/>
      <w:marLeft w:val="0"/>
      <w:marRight w:val="0"/>
      <w:marTop w:val="0"/>
      <w:marBottom w:val="0"/>
      <w:divBdr>
        <w:top w:val="none" w:sz="0" w:space="0" w:color="auto"/>
        <w:left w:val="none" w:sz="0" w:space="0" w:color="auto"/>
        <w:bottom w:val="none" w:sz="0" w:space="0" w:color="auto"/>
        <w:right w:val="none" w:sz="0" w:space="0" w:color="auto"/>
      </w:divBdr>
    </w:div>
    <w:div w:id="589513006">
      <w:bodyDiv w:val="1"/>
      <w:marLeft w:val="0"/>
      <w:marRight w:val="0"/>
      <w:marTop w:val="0"/>
      <w:marBottom w:val="0"/>
      <w:divBdr>
        <w:top w:val="none" w:sz="0" w:space="0" w:color="auto"/>
        <w:left w:val="none" w:sz="0" w:space="0" w:color="auto"/>
        <w:bottom w:val="none" w:sz="0" w:space="0" w:color="auto"/>
        <w:right w:val="none" w:sz="0" w:space="0" w:color="auto"/>
      </w:divBdr>
    </w:div>
    <w:div w:id="951673382">
      <w:bodyDiv w:val="1"/>
      <w:marLeft w:val="0"/>
      <w:marRight w:val="0"/>
      <w:marTop w:val="0"/>
      <w:marBottom w:val="0"/>
      <w:divBdr>
        <w:top w:val="none" w:sz="0" w:space="0" w:color="auto"/>
        <w:left w:val="none" w:sz="0" w:space="0" w:color="auto"/>
        <w:bottom w:val="none" w:sz="0" w:space="0" w:color="auto"/>
        <w:right w:val="none" w:sz="0" w:space="0" w:color="auto"/>
      </w:divBdr>
    </w:div>
    <w:div w:id="1298757655">
      <w:bodyDiv w:val="1"/>
      <w:marLeft w:val="0"/>
      <w:marRight w:val="0"/>
      <w:marTop w:val="0"/>
      <w:marBottom w:val="0"/>
      <w:divBdr>
        <w:top w:val="none" w:sz="0" w:space="0" w:color="auto"/>
        <w:left w:val="none" w:sz="0" w:space="0" w:color="auto"/>
        <w:bottom w:val="none" w:sz="0" w:space="0" w:color="auto"/>
        <w:right w:val="none" w:sz="0" w:space="0" w:color="auto"/>
      </w:divBdr>
    </w:div>
    <w:div w:id="1364095611">
      <w:bodyDiv w:val="1"/>
      <w:marLeft w:val="0"/>
      <w:marRight w:val="0"/>
      <w:marTop w:val="0"/>
      <w:marBottom w:val="0"/>
      <w:divBdr>
        <w:top w:val="none" w:sz="0" w:space="0" w:color="auto"/>
        <w:left w:val="none" w:sz="0" w:space="0" w:color="auto"/>
        <w:bottom w:val="none" w:sz="0" w:space="0" w:color="auto"/>
        <w:right w:val="none" w:sz="0" w:space="0" w:color="auto"/>
      </w:divBdr>
    </w:div>
    <w:div w:id="145733060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35064274">
      <w:bodyDiv w:val="1"/>
      <w:marLeft w:val="0"/>
      <w:marRight w:val="0"/>
      <w:marTop w:val="0"/>
      <w:marBottom w:val="0"/>
      <w:divBdr>
        <w:top w:val="none" w:sz="0" w:space="0" w:color="auto"/>
        <w:left w:val="none" w:sz="0" w:space="0" w:color="auto"/>
        <w:bottom w:val="none" w:sz="0" w:space="0" w:color="auto"/>
        <w:right w:val="none" w:sz="0" w:space="0" w:color="auto"/>
      </w:divBdr>
    </w:div>
    <w:div w:id="186351755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editor/Adam-Augustyn/6394"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Gold</c:v>
                </c:pt>
              </c:strCache>
            </c:strRef>
          </c:tx>
          <c:invertIfNegative val="0"/>
          <c:cat>
            <c:numRef>
              <c:f>Sheet1!$A$2:$A$25</c:f>
              <c:numCache>
                <c:formatCode>General</c:formatCode>
                <c:ptCount val="24"/>
                <c:pt idx="0">
                  <c:v>1900</c:v>
                </c:pt>
                <c:pt idx="1">
                  <c:v>1920</c:v>
                </c:pt>
                <c:pt idx="2">
                  <c:v>1924</c:v>
                </c:pt>
                <c:pt idx="3">
                  <c:v>1928</c:v>
                </c:pt>
                <c:pt idx="4">
                  <c:v>1932</c:v>
                </c:pt>
                <c:pt idx="5">
                  <c:v>1936</c:v>
                </c:pt>
                <c:pt idx="6">
                  <c:v>1948</c:v>
                </c:pt>
                <c:pt idx="7">
                  <c:v>1952</c:v>
                </c:pt>
                <c:pt idx="8">
                  <c:v>1956</c:v>
                </c:pt>
                <c:pt idx="9">
                  <c:v>1960</c:v>
                </c:pt>
                <c:pt idx="10">
                  <c:v>1964</c:v>
                </c:pt>
                <c:pt idx="11">
                  <c:v>1968</c:v>
                </c:pt>
                <c:pt idx="12">
                  <c:v>1972</c:v>
                </c:pt>
                <c:pt idx="13">
                  <c:v>1976</c:v>
                </c:pt>
                <c:pt idx="14">
                  <c:v>1980</c:v>
                </c:pt>
                <c:pt idx="15">
                  <c:v>1984</c:v>
                </c:pt>
                <c:pt idx="16">
                  <c:v>1988</c:v>
                </c:pt>
                <c:pt idx="17">
                  <c:v>1992</c:v>
                </c:pt>
                <c:pt idx="18">
                  <c:v>1996</c:v>
                </c:pt>
                <c:pt idx="19">
                  <c:v>2000</c:v>
                </c:pt>
                <c:pt idx="20">
                  <c:v>2004</c:v>
                </c:pt>
                <c:pt idx="21">
                  <c:v>2008</c:v>
                </c:pt>
                <c:pt idx="22">
                  <c:v>2012</c:v>
                </c:pt>
                <c:pt idx="23">
                  <c:v>2016</c:v>
                </c:pt>
              </c:numCache>
            </c:numRef>
          </c:cat>
          <c:val>
            <c:numRef>
              <c:f>Sheet1!$B$2:$B$25</c:f>
              <c:numCache>
                <c:formatCode>General</c:formatCode>
                <c:ptCount val="24"/>
                <c:pt idx="0">
                  <c:v>0</c:v>
                </c:pt>
                <c:pt idx="1">
                  <c:v>0</c:v>
                </c:pt>
                <c:pt idx="2">
                  <c:v>0</c:v>
                </c:pt>
                <c:pt idx="3">
                  <c:v>1</c:v>
                </c:pt>
                <c:pt idx="4">
                  <c:v>1</c:v>
                </c:pt>
                <c:pt idx="5">
                  <c:v>1</c:v>
                </c:pt>
                <c:pt idx="6">
                  <c:v>1</c:v>
                </c:pt>
                <c:pt idx="7">
                  <c:v>1</c:v>
                </c:pt>
                <c:pt idx="8">
                  <c:v>1</c:v>
                </c:pt>
                <c:pt idx="9">
                  <c:v>0</c:v>
                </c:pt>
                <c:pt idx="10">
                  <c:v>1</c:v>
                </c:pt>
                <c:pt idx="11">
                  <c:v>0</c:v>
                </c:pt>
                <c:pt idx="12">
                  <c:v>0</c:v>
                </c:pt>
                <c:pt idx="13">
                  <c:v>0</c:v>
                </c:pt>
                <c:pt idx="14">
                  <c:v>1</c:v>
                </c:pt>
                <c:pt idx="15">
                  <c:v>0</c:v>
                </c:pt>
                <c:pt idx="16">
                  <c:v>0</c:v>
                </c:pt>
                <c:pt idx="17">
                  <c:v>0</c:v>
                </c:pt>
                <c:pt idx="18">
                  <c:v>0</c:v>
                </c:pt>
                <c:pt idx="19">
                  <c:v>0</c:v>
                </c:pt>
                <c:pt idx="20">
                  <c:v>0</c:v>
                </c:pt>
                <c:pt idx="21">
                  <c:v>1</c:v>
                </c:pt>
                <c:pt idx="22">
                  <c:v>0</c:v>
                </c:pt>
                <c:pt idx="23">
                  <c:v>0</c:v>
                </c:pt>
              </c:numCache>
            </c:numRef>
          </c:val>
          <c:extLst>
            <c:ext xmlns:c16="http://schemas.microsoft.com/office/drawing/2014/chart" uri="{C3380CC4-5D6E-409C-BE32-E72D297353CC}">
              <c16:uniqueId val="{00000000-7D66-4518-826A-1416308C762A}"/>
            </c:ext>
          </c:extLst>
        </c:ser>
        <c:ser>
          <c:idx val="1"/>
          <c:order val="1"/>
          <c:tx>
            <c:strRef>
              <c:f>Sheet1!$C$1</c:f>
              <c:strCache>
                <c:ptCount val="1"/>
                <c:pt idx="0">
                  <c:v>Silver </c:v>
                </c:pt>
              </c:strCache>
            </c:strRef>
          </c:tx>
          <c:invertIfNegative val="0"/>
          <c:cat>
            <c:numRef>
              <c:f>Sheet1!$A$2:$A$25</c:f>
              <c:numCache>
                <c:formatCode>General</c:formatCode>
                <c:ptCount val="24"/>
                <c:pt idx="0">
                  <c:v>1900</c:v>
                </c:pt>
                <c:pt idx="1">
                  <c:v>1920</c:v>
                </c:pt>
                <c:pt idx="2">
                  <c:v>1924</c:v>
                </c:pt>
                <c:pt idx="3">
                  <c:v>1928</c:v>
                </c:pt>
                <c:pt idx="4">
                  <c:v>1932</c:v>
                </c:pt>
                <c:pt idx="5">
                  <c:v>1936</c:v>
                </c:pt>
                <c:pt idx="6">
                  <c:v>1948</c:v>
                </c:pt>
                <c:pt idx="7">
                  <c:v>1952</c:v>
                </c:pt>
                <c:pt idx="8">
                  <c:v>1956</c:v>
                </c:pt>
                <c:pt idx="9">
                  <c:v>1960</c:v>
                </c:pt>
                <c:pt idx="10">
                  <c:v>1964</c:v>
                </c:pt>
                <c:pt idx="11">
                  <c:v>1968</c:v>
                </c:pt>
                <c:pt idx="12">
                  <c:v>1972</c:v>
                </c:pt>
                <c:pt idx="13">
                  <c:v>1976</c:v>
                </c:pt>
                <c:pt idx="14">
                  <c:v>1980</c:v>
                </c:pt>
                <c:pt idx="15">
                  <c:v>1984</c:v>
                </c:pt>
                <c:pt idx="16">
                  <c:v>1988</c:v>
                </c:pt>
                <c:pt idx="17">
                  <c:v>1992</c:v>
                </c:pt>
                <c:pt idx="18">
                  <c:v>1996</c:v>
                </c:pt>
                <c:pt idx="19">
                  <c:v>2000</c:v>
                </c:pt>
                <c:pt idx="20">
                  <c:v>2004</c:v>
                </c:pt>
                <c:pt idx="21">
                  <c:v>2008</c:v>
                </c:pt>
                <c:pt idx="22">
                  <c:v>2012</c:v>
                </c:pt>
                <c:pt idx="23">
                  <c:v>2016</c:v>
                </c:pt>
              </c:numCache>
            </c:numRef>
          </c:cat>
          <c:val>
            <c:numRef>
              <c:f>Sheet1!$C$2:$C$25</c:f>
              <c:numCache>
                <c:formatCode>General</c:formatCode>
                <c:ptCount val="24"/>
                <c:pt idx="0">
                  <c:v>2</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0</c:v>
                </c:pt>
                <c:pt idx="16">
                  <c:v>0</c:v>
                </c:pt>
                <c:pt idx="17">
                  <c:v>0</c:v>
                </c:pt>
                <c:pt idx="18">
                  <c:v>0</c:v>
                </c:pt>
                <c:pt idx="19">
                  <c:v>0</c:v>
                </c:pt>
                <c:pt idx="20">
                  <c:v>1</c:v>
                </c:pt>
                <c:pt idx="21">
                  <c:v>0</c:v>
                </c:pt>
                <c:pt idx="22">
                  <c:v>2</c:v>
                </c:pt>
                <c:pt idx="23">
                  <c:v>1</c:v>
                </c:pt>
              </c:numCache>
            </c:numRef>
          </c:val>
          <c:extLst>
            <c:ext xmlns:c16="http://schemas.microsoft.com/office/drawing/2014/chart" uri="{C3380CC4-5D6E-409C-BE32-E72D297353CC}">
              <c16:uniqueId val="{00000001-7D66-4518-826A-1416308C762A}"/>
            </c:ext>
          </c:extLst>
        </c:ser>
        <c:ser>
          <c:idx val="2"/>
          <c:order val="2"/>
          <c:tx>
            <c:strRef>
              <c:f>Sheet1!$D$1</c:f>
              <c:strCache>
                <c:ptCount val="1"/>
                <c:pt idx="0">
                  <c:v>Bronze</c:v>
                </c:pt>
              </c:strCache>
            </c:strRef>
          </c:tx>
          <c:invertIfNegative val="0"/>
          <c:cat>
            <c:numRef>
              <c:f>Sheet1!$A$2:$A$25</c:f>
              <c:numCache>
                <c:formatCode>General</c:formatCode>
                <c:ptCount val="24"/>
                <c:pt idx="0">
                  <c:v>1900</c:v>
                </c:pt>
                <c:pt idx="1">
                  <c:v>1920</c:v>
                </c:pt>
                <c:pt idx="2">
                  <c:v>1924</c:v>
                </c:pt>
                <c:pt idx="3">
                  <c:v>1928</c:v>
                </c:pt>
                <c:pt idx="4">
                  <c:v>1932</c:v>
                </c:pt>
                <c:pt idx="5">
                  <c:v>1936</c:v>
                </c:pt>
                <c:pt idx="6">
                  <c:v>1948</c:v>
                </c:pt>
                <c:pt idx="7">
                  <c:v>1952</c:v>
                </c:pt>
                <c:pt idx="8">
                  <c:v>1956</c:v>
                </c:pt>
                <c:pt idx="9">
                  <c:v>1960</c:v>
                </c:pt>
                <c:pt idx="10">
                  <c:v>1964</c:v>
                </c:pt>
                <c:pt idx="11">
                  <c:v>1968</c:v>
                </c:pt>
                <c:pt idx="12">
                  <c:v>1972</c:v>
                </c:pt>
                <c:pt idx="13">
                  <c:v>1976</c:v>
                </c:pt>
                <c:pt idx="14">
                  <c:v>1980</c:v>
                </c:pt>
                <c:pt idx="15">
                  <c:v>1984</c:v>
                </c:pt>
                <c:pt idx="16">
                  <c:v>1988</c:v>
                </c:pt>
                <c:pt idx="17">
                  <c:v>1992</c:v>
                </c:pt>
                <c:pt idx="18">
                  <c:v>1996</c:v>
                </c:pt>
                <c:pt idx="19">
                  <c:v>2000</c:v>
                </c:pt>
                <c:pt idx="20">
                  <c:v>2004</c:v>
                </c:pt>
                <c:pt idx="21">
                  <c:v>2008</c:v>
                </c:pt>
                <c:pt idx="22">
                  <c:v>2012</c:v>
                </c:pt>
                <c:pt idx="23">
                  <c:v>2016</c:v>
                </c:pt>
              </c:numCache>
            </c:numRef>
          </c:cat>
          <c:val>
            <c:numRef>
              <c:f>Sheet1!$D$2:$D$25</c:f>
              <c:numCache>
                <c:formatCode>General</c:formatCode>
                <c:ptCount val="24"/>
                <c:pt idx="0">
                  <c:v>0</c:v>
                </c:pt>
                <c:pt idx="1">
                  <c:v>0</c:v>
                </c:pt>
                <c:pt idx="2">
                  <c:v>0</c:v>
                </c:pt>
                <c:pt idx="3">
                  <c:v>0</c:v>
                </c:pt>
                <c:pt idx="4">
                  <c:v>0</c:v>
                </c:pt>
                <c:pt idx="5">
                  <c:v>0</c:v>
                </c:pt>
                <c:pt idx="6">
                  <c:v>0</c:v>
                </c:pt>
                <c:pt idx="7">
                  <c:v>1</c:v>
                </c:pt>
                <c:pt idx="8">
                  <c:v>0</c:v>
                </c:pt>
                <c:pt idx="9">
                  <c:v>0</c:v>
                </c:pt>
                <c:pt idx="10">
                  <c:v>0</c:v>
                </c:pt>
                <c:pt idx="11">
                  <c:v>1</c:v>
                </c:pt>
                <c:pt idx="12">
                  <c:v>0</c:v>
                </c:pt>
                <c:pt idx="13">
                  <c:v>0</c:v>
                </c:pt>
                <c:pt idx="14">
                  <c:v>0</c:v>
                </c:pt>
                <c:pt idx="15">
                  <c:v>0</c:v>
                </c:pt>
                <c:pt idx="16">
                  <c:v>0</c:v>
                </c:pt>
                <c:pt idx="17">
                  <c:v>0</c:v>
                </c:pt>
                <c:pt idx="18">
                  <c:v>1</c:v>
                </c:pt>
                <c:pt idx="19">
                  <c:v>1</c:v>
                </c:pt>
                <c:pt idx="20">
                  <c:v>0</c:v>
                </c:pt>
                <c:pt idx="21">
                  <c:v>2</c:v>
                </c:pt>
                <c:pt idx="22">
                  <c:v>4</c:v>
                </c:pt>
                <c:pt idx="23">
                  <c:v>1</c:v>
                </c:pt>
              </c:numCache>
            </c:numRef>
          </c:val>
          <c:extLst>
            <c:ext xmlns:c16="http://schemas.microsoft.com/office/drawing/2014/chart" uri="{C3380CC4-5D6E-409C-BE32-E72D297353CC}">
              <c16:uniqueId val="{00000002-7D66-4518-826A-1416308C762A}"/>
            </c:ext>
          </c:extLst>
        </c:ser>
        <c:dLbls>
          <c:showLegendKey val="0"/>
          <c:showVal val="0"/>
          <c:showCatName val="0"/>
          <c:showSerName val="0"/>
          <c:showPercent val="0"/>
          <c:showBubbleSize val="0"/>
        </c:dLbls>
        <c:gapWidth val="150"/>
        <c:axId val="90903296"/>
        <c:axId val="90905216"/>
      </c:barChart>
      <c:catAx>
        <c:axId val="90903296"/>
        <c:scaling>
          <c:orientation val="minMax"/>
        </c:scaling>
        <c:delete val="0"/>
        <c:axPos val="b"/>
        <c:numFmt formatCode="General" sourceLinked="1"/>
        <c:majorTickMark val="out"/>
        <c:minorTickMark val="none"/>
        <c:tickLblPos val="nextTo"/>
        <c:crossAx val="90905216"/>
        <c:crosses val="autoZero"/>
        <c:auto val="1"/>
        <c:lblAlgn val="ctr"/>
        <c:lblOffset val="100"/>
        <c:noMultiLvlLbl val="0"/>
      </c:catAx>
      <c:valAx>
        <c:axId val="90905216"/>
        <c:scaling>
          <c:orientation val="minMax"/>
          <c:max val="5"/>
          <c:min val="0"/>
        </c:scaling>
        <c:delete val="0"/>
        <c:axPos val="l"/>
        <c:majorGridlines/>
        <c:title>
          <c:tx>
            <c:rich>
              <a:bodyPr/>
              <a:lstStyle/>
              <a:p>
                <a:pPr>
                  <a:defRPr/>
                </a:pPr>
                <a:r>
                  <a:rPr lang="en-US"/>
                  <a:t>Number of Medals</a:t>
                </a:r>
              </a:p>
            </c:rich>
          </c:tx>
          <c:layout>
            <c:manualLayout>
              <c:xMode val="edge"/>
              <c:yMode val="edge"/>
              <c:x val="1.282051282051282E-2"/>
              <c:y val="0.17545943120746271"/>
            </c:manualLayout>
          </c:layout>
          <c:overlay val="0"/>
        </c:title>
        <c:numFmt formatCode="General" sourceLinked="1"/>
        <c:majorTickMark val="out"/>
        <c:minorTickMark val="none"/>
        <c:tickLblPos val="nextTo"/>
        <c:crossAx val="90903296"/>
        <c:crosses val="autoZero"/>
        <c:crossBetween val="between"/>
        <c:majorUnit val="1"/>
        <c:minorUnit val="1"/>
      </c:valAx>
    </c:plotArea>
    <c:legend>
      <c:legendPos val="r"/>
      <c:overlay val="0"/>
    </c:legend>
    <c:plotVisOnly val="1"/>
    <c:dispBlanksAs val="gap"/>
    <c:showDLblsOverMax val="0"/>
  </c:chart>
  <c:txPr>
    <a:bodyPr/>
    <a:lstStyle/>
    <a:p>
      <a:pPr>
        <a:defRPr sz="1000">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Number</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Sheet1!$A$2:$A$14</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Sheet1!$B$2:$B$14</c:f>
              <c:numCache>
                <c:formatCode>General</c:formatCode>
                <c:ptCount val="13"/>
                <c:pt idx="0">
                  <c:v>5</c:v>
                </c:pt>
                <c:pt idx="1">
                  <c:v>5</c:v>
                </c:pt>
                <c:pt idx="2">
                  <c:v>19</c:v>
                </c:pt>
                <c:pt idx="3">
                  <c:v>19</c:v>
                </c:pt>
                <c:pt idx="4">
                  <c:v>19</c:v>
                </c:pt>
                <c:pt idx="5">
                  <c:v>40</c:v>
                </c:pt>
                <c:pt idx="6">
                  <c:v>40</c:v>
                </c:pt>
                <c:pt idx="7">
                  <c:v>40</c:v>
                </c:pt>
                <c:pt idx="8">
                  <c:v>47</c:v>
                </c:pt>
                <c:pt idx="9">
                  <c:v>93</c:v>
                </c:pt>
                <c:pt idx="10">
                  <c:v>108</c:v>
                </c:pt>
                <c:pt idx="11">
                  <c:v>120</c:v>
                </c:pt>
                <c:pt idx="12">
                  <c:v>127</c:v>
                </c:pt>
              </c:numCache>
            </c:numRef>
          </c:val>
          <c:extLst>
            <c:ext xmlns:c16="http://schemas.microsoft.com/office/drawing/2014/chart" uri="{C3380CC4-5D6E-409C-BE32-E72D297353CC}">
              <c16:uniqueId val="{00000000-F5F3-024B-911F-56B325307372}"/>
            </c:ext>
          </c:extLst>
        </c:ser>
        <c:dLbls>
          <c:dLblPos val="outEnd"/>
          <c:showLegendKey val="0"/>
          <c:showVal val="1"/>
          <c:showCatName val="0"/>
          <c:showSerName val="0"/>
          <c:showPercent val="0"/>
          <c:showBubbleSize val="0"/>
        </c:dLbls>
        <c:gapWidth val="219"/>
        <c:overlap val="-27"/>
        <c:axId val="1742068207"/>
        <c:axId val="1742069855"/>
      </c:barChart>
      <c:catAx>
        <c:axId val="1742068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42069855"/>
        <c:crosses val="autoZero"/>
        <c:auto val="1"/>
        <c:lblAlgn val="ctr"/>
        <c:lblOffset val="100"/>
        <c:noMultiLvlLbl val="0"/>
      </c:catAx>
      <c:valAx>
        <c:axId val="174206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Number</a:t>
                </a:r>
              </a:p>
            </c:rich>
          </c:tx>
          <c:layout>
            <c:manualLayout>
              <c:xMode val="edge"/>
              <c:yMode val="edge"/>
              <c:x val="1.4957264957264958E-2"/>
              <c:y val="0.3783796296296296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420682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1F3E7-20E0-47D8-B676-EE1BB19B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2015-03-04T20:34:00Z</cp:lastPrinted>
  <dcterms:created xsi:type="dcterms:W3CDTF">2021-05-20T15:46:00Z</dcterms:created>
  <dcterms:modified xsi:type="dcterms:W3CDTF">2021-05-20T15:46:00Z</dcterms:modified>
</cp:coreProperties>
</file>