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D16A" w14:textId="77777777" w:rsidR="00510CEF" w:rsidRDefault="00510CEF" w:rsidP="00510CEF">
      <w:pPr>
        <w:pBdr>
          <w:bottom w:val="single" w:sz="18" w:space="1" w:color="auto"/>
        </w:pBdr>
        <w:tabs>
          <w:tab w:val="left" w:pos="-1440"/>
          <w:tab w:val="left" w:pos="-720"/>
          <w:tab w:val="left" w:pos="1"/>
        </w:tabs>
        <w:jc w:val="both"/>
        <w:rPr>
          <w:rFonts w:ascii="Arial" w:hAnsi="Arial"/>
          <w:b/>
          <w:sz w:val="24"/>
        </w:rPr>
      </w:pPr>
      <w:bookmarkStart w:id="0" w:name="_Hlk68008510"/>
      <w:r w:rsidRPr="00A569EA">
        <w:rPr>
          <w:rFonts w:ascii="Arial" w:hAnsi="Arial"/>
          <w:b/>
          <w:noProof/>
          <w:sz w:val="24"/>
          <w:lang w:val="en-CA" w:eastAsia="en-CA"/>
        </w:rPr>
        <w:drawing>
          <wp:inline distT="0" distB="0" distL="0" distR="0" wp14:anchorId="17F4A3BB" wp14:editId="1F39F6B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24E3612" w:rsidR="00C02410" w:rsidRPr="00FC1D83" w:rsidRDefault="00014594" w:rsidP="00C02410">
      <w:pPr>
        <w:pStyle w:val="ProductNumber"/>
        <w:rPr>
          <w:lang w:val="en-GB"/>
        </w:rPr>
      </w:pPr>
      <w:r>
        <w:rPr>
          <w:lang w:val="en-GB"/>
        </w:rPr>
        <w:t>9B21M</w:t>
      </w:r>
      <w:r w:rsidR="007B3C85">
        <w:rPr>
          <w:lang w:val="en-GB"/>
        </w:rPr>
        <w:t>056</w:t>
      </w:r>
    </w:p>
    <w:p w14:paraId="4E057522" w14:textId="7A113CB1" w:rsidR="00D75295" w:rsidRPr="00FC1D83" w:rsidRDefault="00D75295" w:rsidP="00D75295">
      <w:pPr>
        <w:jc w:val="right"/>
        <w:rPr>
          <w:rFonts w:ascii="Arial" w:hAnsi="Arial"/>
          <w:b/>
          <w:lang w:val="en-GB"/>
        </w:rPr>
      </w:pPr>
    </w:p>
    <w:p w14:paraId="02524312" w14:textId="77777777" w:rsidR="001901C0" w:rsidRPr="00FC1D83" w:rsidRDefault="001901C0" w:rsidP="00D75295">
      <w:pPr>
        <w:jc w:val="right"/>
        <w:rPr>
          <w:rFonts w:ascii="Arial" w:hAnsi="Arial"/>
          <w:b/>
          <w:lang w:val="en-GB"/>
        </w:rPr>
      </w:pPr>
    </w:p>
    <w:p w14:paraId="2F03D26A" w14:textId="07BF18BB" w:rsidR="00013360" w:rsidRPr="00FC1D83" w:rsidRDefault="00AA448C" w:rsidP="00013360">
      <w:pPr>
        <w:pStyle w:val="CaseTitle"/>
        <w:spacing w:after="0" w:line="240" w:lineRule="auto"/>
        <w:rPr>
          <w:sz w:val="20"/>
          <w:szCs w:val="20"/>
          <w:lang w:val="en-GB"/>
        </w:rPr>
      </w:pPr>
      <w:r w:rsidRPr="00FC1D83">
        <w:rPr>
          <w:lang w:val="en-GB"/>
        </w:rPr>
        <w:t>COASTAL GUJARAT POWER LIMITED: PUBLIC GAINS, PRIVATE LOSSES</w:t>
      </w:r>
    </w:p>
    <w:p w14:paraId="40ABF6FD" w14:textId="77777777" w:rsidR="00CA3976" w:rsidRPr="00FC1D83" w:rsidRDefault="00CA3976" w:rsidP="00013360">
      <w:pPr>
        <w:pStyle w:val="CaseTitle"/>
        <w:spacing w:after="0" w:line="240" w:lineRule="auto"/>
        <w:rPr>
          <w:sz w:val="20"/>
          <w:szCs w:val="20"/>
          <w:lang w:val="en-GB"/>
        </w:rPr>
      </w:pPr>
    </w:p>
    <w:p w14:paraId="202F1085" w14:textId="77777777" w:rsidR="00013360" w:rsidRPr="00FC1D83" w:rsidRDefault="00013360" w:rsidP="00013360">
      <w:pPr>
        <w:pStyle w:val="CaseTitle"/>
        <w:spacing w:after="0" w:line="240" w:lineRule="auto"/>
        <w:rPr>
          <w:sz w:val="20"/>
          <w:szCs w:val="20"/>
          <w:lang w:val="en-GB"/>
        </w:rPr>
      </w:pPr>
    </w:p>
    <w:p w14:paraId="58B0C73F" w14:textId="4F45D29E" w:rsidR="00086B26" w:rsidRPr="00FC1D83" w:rsidRDefault="00AA448C" w:rsidP="00086B26">
      <w:pPr>
        <w:pStyle w:val="StyleCopyrightStatementAfter0ptBottomSinglesolidline1"/>
        <w:rPr>
          <w:lang w:val="en-GB"/>
        </w:rPr>
      </w:pPr>
      <w:r w:rsidRPr="00FC1D83">
        <w:rPr>
          <w:lang w:val="en-GB"/>
        </w:rPr>
        <w:t>Swapnil Garg</w:t>
      </w:r>
      <w:r w:rsidR="00ED7922" w:rsidRPr="00FC1D83">
        <w:rPr>
          <w:rFonts w:cs="Arial"/>
          <w:szCs w:val="16"/>
          <w:lang w:val="en-GB"/>
        </w:rPr>
        <w:t xml:space="preserve"> </w:t>
      </w:r>
      <w:r w:rsidR="00086B26" w:rsidRPr="00FC1D83">
        <w:rPr>
          <w:lang w:val="en-GB"/>
        </w:rPr>
        <w:t xml:space="preserve">wrote this case solely to provide material for class discussion. The </w:t>
      </w:r>
      <w:r w:rsidR="00A91E6D">
        <w:rPr>
          <w:lang w:val="en-GB"/>
        </w:rPr>
        <w:t xml:space="preserve">author does </w:t>
      </w:r>
      <w:r w:rsidR="00086B26" w:rsidRPr="00FC1D83">
        <w:rPr>
          <w:lang w:val="en-GB"/>
        </w:rPr>
        <w:t xml:space="preserve">not intend to illustrate either effective or ineffective handling of a managerial situation. The </w:t>
      </w:r>
      <w:r w:rsidR="00A91E6D">
        <w:rPr>
          <w:lang w:val="en-GB"/>
        </w:rPr>
        <w:t>author</w:t>
      </w:r>
      <w:r w:rsidR="00A91E6D" w:rsidRPr="00FC1D83">
        <w:rPr>
          <w:lang w:val="en-GB"/>
        </w:rPr>
        <w:t xml:space="preserve"> </w:t>
      </w:r>
      <w:r w:rsidR="00086B26" w:rsidRPr="00FC1D83">
        <w:rPr>
          <w:lang w:val="en-GB"/>
        </w:rPr>
        <w:t>may have disguised certain names and other identifying information to protect confidentiality.</w:t>
      </w:r>
    </w:p>
    <w:p w14:paraId="10D89D5F" w14:textId="77777777" w:rsidR="00086B26" w:rsidRPr="00FC1D83" w:rsidRDefault="00086B26" w:rsidP="00086B26">
      <w:pPr>
        <w:pStyle w:val="StyleCopyrightStatementAfter0ptBottomSinglesolidline1"/>
        <w:rPr>
          <w:lang w:val="en-GB"/>
        </w:rPr>
      </w:pPr>
    </w:p>
    <w:p w14:paraId="21B75BFD" w14:textId="77777777" w:rsidR="00510CEF" w:rsidRPr="00A323B0" w:rsidRDefault="00510CEF" w:rsidP="00510CEF">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250C8B6" w14:textId="77777777" w:rsidR="00510CEF" w:rsidRPr="00A323B0" w:rsidRDefault="00510CEF" w:rsidP="00510CEF">
      <w:pPr>
        <w:pStyle w:val="StyleStyleCopyrightStatementAfter0ptBottomSinglesolid"/>
        <w:rPr>
          <w:rFonts w:cs="Arial"/>
          <w:szCs w:val="16"/>
        </w:rPr>
      </w:pPr>
    </w:p>
    <w:p w14:paraId="3922E14F" w14:textId="05277897" w:rsidR="00751E0B" w:rsidRPr="00FC1D83" w:rsidRDefault="00510CEF" w:rsidP="00510CEF">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FC1D83">
        <w:rPr>
          <w:rFonts w:cs="Arial"/>
          <w:iCs w:val="0"/>
          <w:color w:val="auto"/>
          <w:szCs w:val="16"/>
          <w:lang w:val="en-GB"/>
        </w:rPr>
        <w:tab/>
        <w:t xml:space="preserve">Version: </w:t>
      </w:r>
      <w:r w:rsidR="003B0B24">
        <w:rPr>
          <w:rFonts w:cs="Arial"/>
          <w:iCs w:val="0"/>
          <w:color w:val="auto"/>
          <w:szCs w:val="16"/>
          <w:lang w:val="en-GB"/>
        </w:rPr>
        <w:t>2021-0</w:t>
      </w:r>
      <w:r>
        <w:rPr>
          <w:rFonts w:cs="Arial"/>
          <w:iCs w:val="0"/>
          <w:color w:val="auto"/>
          <w:szCs w:val="16"/>
          <w:lang w:val="en-GB"/>
        </w:rPr>
        <w:t>5</w:t>
      </w:r>
      <w:r w:rsidR="003B0B24">
        <w:rPr>
          <w:rFonts w:cs="Arial"/>
          <w:iCs w:val="0"/>
          <w:color w:val="auto"/>
          <w:szCs w:val="16"/>
          <w:lang w:val="en-GB"/>
        </w:rPr>
        <w:t>-</w:t>
      </w:r>
      <w:r w:rsidR="00623DEC">
        <w:rPr>
          <w:rFonts w:cs="Arial"/>
          <w:iCs w:val="0"/>
          <w:color w:val="auto"/>
          <w:szCs w:val="16"/>
          <w:lang w:val="en-GB"/>
        </w:rPr>
        <w:t>1</w:t>
      </w:r>
      <w:r>
        <w:rPr>
          <w:rFonts w:cs="Arial"/>
          <w:iCs w:val="0"/>
          <w:color w:val="auto"/>
          <w:szCs w:val="16"/>
          <w:lang w:val="en-GB"/>
        </w:rPr>
        <w:t>3</w:t>
      </w:r>
    </w:p>
    <w:p w14:paraId="0A2A54E4" w14:textId="77777777" w:rsidR="00751E0B" w:rsidRPr="00B97C9B" w:rsidRDefault="00751E0B" w:rsidP="00751E0B">
      <w:pPr>
        <w:pStyle w:val="StyleCopyrightStatementAfter0ptBottomSinglesolidline1"/>
        <w:rPr>
          <w:rFonts w:ascii="Times New Roman" w:hAnsi="Times New Roman"/>
          <w:i w:val="0"/>
          <w:sz w:val="22"/>
          <w:szCs w:val="22"/>
          <w:lang w:val="en-GB"/>
        </w:rPr>
      </w:pPr>
    </w:p>
    <w:p w14:paraId="2C183161" w14:textId="5DA1934F" w:rsidR="00B87DC0" w:rsidRPr="00B97C9B" w:rsidRDefault="00B87DC0" w:rsidP="002B40FF">
      <w:pPr>
        <w:pStyle w:val="Casehead1"/>
        <w:rPr>
          <w:rFonts w:ascii="Times New Roman" w:hAnsi="Times New Roman" w:cs="Times New Roman"/>
          <w:b w:val="0"/>
          <w:sz w:val="22"/>
          <w:szCs w:val="22"/>
          <w:lang w:val="en-GB"/>
        </w:rPr>
      </w:pPr>
    </w:p>
    <w:p w14:paraId="64F0866D" w14:textId="5EA75EFF" w:rsidR="00AA448C" w:rsidRDefault="00AA448C" w:rsidP="000B7D34">
      <w:pPr>
        <w:pStyle w:val="BodyTextMain"/>
        <w:jc w:val="right"/>
        <w:rPr>
          <w:lang w:val="en-GB"/>
        </w:rPr>
      </w:pPr>
      <w:r w:rsidRPr="00FC1D83">
        <w:rPr>
          <w:lang w:val="en-GB"/>
        </w:rPr>
        <w:t>CGPL</w:t>
      </w:r>
      <w:r w:rsidR="00684B1A">
        <w:rPr>
          <w:lang w:val="en-GB"/>
        </w:rPr>
        <w:t xml:space="preserve"> </w:t>
      </w:r>
      <w:r w:rsidR="003061A6">
        <w:rPr>
          <w:lang w:val="en-GB"/>
        </w:rPr>
        <w:t>[</w:t>
      </w:r>
      <w:bookmarkStart w:id="1" w:name="_Hlk67994951"/>
      <w:r w:rsidR="003061A6" w:rsidRPr="003061A6">
        <w:rPr>
          <w:lang w:val="en-GB"/>
        </w:rPr>
        <w:t>Coastal Gujarat Power Limited</w:t>
      </w:r>
      <w:bookmarkEnd w:id="1"/>
      <w:r w:rsidR="003061A6">
        <w:rPr>
          <w:lang w:val="en-GB"/>
        </w:rPr>
        <w:t>]</w:t>
      </w:r>
      <w:r w:rsidRPr="00FC1D83">
        <w:rPr>
          <w:lang w:val="en-GB"/>
        </w:rPr>
        <w:t xml:space="preserve">/Tata Power </w:t>
      </w:r>
      <w:r w:rsidR="002A7123">
        <w:rPr>
          <w:lang w:val="en-GB"/>
        </w:rPr>
        <w:t xml:space="preserve">[Tata Power Limited] </w:t>
      </w:r>
      <w:r w:rsidRPr="00FC1D83">
        <w:rPr>
          <w:lang w:val="en-GB"/>
        </w:rPr>
        <w:t xml:space="preserve">considers it very unfortunate that neither Regulatory Powers of CERC </w:t>
      </w:r>
      <w:r w:rsidR="005E19AA">
        <w:rPr>
          <w:lang w:val="en-GB"/>
        </w:rPr>
        <w:t>[</w:t>
      </w:r>
      <w:bookmarkStart w:id="2" w:name="_Hlk68007901"/>
      <w:r w:rsidR="005E19AA" w:rsidRPr="005E19AA">
        <w:rPr>
          <w:lang w:val="en-GB"/>
        </w:rPr>
        <w:t>Central Electricity Regulatory Commission</w:t>
      </w:r>
      <w:bookmarkEnd w:id="2"/>
      <w:r w:rsidR="005E19AA">
        <w:rPr>
          <w:lang w:val="en-GB"/>
        </w:rPr>
        <w:t>]</w:t>
      </w:r>
      <w:r w:rsidR="005E19AA" w:rsidRPr="005E19AA">
        <w:rPr>
          <w:lang w:val="en-GB"/>
        </w:rPr>
        <w:t xml:space="preserve"> </w:t>
      </w:r>
      <w:r w:rsidRPr="00FC1D83">
        <w:rPr>
          <w:lang w:val="en-GB"/>
        </w:rPr>
        <w:t xml:space="preserve">nor Forced Majeure as adjudicated by </w:t>
      </w:r>
      <w:proofErr w:type="spellStart"/>
      <w:r w:rsidR="00692565">
        <w:rPr>
          <w:lang w:val="en-GB"/>
        </w:rPr>
        <w:t>Aptel</w:t>
      </w:r>
      <w:proofErr w:type="spellEnd"/>
      <w:r w:rsidR="005E19AA">
        <w:rPr>
          <w:lang w:val="en-GB"/>
        </w:rPr>
        <w:t xml:space="preserve"> [</w:t>
      </w:r>
      <w:r w:rsidR="005E19AA" w:rsidRPr="005E19AA">
        <w:rPr>
          <w:lang w:val="en-GB"/>
        </w:rPr>
        <w:t>Appellate Tribunal for Electricity</w:t>
      </w:r>
      <w:r w:rsidR="003061A6">
        <w:rPr>
          <w:lang w:val="en-GB"/>
        </w:rPr>
        <w:t>]</w:t>
      </w:r>
      <w:r w:rsidRPr="00FC1D83">
        <w:rPr>
          <w:lang w:val="en-GB"/>
        </w:rPr>
        <w:t>, have been accepted by Hon</w:t>
      </w:r>
      <w:r w:rsidR="00692565">
        <w:rPr>
          <w:lang w:val="en-GB"/>
        </w:rPr>
        <w:t>’</w:t>
      </w:r>
      <w:r w:rsidRPr="00FC1D83">
        <w:rPr>
          <w:lang w:val="en-GB"/>
        </w:rPr>
        <w:t>ble Supreme Court</w:t>
      </w:r>
      <w:proofErr w:type="gramStart"/>
      <w:r w:rsidRPr="00FC1D83">
        <w:rPr>
          <w:lang w:val="en-GB"/>
        </w:rPr>
        <w:t>.</w:t>
      </w:r>
      <w:r w:rsidR="00692565">
        <w:rPr>
          <w:lang w:val="en-GB"/>
        </w:rPr>
        <w:t xml:space="preserve"> . . .</w:t>
      </w:r>
      <w:proofErr w:type="gramEnd"/>
      <w:r w:rsidR="00692565">
        <w:rPr>
          <w:lang w:val="en-GB"/>
        </w:rPr>
        <w:t xml:space="preserve"> </w:t>
      </w:r>
      <w:r w:rsidRPr="00FC1D83">
        <w:rPr>
          <w:lang w:val="en-GB"/>
        </w:rPr>
        <w:t xml:space="preserve">However, CGPL would continue to work towards alternatives, including sourcing of competitive and alternative coals to best contain the onslaught of </w:t>
      </w:r>
      <w:r w:rsidR="00692565">
        <w:rPr>
          <w:lang w:val="en-GB"/>
        </w:rPr>
        <w:t>under recovery</w:t>
      </w:r>
      <w:r w:rsidRPr="00FC1D83">
        <w:rPr>
          <w:lang w:val="en-GB"/>
        </w:rPr>
        <w:t>.</w:t>
      </w:r>
    </w:p>
    <w:p w14:paraId="40844AA4" w14:textId="4986085A" w:rsidR="00692565" w:rsidRPr="00FC1D83" w:rsidRDefault="00692565" w:rsidP="000B7D34">
      <w:pPr>
        <w:pStyle w:val="BodyTextMain"/>
        <w:jc w:val="right"/>
        <w:rPr>
          <w:lang w:val="en-GB"/>
        </w:rPr>
      </w:pPr>
    </w:p>
    <w:p w14:paraId="7A61FD5A" w14:textId="01E2E7B9" w:rsidR="001817AA" w:rsidRPr="00FC1D83" w:rsidRDefault="00AA448C" w:rsidP="000B7D34">
      <w:pPr>
        <w:pStyle w:val="BodyTextMain"/>
        <w:jc w:val="right"/>
        <w:rPr>
          <w:lang w:val="en-GB"/>
        </w:rPr>
      </w:pPr>
      <w:r w:rsidRPr="00FC1D83">
        <w:rPr>
          <w:lang w:val="en-GB"/>
        </w:rPr>
        <w:t>Tata Power</w:t>
      </w:r>
      <w:r w:rsidR="00692565">
        <w:rPr>
          <w:lang w:val="en-GB"/>
        </w:rPr>
        <w:t xml:space="preserve">, email statement, </w:t>
      </w:r>
      <w:r w:rsidRPr="00FC1D83">
        <w:rPr>
          <w:lang w:val="en-GB"/>
        </w:rPr>
        <w:t>April 12, 2017</w:t>
      </w:r>
      <w:r w:rsidR="001817AA" w:rsidRPr="00FC1D83">
        <w:rPr>
          <w:rStyle w:val="EndnoteReference"/>
          <w:color w:val="000000"/>
          <w:lang w:val="en-GB"/>
        </w:rPr>
        <w:endnoteReference w:id="2"/>
      </w:r>
    </w:p>
    <w:p w14:paraId="1C416C45" w14:textId="11325C49" w:rsidR="001817AA" w:rsidRPr="00FC1D83" w:rsidRDefault="001817AA" w:rsidP="000B7D34">
      <w:pPr>
        <w:pStyle w:val="BodyTextMain"/>
        <w:rPr>
          <w:i/>
          <w:iCs/>
          <w:lang w:val="en-GB"/>
        </w:rPr>
      </w:pPr>
    </w:p>
    <w:p w14:paraId="540B2845" w14:textId="77777777" w:rsidR="001817AA" w:rsidRPr="00FC1D83" w:rsidRDefault="001817AA" w:rsidP="000B7D34">
      <w:pPr>
        <w:pStyle w:val="BodyTextMain"/>
        <w:rPr>
          <w:i/>
          <w:iCs/>
          <w:lang w:val="en-GB"/>
        </w:rPr>
      </w:pPr>
    </w:p>
    <w:p w14:paraId="74DF8BE8" w14:textId="0E81B283" w:rsidR="001817AA" w:rsidRPr="00510CEF" w:rsidRDefault="00510CEF" w:rsidP="00D1347A">
      <w:pPr>
        <w:pStyle w:val="BodyTextMain"/>
        <w:rPr>
          <w:spacing w:val="-2"/>
          <w:sz w:val="18"/>
          <w:lang w:val="en-GB"/>
        </w:rPr>
      </w:pPr>
      <w:r w:rsidRPr="00510CEF">
        <w:rPr>
          <w:spacing w:val="-2"/>
        </w:rPr>
        <w:t>An email statement from Tata Power on April 12, 2017, failed to communicate the financial challenges being faced by the CGPL power plant. A later news headline, however, clearly encapsulated the plant’s survival risks and its commercial viability when it stated “Tata Power Offers to Sell 51% of Mundra Plant for ₹1.”</w:t>
      </w:r>
      <w:r w:rsidR="001817AA" w:rsidRPr="00510CEF">
        <w:rPr>
          <w:rStyle w:val="EndnoteReference"/>
          <w:spacing w:val="-2"/>
          <w:lang w:val="en-GB"/>
        </w:rPr>
        <w:endnoteReference w:id="3"/>
      </w:r>
    </w:p>
    <w:p w14:paraId="35C2E75B" w14:textId="482DF841" w:rsidR="001817AA" w:rsidRPr="00FC1D83" w:rsidRDefault="001817AA" w:rsidP="000B7D34">
      <w:pPr>
        <w:pStyle w:val="BodyTextMain"/>
        <w:rPr>
          <w:lang w:val="en-GB"/>
        </w:rPr>
      </w:pPr>
    </w:p>
    <w:p w14:paraId="15A912BB" w14:textId="779CCE3B" w:rsidR="001817AA" w:rsidRPr="00FC1D83" w:rsidRDefault="001817AA" w:rsidP="000B7D34">
      <w:pPr>
        <w:pStyle w:val="BodyTextMain"/>
        <w:rPr>
          <w:lang w:val="en-GB"/>
        </w:rPr>
      </w:pPr>
      <w:r w:rsidRPr="00FC1D83">
        <w:rPr>
          <w:lang w:val="en-GB"/>
        </w:rPr>
        <w:t xml:space="preserve">The </w:t>
      </w:r>
      <w:r w:rsidR="00684B1A">
        <w:rPr>
          <w:lang w:val="en-GB"/>
        </w:rPr>
        <w:t xml:space="preserve">judgement by the </w:t>
      </w:r>
      <w:r w:rsidRPr="00FC1D83">
        <w:rPr>
          <w:lang w:val="en-GB"/>
        </w:rPr>
        <w:t>Supreme Court of India</w:t>
      </w:r>
      <w:r w:rsidR="00684B1A">
        <w:rPr>
          <w:lang w:val="en-GB"/>
        </w:rPr>
        <w:t xml:space="preserve"> [Supreme Court]</w:t>
      </w:r>
      <w:r w:rsidRPr="00FC1D83">
        <w:rPr>
          <w:lang w:val="en-GB"/>
        </w:rPr>
        <w:t xml:space="preserve"> dated April 11, 2017, brought closure to </w:t>
      </w:r>
      <w:r>
        <w:rPr>
          <w:lang w:val="en-GB"/>
        </w:rPr>
        <w:t>a</w:t>
      </w:r>
      <w:r w:rsidRPr="00FC1D83">
        <w:rPr>
          <w:lang w:val="en-GB"/>
        </w:rPr>
        <w:t xml:space="preserve"> long-standing demand for an increase in the electricity tariff on account of </w:t>
      </w:r>
      <w:r>
        <w:rPr>
          <w:lang w:val="en-GB"/>
        </w:rPr>
        <w:t xml:space="preserve">the </w:t>
      </w:r>
      <w:r w:rsidRPr="00FC1D83">
        <w:rPr>
          <w:lang w:val="en-GB"/>
        </w:rPr>
        <w:t xml:space="preserve">increase in the price of Indonesian coal. The </w:t>
      </w:r>
      <w:r>
        <w:rPr>
          <w:lang w:val="en-GB"/>
        </w:rPr>
        <w:t>Indonesian Minister of Energy and Mineral Resources (MEMR) Regulation No. 17, 2010,</w:t>
      </w:r>
      <w:r w:rsidRPr="00FC1D83">
        <w:rPr>
          <w:lang w:val="en-GB"/>
        </w:rPr>
        <w:t xml:space="preserve"> had hiked the royalty and tax on coal mined from Indonesia to bring the price of coal mined from Indonesian mines at par with the international market.</w:t>
      </w:r>
      <w:r w:rsidR="00620E32" w:rsidRPr="00FC1D83">
        <w:rPr>
          <w:vertAlign w:val="superscript"/>
          <w:lang w:val="en-GB"/>
        </w:rPr>
        <w:endnoteReference w:id="4"/>
      </w:r>
      <w:r w:rsidRPr="00FC1D83">
        <w:rPr>
          <w:lang w:val="en-GB"/>
        </w:rPr>
        <w:t xml:space="preserve"> This had resulted in the price of Indonesian coal rising from </w:t>
      </w:r>
      <w:r>
        <w:rPr>
          <w:lang w:val="en-GB"/>
        </w:rPr>
        <w:t>US</w:t>
      </w:r>
      <w:r w:rsidRPr="00FC1D83">
        <w:rPr>
          <w:lang w:val="en-GB"/>
        </w:rPr>
        <w:t>$70.7</w:t>
      </w:r>
      <w:r>
        <w:rPr>
          <w:lang w:val="en-GB"/>
        </w:rPr>
        <w:t>0</w:t>
      </w:r>
      <w:r>
        <w:rPr>
          <w:rStyle w:val="EndnoteReference"/>
          <w:lang w:val="en-GB"/>
        </w:rPr>
        <w:endnoteReference w:id="5"/>
      </w:r>
      <w:r>
        <w:rPr>
          <w:lang w:val="en-GB"/>
        </w:rPr>
        <w:t xml:space="preserve"> per metric ton</w:t>
      </w:r>
      <w:r w:rsidRPr="00FC1D83">
        <w:rPr>
          <w:lang w:val="en-GB"/>
        </w:rPr>
        <w:t xml:space="preserve"> in 2009 to $118.4</w:t>
      </w:r>
      <w:r>
        <w:rPr>
          <w:lang w:val="en-GB"/>
        </w:rPr>
        <w:t xml:space="preserve">0 per metric </w:t>
      </w:r>
      <w:r w:rsidRPr="00FC1D83">
        <w:rPr>
          <w:lang w:val="en-GB"/>
        </w:rPr>
        <w:t>ton in 2011,</w:t>
      </w:r>
      <w:r w:rsidR="00620E32">
        <w:rPr>
          <w:rStyle w:val="EndnoteReference"/>
          <w:lang w:val="en-GB"/>
        </w:rPr>
        <w:endnoteReference w:id="6"/>
      </w:r>
      <w:r w:rsidRPr="00FC1D83">
        <w:rPr>
          <w:lang w:val="en-GB"/>
        </w:rPr>
        <w:t xml:space="preserve"> affecting the commercial viability of </w:t>
      </w:r>
      <w:r>
        <w:rPr>
          <w:lang w:val="en-GB"/>
        </w:rPr>
        <w:t>electricity-generation</w:t>
      </w:r>
      <w:r w:rsidRPr="00FC1D83">
        <w:rPr>
          <w:lang w:val="en-GB"/>
        </w:rPr>
        <w:t xml:space="preserve"> plants in India</w:t>
      </w:r>
      <w:r>
        <w:rPr>
          <w:lang w:val="en-GB"/>
        </w:rPr>
        <w:t xml:space="preserve"> that were based on Indonesian coal</w:t>
      </w:r>
      <w:r w:rsidRPr="00FC1D83">
        <w:rPr>
          <w:lang w:val="en-GB"/>
        </w:rPr>
        <w:t xml:space="preserve">. These plants constituted 7.5 </w:t>
      </w:r>
      <w:r>
        <w:rPr>
          <w:lang w:val="en-GB"/>
        </w:rPr>
        <w:t>per cent</w:t>
      </w:r>
      <w:r w:rsidRPr="00FC1D83">
        <w:rPr>
          <w:lang w:val="en-GB"/>
        </w:rPr>
        <w:t xml:space="preserve"> of the national generation capacity, contributing a significant 15 gigawatts (GW) of electricity in an </w:t>
      </w:r>
      <w:r>
        <w:rPr>
          <w:lang w:val="en-GB"/>
        </w:rPr>
        <w:t>electricity-deficient</w:t>
      </w:r>
      <w:r w:rsidRPr="00FC1D83">
        <w:rPr>
          <w:lang w:val="en-GB"/>
        </w:rPr>
        <w:t xml:space="preserve"> country (</w:t>
      </w:r>
      <w:r>
        <w:rPr>
          <w:bCs/>
          <w:lang w:val="en-GB"/>
        </w:rPr>
        <w:t>see Exhibit 1</w:t>
      </w:r>
      <w:r w:rsidRPr="00FC1D83">
        <w:rPr>
          <w:bCs/>
          <w:lang w:val="en-GB"/>
        </w:rPr>
        <w:t>)</w:t>
      </w:r>
      <w:r w:rsidRPr="00FC1D83">
        <w:rPr>
          <w:lang w:val="en-GB"/>
        </w:rPr>
        <w:t>.</w:t>
      </w:r>
      <w:r w:rsidRPr="00FC1D83">
        <w:rPr>
          <w:rStyle w:val="EndnoteReference"/>
          <w:lang w:val="en-GB"/>
        </w:rPr>
        <w:endnoteReference w:id="7"/>
      </w:r>
      <w:r w:rsidRPr="00FC1D83">
        <w:rPr>
          <w:lang w:val="en-GB"/>
        </w:rPr>
        <w:t xml:space="preserve"> </w:t>
      </w:r>
    </w:p>
    <w:p w14:paraId="12403DF1" w14:textId="77777777" w:rsidR="001817AA" w:rsidRPr="00FC1D83" w:rsidRDefault="001817AA" w:rsidP="000B7D34">
      <w:pPr>
        <w:pStyle w:val="BodyTextMain"/>
        <w:rPr>
          <w:bCs/>
          <w:lang w:val="en-GB"/>
        </w:rPr>
      </w:pPr>
    </w:p>
    <w:p w14:paraId="45950E42" w14:textId="59859EA8" w:rsidR="001817AA" w:rsidRPr="00FC1D83" w:rsidRDefault="001817AA" w:rsidP="000B7D34">
      <w:pPr>
        <w:pStyle w:val="BodyTextMain"/>
        <w:rPr>
          <w:lang w:val="en-GB"/>
        </w:rPr>
      </w:pPr>
      <w:r>
        <w:rPr>
          <w:lang w:val="en-GB"/>
        </w:rPr>
        <w:t>Tata Power</w:t>
      </w:r>
      <w:r w:rsidRPr="00FC1D83">
        <w:rPr>
          <w:lang w:val="en-GB"/>
        </w:rPr>
        <w:t>, India</w:t>
      </w:r>
      <w:r>
        <w:rPr>
          <w:lang w:val="en-GB"/>
        </w:rPr>
        <w:t>’</w:t>
      </w:r>
      <w:r w:rsidRPr="00FC1D83">
        <w:rPr>
          <w:lang w:val="en-GB"/>
        </w:rPr>
        <w:t>s largest integrated private</w:t>
      </w:r>
      <w:r>
        <w:rPr>
          <w:lang w:val="en-GB"/>
        </w:rPr>
        <w:t>-</w:t>
      </w:r>
      <w:r w:rsidRPr="00FC1D83">
        <w:rPr>
          <w:lang w:val="en-GB"/>
        </w:rPr>
        <w:t xml:space="preserve">sector power company, owned and operated the </w:t>
      </w:r>
      <w:r w:rsidR="002746BE" w:rsidRPr="00FC1D83">
        <w:rPr>
          <w:lang w:val="en-GB"/>
        </w:rPr>
        <w:t>4,000-megawatt</w:t>
      </w:r>
      <w:r w:rsidRPr="00FC1D83">
        <w:rPr>
          <w:lang w:val="en-GB"/>
        </w:rPr>
        <w:t xml:space="preserve"> (MW)</w:t>
      </w:r>
      <w:r>
        <w:rPr>
          <w:lang w:val="en-GB"/>
        </w:rPr>
        <w:t xml:space="preserve"> </w:t>
      </w:r>
      <w:r w:rsidRPr="00FC1D83">
        <w:rPr>
          <w:lang w:val="en-GB"/>
        </w:rPr>
        <w:t>CGPL, India</w:t>
      </w:r>
      <w:r>
        <w:rPr>
          <w:lang w:val="en-GB"/>
        </w:rPr>
        <w:t>’</w:t>
      </w:r>
      <w:r w:rsidRPr="00FC1D83">
        <w:rPr>
          <w:lang w:val="en-GB"/>
        </w:rPr>
        <w:t xml:space="preserve">s second-largest coal-based generation plant. Using superior boiler technology, the plant was one of the most efficient in the country, using 1.7 million </w:t>
      </w:r>
      <w:r>
        <w:rPr>
          <w:lang w:val="en-GB"/>
        </w:rPr>
        <w:t>metric tons</w:t>
      </w:r>
      <w:r w:rsidRPr="00FC1D83">
        <w:rPr>
          <w:lang w:val="en-GB"/>
        </w:rPr>
        <w:t xml:space="preserve"> </w:t>
      </w:r>
      <w:r>
        <w:rPr>
          <w:lang w:val="en-GB"/>
        </w:rPr>
        <w:t xml:space="preserve">of </w:t>
      </w:r>
      <w:r w:rsidRPr="00FC1D83">
        <w:rPr>
          <w:lang w:val="en-GB"/>
        </w:rPr>
        <w:t>coal</w:t>
      </w:r>
      <w:r>
        <w:rPr>
          <w:lang w:val="en-GB"/>
        </w:rPr>
        <w:t xml:space="preserve"> less</w:t>
      </w:r>
      <w:r w:rsidRPr="00FC1D83">
        <w:rPr>
          <w:lang w:val="en-GB"/>
        </w:rPr>
        <w:t xml:space="preserve"> per year compared to plants of similar capacity.</w:t>
      </w:r>
      <w:r w:rsidRPr="00FC1D83">
        <w:rPr>
          <w:rStyle w:val="EndnoteReference"/>
          <w:bCs/>
          <w:lang w:val="en-GB"/>
        </w:rPr>
        <w:endnoteReference w:id="8"/>
      </w:r>
      <w:r w:rsidRPr="00FC1D83">
        <w:rPr>
          <w:lang w:val="en-GB"/>
        </w:rPr>
        <w:t xml:space="preserve"> In 2007, Tata Power had bid an electricity tariff of ₹2.264</w:t>
      </w:r>
      <w:r>
        <w:rPr>
          <w:lang w:val="en-GB"/>
        </w:rPr>
        <w:t xml:space="preserve"> per kilowatt-hour (</w:t>
      </w:r>
      <w:r w:rsidRPr="00FC1D83">
        <w:rPr>
          <w:lang w:val="en-GB"/>
        </w:rPr>
        <w:t>kWh</w:t>
      </w:r>
      <w:r>
        <w:rPr>
          <w:lang w:val="en-GB"/>
        </w:rPr>
        <w:t>)</w:t>
      </w:r>
      <w:r w:rsidRPr="00FC1D83">
        <w:rPr>
          <w:lang w:val="en-GB"/>
        </w:rPr>
        <w:t xml:space="preserve">, which was one of the </w:t>
      </w:r>
      <w:r>
        <w:rPr>
          <w:lang w:val="en-GB"/>
        </w:rPr>
        <w:t>lowest-ever</w:t>
      </w:r>
      <w:r w:rsidRPr="00FC1D83">
        <w:rPr>
          <w:lang w:val="en-GB"/>
        </w:rPr>
        <w:t xml:space="preserve"> </w:t>
      </w:r>
      <w:r>
        <w:rPr>
          <w:lang w:val="en-GB"/>
        </w:rPr>
        <w:t>bids</w:t>
      </w:r>
      <w:r w:rsidRPr="00FC1D83">
        <w:rPr>
          <w:lang w:val="en-GB"/>
        </w:rPr>
        <w:t xml:space="preserve"> in the country. On account of the high price of input coal</w:t>
      </w:r>
      <w:r>
        <w:rPr>
          <w:lang w:val="en-GB"/>
        </w:rPr>
        <w:t xml:space="preserve"> (</w:t>
      </w:r>
      <w:r w:rsidRPr="00FC1D83">
        <w:rPr>
          <w:lang w:val="en-GB"/>
        </w:rPr>
        <w:t>i.e., imported coal from Indonesia</w:t>
      </w:r>
      <w:r>
        <w:rPr>
          <w:lang w:val="en-GB"/>
        </w:rPr>
        <w:t>)</w:t>
      </w:r>
      <w:r w:rsidRPr="00FC1D83">
        <w:rPr>
          <w:lang w:val="en-GB"/>
        </w:rPr>
        <w:t>, CGPL was making continuous losses since its commissioning in 2013, eroding Tata Power</w:t>
      </w:r>
      <w:r>
        <w:rPr>
          <w:lang w:val="en-GB"/>
        </w:rPr>
        <w:t>’</w:t>
      </w:r>
      <w:r w:rsidRPr="00FC1D83">
        <w:rPr>
          <w:lang w:val="en-GB"/>
        </w:rPr>
        <w:t>s equity in CGPL.</w:t>
      </w:r>
      <w:r w:rsidRPr="00FC1D83">
        <w:rPr>
          <w:rStyle w:val="EndnoteReference"/>
          <w:bCs/>
          <w:lang w:val="en-GB"/>
        </w:rPr>
        <w:endnoteReference w:id="9"/>
      </w:r>
    </w:p>
    <w:p w14:paraId="70E0B5D9" w14:textId="32AC4DDE" w:rsidR="001817AA" w:rsidRPr="00E56CBB" w:rsidRDefault="001817AA" w:rsidP="000B7D34">
      <w:pPr>
        <w:pStyle w:val="BodyTextMain"/>
        <w:rPr>
          <w:spacing w:val="-2"/>
          <w:lang w:val="en-GB"/>
        </w:rPr>
      </w:pPr>
      <w:r w:rsidRPr="00E56CBB">
        <w:rPr>
          <w:spacing w:val="-2"/>
          <w:lang w:val="en-GB"/>
        </w:rPr>
        <w:lastRenderedPageBreak/>
        <w:t xml:space="preserve">Indonesian coal-based private power plants had </w:t>
      </w:r>
      <w:r w:rsidR="002746BE" w:rsidRPr="00E56CBB">
        <w:rPr>
          <w:spacing w:val="-2"/>
          <w:lang w:val="en-GB"/>
        </w:rPr>
        <w:t>arisen</w:t>
      </w:r>
      <w:r w:rsidRPr="00E56CBB">
        <w:rPr>
          <w:spacing w:val="-2"/>
          <w:lang w:val="en-GB"/>
        </w:rPr>
        <w:t xml:space="preserve"> in India in response to a change in government policy brought about by the </w:t>
      </w:r>
      <w:r w:rsidRPr="00E56CBB">
        <w:rPr>
          <w:i/>
          <w:iCs/>
          <w:spacing w:val="-2"/>
          <w:lang w:val="en-GB"/>
        </w:rPr>
        <w:t>Electricity Act</w:t>
      </w:r>
      <w:r w:rsidRPr="00E56CBB">
        <w:rPr>
          <w:spacing w:val="-2"/>
          <w:lang w:val="en-GB"/>
        </w:rPr>
        <w:t>, 2003. To reduce the national electricity deficit, the act aimed to deregulate the electricity sector, unbundle the electricity value chain (</w:t>
      </w:r>
      <w:bookmarkStart w:id="4" w:name="_Hlk67993786"/>
      <w:r w:rsidRPr="00E56CBB">
        <w:rPr>
          <w:spacing w:val="-2"/>
          <w:lang w:val="en-GB"/>
        </w:rPr>
        <w:t xml:space="preserve">generation, transmission, and distribution </w:t>
      </w:r>
      <w:bookmarkEnd w:id="4"/>
      <w:r w:rsidRPr="00E56CBB">
        <w:rPr>
          <w:spacing w:val="-2"/>
          <w:lang w:val="en-GB"/>
        </w:rPr>
        <w:t>[GTD]), allow private investments in generation, encourage efficient use of electricity, upgrade transmission and distribution infrastructure, reduce transmission and distribution losses, and emphasize renewable energy options.</w:t>
      </w:r>
      <w:r w:rsidRPr="00E56CBB">
        <w:rPr>
          <w:rStyle w:val="EndnoteReference"/>
          <w:bCs/>
          <w:spacing w:val="-2"/>
          <w:lang w:val="en-GB"/>
        </w:rPr>
        <w:endnoteReference w:id="10"/>
      </w:r>
      <w:r w:rsidRPr="00E56CBB">
        <w:rPr>
          <w:spacing w:val="-2"/>
          <w:lang w:val="en-GB"/>
        </w:rPr>
        <w:t xml:space="preserve"> CGPL was the first of the 12 4,000 MW Ultra Mega Power Projects (UMPPs)</w:t>
      </w:r>
      <w:r w:rsidR="0023761C" w:rsidRPr="00E56CBB">
        <w:rPr>
          <w:rStyle w:val="EndnoteReference"/>
          <w:spacing w:val="-2"/>
          <w:lang w:val="en-GB"/>
        </w:rPr>
        <w:endnoteReference w:id="11"/>
      </w:r>
      <w:r w:rsidRPr="00E56CBB">
        <w:rPr>
          <w:spacing w:val="-2"/>
          <w:lang w:val="en-GB"/>
        </w:rPr>
        <w:t xml:space="preserve"> to be set up in the country as part of the new act. A greenfield plant, CGPL attempted to (a) address the problem of poor-quality domestic coal by importing coal from Indonesia,</w:t>
      </w:r>
      <w:r w:rsidRPr="00E56CBB">
        <w:rPr>
          <w:rStyle w:val="EndnoteReference"/>
          <w:spacing w:val="-2"/>
          <w:lang w:val="en-GB"/>
        </w:rPr>
        <w:endnoteReference w:id="12"/>
      </w:r>
      <w:r w:rsidRPr="00E56CBB">
        <w:rPr>
          <w:spacing w:val="-2"/>
          <w:lang w:val="en-GB"/>
        </w:rPr>
        <w:t xml:space="preserve"> (b) leverage private-sector finances for public infrastructure, and (c) bring in private-sector management to address public-sector inefficiencies.</w:t>
      </w:r>
    </w:p>
    <w:p w14:paraId="78B263A9" w14:textId="77777777" w:rsidR="001817AA" w:rsidRPr="00FC1D83" w:rsidRDefault="001817AA" w:rsidP="000B7D34">
      <w:pPr>
        <w:pStyle w:val="BodyTextMain"/>
        <w:rPr>
          <w:lang w:val="en-GB"/>
        </w:rPr>
      </w:pPr>
    </w:p>
    <w:p w14:paraId="77AD2C7C" w14:textId="36E3EC5B" w:rsidR="001817AA" w:rsidRPr="00E56CBB" w:rsidRDefault="001817AA" w:rsidP="000B7D34">
      <w:pPr>
        <w:pStyle w:val="BodyTextMain"/>
        <w:rPr>
          <w:spacing w:val="-2"/>
          <w:lang w:val="en-GB"/>
        </w:rPr>
      </w:pPr>
      <w:r w:rsidRPr="00E56CBB">
        <w:rPr>
          <w:spacing w:val="-2"/>
          <w:lang w:val="en-GB"/>
        </w:rPr>
        <w:t>Paradoxically, the policy-makers, regulators, tribunals, and courts appreciated that the change in the price of Indonesian price had made it commercially unviable for the power plants to generate and supply electricity at the contracted rates.</w:t>
      </w:r>
      <w:r w:rsidRPr="00E56CBB">
        <w:rPr>
          <w:rStyle w:val="EndnoteReference"/>
          <w:bCs/>
          <w:spacing w:val="-2"/>
          <w:lang w:val="en-GB"/>
        </w:rPr>
        <w:endnoteReference w:id="13"/>
      </w:r>
      <w:r w:rsidRPr="00E56CBB">
        <w:rPr>
          <w:spacing w:val="-2"/>
          <w:lang w:val="en-GB"/>
        </w:rPr>
        <w:t xml:space="preserve"> However, the stakeholders disagreed on the interpretation of contractual clauses, which would allow a tariff increase. Primarily, the dispute was about either adhering to the letter of the contract, which would lead to a significant private and public loss, or following the spirit of the contract, which would result in a public gain on account of survival of the private plants. Those in favour of following the spirit of the contract (some public distribution organizations, and consumer organizations such as Energy Watchdog and Prayas) argued against any tariff increase, as the tariff was competitively determined and contractually agreed upon. The private power plants, however, sought an increase in the tariff to survive, arguing that their survival was in the public interest. The power plants further argued that as they were the most efficient producers in an energy-deficit country, their shutdown would be a national loss.</w:t>
      </w:r>
      <w:r w:rsidRPr="00E56CBB">
        <w:rPr>
          <w:rStyle w:val="EndnoteReference"/>
          <w:bCs/>
          <w:spacing w:val="-2"/>
          <w:lang w:val="en-GB"/>
        </w:rPr>
        <w:endnoteReference w:id="14"/>
      </w:r>
    </w:p>
    <w:p w14:paraId="49907C1F" w14:textId="77777777" w:rsidR="001817AA" w:rsidRPr="00A6594A" w:rsidRDefault="001817AA" w:rsidP="000B7D34">
      <w:pPr>
        <w:pStyle w:val="BodyTextMain"/>
        <w:rPr>
          <w:bCs/>
          <w:color w:val="000000" w:themeColor="text1"/>
          <w:lang w:val="en-GB"/>
        </w:rPr>
      </w:pPr>
    </w:p>
    <w:p w14:paraId="46F67A77" w14:textId="6769F732" w:rsidR="001817AA" w:rsidRPr="00E56CBB" w:rsidRDefault="001817AA" w:rsidP="000B7D34">
      <w:pPr>
        <w:pStyle w:val="BodyTextMain"/>
        <w:rPr>
          <w:spacing w:val="-2"/>
          <w:lang w:val="en-GB"/>
        </w:rPr>
      </w:pPr>
      <w:r w:rsidRPr="00E56CBB">
        <w:rPr>
          <w:spacing w:val="-2"/>
          <w:lang w:val="en-GB"/>
        </w:rPr>
        <w:t>While the courts, regulators, and policy-makers concluded that no relief was possible under the contract, their interpretation did not solve the problem faced by Tata Power—the management and owner of CGPL.</w:t>
      </w:r>
      <w:r w:rsidRPr="00E56CBB">
        <w:rPr>
          <w:rStyle w:val="EndnoteReference"/>
          <w:spacing w:val="-2"/>
          <w:lang w:val="en-GB"/>
        </w:rPr>
        <w:endnoteReference w:id="15"/>
      </w:r>
      <w:r w:rsidRPr="00E56CBB">
        <w:rPr>
          <w:spacing w:val="-2"/>
          <w:lang w:val="en-GB"/>
        </w:rPr>
        <w:t xml:space="preserve"> Tata Power had to decide what to do with the cash-bleeding power plant, which, having eroded its equity, required an immediate infusion of cash. It was estimated that the plant would incur losses 10 times the invested equity over the power plant’s lifetime (i.e., a loss of ₹475 billion over the 25-year concession period).</w:t>
      </w:r>
      <w:r w:rsidRPr="00E56CBB">
        <w:rPr>
          <w:rStyle w:val="EndnoteReference"/>
          <w:bCs/>
          <w:spacing w:val="-2"/>
          <w:lang w:val="en-GB"/>
        </w:rPr>
        <w:endnoteReference w:id="16"/>
      </w:r>
      <w:r w:rsidRPr="00E56CBB">
        <w:rPr>
          <w:spacing w:val="-2"/>
          <w:lang w:val="en-GB"/>
        </w:rPr>
        <w:t xml:space="preserve"> It remained to be determined whether Tata Power should—or, more importantly, </w:t>
      </w:r>
      <w:r w:rsidRPr="00E56CBB">
        <w:rPr>
          <w:i/>
          <w:iCs/>
          <w:spacing w:val="-2"/>
          <w:lang w:val="en-GB"/>
        </w:rPr>
        <w:t>could</w:t>
      </w:r>
      <w:r w:rsidRPr="00E56CBB">
        <w:rPr>
          <w:spacing w:val="-2"/>
          <w:lang w:val="en-GB"/>
        </w:rPr>
        <w:t>—close down the plant.</w:t>
      </w:r>
    </w:p>
    <w:p w14:paraId="78C512D3" w14:textId="6EA64546" w:rsidR="001817AA" w:rsidRPr="00A6594A" w:rsidRDefault="001817AA" w:rsidP="000B7D34">
      <w:pPr>
        <w:pStyle w:val="BodyTextMain"/>
        <w:rPr>
          <w:bCs/>
          <w:color w:val="000000" w:themeColor="text1"/>
          <w:lang w:val="en-GB"/>
        </w:rPr>
      </w:pPr>
    </w:p>
    <w:p w14:paraId="7BBC8A6F" w14:textId="77777777" w:rsidR="001817AA" w:rsidRPr="00A6594A" w:rsidRDefault="001817AA" w:rsidP="000B7D34">
      <w:pPr>
        <w:pStyle w:val="BodyTextMain"/>
        <w:rPr>
          <w:bCs/>
          <w:color w:val="000000" w:themeColor="text1"/>
          <w:lang w:val="en-GB"/>
        </w:rPr>
      </w:pPr>
    </w:p>
    <w:p w14:paraId="3B702290" w14:textId="12B156B7" w:rsidR="001817AA" w:rsidRPr="00FC1D83" w:rsidRDefault="001817AA" w:rsidP="000B7D34">
      <w:pPr>
        <w:pStyle w:val="Casehead1"/>
        <w:rPr>
          <w:lang w:val="en-GB"/>
        </w:rPr>
      </w:pPr>
      <w:r>
        <w:rPr>
          <w:lang w:val="en-GB"/>
        </w:rPr>
        <w:t xml:space="preserve">The </w:t>
      </w:r>
      <w:r w:rsidRPr="00FC1D83">
        <w:rPr>
          <w:lang w:val="en-GB"/>
        </w:rPr>
        <w:t>INDIAN ELECTRICITY SECTOR</w:t>
      </w:r>
    </w:p>
    <w:p w14:paraId="57EAB62B" w14:textId="77777777" w:rsidR="001817AA" w:rsidRPr="00FC1D83" w:rsidRDefault="001817AA" w:rsidP="00AA448C">
      <w:pPr>
        <w:pStyle w:val="BodyTextMain"/>
        <w:rPr>
          <w:lang w:val="en-GB"/>
        </w:rPr>
      </w:pPr>
    </w:p>
    <w:p w14:paraId="625B70E0" w14:textId="75D8FED3" w:rsidR="001817AA" w:rsidRPr="00FC1D83" w:rsidRDefault="001817AA" w:rsidP="00AA448C">
      <w:pPr>
        <w:pStyle w:val="BodyTextMain"/>
        <w:rPr>
          <w:lang w:val="en-GB"/>
        </w:rPr>
      </w:pPr>
      <w:r w:rsidRPr="00FC1D83">
        <w:rPr>
          <w:lang w:val="en-GB"/>
        </w:rPr>
        <w:t xml:space="preserve">Electricity was introduced in India in 1879 by </w:t>
      </w:r>
      <w:r>
        <w:rPr>
          <w:lang w:val="en-GB"/>
        </w:rPr>
        <w:t>the</w:t>
      </w:r>
      <w:r w:rsidRPr="00FC1D83">
        <w:rPr>
          <w:lang w:val="en-GB"/>
        </w:rPr>
        <w:t xml:space="preserve"> private firm </w:t>
      </w:r>
      <w:r>
        <w:rPr>
          <w:lang w:val="en-GB"/>
        </w:rPr>
        <w:t>P. W.</w:t>
      </w:r>
      <w:r w:rsidRPr="00FC1D83">
        <w:rPr>
          <w:lang w:val="en-GB"/>
        </w:rPr>
        <w:t xml:space="preserve"> </w:t>
      </w:r>
      <w:r>
        <w:rPr>
          <w:lang w:val="en-GB"/>
        </w:rPr>
        <w:t>Fleury</w:t>
      </w:r>
      <w:r w:rsidRPr="00FC1D83">
        <w:rPr>
          <w:lang w:val="en-GB"/>
        </w:rPr>
        <w:t xml:space="preserve"> &amp; Co. </w:t>
      </w:r>
      <w:r w:rsidRPr="00716B22">
        <w:rPr>
          <w:i/>
          <w:iCs/>
          <w:lang w:val="en-GB"/>
        </w:rPr>
        <w:t>The Indian Electricity Act</w:t>
      </w:r>
      <w:r>
        <w:rPr>
          <w:lang w:val="en-GB"/>
        </w:rPr>
        <w:t xml:space="preserve">, </w:t>
      </w:r>
      <w:r w:rsidRPr="00FC1D83">
        <w:rPr>
          <w:lang w:val="en-GB"/>
        </w:rPr>
        <w:t>1910</w:t>
      </w:r>
      <w:r>
        <w:rPr>
          <w:lang w:val="en-GB"/>
        </w:rPr>
        <w:t>,</w:t>
      </w:r>
      <w:r w:rsidRPr="00FC1D83">
        <w:rPr>
          <w:lang w:val="en-GB"/>
        </w:rPr>
        <w:t xml:space="preserve"> allowed private companies to generate and supply electricity. By 1950, a significant 630 MW of the nation</w:t>
      </w:r>
      <w:r>
        <w:rPr>
          <w:lang w:val="en-GB"/>
        </w:rPr>
        <w:t>’</w:t>
      </w:r>
      <w:r w:rsidRPr="00FC1D83">
        <w:rPr>
          <w:lang w:val="en-GB"/>
        </w:rPr>
        <w:t xml:space="preserve">s total </w:t>
      </w:r>
      <w:r>
        <w:rPr>
          <w:lang w:val="en-GB"/>
        </w:rPr>
        <w:t>1,731</w:t>
      </w:r>
      <w:r w:rsidRPr="00FC1D83">
        <w:rPr>
          <w:lang w:val="en-GB"/>
        </w:rPr>
        <w:t xml:space="preserve"> MW generation capacity </w:t>
      </w:r>
      <w:r>
        <w:rPr>
          <w:lang w:val="en-GB"/>
        </w:rPr>
        <w:t>was</w:t>
      </w:r>
      <w:r w:rsidRPr="00FC1D83">
        <w:rPr>
          <w:lang w:val="en-GB"/>
        </w:rPr>
        <w:t xml:space="preserve"> in private hands. However, post-independence</w:t>
      </w:r>
      <w:r>
        <w:rPr>
          <w:lang w:val="en-GB"/>
        </w:rPr>
        <w:t>,</w:t>
      </w:r>
      <w:r w:rsidRPr="00FC1D83">
        <w:rPr>
          <w:lang w:val="en-GB"/>
        </w:rPr>
        <w:t xml:space="preserve"> in 1947, </w:t>
      </w:r>
      <w:r>
        <w:rPr>
          <w:lang w:val="en-GB"/>
        </w:rPr>
        <w:t>the</w:t>
      </w:r>
      <w:r w:rsidRPr="00FC1D83">
        <w:rPr>
          <w:lang w:val="en-GB"/>
        </w:rPr>
        <w:t xml:space="preserve"> </w:t>
      </w:r>
      <w:r w:rsidRPr="00716B22">
        <w:rPr>
          <w:i/>
          <w:iCs/>
          <w:lang w:val="en-GB"/>
        </w:rPr>
        <w:t>Electricity (Supply) Act</w:t>
      </w:r>
      <w:r w:rsidR="00E56CBB">
        <w:rPr>
          <w:i/>
          <w:iCs/>
          <w:lang w:val="en-GB"/>
        </w:rPr>
        <w:t xml:space="preserve"> </w:t>
      </w:r>
      <w:r w:rsidR="002C7215">
        <w:rPr>
          <w:lang w:val="en-GB"/>
        </w:rPr>
        <w:t>(</w:t>
      </w:r>
      <w:r w:rsidRPr="00FC1D83">
        <w:rPr>
          <w:lang w:val="en-GB"/>
        </w:rPr>
        <w:t>1948</w:t>
      </w:r>
      <w:r w:rsidR="002C7215">
        <w:rPr>
          <w:lang w:val="en-GB"/>
        </w:rPr>
        <w:t>)</w:t>
      </w:r>
      <w:r w:rsidRPr="00FC1D83">
        <w:rPr>
          <w:lang w:val="en-GB"/>
        </w:rPr>
        <w:t xml:space="preserve"> paved the way for increased investment in the sector, and the government started to dominate, making substantial investments.</w:t>
      </w:r>
      <w:r w:rsidRPr="00FC1D83">
        <w:rPr>
          <w:rStyle w:val="EndnoteReference"/>
          <w:lang w:val="en-GB"/>
        </w:rPr>
        <w:endnoteReference w:id="17"/>
      </w:r>
      <w:r w:rsidRPr="00FC1D83">
        <w:rPr>
          <w:lang w:val="en-GB"/>
        </w:rPr>
        <w:t xml:space="preserve"> However, as the twenty-first century approached, the electricity infrastructure in the country failed to keep pace with the demand growth, and the energy deficit in the country was pervasive (</w:t>
      </w:r>
      <w:r>
        <w:rPr>
          <w:bCs/>
          <w:lang w:val="en-GB"/>
        </w:rPr>
        <w:t>see Exhibit 2</w:t>
      </w:r>
      <w:r w:rsidRPr="00FC1D83">
        <w:rPr>
          <w:bCs/>
          <w:lang w:val="en-GB"/>
        </w:rPr>
        <w:t>). This was often attributed to insufficient public investments, with less than 10</w:t>
      </w:r>
      <w:r w:rsidRPr="00FC1D83">
        <w:rPr>
          <w:lang w:val="en-GB"/>
        </w:rPr>
        <w:t xml:space="preserve"> per cent of the electricity gene</w:t>
      </w:r>
      <w:bookmarkStart w:id="5" w:name="_GoBack"/>
      <w:bookmarkEnd w:id="5"/>
      <w:r w:rsidRPr="00FC1D83">
        <w:rPr>
          <w:lang w:val="en-GB"/>
        </w:rPr>
        <w:t xml:space="preserve">ration in the country </w:t>
      </w:r>
      <w:r>
        <w:rPr>
          <w:lang w:val="en-GB"/>
        </w:rPr>
        <w:t>stemming from</w:t>
      </w:r>
      <w:r w:rsidRPr="00FC1D83">
        <w:rPr>
          <w:lang w:val="en-GB"/>
        </w:rPr>
        <w:t xml:space="preserve"> the private sector in 2003.</w:t>
      </w:r>
    </w:p>
    <w:p w14:paraId="690638BC" w14:textId="0B17B5D8" w:rsidR="001817AA" w:rsidRPr="00FC1D83" w:rsidRDefault="001817AA" w:rsidP="00AA448C">
      <w:pPr>
        <w:pStyle w:val="BodyTextMain"/>
        <w:rPr>
          <w:lang w:val="en-GB"/>
        </w:rPr>
      </w:pPr>
    </w:p>
    <w:p w14:paraId="27A7DA24" w14:textId="77777777" w:rsidR="001817AA" w:rsidRPr="00FC1D83" w:rsidRDefault="001817AA" w:rsidP="00AA448C">
      <w:pPr>
        <w:pStyle w:val="BodyTextMain"/>
        <w:rPr>
          <w:lang w:val="en-GB"/>
        </w:rPr>
      </w:pPr>
    </w:p>
    <w:p w14:paraId="2EBB6BB3" w14:textId="77777777" w:rsidR="001817AA" w:rsidRPr="00FC1D83" w:rsidRDefault="001817AA" w:rsidP="000B7D34">
      <w:pPr>
        <w:pStyle w:val="Casehead1"/>
        <w:rPr>
          <w:lang w:val="en-GB"/>
        </w:rPr>
      </w:pPr>
      <w:r w:rsidRPr="00FC1D83">
        <w:rPr>
          <w:lang w:val="en-GB"/>
        </w:rPr>
        <w:t>ELECTRICITY REGULATION IN INDIA</w:t>
      </w:r>
    </w:p>
    <w:p w14:paraId="671F7EFA" w14:textId="77777777" w:rsidR="001817AA" w:rsidRPr="00FC1D83" w:rsidRDefault="001817AA" w:rsidP="000B7D34">
      <w:pPr>
        <w:pStyle w:val="BodyTextMain"/>
        <w:rPr>
          <w:lang w:val="en-GB"/>
        </w:rPr>
      </w:pPr>
    </w:p>
    <w:p w14:paraId="3E572B91" w14:textId="71062EE4" w:rsidR="001817AA" w:rsidRPr="00FC1D83" w:rsidRDefault="001817AA" w:rsidP="000B7D34">
      <w:pPr>
        <w:pStyle w:val="BodyTextMain"/>
        <w:rPr>
          <w:bCs/>
          <w:lang w:val="en-GB"/>
        </w:rPr>
      </w:pPr>
      <w:r w:rsidRPr="00FC1D83">
        <w:rPr>
          <w:lang w:val="en-GB"/>
        </w:rPr>
        <w:t xml:space="preserve">Before 2003, the </w:t>
      </w:r>
      <w:r>
        <w:rPr>
          <w:lang w:val="en-GB"/>
        </w:rPr>
        <w:t>electricity</w:t>
      </w:r>
      <w:r w:rsidRPr="00FC1D83">
        <w:rPr>
          <w:lang w:val="en-GB"/>
        </w:rPr>
        <w:t xml:space="preserve"> sector was dominated by central</w:t>
      </w:r>
      <w:r>
        <w:rPr>
          <w:lang w:val="en-GB"/>
        </w:rPr>
        <w:t xml:space="preserve"> and </w:t>
      </w:r>
      <w:r w:rsidRPr="00FC1D83">
        <w:rPr>
          <w:lang w:val="en-GB"/>
        </w:rPr>
        <w:t>state governments</w:t>
      </w:r>
      <w:r>
        <w:rPr>
          <w:lang w:val="en-GB"/>
        </w:rPr>
        <w:t>,</w:t>
      </w:r>
      <w:r w:rsidRPr="00FC1D83">
        <w:rPr>
          <w:lang w:val="en-GB"/>
        </w:rPr>
        <w:t xml:space="preserve"> and its regulation was aimed at </w:t>
      </w:r>
      <w:r w:rsidRPr="00FC1D83">
        <w:rPr>
          <w:bCs/>
          <w:lang w:val="en-GB"/>
        </w:rPr>
        <w:t xml:space="preserve">efficient coordination among the multiple government agencies through </w:t>
      </w:r>
      <w:r w:rsidRPr="00FC1D83">
        <w:rPr>
          <w:lang w:val="en-GB"/>
        </w:rPr>
        <w:t>government rules and procedures.</w:t>
      </w:r>
      <w:r w:rsidRPr="00FC1D83">
        <w:rPr>
          <w:rStyle w:val="EndnoteReference"/>
          <w:lang w:val="en-GB"/>
        </w:rPr>
        <w:endnoteReference w:id="18"/>
      </w:r>
      <w:r w:rsidRPr="00FC1D83">
        <w:rPr>
          <w:lang w:val="en-GB"/>
        </w:rPr>
        <w:t xml:space="preserve"> </w:t>
      </w:r>
      <w:r w:rsidRPr="00FC1D83">
        <w:rPr>
          <w:bCs/>
          <w:lang w:val="en-GB"/>
        </w:rPr>
        <w:t>For instance, the power plants sought fair compensation for changes in input costs that were not in their control</w:t>
      </w:r>
      <w:r>
        <w:rPr>
          <w:bCs/>
          <w:lang w:val="en-GB"/>
        </w:rPr>
        <w:t>—</w:t>
      </w:r>
      <w:r w:rsidRPr="00FC1D83">
        <w:rPr>
          <w:bCs/>
          <w:lang w:val="en-GB"/>
        </w:rPr>
        <w:t>typically</w:t>
      </w:r>
      <w:r>
        <w:rPr>
          <w:bCs/>
          <w:lang w:val="en-GB"/>
        </w:rPr>
        <w:t>,</w:t>
      </w:r>
      <w:r w:rsidRPr="00FC1D83">
        <w:rPr>
          <w:bCs/>
          <w:lang w:val="en-GB"/>
        </w:rPr>
        <w:t xml:space="preserve"> </w:t>
      </w:r>
      <w:r>
        <w:rPr>
          <w:bCs/>
          <w:lang w:val="en-GB"/>
        </w:rPr>
        <w:t>these were changes</w:t>
      </w:r>
      <w:r w:rsidRPr="00FC1D83">
        <w:rPr>
          <w:bCs/>
          <w:lang w:val="en-GB"/>
        </w:rPr>
        <w:t xml:space="preserve"> in the price of coal. As coal was supplied by another </w:t>
      </w:r>
      <w:r w:rsidRPr="00FC1D83">
        <w:rPr>
          <w:bCs/>
          <w:lang w:val="en-GB"/>
        </w:rPr>
        <w:lastRenderedPageBreak/>
        <w:t xml:space="preserve">government agency, a procedure for passing through the impact of changes in the price of coal from generators to distributors was developed </w:t>
      </w:r>
      <w:r>
        <w:rPr>
          <w:bCs/>
          <w:lang w:val="en-GB"/>
        </w:rPr>
        <w:t>(</w:t>
      </w:r>
      <w:r w:rsidRPr="00FC1D83">
        <w:rPr>
          <w:bCs/>
          <w:lang w:val="en-GB"/>
        </w:rPr>
        <w:t xml:space="preserve">i.e., </w:t>
      </w:r>
      <w:r>
        <w:rPr>
          <w:bCs/>
          <w:lang w:val="en-GB"/>
        </w:rPr>
        <w:t>a coal-cost</w:t>
      </w:r>
      <w:r w:rsidRPr="00FC1D83">
        <w:rPr>
          <w:bCs/>
          <w:lang w:val="en-GB"/>
        </w:rPr>
        <w:t xml:space="preserve"> pass-through mechanism</w:t>
      </w:r>
      <w:r>
        <w:rPr>
          <w:bCs/>
          <w:lang w:val="en-GB"/>
        </w:rPr>
        <w:t>)</w:t>
      </w:r>
      <w:r w:rsidRPr="00FC1D83">
        <w:rPr>
          <w:bCs/>
          <w:lang w:val="en-GB"/>
        </w:rPr>
        <w:t>.</w:t>
      </w:r>
    </w:p>
    <w:p w14:paraId="312F1EFC" w14:textId="77777777" w:rsidR="001817AA" w:rsidRPr="00E56CBB" w:rsidRDefault="001817AA" w:rsidP="000B7D34">
      <w:pPr>
        <w:pStyle w:val="BodyTextMain"/>
        <w:rPr>
          <w:bCs/>
          <w:spacing w:val="-2"/>
          <w:lang w:val="en-GB"/>
        </w:rPr>
      </w:pPr>
    </w:p>
    <w:p w14:paraId="77C4840F" w14:textId="43392971" w:rsidR="001817AA" w:rsidRPr="00E56CBB" w:rsidRDefault="001817AA" w:rsidP="000B7D34">
      <w:pPr>
        <w:pStyle w:val="BodyTextMain"/>
        <w:rPr>
          <w:spacing w:val="-2"/>
          <w:lang w:val="en-GB"/>
        </w:rPr>
      </w:pPr>
      <w:r w:rsidRPr="00E56CBB">
        <w:rPr>
          <w:bCs/>
          <w:spacing w:val="-2"/>
          <w:lang w:val="en-GB"/>
        </w:rPr>
        <w:t xml:space="preserve">The </w:t>
      </w:r>
      <w:r w:rsidRPr="00E56CBB">
        <w:rPr>
          <w:i/>
          <w:iCs/>
          <w:spacing w:val="-2"/>
          <w:lang w:val="en-GB"/>
        </w:rPr>
        <w:t>Electricity Act</w:t>
      </w:r>
      <w:r w:rsidRPr="00E56CBB">
        <w:rPr>
          <w:spacing w:val="-2"/>
          <w:lang w:val="en-GB"/>
        </w:rPr>
        <w:t>, 2003, sought to address the sectoral problems of complicated governance and the national energy deficit. As a consolidation act, it replaced the older statutes and laws, brought the different rules under a single regulation, and established a structure (see Exhibit 3).</w:t>
      </w:r>
      <w:r w:rsidRPr="00E56CBB">
        <w:rPr>
          <w:rStyle w:val="EndnoteReference"/>
          <w:spacing w:val="-2"/>
          <w:lang w:val="en-GB"/>
        </w:rPr>
        <w:endnoteReference w:id="19"/>
      </w:r>
      <w:r w:rsidRPr="00E56CBB">
        <w:rPr>
          <w:spacing w:val="-2"/>
          <w:lang w:val="en-GB"/>
        </w:rPr>
        <w:t xml:space="preserve"> Simultaneously, the act endeavoured to unbundle GTD, put in place a competition policy to enable the addition of electricity generation capacity, reduce the high electricity tariffs, improve efficiency in GTD, and develop a more reliable distribution system.</w:t>
      </w:r>
      <w:r w:rsidRPr="00E56CBB">
        <w:rPr>
          <w:rStyle w:val="EndnoteReference"/>
          <w:spacing w:val="-2"/>
          <w:lang w:val="en-GB"/>
        </w:rPr>
        <w:endnoteReference w:id="20"/>
      </w:r>
      <w:r w:rsidRPr="00E56CBB">
        <w:rPr>
          <w:spacing w:val="-2"/>
          <w:lang w:val="en-GB"/>
        </w:rPr>
        <w:t xml:space="preserve"> The opening paragraph of this important legislation highlighted its multiple objectives:</w:t>
      </w:r>
    </w:p>
    <w:p w14:paraId="490B1D79" w14:textId="77777777" w:rsidR="001817AA" w:rsidRPr="00FC1D83" w:rsidRDefault="001817AA" w:rsidP="000B7D34">
      <w:pPr>
        <w:pStyle w:val="BodyTextMain"/>
        <w:rPr>
          <w:lang w:val="en-GB"/>
        </w:rPr>
      </w:pPr>
    </w:p>
    <w:p w14:paraId="4A7685B2" w14:textId="7097EF5D" w:rsidR="001817AA" w:rsidRPr="00FC1D83" w:rsidRDefault="001817AA" w:rsidP="00153F58">
      <w:pPr>
        <w:pStyle w:val="BodyTextMain"/>
        <w:ind w:left="720"/>
        <w:rPr>
          <w:lang w:val="en-GB"/>
        </w:rPr>
      </w:pPr>
      <w:r w:rsidRPr="00FC1D83">
        <w:rPr>
          <w:lang w:val="en-GB"/>
        </w:rPr>
        <w:t>An Act to consolidate the laws relating to the generation, transmission, distribution, trading and use of electricity and generally for taking measures conducive to the development of electricity industry, promoting competition therein, protecting the interest of consumers and supply of electricity to all areas, rationalization of electricity tariff, ensuring transparent policies regarding subsidies, promotion of efficient and environmentally benign policies, constitution of Central Electricity Authority, Regulatory Commissions and establishment of Appellate Tribunal and for matters connected therewith or incidental thereto.</w:t>
      </w:r>
      <w:r w:rsidRPr="00FC1D83">
        <w:rPr>
          <w:rStyle w:val="EndnoteReference"/>
          <w:lang w:val="en-GB"/>
        </w:rPr>
        <w:endnoteReference w:id="21"/>
      </w:r>
    </w:p>
    <w:p w14:paraId="3FF3D63B" w14:textId="77777777" w:rsidR="001817AA" w:rsidRPr="00FC1D83" w:rsidRDefault="001817AA" w:rsidP="000B7D34">
      <w:pPr>
        <w:pStyle w:val="BodyTextMain"/>
        <w:rPr>
          <w:lang w:val="en-GB"/>
        </w:rPr>
      </w:pPr>
    </w:p>
    <w:p w14:paraId="086E63BD" w14:textId="0B8267D6" w:rsidR="001817AA" w:rsidRPr="00FC1D83" w:rsidRDefault="001817AA" w:rsidP="000B7D34">
      <w:pPr>
        <w:pStyle w:val="BodyTextMain"/>
        <w:rPr>
          <w:lang w:val="en-GB"/>
        </w:rPr>
      </w:pPr>
      <w:r w:rsidRPr="00FC1D83">
        <w:rPr>
          <w:lang w:val="en-GB"/>
        </w:rPr>
        <w:t xml:space="preserve">The </w:t>
      </w:r>
      <w:r w:rsidRPr="00716B22">
        <w:rPr>
          <w:i/>
          <w:iCs/>
          <w:lang w:val="en-GB"/>
        </w:rPr>
        <w:t>Electricity Ac</w:t>
      </w:r>
      <w:r w:rsidRPr="00FC1D83">
        <w:rPr>
          <w:lang w:val="en-GB"/>
        </w:rPr>
        <w:t>t</w:t>
      </w:r>
      <w:r>
        <w:rPr>
          <w:lang w:val="en-GB"/>
        </w:rPr>
        <w:t>,</w:t>
      </w:r>
      <w:r w:rsidRPr="00FC1D83">
        <w:rPr>
          <w:lang w:val="en-GB"/>
        </w:rPr>
        <w:t xml:space="preserve"> 2003</w:t>
      </w:r>
      <w:r>
        <w:rPr>
          <w:lang w:val="en-GB"/>
        </w:rPr>
        <w:t>,</w:t>
      </w:r>
      <w:r w:rsidRPr="00FC1D83">
        <w:rPr>
          <w:lang w:val="en-GB"/>
        </w:rPr>
        <w:t xml:space="preserve"> stipulated that the government could adopt</w:t>
      </w:r>
      <w:r w:rsidRPr="00FC1D83">
        <w:rPr>
          <w:rStyle w:val="EndnoteReference"/>
          <w:lang w:val="en-GB"/>
        </w:rPr>
        <w:endnoteReference w:id="22"/>
      </w:r>
      <w:r w:rsidRPr="00FC1D83">
        <w:rPr>
          <w:lang w:val="en-GB"/>
        </w:rPr>
        <w:t xml:space="preserve"> an electricity </w:t>
      </w:r>
      <w:r w:rsidRPr="00C26568">
        <w:rPr>
          <w:lang w:val="en-GB"/>
        </w:rPr>
        <w:t xml:space="preserve">tariff </w:t>
      </w:r>
      <w:r>
        <w:rPr>
          <w:lang w:val="en-GB"/>
        </w:rPr>
        <w:t>“</w:t>
      </w:r>
      <w:r w:rsidRPr="00153F58">
        <w:rPr>
          <w:lang w:val="en-GB"/>
        </w:rPr>
        <w:t>if such tariff has been determined through transparent process of bidding in accordance with the guidelines issued by the Central Government.</w:t>
      </w:r>
      <w:r>
        <w:rPr>
          <w:lang w:val="en-GB"/>
        </w:rPr>
        <w:t>”</w:t>
      </w:r>
      <w:r w:rsidRPr="00C26568">
        <w:rPr>
          <w:rStyle w:val="EndnoteReference"/>
          <w:lang w:val="en-GB"/>
        </w:rPr>
        <w:endnoteReference w:id="23"/>
      </w:r>
      <w:r w:rsidRPr="00153F58">
        <w:rPr>
          <w:lang w:val="en-GB"/>
        </w:rPr>
        <w:t xml:space="preserve"> </w:t>
      </w:r>
      <w:r w:rsidRPr="00C26568">
        <w:rPr>
          <w:lang w:val="en-GB"/>
        </w:rPr>
        <w:t>Private</w:t>
      </w:r>
      <w:r>
        <w:rPr>
          <w:lang w:val="en-GB"/>
        </w:rPr>
        <w:t>-</w:t>
      </w:r>
      <w:r w:rsidRPr="00C26568">
        <w:rPr>
          <w:lang w:val="en-GB"/>
        </w:rPr>
        <w:t xml:space="preserve">sector participation in electricity generation was encouraged by allowing </w:t>
      </w:r>
      <w:r>
        <w:rPr>
          <w:lang w:val="en-GB"/>
        </w:rPr>
        <w:t xml:space="preserve">an </w:t>
      </w:r>
      <w:r w:rsidRPr="00C26568">
        <w:rPr>
          <w:lang w:val="en-GB"/>
        </w:rPr>
        <w:t>electric</w:t>
      </w:r>
      <w:r w:rsidRPr="00DA47EC">
        <w:rPr>
          <w:lang w:val="en-GB"/>
        </w:rPr>
        <w:t>ity tariff to be</w:t>
      </w:r>
      <w:r w:rsidRPr="00FC1D83">
        <w:rPr>
          <w:lang w:val="en-GB"/>
        </w:rPr>
        <w:t xml:space="preserve"> determined through a competitive bidding process (</w:t>
      </w:r>
      <w:r>
        <w:rPr>
          <w:lang w:val="en-GB"/>
        </w:rPr>
        <w:t>section</w:t>
      </w:r>
      <w:r w:rsidRPr="00FC1D83">
        <w:rPr>
          <w:lang w:val="en-GB"/>
        </w:rPr>
        <w:t xml:space="preserve"> 63 of the </w:t>
      </w:r>
      <w:r>
        <w:rPr>
          <w:lang w:val="en-GB"/>
        </w:rPr>
        <w:t>act</w:t>
      </w:r>
      <w:r w:rsidRPr="00FC1D83">
        <w:rPr>
          <w:lang w:val="en-GB"/>
        </w:rPr>
        <w:t>). Detailed guidelines for procurement of electricity through two alternate open bidding modes were issued</w:t>
      </w:r>
      <w:r>
        <w:rPr>
          <w:lang w:val="en-GB"/>
        </w:rPr>
        <w:t>,</w:t>
      </w:r>
      <w:r w:rsidRPr="00FC1D83">
        <w:rPr>
          <w:rStyle w:val="EndnoteReference"/>
          <w:lang w:val="en-GB"/>
        </w:rPr>
        <w:endnoteReference w:id="24"/>
      </w:r>
      <w:r w:rsidRPr="00FC1D83">
        <w:rPr>
          <w:lang w:val="en-GB"/>
        </w:rPr>
        <w:t xml:space="preserve"> and the supply of electricity was operationalized through </w:t>
      </w:r>
      <w:bookmarkStart w:id="6" w:name="_Hlk68007944"/>
      <w:r w:rsidRPr="00FC1D83">
        <w:rPr>
          <w:lang w:val="en-GB"/>
        </w:rPr>
        <w:t>power purchase</w:t>
      </w:r>
      <w:r>
        <w:rPr>
          <w:lang w:val="en-GB"/>
        </w:rPr>
        <w:t xml:space="preserve"> agreements</w:t>
      </w:r>
      <w:bookmarkEnd w:id="6"/>
      <w:r>
        <w:rPr>
          <w:lang w:val="en-GB"/>
        </w:rPr>
        <w:t xml:space="preserve"> (</w:t>
      </w:r>
      <w:r w:rsidRPr="002C7215">
        <w:rPr>
          <w:lang w:val="en-GB"/>
        </w:rPr>
        <w:t>PPAs</w:t>
      </w:r>
      <w:r>
        <w:rPr>
          <w:lang w:val="en-GB"/>
        </w:rPr>
        <w:t xml:space="preserve">) and power </w:t>
      </w:r>
      <w:r w:rsidRPr="00FC1D83">
        <w:rPr>
          <w:lang w:val="en-GB"/>
        </w:rPr>
        <w:t>supply agreements signed between the power producer and the state-owned distribution organizations.</w:t>
      </w:r>
    </w:p>
    <w:p w14:paraId="0DF4F605" w14:textId="6D68532B" w:rsidR="001817AA" w:rsidRPr="00FC1D83" w:rsidRDefault="001817AA" w:rsidP="000B7D34">
      <w:pPr>
        <w:pStyle w:val="BodyTextMain"/>
        <w:rPr>
          <w:lang w:val="en-GB"/>
        </w:rPr>
      </w:pPr>
    </w:p>
    <w:p w14:paraId="564B8C62" w14:textId="77777777" w:rsidR="001817AA" w:rsidRPr="00FC1D83" w:rsidRDefault="001817AA" w:rsidP="000B7D34">
      <w:pPr>
        <w:pStyle w:val="BodyTextMain"/>
        <w:rPr>
          <w:lang w:val="en-GB"/>
        </w:rPr>
      </w:pPr>
    </w:p>
    <w:p w14:paraId="098EE5AD" w14:textId="24D62CD9" w:rsidR="001817AA" w:rsidRPr="00FC1D83" w:rsidRDefault="001817AA" w:rsidP="000B7D34">
      <w:pPr>
        <w:pStyle w:val="Casehead1"/>
        <w:rPr>
          <w:lang w:val="en-GB"/>
        </w:rPr>
      </w:pPr>
      <w:r w:rsidRPr="00FC1D83">
        <w:rPr>
          <w:lang w:val="en-GB"/>
        </w:rPr>
        <w:t>TATA POWER</w:t>
      </w:r>
    </w:p>
    <w:p w14:paraId="4A0DD8BE" w14:textId="77777777" w:rsidR="001817AA" w:rsidRPr="00FC1D83" w:rsidRDefault="001817AA" w:rsidP="000B7D34">
      <w:pPr>
        <w:pStyle w:val="BodyTextMain"/>
        <w:rPr>
          <w:lang w:val="en-GB"/>
        </w:rPr>
      </w:pPr>
    </w:p>
    <w:p w14:paraId="1040C206" w14:textId="17CA8F03" w:rsidR="001817AA" w:rsidRPr="00FC1D83" w:rsidRDefault="001817AA" w:rsidP="000B7D34">
      <w:pPr>
        <w:pStyle w:val="BodyTextMain"/>
        <w:rPr>
          <w:lang w:val="en-GB"/>
        </w:rPr>
      </w:pPr>
      <w:r>
        <w:rPr>
          <w:lang w:val="en-GB"/>
        </w:rPr>
        <w:t>For over</w:t>
      </w:r>
      <w:r w:rsidRPr="00FC1D83">
        <w:rPr>
          <w:lang w:val="en-GB"/>
        </w:rPr>
        <w:t xml:space="preserve"> </w:t>
      </w:r>
      <w:r>
        <w:rPr>
          <w:lang w:val="en-GB"/>
        </w:rPr>
        <w:t>100</w:t>
      </w:r>
      <w:r w:rsidRPr="00FC1D83">
        <w:rPr>
          <w:lang w:val="en-GB"/>
        </w:rPr>
        <w:t xml:space="preserve"> years, Tata </w:t>
      </w:r>
      <w:r>
        <w:rPr>
          <w:lang w:val="en-GB"/>
        </w:rPr>
        <w:t>Power</w:t>
      </w:r>
      <w:r w:rsidRPr="00FC1D83">
        <w:rPr>
          <w:lang w:val="en-GB"/>
        </w:rPr>
        <w:t xml:space="preserve"> had played an important part in the Indian </w:t>
      </w:r>
      <w:r>
        <w:rPr>
          <w:lang w:val="en-GB"/>
        </w:rPr>
        <w:t>power sector</w:t>
      </w:r>
      <w:r w:rsidRPr="00FC1D83">
        <w:rPr>
          <w:lang w:val="en-GB"/>
        </w:rPr>
        <w:t xml:space="preserve">. </w:t>
      </w:r>
      <w:proofErr w:type="spellStart"/>
      <w:r w:rsidRPr="00896B80">
        <w:rPr>
          <w:lang w:val="en-GB"/>
        </w:rPr>
        <w:t>Jamsetji</w:t>
      </w:r>
      <w:proofErr w:type="spellEnd"/>
      <w:r w:rsidRPr="00896B80">
        <w:rPr>
          <w:lang w:val="en-GB"/>
        </w:rPr>
        <w:t xml:space="preserve"> </w:t>
      </w:r>
      <w:proofErr w:type="spellStart"/>
      <w:r w:rsidRPr="00896B80">
        <w:rPr>
          <w:lang w:val="en-GB"/>
        </w:rPr>
        <w:t>Nusserwanji</w:t>
      </w:r>
      <w:proofErr w:type="spellEnd"/>
      <w:r w:rsidRPr="00896B80">
        <w:rPr>
          <w:lang w:val="en-GB"/>
        </w:rPr>
        <w:t xml:space="preserve"> Tata</w:t>
      </w:r>
      <w:r w:rsidRPr="00FC1D83">
        <w:rPr>
          <w:lang w:val="en-GB"/>
        </w:rPr>
        <w:t xml:space="preserve">, the founder of </w:t>
      </w:r>
      <w:r>
        <w:rPr>
          <w:lang w:val="en-GB"/>
        </w:rPr>
        <w:t xml:space="preserve">the </w:t>
      </w:r>
      <w:r w:rsidRPr="00FC1D83">
        <w:rPr>
          <w:lang w:val="en-GB"/>
        </w:rPr>
        <w:t>Tata Group</w:t>
      </w:r>
      <w:r>
        <w:rPr>
          <w:lang w:val="en-GB"/>
        </w:rPr>
        <w:t xml:space="preserve"> (Tata)</w:t>
      </w:r>
      <w:r w:rsidRPr="00FC1D83">
        <w:rPr>
          <w:lang w:val="en-GB"/>
        </w:rPr>
        <w:t xml:space="preserve">, was a pioneer and had been quick to recognize that </w:t>
      </w:r>
      <w:r>
        <w:rPr>
          <w:lang w:val="en-GB"/>
        </w:rPr>
        <w:t>“</w:t>
      </w:r>
      <w:r w:rsidRPr="00FC1D83">
        <w:rPr>
          <w:lang w:val="en-GB"/>
        </w:rPr>
        <w:t>Clean, cheap and abundant power is one the basic ingredients for the economic progress of a city, state or country.</w:t>
      </w:r>
      <w:r>
        <w:rPr>
          <w:lang w:val="en-GB"/>
        </w:rPr>
        <w:t>”</w:t>
      </w:r>
      <w:r w:rsidRPr="00FC1D83">
        <w:rPr>
          <w:rStyle w:val="EndnoteReference"/>
          <w:lang w:val="en-GB"/>
        </w:rPr>
        <w:endnoteReference w:id="25"/>
      </w:r>
      <w:r w:rsidRPr="00FC1D83">
        <w:rPr>
          <w:lang w:val="en-GB"/>
        </w:rPr>
        <w:t xml:space="preserve"> This recognition </w:t>
      </w:r>
      <w:r>
        <w:rPr>
          <w:lang w:val="en-GB"/>
        </w:rPr>
        <w:t>had</w:t>
      </w:r>
      <w:r w:rsidRPr="00FC1D83">
        <w:rPr>
          <w:lang w:val="en-GB"/>
        </w:rPr>
        <w:t xml:space="preserve"> </w:t>
      </w:r>
      <w:r>
        <w:rPr>
          <w:lang w:val="en-GB"/>
        </w:rPr>
        <w:t>guided</w:t>
      </w:r>
      <w:r w:rsidRPr="00FC1D83">
        <w:rPr>
          <w:lang w:val="en-GB"/>
        </w:rPr>
        <w:t xml:space="preserve"> Tata</w:t>
      </w:r>
      <w:r>
        <w:rPr>
          <w:lang w:val="en-GB"/>
        </w:rPr>
        <w:t>’s</w:t>
      </w:r>
      <w:r w:rsidRPr="00FC1D83">
        <w:rPr>
          <w:lang w:val="en-GB"/>
        </w:rPr>
        <w:t xml:space="preserve"> investments in the power sector since then, starting with the establishment of the Tata </w:t>
      </w:r>
      <w:r>
        <w:rPr>
          <w:lang w:val="en-GB"/>
        </w:rPr>
        <w:t>Hydro-Electric</w:t>
      </w:r>
      <w:r w:rsidRPr="00FC1D83">
        <w:rPr>
          <w:lang w:val="en-GB"/>
        </w:rPr>
        <w:t xml:space="preserve"> Power Supply Company in 1910. Tata commissioned India</w:t>
      </w:r>
      <w:r>
        <w:rPr>
          <w:lang w:val="en-GB"/>
        </w:rPr>
        <w:t>’</w:t>
      </w:r>
      <w:r w:rsidRPr="00FC1D83">
        <w:rPr>
          <w:lang w:val="en-GB"/>
        </w:rPr>
        <w:t xml:space="preserve">s second </w:t>
      </w:r>
      <w:r>
        <w:rPr>
          <w:lang w:val="en-GB"/>
        </w:rPr>
        <w:t>hydroelectric</w:t>
      </w:r>
      <w:r w:rsidRPr="00FC1D83">
        <w:rPr>
          <w:lang w:val="en-GB"/>
        </w:rPr>
        <w:t xml:space="preserve"> project of 72 MW in 1915, later amalgamated with the Andhra Valley Power Supply </w:t>
      </w:r>
      <w:r>
        <w:rPr>
          <w:lang w:val="en-GB"/>
        </w:rPr>
        <w:t>Co. Ltd.,</w:t>
      </w:r>
      <w:r w:rsidRPr="00FC1D83">
        <w:rPr>
          <w:lang w:val="en-GB"/>
        </w:rPr>
        <w:t xml:space="preserve"> in 1916. Tata Power </w:t>
      </w:r>
      <w:r>
        <w:rPr>
          <w:lang w:val="en-GB"/>
        </w:rPr>
        <w:t>was</w:t>
      </w:r>
      <w:r w:rsidRPr="00FC1D83">
        <w:rPr>
          <w:lang w:val="en-GB"/>
        </w:rPr>
        <w:t xml:space="preserve"> registered as a subsidiary in 1917, and in 2016</w:t>
      </w:r>
      <w:r>
        <w:rPr>
          <w:lang w:val="en-GB"/>
        </w:rPr>
        <w:t>,</w:t>
      </w:r>
      <w:r w:rsidRPr="00FC1D83">
        <w:rPr>
          <w:lang w:val="en-GB"/>
        </w:rPr>
        <w:t xml:space="preserve"> the </w:t>
      </w:r>
      <w:r>
        <w:rPr>
          <w:lang w:val="en-GB"/>
        </w:rPr>
        <w:t>government</w:t>
      </w:r>
      <w:r w:rsidRPr="00FC1D83">
        <w:rPr>
          <w:lang w:val="en-GB"/>
        </w:rPr>
        <w:t xml:space="preserve"> of India issued a postage stamp to recognize </w:t>
      </w:r>
      <w:r>
        <w:rPr>
          <w:lang w:val="en-GB"/>
        </w:rPr>
        <w:t>Tata’s</w:t>
      </w:r>
      <w:r w:rsidRPr="00FC1D83">
        <w:rPr>
          <w:lang w:val="en-GB"/>
        </w:rPr>
        <w:t xml:space="preserve"> century-long contributions to national development. For Tata Power, it had been a century of invisible goodness and </w:t>
      </w:r>
      <w:r>
        <w:rPr>
          <w:lang w:val="en-GB"/>
        </w:rPr>
        <w:t>100</w:t>
      </w:r>
      <w:r w:rsidRPr="00FC1D83">
        <w:rPr>
          <w:lang w:val="en-GB"/>
        </w:rPr>
        <w:t xml:space="preserve"> years of pride in caring for customers, employees, community, and environment while playing an important role in </w:t>
      </w:r>
      <w:r>
        <w:rPr>
          <w:lang w:val="en-GB"/>
        </w:rPr>
        <w:t>nation building</w:t>
      </w:r>
      <w:r w:rsidRPr="00FC1D83">
        <w:rPr>
          <w:lang w:val="en-GB"/>
        </w:rPr>
        <w:t>.</w:t>
      </w:r>
      <w:r w:rsidRPr="00FC1D83">
        <w:rPr>
          <w:rStyle w:val="EndnoteReference"/>
          <w:lang w:val="en-GB"/>
        </w:rPr>
        <w:endnoteReference w:id="26"/>
      </w:r>
    </w:p>
    <w:p w14:paraId="1F602138" w14:textId="77777777" w:rsidR="001817AA" w:rsidRPr="00FC1D83" w:rsidRDefault="001817AA" w:rsidP="000B7D34">
      <w:pPr>
        <w:pStyle w:val="BodyTextMain"/>
        <w:rPr>
          <w:lang w:val="en-GB"/>
        </w:rPr>
      </w:pPr>
    </w:p>
    <w:p w14:paraId="45E72E4C" w14:textId="4E09EA7E" w:rsidR="001817AA" w:rsidRPr="00FC1D83" w:rsidRDefault="001817AA" w:rsidP="000B7D34">
      <w:pPr>
        <w:pStyle w:val="BodyTextMain"/>
        <w:rPr>
          <w:lang w:val="en-GB"/>
        </w:rPr>
      </w:pPr>
      <w:r w:rsidRPr="00FC1D83">
        <w:rPr>
          <w:lang w:val="en-GB"/>
        </w:rPr>
        <w:t xml:space="preserve">In 2017, Tata </w:t>
      </w:r>
      <w:r>
        <w:rPr>
          <w:lang w:val="en-GB"/>
        </w:rPr>
        <w:t>Power</w:t>
      </w:r>
      <w:r w:rsidRPr="00FC1D83">
        <w:rPr>
          <w:lang w:val="en-GB"/>
        </w:rPr>
        <w:t xml:space="preserve"> was India</w:t>
      </w:r>
      <w:r>
        <w:rPr>
          <w:lang w:val="en-GB"/>
        </w:rPr>
        <w:t>’</w:t>
      </w:r>
      <w:r w:rsidRPr="00FC1D83">
        <w:rPr>
          <w:lang w:val="en-GB"/>
        </w:rPr>
        <w:t>s largest integrated private power company</w:t>
      </w:r>
      <w:r>
        <w:rPr>
          <w:lang w:val="en-GB"/>
        </w:rPr>
        <w:t xml:space="preserve"> with a considerable </w:t>
      </w:r>
      <w:r w:rsidRPr="00FC1D83">
        <w:rPr>
          <w:lang w:val="en-GB"/>
        </w:rPr>
        <w:t>international presence. It had an installed generation capacity of 10,857 MW, with a significant presence across electricity transmission, distribution, and trading</w:t>
      </w:r>
      <w:r>
        <w:rPr>
          <w:lang w:val="en-GB"/>
        </w:rPr>
        <w:t>.</w:t>
      </w:r>
      <w:r w:rsidRPr="00FC1D83">
        <w:rPr>
          <w:rStyle w:val="EndnoteReference"/>
          <w:lang w:val="en-GB"/>
        </w:rPr>
        <w:endnoteReference w:id="27"/>
      </w:r>
      <w:r w:rsidRPr="00FC1D83">
        <w:rPr>
          <w:lang w:val="en-GB"/>
        </w:rPr>
        <w:t xml:space="preserve"> </w:t>
      </w:r>
    </w:p>
    <w:p w14:paraId="50E7E1FD" w14:textId="2B557DDE" w:rsidR="001817AA" w:rsidRPr="00FC1D83" w:rsidRDefault="001817AA" w:rsidP="000B7D34">
      <w:pPr>
        <w:pStyle w:val="BodyTextMain"/>
        <w:rPr>
          <w:lang w:val="en-GB"/>
        </w:rPr>
      </w:pPr>
    </w:p>
    <w:p w14:paraId="09CA8791" w14:textId="77777777" w:rsidR="001817AA" w:rsidRPr="00FC1D83" w:rsidRDefault="001817AA" w:rsidP="000B7D34">
      <w:pPr>
        <w:pStyle w:val="BodyTextMain"/>
        <w:rPr>
          <w:lang w:val="en-GB"/>
        </w:rPr>
      </w:pPr>
    </w:p>
    <w:p w14:paraId="6AD59294" w14:textId="5E57FCFD" w:rsidR="001817AA" w:rsidRPr="00FC1D83" w:rsidRDefault="001817AA" w:rsidP="000B7D34">
      <w:pPr>
        <w:pStyle w:val="Casehead1"/>
        <w:rPr>
          <w:lang w:val="en-GB"/>
        </w:rPr>
      </w:pPr>
      <w:r>
        <w:rPr>
          <w:lang w:val="en-GB"/>
        </w:rPr>
        <w:t xml:space="preserve">The </w:t>
      </w:r>
      <w:r w:rsidRPr="00FC1D83">
        <w:rPr>
          <w:lang w:val="en-GB"/>
        </w:rPr>
        <w:t xml:space="preserve">DEVELOPMENT OF COASTAL GUJARAT POWER </w:t>
      </w:r>
      <w:r>
        <w:rPr>
          <w:lang w:val="en-GB"/>
        </w:rPr>
        <w:t>Limited</w:t>
      </w:r>
    </w:p>
    <w:p w14:paraId="1E6538A5" w14:textId="3166AB9C" w:rsidR="001817AA" w:rsidRPr="00FC1D83" w:rsidRDefault="001817AA" w:rsidP="00AA448C">
      <w:pPr>
        <w:pStyle w:val="BodyTextMain"/>
        <w:rPr>
          <w:lang w:val="en-GB"/>
        </w:rPr>
      </w:pPr>
    </w:p>
    <w:p w14:paraId="2C3AD59A" w14:textId="36933D01" w:rsidR="001817AA" w:rsidRPr="00E56CBB" w:rsidRDefault="001817AA" w:rsidP="00AA448C">
      <w:pPr>
        <w:pStyle w:val="BodyTextMain"/>
        <w:rPr>
          <w:spacing w:val="-2"/>
          <w:lang w:val="en-GB"/>
        </w:rPr>
      </w:pPr>
      <w:r w:rsidRPr="00E56CBB">
        <w:rPr>
          <w:spacing w:val="-2"/>
          <w:lang w:val="en-GB"/>
        </w:rPr>
        <w:t>With the</w:t>
      </w:r>
      <w:r w:rsidRPr="00E56CBB">
        <w:rPr>
          <w:i/>
          <w:iCs/>
          <w:spacing w:val="-2"/>
          <w:lang w:val="en-GB"/>
        </w:rPr>
        <w:t xml:space="preserve"> Electricity Act</w:t>
      </w:r>
      <w:r w:rsidRPr="00E56CBB">
        <w:rPr>
          <w:spacing w:val="-2"/>
          <w:lang w:val="en-GB"/>
        </w:rPr>
        <w:t>, 2003, in place and the objective of supplying “Power to all by 2012,” the Indian government announced its intentions to set up 12 4 GW UMPPs through a public–private partnership model.</w:t>
      </w:r>
      <w:r w:rsidRPr="00E56CBB">
        <w:rPr>
          <w:rStyle w:val="EndnoteReference"/>
          <w:spacing w:val="-2"/>
          <w:lang w:val="en-GB"/>
        </w:rPr>
        <w:endnoteReference w:id="28"/>
      </w:r>
      <w:r w:rsidRPr="00E56CBB">
        <w:rPr>
          <w:spacing w:val="-2"/>
          <w:lang w:val="en-GB"/>
        </w:rPr>
        <w:t xml:space="preserve"> The first plant was to be set up near Mundra Port in the state of Gujarat. Power Finance Corporation Ltd. </w:t>
      </w:r>
      <w:r w:rsidRPr="00E56CBB">
        <w:rPr>
          <w:spacing w:val="-2"/>
          <w:lang w:val="en-GB"/>
        </w:rPr>
        <w:lastRenderedPageBreak/>
        <w:t>(PFC), a government organization, conceptualized the project as a build, own, and operate project, and significantly de-risked the project before inviting private bids for setting up and operating the plant. The power plant was conceptualized as a coal-fired port-based power plant using coal imported from Indonesia.</w:t>
      </w:r>
      <w:r w:rsidRPr="00E56CBB">
        <w:rPr>
          <w:rStyle w:val="EndnoteReference"/>
          <w:spacing w:val="-2"/>
          <w:lang w:val="en-GB"/>
        </w:rPr>
        <w:endnoteReference w:id="29"/>
      </w:r>
      <w:r w:rsidRPr="00E56CBB">
        <w:rPr>
          <w:spacing w:val="-2"/>
          <w:lang w:val="en-GB"/>
        </w:rPr>
        <w:t xml:space="preserve"> As part of project re-risking, land, water, and coal blocks were identified, environmental clearances were sought, and PPAs were signed with different state governments for electricity sale.</w:t>
      </w:r>
      <w:r w:rsidRPr="00E56CBB">
        <w:rPr>
          <w:rStyle w:val="EndnoteReference"/>
          <w:spacing w:val="-2"/>
          <w:lang w:val="en-GB"/>
        </w:rPr>
        <w:endnoteReference w:id="30"/>
      </w:r>
      <w:r w:rsidRPr="00E56CBB">
        <w:rPr>
          <w:spacing w:val="-2"/>
          <w:lang w:val="en-GB"/>
        </w:rPr>
        <w:t xml:space="preserve"> A special purpose vehicle—CGPL—was incorporated on February 10, 2006, for this purpose. The project aimed to provide electricity to five states, with Gujarat Urja Vikas Nigam Limited being the lead procurer for 1,850 MW of generated electricity. After significantly de-risking the project, PFC invited bids for CGPL ownership. For this project, contractual documents had to be drafted afresh, as they involved imported coal, and coal had thus far not been imported for power plants. The bid was to be decided based on the lowest-quoted levelized tariff, with an annual coal price escalation of 3.46 per cent allowed for inflation. The allowed cost escalation in coal prices was based on 12 years of historical price trends, reported by an expert study.</w:t>
      </w:r>
      <w:r w:rsidRPr="00E56CBB">
        <w:rPr>
          <w:rStyle w:val="EndnoteReference"/>
          <w:spacing w:val="-2"/>
          <w:lang w:val="en-GB"/>
        </w:rPr>
        <w:endnoteReference w:id="31"/>
      </w:r>
    </w:p>
    <w:p w14:paraId="68214F9B" w14:textId="77777777" w:rsidR="001817AA" w:rsidRPr="00FC1D83" w:rsidRDefault="001817AA" w:rsidP="00AA448C">
      <w:pPr>
        <w:pStyle w:val="BodyTextMain"/>
        <w:rPr>
          <w:lang w:val="en-GB"/>
        </w:rPr>
      </w:pPr>
    </w:p>
    <w:p w14:paraId="60F7E544" w14:textId="50DD301E" w:rsidR="001817AA" w:rsidRPr="00FC1D83" w:rsidRDefault="001817AA" w:rsidP="00AA448C">
      <w:pPr>
        <w:pStyle w:val="BodyTextMain"/>
        <w:rPr>
          <w:lang w:val="en-GB"/>
        </w:rPr>
      </w:pPr>
      <w:r w:rsidRPr="00FC1D83">
        <w:rPr>
          <w:lang w:val="en-GB"/>
        </w:rPr>
        <w:t>Tata Power participated in the bidding for CGPL. It quoted a tariff of ₹2.264</w:t>
      </w:r>
      <w:r>
        <w:rPr>
          <w:lang w:val="en-GB"/>
        </w:rPr>
        <w:t xml:space="preserve"> per </w:t>
      </w:r>
      <w:r w:rsidRPr="00FC1D83">
        <w:rPr>
          <w:lang w:val="en-GB"/>
        </w:rPr>
        <w:t>kWh</w:t>
      </w:r>
      <w:r>
        <w:rPr>
          <w:lang w:val="en-GB"/>
        </w:rPr>
        <w:t xml:space="preserve">, </w:t>
      </w:r>
      <w:r w:rsidRPr="00FC1D83">
        <w:rPr>
          <w:lang w:val="en-GB"/>
        </w:rPr>
        <w:t xml:space="preserve">with 55 </w:t>
      </w:r>
      <w:r>
        <w:rPr>
          <w:lang w:val="en-GB"/>
        </w:rPr>
        <w:t>per cent</w:t>
      </w:r>
      <w:r w:rsidRPr="00FC1D83">
        <w:rPr>
          <w:lang w:val="en-GB"/>
        </w:rPr>
        <w:t xml:space="preserve"> of the fuel cost fixed and not to be </w:t>
      </w:r>
      <w:r>
        <w:rPr>
          <w:lang w:val="en-GB"/>
        </w:rPr>
        <w:t>inflation adjusted.</w:t>
      </w:r>
      <w:r w:rsidRPr="00FC1D83">
        <w:rPr>
          <w:rStyle w:val="EndnoteReference"/>
          <w:lang w:val="en-GB"/>
        </w:rPr>
        <w:endnoteReference w:id="32"/>
      </w:r>
      <w:r w:rsidRPr="00FC1D83">
        <w:rPr>
          <w:lang w:val="en-GB"/>
        </w:rPr>
        <w:t xml:space="preserve"> As Tata Power</w:t>
      </w:r>
      <w:r>
        <w:rPr>
          <w:lang w:val="en-GB"/>
        </w:rPr>
        <w:t>’</w:t>
      </w:r>
      <w:r w:rsidRPr="00FC1D83">
        <w:rPr>
          <w:lang w:val="en-GB"/>
        </w:rPr>
        <w:t xml:space="preserve">s quoted tariff came out to be the lowest, a letter of intent was issued to </w:t>
      </w:r>
      <w:r>
        <w:rPr>
          <w:lang w:val="en-GB"/>
        </w:rPr>
        <w:t>the power-generation company.</w:t>
      </w:r>
      <w:r w:rsidRPr="00FC1D83">
        <w:rPr>
          <w:lang w:val="en-GB"/>
        </w:rPr>
        <w:t xml:space="preserve"> This was one of the lowest tariffs competitively discovered in the Indian electricity sector. Tata Power purchased the entire shareholding of CGPL from PFC to make it a </w:t>
      </w:r>
      <w:r>
        <w:rPr>
          <w:lang w:val="en-GB"/>
        </w:rPr>
        <w:t>wholly owned</w:t>
      </w:r>
      <w:r w:rsidRPr="00FC1D83">
        <w:rPr>
          <w:lang w:val="en-GB"/>
        </w:rPr>
        <w:t xml:space="preserve"> subsidiary, and </w:t>
      </w:r>
      <w:r w:rsidR="00330F74">
        <w:rPr>
          <w:lang w:val="en-GB"/>
        </w:rPr>
        <w:t xml:space="preserve">Tata Power </w:t>
      </w:r>
      <w:r w:rsidRPr="00FC1D83">
        <w:rPr>
          <w:lang w:val="en-GB"/>
        </w:rPr>
        <w:t xml:space="preserve">was now responsible for the financing, construction, operation, and maintenance of the project. The project envisaged a consumption of approximately 12 </w:t>
      </w:r>
      <w:r>
        <w:rPr>
          <w:lang w:val="en-GB"/>
        </w:rPr>
        <w:t xml:space="preserve">million metric tons </w:t>
      </w:r>
      <w:r w:rsidRPr="00FC1D83">
        <w:rPr>
          <w:lang w:val="en-GB"/>
        </w:rPr>
        <w:t>of coal imported from Indonesia</w:t>
      </w:r>
      <w:r w:rsidRPr="00931843">
        <w:rPr>
          <w:lang w:val="en-GB"/>
        </w:rPr>
        <w:t xml:space="preserve"> </w:t>
      </w:r>
      <w:r>
        <w:rPr>
          <w:lang w:val="en-GB"/>
        </w:rPr>
        <w:t>per annum</w:t>
      </w:r>
      <w:r w:rsidRPr="00FC1D83">
        <w:rPr>
          <w:lang w:val="en-GB"/>
        </w:rPr>
        <w:t xml:space="preserve">. </w:t>
      </w:r>
      <w:r>
        <w:rPr>
          <w:lang w:val="en-GB"/>
        </w:rPr>
        <w:t>In</w:t>
      </w:r>
      <w:r w:rsidRPr="00FC1D83">
        <w:rPr>
          <w:lang w:val="en-GB"/>
        </w:rPr>
        <w:t xml:space="preserve"> 2007</w:t>
      </w:r>
      <w:r>
        <w:rPr>
          <w:lang w:val="en-GB"/>
        </w:rPr>
        <w:t>,</w:t>
      </w:r>
      <w:r w:rsidRPr="00FC1D83">
        <w:rPr>
          <w:lang w:val="en-GB"/>
        </w:rPr>
        <w:t xml:space="preserve"> Tata Power acquired a 30 </w:t>
      </w:r>
      <w:r>
        <w:rPr>
          <w:lang w:val="en-GB"/>
        </w:rPr>
        <w:t>per cent</w:t>
      </w:r>
      <w:r w:rsidRPr="00FC1D83">
        <w:rPr>
          <w:lang w:val="en-GB"/>
        </w:rPr>
        <w:t xml:space="preserve"> stake in two Indonesian </w:t>
      </w:r>
      <w:r>
        <w:rPr>
          <w:lang w:val="en-GB"/>
        </w:rPr>
        <w:t>thermal</w:t>
      </w:r>
      <w:r w:rsidRPr="00FC1D83">
        <w:rPr>
          <w:lang w:val="en-GB"/>
        </w:rPr>
        <w:t xml:space="preserve"> coal companies owned by PT </w:t>
      </w:r>
      <w:proofErr w:type="spellStart"/>
      <w:r w:rsidRPr="00FC1D83">
        <w:rPr>
          <w:lang w:val="en-GB"/>
        </w:rPr>
        <w:t>Bumi</w:t>
      </w:r>
      <w:proofErr w:type="spellEnd"/>
      <w:r w:rsidRPr="00FC1D83">
        <w:rPr>
          <w:lang w:val="en-GB"/>
        </w:rPr>
        <w:t xml:space="preserve"> Resources</w:t>
      </w:r>
      <w:r>
        <w:rPr>
          <w:lang w:val="en-GB"/>
        </w:rPr>
        <w:t xml:space="preserve">, </w:t>
      </w:r>
      <w:r w:rsidRPr="00FC1D83">
        <w:rPr>
          <w:lang w:val="en-GB"/>
        </w:rPr>
        <w:t xml:space="preserve">PT </w:t>
      </w:r>
      <w:proofErr w:type="spellStart"/>
      <w:r w:rsidRPr="00FC1D83">
        <w:rPr>
          <w:lang w:val="en-GB"/>
        </w:rPr>
        <w:t>Kaltim</w:t>
      </w:r>
      <w:proofErr w:type="spellEnd"/>
      <w:r w:rsidRPr="00FC1D83">
        <w:rPr>
          <w:lang w:val="en-GB"/>
        </w:rPr>
        <w:t xml:space="preserve"> Prima Coal</w:t>
      </w:r>
      <w:r>
        <w:rPr>
          <w:lang w:val="en-GB"/>
        </w:rPr>
        <w:t>,</w:t>
      </w:r>
      <w:r w:rsidRPr="00FC1D83">
        <w:rPr>
          <w:lang w:val="en-GB"/>
        </w:rPr>
        <w:t xml:space="preserve"> and PT </w:t>
      </w:r>
      <w:proofErr w:type="spellStart"/>
      <w:r w:rsidRPr="00FC1D83">
        <w:rPr>
          <w:lang w:val="en-GB"/>
        </w:rPr>
        <w:t>Arutmin</w:t>
      </w:r>
      <w:proofErr w:type="spellEnd"/>
      <w:r w:rsidR="00330F74">
        <w:rPr>
          <w:lang w:val="en-GB"/>
        </w:rPr>
        <w:t xml:space="preserve"> Indonesia</w:t>
      </w:r>
      <w:r w:rsidRPr="00FC1D83">
        <w:rPr>
          <w:lang w:val="en-GB"/>
        </w:rPr>
        <w:t>, and</w:t>
      </w:r>
      <w:r>
        <w:rPr>
          <w:lang w:val="en-GB"/>
        </w:rPr>
        <w:t>,</w:t>
      </w:r>
      <w:r w:rsidRPr="00FC1D83">
        <w:rPr>
          <w:lang w:val="en-GB"/>
        </w:rPr>
        <w:t xml:space="preserve"> in 2012</w:t>
      </w:r>
      <w:r>
        <w:rPr>
          <w:lang w:val="en-GB"/>
        </w:rPr>
        <w:t>,</w:t>
      </w:r>
      <w:r w:rsidRPr="00FC1D83">
        <w:rPr>
          <w:lang w:val="en-GB"/>
        </w:rPr>
        <w:t xml:space="preserve"> it </w:t>
      </w:r>
      <w:r w:rsidR="002B7753">
        <w:rPr>
          <w:lang w:val="en-GB"/>
        </w:rPr>
        <w:t>s</w:t>
      </w:r>
      <w:r w:rsidRPr="00FC1D83">
        <w:rPr>
          <w:lang w:val="en-GB"/>
        </w:rPr>
        <w:t>i</w:t>
      </w:r>
      <w:r w:rsidR="002B7753">
        <w:rPr>
          <w:lang w:val="en-GB"/>
        </w:rPr>
        <w:t>g</w:t>
      </w:r>
      <w:r w:rsidRPr="00FC1D83">
        <w:rPr>
          <w:lang w:val="en-GB"/>
        </w:rPr>
        <w:t xml:space="preserve">ned a long-term </w:t>
      </w:r>
      <w:r>
        <w:rPr>
          <w:lang w:val="en-GB"/>
        </w:rPr>
        <w:t>coal-supply</w:t>
      </w:r>
      <w:r w:rsidRPr="00FC1D83">
        <w:rPr>
          <w:lang w:val="en-GB"/>
        </w:rPr>
        <w:t xml:space="preserve"> agreement with Indonesian firm PT </w:t>
      </w:r>
      <w:proofErr w:type="spellStart"/>
      <w:r w:rsidRPr="00FC1D83">
        <w:rPr>
          <w:lang w:val="en-GB"/>
        </w:rPr>
        <w:t>Antang</w:t>
      </w:r>
      <w:proofErr w:type="spellEnd"/>
      <w:r w:rsidRPr="00FC1D83">
        <w:rPr>
          <w:lang w:val="en-GB"/>
        </w:rPr>
        <w:t xml:space="preserve"> </w:t>
      </w:r>
      <w:proofErr w:type="spellStart"/>
      <w:r w:rsidRPr="00FC1D83">
        <w:rPr>
          <w:lang w:val="en-GB"/>
        </w:rPr>
        <w:t>Gunung</w:t>
      </w:r>
      <w:proofErr w:type="spellEnd"/>
      <w:r w:rsidRPr="00FC1D83">
        <w:rPr>
          <w:lang w:val="en-GB"/>
        </w:rPr>
        <w:t xml:space="preserve"> </w:t>
      </w:r>
      <w:proofErr w:type="spellStart"/>
      <w:r w:rsidRPr="00FC1D83">
        <w:rPr>
          <w:lang w:val="en-GB"/>
        </w:rPr>
        <w:t>Meratus</w:t>
      </w:r>
      <w:proofErr w:type="spellEnd"/>
      <w:r w:rsidRPr="00FC1D83">
        <w:rPr>
          <w:lang w:val="en-GB"/>
        </w:rPr>
        <w:t>.</w:t>
      </w:r>
      <w:r w:rsidRPr="00FC1D83">
        <w:rPr>
          <w:rStyle w:val="EndnoteReference"/>
          <w:lang w:val="en-GB"/>
        </w:rPr>
        <w:endnoteReference w:id="33"/>
      </w:r>
    </w:p>
    <w:p w14:paraId="21235A7D" w14:textId="77777777" w:rsidR="001817AA" w:rsidRPr="00FC1D83" w:rsidRDefault="001817AA" w:rsidP="00AA448C">
      <w:pPr>
        <w:pStyle w:val="BodyTextMain"/>
        <w:rPr>
          <w:lang w:val="en-GB"/>
        </w:rPr>
      </w:pPr>
    </w:p>
    <w:p w14:paraId="64533FC1" w14:textId="20472DD0" w:rsidR="001817AA" w:rsidRPr="00FC1D83" w:rsidRDefault="001817AA" w:rsidP="00AA448C">
      <w:pPr>
        <w:pStyle w:val="BodyTextMain"/>
        <w:rPr>
          <w:lang w:val="en-GB"/>
        </w:rPr>
      </w:pPr>
      <w:r w:rsidRPr="00FC1D83">
        <w:rPr>
          <w:lang w:val="en-GB"/>
        </w:rPr>
        <w:t xml:space="preserve">Of the </w:t>
      </w:r>
      <w:r>
        <w:rPr>
          <w:lang w:val="en-GB"/>
        </w:rPr>
        <w:t>12</w:t>
      </w:r>
      <w:r w:rsidRPr="00FC1D83">
        <w:rPr>
          <w:lang w:val="en-GB"/>
        </w:rPr>
        <w:t xml:space="preserve"> </w:t>
      </w:r>
      <w:r>
        <w:rPr>
          <w:lang w:val="en-GB"/>
        </w:rPr>
        <w:t>UMPPs</w:t>
      </w:r>
      <w:r w:rsidRPr="00FC1D83">
        <w:rPr>
          <w:lang w:val="en-GB"/>
        </w:rPr>
        <w:t xml:space="preserve"> conceived by </w:t>
      </w:r>
      <w:r>
        <w:rPr>
          <w:lang w:val="en-GB"/>
        </w:rPr>
        <w:t>the government of India</w:t>
      </w:r>
      <w:r w:rsidRPr="00FC1D83">
        <w:rPr>
          <w:lang w:val="en-GB"/>
        </w:rPr>
        <w:t xml:space="preserve">, CGPL was the only one that progressed </w:t>
      </w:r>
      <w:r w:rsidR="002B7753">
        <w:rPr>
          <w:lang w:val="en-GB"/>
        </w:rPr>
        <w:t>on</w:t>
      </w:r>
      <w:r w:rsidRPr="00FC1D83">
        <w:rPr>
          <w:lang w:val="en-GB"/>
        </w:rPr>
        <w:t xml:space="preserve"> schedule. More than half of the UMPPs were not bid out, and the bids </w:t>
      </w:r>
      <w:r>
        <w:rPr>
          <w:lang w:val="en-GB"/>
        </w:rPr>
        <w:t xml:space="preserve">that were </w:t>
      </w:r>
      <w:r w:rsidRPr="00FC1D83">
        <w:rPr>
          <w:lang w:val="en-GB"/>
        </w:rPr>
        <w:t>floated could not be finalized.</w:t>
      </w:r>
      <w:r w:rsidRPr="00FC1D83">
        <w:rPr>
          <w:rStyle w:val="EndnoteReference"/>
          <w:lang w:val="en-GB"/>
        </w:rPr>
        <w:endnoteReference w:id="34"/>
      </w:r>
      <w:r w:rsidRPr="00FC1D83">
        <w:rPr>
          <w:lang w:val="en-GB"/>
        </w:rPr>
        <w:t xml:space="preserve"> However, t</w:t>
      </w:r>
      <w:r w:rsidRPr="00FC1D83">
        <w:rPr>
          <w:bCs/>
          <w:lang w:val="en-GB"/>
        </w:rPr>
        <w:t xml:space="preserve">he five 800 MW generating units of CGPL </w:t>
      </w:r>
      <w:r>
        <w:rPr>
          <w:bCs/>
          <w:lang w:val="en-GB"/>
        </w:rPr>
        <w:t>were</w:t>
      </w:r>
      <w:r w:rsidRPr="00FC1D83">
        <w:rPr>
          <w:bCs/>
          <w:lang w:val="en-GB"/>
        </w:rPr>
        <w:t xml:space="preserve"> commissioned between March 2012 and March 2013</w:t>
      </w:r>
      <w:r>
        <w:rPr>
          <w:bCs/>
          <w:lang w:val="en-GB"/>
        </w:rPr>
        <w:t>—</w:t>
      </w:r>
      <w:r w:rsidRPr="00FC1D83">
        <w:rPr>
          <w:bCs/>
          <w:lang w:val="en-GB"/>
        </w:rPr>
        <w:t>well before their scheduled commissioning dates.</w:t>
      </w:r>
      <w:r w:rsidRPr="00FC1D83">
        <w:rPr>
          <w:rStyle w:val="EndnoteReference"/>
          <w:bCs/>
          <w:lang w:val="en-GB"/>
        </w:rPr>
        <w:endnoteReference w:id="35"/>
      </w:r>
      <w:r w:rsidRPr="00FC1D83">
        <w:rPr>
          <w:bCs/>
          <w:lang w:val="en-GB"/>
        </w:rPr>
        <w:t xml:space="preserve"> The early commissioning was attributed to in-house tendering and coordination by CGPL and Tata Power. The plant created 5,</w:t>
      </w:r>
      <w:r w:rsidRPr="00FC1D83">
        <w:rPr>
          <w:lang w:val="en-GB"/>
        </w:rPr>
        <w:t>000</w:t>
      </w:r>
      <w:r w:rsidRPr="00FC1D83">
        <w:rPr>
          <w:bCs/>
          <w:lang w:val="en-GB"/>
        </w:rPr>
        <w:t xml:space="preserve"> construction jobs and 700 operational jobs.</w:t>
      </w:r>
      <w:r>
        <w:rPr>
          <w:bCs/>
          <w:lang w:val="en-GB"/>
        </w:rPr>
        <w:t xml:space="preserve"> </w:t>
      </w:r>
      <w:r w:rsidRPr="00FC1D83">
        <w:rPr>
          <w:lang w:val="en-GB"/>
        </w:rPr>
        <w:t xml:space="preserve">The project was constructed at the cost of ₹175 billion, which included equity of </w:t>
      </w:r>
      <w:r w:rsidRPr="00FC1D83">
        <w:rPr>
          <w:bCs/>
          <w:lang w:val="en-GB"/>
        </w:rPr>
        <w:t>₹42.5 billion</w:t>
      </w:r>
      <w:r w:rsidRPr="00FC1D83">
        <w:rPr>
          <w:lang w:val="en-GB"/>
        </w:rPr>
        <w:t xml:space="preserve">, a loan of </w:t>
      </w:r>
      <w:r w:rsidRPr="00FC1D83">
        <w:rPr>
          <w:bCs/>
          <w:lang w:val="en-GB"/>
        </w:rPr>
        <w:t>₹58.5 billion</w:t>
      </w:r>
      <w:r w:rsidRPr="00FC1D83">
        <w:rPr>
          <w:lang w:val="en-GB"/>
        </w:rPr>
        <w:t>, and external commercial borrowings of $1.7 billion.</w:t>
      </w:r>
      <w:r w:rsidRPr="00FC1D83">
        <w:rPr>
          <w:rStyle w:val="EndnoteReference"/>
          <w:lang w:val="en-GB"/>
        </w:rPr>
        <w:endnoteReference w:id="36"/>
      </w:r>
      <w:r w:rsidRPr="00FC1D83">
        <w:rPr>
          <w:lang w:val="en-GB"/>
        </w:rPr>
        <w:t xml:space="preserve"> The plant used </w:t>
      </w:r>
      <w:r>
        <w:rPr>
          <w:lang w:val="en-GB"/>
        </w:rPr>
        <w:t>supercritical</w:t>
      </w:r>
      <w:r w:rsidRPr="00FC1D83">
        <w:rPr>
          <w:lang w:val="en-GB"/>
        </w:rPr>
        <w:t xml:space="preserve"> technology, which saved fuel and cut down on greenhouse gas emissions. In comparison to subcritical power plants, the project avoided burning 1.7 million </w:t>
      </w:r>
      <w:r>
        <w:rPr>
          <w:lang w:val="en-GB"/>
        </w:rPr>
        <w:t xml:space="preserve">metric tons </w:t>
      </w:r>
      <w:r w:rsidRPr="00FC1D83">
        <w:rPr>
          <w:lang w:val="en-GB"/>
        </w:rPr>
        <w:t xml:space="preserve">of coal per year, thus averting carbon emissions of 3.6 million </w:t>
      </w:r>
      <w:r>
        <w:rPr>
          <w:lang w:val="en-GB"/>
        </w:rPr>
        <w:t>metric tons</w:t>
      </w:r>
      <w:r w:rsidRPr="00FC1D83">
        <w:rPr>
          <w:lang w:val="en-GB"/>
        </w:rPr>
        <w:t xml:space="preserve"> per year. The greenhouse gas emissions from the plant were 750 </w:t>
      </w:r>
      <w:r>
        <w:rPr>
          <w:lang w:val="en-GB"/>
        </w:rPr>
        <w:t>grams (g)</w:t>
      </w:r>
      <w:r w:rsidRPr="00FC1D83">
        <w:rPr>
          <w:lang w:val="en-GB"/>
        </w:rPr>
        <w:t xml:space="preserve"> of carbon dioxide </w:t>
      </w:r>
      <w:r>
        <w:rPr>
          <w:lang w:val="en-GB"/>
        </w:rPr>
        <w:t>(</w:t>
      </w:r>
      <w:r w:rsidRPr="00FC1D83">
        <w:rPr>
          <w:lang w:val="en-GB"/>
        </w:rPr>
        <w:t>CO</w:t>
      </w:r>
      <w:r w:rsidRPr="00716B22">
        <w:rPr>
          <w:vertAlign w:val="subscript"/>
          <w:lang w:val="en-GB"/>
        </w:rPr>
        <w:t>2</w:t>
      </w:r>
      <w:r w:rsidRPr="00E0483F">
        <w:rPr>
          <w:lang w:val="en-GB"/>
        </w:rPr>
        <w:t xml:space="preserve">) </w:t>
      </w:r>
      <w:r w:rsidRPr="00FC1D83">
        <w:rPr>
          <w:lang w:val="en-GB"/>
        </w:rPr>
        <w:t>per kWh, compared to India</w:t>
      </w:r>
      <w:r>
        <w:rPr>
          <w:lang w:val="en-GB"/>
        </w:rPr>
        <w:t>’</w:t>
      </w:r>
      <w:r w:rsidRPr="00FC1D83">
        <w:rPr>
          <w:lang w:val="en-GB"/>
        </w:rPr>
        <w:t xml:space="preserve">s national average of 1,259 </w:t>
      </w:r>
      <w:r>
        <w:rPr>
          <w:lang w:val="en-GB"/>
        </w:rPr>
        <w:t>g</w:t>
      </w:r>
      <w:r w:rsidRPr="00FC1D83">
        <w:rPr>
          <w:lang w:val="en-GB"/>
        </w:rPr>
        <w:t xml:space="preserve"> </w:t>
      </w:r>
      <w:r>
        <w:rPr>
          <w:lang w:val="en-GB"/>
        </w:rPr>
        <w:t xml:space="preserve">of </w:t>
      </w:r>
      <w:r w:rsidRPr="00BE6579">
        <w:rPr>
          <w:lang w:val="en-GB"/>
        </w:rPr>
        <w:t>CO</w:t>
      </w:r>
      <w:r w:rsidRPr="00716B22">
        <w:rPr>
          <w:vertAlign w:val="subscript"/>
          <w:lang w:val="en-GB"/>
        </w:rPr>
        <w:t>2</w:t>
      </w:r>
      <w:r>
        <w:rPr>
          <w:lang w:val="en-GB"/>
        </w:rPr>
        <w:t xml:space="preserve"> per</w:t>
      </w:r>
      <w:r w:rsidRPr="00FC1D83">
        <w:rPr>
          <w:lang w:val="en-GB"/>
        </w:rPr>
        <w:t xml:space="preserve"> kWh for coal-based power plants.</w:t>
      </w:r>
      <w:r w:rsidRPr="00FC1D83">
        <w:rPr>
          <w:rStyle w:val="EndnoteReference"/>
          <w:lang w:val="en-GB"/>
        </w:rPr>
        <w:endnoteReference w:id="37"/>
      </w:r>
    </w:p>
    <w:p w14:paraId="68C1C0DA" w14:textId="396405E4" w:rsidR="001817AA" w:rsidRPr="00FC1D83" w:rsidRDefault="001817AA" w:rsidP="00AA448C">
      <w:pPr>
        <w:pStyle w:val="BodyTextMain"/>
        <w:rPr>
          <w:lang w:val="en-GB"/>
        </w:rPr>
      </w:pPr>
    </w:p>
    <w:p w14:paraId="4D42CD80" w14:textId="77777777" w:rsidR="001817AA" w:rsidRPr="00FC1D83" w:rsidRDefault="001817AA" w:rsidP="00AA448C">
      <w:pPr>
        <w:pStyle w:val="BodyTextMain"/>
        <w:rPr>
          <w:lang w:val="en-GB"/>
        </w:rPr>
      </w:pPr>
    </w:p>
    <w:p w14:paraId="6C10610E" w14:textId="2769A4D7" w:rsidR="001817AA" w:rsidRPr="00FC1D83" w:rsidRDefault="001817AA" w:rsidP="008038E0">
      <w:pPr>
        <w:pStyle w:val="Casehead1"/>
        <w:rPr>
          <w:lang w:val="en-GB"/>
        </w:rPr>
      </w:pPr>
      <w:r>
        <w:rPr>
          <w:lang w:val="en-GB"/>
        </w:rPr>
        <w:t xml:space="preserve">The </w:t>
      </w:r>
      <w:r w:rsidRPr="00FC1D83">
        <w:rPr>
          <w:lang w:val="en-GB"/>
        </w:rPr>
        <w:t>IMPACT OF CHANGE IN INDONESIAN MINING LAW</w:t>
      </w:r>
    </w:p>
    <w:p w14:paraId="4B684B93" w14:textId="77777777" w:rsidR="001817AA" w:rsidRPr="00FC1D83" w:rsidRDefault="001817AA" w:rsidP="008038E0">
      <w:pPr>
        <w:pStyle w:val="BodyTextMain"/>
        <w:rPr>
          <w:lang w:val="en-GB"/>
        </w:rPr>
      </w:pPr>
    </w:p>
    <w:p w14:paraId="7B28190C" w14:textId="437A6231" w:rsidR="001817AA" w:rsidRPr="00FC1D83" w:rsidRDefault="001817AA" w:rsidP="00C26568">
      <w:pPr>
        <w:pStyle w:val="BodyTextMain"/>
        <w:rPr>
          <w:lang w:val="en-GB"/>
        </w:rPr>
      </w:pPr>
      <w:r w:rsidRPr="00FC1D83">
        <w:rPr>
          <w:lang w:val="en-GB"/>
        </w:rPr>
        <w:t xml:space="preserve">On September 23, 2010, the </w:t>
      </w:r>
      <w:r>
        <w:rPr>
          <w:lang w:val="en-GB"/>
        </w:rPr>
        <w:t>government</w:t>
      </w:r>
      <w:r w:rsidRPr="00FC1D83">
        <w:rPr>
          <w:lang w:val="en-GB"/>
        </w:rPr>
        <w:t xml:space="preserve"> of Indonesia promulgated a new regulation</w:t>
      </w:r>
      <w:r>
        <w:rPr>
          <w:lang w:val="en-GB"/>
        </w:rPr>
        <w:t xml:space="preserve">—MEMR </w:t>
      </w:r>
      <w:r w:rsidRPr="00FC1D83">
        <w:rPr>
          <w:lang w:val="en-GB"/>
        </w:rPr>
        <w:t>Regulation No.</w:t>
      </w:r>
      <w:r>
        <w:rPr>
          <w:lang w:val="en-GB"/>
        </w:rPr>
        <w:t xml:space="preserve"> </w:t>
      </w:r>
      <w:r w:rsidRPr="00FC1D83">
        <w:rPr>
          <w:lang w:val="en-GB"/>
        </w:rPr>
        <w:t>17</w:t>
      </w:r>
      <w:r>
        <w:rPr>
          <w:lang w:val="en-GB"/>
        </w:rPr>
        <w:t>, 2010.</w:t>
      </w:r>
      <w:r w:rsidRPr="00A51A54">
        <w:rPr>
          <w:lang w:val="en-GB"/>
        </w:rPr>
        <w:t xml:space="preserve"> </w:t>
      </w:r>
      <w:r w:rsidRPr="00FC1D83">
        <w:rPr>
          <w:lang w:val="en-GB"/>
        </w:rPr>
        <w:t>The law aimed to align the export price of Indonesian coal with the spot prices of coal in the international market while prohibiting sale below this price.</w:t>
      </w:r>
      <w:r w:rsidRPr="00FC1D83">
        <w:rPr>
          <w:rStyle w:val="EndnoteReference"/>
          <w:lang w:val="en-GB"/>
        </w:rPr>
        <w:endnoteReference w:id="38"/>
      </w:r>
      <w:r w:rsidRPr="00FC1D83">
        <w:rPr>
          <w:lang w:val="en-GB"/>
        </w:rPr>
        <w:t xml:space="preserve"> This new regulation significantly </w:t>
      </w:r>
      <w:r>
        <w:rPr>
          <w:lang w:val="en-GB"/>
        </w:rPr>
        <w:t>affected</w:t>
      </w:r>
      <w:r w:rsidRPr="00FC1D83">
        <w:rPr>
          <w:lang w:val="en-GB"/>
        </w:rPr>
        <w:t xml:space="preserve"> the spot price of Indonesian coal</w:t>
      </w:r>
      <w:r>
        <w:rPr>
          <w:lang w:val="en-GB"/>
        </w:rPr>
        <w:t>,</w:t>
      </w:r>
      <w:r w:rsidRPr="00FC1D83">
        <w:rPr>
          <w:lang w:val="en-GB"/>
        </w:rPr>
        <w:t xml:space="preserve"> and </w:t>
      </w:r>
      <w:r>
        <w:rPr>
          <w:lang w:val="en-GB"/>
        </w:rPr>
        <w:t xml:space="preserve">the MEMR’s </w:t>
      </w:r>
      <w:r w:rsidRPr="00FC1D83">
        <w:rPr>
          <w:lang w:val="en-GB"/>
        </w:rPr>
        <w:t>thermal coal reference price</w:t>
      </w:r>
      <w:r>
        <w:rPr>
          <w:lang w:val="en-GB"/>
        </w:rPr>
        <w:t xml:space="preserve"> (known as </w:t>
      </w:r>
      <w:proofErr w:type="spellStart"/>
      <w:r w:rsidRPr="00FC1D83">
        <w:rPr>
          <w:lang w:val="en-GB"/>
        </w:rPr>
        <w:t>Harga</w:t>
      </w:r>
      <w:proofErr w:type="spellEnd"/>
      <w:r w:rsidRPr="00FC1D83">
        <w:rPr>
          <w:lang w:val="en-GB"/>
        </w:rPr>
        <w:t xml:space="preserve"> Batubara </w:t>
      </w:r>
      <w:proofErr w:type="spellStart"/>
      <w:r w:rsidRPr="00FC1D83">
        <w:rPr>
          <w:lang w:val="en-GB"/>
        </w:rPr>
        <w:t>Acuan</w:t>
      </w:r>
      <w:proofErr w:type="spellEnd"/>
      <w:r>
        <w:rPr>
          <w:lang w:val="en-GB"/>
        </w:rPr>
        <w:t xml:space="preserve"> [HBA])</w:t>
      </w:r>
      <w:r w:rsidRPr="00FC1D83">
        <w:rPr>
          <w:lang w:val="en-GB"/>
        </w:rPr>
        <w:t xml:space="preserve"> rose from $70.7</w:t>
      </w:r>
      <w:r>
        <w:rPr>
          <w:lang w:val="en-GB"/>
        </w:rPr>
        <w:t xml:space="preserve"> per metric ton</w:t>
      </w:r>
      <w:r w:rsidRPr="00FC1D83">
        <w:rPr>
          <w:lang w:val="en-GB"/>
        </w:rPr>
        <w:t xml:space="preserve"> in 2009 to $118.4</w:t>
      </w:r>
      <w:r>
        <w:rPr>
          <w:lang w:val="en-GB"/>
        </w:rPr>
        <w:t xml:space="preserve"> per metric </w:t>
      </w:r>
      <w:r w:rsidRPr="00FC1D83">
        <w:rPr>
          <w:lang w:val="en-GB"/>
        </w:rPr>
        <w:t>ton in 2011</w:t>
      </w:r>
      <w:r>
        <w:rPr>
          <w:lang w:val="en-GB"/>
        </w:rPr>
        <w:t xml:space="preserve"> </w:t>
      </w:r>
      <w:r w:rsidRPr="00FC1D83">
        <w:rPr>
          <w:lang w:val="en-GB"/>
        </w:rPr>
        <w:t>(</w:t>
      </w:r>
      <w:r>
        <w:rPr>
          <w:lang w:val="en-GB"/>
        </w:rPr>
        <w:t>see Exhibit 4</w:t>
      </w:r>
      <w:r w:rsidRPr="00FC1D83">
        <w:rPr>
          <w:lang w:val="en-GB"/>
        </w:rPr>
        <w:t>).</w:t>
      </w:r>
    </w:p>
    <w:p w14:paraId="4C55C89C" w14:textId="77777777" w:rsidR="001817AA" w:rsidRPr="00FC1D83" w:rsidRDefault="001817AA" w:rsidP="008038E0">
      <w:pPr>
        <w:pStyle w:val="BodyTextMain"/>
        <w:rPr>
          <w:lang w:val="en-GB"/>
        </w:rPr>
      </w:pPr>
    </w:p>
    <w:p w14:paraId="11FDEE34" w14:textId="6490A949" w:rsidR="001817AA" w:rsidRPr="00FC1D83" w:rsidRDefault="001817AA" w:rsidP="008038E0">
      <w:pPr>
        <w:pStyle w:val="BodyTextMain"/>
        <w:rPr>
          <w:lang w:val="en-GB"/>
        </w:rPr>
      </w:pPr>
      <w:r w:rsidRPr="00FC1D83">
        <w:rPr>
          <w:lang w:val="en-GB"/>
        </w:rPr>
        <w:t xml:space="preserve">As per </w:t>
      </w:r>
      <w:r>
        <w:rPr>
          <w:lang w:val="en-GB"/>
        </w:rPr>
        <w:t>PPAs</w:t>
      </w:r>
      <w:r w:rsidRPr="00FC1D83">
        <w:rPr>
          <w:lang w:val="en-GB"/>
        </w:rPr>
        <w:t xml:space="preserve"> signed by CGPL, a maximum increase of 17 </w:t>
      </w:r>
      <w:r>
        <w:rPr>
          <w:lang w:val="en-GB"/>
        </w:rPr>
        <w:t xml:space="preserve">per cent </w:t>
      </w:r>
      <w:r w:rsidRPr="00FC1D83">
        <w:rPr>
          <w:lang w:val="en-GB"/>
        </w:rPr>
        <w:t xml:space="preserve">over five years (i.e., 3.4 </w:t>
      </w:r>
      <w:r>
        <w:rPr>
          <w:lang w:val="en-GB"/>
        </w:rPr>
        <w:t>per cent</w:t>
      </w:r>
      <w:r w:rsidRPr="00FC1D83">
        <w:rPr>
          <w:lang w:val="en-GB"/>
        </w:rPr>
        <w:t xml:space="preserve"> ×</w:t>
      </w:r>
      <w:r>
        <w:rPr>
          <w:lang w:val="en-GB"/>
        </w:rPr>
        <w:t xml:space="preserve"> five</w:t>
      </w:r>
      <w:r w:rsidR="00A61FF2">
        <w:rPr>
          <w:lang w:val="en-GB"/>
        </w:rPr>
        <w:t xml:space="preserve"> years = 17 per cent</w:t>
      </w:r>
      <w:r w:rsidRPr="00FC1D83">
        <w:rPr>
          <w:lang w:val="en-GB"/>
        </w:rPr>
        <w:t>) in the electricity tariff was allowed on inflation. However, the rise in coal prices was 150</w:t>
      </w:r>
      <w:r>
        <w:rPr>
          <w:lang w:val="en-GB"/>
        </w:rPr>
        <w:t xml:space="preserve"> per cent</w:t>
      </w:r>
      <w:r w:rsidRPr="00FC1D83">
        <w:rPr>
          <w:lang w:val="en-GB"/>
        </w:rPr>
        <w:t xml:space="preserve"> </w:t>
      </w:r>
      <w:r>
        <w:rPr>
          <w:lang w:val="en-GB"/>
        </w:rPr>
        <w:t>(from $50 at the time of the bid to</w:t>
      </w:r>
      <w:r w:rsidRPr="00FC1D83">
        <w:rPr>
          <w:lang w:val="en-GB"/>
        </w:rPr>
        <w:t xml:space="preserve"> $116 in 2012). Further, for CGPL, 55</w:t>
      </w:r>
      <w:r>
        <w:rPr>
          <w:lang w:val="en-GB"/>
        </w:rPr>
        <w:t xml:space="preserve"> per cent</w:t>
      </w:r>
      <w:r w:rsidRPr="00FC1D83">
        <w:rPr>
          <w:lang w:val="en-GB"/>
        </w:rPr>
        <w:t xml:space="preserve"> of the tariff </w:t>
      </w:r>
      <w:r w:rsidRPr="00FC1D83">
        <w:rPr>
          <w:lang w:val="en-GB"/>
        </w:rPr>
        <w:lastRenderedPageBreak/>
        <w:t xml:space="preserve">change on account of </w:t>
      </w:r>
      <w:r>
        <w:rPr>
          <w:lang w:val="en-GB"/>
        </w:rPr>
        <w:t xml:space="preserve">the </w:t>
      </w:r>
      <w:r w:rsidRPr="00FC1D83">
        <w:rPr>
          <w:lang w:val="en-GB"/>
        </w:rPr>
        <w:t xml:space="preserve">coal price change was fixed. The abnormal increase in the price of Indonesian coal made CGPL commercially unviable at the low quoted electricity tariff rates. It was </w:t>
      </w:r>
      <w:r w:rsidRPr="00FC1D83">
        <w:rPr>
          <w:bCs/>
          <w:lang w:val="en-GB"/>
        </w:rPr>
        <w:t>estimated that the plant would incur a loss of ₹475 billion over the 25-year concession period</w:t>
      </w:r>
      <w:r w:rsidRPr="00FC1D83">
        <w:rPr>
          <w:lang w:val="en-GB"/>
        </w:rPr>
        <w:t xml:space="preserve"> (</w:t>
      </w:r>
      <w:r>
        <w:rPr>
          <w:lang w:val="en-GB"/>
        </w:rPr>
        <w:t>see Exhibit 5)</w:t>
      </w:r>
      <w:r w:rsidRPr="00FC1D83">
        <w:rPr>
          <w:lang w:val="en-GB"/>
        </w:rPr>
        <w:t>.</w:t>
      </w:r>
      <w:r w:rsidRPr="00FC1D83">
        <w:rPr>
          <w:rStyle w:val="EndnoteReference"/>
          <w:lang w:val="en-GB"/>
        </w:rPr>
        <w:endnoteReference w:id="39"/>
      </w:r>
      <w:r w:rsidRPr="00FC1D83">
        <w:rPr>
          <w:lang w:val="en-GB"/>
        </w:rPr>
        <w:t xml:space="preserve"> Seeking relief, CGPL approached both the electricity purchaser (the state government of Gujarat) and the central government (</w:t>
      </w:r>
      <w:r>
        <w:rPr>
          <w:lang w:val="en-GB"/>
        </w:rPr>
        <w:t xml:space="preserve">the government of India’s </w:t>
      </w:r>
      <w:r w:rsidRPr="00FC1D83">
        <w:rPr>
          <w:lang w:val="en-GB"/>
        </w:rPr>
        <w:t xml:space="preserve">Ministry of Power). The ministry responded that </w:t>
      </w:r>
      <w:r>
        <w:rPr>
          <w:iCs/>
          <w:lang w:val="en-GB"/>
        </w:rPr>
        <w:t>“</w:t>
      </w:r>
      <w:r w:rsidRPr="00FC1D83">
        <w:rPr>
          <w:iCs/>
          <w:lang w:val="en-GB"/>
        </w:rPr>
        <w:t>PPA is a legally binding document exclusively between the procurers and the developer. Therefore, any issue arising therein is to be settled within the provisions of PPA by the contracting parties for which Gujarat being the Lead Procurer may take necessary action.</w:t>
      </w:r>
      <w:r>
        <w:rPr>
          <w:lang w:val="en-GB"/>
        </w:rPr>
        <w:t>”</w:t>
      </w:r>
      <w:r w:rsidRPr="00FC1D83">
        <w:rPr>
          <w:rStyle w:val="EndnoteReference"/>
          <w:lang w:val="en-GB"/>
        </w:rPr>
        <w:endnoteReference w:id="40"/>
      </w:r>
      <w:r w:rsidRPr="00FC1D83">
        <w:rPr>
          <w:lang w:val="en-GB"/>
        </w:rPr>
        <w:t xml:space="preserve"> </w:t>
      </w:r>
    </w:p>
    <w:p w14:paraId="55A7F916" w14:textId="77777777" w:rsidR="001817AA" w:rsidRPr="00FC1D83" w:rsidRDefault="001817AA" w:rsidP="008038E0">
      <w:pPr>
        <w:pStyle w:val="BodyTextMain"/>
        <w:rPr>
          <w:lang w:val="en-GB"/>
        </w:rPr>
      </w:pPr>
    </w:p>
    <w:p w14:paraId="280BA3AD" w14:textId="65B55076" w:rsidR="001817AA" w:rsidRPr="00DE2D9F" w:rsidRDefault="001817AA" w:rsidP="008038E0">
      <w:pPr>
        <w:pStyle w:val="BodyTextMain"/>
        <w:rPr>
          <w:spacing w:val="-2"/>
          <w:lang w:val="en-GB"/>
        </w:rPr>
      </w:pPr>
      <w:r w:rsidRPr="00DE2D9F">
        <w:rPr>
          <w:spacing w:val="-2"/>
          <w:lang w:val="en-GB"/>
        </w:rPr>
        <w:t xml:space="preserve">National electricity generation capacity of 15 GW was similarly affected, as it was also based on imported Indonesian coal. Seeking relief, many other private power plants also went knocking at the different government doors. One of the most important of these was the request made by </w:t>
      </w:r>
      <w:bookmarkStart w:id="7" w:name="_Hlk67994892"/>
      <w:r w:rsidRPr="00DE2D9F">
        <w:rPr>
          <w:spacing w:val="-2"/>
          <w:lang w:val="en-GB"/>
        </w:rPr>
        <w:t>Adani Power Limited (Adani Power)</w:t>
      </w:r>
      <w:bookmarkEnd w:id="7"/>
      <w:r w:rsidRPr="00DE2D9F">
        <w:rPr>
          <w:spacing w:val="-2"/>
          <w:lang w:val="en-GB"/>
        </w:rPr>
        <w:t xml:space="preserve">  to CERC, the primary regulatory body, on July 5, 2012.</w:t>
      </w:r>
      <w:r w:rsidRPr="00DE2D9F">
        <w:rPr>
          <w:rStyle w:val="EndnoteReference"/>
          <w:spacing w:val="-2"/>
          <w:lang w:val="en-GB"/>
        </w:rPr>
        <w:endnoteReference w:id="41"/>
      </w:r>
      <w:r w:rsidRPr="00DE2D9F">
        <w:rPr>
          <w:spacing w:val="-2"/>
          <w:lang w:val="en-GB"/>
        </w:rPr>
        <w:t xml:space="preserve"> Adani Power made a plea to CERC to either discharge Adani Power from the performance of the PPA on account of frustration or to evolve a mechanism to restore the petitioners to the same economic condition prior to the occurrence of the change in law.</w:t>
      </w:r>
      <w:r w:rsidRPr="00DE2D9F">
        <w:rPr>
          <w:rStyle w:val="EndnoteReference"/>
          <w:spacing w:val="-2"/>
          <w:lang w:val="en-GB"/>
        </w:rPr>
        <w:endnoteReference w:id="42"/>
      </w:r>
      <w:r w:rsidRPr="00DE2D9F">
        <w:rPr>
          <w:spacing w:val="-2"/>
          <w:lang w:val="en-GB"/>
        </w:rPr>
        <w:t xml:space="preserve"> It was further suggested that relief </w:t>
      </w:r>
      <w:r w:rsidR="004D3DCC" w:rsidRPr="00DE2D9F">
        <w:rPr>
          <w:spacing w:val="-2"/>
          <w:lang w:val="en-GB"/>
        </w:rPr>
        <w:t>could</w:t>
      </w:r>
      <w:r w:rsidRPr="00DE2D9F">
        <w:rPr>
          <w:spacing w:val="-2"/>
          <w:lang w:val="en-GB"/>
        </w:rPr>
        <w:t xml:space="preserve"> be provided to </w:t>
      </w:r>
      <w:r w:rsidR="000E048D" w:rsidRPr="00DE2D9F">
        <w:rPr>
          <w:spacing w:val="-2"/>
          <w:lang w:val="en-GB"/>
        </w:rPr>
        <w:t xml:space="preserve">Adani Power (and other power plants based upon Indonesian coal, like CGPL) </w:t>
      </w:r>
      <w:r w:rsidRPr="00DE2D9F">
        <w:rPr>
          <w:spacing w:val="-2"/>
          <w:lang w:val="en-GB"/>
        </w:rPr>
        <w:t xml:space="preserve">through three possible routes—change of law (that the “change of law” clause of the PPA be read to include foreign laws), force majeure (that the new law by the Indonesian government be viewed as a force majeure event), or public interest (that, failing the first two possible routes, relief may be provided under section 79 of the </w:t>
      </w:r>
      <w:r w:rsidRPr="00DE2D9F">
        <w:rPr>
          <w:i/>
          <w:iCs/>
          <w:spacing w:val="-2"/>
          <w:lang w:val="en-GB"/>
        </w:rPr>
        <w:t>Electricity Act</w:t>
      </w:r>
      <w:r w:rsidRPr="00DE2D9F">
        <w:rPr>
          <w:spacing w:val="-2"/>
          <w:lang w:val="en-GB"/>
        </w:rPr>
        <w:t>, 2003). CERC, in the capacity of the regulator, was mandated to protect the interests of both consumers and producers, and it needed to exercise its authority and provide appropriate relief.</w:t>
      </w:r>
      <w:r w:rsidRPr="00DE2D9F">
        <w:rPr>
          <w:rStyle w:val="EndnoteReference"/>
          <w:spacing w:val="-2"/>
          <w:lang w:val="en-GB"/>
        </w:rPr>
        <w:endnoteReference w:id="43"/>
      </w:r>
      <w:r w:rsidRPr="00DE2D9F">
        <w:rPr>
          <w:spacing w:val="-2"/>
          <w:lang w:val="en-GB"/>
        </w:rPr>
        <w:t xml:space="preserve"> CGPL requested CERC to allow an increase of ₹3 per unit in the tariff.</w:t>
      </w:r>
      <w:r w:rsidRPr="00DE2D9F">
        <w:rPr>
          <w:rStyle w:val="EndnoteReference"/>
          <w:spacing w:val="-2"/>
          <w:lang w:val="en-GB"/>
        </w:rPr>
        <w:endnoteReference w:id="44"/>
      </w:r>
    </w:p>
    <w:p w14:paraId="6192DFCA" w14:textId="77777777" w:rsidR="001817AA" w:rsidRPr="00FC1D83" w:rsidRDefault="001817AA" w:rsidP="008038E0">
      <w:pPr>
        <w:pStyle w:val="BodyTextMain"/>
        <w:rPr>
          <w:lang w:val="en-GB"/>
        </w:rPr>
      </w:pPr>
    </w:p>
    <w:p w14:paraId="5AA02E36" w14:textId="77DCBF24" w:rsidR="001817AA" w:rsidRPr="000707A4" w:rsidRDefault="001817AA" w:rsidP="008038E0">
      <w:pPr>
        <w:pStyle w:val="BodyTextMain"/>
        <w:rPr>
          <w:lang w:val="en-GB"/>
        </w:rPr>
      </w:pPr>
      <w:r w:rsidRPr="000707A4">
        <w:rPr>
          <w:lang w:val="en-GB"/>
        </w:rPr>
        <w:t xml:space="preserve">The mission of CERC, a statutory body, functioning under the purview of the </w:t>
      </w:r>
      <w:r w:rsidRPr="000707A4">
        <w:rPr>
          <w:i/>
          <w:iCs/>
          <w:lang w:val="en-GB"/>
        </w:rPr>
        <w:t>Electricity Act</w:t>
      </w:r>
      <w:r w:rsidRPr="000707A4">
        <w:rPr>
          <w:lang w:val="en-GB"/>
        </w:rPr>
        <w:t>, 2003, was to (a) promote competition, efficiency, and economy in bulk power markets; (b) improve the quality of supply; (c) promote investments; and (d) advise the government on the removal of institutional barriers to bridge the demand–supply gap and thus foster the interests of consumers.</w:t>
      </w:r>
      <w:r w:rsidRPr="000707A4">
        <w:rPr>
          <w:rStyle w:val="EndnoteReference"/>
          <w:lang w:val="en-GB"/>
        </w:rPr>
        <w:endnoteReference w:id="45"/>
      </w:r>
      <w:r w:rsidRPr="000707A4">
        <w:rPr>
          <w:lang w:val="en-GB"/>
        </w:rPr>
        <w:t xml:space="preserve"> CERC deliberated on the numerous requests of the power plants and gave a decision that became applicable to all power plants impacted by the Indonesian coal price increase. In an interim order dated April 2, 2013, it did not admit compensation claims under the provisions of change of law or force majeure; however, considering the larger public interest, it provided relief under section 79 of the </w:t>
      </w:r>
      <w:r w:rsidRPr="000707A4">
        <w:rPr>
          <w:i/>
          <w:iCs/>
          <w:lang w:val="en-GB"/>
        </w:rPr>
        <w:t>Electricity Act</w:t>
      </w:r>
      <w:r w:rsidRPr="000707A4">
        <w:rPr>
          <w:lang w:val="en-GB"/>
        </w:rPr>
        <w:t>, 2003. It constituted a committee</w:t>
      </w:r>
      <w:r w:rsidRPr="000707A4">
        <w:rPr>
          <w:rStyle w:val="EndnoteReference"/>
          <w:lang w:val="en-GB"/>
        </w:rPr>
        <w:endnoteReference w:id="46"/>
      </w:r>
      <w:r w:rsidRPr="000707A4">
        <w:rPr>
          <w:lang w:val="en-GB"/>
        </w:rPr>
        <w:t xml:space="preserve"> to compute the applicable tariff increase. Based on the committee report, which was supported by a detailed study by KPMG, CERC passed its final order on August 16, 2013, wherein a formula for the compensatory tariff was proposed. It was estimated that for 2013–14, the affected power plants would obtain a relief of ₹0.5240 per kWh. Before the order could be implemented, it was restrained, as there was an appeal pending in the case before the Supreme Court.</w:t>
      </w:r>
      <w:r w:rsidRPr="000707A4">
        <w:rPr>
          <w:rStyle w:val="EndnoteReference"/>
          <w:lang w:val="en-GB"/>
        </w:rPr>
        <w:endnoteReference w:id="47"/>
      </w:r>
    </w:p>
    <w:p w14:paraId="4E19A1B0" w14:textId="77777777" w:rsidR="001817AA" w:rsidRPr="00FC1D83" w:rsidRDefault="001817AA" w:rsidP="008038E0">
      <w:pPr>
        <w:pStyle w:val="BodyTextMain"/>
        <w:rPr>
          <w:lang w:val="en-GB"/>
        </w:rPr>
      </w:pPr>
    </w:p>
    <w:p w14:paraId="485CAF22" w14:textId="659E136D" w:rsidR="001817AA" w:rsidRPr="00FC1D83" w:rsidRDefault="001817AA" w:rsidP="008038E0">
      <w:pPr>
        <w:pStyle w:val="BodyTextMain"/>
        <w:rPr>
          <w:lang w:val="en-GB"/>
        </w:rPr>
      </w:pPr>
      <w:r w:rsidRPr="00FC1D83">
        <w:rPr>
          <w:lang w:val="en-GB"/>
        </w:rPr>
        <w:t>In parallel, Energy Watchdog (a non-government agency), Prayas (an authorized consumer representative before CERC), and several state electricity utilities filed appeals with APTEL</w:t>
      </w:r>
      <w:r>
        <w:rPr>
          <w:lang w:val="en-GB"/>
        </w:rPr>
        <w:t xml:space="preserve">, </w:t>
      </w:r>
      <w:r w:rsidRPr="00FC1D83">
        <w:rPr>
          <w:lang w:val="en-GB"/>
        </w:rPr>
        <w:t xml:space="preserve">a quasi-judicial </w:t>
      </w:r>
      <w:r>
        <w:rPr>
          <w:lang w:val="en-GB"/>
        </w:rPr>
        <w:t>multidisciplinary</w:t>
      </w:r>
      <w:r w:rsidRPr="00FC1D83">
        <w:rPr>
          <w:lang w:val="en-GB"/>
        </w:rPr>
        <w:t xml:space="preserve"> expert appellate body. APTEL clubbed all similar cases, which </w:t>
      </w:r>
      <w:r>
        <w:rPr>
          <w:lang w:val="en-GB"/>
        </w:rPr>
        <w:t>had grown to</w:t>
      </w:r>
      <w:r w:rsidRPr="00FC1D83">
        <w:rPr>
          <w:lang w:val="en-GB"/>
        </w:rPr>
        <w:t xml:space="preserve"> more than </w:t>
      </w:r>
      <w:r>
        <w:rPr>
          <w:lang w:val="en-GB"/>
        </w:rPr>
        <w:t>30</w:t>
      </w:r>
      <w:r w:rsidRPr="00FC1D83">
        <w:rPr>
          <w:lang w:val="en-GB"/>
        </w:rPr>
        <w:t>. The full bench of APTEL passed an interim order on April 7, 2016, wherein it firstly recognized and vetted CERC</w:t>
      </w:r>
      <w:r>
        <w:rPr>
          <w:lang w:val="en-GB"/>
        </w:rPr>
        <w:t>’</w:t>
      </w:r>
      <w:r w:rsidRPr="00FC1D83">
        <w:rPr>
          <w:lang w:val="en-GB"/>
        </w:rPr>
        <w:t xml:space="preserve">s jurisdiction to treat the case under </w:t>
      </w:r>
      <w:r>
        <w:rPr>
          <w:lang w:val="en-GB"/>
        </w:rPr>
        <w:t>section</w:t>
      </w:r>
      <w:r w:rsidRPr="00FC1D83">
        <w:rPr>
          <w:lang w:val="en-GB"/>
        </w:rPr>
        <w:t xml:space="preserve"> 79 and secondly </w:t>
      </w:r>
      <w:r>
        <w:rPr>
          <w:lang w:val="en-GB"/>
        </w:rPr>
        <w:t>re-examined</w:t>
      </w:r>
      <w:r w:rsidRPr="00FC1D83">
        <w:rPr>
          <w:lang w:val="en-GB"/>
        </w:rPr>
        <w:t xml:space="preserve"> CERC</w:t>
      </w:r>
      <w:r>
        <w:rPr>
          <w:lang w:val="en-GB"/>
        </w:rPr>
        <w:t>’</w:t>
      </w:r>
      <w:r w:rsidRPr="00FC1D83">
        <w:rPr>
          <w:lang w:val="en-GB"/>
        </w:rPr>
        <w:t xml:space="preserve">s arguments negating claims under </w:t>
      </w:r>
      <w:r>
        <w:rPr>
          <w:lang w:val="en-GB"/>
        </w:rPr>
        <w:t>force majeure and change of law.</w:t>
      </w:r>
      <w:r w:rsidRPr="00FC1D83">
        <w:rPr>
          <w:rStyle w:val="EndnoteReference"/>
          <w:lang w:val="en-GB"/>
        </w:rPr>
        <w:endnoteReference w:id="48"/>
      </w:r>
    </w:p>
    <w:p w14:paraId="26B78F28" w14:textId="77777777" w:rsidR="001817AA" w:rsidRPr="00FC1D83" w:rsidRDefault="001817AA" w:rsidP="008038E0">
      <w:pPr>
        <w:pStyle w:val="BodyTextMain"/>
        <w:rPr>
          <w:b/>
          <w:caps/>
          <w:lang w:val="en-GB"/>
        </w:rPr>
      </w:pPr>
    </w:p>
    <w:p w14:paraId="6AFBC945" w14:textId="204C8ECA" w:rsidR="001817AA" w:rsidRPr="00FC1D83" w:rsidRDefault="001817AA" w:rsidP="008038E0">
      <w:pPr>
        <w:pStyle w:val="BodyTextMain"/>
        <w:rPr>
          <w:b/>
          <w:caps/>
          <w:lang w:val="en-GB"/>
        </w:rPr>
      </w:pPr>
      <w:r w:rsidRPr="00FC1D83">
        <w:rPr>
          <w:lang w:val="en-GB"/>
        </w:rPr>
        <w:t>APTEL reversed</w:t>
      </w:r>
      <w:r>
        <w:rPr>
          <w:lang w:val="en-GB"/>
        </w:rPr>
        <w:t xml:space="preserve"> </w:t>
      </w:r>
      <w:r w:rsidRPr="00FC1D83">
        <w:rPr>
          <w:lang w:val="en-GB"/>
        </w:rPr>
        <w:t>CERC</w:t>
      </w:r>
      <w:r>
        <w:rPr>
          <w:lang w:val="en-GB"/>
        </w:rPr>
        <w:t>’s</w:t>
      </w:r>
      <w:r w:rsidRPr="00FC1D83">
        <w:rPr>
          <w:lang w:val="en-GB"/>
        </w:rPr>
        <w:t xml:space="preserve"> decision</w:t>
      </w:r>
      <w:r w:rsidR="000E048D">
        <w:rPr>
          <w:lang w:val="en-GB"/>
        </w:rPr>
        <w:t xml:space="preserve"> that </w:t>
      </w:r>
      <w:r w:rsidR="004001AC">
        <w:rPr>
          <w:lang w:val="en-GB"/>
        </w:rPr>
        <w:t xml:space="preserve">proposed that relief be provided </w:t>
      </w:r>
      <w:r w:rsidRPr="00FC1D83">
        <w:rPr>
          <w:lang w:val="en-GB"/>
        </w:rPr>
        <w:t xml:space="preserve">under section 79. It argued that </w:t>
      </w:r>
      <w:r>
        <w:rPr>
          <w:lang w:val="en-GB"/>
        </w:rPr>
        <w:t>the public interest</w:t>
      </w:r>
      <w:r w:rsidRPr="00FC1D83">
        <w:rPr>
          <w:lang w:val="en-GB"/>
        </w:rPr>
        <w:t xml:space="preserve"> clause could not be invoked once</w:t>
      </w:r>
      <w:r>
        <w:rPr>
          <w:lang w:val="en-GB"/>
        </w:rPr>
        <w:t xml:space="preserve"> the</w:t>
      </w:r>
      <w:r w:rsidRPr="00FC1D83">
        <w:rPr>
          <w:lang w:val="en-GB"/>
        </w:rPr>
        <w:t xml:space="preserve"> tariff </w:t>
      </w:r>
      <w:r>
        <w:rPr>
          <w:lang w:val="en-GB"/>
        </w:rPr>
        <w:t>had</w:t>
      </w:r>
      <w:r w:rsidRPr="00FC1D83">
        <w:rPr>
          <w:lang w:val="en-GB"/>
        </w:rPr>
        <w:t xml:space="preserve"> been competitively determined.</w:t>
      </w:r>
      <w:r w:rsidRPr="00FC1D83">
        <w:rPr>
          <w:rStyle w:val="EndnoteReference"/>
          <w:lang w:val="en-GB"/>
        </w:rPr>
        <w:endnoteReference w:id="49"/>
      </w:r>
      <w:r w:rsidRPr="00FC1D83">
        <w:rPr>
          <w:lang w:val="en-GB"/>
        </w:rPr>
        <w:t xml:space="preserve"> However, agreeing with CERC, APTEL did not view the </w:t>
      </w:r>
      <w:r>
        <w:rPr>
          <w:lang w:val="en-GB"/>
        </w:rPr>
        <w:t>change of law</w:t>
      </w:r>
      <w:r w:rsidRPr="00FC1D83">
        <w:rPr>
          <w:lang w:val="en-GB"/>
        </w:rPr>
        <w:t xml:space="preserve"> provisions to include changes in foreign law</w:t>
      </w:r>
      <w:r>
        <w:rPr>
          <w:lang w:val="en-GB"/>
        </w:rPr>
        <w:t>,</w:t>
      </w:r>
      <w:r w:rsidRPr="00FC1D83">
        <w:rPr>
          <w:lang w:val="en-GB"/>
        </w:rPr>
        <w:t xml:space="preserve"> and dismissed compensation under its purview. </w:t>
      </w:r>
      <w:r>
        <w:rPr>
          <w:lang w:val="en-GB"/>
        </w:rPr>
        <w:t>APTEL</w:t>
      </w:r>
      <w:r w:rsidRPr="00FC1D83">
        <w:rPr>
          <w:lang w:val="en-GB"/>
        </w:rPr>
        <w:t xml:space="preserve"> considered the change in Indonesian law as a case of </w:t>
      </w:r>
      <w:r>
        <w:rPr>
          <w:lang w:val="en-GB"/>
        </w:rPr>
        <w:t xml:space="preserve">force majeure, interpreting the force majeure </w:t>
      </w:r>
      <w:r w:rsidRPr="00FC1D83">
        <w:rPr>
          <w:lang w:val="en-GB"/>
        </w:rPr>
        <w:t xml:space="preserve">clauses broadly to argue that </w:t>
      </w:r>
      <w:r>
        <w:rPr>
          <w:lang w:val="en-GB"/>
        </w:rPr>
        <w:t>force majeure</w:t>
      </w:r>
      <w:r w:rsidRPr="00FC1D83">
        <w:rPr>
          <w:lang w:val="en-GB"/>
        </w:rPr>
        <w:t xml:space="preserve"> included all </w:t>
      </w:r>
      <w:r w:rsidRPr="00FC1D83">
        <w:rPr>
          <w:lang w:val="en-GB"/>
        </w:rPr>
        <w:lastRenderedPageBreak/>
        <w:t xml:space="preserve">aspects </w:t>
      </w:r>
      <w:r>
        <w:rPr>
          <w:lang w:val="en-GB"/>
        </w:rPr>
        <w:t>that</w:t>
      </w:r>
      <w:r w:rsidRPr="00FC1D83">
        <w:rPr>
          <w:lang w:val="en-GB"/>
        </w:rPr>
        <w:t xml:space="preserve"> </w:t>
      </w:r>
      <w:r>
        <w:rPr>
          <w:lang w:val="en-GB"/>
        </w:rPr>
        <w:t>frustrated</w:t>
      </w:r>
      <w:r w:rsidRPr="00FC1D83">
        <w:rPr>
          <w:lang w:val="en-GB"/>
        </w:rPr>
        <w:t xml:space="preserve"> the execution of the contract. </w:t>
      </w:r>
      <w:r>
        <w:rPr>
          <w:lang w:val="en-GB"/>
        </w:rPr>
        <w:t>APTEL</w:t>
      </w:r>
      <w:r w:rsidRPr="00FC1D83">
        <w:rPr>
          <w:lang w:val="en-GB"/>
        </w:rPr>
        <w:t xml:space="preserve"> remanded the case to CERC to determine the impact and the extent of </w:t>
      </w:r>
      <w:r>
        <w:rPr>
          <w:lang w:val="en-GB"/>
        </w:rPr>
        <w:t xml:space="preserve">the </w:t>
      </w:r>
      <w:r w:rsidRPr="00FC1D83">
        <w:rPr>
          <w:lang w:val="en-GB"/>
        </w:rPr>
        <w:t>compensatory tariff to be provided, considering this new interpretation.</w:t>
      </w:r>
      <w:r w:rsidRPr="00FC1D83">
        <w:rPr>
          <w:rStyle w:val="EndnoteReference"/>
          <w:lang w:val="en-GB"/>
        </w:rPr>
        <w:endnoteReference w:id="50"/>
      </w:r>
      <w:r w:rsidRPr="00FC1D83">
        <w:rPr>
          <w:lang w:val="en-GB"/>
        </w:rPr>
        <w:t xml:space="preserve"> CERC finalized its analysis in December 2016, providing relief to the extent of the difference between the coal price based on the </w:t>
      </w:r>
      <w:r>
        <w:rPr>
          <w:lang w:val="en-GB"/>
        </w:rPr>
        <w:t>coal sales agreements</w:t>
      </w:r>
      <w:r w:rsidRPr="00FC1D83">
        <w:rPr>
          <w:lang w:val="en-GB"/>
        </w:rPr>
        <w:t xml:space="preserve"> and </w:t>
      </w:r>
      <w:r>
        <w:rPr>
          <w:lang w:val="en-GB"/>
        </w:rPr>
        <w:t>the free-on-board</w:t>
      </w:r>
      <w:r w:rsidRPr="00FC1D83">
        <w:rPr>
          <w:lang w:val="en-GB"/>
        </w:rPr>
        <w:t xml:space="preserve"> price of coal ex-Indonesia (i.e., the benchmark price as per </w:t>
      </w:r>
      <w:r>
        <w:rPr>
          <w:lang w:val="en-GB"/>
        </w:rPr>
        <w:t xml:space="preserve">the </w:t>
      </w:r>
      <w:r w:rsidRPr="00FC1D83">
        <w:rPr>
          <w:lang w:val="en-GB"/>
        </w:rPr>
        <w:t xml:space="preserve">Indonesian index or the actual price paid for the purchase of similar quality coal, whichever </w:t>
      </w:r>
      <w:r>
        <w:rPr>
          <w:lang w:val="en-GB"/>
        </w:rPr>
        <w:t>was</w:t>
      </w:r>
      <w:r w:rsidRPr="00FC1D83">
        <w:rPr>
          <w:lang w:val="en-GB"/>
        </w:rPr>
        <w:t xml:space="preserve"> lower).</w:t>
      </w:r>
      <w:r w:rsidRPr="00FC1D83">
        <w:rPr>
          <w:rStyle w:val="EndnoteReference"/>
          <w:lang w:val="en-GB"/>
        </w:rPr>
        <w:endnoteReference w:id="51"/>
      </w:r>
      <w:r w:rsidRPr="00FC1D83">
        <w:rPr>
          <w:lang w:val="en-GB"/>
        </w:rPr>
        <w:t xml:space="preserve"> Experts were of the view that this compensation amount would be far less than what was provided earlier by CERC.</w:t>
      </w:r>
      <w:r w:rsidRPr="00FC1D83">
        <w:rPr>
          <w:rStyle w:val="EndnoteReference"/>
          <w:lang w:val="en-GB"/>
        </w:rPr>
        <w:endnoteReference w:id="52"/>
      </w:r>
      <w:r w:rsidRPr="00FC1D83">
        <w:rPr>
          <w:lang w:val="en-GB"/>
        </w:rPr>
        <w:t xml:space="preserve"> This judgment was put before the Supreme Court for ratification, </w:t>
      </w:r>
      <w:r>
        <w:rPr>
          <w:lang w:val="en-GB"/>
        </w:rPr>
        <w:t>with</w:t>
      </w:r>
      <w:r w:rsidRPr="00FC1D83">
        <w:rPr>
          <w:lang w:val="en-GB"/>
        </w:rPr>
        <w:t xml:space="preserve"> other similar cases awaiting a decision.</w:t>
      </w:r>
    </w:p>
    <w:p w14:paraId="586550CE" w14:textId="16D280E4" w:rsidR="001817AA" w:rsidRPr="00FC1D83" w:rsidRDefault="001817AA" w:rsidP="008038E0">
      <w:pPr>
        <w:pStyle w:val="BodyTextMain"/>
        <w:rPr>
          <w:color w:val="000000" w:themeColor="text1"/>
          <w:lang w:val="en-GB"/>
        </w:rPr>
      </w:pPr>
    </w:p>
    <w:p w14:paraId="24A7790E" w14:textId="77777777" w:rsidR="001817AA" w:rsidRPr="00FC1D83" w:rsidRDefault="001817AA" w:rsidP="008038E0">
      <w:pPr>
        <w:pStyle w:val="BodyTextMain"/>
        <w:rPr>
          <w:color w:val="000000" w:themeColor="text1"/>
          <w:lang w:val="en-GB"/>
        </w:rPr>
      </w:pPr>
    </w:p>
    <w:p w14:paraId="41D9C8AD" w14:textId="6A9DC714" w:rsidR="001817AA" w:rsidRPr="00FC1D83" w:rsidRDefault="001817AA" w:rsidP="00AA448C">
      <w:pPr>
        <w:pStyle w:val="Casehead1"/>
        <w:rPr>
          <w:lang w:val="en-GB"/>
        </w:rPr>
      </w:pPr>
      <w:r>
        <w:rPr>
          <w:lang w:val="en-GB"/>
        </w:rPr>
        <w:t xml:space="preserve">The Judgment </w:t>
      </w:r>
      <w:r w:rsidRPr="00FC1D83">
        <w:rPr>
          <w:lang w:val="en-GB"/>
        </w:rPr>
        <w:t>OF THE Supreme Court</w:t>
      </w:r>
    </w:p>
    <w:p w14:paraId="5AF46685" w14:textId="77777777" w:rsidR="001817AA" w:rsidRPr="00FC1D83" w:rsidRDefault="001817AA" w:rsidP="00AA448C">
      <w:pPr>
        <w:pStyle w:val="BodyTextMain"/>
        <w:rPr>
          <w:lang w:val="en-GB"/>
        </w:rPr>
      </w:pPr>
    </w:p>
    <w:p w14:paraId="15FBE731" w14:textId="79E83706" w:rsidR="001817AA" w:rsidRPr="00FC1D83" w:rsidRDefault="001817AA" w:rsidP="00AA448C">
      <w:pPr>
        <w:pStyle w:val="BodyTextMain"/>
        <w:rPr>
          <w:spacing w:val="-2"/>
          <w:lang w:val="en-GB"/>
        </w:rPr>
      </w:pPr>
      <w:r w:rsidRPr="00FC1D83">
        <w:rPr>
          <w:spacing w:val="-2"/>
          <w:lang w:val="en-GB"/>
        </w:rPr>
        <w:t xml:space="preserve">The Supreme Court explicitly looked into each of the aspects of public interest, force majeure, and change of law. In a departure from normal practice, the </w:t>
      </w:r>
      <w:r>
        <w:rPr>
          <w:spacing w:val="-2"/>
          <w:lang w:val="en-GB"/>
        </w:rPr>
        <w:t>attorney general</w:t>
      </w:r>
      <w:r w:rsidRPr="00FC1D83">
        <w:rPr>
          <w:spacing w:val="-2"/>
          <w:lang w:val="en-GB"/>
        </w:rPr>
        <w:t xml:space="preserve"> of India </w:t>
      </w:r>
      <w:proofErr w:type="spellStart"/>
      <w:r>
        <w:rPr>
          <w:i/>
          <w:iCs/>
          <w:spacing w:val="-2"/>
          <w:lang w:val="en-GB"/>
        </w:rPr>
        <w:t>suo</w:t>
      </w:r>
      <w:proofErr w:type="spellEnd"/>
      <w:r>
        <w:rPr>
          <w:i/>
          <w:iCs/>
          <w:spacing w:val="-2"/>
          <w:lang w:val="en-GB"/>
        </w:rPr>
        <w:t xml:space="preserve"> moto</w:t>
      </w:r>
      <w:r w:rsidRPr="00FC1D83">
        <w:rPr>
          <w:spacing w:val="-2"/>
          <w:lang w:val="en-GB"/>
        </w:rPr>
        <w:t xml:space="preserve"> appeared before the court on behalf of </w:t>
      </w:r>
      <w:r>
        <w:rPr>
          <w:spacing w:val="-2"/>
          <w:lang w:val="en-GB"/>
        </w:rPr>
        <w:t xml:space="preserve">the </w:t>
      </w:r>
      <w:r w:rsidRPr="00FC1D83">
        <w:rPr>
          <w:spacing w:val="-2"/>
          <w:lang w:val="en-GB"/>
        </w:rPr>
        <w:t>Union of India</w:t>
      </w:r>
      <w:r>
        <w:rPr>
          <w:spacing w:val="-2"/>
          <w:lang w:val="en-GB"/>
        </w:rPr>
        <w:t xml:space="preserve"> and conveyed that </w:t>
      </w:r>
      <w:r w:rsidRPr="00FC1D83">
        <w:rPr>
          <w:iCs/>
          <w:spacing w:val="-2"/>
          <w:lang w:val="en-GB"/>
        </w:rPr>
        <w:t xml:space="preserve">the electricity sector, having been privatized, </w:t>
      </w:r>
      <w:r>
        <w:rPr>
          <w:iCs/>
          <w:spacing w:val="-2"/>
          <w:lang w:val="en-GB"/>
        </w:rPr>
        <w:t>had</w:t>
      </w:r>
      <w:r w:rsidRPr="00FC1D83">
        <w:rPr>
          <w:iCs/>
          <w:spacing w:val="-2"/>
          <w:lang w:val="en-GB"/>
        </w:rPr>
        <w:t xml:space="preserve"> largely fulfilled the object sought to be achieved by the 2003 </w:t>
      </w:r>
      <w:r>
        <w:rPr>
          <w:iCs/>
          <w:spacing w:val="-2"/>
          <w:lang w:val="en-GB"/>
        </w:rPr>
        <w:t>act</w:t>
      </w:r>
      <w:r w:rsidRPr="00FC1D83">
        <w:rPr>
          <w:iCs/>
          <w:spacing w:val="-2"/>
          <w:lang w:val="en-GB"/>
        </w:rPr>
        <w:t xml:space="preserve">, which </w:t>
      </w:r>
      <w:r>
        <w:rPr>
          <w:iCs/>
          <w:spacing w:val="-2"/>
          <w:lang w:val="en-GB"/>
        </w:rPr>
        <w:t>was</w:t>
      </w:r>
      <w:r w:rsidRPr="00FC1D83">
        <w:rPr>
          <w:iCs/>
          <w:spacing w:val="-2"/>
          <w:lang w:val="en-GB"/>
        </w:rPr>
        <w:t xml:space="preserve"> that electricity generation, being </w:t>
      </w:r>
      <w:r>
        <w:rPr>
          <w:iCs/>
          <w:spacing w:val="-2"/>
          <w:lang w:val="en-GB"/>
        </w:rPr>
        <w:t>delicensed</w:t>
      </w:r>
      <w:r w:rsidRPr="00FC1D83">
        <w:rPr>
          <w:iCs/>
          <w:spacing w:val="-2"/>
          <w:lang w:val="en-GB"/>
        </w:rPr>
        <w:t>, should result in the production of far greater electricity than was earlier produced</w:t>
      </w:r>
      <w:r>
        <w:rPr>
          <w:iCs/>
          <w:spacing w:val="-2"/>
          <w:lang w:val="en-GB"/>
        </w:rPr>
        <w:t xml:space="preserve">. He urged </w:t>
      </w:r>
      <w:r w:rsidRPr="00FC1D83">
        <w:rPr>
          <w:spacing w:val="-2"/>
          <w:lang w:val="en-GB"/>
        </w:rPr>
        <w:t>the court</w:t>
      </w:r>
      <w:r w:rsidRPr="00FC1D83">
        <w:rPr>
          <w:iCs/>
          <w:spacing w:val="-2"/>
          <w:lang w:val="en-GB"/>
        </w:rPr>
        <w:t xml:space="preserve"> not to disturb the delicate balance </w:t>
      </w:r>
      <w:r>
        <w:rPr>
          <w:iCs/>
          <w:spacing w:val="-2"/>
          <w:lang w:val="en-GB"/>
        </w:rPr>
        <w:t xml:space="preserve">that the act </w:t>
      </w:r>
      <w:r w:rsidRPr="00FC1D83">
        <w:rPr>
          <w:iCs/>
          <w:spacing w:val="-2"/>
          <w:lang w:val="en-GB"/>
        </w:rPr>
        <w:t xml:space="preserve">sought to </w:t>
      </w:r>
      <w:r>
        <w:rPr>
          <w:iCs/>
          <w:spacing w:val="-2"/>
          <w:lang w:val="en-GB"/>
        </w:rPr>
        <w:t>achieve</w:t>
      </w:r>
      <w:r>
        <w:rPr>
          <w:spacing w:val="-2"/>
          <w:lang w:val="en-GB"/>
        </w:rPr>
        <w:t xml:space="preserve"> </w:t>
      </w:r>
      <w:r w:rsidR="000E048D">
        <w:rPr>
          <w:spacing w:val="-2"/>
          <w:lang w:val="en-GB"/>
        </w:rPr>
        <w:t xml:space="preserve">and has been able to successfully bring private investments into energy generation </w:t>
      </w:r>
      <w:r>
        <w:rPr>
          <w:spacing w:val="-2"/>
          <w:lang w:val="en-GB"/>
        </w:rPr>
        <w:t>(see Exhibit 6).</w:t>
      </w:r>
      <w:r w:rsidRPr="00FC1D83">
        <w:rPr>
          <w:rStyle w:val="EndnoteReference"/>
          <w:spacing w:val="-2"/>
          <w:lang w:val="en-GB"/>
        </w:rPr>
        <w:endnoteReference w:id="53"/>
      </w:r>
      <w:r w:rsidRPr="00FC1D83">
        <w:rPr>
          <w:spacing w:val="-2"/>
          <w:lang w:val="en-GB"/>
        </w:rPr>
        <w:t xml:space="preserve"> </w:t>
      </w:r>
    </w:p>
    <w:p w14:paraId="03DE4ABB" w14:textId="77777777" w:rsidR="001817AA" w:rsidRPr="00FC1D83" w:rsidRDefault="001817AA" w:rsidP="00AA448C">
      <w:pPr>
        <w:pStyle w:val="BodyTextMain"/>
        <w:rPr>
          <w:spacing w:val="-2"/>
          <w:lang w:val="en-GB"/>
        </w:rPr>
      </w:pPr>
    </w:p>
    <w:p w14:paraId="26FEBEF0" w14:textId="4DEAFAAF" w:rsidR="001817AA" w:rsidRPr="00FC1D83" w:rsidRDefault="001817AA" w:rsidP="00AA448C">
      <w:pPr>
        <w:pStyle w:val="BodyTextMain"/>
        <w:rPr>
          <w:spacing w:val="-2"/>
          <w:lang w:val="en-GB"/>
        </w:rPr>
      </w:pPr>
      <w:r w:rsidRPr="00FC1D83">
        <w:rPr>
          <w:spacing w:val="-2"/>
          <w:lang w:val="en-GB"/>
        </w:rPr>
        <w:t xml:space="preserve">The final judgment in the case was passed on April 11, 2017. The court argued that the Indonesian policy change did not alter the fundamental basis of the contract to warrant invoking of </w:t>
      </w:r>
      <w:r>
        <w:rPr>
          <w:spacing w:val="-2"/>
          <w:lang w:val="en-GB"/>
        </w:rPr>
        <w:t>force majeure</w:t>
      </w:r>
      <w:r w:rsidRPr="00FC1D83">
        <w:rPr>
          <w:spacing w:val="-2"/>
          <w:lang w:val="en-GB"/>
        </w:rPr>
        <w:t xml:space="preserve"> provisions. Alternative modes of performance were available to the power plants to fulfill their contractual obligations. </w:t>
      </w:r>
      <w:r>
        <w:rPr>
          <w:spacing w:val="-2"/>
          <w:lang w:val="en-GB"/>
        </w:rPr>
        <w:t>As</w:t>
      </w:r>
      <w:r w:rsidRPr="00FC1D83">
        <w:rPr>
          <w:spacing w:val="-2"/>
          <w:lang w:val="en-GB"/>
        </w:rPr>
        <w:t xml:space="preserve"> the contract, on the whole, did not get frustrated, the pleas for compensation on account of </w:t>
      </w:r>
      <w:r>
        <w:rPr>
          <w:spacing w:val="-2"/>
          <w:lang w:val="en-GB"/>
        </w:rPr>
        <w:t>force majeure</w:t>
      </w:r>
      <w:r w:rsidRPr="00FC1D83">
        <w:rPr>
          <w:spacing w:val="-2"/>
          <w:lang w:val="en-GB"/>
        </w:rPr>
        <w:t xml:space="preserve"> were disposed of, stating, </w:t>
      </w:r>
      <w:r>
        <w:rPr>
          <w:spacing w:val="-2"/>
          <w:lang w:val="en-GB"/>
        </w:rPr>
        <w:t>“</w:t>
      </w:r>
      <w:r w:rsidRPr="00FC1D83">
        <w:rPr>
          <w:iCs/>
          <w:spacing w:val="-2"/>
          <w:lang w:val="en-GB"/>
        </w:rPr>
        <w:t>changes in the cost of fuel, or the agreement becoming onerous to perform, are not treated as force majeure events under the PPA itself</w:t>
      </w:r>
      <w:r w:rsidRPr="00FC1D83">
        <w:rPr>
          <w:spacing w:val="-2"/>
          <w:lang w:val="en-GB"/>
        </w:rPr>
        <w:t>.</w:t>
      </w:r>
      <w:r>
        <w:rPr>
          <w:spacing w:val="-2"/>
          <w:lang w:val="en-GB"/>
        </w:rPr>
        <w:t>”</w:t>
      </w:r>
      <w:r w:rsidRPr="00FC1D83">
        <w:rPr>
          <w:rStyle w:val="EndnoteReference"/>
          <w:spacing w:val="-2"/>
          <w:lang w:val="en-GB"/>
        </w:rPr>
        <w:endnoteReference w:id="54"/>
      </w:r>
    </w:p>
    <w:p w14:paraId="15EFC92B" w14:textId="77777777" w:rsidR="001817AA" w:rsidRPr="00FC1D83" w:rsidRDefault="001817AA" w:rsidP="00AA448C">
      <w:pPr>
        <w:pStyle w:val="BodyTextMain"/>
        <w:rPr>
          <w:lang w:val="en-GB"/>
        </w:rPr>
      </w:pPr>
    </w:p>
    <w:p w14:paraId="2B053124" w14:textId="734440A7" w:rsidR="001817AA" w:rsidRPr="00DE2D9F" w:rsidRDefault="001817AA" w:rsidP="00AA448C">
      <w:pPr>
        <w:pStyle w:val="BodyTextMain"/>
        <w:rPr>
          <w:spacing w:val="-4"/>
          <w:lang w:val="en-GB"/>
        </w:rPr>
      </w:pPr>
      <w:r w:rsidRPr="00DE2D9F">
        <w:rPr>
          <w:spacing w:val="-4"/>
          <w:lang w:val="en-GB"/>
        </w:rPr>
        <w:t>In regard to compensation on account of change of law, the court argued that “</w:t>
      </w:r>
      <w:r w:rsidRPr="00DE2D9F">
        <w:rPr>
          <w:iCs/>
          <w:spacing w:val="-4"/>
          <w:lang w:val="en-GB"/>
        </w:rPr>
        <w:t>though change in Indonesian law would not qualify as a change in law under the guidelines read with the PPA, change in Indian law certainly would.</w:t>
      </w:r>
      <w:r w:rsidRPr="00DE2D9F">
        <w:rPr>
          <w:spacing w:val="-4"/>
          <w:lang w:val="en-GB"/>
        </w:rPr>
        <w:t>” And it remarked that “</w:t>
      </w:r>
      <w:r w:rsidRPr="00DE2D9F">
        <w:rPr>
          <w:iCs/>
          <w:spacing w:val="-4"/>
          <w:lang w:val="en-GB"/>
        </w:rPr>
        <w:t>in so far as the applicability of clause 13 to a change in Indian law is concerned, the respondents are on firm ground</w:t>
      </w:r>
      <w:r w:rsidRPr="00DE2D9F">
        <w:rPr>
          <w:spacing w:val="-4"/>
          <w:lang w:val="en-GB"/>
        </w:rPr>
        <w:t>.”</w:t>
      </w:r>
      <w:r w:rsidR="00B50CAD" w:rsidRPr="00DE2D9F">
        <w:rPr>
          <w:rStyle w:val="EndnoteReference"/>
          <w:spacing w:val="-4"/>
          <w:lang w:val="en-GB"/>
        </w:rPr>
        <w:endnoteReference w:id="55"/>
      </w:r>
      <w:r w:rsidRPr="00DE2D9F">
        <w:rPr>
          <w:spacing w:val="-4"/>
          <w:lang w:val="en-GB"/>
        </w:rPr>
        <w:t xml:space="preserve"> It went on to interpret a July 2013 change in Indian energy policy and another change in January 2016 to be valid grounds for providing compensatory tariff under change of law.</w:t>
      </w:r>
    </w:p>
    <w:p w14:paraId="013B069A" w14:textId="77777777" w:rsidR="001817AA" w:rsidRPr="00FC1D83" w:rsidRDefault="001817AA" w:rsidP="00AA448C">
      <w:pPr>
        <w:pStyle w:val="BodyTextMain"/>
        <w:rPr>
          <w:lang w:val="en-GB"/>
        </w:rPr>
      </w:pPr>
    </w:p>
    <w:p w14:paraId="5078F139" w14:textId="17EF7EF4" w:rsidR="001817AA" w:rsidRPr="00DE2D9F" w:rsidRDefault="001817AA" w:rsidP="00AA448C">
      <w:pPr>
        <w:pStyle w:val="BodyTextMain"/>
        <w:rPr>
          <w:spacing w:val="-4"/>
          <w:lang w:val="en-GB"/>
        </w:rPr>
      </w:pPr>
      <w:r w:rsidRPr="00DE2D9F">
        <w:rPr>
          <w:spacing w:val="-4"/>
          <w:lang w:val="en-GB"/>
        </w:rPr>
        <w:t xml:space="preserve">In conclusion, the court set aside the APTEL judgment and CERC orders for the compensatory tariff and directed CERC to </w:t>
      </w:r>
      <w:r w:rsidRPr="00DE2D9F">
        <w:rPr>
          <w:iCs/>
          <w:spacing w:val="-4"/>
          <w:lang w:val="en-GB"/>
        </w:rPr>
        <w:t>“go into the matter afresh and determine what relief should be granted to those power generators who fall within clause 13 of the PPA</w:t>
      </w:r>
      <w:r w:rsidRPr="00DE2D9F">
        <w:rPr>
          <w:spacing w:val="-4"/>
          <w:lang w:val="en-GB"/>
        </w:rPr>
        <w:t>.”</w:t>
      </w:r>
      <w:r w:rsidRPr="00DE2D9F">
        <w:rPr>
          <w:rStyle w:val="EndnoteReference"/>
          <w:spacing w:val="-4"/>
          <w:lang w:val="en-GB"/>
        </w:rPr>
        <w:endnoteReference w:id="56"/>
      </w:r>
      <w:r w:rsidRPr="00DE2D9F">
        <w:rPr>
          <w:spacing w:val="-4"/>
          <w:lang w:val="en-GB"/>
        </w:rPr>
        <w:t xml:space="preserve"> As the relief would now be applicable from 2013 and 2016, and not from 2011 (when the Indonesian policy change took place), this relief would be much lower than initially computed.</w:t>
      </w:r>
    </w:p>
    <w:p w14:paraId="4ACB0926" w14:textId="77777777" w:rsidR="001817AA" w:rsidRPr="00FC1D83" w:rsidRDefault="001817AA" w:rsidP="00AA448C">
      <w:pPr>
        <w:pStyle w:val="BodyTextMain"/>
        <w:rPr>
          <w:lang w:val="en-GB"/>
        </w:rPr>
      </w:pPr>
    </w:p>
    <w:p w14:paraId="6A2ADC41" w14:textId="0D2CD752" w:rsidR="001817AA" w:rsidRPr="00FC1D83" w:rsidRDefault="001817AA" w:rsidP="00D84F1E">
      <w:pPr>
        <w:pStyle w:val="BodyTextMain"/>
        <w:rPr>
          <w:lang w:val="en-GB"/>
        </w:rPr>
      </w:pPr>
      <w:r w:rsidRPr="00FC1D83">
        <w:rPr>
          <w:lang w:val="en-GB"/>
        </w:rPr>
        <w:t xml:space="preserve">The Supreme Court </w:t>
      </w:r>
      <w:r>
        <w:rPr>
          <w:lang w:val="en-GB"/>
        </w:rPr>
        <w:t>judgment</w:t>
      </w:r>
      <w:r w:rsidRPr="00FC1D83">
        <w:rPr>
          <w:lang w:val="en-GB"/>
        </w:rPr>
        <w:t xml:space="preserve"> was viewed as a victory by many</w:t>
      </w:r>
      <w:r>
        <w:rPr>
          <w:lang w:val="en-GB"/>
        </w:rPr>
        <w:t>.</w:t>
      </w:r>
      <w:r w:rsidRPr="00FC1D83">
        <w:rPr>
          <w:rStyle w:val="EndnoteReference"/>
          <w:lang w:val="en-GB"/>
        </w:rPr>
        <w:endnoteReference w:id="57"/>
      </w:r>
    </w:p>
    <w:p w14:paraId="06B48B8A" w14:textId="1B14D945" w:rsidR="00B50CAD" w:rsidRPr="003649E7" w:rsidRDefault="00B50CAD" w:rsidP="00D84F1E">
      <w:pPr>
        <w:pStyle w:val="Casehead1"/>
        <w:rPr>
          <w:rFonts w:ascii="Times New Roman" w:hAnsi="Times New Roman" w:cs="Times New Roman"/>
          <w:b w:val="0"/>
          <w:sz w:val="22"/>
          <w:szCs w:val="22"/>
          <w:lang w:val="en-GB"/>
        </w:rPr>
      </w:pPr>
    </w:p>
    <w:p w14:paraId="09DFED55" w14:textId="77777777" w:rsidR="003649E7" w:rsidRPr="003649E7" w:rsidRDefault="003649E7" w:rsidP="00D84F1E">
      <w:pPr>
        <w:pStyle w:val="Casehead1"/>
        <w:rPr>
          <w:rFonts w:ascii="Times New Roman" w:hAnsi="Times New Roman" w:cs="Times New Roman"/>
          <w:b w:val="0"/>
          <w:sz w:val="22"/>
          <w:szCs w:val="22"/>
          <w:lang w:val="en-GB"/>
        </w:rPr>
      </w:pPr>
    </w:p>
    <w:p w14:paraId="29173A31" w14:textId="1197C6DB" w:rsidR="001817AA" w:rsidRPr="00FC1D83" w:rsidRDefault="001817AA" w:rsidP="00D84F1E">
      <w:pPr>
        <w:pStyle w:val="Casehead1"/>
        <w:rPr>
          <w:lang w:val="en-GB"/>
        </w:rPr>
      </w:pPr>
      <w:r w:rsidRPr="00FC1D83">
        <w:rPr>
          <w:lang w:val="en-GB"/>
        </w:rPr>
        <w:t>OPTIONS BEFORE TATA POWER</w:t>
      </w:r>
    </w:p>
    <w:p w14:paraId="7B203939" w14:textId="77777777" w:rsidR="001817AA" w:rsidRPr="00FC1D83" w:rsidRDefault="001817AA" w:rsidP="00D84F1E">
      <w:pPr>
        <w:pStyle w:val="BodyTextMain"/>
        <w:rPr>
          <w:lang w:val="en-GB"/>
        </w:rPr>
      </w:pPr>
    </w:p>
    <w:p w14:paraId="1E402E3B" w14:textId="3C636641" w:rsidR="001817AA" w:rsidRPr="00FC1D83" w:rsidRDefault="001817AA" w:rsidP="00D84F1E">
      <w:pPr>
        <w:pStyle w:val="BodyTextMain"/>
        <w:rPr>
          <w:lang w:val="en-GB"/>
        </w:rPr>
      </w:pPr>
      <w:r w:rsidRPr="00FC1D83">
        <w:rPr>
          <w:lang w:val="en-GB"/>
        </w:rPr>
        <w:t xml:space="preserve">It was a desperate situation for Tata Power’s Mundra power plant and for the other Indonesian coal-based power plants. Their request for a compensatory tariff had been heard and dismissed at the highest level. The decision </w:t>
      </w:r>
      <w:r>
        <w:rPr>
          <w:lang w:val="en-GB"/>
        </w:rPr>
        <w:t>of</w:t>
      </w:r>
      <w:r w:rsidRPr="00FC1D83">
        <w:rPr>
          <w:lang w:val="en-GB"/>
        </w:rPr>
        <w:t xml:space="preserve"> what to do next had to be </w:t>
      </w:r>
      <w:r>
        <w:rPr>
          <w:lang w:val="en-GB"/>
        </w:rPr>
        <w:t>made</w:t>
      </w:r>
      <w:r w:rsidRPr="00FC1D83">
        <w:rPr>
          <w:lang w:val="en-GB"/>
        </w:rPr>
        <w:t>.</w:t>
      </w:r>
    </w:p>
    <w:p w14:paraId="1F3A3DEA" w14:textId="77777777" w:rsidR="001817AA" w:rsidRPr="00FC1D83" w:rsidRDefault="001817AA" w:rsidP="00D84F1E">
      <w:pPr>
        <w:pStyle w:val="BodyTextMain"/>
        <w:rPr>
          <w:lang w:val="en-GB"/>
        </w:rPr>
      </w:pPr>
    </w:p>
    <w:p w14:paraId="1866017E" w14:textId="06014B46" w:rsidR="001817AA" w:rsidRPr="00FC1D83" w:rsidRDefault="001817AA" w:rsidP="00D84F1E">
      <w:pPr>
        <w:pStyle w:val="BodyTextMain"/>
        <w:rPr>
          <w:lang w:val="en-GB"/>
        </w:rPr>
      </w:pPr>
      <w:r w:rsidRPr="00FC1D83">
        <w:rPr>
          <w:lang w:val="en-GB"/>
        </w:rPr>
        <w:t xml:space="preserve">A difficult option </w:t>
      </w:r>
      <w:r>
        <w:rPr>
          <w:lang w:val="en-GB"/>
        </w:rPr>
        <w:t>was to do</w:t>
      </w:r>
      <w:r w:rsidRPr="00FC1D83">
        <w:rPr>
          <w:lang w:val="en-GB"/>
        </w:rPr>
        <w:t xml:space="preserve"> nothing. A strategic decision had to be made </w:t>
      </w:r>
      <w:r>
        <w:rPr>
          <w:lang w:val="en-GB"/>
        </w:rPr>
        <w:t>to account</w:t>
      </w:r>
      <w:r w:rsidRPr="00FC1D83">
        <w:rPr>
          <w:lang w:val="en-GB"/>
        </w:rPr>
        <w:t xml:space="preserve"> for the huge accumulated losses (</w:t>
      </w:r>
      <w:r>
        <w:rPr>
          <w:lang w:val="en-GB"/>
        </w:rPr>
        <w:t xml:space="preserve">see </w:t>
      </w:r>
      <w:r w:rsidRPr="00FC1D83">
        <w:rPr>
          <w:lang w:val="en-GB"/>
        </w:rPr>
        <w:t xml:space="preserve">Exhibit </w:t>
      </w:r>
      <w:r>
        <w:rPr>
          <w:lang w:val="en-GB"/>
        </w:rPr>
        <w:t>5)</w:t>
      </w:r>
      <w:r w:rsidRPr="00FC1D83">
        <w:rPr>
          <w:lang w:val="en-GB"/>
        </w:rPr>
        <w:t>. With continued losses anticipated over the project</w:t>
      </w:r>
      <w:r>
        <w:rPr>
          <w:lang w:val="en-GB"/>
        </w:rPr>
        <w:t>’</w:t>
      </w:r>
      <w:r w:rsidRPr="00FC1D83">
        <w:rPr>
          <w:lang w:val="en-GB"/>
        </w:rPr>
        <w:t xml:space="preserve">s </w:t>
      </w:r>
      <w:r>
        <w:rPr>
          <w:lang w:val="en-GB"/>
        </w:rPr>
        <w:t>life cycle</w:t>
      </w:r>
      <w:r w:rsidRPr="00FC1D83">
        <w:rPr>
          <w:lang w:val="en-GB"/>
        </w:rPr>
        <w:t xml:space="preserve">, long-term sustenance was doubtful. Operationally, the plant was fast exhausting its coal reserves and would soon </w:t>
      </w:r>
      <w:r w:rsidRPr="00FC1D83">
        <w:rPr>
          <w:lang w:val="en-GB"/>
        </w:rPr>
        <w:lastRenderedPageBreak/>
        <w:t xml:space="preserve">run out of cash. Reducing plant output would bring normative plant availability below 80 </w:t>
      </w:r>
      <w:r>
        <w:rPr>
          <w:lang w:val="en-GB"/>
        </w:rPr>
        <w:t xml:space="preserve">per cent </w:t>
      </w:r>
      <w:r w:rsidRPr="00FC1D83">
        <w:rPr>
          <w:lang w:val="en-GB"/>
        </w:rPr>
        <w:t xml:space="preserve">and attract penalties from the power procurers. This would also attract the ire of the government, as the governments of five states would have to purchase power at </w:t>
      </w:r>
      <w:r>
        <w:rPr>
          <w:lang w:val="en-GB"/>
        </w:rPr>
        <w:t xml:space="preserve">rates that were </w:t>
      </w:r>
      <w:r w:rsidRPr="00FC1D83">
        <w:rPr>
          <w:lang w:val="en-GB"/>
        </w:rPr>
        <w:t>50</w:t>
      </w:r>
      <w:r>
        <w:rPr>
          <w:lang w:val="en-GB"/>
        </w:rPr>
        <w:t xml:space="preserve"> to </w:t>
      </w:r>
      <w:r w:rsidRPr="00FC1D83">
        <w:rPr>
          <w:lang w:val="en-GB"/>
        </w:rPr>
        <w:t>60</w:t>
      </w:r>
      <w:r>
        <w:rPr>
          <w:lang w:val="en-GB"/>
        </w:rPr>
        <w:t xml:space="preserve"> per cent</w:t>
      </w:r>
      <w:r w:rsidRPr="00FC1D83">
        <w:rPr>
          <w:lang w:val="en-GB"/>
        </w:rPr>
        <w:t xml:space="preserve"> higher to meet their industrial, commercial, and domestic power needs.</w:t>
      </w:r>
    </w:p>
    <w:p w14:paraId="1C53FD31" w14:textId="77777777" w:rsidR="001817AA" w:rsidRPr="00FC1D83" w:rsidRDefault="001817AA" w:rsidP="00D84F1E">
      <w:pPr>
        <w:pStyle w:val="BodyTextMain"/>
        <w:rPr>
          <w:lang w:val="en-GB"/>
        </w:rPr>
      </w:pPr>
    </w:p>
    <w:p w14:paraId="5D25000A" w14:textId="2CF8A3DB" w:rsidR="001817AA" w:rsidRPr="00DE2D9F" w:rsidRDefault="001817AA" w:rsidP="00D84F1E">
      <w:pPr>
        <w:pStyle w:val="BodyTextMain"/>
        <w:rPr>
          <w:spacing w:val="-2"/>
          <w:lang w:val="en-GB"/>
        </w:rPr>
      </w:pPr>
      <w:r w:rsidRPr="00DE2D9F">
        <w:rPr>
          <w:spacing w:val="-2"/>
          <w:lang w:val="en-GB"/>
        </w:rPr>
        <w:t>Another difficult option was to temporarily or permanently shut down the plant. Any kind of shutting down would again displease the governments. Further, with no revenue stream, debt servicing would become problematic. Moreover, a plant that was temporarily shut down would still require expenses in wages and plant upkeep, with the plant’s generation capacity lost forever. Even in the future, if the plant were recommissioned, it would involve extra costs. The upsides of shutting down the plant in reducing operational losses were unlikely to be large due to the annuity nature of the concessions. Permanently shutting down the plant would imply declaring bankruptcy, in which case, the losses incurred thus far would become permanent, and lenders would be required to take a cut. With most of the lenders being public-sector banks, the outstanding debt would be added to the list of non-performing assets, and public money would be at risk. The problems were most serious for the state of Gujarat, which had become power surplus with the commissioning of Indonesian coal-based power plants. These plants were supplying 48 per cent of the state’s electricity requirement.</w:t>
      </w:r>
      <w:r w:rsidRPr="00DE2D9F">
        <w:rPr>
          <w:rStyle w:val="EndnoteReference"/>
          <w:color w:val="000000"/>
          <w:spacing w:val="-2"/>
          <w:lang w:val="en-GB"/>
        </w:rPr>
        <w:endnoteReference w:id="58"/>
      </w:r>
      <w:r w:rsidRPr="00DE2D9F">
        <w:rPr>
          <w:spacing w:val="-2"/>
          <w:lang w:val="en-GB"/>
        </w:rPr>
        <w:t xml:space="preserve"> On becoming power surplus, the state had stopped planning, and setting up new power plants had become a low priority. No new plants were expected to get commissioned in the near future.</w:t>
      </w:r>
    </w:p>
    <w:p w14:paraId="6F7F6528" w14:textId="77777777" w:rsidR="001817AA" w:rsidRPr="00FC1D83" w:rsidRDefault="001817AA" w:rsidP="00D84F1E">
      <w:pPr>
        <w:pStyle w:val="BodyTextMain"/>
        <w:rPr>
          <w:lang w:val="en-GB"/>
        </w:rPr>
      </w:pPr>
    </w:p>
    <w:p w14:paraId="0558B475" w14:textId="59B2C865" w:rsidR="00AA448C" w:rsidRPr="00FC1D83" w:rsidRDefault="001817AA" w:rsidP="00D84F1E">
      <w:pPr>
        <w:pStyle w:val="BodyTextMain"/>
        <w:rPr>
          <w:lang w:val="en-GB"/>
        </w:rPr>
      </w:pPr>
      <w:r w:rsidRPr="00FC1D83">
        <w:rPr>
          <w:lang w:val="en-GB"/>
        </w:rPr>
        <w:t xml:space="preserve">The senior management of Tata Power also had to account for the opportunities unfolding due to the opening of the Indian electricity sector and growth in the </w:t>
      </w:r>
      <w:r>
        <w:rPr>
          <w:lang w:val="en-GB"/>
        </w:rPr>
        <w:t>renewables</w:t>
      </w:r>
      <w:r w:rsidRPr="00FC1D83">
        <w:rPr>
          <w:lang w:val="en-GB"/>
        </w:rPr>
        <w:t xml:space="preserve"> sector (</w:t>
      </w:r>
      <w:r>
        <w:rPr>
          <w:lang w:val="en-GB"/>
        </w:rPr>
        <w:t>see Exhibit 7)</w:t>
      </w:r>
      <w:r w:rsidRPr="00FC1D83">
        <w:rPr>
          <w:lang w:val="en-GB"/>
        </w:rPr>
        <w:t xml:space="preserve">. Private </w:t>
      </w:r>
      <w:r>
        <w:rPr>
          <w:lang w:val="en-GB"/>
        </w:rPr>
        <w:t>power-generation</w:t>
      </w:r>
      <w:r w:rsidRPr="00FC1D83">
        <w:rPr>
          <w:lang w:val="en-GB"/>
        </w:rPr>
        <w:t xml:space="preserve"> capacity was continuously increasing, and new opportunities were emerging in renewables</w:t>
      </w:r>
      <w:r>
        <w:rPr>
          <w:lang w:val="en-GB"/>
        </w:rPr>
        <w:t xml:space="preserve"> and in the</w:t>
      </w:r>
      <w:r w:rsidRPr="00FC1D83">
        <w:rPr>
          <w:lang w:val="en-GB"/>
        </w:rPr>
        <w:t xml:space="preserve"> transmission and distribution of power. All were seeking active private investments. These sectors provided huge growth opportunities for private players like Tata Power, for whom</w:t>
      </w:r>
      <w:r w:rsidR="00136332">
        <w:rPr>
          <w:lang w:val="en-GB"/>
        </w:rPr>
        <w:t xml:space="preserve"> the electricity sector (i.e., generation, transmission, and distribution)</w:t>
      </w:r>
      <w:r w:rsidRPr="00FC1D83">
        <w:rPr>
          <w:lang w:val="en-GB"/>
        </w:rPr>
        <w:t xml:space="preserve"> was the core sector.</w:t>
      </w:r>
      <w:r w:rsidRPr="00FC1D83">
        <w:rPr>
          <w:rStyle w:val="EndnoteReference"/>
          <w:color w:val="000000"/>
          <w:lang w:val="en-GB"/>
        </w:rPr>
        <w:endnoteReference w:id="59"/>
      </w:r>
      <w:r w:rsidRPr="00FC1D83">
        <w:rPr>
          <w:lang w:val="en-GB"/>
        </w:rPr>
        <w:t xml:space="preserve"> </w:t>
      </w:r>
      <w:r w:rsidR="003F01CF">
        <w:rPr>
          <w:lang w:val="en-GB"/>
        </w:rPr>
        <w:t>In this case, coercive</w:t>
      </w:r>
      <w:r w:rsidR="00AA448C" w:rsidRPr="00FC1D83">
        <w:rPr>
          <w:lang w:val="en-GB"/>
        </w:rPr>
        <w:t xml:space="preserve"> or rash action </w:t>
      </w:r>
      <w:r w:rsidR="00274049">
        <w:rPr>
          <w:lang w:val="en-GB"/>
        </w:rPr>
        <w:t xml:space="preserve">taken </w:t>
      </w:r>
      <w:r w:rsidR="00AA448C" w:rsidRPr="00FC1D83">
        <w:rPr>
          <w:lang w:val="en-GB"/>
        </w:rPr>
        <w:t>by Tata Power</w:t>
      </w:r>
      <w:r w:rsidR="00461F4F">
        <w:rPr>
          <w:lang w:val="en-GB"/>
        </w:rPr>
        <w:t xml:space="preserve"> </w:t>
      </w:r>
      <w:r w:rsidR="00AA448C" w:rsidRPr="00FC1D83">
        <w:rPr>
          <w:lang w:val="en-GB"/>
        </w:rPr>
        <w:t xml:space="preserve">would hurt </w:t>
      </w:r>
      <w:r w:rsidR="00144C97">
        <w:rPr>
          <w:lang w:val="en-GB"/>
        </w:rPr>
        <w:t>its</w:t>
      </w:r>
      <w:r w:rsidR="00144C97" w:rsidRPr="00FC1D83">
        <w:rPr>
          <w:lang w:val="en-GB"/>
        </w:rPr>
        <w:t xml:space="preserve"> </w:t>
      </w:r>
      <w:r w:rsidR="00AA448C" w:rsidRPr="00FC1D83">
        <w:rPr>
          <w:lang w:val="en-GB"/>
        </w:rPr>
        <w:t>relationships with the government and likely compromise both existing business lines and future opportunities.</w:t>
      </w:r>
    </w:p>
    <w:p w14:paraId="370FA8F9" w14:textId="77777777" w:rsidR="00AA448C" w:rsidRPr="00FC1D83" w:rsidRDefault="00AA448C" w:rsidP="00D84F1E">
      <w:pPr>
        <w:pStyle w:val="BodyTextMain"/>
        <w:rPr>
          <w:lang w:val="en-GB"/>
        </w:rPr>
      </w:pPr>
    </w:p>
    <w:p w14:paraId="6ED22255" w14:textId="675E3DE7" w:rsidR="00AA448C" w:rsidRPr="00DE2D9F" w:rsidRDefault="00AA448C" w:rsidP="00D84F1E">
      <w:pPr>
        <w:pStyle w:val="BodyTextMain"/>
        <w:rPr>
          <w:spacing w:val="-4"/>
          <w:lang w:val="en-GB"/>
        </w:rPr>
      </w:pPr>
      <w:r w:rsidRPr="00DE2D9F">
        <w:rPr>
          <w:spacing w:val="-4"/>
          <w:lang w:val="en-GB"/>
        </w:rPr>
        <w:t xml:space="preserve">The management of Tata Power </w:t>
      </w:r>
      <w:r w:rsidR="00722FF8" w:rsidRPr="00DE2D9F">
        <w:rPr>
          <w:spacing w:val="-4"/>
          <w:lang w:val="en-GB"/>
        </w:rPr>
        <w:t xml:space="preserve">was left with </w:t>
      </w:r>
      <w:r w:rsidRPr="00DE2D9F">
        <w:rPr>
          <w:spacing w:val="-4"/>
          <w:lang w:val="en-GB"/>
        </w:rPr>
        <w:t xml:space="preserve">a decision </w:t>
      </w:r>
      <w:r w:rsidR="00722FF8" w:rsidRPr="00DE2D9F">
        <w:rPr>
          <w:spacing w:val="-4"/>
          <w:lang w:val="en-GB"/>
        </w:rPr>
        <w:t xml:space="preserve">to take on </w:t>
      </w:r>
      <w:r w:rsidRPr="00DE2D9F">
        <w:rPr>
          <w:spacing w:val="-4"/>
          <w:lang w:val="en-GB"/>
        </w:rPr>
        <w:t xml:space="preserve">CGPL, a bleeding asset. While </w:t>
      </w:r>
      <w:r w:rsidR="00C12F6C" w:rsidRPr="00DE2D9F">
        <w:rPr>
          <w:spacing w:val="-4"/>
          <w:lang w:val="en-GB"/>
        </w:rPr>
        <w:t xml:space="preserve">it </w:t>
      </w:r>
      <w:r w:rsidRPr="00DE2D9F">
        <w:rPr>
          <w:spacing w:val="-4"/>
          <w:lang w:val="en-GB"/>
        </w:rPr>
        <w:t>had offered 50</w:t>
      </w:r>
      <w:r w:rsidR="00302AB1" w:rsidRPr="00DE2D9F">
        <w:rPr>
          <w:spacing w:val="-4"/>
          <w:lang w:val="en-GB"/>
        </w:rPr>
        <w:t xml:space="preserve"> </w:t>
      </w:r>
      <w:r w:rsidR="00C12F6C" w:rsidRPr="00DE2D9F">
        <w:rPr>
          <w:spacing w:val="-4"/>
          <w:lang w:val="en-GB"/>
        </w:rPr>
        <w:t xml:space="preserve">per cent </w:t>
      </w:r>
      <w:r w:rsidRPr="00DE2D9F">
        <w:rPr>
          <w:spacing w:val="-4"/>
          <w:lang w:val="en-GB"/>
        </w:rPr>
        <w:t xml:space="preserve">of the plant to the government </w:t>
      </w:r>
      <w:r w:rsidR="00C12F6C" w:rsidRPr="00DE2D9F">
        <w:rPr>
          <w:spacing w:val="-4"/>
          <w:lang w:val="en-GB"/>
        </w:rPr>
        <w:t xml:space="preserve">for </w:t>
      </w:r>
      <w:r w:rsidRPr="00DE2D9F">
        <w:rPr>
          <w:bCs/>
          <w:spacing w:val="-4"/>
          <w:lang w:val="en-GB"/>
        </w:rPr>
        <w:t>₹</w:t>
      </w:r>
      <w:r w:rsidRPr="00DE2D9F">
        <w:rPr>
          <w:spacing w:val="-4"/>
          <w:lang w:val="en-GB"/>
        </w:rPr>
        <w:t xml:space="preserve">1, the government was unlikely to respond, as it would not take </w:t>
      </w:r>
      <w:r w:rsidR="00173FE3" w:rsidRPr="00DE2D9F">
        <w:rPr>
          <w:spacing w:val="-4"/>
          <w:lang w:val="en-GB"/>
        </w:rPr>
        <w:t xml:space="preserve">on </w:t>
      </w:r>
      <w:r w:rsidRPr="00DE2D9F">
        <w:rPr>
          <w:spacing w:val="-4"/>
          <w:lang w:val="en-GB"/>
        </w:rPr>
        <w:t xml:space="preserve">a bleeding asset. </w:t>
      </w:r>
      <w:r w:rsidR="002C4ECE" w:rsidRPr="00DE2D9F">
        <w:rPr>
          <w:spacing w:val="-4"/>
          <w:lang w:val="en-GB"/>
        </w:rPr>
        <w:t>Further</w:t>
      </w:r>
      <w:r w:rsidRPr="00DE2D9F">
        <w:rPr>
          <w:spacing w:val="-4"/>
          <w:lang w:val="en-GB"/>
        </w:rPr>
        <w:t xml:space="preserve">, the offer </w:t>
      </w:r>
      <w:r w:rsidR="004D5A62" w:rsidRPr="00DE2D9F">
        <w:rPr>
          <w:spacing w:val="-4"/>
          <w:lang w:val="en-GB"/>
        </w:rPr>
        <w:t xml:space="preserve">did </w:t>
      </w:r>
      <w:r w:rsidRPr="00DE2D9F">
        <w:rPr>
          <w:spacing w:val="-4"/>
          <w:lang w:val="en-GB"/>
        </w:rPr>
        <w:t xml:space="preserve">little more than </w:t>
      </w:r>
      <w:r w:rsidR="004D5A62" w:rsidRPr="00DE2D9F">
        <w:rPr>
          <w:spacing w:val="-4"/>
          <w:lang w:val="en-GB"/>
        </w:rPr>
        <w:t>signal</w:t>
      </w:r>
      <w:r w:rsidRPr="00DE2D9F">
        <w:rPr>
          <w:spacing w:val="-4"/>
          <w:lang w:val="en-GB"/>
        </w:rPr>
        <w:t xml:space="preserve"> the severity of the problems faced by Tata Power</w:t>
      </w:r>
      <w:r w:rsidR="00722FF8" w:rsidRPr="00DE2D9F">
        <w:rPr>
          <w:spacing w:val="-4"/>
          <w:lang w:val="en-GB"/>
        </w:rPr>
        <w:t>.</w:t>
      </w:r>
    </w:p>
    <w:p w14:paraId="0E7C1AD5" w14:textId="77777777" w:rsidR="00AA448C" w:rsidRPr="00FC1D83" w:rsidRDefault="00AA448C" w:rsidP="00D84F1E">
      <w:pPr>
        <w:pStyle w:val="BodyTextMain"/>
        <w:rPr>
          <w:lang w:val="en-GB"/>
        </w:rPr>
      </w:pPr>
    </w:p>
    <w:p w14:paraId="4A1E0BE9" w14:textId="59A0C98E" w:rsidR="00AA448C" w:rsidRPr="00FC1D83" w:rsidRDefault="00AA448C" w:rsidP="00D84F1E">
      <w:pPr>
        <w:pStyle w:val="BodyTextMain"/>
        <w:rPr>
          <w:lang w:val="en-GB"/>
        </w:rPr>
      </w:pPr>
      <w:r w:rsidRPr="00FC1D83">
        <w:rPr>
          <w:lang w:val="en-GB"/>
        </w:rPr>
        <w:t xml:space="preserve">The management had to decide whether to continue making losses or shut down the plant, with </w:t>
      </w:r>
      <w:r w:rsidR="00C27029" w:rsidRPr="00FC1D83">
        <w:rPr>
          <w:lang w:val="en-GB"/>
        </w:rPr>
        <w:t xml:space="preserve">few </w:t>
      </w:r>
      <w:r w:rsidRPr="00FC1D83">
        <w:rPr>
          <w:lang w:val="en-GB"/>
        </w:rPr>
        <w:t>other options in sight.</w:t>
      </w:r>
    </w:p>
    <w:p w14:paraId="3C5429FA" w14:textId="77777777" w:rsidR="00C02112" w:rsidRPr="00FC1D83" w:rsidRDefault="00C02112">
      <w:pPr>
        <w:spacing w:after="200" w:line="276" w:lineRule="auto"/>
        <w:rPr>
          <w:rFonts w:ascii="Arial" w:hAnsi="Arial" w:cs="Arial"/>
          <w:b/>
          <w:caps/>
          <w:lang w:val="en-GB"/>
        </w:rPr>
      </w:pPr>
      <w:r w:rsidRPr="00FC1D83">
        <w:rPr>
          <w:lang w:val="en-GB"/>
        </w:rPr>
        <w:br w:type="page"/>
      </w:r>
    </w:p>
    <w:p w14:paraId="19550C59" w14:textId="12CC8C9C" w:rsidR="00302AB1" w:rsidRPr="00E0483F" w:rsidRDefault="00302AB1" w:rsidP="00DA47EC">
      <w:pPr>
        <w:pStyle w:val="ExhibitHeading"/>
      </w:pPr>
      <w:r w:rsidRPr="00E0483F">
        <w:lastRenderedPageBreak/>
        <w:t xml:space="preserve">Exhibit 1: </w:t>
      </w:r>
      <w:r w:rsidR="00400C47" w:rsidRPr="00E0483F">
        <w:t xml:space="preserve">ELECTRICITY </w:t>
      </w:r>
      <w:r w:rsidR="00125658" w:rsidRPr="00E0483F">
        <w:t xml:space="preserve">Deficit </w:t>
      </w:r>
      <w:r w:rsidR="00400C47" w:rsidRPr="00E0483F">
        <w:t>IN INDIA</w:t>
      </w:r>
      <w:r w:rsidR="00751076" w:rsidRPr="00E0483F">
        <w:t xml:space="preserve">, </w:t>
      </w:r>
      <w:r w:rsidR="00400C47" w:rsidRPr="00E0483F">
        <w:t>HISTORICAL TRENDS</w:t>
      </w:r>
    </w:p>
    <w:p w14:paraId="6EC7716B" w14:textId="77777777" w:rsidR="00302AB1" w:rsidRPr="00FC1D83" w:rsidRDefault="00302AB1" w:rsidP="00302AB1">
      <w:pPr>
        <w:pStyle w:val="ExhibitHeading"/>
        <w:rPr>
          <w:lang w:val="en-GB"/>
        </w:rPr>
      </w:pPr>
    </w:p>
    <w:p w14:paraId="745713D3" w14:textId="66A2D7FF" w:rsidR="00302AB1" w:rsidRPr="00FC1D83" w:rsidRDefault="00260E93" w:rsidP="00302AB1">
      <w:pPr>
        <w:rPr>
          <w:lang w:val="en-GB"/>
        </w:rPr>
      </w:pPr>
      <w:r>
        <w:rPr>
          <w:noProof/>
        </w:rPr>
        <w:drawing>
          <wp:inline distT="0" distB="0" distL="0" distR="0" wp14:anchorId="56C8320D" wp14:editId="3C9BFFCB">
            <wp:extent cx="5943600" cy="3221355"/>
            <wp:effectExtent l="0" t="0" r="0" b="17145"/>
            <wp:docPr id="2" name="Chart 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A06C87" w14:textId="77777777" w:rsidR="00302AB1" w:rsidRPr="00FC1D83" w:rsidRDefault="00302AB1" w:rsidP="00302AB1">
      <w:pPr>
        <w:pStyle w:val="ExhibitHeading"/>
        <w:rPr>
          <w:lang w:val="en-GB"/>
        </w:rPr>
      </w:pPr>
    </w:p>
    <w:p w14:paraId="64706004" w14:textId="340E9740" w:rsidR="00302AB1" w:rsidRPr="00DE2D9F" w:rsidRDefault="00302AB1" w:rsidP="003649E7">
      <w:pPr>
        <w:pStyle w:val="Footnote"/>
      </w:pPr>
      <w:r w:rsidRPr="00DE2D9F">
        <w:rPr>
          <w:rStyle w:val="BodyTextMainChar"/>
          <w:rFonts w:ascii="Arial" w:hAnsi="Arial" w:cs="Arial"/>
        </w:rPr>
        <w:t>Source:</w:t>
      </w:r>
      <w:r w:rsidR="00FC1D83" w:rsidRPr="00DE2D9F">
        <w:rPr>
          <w:rStyle w:val="BodyTextMainChar"/>
          <w:rFonts w:ascii="Arial" w:hAnsi="Arial" w:cs="Arial"/>
        </w:rPr>
        <w:t xml:space="preserve"> </w:t>
      </w:r>
      <w:r w:rsidRPr="00DE2D9F">
        <w:rPr>
          <w:rStyle w:val="BodyTextMainChar"/>
          <w:rFonts w:ascii="Arial" w:hAnsi="Arial" w:cs="Arial"/>
        </w:rPr>
        <w:t xml:space="preserve">Central Electricity Authority, </w:t>
      </w:r>
      <w:r w:rsidR="00533310" w:rsidRPr="00DE2D9F">
        <w:rPr>
          <w:rStyle w:val="BodyTextMainChar"/>
          <w:rFonts w:ascii="Arial" w:hAnsi="Arial" w:cs="Arial"/>
        </w:rPr>
        <w:t xml:space="preserve">Ministry of Power, Government of India, </w:t>
      </w:r>
      <w:r w:rsidR="00CC29C7" w:rsidRPr="00DE2D9F">
        <w:rPr>
          <w:rStyle w:val="BodyTextMainChar"/>
          <w:rFonts w:ascii="Arial" w:hAnsi="Arial" w:cs="Arial"/>
          <w:i/>
          <w:iCs/>
          <w:lang w:val="en-GB"/>
        </w:rPr>
        <w:t>Growth of Electricity Sector in India from 1947–2020</w:t>
      </w:r>
      <w:r w:rsidR="00CC29C7" w:rsidRPr="00DE2D9F">
        <w:rPr>
          <w:rStyle w:val="BodyTextMainChar"/>
          <w:rFonts w:ascii="Arial" w:hAnsi="Arial" w:cs="Arial"/>
        </w:rPr>
        <w:t>,</w:t>
      </w:r>
      <w:r w:rsidR="00CC29C7" w:rsidRPr="00DE2D9F" w:rsidDel="00CC29C7">
        <w:rPr>
          <w:rStyle w:val="BodyTextMainChar"/>
          <w:rFonts w:ascii="Arial" w:hAnsi="Arial" w:cs="Arial"/>
        </w:rPr>
        <w:t xml:space="preserve"> </w:t>
      </w:r>
      <w:r w:rsidRPr="00DE2D9F">
        <w:rPr>
          <w:rStyle w:val="BodyTextMainChar"/>
          <w:rFonts w:ascii="Arial" w:hAnsi="Arial" w:cs="Arial"/>
        </w:rPr>
        <w:t>October 2020</w:t>
      </w:r>
      <w:r w:rsidR="00BD720D" w:rsidRPr="00DE2D9F">
        <w:rPr>
          <w:rStyle w:val="BodyTextMainChar"/>
          <w:rFonts w:ascii="Arial" w:hAnsi="Arial" w:cs="Arial"/>
        </w:rPr>
        <w:t xml:space="preserve">, accessed </w:t>
      </w:r>
      <w:r w:rsidRPr="00DE2D9F">
        <w:rPr>
          <w:rStyle w:val="BodyTextMainChar"/>
          <w:rFonts w:ascii="Arial" w:hAnsi="Arial" w:cs="Arial"/>
        </w:rPr>
        <w:t>February 8, 2021</w:t>
      </w:r>
      <w:r w:rsidR="00265099" w:rsidRPr="00DE2D9F">
        <w:rPr>
          <w:rStyle w:val="BodyTextMainChar"/>
          <w:rFonts w:ascii="Arial" w:hAnsi="Arial" w:cs="Arial"/>
        </w:rPr>
        <w:t>,</w:t>
      </w:r>
      <w:r w:rsidRPr="00DE2D9F">
        <w:rPr>
          <w:rStyle w:val="BodyTextMainChar"/>
          <w:rFonts w:ascii="Arial" w:hAnsi="Arial" w:cs="Arial"/>
        </w:rPr>
        <w:t xml:space="preserve"> </w:t>
      </w:r>
      <w:r w:rsidR="007B4A71" w:rsidRPr="00DE2D9F">
        <w:rPr>
          <w:rStyle w:val="BodyTextMainChar"/>
          <w:rFonts w:ascii="Arial" w:hAnsi="Arial" w:cs="Arial"/>
        </w:rPr>
        <w:t>h</w:t>
      </w:r>
      <w:r w:rsidRPr="00DE2D9F">
        <w:rPr>
          <w:rStyle w:val="BodyTextMainChar"/>
          <w:rFonts w:ascii="Arial" w:hAnsi="Arial" w:cs="Arial"/>
        </w:rPr>
        <w:t>ttps://cea.nic.in/wp-content/uploads/pdm/2020/12/growth_2020.pdf</w:t>
      </w:r>
      <w:r w:rsidR="00265099" w:rsidRPr="00DE2D9F">
        <w:rPr>
          <w:rStyle w:val="BodyTextMainChar"/>
          <w:rFonts w:ascii="Arial" w:hAnsi="Arial" w:cs="Arial"/>
        </w:rPr>
        <w:t>.</w:t>
      </w:r>
    </w:p>
    <w:p w14:paraId="462065A6" w14:textId="114D8DD3" w:rsidR="00302AB1" w:rsidRPr="00FC1D83" w:rsidRDefault="00302AB1" w:rsidP="00302AB1">
      <w:pPr>
        <w:pStyle w:val="ExhibitHeading"/>
        <w:rPr>
          <w:lang w:val="en-GB"/>
        </w:rPr>
      </w:pPr>
    </w:p>
    <w:p w14:paraId="6D2EC15C" w14:textId="77777777" w:rsidR="00577B7D" w:rsidRDefault="00577B7D" w:rsidP="00302AB1">
      <w:pPr>
        <w:pStyle w:val="ExhibitHeading"/>
        <w:rPr>
          <w:lang w:val="en-GB"/>
        </w:rPr>
      </w:pPr>
    </w:p>
    <w:p w14:paraId="63E8763B" w14:textId="4D0252C9" w:rsidR="00302AB1" w:rsidRPr="00FC1D83" w:rsidRDefault="00302AB1" w:rsidP="00302AB1">
      <w:pPr>
        <w:pStyle w:val="ExhibitHeading"/>
        <w:rPr>
          <w:lang w:val="en-GB"/>
        </w:rPr>
      </w:pPr>
      <w:r w:rsidRPr="00FC1D83">
        <w:rPr>
          <w:lang w:val="en-GB"/>
        </w:rPr>
        <w:t xml:space="preserve">Exhibit 2: </w:t>
      </w:r>
      <w:r w:rsidR="00400C47" w:rsidRPr="00FC1D83">
        <w:rPr>
          <w:caps w:val="0"/>
          <w:lang w:val="en-GB"/>
        </w:rPr>
        <w:t>SECTORAL ELECTRICITY DEMAND IN INDIA</w:t>
      </w:r>
      <w:r w:rsidR="002C06C4">
        <w:rPr>
          <w:caps w:val="0"/>
          <w:lang w:val="en-GB"/>
        </w:rPr>
        <w:t xml:space="preserve">, </w:t>
      </w:r>
      <w:r w:rsidR="00400C47" w:rsidRPr="00FC1D83">
        <w:rPr>
          <w:caps w:val="0"/>
          <w:lang w:val="en-GB"/>
        </w:rPr>
        <w:t>HISTORICAL TRENDS</w:t>
      </w:r>
    </w:p>
    <w:p w14:paraId="680CA8F9" w14:textId="77777777" w:rsidR="00302AB1" w:rsidRPr="00FC1D83" w:rsidRDefault="00302AB1" w:rsidP="00302AB1">
      <w:pPr>
        <w:pStyle w:val="ExhibitHeading"/>
        <w:rPr>
          <w:lang w:val="en-GB"/>
        </w:rPr>
      </w:pPr>
    </w:p>
    <w:p w14:paraId="48BB35BE" w14:textId="1855CAB0" w:rsidR="00302AB1" w:rsidRPr="00FC1D83" w:rsidRDefault="00260E93" w:rsidP="00DF6157">
      <w:pPr>
        <w:spacing w:after="200" w:line="276" w:lineRule="auto"/>
        <w:jc w:val="center"/>
        <w:rPr>
          <w:rFonts w:ascii="Arial" w:hAnsi="Arial" w:cs="Arial"/>
          <w:b/>
          <w:caps/>
          <w:lang w:val="en-GB"/>
        </w:rPr>
      </w:pPr>
      <w:r>
        <w:rPr>
          <w:noProof/>
        </w:rPr>
        <w:drawing>
          <wp:inline distT="0" distB="0" distL="0" distR="0" wp14:anchorId="2E4D8E37" wp14:editId="5BCFD25B">
            <wp:extent cx="5977719" cy="2832735"/>
            <wp:effectExtent l="0" t="0" r="4445" b="5715"/>
            <wp:docPr id="3" name="Chart 3">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992F41" w14:textId="4D91CC8B" w:rsidR="00921E12" w:rsidRPr="00DE2D9F" w:rsidRDefault="00921E12" w:rsidP="003649E7">
      <w:pPr>
        <w:pStyle w:val="Footnote"/>
        <w:rPr>
          <w:rStyle w:val="BodyTextMainChar"/>
          <w:rFonts w:ascii="Arial" w:hAnsi="Arial" w:cs="Arial"/>
        </w:rPr>
      </w:pPr>
      <w:r w:rsidRPr="00DE2D9F">
        <w:rPr>
          <w:rStyle w:val="BodyTextMainChar"/>
          <w:rFonts w:ascii="Arial" w:hAnsi="Arial" w:cs="Arial"/>
        </w:rPr>
        <w:t>Note: MWh = megawatt-hour.</w:t>
      </w:r>
    </w:p>
    <w:p w14:paraId="60FF555A" w14:textId="206EB6A1" w:rsidR="0082769B" w:rsidRPr="00DE2D9F" w:rsidRDefault="00302AB1" w:rsidP="003649E7">
      <w:pPr>
        <w:pStyle w:val="Footnote"/>
        <w:rPr>
          <w:rStyle w:val="BodyTextMainChar"/>
          <w:rFonts w:ascii="Arial" w:hAnsi="Arial" w:cs="Arial"/>
        </w:rPr>
      </w:pPr>
      <w:r w:rsidRPr="00DE2D9F">
        <w:rPr>
          <w:rStyle w:val="BodyTextMainChar"/>
          <w:rFonts w:ascii="Arial" w:hAnsi="Arial" w:cs="Arial"/>
        </w:rPr>
        <w:t xml:space="preserve">Source: </w:t>
      </w:r>
      <w:r w:rsidR="006B2C94" w:rsidRPr="00DE2D9F">
        <w:rPr>
          <w:rStyle w:val="BodyTextMainChar"/>
          <w:rFonts w:ascii="Arial" w:hAnsi="Arial" w:cs="Arial"/>
        </w:rPr>
        <w:t xml:space="preserve">Central Electricity Authority, Ministry of Power, Government of India, </w:t>
      </w:r>
      <w:r w:rsidR="006B2C94" w:rsidRPr="00DE2D9F">
        <w:rPr>
          <w:rStyle w:val="BodyTextMainChar"/>
          <w:rFonts w:ascii="Arial" w:hAnsi="Arial" w:cs="Arial"/>
          <w:i/>
          <w:iCs/>
          <w:lang w:val="en-GB"/>
        </w:rPr>
        <w:t>Growth of Electricity Sector in India from 1947–2020</w:t>
      </w:r>
      <w:r w:rsidR="006B2C94" w:rsidRPr="00DE2D9F">
        <w:rPr>
          <w:rStyle w:val="BodyTextMainChar"/>
          <w:rFonts w:ascii="Arial" w:hAnsi="Arial" w:cs="Arial"/>
        </w:rPr>
        <w:t>,</w:t>
      </w:r>
      <w:r w:rsidR="006B2C94" w:rsidRPr="00DE2D9F" w:rsidDel="00CC29C7">
        <w:rPr>
          <w:rStyle w:val="BodyTextMainChar"/>
          <w:rFonts w:ascii="Arial" w:hAnsi="Arial" w:cs="Arial"/>
        </w:rPr>
        <w:t xml:space="preserve"> </w:t>
      </w:r>
      <w:r w:rsidR="006B2C94" w:rsidRPr="00DE2D9F">
        <w:rPr>
          <w:rStyle w:val="BodyTextMainChar"/>
          <w:rFonts w:ascii="Arial" w:hAnsi="Arial" w:cs="Arial"/>
        </w:rPr>
        <w:t xml:space="preserve">October 2020, accessed February 8, 2021, </w:t>
      </w:r>
      <w:r w:rsidR="0082769B" w:rsidRPr="00DE2D9F">
        <w:rPr>
          <w:rStyle w:val="BodyTextMainChar"/>
          <w:rFonts w:ascii="Arial" w:hAnsi="Arial" w:cs="Arial"/>
        </w:rPr>
        <w:t>https://cea.nic.in/wp-content/uploads/pdm/2020/12/growth_2020.pdf</w:t>
      </w:r>
      <w:r w:rsidR="006B2C94" w:rsidRPr="00DE2D9F">
        <w:rPr>
          <w:rStyle w:val="BodyTextMainChar"/>
          <w:rFonts w:ascii="Arial" w:hAnsi="Arial" w:cs="Arial"/>
        </w:rPr>
        <w:t xml:space="preserve">. </w:t>
      </w:r>
    </w:p>
    <w:p w14:paraId="19B17B53" w14:textId="158EAE2E" w:rsidR="00302AB1" w:rsidRPr="00FC1D83" w:rsidRDefault="00302AB1" w:rsidP="0058513A">
      <w:pPr>
        <w:pStyle w:val="Footnote"/>
        <w:rPr>
          <w:b/>
          <w:caps/>
          <w:lang w:val="en-GB"/>
        </w:rPr>
      </w:pPr>
      <w:r w:rsidRPr="00FC1D83">
        <w:rPr>
          <w:lang w:val="en-GB"/>
        </w:rPr>
        <w:br w:type="page"/>
      </w:r>
    </w:p>
    <w:p w14:paraId="7ECBF40D" w14:textId="77777777" w:rsidR="0058513A" w:rsidRPr="00FC1D83" w:rsidRDefault="0058513A">
      <w:pPr>
        <w:spacing w:after="200" w:line="276" w:lineRule="auto"/>
        <w:rPr>
          <w:lang w:val="en-GB"/>
        </w:rPr>
        <w:sectPr w:rsidR="0058513A" w:rsidRPr="00FC1D83" w:rsidSect="00751E0B">
          <w:headerReference w:type="default" r:id="rId11"/>
          <w:endnotePr>
            <w:numFmt w:val="decimal"/>
          </w:endnotePr>
          <w:pgSz w:w="12240" w:h="15840" w:code="1"/>
          <w:pgMar w:top="1080" w:right="1440" w:bottom="1440" w:left="1440" w:header="1080" w:footer="720" w:gutter="0"/>
          <w:cols w:space="720"/>
          <w:titlePg/>
          <w:docGrid w:linePitch="360"/>
        </w:sectPr>
      </w:pPr>
    </w:p>
    <w:p w14:paraId="007610DA" w14:textId="51672FAB" w:rsidR="006B48A3" w:rsidRDefault="006B48A3" w:rsidP="006B48A3">
      <w:pPr>
        <w:pStyle w:val="ExhibitHeading"/>
        <w:rPr>
          <w:lang w:val="en-GB"/>
        </w:rPr>
      </w:pPr>
      <w:r w:rsidRPr="00FC1D83">
        <w:rPr>
          <w:lang w:val="en-GB"/>
        </w:rPr>
        <w:lastRenderedPageBreak/>
        <w:t>Exhibit 3: THE STRUCTURE OF THE ELECTRICITY SECTOR IN INDIA</w:t>
      </w:r>
    </w:p>
    <w:p w14:paraId="7E9CA3CF" w14:textId="77777777" w:rsidR="00AB242B" w:rsidRPr="00FC1D83" w:rsidRDefault="00AB242B" w:rsidP="006B48A3">
      <w:pPr>
        <w:pStyle w:val="ExhibitHeading"/>
        <w:rPr>
          <w:lang w:val="en-GB"/>
        </w:rPr>
      </w:pPr>
    </w:p>
    <w:tbl>
      <w:tblPr>
        <w:tblStyle w:val="TableGrid"/>
        <w:tblW w:w="0" w:type="auto"/>
        <w:tblCellMar>
          <w:top w:w="108" w:type="dxa"/>
          <w:bottom w:w="108" w:type="dxa"/>
        </w:tblCellMar>
        <w:tblLook w:val="04A0" w:firstRow="1" w:lastRow="0" w:firstColumn="1" w:lastColumn="0" w:noHBand="0" w:noVBand="1"/>
      </w:tblPr>
      <w:tblGrid>
        <w:gridCol w:w="1898"/>
        <w:gridCol w:w="1731"/>
        <w:gridCol w:w="1027"/>
        <w:gridCol w:w="798"/>
        <w:gridCol w:w="1565"/>
        <w:gridCol w:w="2331"/>
      </w:tblGrid>
      <w:tr w:rsidR="00B35B1F" w:rsidRPr="00D3751C" w14:paraId="5B79E1F1" w14:textId="77777777" w:rsidTr="00F064C2">
        <w:tc>
          <w:tcPr>
            <w:tcW w:w="2080" w:type="dxa"/>
            <w:vAlign w:val="center"/>
          </w:tcPr>
          <w:p w14:paraId="3BC09A88" w14:textId="3EE24668" w:rsidR="00B35B1F" w:rsidRPr="00E121B3" w:rsidRDefault="00B35B1F" w:rsidP="00CA3C53">
            <w:pPr>
              <w:rPr>
                <w:rFonts w:ascii="Arial" w:hAnsi="Arial" w:cs="Arial"/>
                <w:b/>
                <w:bCs/>
                <w:sz w:val="24"/>
                <w:szCs w:val="24"/>
              </w:rPr>
            </w:pPr>
            <w:r w:rsidRPr="00E121B3">
              <w:rPr>
                <w:rFonts w:ascii="Arial" w:hAnsi="Arial" w:cs="Arial"/>
                <w:b/>
                <w:bCs/>
                <w:sz w:val="24"/>
                <w:szCs w:val="24"/>
              </w:rPr>
              <w:t>Concurrent Policy-Making</w:t>
            </w:r>
          </w:p>
        </w:tc>
        <w:tc>
          <w:tcPr>
            <w:tcW w:w="3992" w:type="dxa"/>
            <w:gridSpan w:val="2"/>
            <w:vAlign w:val="center"/>
          </w:tcPr>
          <w:p w14:paraId="66F51FFB" w14:textId="77777777" w:rsidR="00B35B1F" w:rsidRPr="00D3751C" w:rsidRDefault="00B35B1F" w:rsidP="00CA3C53">
            <w:pPr>
              <w:jc w:val="center"/>
              <w:rPr>
                <w:rFonts w:ascii="Arial" w:hAnsi="Arial" w:cs="Arial"/>
                <w:b/>
                <w:bCs/>
                <w:sz w:val="22"/>
                <w:szCs w:val="22"/>
              </w:rPr>
            </w:pPr>
            <w:r w:rsidRPr="00D3751C">
              <w:rPr>
                <w:rFonts w:ascii="Arial" w:hAnsi="Arial" w:cs="Arial"/>
                <w:b/>
                <w:bCs/>
                <w:sz w:val="22"/>
                <w:szCs w:val="22"/>
              </w:rPr>
              <w:t>Central Government</w:t>
            </w:r>
          </w:p>
        </w:tc>
        <w:tc>
          <w:tcPr>
            <w:tcW w:w="3332" w:type="dxa"/>
            <w:gridSpan w:val="2"/>
            <w:vAlign w:val="center"/>
          </w:tcPr>
          <w:p w14:paraId="64D8D273" w14:textId="77777777" w:rsidR="00B35B1F" w:rsidRPr="00D3751C" w:rsidRDefault="00B35B1F" w:rsidP="00CA3C53">
            <w:pPr>
              <w:jc w:val="center"/>
              <w:rPr>
                <w:rFonts w:ascii="Arial" w:hAnsi="Arial" w:cs="Arial"/>
                <w:b/>
                <w:bCs/>
                <w:sz w:val="22"/>
                <w:szCs w:val="22"/>
              </w:rPr>
            </w:pPr>
            <w:r w:rsidRPr="00D3751C">
              <w:rPr>
                <w:rFonts w:ascii="Arial" w:hAnsi="Arial" w:cs="Arial"/>
                <w:b/>
                <w:bCs/>
                <w:sz w:val="22"/>
                <w:szCs w:val="22"/>
              </w:rPr>
              <w:t>State Government</w:t>
            </w:r>
          </w:p>
        </w:tc>
        <w:tc>
          <w:tcPr>
            <w:tcW w:w="3546" w:type="dxa"/>
            <w:vAlign w:val="center"/>
          </w:tcPr>
          <w:p w14:paraId="6D0E5FB0" w14:textId="77777777" w:rsidR="00B35B1F" w:rsidRPr="00D3751C" w:rsidRDefault="00B35B1F" w:rsidP="00CA3C53">
            <w:pPr>
              <w:jc w:val="center"/>
              <w:rPr>
                <w:rFonts w:ascii="Arial" w:hAnsi="Arial" w:cs="Arial"/>
                <w:b/>
                <w:bCs/>
                <w:sz w:val="22"/>
                <w:szCs w:val="22"/>
              </w:rPr>
            </w:pPr>
            <w:r w:rsidRPr="00D3751C">
              <w:rPr>
                <w:rFonts w:ascii="Arial" w:hAnsi="Arial" w:cs="Arial"/>
                <w:b/>
                <w:bCs/>
                <w:sz w:val="22"/>
                <w:szCs w:val="22"/>
              </w:rPr>
              <w:t>Market Mechanisms</w:t>
            </w:r>
          </w:p>
        </w:tc>
      </w:tr>
      <w:tr w:rsidR="00B35B1F" w:rsidRPr="00D3751C" w14:paraId="734609EC" w14:textId="77777777" w:rsidTr="00F064C2">
        <w:tc>
          <w:tcPr>
            <w:tcW w:w="2080" w:type="dxa"/>
            <w:vAlign w:val="center"/>
          </w:tcPr>
          <w:p w14:paraId="6DDDAFE4" w14:textId="77777777" w:rsidR="00B35B1F" w:rsidRPr="00E121B3" w:rsidRDefault="00B35B1F" w:rsidP="00CA3C53">
            <w:pPr>
              <w:rPr>
                <w:rFonts w:ascii="Arial" w:hAnsi="Arial" w:cs="Arial"/>
                <w:b/>
                <w:bCs/>
                <w:sz w:val="24"/>
                <w:szCs w:val="24"/>
              </w:rPr>
            </w:pPr>
            <w:r w:rsidRPr="00E121B3">
              <w:rPr>
                <w:rFonts w:ascii="Arial" w:hAnsi="Arial" w:cs="Arial"/>
                <w:b/>
                <w:bCs/>
                <w:sz w:val="24"/>
                <w:szCs w:val="24"/>
              </w:rPr>
              <w:t>Regulations</w:t>
            </w:r>
          </w:p>
        </w:tc>
        <w:tc>
          <w:tcPr>
            <w:tcW w:w="3992" w:type="dxa"/>
            <w:gridSpan w:val="2"/>
            <w:vAlign w:val="center"/>
          </w:tcPr>
          <w:p w14:paraId="6CB1B9C2"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 xml:space="preserve">Central Electricity Regulatory Commission Central </w:t>
            </w:r>
            <w:r w:rsidRPr="00F064C2">
              <w:rPr>
                <w:rFonts w:ascii="Arial" w:hAnsi="Arial" w:cs="Arial"/>
                <w:sz w:val="18"/>
                <w:szCs w:val="18"/>
                <w:lang w:val="en-IN"/>
              </w:rPr>
              <w:t>Electricity</w:t>
            </w:r>
            <w:r w:rsidRPr="00F064C2">
              <w:rPr>
                <w:rFonts w:ascii="Arial" w:eastAsiaTheme="minorEastAsia" w:hAnsi="Arial" w:cs="Arial"/>
                <w:sz w:val="18"/>
                <w:szCs w:val="18"/>
                <w:lang w:val="en-IN"/>
              </w:rPr>
              <w:t xml:space="preserve"> </w:t>
            </w:r>
            <w:r w:rsidRPr="00F064C2">
              <w:rPr>
                <w:rFonts w:ascii="Arial" w:hAnsi="Arial" w:cs="Arial"/>
                <w:sz w:val="18"/>
                <w:szCs w:val="18"/>
                <w:lang w:val="en-IN"/>
              </w:rPr>
              <w:t>Authority</w:t>
            </w:r>
          </w:p>
        </w:tc>
        <w:tc>
          <w:tcPr>
            <w:tcW w:w="3332" w:type="dxa"/>
            <w:gridSpan w:val="2"/>
            <w:vAlign w:val="center"/>
          </w:tcPr>
          <w:p w14:paraId="79303219"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 xml:space="preserve">State </w:t>
            </w:r>
            <w:r w:rsidRPr="00F064C2">
              <w:rPr>
                <w:rFonts w:ascii="Arial" w:hAnsi="Arial" w:cs="Arial"/>
                <w:sz w:val="18"/>
                <w:szCs w:val="18"/>
                <w:lang w:val="en-IN"/>
              </w:rPr>
              <w:t>Electricity</w:t>
            </w:r>
            <w:r w:rsidRPr="00F064C2">
              <w:rPr>
                <w:rFonts w:ascii="Arial" w:eastAsiaTheme="minorEastAsia" w:hAnsi="Arial" w:cs="Arial"/>
                <w:sz w:val="18"/>
                <w:szCs w:val="18"/>
                <w:lang w:val="en-IN"/>
              </w:rPr>
              <w:t xml:space="preserve"> Regulatory Commission</w:t>
            </w:r>
          </w:p>
        </w:tc>
        <w:tc>
          <w:tcPr>
            <w:tcW w:w="3546" w:type="dxa"/>
            <w:vAlign w:val="center"/>
          </w:tcPr>
          <w:p w14:paraId="48FED534" w14:textId="77777777" w:rsidR="00B35B1F" w:rsidRPr="00F064C2" w:rsidRDefault="00B35B1F" w:rsidP="00CA3C53">
            <w:pPr>
              <w:jc w:val="center"/>
              <w:rPr>
                <w:rFonts w:ascii="Arial" w:hAnsi="Arial" w:cs="Arial"/>
                <w:sz w:val="18"/>
                <w:szCs w:val="18"/>
              </w:rPr>
            </w:pPr>
            <w:r w:rsidRPr="00F064C2">
              <w:rPr>
                <w:rFonts w:ascii="Arial" w:hAnsi="Arial" w:cs="Arial"/>
                <w:sz w:val="18"/>
                <w:szCs w:val="18"/>
              </w:rPr>
              <w:t>--</w:t>
            </w:r>
          </w:p>
        </w:tc>
      </w:tr>
      <w:tr w:rsidR="00B35B1F" w:rsidRPr="00D3751C" w14:paraId="4A444A5C" w14:textId="77777777" w:rsidTr="00F064C2">
        <w:tc>
          <w:tcPr>
            <w:tcW w:w="2080" w:type="dxa"/>
            <w:vAlign w:val="center"/>
          </w:tcPr>
          <w:p w14:paraId="60F7A15D" w14:textId="77777777" w:rsidR="00B35B1F" w:rsidRPr="00E121B3" w:rsidRDefault="00B35B1F" w:rsidP="00CA3C53">
            <w:pPr>
              <w:rPr>
                <w:rFonts w:ascii="Arial" w:hAnsi="Arial" w:cs="Arial"/>
                <w:b/>
                <w:bCs/>
                <w:sz w:val="24"/>
                <w:szCs w:val="24"/>
              </w:rPr>
            </w:pPr>
            <w:r w:rsidRPr="00E121B3">
              <w:rPr>
                <w:rFonts w:ascii="Arial" w:hAnsi="Arial" w:cs="Arial"/>
                <w:b/>
                <w:bCs/>
                <w:sz w:val="24"/>
                <w:szCs w:val="24"/>
              </w:rPr>
              <w:t>System Operations</w:t>
            </w:r>
          </w:p>
        </w:tc>
        <w:tc>
          <w:tcPr>
            <w:tcW w:w="2286" w:type="dxa"/>
            <w:vAlign w:val="center"/>
          </w:tcPr>
          <w:p w14:paraId="16F645BA" w14:textId="77777777" w:rsidR="00B35B1F" w:rsidRPr="00F064C2" w:rsidRDefault="00B35B1F" w:rsidP="00CA3C53">
            <w:pPr>
              <w:tabs>
                <w:tab w:val="left" w:pos="720"/>
              </w:tabs>
              <w:jc w:val="center"/>
              <w:rPr>
                <w:rFonts w:ascii="Arial" w:hAnsi="Arial" w:cs="Arial"/>
                <w:sz w:val="18"/>
                <w:szCs w:val="18"/>
              </w:rPr>
            </w:pPr>
            <w:r w:rsidRPr="00F064C2">
              <w:rPr>
                <w:rFonts w:ascii="Arial" w:eastAsiaTheme="minorHAnsi" w:hAnsi="Arial" w:cs="Arial"/>
                <w:sz w:val="18"/>
                <w:szCs w:val="18"/>
                <w:lang w:val="en-IN"/>
              </w:rPr>
              <w:t xml:space="preserve">National Load Dispatch </w:t>
            </w:r>
            <w:r w:rsidRPr="00F064C2">
              <w:rPr>
                <w:rFonts w:ascii="Arial" w:hAnsi="Arial" w:cs="Arial"/>
                <w:sz w:val="18"/>
                <w:szCs w:val="18"/>
                <w:lang w:val="en-IN"/>
              </w:rPr>
              <w:t>Centre</w:t>
            </w:r>
          </w:p>
        </w:tc>
        <w:tc>
          <w:tcPr>
            <w:tcW w:w="3010" w:type="dxa"/>
            <w:gridSpan w:val="2"/>
            <w:tcMar>
              <w:left w:w="170" w:type="dxa"/>
              <w:right w:w="170" w:type="dxa"/>
            </w:tcMar>
            <w:vAlign w:val="center"/>
          </w:tcPr>
          <w:p w14:paraId="647C9F42" w14:textId="77777777" w:rsidR="00F064C2" w:rsidRDefault="00B35B1F" w:rsidP="00CA3C53">
            <w:pPr>
              <w:jc w:val="center"/>
              <w:rPr>
                <w:rFonts w:ascii="Arial" w:hAnsi="Arial" w:cs="Arial"/>
                <w:sz w:val="18"/>
                <w:szCs w:val="18"/>
                <w:lang w:val="en-IN"/>
              </w:rPr>
            </w:pPr>
            <w:r w:rsidRPr="00F064C2">
              <w:rPr>
                <w:rFonts w:ascii="Arial" w:eastAsiaTheme="minorEastAsia" w:hAnsi="Arial" w:cs="Arial"/>
                <w:sz w:val="18"/>
                <w:szCs w:val="18"/>
                <w:lang w:val="en-IN"/>
              </w:rPr>
              <w:t xml:space="preserve">Regional Load </w:t>
            </w:r>
          </w:p>
          <w:p w14:paraId="00DDBB5A" w14:textId="30205C2B"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 xml:space="preserve">Dispatch </w:t>
            </w:r>
            <w:r w:rsidRPr="00F064C2">
              <w:rPr>
                <w:rFonts w:ascii="Arial" w:hAnsi="Arial" w:cs="Arial"/>
                <w:sz w:val="18"/>
                <w:szCs w:val="18"/>
                <w:lang w:val="en-IN"/>
              </w:rPr>
              <w:t>Centres</w:t>
            </w:r>
          </w:p>
        </w:tc>
        <w:tc>
          <w:tcPr>
            <w:tcW w:w="2028" w:type="dxa"/>
            <w:vAlign w:val="center"/>
          </w:tcPr>
          <w:p w14:paraId="556929CF"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 xml:space="preserve">State Load Dispatch </w:t>
            </w:r>
            <w:r w:rsidRPr="00F064C2">
              <w:rPr>
                <w:rFonts w:ascii="Arial" w:hAnsi="Arial" w:cs="Arial"/>
                <w:sz w:val="18"/>
                <w:szCs w:val="18"/>
                <w:lang w:val="en-IN"/>
              </w:rPr>
              <w:t>Centres</w:t>
            </w:r>
          </w:p>
        </w:tc>
        <w:tc>
          <w:tcPr>
            <w:tcW w:w="3546" w:type="dxa"/>
            <w:vAlign w:val="center"/>
          </w:tcPr>
          <w:p w14:paraId="3E75DA4B" w14:textId="77777777" w:rsidR="00B35B1F" w:rsidRPr="00F064C2" w:rsidRDefault="00B35B1F" w:rsidP="00CA3C53">
            <w:pPr>
              <w:jc w:val="center"/>
              <w:rPr>
                <w:rFonts w:ascii="Arial" w:hAnsi="Arial" w:cs="Arial"/>
                <w:sz w:val="18"/>
                <w:szCs w:val="18"/>
              </w:rPr>
            </w:pPr>
            <w:r w:rsidRPr="00F064C2">
              <w:rPr>
                <w:rFonts w:ascii="Arial" w:hAnsi="Arial" w:cs="Arial"/>
                <w:sz w:val="18"/>
                <w:szCs w:val="18"/>
              </w:rPr>
              <w:t>--</w:t>
            </w:r>
          </w:p>
        </w:tc>
      </w:tr>
      <w:tr w:rsidR="00B35B1F" w:rsidRPr="00D3751C" w14:paraId="55FE37C8" w14:textId="77777777" w:rsidTr="00F064C2">
        <w:tc>
          <w:tcPr>
            <w:tcW w:w="2080" w:type="dxa"/>
            <w:vAlign w:val="center"/>
          </w:tcPr>
          <w:p w14:paraId="38E58077" w14:textId="77777777" w:rsidR="00B35B1F" w:rsidRPr="00E121B3" w:rsidRDefault="00B35B1F" w:rsidP="00CA3C53">
            <w:pPr>
              <w:rPr>
                <w:rFonts w:ascii="Arial" w:hAnsi="Arial" w:cs="Arial"/>
                <w:b/>
                <w:bCs/>
                <w:sz w:val="24"/>
                <w:szCs w:val="24"/>
              </w:rPr>
            </w:pPr>
            <w:r w:rsidRPr="00E121B3">
              <w:rPr>
                <w:rFonts w:ascii="Arial" w:hAnsi="Arial" w:cs="Arial"/>
                <w:b/>
                <w:bCs/>
                <w:sz w:val="24"/>
                <w:szCs w:val="24"/>
              </w:rPr>
              <w:t>Generation</w:t>
            </w:r>
          </w:p>
        </w:tc>
        <w:tc>
          <w:tcPr>
            <w:tcW w:w="3992" w:type="dxa"/>
            <w:gridSpan w:val="2"/>
            <w:vAlign w:val="center"/>
          </w:tcPr>
          <w:p w14:paraId="577E354A" w14:textId="440CE228"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 xml:space="preserve">Central Power Plant </w:t>
            </w:r>
            <w:r w:rsidR="004D3DCC">
              <w:rPr>
                <w:rFonts w:ascii="Arial" w:eastAsiaTheme="minorEastAsia" w:hAnsi="Arial" w:cs="Arial"/>
                <w:sz w:val="18"/>
                <w:szCs w:val="18"/>
                <w:lang w:val="en-IN"/>
              </w:rPr>
              <w:br/>
            </w:r>
            <w:r w:rsidRPr="00F064C2">
              <w:rPr>
                <w:rFonts w:ascii="Arial" w:eastAsiaTheme="minorEastAsia" w:hAnsi="Arial" w:cs="Arial"/>
                <w:sz w:val="18"/>
                <w:szCs w:val="18"/>
                <w:lang w:val="en-IN"/>
              </w:rPr>
              <w:t>(NTPC etc.)</w:t>
            </w:r>
          </w:p>
        </w:tc>
        <w:tc>
          <w:tcPr>
            <w:tcW w:w="3332" w:type="dxa"/>
            <w:gridSpan w:val="2"/>
            <w:vAlign w:val="center"/>
          </w:tcPr>
          <w:p w14:paraId="1FCF2C7B"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State Generating Stations</w:t>
            </w:r>
          </w:p>
        </w:tc>
        <w:tc>
          <w:tcPr>
            <w:tcW w:w="3546" w:type="dxa"/>
            <w:vAlign w:val="center"/>
          </w:tcPr>
          <w:p w14:paraId="69EA20EE"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Independent Power Plant</w:t>
            </w:r>
          </w:p>
        </w:tc>
      </w:tr>
      <w:tr w:rsidR="00B35B1F" w:rsidRPr="00D3751C" w14:paraId="5D7E100A" w14:textId="77777777" w:rsidTr="00F064C2">
        <w:tc>
          <w:tcPr>
            <w:tcW w:w="2080" w:type="dxa"/>
            <w:vAlign w:val="center"/>
          </w:tcPr>
          <w:p w14:paraId="14AECE06" w14:textId="77777777" w:rsidR="00B35B1F" w:rsidRPr="00E121B3" w:rsidRDefault="00B35B1F" w:rsidP="00CA3C53">
            <w:pPr>
              <w:rPr>
                <w:rFonts w:ascii="Arial" w:hAnsi="Arial" w:cs="Arial"/>
                <w:b/>
                <w:bCs/>
                <w:sz w:val="24"/>
                <w:szCs w:val="24"/>
              </w:rPr>
            </w:pPr>
            <w:r w:rsidRPr="00E121B3">
              <w:rPr>
                <w:rFonts w:ascii="Arial" w:hAnsi="Arial" w:cs="Arial"/>
                <w:b/>
                <w:bCs/>
                <w:sz w:val="24"/>
                <w:szCs w:val="24"/>
              </w:rPr>
              <w:t>Transmission</w:t>
            </w:r>
          </w:p>
        </w:tc>
        <w:tc>
          <w:tcPr>
            <w:tcW w:w="3992" w:type="dxa"/>
            <w:gridSpan w:val="2"/>
            <w:vAlign w:val="center"/>
          </w:tcPr>
          <w:p w14:paraId="112271E8"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Central Transmission Utility</w:t>
            </w:r>
          </w:p>
        </w:tc>
        <w:tc>
          <w:tcPr>
            <w:tcW w:w="3332" w:type="dxa"/>
            <w:gridSpan w:val="2"/>
            <w:vAlign w:val="center"/>
          </w:tcPr>
          <w:p w14:paraId="71788DD2"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State</w:t>
            </w:r>
            <w:r w:rsidRPr="00F064C2">
              <w:rPr>
                <w:rFonts w:ascii="Arial" w:hAnsi="Arial" w:cs="Arial"/>
                <w:sz w:val="18"/>
                <w:szCs w:val="18"/>
                <w:lang w:val="en-IN"/>
              </w:rPr>
              <w:t xml:space="preserve"> T</w:t>
            </w:r>
            <w:r w:rsidRPr="00F064C2">
              <w:rPr>
                <w:rFonts w:ascii="Arial" w:eastAsiaTheme="minorEastAsia" w:hAnsi="Arial" w:cs="Arial"/>
                <w:sz w:val="18"/>
                <w:szCs w:val="18"/>
                <w:lang w:val="en-IN"/>
              </w:rPr>
              <w:t>ransmission Utilities</w:t>
            </w:r>
          </w:p>
        </w:tc>
        <w:tc>
          <w:tcPr>
            <w:tcW w:w="3546" w:type="dxa"/>
            <w:vAlign w:val="center"/>
          </w:tcPr>
          <w:p w14:paraId="38E5A880"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Independent Power Transmission Companies</w:t>
            </w:r>
          </w:p>
        </w:tc>
      </w:tr>
      <w:tr w:rsidR="00B35B1F" w:rsidRPr="00D3751C" w14:paraId="70AF493F" w14:textId="77777777" w:rsidTr="00F064C2">
        <w:tc>
          <w:tcPr>
            <w:tcW w:w="2080" w:type="dxa"/>
            <w:vAlign w:val="center"/>
          </w:tcPr>
          <w:p w14:paraId="483A2BCB" w14:textId="77777777" w:rsidR="00B35B1F" w:rsidRPr="00E121B3" w:rsidRDefault="00B35B1F" w:rsidP="00CA3C53">
            <w:pPr>
              <w:rPr>
                <w:rFonts w:ascii="Arial" w:hAnsi="Arial" w:cs="Arial"/>
                <w:b/>
                <w:bCs/>
                <w:sz w:val="24"/>
                <w:szCs w:val="24"/>
              </w:rPr>
            </w:pPr>
            <w:r w:rsidRPr="00E121B3">
              <w:rPr>
                <w:rFonts w:ascii="Arial" w:hAnsi="Arial" w:cs="Arial"/>
                <w:b/>
                <w:bCs/>
                <w:sz w:val="24"/>
                <w:szCs w:val="24"/>
              </w:rPr>
              <w:t>Distribution</w:t>
            </w:r>
          </w:p>
        </w:tc>
        <w:tc>
          <w:tcPr>
            <w:tcW w:w="7324" w:type="dxa"/>
            <w:gridSpan w:val="4"/>
            <w:vAlign w:val="center"/>
          </w:tcPr>
          <w:p w14:paraId="7AAEF49E"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Public Sector Distribution Companies</w:t>
            </w:r>
          </w:p>
        </w:tc>
        <w:tc>
          <w:tcPr>
            <w:tcW w:w="3546" w:type="dxa"/>
            <w:vAlign w:val="center"/>
          </w:tcPr>
          <w:p w14:paraId="24EB447E"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Private Distribution Companies</w:t>
            </w:r>
          </w:p>
        </w:tc>
      </w:tr>
      <w:tr w:rsidR="00B35B1F" w:rsidRPr="00D3751C" w14:paraId="798665A8" w14:textId="77777777" w:rsidTr="00F064C2">
        <w:tc>
          <w:tcPr>
            <w:tcW w:w="2080" w:type="dxa"/>
            <w:vMerge w:val="restart"/>
            <w:vAlign w:val="center"/>
          </w:tcPr>
          <w:p w14:paraId="0F99EDED" w14:textId="77777777" w:rsidR="00B35B1F" w:rsidRPr="00E121B3" w:rsidRDefault="00B35B1F" w:rsidP="00CA3C53">
            <w:pPr>
              <w:rPr>
                <w:rFonts w:ascii="Arial" w:hAnsi="Arial" w:cs="Arial"/>
                <w:b/>
                <w:bCs/>
                <w:sz w:val="24"/>
                <w:szCs w:val="24"/>
              </w:rPr>
            </w:pPr>
            <w:r w:rsidRPr="00E121B3">
              <w:rPr>
                <w:rFonts w:ascii="Arial" w:hAnsi="Arial" w:cs="Arial"/>
                <w:b/>
                <w:bCs/>
                <w:sz w:val="24"/>
                <w:szCs w:val="24"/>
              </w:rPr>
              <w:t>Markets and Trading</w:t>
            </w:r>
          </w:p>
        </w:tc>
        <w:tc>
          <w:tcPr>
            <w:tcW w:w="3992" w:type="dxa"/>
            <w:gridSpan w:val="2"/>
            <w:vMerge w:val="restart"/>
            <w:vAlign w:val="center"/>
          </w:tcPr>
          <w:p w14:paraId="1F495047"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Power Exchanges</w:t>
            </w:r>
          </w:p>
        </w:tc>
        <w:tc>
          <w:tcPr>
            <w:tcW w:w="3332" w:type="dxa"/>
            <w:gridSpan w:val="2"/>
            <w:vMerge w:val="restart"/>
            <w:vAlign w:val="center"/>
          </w:tcPr>
          <w:p w14:paraId="5A996997" w14:textId="77777777" w:rsidR="00B35B1F" w:rsidRPr="00F064C2" w:rsidRDefault="00B35B1F" w:rsidP="00CA3C53">
            <w:pPr>
              <w:jc w:val="center"/>
              <w:rPr>
                <w:rFonts w:ascii="Arial" w:hAnsi="Arial" w:cs="Arial"/>
                <w:sz w:val="18"/>
                <w:szCs w:val="18"/>
              </w:rPr>
            </w:pPr>
            <w:r w:rsidRPr="00F064C2">
              <w:rPr>
                <w:rFonts w:ascii="Arial" w:hAnsi="Arial" w:cs="Arial"/>
                <w:sz w:val="18"/>
                <w:szCs w:val="18"/>
              </w:rPr>
              <w:t>--</w:t>
            </w:r>
          </w:p>
        </w:tc>
        <w:tc>
          <w:tcPr>
            <w:tcW w:w="3546" w:type="dxa"/>
            <w:vAlign w:val="center"/>
          </w:tcPr>
          <w:p w14:paraId="4A74AFBB" w14:textId="250DE99E" w:rsidR="00B35B1F" w:rsidRPr="00F064C2" w:rsidRDefault="00B35B1F" w:rsidP="00CA3C53">
            <w:pPr>
              <w:jc w:val="center"/>
              <w:rPr>
                <w:rFonts w:ascii="Arial" w:hAnsi="Arial" w:cs="Arial"/>
                <w:sz w:val="18"/>
                <w:szCs w:val="18"/>
              </w:rPr>
            </w:pPr>
            <w:r w:rsidRPr="00F064C2">
              <w:rPr>
                <w:rFonts w:ascii="Arial" w:hAnsi="Arial" w:cs="Arial"/>
                <w:sz w:val="18"/>
                <w:szCs w:val="18"/>
              </w:rPr>
              <w:t xml:space="preserve">Trading </w:t>
            </w:r>
            <w:proofErr w:type="spellStart"/>
            <w:r w:rsidRPr="00F064C2">
              <w:rPr>
                <w:rFonts w:ascii="Arial" w:hAnsi="Arial" w:cs="Arial"/>
                <w:sz w:val="18"/>
                <w:szCs w:val="18"/>
              </w:rPr>
              <w:t>Licen</w:t>
            </w:r>
            <w:r w:rsidR="00684B1A">
              <w:rPr>
                <w:rFonts w:ascii="Arial" w:hAnsi="Arial" w:cs="Arial"/>
                <w:sz w:val="18"/>
                <w:szCs w:val="18"/>
              </w:rPr>
              <w:t>c</w:t>
            </w:r>
            <w:r w:rsidRPr="00F064C2">
              <w:rPr>
                <w:rFonts w:ascii="Arial" w:hAnsi="Arial" w:cs="Arial"/>
                <w:sz w:val="18"/>
                <w:szCs w:val="18"/>
              </w:rPr>
              <w:t>e</w:t>
            </w:r>
            <w:proofErr w:type="spellEnd"/>
          </w:p>
        </w:tc>
      </w:tr>
      <w:tr w:rsidR="00B35B1F" w:rsidRPr="00D3751C" w14:paraId="691631E2" w14:textId="77777777" w:rsidTr="00F064C2">
        <w:tc>
          <w:tcPr>
            <w:tcW w:w="2080" w:type="dxa"/>
            <w:vMerge/>
            <w:tcBorders>
              <w:bottom w:val="single" w:sz="4" w:space="0" w:color="auto"/>
            </w:tcBorders>
            <w:vAlign w:val="center"/>
          </w:tcPr>
          <w:p w14:paraId="33F6DE3C" w14:textId="77777777" w:rsidR="00B35B1F" w:rsidRPr="00E121B3" w:rsidRDefault="00B35B1F" w:rsidP="00CA3C53">
            <w:pPr>
              <w:rPr>
                <w:rFonts w:ascii="Arial" w:hAnsi="Arial" w:cs="Arial"/>
                <w:sz w:val="24"/>
                <w:szCs w:val="24"/>
              </w:rPr>
            </w:pPr>
          </w:p>
        </w:tc>
        <w:tc>
          <w:tcPr>
            <w:tcW w:w="3992" w:type="dxa"/>
            <w:gridSpan w:val="2"/>
            <w:vMerge/>
            <w:tcBorders>
              <w:bottom w:val="single" w:sz="4" w:space="0" w:color="auto"/>
            </w:tcBorders>
            <w:vAlign w:val="center"/>
          </w:tcPr>
          <w:p w14:paraId="20B8758C" w14:textId="77777777" w:rsidR="00B35B1F" w:rsidRPr="00F064C2" w:rsidRDefault="00B35B1F" w:rsidP="00CA3C53">
            <w:pPr>
              <w:jc w:val="center"/>
              <w:rPr>
                <w:rFonts w:ascii="Arial" w:hAnsi="Arial" w:cs="Arial"/>
                <w:sz w:val="18"/>
                <w:szCs w:val="18"/>
              </w:rPr>
            </w:pPr>
          </w:p>
        </w:tc>
        <w:tc>
          <w:tcPr>
            <w:tcW w:w="3332" w:type="dxa"/>
            <w:gridSpan w:val="2"/>
            <w:vMerge/>
            <w:tcBorders>
              <w:bottom w:val="single" w:sz="4" w:space="0" w:color="auto"/>
            </w:tcBorders>
            <w:vAlign w:val="center"/>
          </w:tcPr>
          <w:p w14:paraId="5F8235DA" w14:textId="77777777" w:rsidR="00B35B1F" w:rsidRPr="00F064C2" w:rsidRDefault="00B35B1F" w:rsidP="00CA3C53">
            <w:pPr>
              <w:jc w:val="center"/>
              <w:rPr>
                <w:rFonts w:ascii="Arial" w:hAnsi="Arial" w:cs="Arial"/>
                <w:sz w:val="18"/>
                <w:szCs w:val="18"/>
              </w:rPr>
            </w:pPr>
          </w:p>
        </w:tc>
        <w:tc>
          <w:tcPr>
            <w:tcW w:w="3546" w:type="dxa"/>
            <w:tcBorders>
              <w:bottom w:val="single" w:sz="4" w:space="0" w:color="auto"/>
            </w:tcBorders>
            <w:vAlign w:val="center"/>
          </w:tcPr>
          <w:p w14:paraId="2158DCAA"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Bilateral Market</w:t>
            </w:r>
          </w:p>
        </w:tc>
      </w:tr>
      <w:tr w:rsidR="00B35B1F" w:rsidRPr="00D3751C" w14:paraId="6111BF02" w14:textId="77777777" w:rsidTr="00F064C2">
        <w:tc>
          <w:tcPr>
            <w:tcW w:w="12950" w:type="dxa"/>
            <w:gridSpan w:val="6"/>
            <w:tcBorders>
              <w:left w:val="nil"/>
              <w:right w:val="nil"/>
            </w:tcBorders>
            <w:vAlign w:val="center"/>
          </w:tcPr>
          <w:p w14:paraId="138499EC" w14:textId="77777777" w:rsidR="00B35B1F" w:rsidRPr="00F064C2" w:rsidRDefault="00B35B1F" w:rsidP="00CA3C53">
            <w:pPr>
              <w:rPr>
                <w:rFonts w:ascii="Arial" w:hAnsi="Arial" w:cs="Arial"/>
                <w:sz w:val="18"/>
                <w:szCs w:val="18"/>
                <w:lang w:val="en-IN"/>
              </w:rPr>
            </w:pPr>
          </w:p>
        </w:tc>
      </w:tr>
      <w:tr w:rsidR="00B35B1F" w:rsidRPr="00D3751C" w14:paraId="7D66CB3D" w14:textId="77777777" w:rsidTr="00F064C2">
        <w:tc>
          <w:tcPr>
            <w:tcW w:w="2080" w:type="dxa"/>
            <w:vAlign w:val="center"/>
          </w:tcPr>
          <w:p w14:paraId="00D9AC7D" w14:textId="77777777" w:rsidR="00B35B1F" w:rsidRPr="00E121B3" w:rsidRDefault="00B35B1F" w:rsidP="00CA3C53">
            <w:pPr>
              <w:rPr>
                <w:rFonts w:ascii="Arial" w:hAnsi="Arial" w:cs="Arial"/>
                <w:b/>
                <w:bCs/>
                <w:sz w:val="24"/>
                <w:szCs w:val="24"/>
              </w:rPr>
            </w:pPr>
            <w:r w:rsidRPr="00E121B3">
              <w:rPr>
                <w:rFonts w:ascii="Arial" w:hAnsi="Arial" w:cs="Arial"/>
                <w:b/>
                <w:bCs/>
                <w:sz w:val="24"/>
                <w:szCs w:val="24"/>
              </w:rPr>
              <w:t>Appeal</w:t>
            </w:r>
          </w:p>
        </w:tc>
        <w:tc>
          <w:tcPr>
            <w:tcW w:w="3992" w:type="dxa"/>
            <w:gridSpan w:val="2"/>
            <w:vAlign w:val="center"/>
          </w:tcPr>
          <w:p w14:paraId="39BAD515" w14:textId="373F8E2F"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Supreme Court</w:t>
            </w:r>
            <w:r w:rsidR="00684B1A">
              <w:rPr>
                <w:rFonts w:ascii="Arial" w:eastAsiaTheme="minorEastAsia" w:hAnsi="Arial" w:cs="Arial"/>
                <w:sz w:val="18"/>
                <w:szCs w:val="18"/>
                <w:lang w:val="en-IN"/>
              </w:rPr>
              <w:t xml:space="preserve"> of India</w:t>
            </w:r>
          </w:p>
        </w:tc>
        <w:tc>
          <w:tcPr>
            <w:tcW w:w="3332" w:type="dxa"/>
            <w:gridSpan w:val="2"/>
            <w:vAlign w:val="center"/>
          </w:tcPr>
          <w:p w14:paraId="4F8D5DC5" w14:textId="77777777" w:rsidR="00B35B1F" w:rsidRPr="00F064C2" w:rsidRDefault="00B35B1F" w:rsidP="00CA3C53">
            <w:pPr>
              <w:jc w:val="center"/>
              <w:rPr>
                <w:rFonts w:ascii="Arial" w:hAnsi="Arial" w:cs="Arial"/>
                <w:sz w:val="18"/>
                <w:szCs w:val="18"/>
              </w:rPr>
            </w:pPr>
            <w:r w:rsidRPr="00F064C2">
              <w:rPr>
                <w:rFonts w:ascii="Arial" w:eastAsiaTheme="minorEastAsia" w:hAnsi="Arial" w:cs="Arial"/>
                <w:sz w:val="18"/>
                <w:szCs w:val="18"/>
                <w:lang w:val="en-IN"/>
              </w:rPr>
              <w:t>APTEL</w:t>
            </w:r>
          </w:p>
        </w:tc>
        <w:tc>
          <w:tcPr>
            <w:tcW w:w="3546" w:type="dxa"/>
            <w:vAlign w:val="center"/>
          </w:tcPr>
          <w:p w14:paraId="7D533D62" w14:textId="17DA7ED6" w:rsidR="00B35B1F" w:rsidRPr="00F064C2" w:rsidRDefault="00B35B1F" w:rsidP="00CA3C53">
            <w:pPr>
              <w:jc w:val="center"/>
              <w:rPr>
                <w:rFonts w:ascii="Arial" w:hAnsi="Arial" w:cs="Arial"/>
                <w:sz w:val="18"/>
                <w:szCs w:val="18"/>
                <w:lang w:val="en-GB"/>
              </w:rPr>
            </w:pPr>
            <w:r w:rsidRPr="00F064C2">
              <w:rPr>
                <w:rFonts w:ascii="Arial" w:eastAsiaTheme="minorEastAsia" w:hAnsi="Arial" w:cs="Arial"/>
                <w:sz w:val="18"/>
                <w:szCs w:val="18"/>
                <w:lang w:val="en-IN"/>
              </w:rPr>
              <w:t xml:space="preserve">High </w:t>
            </w:r>
            <w:r w:rsidRPr="00F064C2">
              <w:rPr>
                <w:rFonts w:ascii="Arial" w:hAnsi="Arial" w:cs="Arial"/>
                <w:sz w:val="18"/>
                <w:szCs w:val="18"/>
                <w:lang w:val="en-IN"/>
              </w:rPr>
              <w:t>C</w:t>
            </w:r>
            <w:r w:rsidRPr="00F064C2">
              <w:rPr>
                <w:rFonts w:ascii="Arial" w:eastAsiaTheme="minorEastAsia" w:hAnsi="Arial" w:cs="Arial"/>
                <w:sz w:val="18"/>
                <w:szCs w:val="18"/>
                <w:lang w:val="en-IN"/>
              </w:rPr>
              <w:t xml:space="preserve">ourt </w:t>
            </w:r>
            <w:r w:rsidR="004D3DCC">
              <w:rPr>
                <w:rFonts w:ascii="Arial" w:eastAsiaTheme="minorEastAsia" w:hAnsi="Arial" w:cs="Arial"/>
                <w:sz w:val="18"/>
                <w:szCs w:val="18"/>
                <w:lang w:val="en-IN"/>
              </w:rPr>
              <w:br/>
            </w:r>
            <w:r w:rsidRPr="00F064C2">
              <w:rPr>
                <w:rFonts w:ascii="Arial" w:eastAsiaTheme="minorEastAsia" w:hAnsi="Arial" w:cs="Arial"/>
                <w:sz w:val="18"/>
                <w:szCs w:val="18"/>
                <w:lang w:val="en-IN"/>
              </w:rPr>
              <w:t>(</w:t>
            </w:r>
            <w:r w:rsidRPr="00F064C2">
              <w:rPr>
                <w:rFonts w:ascii="Arial" w:hAnsi="Arial" w:cs="Arial"/>
                <w:sz w:val="18"/>
                <w:szCs w:val="18"/>
                <w:lang w:val="en-IN"/>
              </w:rPr>
              <w:t>C</w:t>
            </w:r>
            <w:r w:rsidRPr="00F064C2">
              <w:rPr>
                <w:rFonts w:ascii="Arial" w:eastAsiaTheme="minorEastAsia" w:hAnsi="Arial" w:cs="Arial"/>
                <w:sz w:val="18"/>
                <w:szCs w:val="18"/>
                <w:lang w:val="en-IN"/>
              </w:rPr>
              <w:t xml:space="preserve">onsumer </w:t>
            </w:r>
            <w:r w:rsidRPr="00F064C2">
              <w:rPr>
                <w:rFonts w:ascii="Arial" w:hAnsi="Arial" w:cs="Arial"/>
                <w:sz w:val="18"/>
                <w:szCs w:val="18"/>
                <w:lang w:val="en-IN"/>
              </w:rPr>
              <w:t>D</w:t>
            </w:r>
            <w:r w:rsidRPr="00F064C2">
              <w:rPr>
                <w:rFonts w:ascii="Arial" w:eastAsiaTheme="minorEastAsia" w:hAnsi="Arial" w:cs="Arial"/>
                <w:sz w:val="18"/>
                <w:szCs w:val="18"/>
                <w:lang w:val="en-IN"/>
              </w:rPr>
              <w:t>isputes)</w:t>
            </w:r>
          </w:p>
        </w:tc>
      </w:tr>
    </w:tbl>
    <w:p w14:paraId="5B651BD6" w14:textId="77777777" w:rsidR="00F064C2" w:rsidRDefault="00F064C2" w:rsidP="00F064C2">
      <w:pPr>
        <w:pStyle w:val="Footnote"/>
        <w:rPr>
          <w:lang w:val="en-GB"/>
        </w:rPr>
      </w:pPr>
    </w:p>
    <w:p w14:paraId="28F65F1C" w14:textId="054182B8" w:rsidR="00F064C2" w:rsidRDefault="00F064C2" w:rsidP="00F064C2">
      <w:pPr>
        <w:pStyle w:val="Footnote"/>
        <w:rPr>
          <w:lang w:val="en-GB"/>
        </w:rPr>
      </w:pPr>
      <w:r>
        <w:rPr>
          <w:lang w:val="en-GB"/>
        </w:rPr>
        <w:t>Note: NTPC = National Thermal Power Corporation; APTEL = Appellate Tribunal for Electricity.</w:t>
      </w:r>
    </w:p>
    <w:p w14:paraId="0EAB7A7C" w14:textId="77777777" w:rsidR="00F064C2" w:rsidRPr="00FC1D83" w:rsidRDefault="00F064C2" w:rsidP="00F064C2">
      <w:pPr>
        <w:pStyle w:val="Footnote"/>
        <w:rPr>
          <w:rFonts w:asciiTheme="minorHAnsi" w:hAnsiTheme="minorHAnsi" w:cstheme="minorHAnsi"/>
          <w:b/>
          <w:bCs/>
          <w:color w:val="000000"/>
          <w:sz w:val="16"/>
          <w:szCs w:val="16"/>
          <w:lang w:val="en-GB"/>
        </w:rPr>
      </w:pPr>
      <w:r w:rsidRPr="00FC1D83">
        <w:rPr>
          <w:lang w:val="en-GB"/>
        </w:rPr>
        <w:t xml:space="preserve">Source: </w:t>
      </w:r>
      <w:r>
        <w:rPr>
          <w:lang w:val="en-GB"/>
        </w:rPr>
        <w:t>Based on the author’s</w:t>
      </w:r>
      <w:r w:rsidRPr="00FC1D83">
        <w:rPr>
          <w:lang w:val="en-GB"/>
        </w:rPr>
        <w:t xml:space="preserve"> understanding of the Indian </w:t>
      </w:r>
      <w:r>
        <w:rPr>
          <w:lang w:val="en-GB"/>
        </w:rPr>
        <w:t>electricity sector</w:t>
      </w:r>
      <w:r w:rsidRPr="00FC1D83">
        <w:rPr>
          <w:lang w:val="en-GB"/>
        </w:rPr>
        <w:t xml:space="preserve"> </w:t>
      </w:r>
      <w:r>
        <w:rPr>
          <w:lang w:val="en-GB"/>
        </w:rPr>
        <w:t>and</w:t>
      </w:r>
      <w:r w:rsidRPr="00FC1D83">
        <w:rPr>
          <w:lang w:val="en-GB"/>
        </w:rPr>
        <w:t xml:space="preserve"> </w:t>
      </w:r>
      <w:r>
        <w:rPr>
          <w:lang w:val="en-GB"/>
        </w:rPr>
        <w:t>discussions</w:t>
      </w:r>
      <w:r w:rsidRPr="00FC1D83">
        <w:rPr>
          <w:lang w:val="en-GB"/>
        </w:rPr>
        <w:t xml:space="preserve"> with industry practitioners.</w:t>
      </w:r>
    </w:p>
    <w:p w14:paraId="797D9549" w14:textId="1092B520" w:rsidR="00A20015" w:rsidRPr="00FC1D83" w:rsidRDefault="00A20015">
      <w:pPr>
        <w:spacing w:after="200" w:line="276" w:lineRule="auto"/>
        <w:rPr>
          <w:lang w:val="en-GB"/>
        </w:rPr>
      </w:pPr>
      <w:r w:rsidRPr="00FC1D83">
        <w:rPr>
          <w:lang w:val="en-GB"/>
        </w:rPr>
        <w:br w:type="page"/>
      </w:r>
    </w:p>
    <w:p w14:paraId="25DAF60B" w14:textId="444E590C" w:rsidR="00847E4B" w:rsidRDefault="00847E4B" w:rsidP="000313CE">
      <w:pPr>
        <w:pStyle w:val="ExhibitHeading"/>
        <w:rPr>
          <w:lang w:val="en-GB"/>
        </w:rPr>
      </w:pPr>
      <w:r w:rsidRPr="00FC1D83">
        <w:rPr>
          <w:lang w:val="en-GB"/>
        </w:rPr>
        <w:lastRenderedPageBreak/>
        <w:t xml:space="preserve">Exhibit 4: CHANGE IN </w:t>
      </w:r>
      <w:r w:rsidR="00D9712C">
        <w:rPr>
          <w:lang w:val="en-GB"/>
        </w:rPr>
        <w:t xml:space="preserve">the </w:t>
      </w:r>
      <w:r w:rsidR="008610E5">
        <w:rPr>
          <w:lang w:val="en-GB"/>
        </w:rPr>
        <w:t xml:space="preserve">Price of </w:t>
      </w:r>
      <w:r w:rsidRPr="00FC1D83">
        <w:rPr>
          <w:lang w:val="en-GB"/>
        </w:rPr>
        <w:t xml:space="preserve">INDONESIAN COAL </w:t>
      </w:r>
      <w:r w:rsidR="000313CE">
        <w:rPr>
          <w:lang w:val="en-GB"/>
        </w:rPr>
        <w:t>Over Time</w:t>
      </w:r>
    </w:p>
    <w:p w14:paraId="7BEDC42C" w14:textId="77777777" w:rsidR="000313CE" w:rsidRPr="00FC1D83" w:rsidRDefault="000313CE" w:rsidP="00997DE0">
      <w:pPr>
        <w:pStyle w:val="ExhibitHeading"/>
        <w:rPr>
          <w:lang w:val="en-GB"/>
        </w:rPr>
      </w:pPr>
    </w:p>
    <w:p w14:paraId="348972B6" w14:textId="77777777" w:rsidR="001C6C3B" w:rsidRPr="00FC1D83" w:rsidRDefault="00847E4B" w:rsidP="00AD6DC0">
      <w:pPr>
        <w:rPr>
          <w:rStyle w:val="FootnoteChar"/>
          <w:lang w:val="en-GB"/>
        </w:rPr>
      </w:pPr>
      <w:r w:rsidRPr="00FC1D83">
        <w:rPr>
          <w:noProof/>
          <w:lang w:val="en-GB"/>
        </w:rPr>
        <w:drawing>
          <wp:inline distT="0" distB="0" distL="0" distR="0" wp14:anchorId="5BF48254" wp14:editId="6DD4DC16">
            <wp:extent cx="5943600" cy="3818534"/>
            <wp:effectExtent l="0" t="0" r="0" b="10795"/>
            <wp:docPr id="6" name="Chart 6">
              <a:extLst xmlns:a="http://schemas.openxmlformats.org/drawingml/2006/main">
                <a:ext uri="{FF2B5EF4-FFF2-40B4-BE49-F238E27FC236}">
                  <a16:creationId xmlns:a16="http://schemas.microsoft.com/office/drawing/2014/main" id="{DA4DA789-5A75-4CA7-B51E-C776A5DD3C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0F0939" w14:textId="77777777" w:rsidR="001C6C3B" w:rsidRPr="00FC1D83" w:rsidRDefault="001C6C3B" w:rsidP="00AD6DC0">
      <w:pPr>
        <w:rPr>
          <w:rStyle w:val="FootnoteChar"/>
          <w:lang w:val="en-GB"/>
        </w:rPr>
      </w:pPr>
    </w:p>
    <w:p w14:paraId="3C2B50B6" w14:textId="14C780C7" w:rsidR="009520D5" w:rsidRPr="00AB61A8" w:rsidRDefault="009520D5" w:rsidP="00AB61A8">
      <w:pPr>
        <w:jc w:val="both"/>
        <w:rPr>
          <w:rStyle w:val="FootnoteChar"/>
          <w:lang w:val="en-GB"/>
        </w:rPr>
      </w:pPr>
      <w:r w:rsidRPr="00AB61A8">
        <w:rPr>
          <w:rStyle w:val="FootnoteChar"/>
          <w:lang w:val="en-GB"/>
        </w:rPr>
        <w:t xml:space="preserve">Note: HBA: </w:t>
      </w:r>
      <w:proofErr w:type="spellStart"/>
      <w:r w:rsidRPr="00AB61A8">
        <w:rPr>
          <w:rStyle w:val="FootnoteChar"/>
          <w:lang w:val="en-GB"/>
        </w:rPr>
        <w:t>Harga</w:t>
      </w:r>
      <w:proofErr w:type="spellEnd"/>
      <w:r w:rsidRPr="00AB61A8">
        <w:rPr>
          <w:rStyle w:val="FootnoteChar"/>
          <w:lang w:val="en-GB"/>
        </w:rPr>
        <w:t xml:space="preserve"> Batubara </w:t>
      </w:r>
      <w:proofErr w:type="spellStart"/>
      <w:r w:rsidRPr="00AB61A8">
        <w:rPr>
          <w:rStyle w:val="FootnoteChar"/>
          <w:lang w:val="en-GB"/>
        </w:rPr>
        <w:t>Acuan</w:t>
      </w:r>
      <w:proofErr w:type="spellEnd"/>
      <w:r w:rsidR="00093C0A">
        <w:rPr>
          <w:rStyle w:val="FootnoteChar"/>
          <w:lang w:val="en-GB"/>
        </w:rPr>
        <w:t>.</w:t>
      </w:r>
    </w:p>
    <w:p w14:paraId="7CCC3AD7" w14:textId="77BBB16D" w:rsidR="00847E4B" w:rsidRPr="00AB61A8" w:rsidRDefault="00847E4B" w:rsidP="00AB61A8">
      <w:pPr>
        <w:jc w:val="both"/>
        <w:rPr>
          <w:rStyle w:val="FootnoteChar"/>
          <w:lang w:val="en-GB"/>
        </w:rPr>
      </w:pPr>
      <w:r w:rsidRPr="00AB61A8">
        <w:rPr>
          <w:rStyle w:val="FootnoteChar"/>
          <w:lang w:val="en-GB"/>
        </w:rPr>
        <w:t xml:space="preserve">Source: Summarized by </w:t>
      </w:r>
      <w:r w:rsidR="00480B34" w:rsidRPr="00AB61A8">
        <w:rPr>
          <w:rStyle w:val="FootnoteChar"/>
          <w:lang w:val="en-GB"/>
        </w:rPr>
        <w:t xml:space="preserve">the </w:t>
      </w:r>
      <w:r w:rsidRPr="00AB61A8">
        <w:rPr>
          <w:rStyle w:val="FootnoteChar"/>
          <w:lang w:val="en-GB"/>
        </w:rPr>
        <w:t xml:space="preserve">author from </w:t>
      </w:r>
      <w:r w:rsidR="00684B1A">
        <w:rPr>
          <w:rStyle w:val="FootnoteChar"/>
          <w:lang w:val="en-GB"/>
        </w:rPr>
        <w:t>“Y</w:t>
      </w:r>
      <w:r w:rsidRPr="00AB61A8">
        <w:rPr>
          <w:rStyle w:val="FootnoteChar"/>
          <w:lang w:val="en-GB"/>
        </w:rPr>
        <w:t xml:space="preserve">early </w:t>
      </w:r>
      <w:r w:rsidR="00684B1A">
        <w:rPr>
          <w:rStyle w:val="FootnoteChar"/>
          <w:lang w:val="en-GB"/>
        </w:rPr>
        <w:t>M</w:t>
      </w:r>
      <w:r w:rsidRPr="00AB61A8">
        <w:rPr>
          <w:rStyle w:val="FootnoteChar"/>
          <w:lang w:val="en-GB"/>
        </w:rPr>
        <w:t xml:space="preserve">aximum and </w:t>
      </w:r>
      <w:r w:rsidR="00684B1A">
        <w:rPr>
          <w:rStyle w:val="FootnoteChar"/>
          <w:lang w:val="en-GB"/>
        </w:rPr>
        <w:t>M</w:t>
      </w:r>
      <w:r w:rsidRPr="00AB61A8">
        <w:rPr>
          <w:rStyle w:val="FootnoteChar"/>
          <w:lang w:val="en-GB"/>
        </w:rPr>
        <w:t xml:space="preserve">inimum Indonesian </w:t>
      </w:r>
      <w:r w:rsidR="00684B1A">
        <w:rPr>
          <w:rStyle w:val="FootnoteChar"/>
          <w:lang w:val="en-GB"/>
        </w:rPr>
        <w:t>C</w:t>
      </w:r>
      <w:r w:rsidRPr="00AB61A8">
        <w:rPr>
          <w:rStyle w:val="FootnoteChar"/>
          <w:lang w:val="en-GB"/>
        </w:rPr>
        <w:t xml:space="preserve">oal </w:t>
      </w:r>
      <w:r w:rsidR="00684B1A">
        <w:rPr>
          <w:rStyle w:val="FootnoteChar"/>
          <w:lang w:val="en-GB"/>
        </w:rPr>
        <w:t>P</w:t>
      </w:r>
      <w:r w:rsidRPr="00AB61A8">
        <w:rPr>
          <w:rStyle w:val="FootnoteChar"/>
          <w:lang w:val="en-GB"/>
        </w:rPr>
        <w:t>rices</w:t>
      </w:r>
      <w:r w:rsidR="00684B1A">
        <w:rPr>
          <w:rStyle w:val="FootnoteChar"/>
          <w:lang w:val="en-GB"/>
        </w:rPr>
        <w:t>,”</w:t>
      </w:r>
      <w:r w:rsidR="00CF1C11" w:rsidRPr="00AB61A8">
        <w:rPr>
          <w:rStyle w:val="FootnoteChar"/>
          <w:lang w:val="en-GB"/>
        </w:rPr>
        <w:t xml:space="preserve"> </w:t>
      </w:r>
      <w:r w:rsidR="000313CE" w:rsidRPr="00AB61A8">
        <w:rPr>
          <w:rStyle w:val="FootnoteChar"/>
          <w:lang w:val="en-GB"/>
        </w:rPr>
        <w:t xml:space="preserve">COALspot.com, accessed </w:t>
      </w:r>
      <w:r w:rsidR="00D01DEA" w:rsidRPr="00AB61A8">
        <w:rPr>
          <w:rStyle w:val="FootnoteChar"/>
          <w:lang w:val="en-GB"/>
        </w:rPr>
        <w:t>February 8, 202</w:t>
      </w:r>
      <w:r w:rsidR="00AB242B" w:rsidRPr="00AB61A8">
        <w:rPr>
          <w:rStyle w:val="FootnoteChar"/>
          <w:lang w:val="en-GB"/>
        </w:rPr>
        <w:t>1</w:t>
      </w:r>
      <w:r w:rsidR="000313CE" w:rsidRPr="00AB61A8">
        <w:rPr>
          <w:rStyle w:val="FootnoteChar"/>
          <w:lang w:val="en-GB"/>
        </w:rPr>
        <w:t xml:space="preserve">, </w:t>
      </w:r>
      <w:hyperlink r:id="rId13" w:history="1">
        <w:r w:rsidRPr="00AB61A8">
          <w:rPr>
            <w:rStyle w:val="FootnoteChar"/>
            <w:lang w:val="en-GB"/>
          </w:rPr>
          <w:t>www.coalspot.com</w:t>
        </w:r>
      </w:hyperlink>
      <w:r w:rsidR="00F151BC" w:rsidRPr="00AB61A8">
        <w:rPr>
          <w:rStyle w:val="FootnoteChar"/>
          <w:lang w:val="en-GB"/>
        </w:rPr>
        <w:t>.</w:t>
      </w:r>
    </w:p>
    <w:p w14:paraId="499C74E4" w14:textId="123D2560" w:rsidR="00F151BC" w:rsidRDefault="00F151BC" w:rsidP="00AD6DC0">
      <w:pPr>
        <w:rPr>
          <w:rStyle w:val="FootnoteChar"/>
          <w:lang w:val="en-GB"/>
        </w:rPr>
      </w:pPr>
    </w:p>
    <w:p w14:paraId="563E59FD" w14:textId="77777777" w:rsidR="00F151BC" w:rsidRDefault="00F151BC" w:rsidP="00F151BC">
      <w:pPr>
        <w:pStyle w:val="ExhibitHeading"/>
      </w:pPr>
    </w:p>
    <w:p w14:paraId="2CF2DB61" w14:textId="77777777" w:rsidR="00F151BC" w:rsidRDefault="00F151BC">
      <w:pPr>
        <w:spacing w:after="200" w:line="276" w:lineRule="auto"/>
        <w:rPr>
          <w:rFonts w:ascii="Arial" w:hAnsi="Arial" w:cs="Arial"/>
          <w:b/>
          <w:caps/>
        </w:rPr>
      </w:pPr>
      <w:r>
        <w:br w:type="page"/>
      </w:r>
    </w:p>
    <w:p w14:paraId="7C4346C7" w14:textId="77777777" w:rsidR="00F151BC" w:rsidRDefault="00F151BC" w:rsidP="00F151BC">
      <w:pPr>
        <w:pStyle w:val="ExhibitHeading"/>
        <w:sectPr w:rsidR="00F151BC" w:rsidSect="00A20015">
          <w:headerReference w:type="default" r:id="rId14"/>
          <w:endnotePr>
            <w:numFmt w:val="decimal"/>
          </w:endnotePr>
          <w:pgSz w:w="12240" w:h="15840" w:code="1"/>
          <w:pgMar w:top="1080" w:right="1440" w:bottom="1440" w:left="1440" w:header="1080" w:footer="720" w:gutter="0"/>
          <w:cols w:space="720"/>
          <w:docGrid w:linePitch="360"/>
        </w:sectPr>
      </w:pPr>
    </w:p>
    <w:p w14:paraId="095A86F3" w14:textId="6C30B120" w:rsidR="00F151BC" w:rsidRPr="00782C96" w:rsidRDefault="00F151BC" w:rsidP="00F151BC">
      <w:pPr>
        <w:pStyle w:val="ExhibitHeading"/>
      </w:pPr>
      <w:r w:rsidRPr="00782C96">
        <w:lastRenderedPageBreak/>
        <w:t xml:space="preserve">EXHIBIT </w:t>
      </w:r>
      <w:r>
        <w:t>5</w:t>
      </w:r>
      <w:r w:rsidRPr="00782C96">
        <w:t>: Coastal Gujarat Power Limited PERFORMANCE Over Time</w:t>
      </w:r>
    </w:p>
    <w:p w14:paraId="70F7D604" w14:textId="77777777" w:rsidR="00F151BC" w:rsidRPr="00FC1D83" w:rsidRDefault="00F151BC" w:rsidP="00F151BC">
      <w:pPr>
        <w:pStyle w:val="ExhibitHeading"/>
        <w:ind w:left="720"/>
        <w:rPr>
          <w:lang w:val="en-GB"/>
        </w:rPr>
      </w:pPr>
    </w:p>
    <w:tbl>
      <w:tblPr>
        <w:tblW w:w="13320" w:type="dxa"/>
        <w:jc w:val="center"/>
        <w:tblLayout w:type="fixed"/>
        <w:tblCellMar>
          <w:left w:w="58" w:type="dxa"/>
          <w:right w:w="58" w:type="dxa"/>
        </w:tblCellMar>
        <w:tblLook w:val="04A0" w:firstRow="1" w:lastRow="0" w:firstColumn="1" w:lastColumn="0" w:noHBand="0" w:noVBand="1"/>
      </w:tblPr>
      <w:tblGrid>
        <w:gridCol w:w="1213"/>
        <w:gridCol w:w="894"/>
        <w:gridCol w:w="1209"/>
        <w:gridCol w:w="1184"/>
        <w:gridCol w:w="968"/>
        <w:gridCol w:w="1282"/>
        <w:gridCol w:w="1188"/>
        <w:gridCol w:w="1418"/>
        <w:gridCol w:w="1276"/>
        <w:gridCol w:w="1275"/>
        <w:gridCol w:w="1413"/>
      </w:tblGrid>
      <w:tr w:rsidR="00F151BC" w:rsidRPr="00782C96" w14:paraId="5EC072F0" w14:textId="77777777" w:rsidTr="00716B22">
        <w:trPr>
          <w:trHeight w:val="581"/>
          <w:jc w:val="center"/>
        </w:trPr>
        <w:tc>
          <w:tcPr>
            <w:tcW w:w="1213" w:type="dxa"/>
            <w:tcBorders>
              <w:top w:val="nil"/>
              <w:left w:val="nil"/>
              <w:bottom w:val="nil"/>
              <w:right w:val="nil"/>
            </w:tcBorders>
            <w:shd w:val="clear" w:color="auto" w:fill="auto"/>
            <w:vAlign w:val="bottom"/>
            <w:hideMark/>
          </w:tcPr>
          <w:p w14:paraId="477EAF81" w14:textId="77777777" w:rsidR="00F151BC" w:rsidRPr="00782C96" w:rsidRDefault="00F151BC" w:rsidP="00E032CF">
            <w:pPr>
              <w:rPr>
                <w:rFonts w:ascii="Arial" w:hAnsi="Arial" w:cs="Arial"/>
                <w:sz w:val="16"/>
                <w:szCs w:val="16"/>
                <w:lang w:val="en-GB" w:eastAsia="en-IN"/>
              </w:rPr>
            </w:pPr>
          </w:p>
        </w:tc>
        <w:tc>
          <w:tcPr>
            <w:tcW w:w="8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FCA18" w14:textId="77777777" w:rsidR="00F151BC" w:rsidRPr="00782C96"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IGAAP/ IND AS</w:t>
            </w:r>
          </w:p>
        </w:tc>
        <w:tc>
          <w:tcPr>
            <w:tcW w:w="1209" w:type="dxa"/>
            <w:tcBorders>
              <w:top w:val="single" w:sz="4" w:space="0" w:color="auto"/>
              <w:left w:val="nil"/>
              <w:bottom w:val="single" w:sz="4" w:space="0" w:color="auto"/>
              <w:right w:val="single" w:sz="4" w:space="0" w:color="auto"/>
            </w:tcBorders>
            <w:shd w:val="clear" w:color="auto" w:fill="auto"/>
            <w:vAlign w:val="bottom"/>
            <w:hideMark/>
          </w:tcPr>
          <w:p w14:paraId="7898D993" w14:textId="77777777" w:rsidR="00F151BC" w:rsidRPr="00782C96"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Gross Power Generation (Million Units)</w:t>
            </w:r>
          </w:p>
        </w:tc>
        <w:tc>
          <w:tcPr>
            <w:tcW w:w="1184" w:type="dxa"/>
            <w:tcBorders>
              <w:top w:val="single" w:sz="4" w:space="0" w:color="auto"/>
              <w:left w:val="nil"/>
              <w:bottom w:val="single" w:sz="4" w:space="0" w:color="auto"/>
              <w:right w:val="single" w:sz="4" w:space="0" w:color="auto"/>
            </w:tcBorders>
            <w:shd w:val="clear" w:color="auto" w:fill="auto"/>
            <w:vAlign w:val="bottom"/>
            <w:hideMark/>
          </w:tcPr>
          <w:p w14:paraId="1ADFDAF5" w14:textId="77777777" w:rsidR="00F151BC" w:rsidRPr="00782C96"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Plant Availability (%)</w:t>
            </w:r>
          </w:p>
        </w:tc>
        <w:tc>
          <w:tcPr>
            <w:tcW w:w="968" w:type="dxa"/>
            <w:tcBorders>
              <w:top w:val="single" w:sz="4" w:space="0" w:color="auto"/>
              <w:left w:val="nil"/>
              <w:bottom w:val="single" w:sz="4" w:space="0" w:color="auto"/>
              <w:right w:val="single" w:sz="4" w:space="0" w:color="auto"/>
            </w:tcBorders>
            <w:shd w:val="clear" w:color="auto" w:fill="auto"/>
            <w:vAlign w:val="bottom"/>
            <w:hideMark/>
          </w:tcPr>
          <w:p w14:paraId="18DFBAE7" w14:textId="77777777" w:rsidR="00F151BC" w:rsidRPr="00782C96"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Plant Load Factor (%)</w:t>
            </w:r>
          </w:p>
        </w:tc>
        <w:tc>
          <w:tcPr>
            <w:tcW w:w="1282" w:type="dxa"/>
            <w:tcBorders>
              <w:top w:val="single" w:sz="4" w:space="0" w:color="auto"/>
              <w:left w:val="nil"/>
              <w:bottom w:val="single" w:sz="4" w:space="0" w:color="auto"/>
              <w:right w:val="single" w:sz="4" w:space="0" w:color="auto"/>
            </w:tcBorders>
            <w:shd w:val="clear" w:color="auto" w:fill="auto"/>
            <w:vAlign w:val="bottom"/>
            <w:hideMark/>
          </w:tcPr>
          <w:p w14:paraId="5A11F7D9" w14:textId="77777777" w:rsidR="00F151BC" w:rsidRPr="00782C96"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Revenue, Net Sales</w:t>
            </w:r>
          </w:p>
          <w:p w14:paraId="7E5E280E" w14:textId="77777777" w:rsidR="00F151BC" w:rsidRPr="00782C96"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 xml:space="preserve">(₹ </w:t>
            </w:r>
            <w:proofErr w:type="gramStart"/>
            <w:r w:rsidRPr="00782C96">
              <w:rPr>
                <w:rFonts w:ascii="Arial" w:hAnsi="Arial" w:cs="Arial"/>
                <w:b/>
                <w:bCs/>
                <w:color w:val="000000"/>
                <w:sz w:val="16"/>
                <w:szCs w:val="16"/>
                <w:lang w:val="en-GB" w:eastAsia="en-IN"/>
              </w:rPr>
              <w:t>Billions)</w:t>
            </w:r>
            <w:r>
              <w:rPr>
                <w:rFonts w:ascii="Arial" w:hAnsi="Arial" w:cs="Arial"/>
                <w:b/>
                <w:bCs/>
                <w:color w:val="000000"/>
                <w:sz w:val="16"/>
                <w:szCs w:val="16"/>
                <w:vertAlign w:val="superscript"/>
                <w:lang w:val="en-GB" w:eastAsia="en-IN"/>
              </w:rPr>
              <w:t>*</w:t>
            </w:r>
            <w:proofErr w:type="gramEnd"/>
          </w:p>
        </w:tc>
        <w:tc>
          <w:tcPr>
            <w:tcW w:w="1188" w:type="dxa"/>
            <w:tcBorders>
              <w:top w:val="single" w:sz="4" w:space="0" w:color="auto"/>
              <w:left w:val="nil"/>
              <w:bottom w:val="single" w:sz="4" w:space="0" w:color="auto"/>
              <w:right w:val="single" w:sz="4" w:space="0" w:color="auto"/>
            </w:tcBorders>
            <w:shd w:val="clear" w:color="auto" w:fill="auto"/>
            <w:vAlign w:val="bottom"/>
            <w:hideMark/>
          </w:tcPr>
          <w:p w14:paraId="7D339452" w14:textId="77777777" w:rsidR="00F151BC"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Operating Expenditure</w:t>
            </w:r>
          </w:p>
          <w:p w14:paraId="3ECE1C14" w14:textId="77777777" w:rsidR="00F151BC" w:rsidRPr="00782C96"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 xml:space="preserve">(₹ </w:t>
            </w:r>
            <w:proofErr w:type="gramStart"/>
            <w:r w:rsidRPr="00782C96">
              <w:rPr>
                <w:rFonts w:ascii="Arial" w:hAnsi="Arial" w:cs="Arial"/>
                <w:b/>
                <w:bCs/>
                <w:color w:val="000000"/>
                <w:sz w:val="16"/>
                <w:szCs w:val="16"/>
                <w:lang w:val="en-GB" w:eastAsia="en-IN"/>
              </w:rPr>
              <w:t>Billions)</w:t>
            </w:r>
            <w:r>
              <w:rPr>
                <w:rFonts w:ascii="Arial" w:hAnsi="Arial" w:cs="Arial"/>
                <w:b/>
                <w:bCs/>
                <w:color w:val="000000"/>
                <w:sz w:val="16"/>
                <w:szCs w:val="16"/>
                <w:vertAlign w:val="superscript"/>
                <w:lang w:val="en-GB" w:eastAsia="en-IN"/>
              </w:rPr>
              <w:t>†</w:t>
            </w:r>
            <w:proofErr w:type="gramEnd"/>
          </w:p>
        </w:tc>
        <w:tc>
          <w:tcPr>
            <w:tcW w:w="1418" w:type="dxa"/>
            <w:tcBorders>
              <w:top w:val="single" w:sz="4" w:space="0" w:color="auto"/>
              <w:left w:val="nil"/>
              <w:bottom w:val="single" w:sz="4" w:space="0" w:color="auto"/>
              <w:right w:val="single" w:sz="4" w:space="0" w:color="auto"/>
            </w:tcBorders>
            <w:shd w:val="clear" w:color="auto" w:fill="auto"/>
            <w:vAlign w:val="bottom"/>
            <w:hideMark/>
          </w:tcPr>
          <w:p w14:paraId="041802B6" w14:textId="77777777" w:rsidR="00F151BC"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Operating Profit/Loss</w:t>
            </w:r>
          </w:p>
          <w:p w14:paraId="282CB29F" w14:textId="77777777" w:rsidR="00F151BC" w:rsidRPr="00782C96"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 xml:space="preserve">(₹ </w:t>
            </w:r>
            <w:proofErr w:type="gramStart"/>
            <w:r w:rsidRPr="00782C96">
              <w:rPr>
                <w:rFonts w:ascii="Arial" w:hAnsi="Arial" w:cs="Arial"/>
                <w:b/>
                <w:bCs/>
                <w:color w:val="000000"/>
                <w:sz w:val="16"/>
                <w:szCs w:val="16"/>
                <w:lang w:val="en-GB" w:eastAsia="en-IN"/>
              </w:rPr>
              <w:t>Billions)</w:t>
            </w:r>
            <w:r w:rsidRPr="003B0B24">
              <w:rPr>
                <w:vertAlign w:val="superscript"/>
                <w:lang w:val="en-GB"/>
              </w:rPr>
              <w:t>‡</w:t>
            </w:r>
            <w:proofErr w:type="gramEnd"/>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55CD4192" w14:textId="77777777" w:rsidR="00F151BC"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Net</w:t>
            </w:r>
            <w:r>
              <w:rPr>
                <w:rFonts w:ascii="Arial" w:hAnsi="Arial" w:cs="Arial"/>
                <w:b/>
                <w:bCs/>
                <w:color w:val="000000"/>
                <w:sz w:val="16"/>
                <w:szCs w:val="16"/>
                <w:lang w:val="en-GB" w:eastAsia="en-IN"/>
              </w:rPr>
              <w:t xml:space="preserve"> </w:t>
            </w:r>
            <w:r w:rsidRPr="00782C96">
              <w:rPr>
                <w:rFonts w:ascii="Arial" w:hAnsi="Arial" w:cs="Arial"/>
                <w:b/>
                <w:bCs/>
                <w:color w:val="000000"/>
                <w:sz w:val="16"/>
                <w:szCs w:val="16"/>
                <w:lang w:val="en-GB" w:eastAsia="en-IN"/>
              </w:rPr>
              <w:t>Profit/Loss</w:t>
            </w:r>
          </w:p>
          <w:p w14:paraId="3E5966A4" w14:textId="77777777" w:rsidR="00F151BC" w:rsidRPr="00782C96"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 Billions)</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14:paraId="06C36AF0" w14:textId="77777777" w:rsidR="00F151BC" w:rsidRPr="00782C96"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Indonesian Coal</w:t>
            </w:r>
            <w:r>
              <w:rPr>
                <w:rFonts w:ascii="Arial" w:hAnsi="Arial" w:cs="Arial"/>
                <w:b/>
                <w:bCs/>
                <w:color w:val="000000"/>
                <w:sz w:val="16"/>
                <w:szCs w:val="16"/>
                <w:lang w:val="en-GB" w:eastAsia="en-IN"/>
              </w:rPr>
              <w:t xml:space="preserve"> (%)</w:t>
            </w:r>
          </w:p>
        </w:tc>
        <w:tc>
          <w:tcPr>
            <w:tcW w:w="1413" w:type="dxa"/>
            <w:tcBorders>
              <w:top w:val="single" w:sz="4" w:space="0" w:color="auto"/>
              <w:left w:val="nil"/>
              <w:bottom w:val="single" w:sz="4" w:space="0" w:color="auto"/>
              <w:right w:val="single" w:sz="4" w:space="0" w:color="auto"/>
            </w:tcBorders>
            <w:shd w:val="clear" w:color="auto" w:fill="auto"/>
            <w:vAlign w:val="bottom"/>
            <w:hideMark/>
          </w:tcPr>
          <w:p w14:paraId="11EA25FF" w14:textId="77777777" w:rsidR="00F151BC" w:rsidRPr="00782C96" w:rsidRDefault="00F151BC" w:rsidP="00E032CF">
            <w:pPr>
              <w:jc w:val="cente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HBA Price Referenc</w:t>
            </w:r>
            <w:r>
              <w:rPr>
                <w:rFonts w:ascii="Arial" w:hAnsi="Arial" w:cs="Arial"/>
                <w:b/>
                <w:bCs/>
                <w:color w:val="000000"/>
                <w:sz w:val="16"/>
                <w:szCs w:val="16"/>
                <w:lang w:val="en-GB" w:eastAsia="en-IN"/>
              </w:rPr>
              <w:t xml:space="preserve">e (US$ per Metric </w:t>
            </w:r>
            <w:proofErr w:type="gramStart"/>
            <w:r>
              <w:rPr>
                <w:rFonts w:ascii="Arial" w:hAnsi="Arial" w:cs="Arial"/>
                <w:b/>
                <w:bCs/>
                <w:color w:val="000000"/>
                <w:sz w:val="16"/>
                <w:szCs w:val="16"/>
                <w:lang w:val="en-GB" w:eastAsia="en-IN"/>
              </w:rPr>
              <w:t>Ton)</w:t>
            </w:r>
            <w:r w:rsidRPr="003B0B24">
              <w:rPr>
                <w:vertAlign w:val="superscript"/>
                <w:lang w:val="en-GB"/>
              </w:rPr>
              <w:t>§</w:t>
            </w:r>
            <w:proofErr w:type="gramEnd"/>
          </w:p>
        </w:tc>
      </w:tr>
      <w:tr w:rsidR="00F151BC" w:rsidRPr="00782C96" w14:paraId="527142B7" w14:textId="77777777" w:rsidTr="00716B22">
        <w:trPr>
          <w:trHeight w:val="290"/>
          <w:jc w:val="center"/>
        </w:trPr>
        <w:tc>
          <w:tcPr>
            <w:tcW w:w="1213" w:type="dxa"/>
            <w:tcBorders>
              <w:top w:val="nil"/>
              <w:left w:val="nil"/>
              <w:bottom w:val="nil"/>
              <w:right w:val="nil"/>
            </w:tcBorders>
            <w:shd w:val="clear" w:color="auto" w:fill="auto"/>
            <w:noWrap/>
            <w:vAlign w:val="center"/>
            <w:hideMark/>
          </w:tcPr>
          <w:p w14:paraId="18065016" w14:textId="77777777" w:rsidR="00F151BC" w:rsidRPr="00782C96" w:rsidRDefault="00F151BC" w:rsidP="00E032CF">
            <w:pP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FY 2012</w:t>
            </w:r>
          </w:p>
        </w:tc>
        <w:tc>
          <w:tcPr>
            <w:tcW w:w="894" w:type="dxa"/>
            <w:tcBorders>
              <w:top w:val="nil"/>
              <w:left w:val="nil"/>
              <w:bottom w:val="nil"/>
              <w:right w:val="nil"/>
            </w:tcBorders>
            <w:shd w:val="clear" w:color="auto" w:fill="auto"/>
            <w:noWrap/>
            <w:vAlign w:val="center"/>
            <w:hideMark/>
          </w:tcPr>
          <w:p w14:paraId="453B08E0" w14:textId="77777777" w:rsidR="00F151BC" w:rsidRPr="00782C96" w:rsidRDefault="00F151BC" w:rsidP="00E032CF">
            <w:pPr>
              <w:rPr>
                <w:rFonts w:ascii="Arial" w:hAnsi="Arial" w:cs="Arial"/>
                <w:b/>
                <w:bCs/>
                <w:color w:val="000000"/>
                <w:sz w:val="16"/>
                <w:szCs w:val="16"/>
                <w:lang w:val="en-GB" w:eastAsia="en-IN"/>
              </w:rPr>
            </w:pPr>
          </w:p>
        </w:tc>
        <w:tc>
          <w:tcPr>
            <w:tcW w:w="1209" w:type="dxa"/>
            <w:tcBorders>
              <w:top w:val="nil"/>
              <w:left w:val="nil"/>
              <w:bottom w:val="nil"/>
              <w:right w:val="nil"/>
            </w:tcBorders>
            <w:shd w:val="clear" w:color="auto" w:fill="auto"/>
            <w:noWrap/>
            <w:vAlign w:val="center"/>
            <w:hideMark/>
          </w:tcPr>
          <w:p w14:paraId="04D04BA6" w14:textId="77777777" w:rsidR="00F151BC" w:rsidRPr="00782C96" w:rsidRDefault="00F151BC" w:rsidP="00E032CF">
            <w:pPr>
              <w:jc w:val="right"/>
              <w:rPr>
                <w:rFonts w:ascii="Arial" w:hAnsi="Arial" w:cs="Arial"/>
                <w:sz w:val="16"/>
                <w:szCs w:val="16"/>
                <w:lang w:val="en-GB" w:eastAsia="en-IN"/>
              </w:rPr>
            </w:pPr>
          </w:p>
        </w:tc>
        <w:tc>
          <w:tcPr>
            <w:tcW w:w="1184" w:type="dxa"/>
            <w:tcBorders>
              <w:top w:val="nil"/>
              <w:left w:val="nil"/>
              <w:bottom w:val="nil"/>
              <w:right w:val="nil"/>
            </w:tcBorders>
            <w:shd w:val="clear" w:color="auto" w:fill="auto"/>
            <w:noWrap/>
            <w:vAlign w:val="center"/>
            <w:hideMark/>
          </w:tcPr>
          <w:p w14:paraId="45F2E3B7" w14:textId="77777777" w:rsidR="00F151BC" w:rsidRPr="00782C96" w:rsidRDefault="00F151BC" w:rsidP="00E032CF">
            <w:pPr>
              <w:jc w:val="right"/>
              <w:rPr>
                <w:rFonts w:ascii="Arial" w:hAnsi="Arial" w:cs="Arial"/>
                <w:sz w:val="16"/>
                <w:szCs w:val="16"/>
                <w:lang w:val="en-GB" w:eastAsia="en-IN"/>
              </w:rPr>
            </w:pPr>
          </w:p>
        </w:tc>
        <w:tc>
          <w:tcPr>
            <w:tcW w:w="968" w:type="dxa"/>
            <w:tcBorders>
              <w:top w:val="nil"/>
              <w:left w:val="nil"/>
              <w:bottom w:val="nil"/>
              <w:right w:val="nil"/>
            </w:tcBorders>
            <w:shd w:val="clear" w:color="auto" w:fill="auto"/>
            <w:noWrap/>
            <w:vAlign w:val="center"/>
            <w:hideMark/>
          </w:tcPr>
          <w:p w14:paraId="1216B71B" w14:textId="77777777" w:rsidR="00F151BC" w:rsidRPr="00782C96" w:rsidRDefault="00F151BC" w:rsidP="00E032CF">
            <w:pPr>
              <w:jc w:val="right"/>
              <w:rPr>
                <w:rFonts w:ascii="Arial" w:hAnsi="Arial" w:cs="Arial"/>
                <w:sz w:val="16"/>
                <w:szCs w:val="16"/>
                <w:lang w:val="en-GB" w:eastAsia="en-IN"/>
              </w:rPr>
            </w:pPr>
          </w:p>
        </w:tc>
        <w:tc>
          <w:tcPr>
            <w:tcW w:w="1282" w:type="dxa"/>
            <w:tcBorders>
              <w:top w:val="nil"/>
              <w:left w:val="nil"/>
              <w:bottom w:val="nil"/>
              <w:right w:val="nil"/>
            </w:tcBorders>
            <w:shd w:val="clear" w:color="auto" w:fill="auto"/>
            <w:noWrap/>
            <w:vAlign w:val="center"/>
            <w:hideMark/>
          </w:tcPr>
          <w:p w14:paraId="0C7B2F33" w14:textId="77777777" w:rsidR="00F151BC" w:rsidRPr="00782C96" w:rsidRDefault="00F151BC" w:rsidP="00E032CF">
            <w:pPr>
              <w:jc w:val="right"/>
              <w:rPr>
                <w:rFonts w:ascii="Arial" w:hAnsi="Arial" w:cs="Arial"/>
                <w:sz w:val="16"/>
                <w:szCs w:val="16"/>
                <w:lang w:val="en-GB" w:eastAsia="en-IN"/>
              </w:rPr>
            </w:pPr>
          </w:p>
        </w:tc>
        <w:tc>
          <w:tcPr>
            <w:tcW w:w="1188" w:type="dxa"/>
            <w:tcBorders>
              <w:top w:val="nil"/>
              <w:left w:val="nil"/>
              <w:bottom w:val="nil"/>
              <w:right w:val="nil"/>
            </w:tcBorders>
            <w:shd w:val="clear" w:color="auto" w:fill="auto"/>
            <w:noWrap/>
            <w:vAlign w:val="center"/>
            <w:hideMark/>
          </w:tcPr>
          <w:p w14:paraId="6CCE6754" w14:textId="77777777" w:rsidR="00F151BC" w:rsidRPr="00782C96" w:rsidRDefault="00F151BC" w:rsidP="00E032CF">
            <w:pPr>
              <w:jc w:val="right"/>
              <w:rPr>
                <w:rFonts w:ascii="Arial" w:hAnsi="Arial" w:cs="Arial"/>
                <w:sz w:val="16"/>
                <w:szCs w:val="16"/>
                <w:lang w:val="en-GB" w:eastAsia="en-IN"/>
              </w:rPr>
            </w:pPr>
          </w:p>
        </w:tc>
        <w:tc>
          <w:tcPr>
            <w:tcW w:w="1418" w:type="dxa"/>
            <w:tcBorders>
              <w:top w:val="nil"/>
              <w:left w:val="nil"/>
              <w:bottom w:val="nil"/>
              <w:right w:val="nil"/>
            </w:tcBorders>
            <w:shd w:val="clear" w:color="auto" w:fill="auto"/>
            <w:noWrap/>
            <w:vAlign w:val="center"/>
            <w:hideMark/>
          </w:tcPr>
          <w:p w14:paraId="455EFD5F" w14:textId="77777777" w:rsidR="00F151BC" w:rsidRPr="00782C96" w:rsidRDefault="00F151BC" w:rsidP="00E032CF">
            <w:pPr>
              <w:jc w:val="right"/>
              <w:rPr>
                <w:rFonts w:ascii="Arial" w:hAnsi="Arial" w:cs="Arial"/>
                <w:sz w:val="16"/>
                <w:szCs w:val="16"/>
                <w:lang w:val="en-GB" w:eastAsia="en-IN"/>
              </w:rPr>
            </w:pPr>
          </w:p>
        </w:tc>
        <w:tc>
          <w:tcPr>
            <w:tcW w:w="1276" w:type="dxa"/>
            <w:tcBorders>
              <w:top w:val="nil"/>
              <w:left w:val="nil"/>
              <w:bottom w:val="nil"/>
              <w:right w:val="nil"/>
            </w:tcBorders>
            <w:shd w:val="clear" w:color="auto" w:fill="auto"/>
            <w:noWrap/>
            <w:vAlign w:val="center"/>
            <w:hideMark/>
          </w:tcPr>
          <w:p w14:paraId="682B0917" w14:textId="77777777" w:rsidR="00F151BC" w:rsidRPr="00782C96" w:rsidRDefault="00F151BC" w:rsidP="00E032CF">
            <w:pPr>
              <w:jc w:val="right"/>
              <w:rPr>
                <w:rFonts w:ascii="Arial" w:hAnsi="Arial" w:cs="Arial"/>
                <w:sz w:val="16"/>
                <w:szCs w:val="16"/>
                <w:lang w:val="en-GB" w:eastAsia="en-IN"/>
              </w:rPr>
            </w:pPr>
          </w:p>
        </w:tc>
        <w:tc>
          <w:tcPr>
            <w:tcW w:w="1275" w:type="dxa"/>
            <w:tcBorders>
              <w:top w:val="nil"/>
              <w:left w:val="nil"/>
              <w:bottom w:val="nil"/>
              <w:right w:val="nil"/>
            </w:tcBorders>
            <w:shd w:val="clear" w:color="auto" w:fill="auto"/>
            <w:noWrap/>
            <w:vAlign w:val="center"/>
            <w:hideMark/>
          </w:tcPr>
          <w:p w14:paraId="5608A08E" w14:textId="77777777" w:rsidR="00F151BC" w:rsidRPr="00782C96" w:rsidRDefault="00F151BC" w:rsidP="00E032CF">
            <w:pPr>
              <w:jc w:val="right"/>
              <w:rPr>
                <w:rFonts w:ascii="Arial" w:hAnsi="Arial" w:cs="Arial"/>
                <w:sz w:val="16"/>
                <w:szCs w:val="16"/>
                <w:lang w:val="en-GB" w:eastAsia="en-IN"/>
              </w:rPr>
            </w:pPr>
          </w:p>
        </w:tc>
        <w:tc>
          <w:tcPr>
            <w:tcW w:w="1413" w:type="dxa"/>
            <w:tcBorders>
              <w:top w:val="nil"/>
              <w:left w:val="nil"/>
              <w:bottom w:val="nil"/>
              <w:right w:val="nil"/>
            </w:tcBorders>
            <w:shd w:val="clear" w:color="auto" w:fill="auto"/>
            <w:noWrap/>
            <w:vAlign w:val="center"/>
            <w:hideMark/>
          </w:tcPr>
          <w:p w14:paraId="24044253"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116.00</w:t>
            </w:r>
          </w:p>
        </w:tc>
      </w:tr>
      <w:tr w:rsidR="00F151BC" w:rsidRPr="00782C96" w14:paraId="27BF4CC9" w14:textId="77777777" w:rsidTr="00716B22">
        <w:trPr>
          <w:trHeight w:val="29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95B24" w14:textId="77777777" w:rsidR="00F151BC" w:rsidRPr="00782C96" w:rsidRDefault="00F151BC" w:rsidP="00E032CF">
            <w:pP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FY 2013</w:t>
            </w:r>
          </w:p>
        </w:tc>
        <w:tc>
          <w:tcPr>
            <w:tcW w:w="894" w:type="dxa"/>
            <w:tcBorders>
              <w:top w:val="single" w:sz="4" w:space="0" w:color="auto"/>
              <w:left w:val="nil"/>
              <w:bottom w:val="single" w:sz="4" w:space="0" w:color="auto"/>
              <w:right w:val="single" w:sz="4" w:space="0" w:color="auto"/>
            </w:tcBorders>
            <w:shd w:val="clear" w:color="auto" w:fill="auto"/>
            <w:noWrap/>
            <w:vAlign w:val="center"/>
            <w:hideMark/>
          </w:tcPr>
          <w:p w14:paraId="0DCA6D2A" w14:textId="77777777" w:rsidR="00F151BC" w:rsidRPr="00782C96" w:rsidRDefault="00F151BC" w:rsidP="00E032CF">
            <w:pPr>
              <w:rPr>
                <w:rFonts w:ascii="Arial" w:hAnsi="Arial" w:cs="Arial"/>
                <w:color w:val="000000"/>
                <w:sz w:val="16"/>
                <w:szCs w:val="16"/>
                <w:lang w:val="en-GB" w:eastAsia="en-IN"/>
              </w:rPr>
            </w:pPr>
            <w:r w:rsidRPr="00782C96">
              <w:rPr>
                <w:rFonts w:ascii="Arial" w:hAnsi="Arial" w:cs="Arial"/>
                <w:color w:val="000000"/>
                <w:sz w:val="16"/>
                <w:szCs w:val="16"/>
                <w:lang w:val="en-GB" w:eastAsia="en-IN"/>
              </w:rPr>
              <w:t>IGAAP</w:t>
            </w:r>
          </w:p>
        </w:tc>
        <w:tc>
          <w:tcPr>
            <w:tcW w:w="1209" w:type="dxa"/>
            <w:tcBorders>
              <w:top w:val="single" w:sz="4" w:space="0" w:color="auto"/>
              <w:left w:val="nil"/>
              <w:bottom w:val="single" w:sz="4" w:space="0" w:color="auto"/>
              <w:right w:val="single" w:sz="4" w:space="0" w:color="auto"/>
            </w:tcBorders>
            <w:shd w:val="clear" w:color="auto" w:fill="auto"/>
            <w:noWrap/>
            <w:vAlign w:val="center"/>
            <w:hideMark/>
          </w:tcPr>
          <w:p w14:paraId="29CAAC1E"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12</w:t>
            </w:r>
            <w:r>
              <w:rPr>
                <w:rFonts w:ascii="Arial" w:hAnsi="Arial" w:cs="Arial"/>
                <w:color w:val="000000"/>
                <w:sz w:val="16"/>
                <w:szCs w:val="16"/>
                <w:lang w:val="en-GB" w:eastAsia="en-IN"/>
              </w:rPr>
              <w:t>,</w:t>
            </w:r>
            <w:r w:rsidRPr="00782C96">
              <w:rPr>
                <w:rFonts w:ascii="Arial" w:hAnsi="Arial" w:cs="Arial"/>
                <w:color w:val="000000"/>
                <w:sz w:val="16"/>
                <w:szCs w:val="16"/>
                <w:lang w:val="en-GB" w:eastAsia="en-IN"/>
              </w:rPr>
              <w:t>440</w:t>
            </w:r>
          </w:p>
        </w:tc>
        <w:tc>
          <w:tcPr>
            <w:tcW w:w="1184" w:type="dxa"/>
            <w:tcBorders>
              <w:top w:val="single" w:sz="4" w:space="0" w:color="auto"/>
              <w:left w:val="nil"/>
              <w:bottom w:val="single" w:sz="4" w:space="0" w:color="auto"/>
              <w:right w:val="single" w:sz="4" w:space="0" w:color="auto"/>
            </w:tcBorders>
            <w:shd w:val="clear" w:color="auto" w:fill="auto"/>
            <w:noWrap/>
            <w:vAlign w:val="center"/>
            <w:hideMark/>
          </w:tcPr>
          <w:p w14:paraId="5F39B5CA"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84</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14:paraId="43FFFDBE"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74</w:t>
            </w:r>
          </w:p>
        </w:tc>
        <w:tc>
          <w:tcPr>
            <w:tcW w:w="1282" w:type="dxa"/>
            <w:tcBorders>
              <w:top w:val="single" w:sz="4" w:space="0" w:color="auto"/>
              <w:left w:val="nil"/>
              <w:bottom w:val="single" w:sz="4" w:space="0" w:color="auto"/>
              <w:right w:val="single" w:sz="4" w:space="0" w:color="auto"/>
            </w:tcBorders>
            <w:shd w:val="clear" w:color="auto" w:fill="auto"/>
            <w:noWrap/>
            <w:vAlign w:val="center"/>
            <w:hideMark/>
          </w:tcPr>
          <w:p w14:paraId="4EB6496D"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28.0</w:t>
            </w:r>
          </w:p>
        </w:tc>
        <w:tc>
          <w:tcPr>
            <w:tcW w:w="1188" w:type="dxa"/>
            <w:tcBorders>
              <w:top w:val="single" w:sz="4" w:space="0" w:color="auto"/>
              <w:left w:val="nil"/>
              <w:bottom w:val="single" w:sz="4" w:space="0" w:color="auto"/>
              <w:right w:val="single" w:sz="4" w:space="0" w:color="auto"/>
            </w:tcBorders>
            <w:shd w:val="clear" w:color="auto" w:fill="auto"/>
            <w:noWrap/>
            <w:vAlign w:val="center"/>
            <w:hideMark/>
          </w:tcPr>
          <w:p w14:paraId="422BA78D"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29.5</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FC7949B" w14:textId="77777777" w:rsidR="00F151BC" w:rsidRPr="00782C96" w:rsidRDefault="00F151BC" w:rsidP="00E032CF">
            <w:pPr>
              <w:jc w:val="right"/>
              <w:rPr>
                <w:rFonts w:ascii="Arial" w:hAnsi="Arial" w:cs="Arial"/>
                <w:color w:val="000000"/>
                <w:sz w:val="16"/>
                <w:szCs w:val="16"/>
                <w:lang w:val="en-GB" w:eastAsia="en-IN"/>
              </w:rPr>
            </w:pPr>
            <w:r>
              <w:rPr>
                <w:rFonts w:ascii="Arial" w:hAnsi="Arial" w:cs="Arial"/>
                <w:color w:val="000000"/>
                <w:sz w:val="16"/>
                <w:szCs w:val="16"/>
                <w:lang w:val="en-GB" w:eastAsia="en-IN"/>
              </w:rPr>
              <w:t>−</w:t>
            </w:r>
            <w:r w:rsidRPr="00782C96">
              <w:rPr>
                <w:rFonts w:ascii="Arial" w:hAnsi="Arial" w:cs="Arial"/>
                <w:color w:val="000000"/>
                <w:sz w:val="16"/>
                <w:szCs w:val="16"/>
                <w:lang w:val="en-GB" w:eastAsia="en-IN"/>
              </w:rPr>
              <w:t>1.5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69CC39E" w14:textId="77777777" w:rsidR="00F151BC" w:rsidRPr="00782C96" w:rsidRDefault="00F151BC" w:rsidP="00E032CF">
            <w:pPr>
              <w:jc w:val="right"/>
              <w:rPr>
                <w:rFonts w:ascii="Arial" w:hAnsi="Arial" w:cs="Arial"/>
                <w:color w:val="000000"/>
                <w:sz w:val="16"/>
                <w:szCs w:val="16"/>
                <w:lang w:val="en-GB" w:eastAsia="en-IN"/>
              </w:rPr>
            </w:pPr>
            <w:r>
              <w:rPr>
                <w:rFonts w:ascii="Arial" w:hAnsi="Arial" w:cs="Arial"/>
                <w:color w:val="000000"/>
                <w:sz w:val="16"/>
                <w:szCs w:val="16"/>
                <w:lang w:val="en-GB" w:eastAsia="en-IN"/>
              </w:rPr>
              <w:t>−</w:t>
            </w:r>
            <w:r w:rsidRPr="00782C96">
              <w:rPr>
                <w:rFonts w:ascii="Arial" w:hAnsi="Arial" w:cs="Arial"/>
                <w:color w:val="000000"/>
                <w:sz w:val="16"/>
                <w:szCs w:val="16"/>
                <w:lang w:val="en-GB" w:eastAsia="en-IN"/>
              </w:rPr>
              <w:t>16.0</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7095EEA"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90</w:t>
            </w:r>
          </w:p>
        </w:tc>
        <w:tc>
          <w:tcPr>
            <w:tcW w:w="1413" w:type="dxa"/>
            <w:tcBorders>
              <w:top w:val="single" w:sz="4" w:space="0" w:color="auto"/>
              <w:left w:val="nil"/>
              <w:bottom w:val="single" w:sz="4" w:space="0" w:color="auto"/>
              <w:right w:val="single" w:sz="4" w:space="0" w:color="auto"/>
            </w:tcBorders>
            <w:shd w:val="clear" w:color="auto" w:fill="auto"/>
            <w:noWrap/>
            <w:vAlign w:val="center"/>
            <w:hideMark/>
          </w:tcPr>
          <w:p w14:paraId="0D8AFAAC"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89.84</w:t>
            </w:r>
          </w:p>
        </w:tc>
      </w:tr>
      <w:tr w:rsidR="00F151BC" w:rsidRPr="00782C96" w14:paraId="01446B84" w14:textId="77777777" w:rsidTr="00716B22">
        <w:trPr>
          <w:trHeight w:val="290"/>
          <w:jc w:val="center"/>
        </w:trPr>
        <w:tc>
          <w:tcPr>
            <w:tcW w:w="1213" w:type="dxa"/>
            <w:tcBorders>
              <w:top w:val="nil"/>
              <w:left w:val="single" w:sz="4" w:space="0" w:color="auto"/>
              <w:bottom w:val="single" w:sz="4" w:space="0" w:color="auto"/>
              <w:right w:val="single" w:sz="4" w:space="0" w:color="auto"/>
            </w:tcBorders>
            <w:shd w:val="clear" w:color="auto" w:fill="auto"/>
            <w:noWrap/>
            <w:vAlign w:val="center"/>
            <w:hideMark/>
          </w:tcPr>
          <w:p w14:paraId="70F18C9D" w14:textId="77777777" w:rsidR="00F151BC" w:rsidRPr="00782C96" w:rsidRDefault="00F151BC" w:rsidP="00E032CF">
            <w:pP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FY 2014</w:t>
            </w:r>
          </w:p>
        </w:tc>
        <w:tc>
          <w:tcPr>
            <w:tcW w:w="894" w:type="dxa"/>
            <w:tcBorders>
              <w:top w:val="nil"/>
              <w:left w:val="nil"/>
              <w:bottom w:val="single" w:sz="4" w:space="0" w:color="auto"/>
              <w:right w:val="single" w:sz="4" w:space="0" w:color="auto"/>
            </w:tcBorders>
            <w:shd w:val="clear" w:color="auto" w:fill="auto"/>
            <w:noWrap/>
            <w:vAlign w:val="center"/>
            <w:hideMark/>
          </w:tcPr>
          <w:p w14:paraId="7DAC5BD1" w14:textId="77777777" w:rsidR="00F151BC" w:rsidRPr="00782C96" w:rsidRDefault="00F151BC" w:rsidP="00E032CF">
            <w:pPr>
              <w:rPr>
                <w:rFonts w:ascii="Arial" w:hAnsi="Arial" w:cs="Arial"/>
                <w:color w:val="000000"/>
                <w:sz w:val="16"/>
                <w:szCs w:val="16"/>
                <w:lang w:val="en-GB" w:eastAsia="en-IN"/>
              </w:rPr>
            </w:pPr>
            <w:r w:rsidRPr="00782C96">
              <w:rPr>
                <w:rFonts w:ascii="Arial" w:hAnsi="Arial" w:cs="Arial"/>
                <w:color w:val="000000"/>
                <w:sz w:val="16"/>
                <w:szCs w:val="16"/>
                <w:lang w:val="en-GB" w:eastAsia="en-IN"/>
              </w:rPr>
              <w:t>IGAAP</w:t>
            </w:r>
          </w:p>
        </w:tc>
        <w:tc>
          <w:tcPr>
            <w:tcW w:w="1209" w:type="dxa"/>
            <w:tcBorders>
              <w:top w:val="nil"/>
              <w:left w:val="nil"/>
              <w:bottom w:val="single" w:sz="4" w:space="0" w:color="auto"/>
              <w:right w:val="single" w:sz="4" w:space="0" w:color="auto"/>
            </w:tcBorders>
            <w:shd w:val="clear" w:color="auto" w:fill="auto"/>
            <w:noWrap/>
            <w:vAlign w:val="center"/>
            <w:hideMark/>
          </w:tcPr>
          <w:p w14:paraId="584B59A2"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23</w:t>
            </w:r>
            <w:r>
              <w:rPr>
                <w:rFonts w:ascii="Arial" w:hAnsi="Arial" w:cs="Arial"/>
                <w:color w:val="000000"/>
                <w:sz w:val="16"/>
                <w:szCs w:val="16"/>
                <w:lang w:val="en-GB" w:eastAsia="en-IN"/>
              </w:rPr>
              <w:t>,</w:t>
            </w:r>
            <w:r w:rsidRPr="00782C96">
              <w:rPr>
                <w:rFonts w:ascii="Arial" w:hAnsi="Arial" w:cs="Arial"/>
                <w:color w:val="000000"/>
                <w:sz w:val="16"/>
                <w:szCs w:val="16"/>
                <w:lang w:val="en-GB" w:eastAsia="en-IN"/>
              </w:rPr>
              <w:t>928</w:t>
            </w:r>
          </w:p>
        </w:tc>
        <w:tc>
          <w:tcPr>
            <w:tcW w:w="1184" w:type="dxa"/>
            <w:tcBorders>
              <w:top w:val="nil"/>
              <w:left w:val="nil"/>
              <w:bottom w:val="single" w:sz="4" w:space="0" w:color="auto"/>
              <w:right w:val="single" w:sz="4" w:space="0" w:color="auto"/>
            </w:tcBorders>
            <w:shd w:val="clear" w:color="auto" w:fill="auto"/>
            <w:noWrap/>
            <w:vAlign w:val="center"/>
            <w:hideMark/>
          </w:tcPr>
          <w:p w14:paraId="5DBA8DAB"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83</w:t>
            </w:r>
          </w:p>
        </w:tc>
        <w:tc>
          <w:tcPr>
            <w:tcW w:w="968" w:type="dxa"/>
            <w:tcBorders>
              <w:top w:val="nil"/>
              <w:left w:val="nil"/>
              <w:bottom w:val="single" w:sz="4" w:space="0" w:color="auto"/>
              <w:right w:val="single" w:sz="4" w:space="0" w:color="auto"/>
            </w:tcBorders>
            <w:shd w:val="clear" w:color="auto" w:fill="auto"/>
            <w:noWrap/>
            <w:vAlign w:val="center"/>
            <w:hideMark/>
          </w:tcPr>
          <w:p w14:paraId="58D9AF96"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66</w:t>
            </w:r>
          </w:p>
        </w:tc>
        <w:tc>
          <w:tcPr>
            <w:tcW w:w="1282" w:type="dxa"/>
            <w:tcBorders>
              <w:top w:val="nil"/>
              <w:left w:val="nil"/>
              <w:bottom w:val="single" w:sz="4" w:space="0" w:color="auto"/>
              <w:right w:val="single" w:sz="4" w:space="0" w:color="auto"/>
            </w:tcBorders>
            <w:shd w:val="clear" w:color="auto" w:fill="auto"/>
            <w:noWrap/>
            <w:vAlign w:val="center"/>
            <w:hideMark/>
          </w:tcPr>
          <w:p w14:paraId="3231FEDC"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56.47</w:t>
            </w:r>
          </w:p>
        </w:tc>
        <w:tc>
          <w:tcPr>
            <w:tcW w:w="1188" w:type="dxa"/>
            <w:tcBorders>
              <w:top w:val="nil"/>
              <w:left w:val="nil"/>
              <w:bottom w:val="single" w:sz="4" w:space="0" w:color="auto"/>
              <w:right w:val="single" w:sz="4" w:space="0" w:color="auto"/>
            </w:tcBorders>
            <w:shd w:val="clear" w:color="auto" w:fill="auto"/>
            <w:noWrap/>
            <w:vAlign w:val="center"/>
            <w:hideMark/>
          </w:tcPr>
          <w:p w14:paraId="430B10F1"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59.3</w:t>
            </w:r>
          </w:p>
        </w:tc>
        <w:tc>
          <w:tcPr>
            <w:tcW w:w="1418" w:type="dxa"/>
            <w:tcBorders>
              <w:top w:val="nil"/>
              <w:left w:val="nil"/>
              <w:bottom w:val="single" w:sz="4" w:space="0" w:color="auto"/>
              <w:right w:val="single" w:sz="4" w:space="0" w:color="auto"/>
            </w:tcBorders>
            <w:shd w:val="clear" w:color="auto" w:fill="auto"/>
            <w:noWrap/>
            <w:vAlign w:val="center"/>
            <w:hideMark/>
          </w:tcPr>
          <w:p w14:paraId="1A95D148" w14:textId="77777777" w:rsidR="00F151BC" w:rsidRPr="00782C96" w:rsidRDefault="00F151BC" w:rsidP="00E032CF">
            <w:pPr>
              <w:jc w:val="right"/>
              <w:rPr>
                <w:rFonts w:ascii="Arial" w:hAnsi="Arial" w:cs="Arial"/>
                <w:color w:val="000000"/>
                <w:sz w:val="16"/>
                <w:szCs w:val="16"/>
                <w:lang w:val="en-GB" w:eastAsia="en-IN"/>
              </w:rPr>
            </w:pPr>
            <w:r>
              <w:rPr>
                <w:rFonts w:ascii="Arial" w:hAnsi="Arial" w:cs="Arial"/>
                <w:color w:val="000000"/>
                <w:sz w:val="16"/>
                <w:szCs w:val="16"/>
                <w:lang w:val="en-GB" w:eastAsia="en-IN"/>
              </w:rPr>
              <w:t>−</w:t>
            </w:r>
            <w:r w:rsidRPr="00782C96">
              <w:rPr>
                <w:rFonts w:ascii="Arial" w:hAnsi="Arial" w:cs="Arial"/>
                <w:color w:val="000000"/>
                <w:sz w:val="16"/>
                <w:szCs w:val="16"/>
                <w:lang w:val="en-GB" w:eastAsia="en-IN"/>
              </w:rPr>
              <w:t>2.9</w:t>
            </w:r>
          </w:p>
        </w:tc>
        <w:tc>
          <w:tcPr>
            <w:tcW w:w="1276" w:type="dxa"/>
            <w:tcBorders>
              <w:top w:val="nil"/>
              <w:left w:val="nil"/>
              <w:bottom w:val="single" w:sz="4" w:space="0" w:color="auto"/>
              <w:right w:val="single" w:sz="4" w:space="0" w:color="auto"/>
            </w:tcBorders>
            <w:shd w:val="clear" w:color="auto" w:fill="auto"/>
            <w:noWrap/>
            <w:vAlign w:val="center"/>
            <w:hideMark/>
          </w:tcPr>
          <w:p w14:paraId="008A87EF" w14:textId="77777777" w:rsidR="00F151BC" w:rsidRPr="00782C96" w:rsidRDefault="00F151BC" w:rsidP="00E032CF">
            <w:pPr>
              <w:jc w:val="right"/>
              <w:rPr>
                <w:rFonts w:ascii="Arial" w:hAnsi="Arial" w:cs="Arial"/>
                <w:color w:val="000000"/>
                <w:sz w:val="16"/>
                <w:szCs w:val="16"/>
                <w:lang w:val="en-GB" w:eastAsia="en-IN"/>
              </w:rPr>
            </w:pPr>
            <w:r>
              <w:rPr>
                <w:rFonts w:ascii="Arial" w:hAnsi="Arial" w:cs="Arial"/>
                <w:color w:val="000000"/>
                <w:sz w:val="16"/>
                <w:szCs w:val="16"/>
                <w:lang w:val="en-GB" w:eastAsia="en-IN"/>
              </w:rPr>
              <w:t>−</w:t>
            </w:r>
            <w:r w:rsidRPr="00782C96">
              <w:rPr>
                <w:rFonts w:ascii="Arial" w:hAnsi="Arial" w:cs="Arial"/>
                <w:color w:val="000000"/>
                <w:sz w:val="16"/>
                <w:szCs w:val="16"/>
                <w:lang w:val="en-GB" w:eastAsia="en-IN"/>
              </w:rPr>
              <w:t>14.9</w:t>
            </w:r>
          </w:p>
        </w:tc>
        <w:tc>
          <w:tcPr>
            <w:tcW w:w="1275" w:type="dxa"/>
            <w:tcBorders>
              <w:top w:val="nil"/>
              <w:left w:val="nil"/>
              <w:bottom w:val="single" w:sz="4" w:space="0" w:color="auto"/>
              <w:right w:val="single" w:sz="4" w:space="0" w:color="auto"/>
            </w:tcBorders>
            <w:shd w:val="clear" w:color="auto" w:fill="auto"/>
            <w:noWrap/>
            <w:vAlign w:val="center"/>
            <w:hideMark/>
          </w:tcPr>
          <w:p w14:paraId="5D8D87F5"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99</w:t>
            </w:r>
          </w:p>
        </w:tc>
        <w:tc>
          <w:tcPr>
            <w:tcW w:w="1413" w:type="dxa"/>
            <w:tcBorders>
              <w:top w:val="nil"/>
              <w:left w:val="nil"/>
              <w:bottom w:val="single" w:sz="4" w:space="0" w:color="auto"/>
              <w:right w:val="single" w:sz="4" w:space="0" w:color="auto"/>
            </w:tcBorders>
            <w:shd w:val="clear" w:color="auto" w:fill="auto"/>
            <w:noWrap/>
            <w:vAlign w:val="center"/>
            <w:hideMark/>
          </w:tcPr>
          <w:p w14:paraId="19A59B52"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80.70</w:t>
            </w:r>
          </w:p>
        </w:tc>
      </w:tr>
      <w:tr w:rsidR="00F151BC" w:rsidRPr="00782C96" w14:paraId="62AC07B6" w14:textId="77777777" w:rsidTr="00716B22">
        <w:trPr>
          <w:trHeight w:val="290"/>
          <w:jc w:val="center"/>
        </w:trPr>
        <w:tc>
          <w:tcPr>
            <w:tcW w:w="1213" w:type="dxa"/>
            <w:tcBorders>
              <w:top w:val="nil"/>
              <w:left w:val="single" w:sz="4" w:space="0" w:color="auto"/>
              <w:bottom w:val="single" w:sz="4" w:space="0" w:color="auto"/>
              <w:right w:val="single" w:sz="4" w:space="0" w:color="auto"/>
            </w:tcBorders>
            <w:shd w:val="clear" w:color="auto" w:fill="auto"/>
            <w:noWrap/>
            <w:vAlign w:val="center"/>
            <w:hideMark/>
          </w:tcPr>
          <w:p w14:paraId="38DD4872" w14:textId="77777777" w:rsidR="00F151BC" w:rsidRPr="00782C96" w:rsidRDefault="00F151BC" w:rsidP="00E032CF">
            <w:pP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FY 2015</w:t>
            </w:r>
          </w:p>
        </w:tc>
        <w:tc>
          <w:tcPr>
            <w:tcW w:w="894" w:type="dxa"/>
            <w:tcBorders>
              <w:top w:val="nil"/>
              <w:left w:val="nil"/>
              <w:bottom w:val="single" w:sz="4" w:space="0" w:color="auto"/>
              <w:right w:val="single" w:sz="4" w:space="0" w:color="auto"/>
            </w:tcBorders>
            <w:shd w:val="clear" w:color="auto" w:fill="auto"/>
            <w:noWrap/>
            <w:vAlign w:val="center"/>
            <w:hideMark/>
          </w:tcPr>
          <w:p w14:paraId="1C311EAD" w14:textId="77777777" w:rsidR="00F151BC" w:rsidRPr="00782C96" w:rsidRDefault="00F151BC" w:rsidP="00E032CF">
            <w:pPr>
              <w:rPr>
                <w:rFonts w:ascii="Arial" w:hAnsi="Arial" w:cs="Arial"/>
                <w:color w:val="000000"/>
                <w:sz w:val="16"/>
                <w:szCs w:val="16"/>
                <w:lang w:val="en-GB" w:eastAsia="en-IN"/>
              </w:rPr>
            </w:pPr>
            <w:r w:rsidRPr="00782C96">
              <w:rPr>
                <w:rFonts w:ascii="Arial" w:hAnsi="Arial" w:cs="Arial"/>
                <w:color w:val="000000"/>
                <w:sz w:val="16"/>
                <w:szCs w:val="16"/>
                <w:lang w:val="en-GB" w:eastAsia="en-IN"/>
              </w:rPr>
              <w:t>IGAAP</w:t>
            </w:r>
          </w:p>
        </w:tc>
        <w:tc>
          <w:tcPr>
            <w:tcW w:w="1209" w:type="dxa"/>
            <w:tcBorders>
              <w:top w:val="nil"/>
              <w:left w:val="nil"/>
              <w:bottom w:val="single" w:sz="4" w:space="0" w:color="auto"/>
              <w:right w:val="single" w:sz="4" w:space="0" w:color="auto"/>
            </w:tcBorders>
            <w:shd w:val="clear" w:color="auto" w:fill="auto"/>
            <w:noWrap/>
            <w:vAlign w:val="center"/>
            <w:hideMark/>
          </w:tcPr>
          <w:p w14:paraId="237288F3"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26</w:t>
            </w:r>
            <w:r>
              <w:rPr>
                <w:rFonts w:ascii="Arial" w:hAnsi="Arial" w:cs="Arial"/>
                <w:color w:val="000000"/>
                <w:sz w:val="16"/>
                <w:szCs w:val="16"/>
                <w:lang w:val="en-GB" w:eastAsia="en-IN"/>
              </w:rPr>
              <w:t>,</w:t>
            </w:r>
            <w:r w:rsidRPr="00782C96">
              <w:rPr>
                <w:rFonts w:ascii="Arial" w:hAnsi="Arial" w:cs="Arial"/>
                <w:color w:val="000000"/>
                <w:sz w:val="16"/>
                <w:szCs w:val="16"/>
                <w:lang w:val="en-GB" w:eastAsia="en-IN"/>
              </w:rPr>
              <w:t>578</w:t>
            </w:r>
          </w:p>
        </w:tc>
        <w:tc>
          <w:tcPr>
            <w:tcW w:w="1184" w:type="dxa"/>
            <w:tcBorders>
              <w:top w:val="nil"/>
              <w:left w:val="nil"/>
              <w:bottom w:val="single" w:sz="4" w:space="0" w:color="auto"/>
              <w:right w:val="single" w:sz="4" w:space="0" w:color="auto"/>
            </w:tcBorders>
            <w:shd w:val="clear" w:color="auto" w:fill="auto"/>
            <w:noWrap/>
            <w:vAlign w:val="center"/>
            <w:hideMark/>
          </w:tcPr>
          <w:p w14:paraId="7BFC8B4B"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83</w:t>
            </w:r>
          </w:p>
        </w:tc>
        <w:tc>
          <w:tcPr>
            <w:tcW w:w="968" w:type="dxa"/>
            <w:tcBorders>
              <w:top w:val="nil"/>
              <w:left w:val="nil"/>
              <w:bottom w:val="single" w:sz="4" w:space="0" w:color="auto"/>
              <w:right w:val="single" w:sz="4" w:space="0" w:color="auto"/>
            </w:tcBorders>
            <w:shd w:val="clear" w:color="auto" w:fill="auto"/>
            <w:noWrap/>
            <w:vAlign w:val="center"/>
            <w:hideMark/>
          </w:tcPr>
          <w:p w14:paraId="2278C538"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73</w:t>
            </w:r>
          </w:p>
        </w:tc>
        <w:tc>
          <w:tcPr>
            <w:tcW w:w="1282" w:type="dxa"/>
            <w:tcBorders>
              <w:top w:val="nil"/>
              <w:left w:val="nil"/>
              <w:bottom w:val="single" w:sz="4" w:space="0" w:color="auto"/>
              <w:right w:val="single" w:sz="4" w:space="0" w:color="auto"/>
            </w:tcBorders>
            <w:shd w:val="clear" w:color="auto" w:fill="auto"/>
            <w:noWrap/>
            <w:vAlign w:val="center"/>
            <w:hideMark/>
          </w:tcPr>
          <w:p w14:paraId="0E32AA52"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59.8</w:t>
            </w:r>
          </w:p>
        </w:tc>
        <w:tc>
          <w:tcPr>
            <w:tcW w:w="1188" w:type="dxa"/>
            <w:tcBorders>
              <w:top w:val="nil"/>
              <w:left w:val="nil"/>
              <w:bottom w:val="single" w:sz="4" w:space="0" w:color="auto"/>
              <w:right w:val="single" w:sz="4" w:space="0" w:color="auto"/>
            </w:tcBorders>
            <w:shd w:val="clear" w:color="auto" w:fill="auto"/>
            <w:noWrap/>
            <w:vAlign w:val="center"/>
            <w:hideMark/>
          </w:tcPr>
          <w:p w14:paraId="48BCCF60"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55.5</w:t>
            </w:r>
          </w:p>
        </w:tc>
        <w:tc>
          <w:tcPr>
            <w:tcW w:w="1418" w:type="dxa"/>
            <w:tcBorders>
              <w:top w:val="nil"/>
              <w:left w:val="nil"/>
              <w:bottom w:val="single" w:sz="4" w:space="0" w:color="auto"/>
              <w:right w:val="single" w:sz="4" w:space="0" w:color="auto"/>
            </w:tcBorders>
            <w:shd w:val="clear" w:color="auto" w:fill="auto"/>
            <w:noWrap/>
            <w:vAlign w:val="center"/>
            <w:hideMark/>
          </w:tcPr>
          <w:p w14:paraId="0E6C6993"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4.3</w:t>
            </w:r>
          </w:p>
        </w:tc>
        <w:tc>
          <w:tcPr>
            <w:tcW w:w="1276" w:type="dxa"/>
            <w:tcBorders>
              <w:top w:val="nil"/>
              <w:left w:val="nil"/>
              <w:bottom w:val="single" w:sz="4" w:space="0" w:color="auto"/>
              <w:right w:val="single" w:sz="4" w:space="0" w:color="auto"/>
            </w:tcBorders>
            <w:shd w:val="clear" w:color="auto" w:fill="auto"/>
            <w:noWrap/>
            <w:vAlign w:val="center"/>
            <w:hideMark/>
          </w:tcPr>
          <w:p w14:paraId="701ADBC1" w14:textId="77777777" w:rsidR="00F151BC" w:rsidRPr="00782C96" w:rsidRDefault="00F151BC" w:rsidP="00E032CF">
            <w:pPr>
              <w:jc w:val="right"/>
              <w:rPr>
                <w:rFonts w:ascii="Arial" w:hAnsi="Arial" w:cs="Arial"/>
                <w:color w:val="000000"/>
                <w:sz w:val="16"/>
                <w:szCs w:val="16"/>
                <w:lang w:val="en-GB" w:eastAsia="en-IN"/>
              </w:rPr>
            </w:pPr>
            <w:r>
              <w:rPr>
                <w:rFonts w:ascii="Arial" w:hAnsi="Arial" w:cs="Arial"/>
                <w:color w:val="000000"/>
                <w:sz w:val="16"/>
                <w:szCs w:val="16"/>
                <w:lang w:val="en-GB" w:eastAsia="en-IN"/>
              </w:rPr>
              <w:t>−</w:t>
            </w:r>
            <w:r w:rsidRPr="00782C96">
              <w:rPr>
                <w:rFonts w:ascii="Arial" w:hAnsi="Arial" w:cs="Arial"/>
                <w:color w:val="000000"/>
                <w:sz w:val="16"/>
                <w:szCs w:val="16"/>
                <w:lang w:val="en-GB" w:eastAsia="en-IN"/>
              </w:rPr>
              <w:t>9.0</w:t>
            </w:r>
          </w:p>
        </w:tc>
        <w:tc>
          <w:tcPr>
            <w:tcW w:w="1275" w:type="dxa"/>
            <w:tcBorders>
              <w:top w:val="nil"/>
              <w:left w:val="nil"/>
              <w:bottom w:val="single" w:sz="4" w:space="0" w:color="auto"/>
              <w:right w:val="single" w:sz="4" w:space="0" w:color="auto"/>
            </w:tcBorders>
            <w:shd w:val="clear" w:color="auto" w:fill="auto"/>
            <w:noWrap/>
            <w:vAlign w:val="center"/>
            <w:hideMark/>
          </w:tcPr>
          <w:p w14:paraId="516D7386"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99</w:t>
            </w:r>
          </w:p>
        </w:tc>
        <w:tc>
          <w:tcPr>
            <w:tcW w:w="1413" w:type="dxa"/>
            <w:tcBorders>
              <w:top w:val="nil"/>
              <w:left w:val="nil"/>
              <w:bottom w:val="single" w:sz="4" w:space="0" w:color="auto"/>
              <w:right w:val="single" w:sz="4" w:space="0" w:color="auto"/>
            </w:tcBorders>
            <w:shd w:val="clear" w:color="auto" w:fill="auto"/>
            <w:noWrap/>
            <w:vAlign w:val="center"/>
            <w:hideMark/>
          </w:tcPr>
          <w:p w14:paraId="6EF5B19F"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68.88</w:t>
            </w:r>
          </w:p>
        </w:tc>
      </w:tr>
      <w:tr w:rsidR="00F151BC" w:rsidRPr="00782C96" w14:paraId="5528760A" w14:textId="77777777" w:rsidTr="00716B22">
        <w:trPr>
          <w:trHeight w:val="290"/>
          <w:jc w:val="center"/>
        </w:trPr>
        <w:tc>
          <w:tcPr>
            <w:tcW w:w="1213" w:type="dxa"/>
            <w:tcBorders>
              <w:top w:val="nil"/>
              <w:left w:val="single" w:sz="4" w:space="0" w:color="auto"/>
              <w:bottom w:val="single" w:sz="4" w:space="0" w:color="auto"/>
              <w:right w:val="single" w:sz="4" w:space="0" w:color="auto"/>
            </w:tcBorders>
            <w:shd w:val="clear" w:color="auto" w:fill="auto"/>
            <w:noWrap/>
            <w:vAlign w:val="center"/>
            <w:hideMark/>
          </w:tcPr>
          <w:p w14:paraId="7CB0C122" w14:textId="77777777" w:rsidR="00F151BC" w:rsidRPr="00782C96" w:rsidRDefault="00F151BC" w:rsidP="00E032CF">
            <w:pP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FY 2016</w:t>
            </w:r>
          </w:p>
        </w:tc>
        <w:tc>
          <w:tcPr>
            <w:tcW w:w="894" w:type="dxa"/>
            <w:tcBorders>
              <w:top w:val="nil"/>
              <w:left w:val="nil"/>
              <w:bottom w:val="single" w:sz="4" w:space="0" w:color="auto"/>
              <w:right w:val="single" w:sz="4" w:space="0" w:color="auto"/>
            </w:tcBorders>
            <w:shd w:val="clear" w:color="auto" w:fill="auto"/>
            <w:noWrap/>
            <w:vAlign w:val="center"/>
            <w:hideMark/>
          </w:tcPr>
          <w:p w14:paraId="23EE2466" w14:textId="77777777" w:rsidR="00F151BC" w:rsidRPr="00782C96" w:rsidRDefault="00F151BC" w:rsidP="00E032CF">
            <w:pPr>
              <w:rPr>
                <w:rFonts w:ascii="Arial" w:hAnsi="Arial" w:cs="Arial"/>
                <w:color w:val="000000"/>
                <w:sz w:val="16"/>
                <w:szCs w:val="16"/>
                <w:lang w:val="en-GB" w:eastAsia="en-IN"/>
              </w:rPr>
            </w:pPr>
            <w:r w:rsidRPr="00782C96">
              <w:rPr>
                <w:rFonts w:ascii="Arial" w:hAnsi="Arial" w:cs="Arial"/>
                <w:color w:val="000000"/>
                <w:sz w:val="16"/>
                <w:szCs w:val="16"/>
                <w:lang w:val="en-GB" w:eastAsia="en-IN"/>
              </w:rPr>
              <w:t>IGAAP</w:t>
            </w:r>
          </w:p>
        </w:tc>
        <w:tc>
          <w:tcPr>
            <w:tcW w:w="1209" w:type="dxa"/>
            <w:tcBorders>
              <w:top w:val="nil"/>
              <w:left w:val="nil"/>
              <w:bottom w:val="single" w:sz="4" w:space="0" w:color="auto"/>
              <w:right w:val="single" w:sz="4" w:space="0" w:color="auto"/>
            </w:tcBorders>
            <w:shd w:val="clear" w:color="auto" w:fill="auto"/>
            <w:noWrap/>
            <w:vAlign w:val="center"/>
            <w:hideMark/>
          </w:tcPr>
          <w:p w14:paraId="01F71807"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25</w:t>
            </w:r>
            <w:r>
              <w:rPr>
                <w:rFonts w:ascii="Arial" w:hAnsi="Arial" w:cs="Arial"/>
                <w:color w:val="000000"/>
                <w:sz w:val="16"/>
                <w:szCs w:val="16"/>
                <w:lang w:val="en-GB" w:eastAsia="en-IN"/>
              </w:rPr>
              <w:t>,</w:t>
            </w:r>
            <w:r w:rsidRPr="00782C96">
              <w:rPr>
                <w:rFonts w:ascii="Arial" w:hAnsi="Arial" w:cs="Arial"/>
                <w:color w:val="000000"/>
                <w:sz w:val="16"/>
                <w:szCs w:val="16"/>
                <w:lang w:val="en-GB" w:eastAsia="en-IN"/>
              </w:rPr>
              <w:t>680</w:t>
            </w:r>
          </w:p>
        </w:tc>
        <w:tc>
          <w:tcPr>
            <w:tcW w:w="1184" w:type="dxa"/>
            <w:tcBorders>
              <w:top w:val="nil"/>
              <w:left w:val="nil"/>
              <w:bottom w:val="single" w:sz="4" w:space="0" w:color="auto"/>
              <w:right w:val="single" w:sz="4" w:space="0" w:color="auto"/>
            </w:tcBorders>
            <w:shd w:val="clear" w:color="auto" w:fill="auto"/>
            <w:noWrap/>
            <w:vAlign w:val="center"/>
            <w:hideMark/>
          </w:tcPr>
          <w:p w14:paraId="7F617624"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80</w:t>
            </w:r>
          </w:p>
        </w:tc>
        <w:tc>
          <w:tcPr>
            <w:tcW w:w="968" w:type="dxa"/>
            <w:tcBorders>
              <w:top w:val="nil"/>
              <w:left w:val="nil"/>
              <w:bottom w:val="single" w:sz="4" w:space="0" w:color="auto"/>
              <w:right w:val="single" w:sz="4" w:space="0" w:color="auto"/>
            </w:tcBorders>
            <w:shd w:val="clear" w:color="auto" w:fill="auto"/>
            <w:noWrap/>
            <w:vAlign w:val="center"/>
            <w:hideMark/>
          </w:tcPr>
          <w:p w14:paraId="58FE4CB9"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70</w:t>
            </w:r>
          </w:p>
        </w:tc>
        <w:tc>
          <w:tcPr>
            <w:tcW w:w="1282" w:type="dxa"/>
            <w:tcBorders>
              <w:top w:val="nil"/>
              <w:left w:val="nil"/>
              <w:bottom w:val="single" w:sz="4" w:space="0" w:color="auto"/>
              <w:right w:val="single" w:sz="4" w:space="0" w:color="auto"/>
            </w:tcBorders>
            <w:shd w:val="clear" w:color="auto" w:fill="auto"/>
            <w:noWrap/>
            <w:vAlign w:val="center"/>
            <w:hideMark/>
          </w:tcPr>
          <w:p w14:paraId="2ED2398A"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60.0</w:t>
            </w:r>
          </w:p>
        </w:tc>
        <w:tc>
          <w:tcPr>
            <w:tcW w:w="1188" w:type="dxa"/>
            <w:tcBorders>
              <w:top w:val="nil"/>
              <w:left w:val="nil"/>
              <w:bottom w:val="single" w:sz="4" w:space="0" w:color="auto"/>
              <w:right w:val="single" w:sz="4" w:space="0" w:color="auto"/>
            </w:tcBorders>
            <w:shd w:val="clear" w:color="auto" w:fill="auto"/>
            <w:noWrap/>
            <w:vAlign w:val="center"/>
            <w:hideMark/>
          </w:tcPr>
          <w:p w14:paraId="51F61EED"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53.0</w:t>
            </w:r>
          </w:p>
        </w:tc>
        <w:tc>
          <w:tcPr>
            <w:tcW w:w="1418" w:type="dxa"/>
            <w:tcBorders>
              <w:top w:val="nil"/>
              <w:left w:val="nil"/>
              <w:bottom w:val="single" w:sz="4" w:space="0" w:color="auto"/>
              <w:right w:val="single" w:sz="4" w:space="0" w:color="auto"/>
            </w:tcBorders>
            <w:shd w:val="clear" w:color="auto" w:fill="auto"/>
            <w:noWrap/>
            <w:vAlign w:val="center"/>
            <w:hideMark/>
          </w:tcPr>
          <w:p w14:paraId="6A0D41FC"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7.1</w:t>
            </w:r>
          </w:p>
        </w:tc>
        <w:tc>
          <w:tcPr>
            <w:tcW w:w="1276" w:type="dxa"/>
            <w:tcBorders>
              <w:top w:val="nil"/>
              <w:left w:val="nil"/>
              <w:bottom w:val="single" w:sz="4" w:space="0" w:color="auto"/>
              <w:right w:val="single" w:sz="4" w:space="0" w:color="auto"/>
            </w:tcBorders>
            <w:shd w:val="clear" w:color="auto" w:fill="auto"/>
            <w:noWrap/>
            <w:vAlign w:val="center"/>
            <w:hideMark/>
          </w:tcPr>
          <w:p w14:paraId="19A96339"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20.1</w:t>
            </w:r>
          </w:p>
        </w:tc>
        <w:tc>
          <w:tcPr>
            <w:tcW w:w="1275" w:type="dxa"/>
            <w:tcBorders>
              <w:top w:val="nil"/>
              <w:left w:val="nil"/>
              <w:bottom w:val="single" w:sz="4" w:space="0" w:color="auto"/>
              <w:right w:val="single" w:sz="4" w:space="0" w:color="auto"/>
            </w:tcBorders>
            <w:shd w:val="clear" w:color="auto" w:fill="auto"/>
            <w:noWrap/>
            <w:vAlign w:val="center"/>
            <w:hideMark/>
          </w:tcPr>
          <w:p w14:paraId="12505328"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91</w:t>
            </w:r>
          </w:p>
        </w:tc>
        <w:tc>
          <w:tcPr>
            <w:tcW w:w="1413" w:type="dxa"/>
            <w:tcBorders>
              <w:top w:val="nil"/>
              <w:left w:val="nil"/>
              <w:bottom w:val="single" w:sz="4" w:space="0" w:color="auto"/>
              <w:right w:val="single" w:sz="4" w:space="0" w:color="auto"/>
            </w:tcBorders>
            <w:shd w:val="clear" w:color="auto" w:fill="auto"/>
            <w:noWrap/>
            <w:vAlign w:val="center"/>
            <w:hideMark/>
          </w:tcPr>
          <w:p w14:paraId="2E92EA04"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56.89</w:t>
            </w:r>
          </w:p>
        </w:tc>
      </w:tr>
      <w:tr w:rsidR="00F151BC" w:rsidRPr="00782C96" w14:paraId="32A97CF4" w14:textId="77777777" w:rsidTr="00716B22">
        <w:trPr>
          <w:trHeight w:val="290"/>
          <w:jc w:val="center"/>
        </w:trPr>
        <w:tc>
          <w:tcPr>
            <w:tcW w:w="1213" w:type="dxa"/>
            <w:tcBorders>
              <w:top w:val="nil"/>
              <w:left w:val="single" w:sz="4" w:space="0" w:color="auto"/>
              <w:bottom w:val="single" w:sz="4" w:space="0" w:color="auto"/>
              <w:right w:val="single" w:sz="4" w:space="0" w:color="auto"/>
            </w:tcBorders>
            <w:shd w:val="clear" w:color="auto" w:fill="auto"/>
            <w:noWrap/>
            <w:vAlign w:val="center"/>
            <w:hideMark/>
          </w:tcPr>
          <w:p w14:paraId="0C454EA1" w14:textId="77777777" w:rsidR="00F151BC" w:rsidRPr="00782C96" w:rsidRDefault="00F151BC" w:rsidP="00E032CF">
            <w:pPr>
              <w:rPr>
                <w:rFonts w:ascii="Arial" w:hAnsi="Arial" w:cs="Arial"/>
                <w:sz w:val="16"/>
                <w:szCs w:val="16"/>
                <w:lang w:val="en-GB" w:eastAsia="en-IN"/>
              </w:rPr>
            </w:pPr>
            <w:r w:rsidRPr="00782C96">
              <w:rPr>
                <w:rFonts w:ascii="Arial" w:hAnsi="Arial" w:cs="Arial"/>
                <w:sz w:val="16"/>
                <w:szCs w:val="16"/>
                <w:lang w:val="en-GB" w:eastAsia="en-IN"/>
              </w:rPr>
              <w:t xml:space="preserve">Restated FY </w:t>
            </w:r>
            <w:r>
              <w:rPr>
                <w:rFonts w:ascii="Arial" w:hAnsi="Arial" w:cs="Arial"/>
                <w:sz w:val="16"/>
                <w:szCs w:val="16"/>
                <w:lang w:val="en-GB" w:eastAsia="en-IN"/>
              </w:rPr>
              <w:t>20</w:t>
            </w:r>
            <w:r w:rsidRPr="00782C96">
              <w:rPr>
                <w:rFonts w:ascii="Arial" w:hAnsi="Arial" w:cs="Arial"/>
                <w:sz w:val="16"/>
                <w:szCs w:val="16"/>
                <w:lang w:val="en-GB" w:eastAsia="en-IN"/>
              </w:rPr>
              <w:t>15</w:t>
            </w:r>
            <w:r>
              <w:rPr>
                <w:rFonts w:ascii="Arial" w:hAnsi="Arial" w:cs="Arial"/>
                <w:sz w:val="16"/>
                <w:szCs w:val="16"/>
                <w:lang w:val="en-GB" w:eastAsia="en-IN"/>
              </w:rPr>
              <w:t>–</w:t>
            </w:r>
            <w:r w:rsidRPr="00782C96">
              <w:rPr>
                <w:rFonts w:ascii="Arial" w:hAnsi="Arial" w:cs="Arial"/>
                <w:sz w:val="16"/>
                <w:szCs w:val="16"/>
                <w:lang w:val="en-GB" w:eastAsia="en-IN"/>
              </w:rPr>
              <w:t>16</w:t>
            </w:r>
          </w:p>
        </w:tc>
        <w:tc>
          <w:tcPr>
            <w:tcW w:w="894" w:type="dxa"/>
            <w:tcBorders>
              <w:top w:val="nil"/>
              <w:left w:val="nil"/>
              <w:bottom w:val="single" w:sz="4" w:space="0" w:color="auto"/>
              <w:right w:val="single" w:sz="4" w:space="0" w:color="auto"/>
            </w:tcBorders>
            <w:shd w:val="clear" w:color="auto" w:fill="auto"/>
            <w:noWrap/>
            <w:vAlign w:val="center"/>
            <w:hideMark/>
          </w:tcPr>
          <w:p w14:paraId="59E626AA" w14:textId="77777777" w:rsidR="00F151BC" w:rsidRPr="00782C96" w:rsidRDefault="00F151BC" w:rsidP="00E032CF">
            <w:pPr>
              <w:rPr>
                <w:rFonts w:ascii="Arial" w:hAnsi="Arial" w:cs="Arial"/>
                <w:sz w:val="16"/>
                <w:szCs w:val="16"/>
                <w:lang w:val="en-GB" w:eastAsia="en-IN"/>
              </w:rPr>
            </w:pPr>
            <w:r w:rsidRPr="00782C96">
              <w:rPr>
                <w:rFonts w:ascii="Arial" w:hAnsi="Arial" w:cs="Arial"/>
                <w:sz w:val="16"/>
                <w:szCs w:val="16"/>
                <w:lang w:val="en-GB" w:eastAsia="en-IN"/>
              </w:rPr>
              <w:t>Ind AS</w:t>
            </w:r>
          </w:p>
        </w:tc>
        <w:tc>
          <w:tcPr>
            <w:tcW w:w="1209" w:type="dxa"/>
            <w:tcBorders>
              <w:top w:val="nil"/>
              <w:left w:val="nil"/>
              <w:bottom w:val="single" w:sz="4" w:space="0" w:color="auto"/>
              <w:right w:val="single" w:sz="4" w:space="0" w:color="auto"/>
            </w:tcBorders>
            <w:shd w:val="clear" w:color="auto" w:fill="auto"/>
            <w:noWrap/>
            <w:vAlign w:val="center"/>
            <w:hideMark/>
          </w:tcPr>
          <w:p w14:paraId="6D664017"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25</w:t>
            </w:r>
            <w:r>
              <w:rPr>
                <w:rFonts w:ascii="Arial" w:hAnsi="Arial" w:cs="Arial"/>
                <w:sz w:val="16"/>
                <w:szCs w:val="16"/>
                <w:lang w:val="en-GB" w:eastAsia="en-IN"/>
              </w:rPr>
              <w:t>,</w:t>
            </w:r>
            <w:r w:rsidRPr="00782C96">
              <w:rPr>
                <w:rFonts w:ascii="Arial" w:hAnsi="Arial" w:cs="Arial"/>
                <w:sz w:val="16"/>
                <w:szCs w:val="16"/>
                <w:lang w:val="en-GB" w:eastAsia="en-IN"/>
              </w:rPr>
              <w:t>680</w:t>
            </w:r>
          </w:p>
        </w:tc>
        <w:tc>
          <w:tcPr>
            <w:tcW w:w="1184" w:type="dxa"/>
            <w:tcBorders>
              <w:top w:val="nil"/>
              <w:left w:val="nil"/>
              <w:bottom w:val="single" w:sz="4" w:space="0" w:color="auto"/>
              <w:right w:val="single" w:sz="4" w:space="0" w:color="auto"/>
            </w:tcBorders>
            <w:shd w:val="clear" w:color="auto" w:fill="auto"/>
            <w:noWrap/>
            <w:vAlign w:val="center"/>
            <w:hideMark/>
          </w:tcPr>
          <w:p w14:paraId="06B5A79F"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80</w:t>
            </w:r>
          </w:p>
        </w:tc>
        <w:tc>
          <w:tcPr>
            <w:tcW w:w="968" w:type="dxa"/>
            <w:tcBorders>
              <w:top w:val="nil"/>
              <w:left w:val="nil"/>
              <w:bottom w:val="single" w:sz="4" w:space="0" w:color="auto"/>
              <w:right w:val="single" w:sz="4" w:space="0" w:color="auto"/>
            </w:tcBorders>
            <w:shd w:val="clear" w:color="auto" w:fill="auto"/>
            <w:noWrap/>
            <w:vAlign w:val="center"/>
            <w:hideMark/>
          </w:tcPr>
          <w:p w14:paraId="01EC3C95"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70</w:t>
            </w:r>
          </w:p>
        </w:tc>
        <w:tc>
          <w:tcPr>
            <w:tcW w:w="1282" w:type="dxa"/>
            <w:tcBorders>
              <w:top w:val="nil"/>
              <w:left w:val="nil"/>
              <w:bottom w:val="single" w:sz="4" w:space="0" w:color="auto"/>
              <w:right w:val="single" w:sz="4" w:space="0" w:color="auto"/>
            </w:tcBorders>
            <w:shd w:val="clear" w:color="auto" w:fill="auto"/>
            <w:noWrap/>
            <w:vAlign w:val="center"/>
            <w:hideMark/>
          </w:tcPr>
          <w:p w14:paraId="5EDCCDFC"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58.8</w:t>
            </w:r>
          </w:p>
        </w:tc>
        <w:tc>
          <w:tcPr>
            <w:tcW w:w="1188" w:type="dxa"/>
            <w:tcBorders>
              <w:top w:val="nil"/>
              <w:left w:val="nil"/>
              <w:bottom w:val="single" w:sz="4" w:space="0" w:color="auto"/>
              <w:right w:val="single" w:sz="4" w:space="0" w:color="auto"/>
            </w:tcBorders>
            <w:shd w:val="clear" w:color="auto" w:fill="auto"/>
            <w:noWrap/>
            <w:vAlign w:val="center"/>
            <w:hideMark/>
          </w:tcPr>
          <w:p w14:paraId="57D71CAE"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51.2</w:t>
            </w:r>
          </w:p>
        </w:tc>
        <w:tc>
          <w:tcPr>
            <w:tcW w:w="1418" w:type="dxa"/>
            <w:tcBorders>
              <w:top w:val="nil"/>
              <w:left w:val="nil"/>
              <w:bottom w:val="single" w:sz="4" w:space="0" w:color="auto"/>
              <w:right w:val="single" w:sz="4" w:space="0" w:color="auto"/>
            </w:tcBorders>
            <w:shd w:val="clear" w:color="auto" w:fill="auto"/>
            <w:noWrap/>
            <w:vAlign w:val="center"/>
            <w:hideMark/>
          </w:tcPr>
          <w:p w14:paraId="727431C6"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8.6</w:t>
            </w:r>
          </w:p>
        </w:tc>
        <w:tc>
          <w:tcPr>
            <w:tcW w:w="1276" w:type="dxa"/>
            <w:tcBorders>
              <w:top w:val="nil"/>
              <w:left w:val="nil"/>
              <w:bottom w:val="single" w:sz="4" w:space="0" w:color="auto"/>
              <w:right w:val="single" w:sz="4" w:space="0" w:color="auto"/>
            </w:tcBorders>
            <w:shd w:val="clear" w:color="auto" w:fill="auto"/>
            <w:noWrap/>
            <w:vAlign w:val="center"/>
            <w:hideMark/>
          </w:tcPr>
          <w:p w14:paraId="6EA66EB7"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14.4</w:t>
            </w:r>
          </w:p>
        </w:tc>
        <w:tc>
          <w:tcPr>
            <w:tcW w:w="1275" w:type="dxa"/>
            <w:tcBorders>
              <w:top w:val="nil"/>
              <w:left w:val="nil"/>
              <w:bottom w:val="single" w:sz="4" w:space="0" w:color="auto"/>
              <w:right w:val="single" w:sz="4" w:space="0" w:color="auto"/>
            </w:tcBorders>
            <w:shd w:val="clear" w:color="auto" w:fill="auto"/>
            <w:noWrap/>
            <w:vAlign w:val="center"/>
            <w:hideMark/>
          </w:tcPr>
          <w:p w14:paraId="01F25101"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91</w:t>
            </w:r>
          </w:p>
        </w:tc>
        <w:tc>
          <w:tcPr>
            <w:tcW w:w="1413" w:type="dxa"/>
            <w:tcBorders>
              <w:top w:val="nil"/>
              <w:left w:val="nil"/>
              <w:bottom w:val="single" w:sz="4" w:space="0" w:color="auto"/>
              <w:right w:val="single" w:sz="4" w:space="0" w:color="auto"/>
            </w:tcBorders>
            <w:shd w:val="clear" w:color="auto" w:fill="auto"/>
            <w:noWrap/>
            <w:vAlign w:val="center"/>
            <w:hideMark/>
          </w:tcPr>
          <w:p w14:paraId="481A43D7"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 </w:t>
            </w:r>
          </w:p>
        </w:tc>
      </w:tr>
      <w:tr w:rsidR="00F151BC" w:rsidRPr="00782C96" w14:paraId="3B9BE669" w14:textId="77777777" w:rsidTr="00716B22">
        <w:trPr>
          <w:trHeight w:val="290"/>
          <w:jc w:val="center"/>
        </w:trPr>
        <w:tc>
          <w:tcPr>
            <w:tcW w:w="1213" w:type="dxa"/>
            <w:tcBorders>
              <w:top w:val="nil"/>
              <w:left w:val="single" w:sz="4" w:space="0" w:color="auto"/>
              <w:bottom w:val="single" w:sz="4" w:space="0" w:color="auto"/>
              <w:right w:val="single" w:sz="4" w:space="0" w:color="auto"/>
            </w:tcBorders>
            <w:shd w:val="clear" w:color="auto" w:fill="auto"/>
            <w:noWrap/>
            <w:vAlign w:val="center"/>
            <w:hideMark/>
          </w:tcPr>
          <w:p w14:paraId="2B2B720F" w14:textId="77777777" w:rsidR="00F151BC" w:rsidRPr="00782C96" w:rsidRDefault="00F151BC" w:rsidP="00E032CF">
            <w:pP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FY 2017</w:t>
            </w:r>
          </w:p>
        </w:tc>
        <w:tc>
          <w:tcPr>
            <w:tcW w:w="894" w:type="dxa"/>
            <w:tcBorders>
              <w:top w:val="nil"/>
              <w:left w:val="nil"/>
              <w:bottom w:val="single" w:sz="4" w:space="0" w:color="auto"/>
              <w:right w:val="single" w:sz="4" w:space="0" w:color="auto"/>
            </w:tcBorders>
            <w:shd w:val="clear" w:color="auto" w:fill="auto"/>
            <w:noWrap/>
            <w:vAlign w:val="center"/>
            <w:hideMark/>
          </w:tcPr>
          <w:p w14:paraId="3CC385FC" w14:textId="77777777" w:rsidR="00F151BC" w:rsidRPr="00782C96" w:rsidRDefault="00F151BC" w:rsidP="00E032CF">
            <w:pPr>
              <w:rPr>
                <w:rFonts w:ascii="Arial" w:hAnsi="Arial" w:cs="Arial"/>
                <w:color w:val="000000"/>
                <w:sz w:val="16"/>
                <w:szCs w:val="16"/>
                <w:lang w:val="en-GB" w:eastAsia="en-IN"/>
              </w:rPr>
            </w:pPr>
            <w:r w:rsidRPr="00782C96">
              <w:rPr>
                <w:rFonts w:ascii="Arial" w:hAnsi="Arial" w:cs="Arial"/>
                <w:color w:val="000000"/>
                <w:sz w:val="16"/>
                <w:szCs w:val="16"/>
                <w:lang w:val="en-GB" w:eastAsia="en-IN"/>
              </w:rPr>
              <w:t>Ind AS</w:t>
            </w:r>
          </w:p>
        </w:tc>
        <w:tc>
          <w:tcPr>
            <w:tcW w:w="1209" w:type="dxa"/>
            <w:tcBorders>
              <w:top w:val="nil"/>
              <w:left w:val="nil"/>
              <w:bottom w:val="single" w:sz="4" w:space="0" w:color="auto"/>
              <w:right w:val="single" w:sz="4" w:space="0" w:color="auto"/>
            </w:tcBorders>
            <w:shd w:val="clear" w:color="auto" w:fill="auto"/>
            <w:noWrap/>
            <w:vAlign w:val="center"/>
            <w:hideMark/>
          </w:tcPr>
          <w:p w14:paraId="33F7FAE6"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27</w:t>
            </w:r>
            <w:r>
              <w:rPr>
                <w:rFonts w:ascii="Arial" w:hAnsi="Arial" w:cs="Arial"/>
                <w:color w:val="000000"/>
                <w:sz w:val="16"/>
                <w:szCs w:val="16"/>
                <w:lang w:val="en-GB" w:eastAsia="en-IN"/>
              </w:rPr>
              <w:t>,</w:t>
            </w:r>
            <w:r w:rsidRPr="00782C96">
              <w:rPr>
                <w:rFonts w:ascii="Arial" w:hAnsi="Arial" w:cs="Arial"/>
                <w:color w:val="000000"/>
                <w:sz w:val="16"/>
                <w:szCs w:val="16"/>
                <w:lang w:val="en-GB" w:eastAsia="en-IN"/>
              </w:rPr>
              <w:t>460</w:t>
            </w:r>
          </w:p>
        </w:tc>
        <w:tc>
          <w:tcPr>
            <w:tcW w:w="1184" w:type="dxa"/>
            <w:tcBorders>
              <w:top w:val="nil"/>
              <w:left w:val="nil"/>
              <w:bottom w:val="single" w:sz="4" w:space="0" w:color="auto"/>
              <w:right w:val="single" w:sz="4" w:space="0" w:color="auto"/>
            </w:tcBorders>
            <w:shd w:val="clear" w:color="auto" w:fill="auto"/>
            <w:noWrap/>
            <w:vAlign w:val="center"/>
            <w:hideMark/>
          </w:tcPr>
          <w:p w14:paraId="4B61280A"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80</w:t>
            </w:r>
          </w:p>
        </w:tc>
        <w:tc>
          <w:tcPr>
            <w:tcW w:w="968" w:type="dxa"/>
            <w:tcBorders>
              <w:top w:val="nil"/>
              <w:left w:val="nil"/>
              <w:bottom w:val="single" w:sz="4" w:space="0" w:color="auto"/>
              <w:right w:val="single" w:sz="4" w:space="0" w:color="auto"/>
            </w:tcBorders>
            <w:shd w:val="clear" w:color="auto" w:fill="auto"/>
            <w:noWrap/>
            <w:vAlign w:val="center"/>
            <w:hideMark/>
          </w:tcPr>
          <w:p w14:paraId="6949E358"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76</w:t>
            </w:r>
          </w:p>
        </w:tc>
        <w:tc>
          <w:tcPr>
            <w:tcW w:w="1282" w:type="dxa"/>
            <w:tcBorders>
              <w:top w:val="nil"/>
              <w:left w:val="nil"/>
              <w:bottom w:val="single" w:sz="4" w:space="0" w:color="auto"/>
              <w:right w:val="single" w:sz="4" w:space="0" w:color="auto"/>
            </w:tcBorders>
            <w:shd w:val="clear" w:color="auto" w:fill="auto"/>
            <w:noWrap/>
            <w:vAlign w:val="center"/>
            <w:hideMark/>
          </w:tcPr>
          <w:p w14:paraId="52A38D65"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60.6</w:t>
            </w:r>
          </w:p>
        </w:tc>
        <w:tc>
          <w:tcPr>
            <w:tcW w:w="1188" w:type="dxa"/>
            <w:tcBorders>
              <w:top w:val="nil"/>
              <w:left w:val="nil"/>
              <w:bottom w:val="single" w:sz="4" w:space="0" w:color="auto"/>
              <w:right w:val="single" w:sz="4" w:space="0" w:color="auto"/>
            </w:tcBorders>
            <w:shd w:val="clear" w:color="auto" w:fill="auto"/>
            <w:noWrap/>
            <w:vAlign w:val="center"/>
            <w:hideMark/>
          </w:tcPr>
          <w:p w14:paraId="67744124"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60.2</w:t>
            </w:r>
          </w:p>
        </w:tc>
        <w:tc>
          <w:tcPr>
            <w:tcW w:w="1418" w:type="dxa"/>
            <w:tcBorders>
              <w:top w:val="nil"/>
              <w:left w:val="nil"/>
              <w:bottom w:val="single" w:sz="4" w:space="0" w:color="auto"/>
              <w:right w:val="single" w:sz="4" w:space="0" w:color="auto"/>
            </w:tcBorders>
            <w:shd w:val="clear" w:color="auto" w:fill="auto"/>
            <w:noWrap/>
            <w:vAlign w:val="center"/>
            <w:hideMark/>
          </w:tcPr>
          <w:p w14:paraId="71F40008"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0.4</w:t>
            </w:r>
          </w:p>
        </w:tc>
        <w:tc>
          <w:tcPr>
            <w:tcW w:w="1276" w:type="dxa"/>
            <w:tcBorders>
              <w:top w:val="nil"/>
              <w:left w:val="nil"/>
              <w:bottom w:val="single" w:sz="4" w:space="0" w:color="auto"/>
              <w:right w:val="single" w:sz="4" w:space="0" w:color="auto"/>
            </w:tcBorders>
            <w:shd w:val="clear" w:color="auto" w:fill="auto"/>
            <w:noWrap/>
            <w:vAlign w:val="center"/>
            <w:hideMark/>
          </w:tcPr>
          <w:p w14:paraId="38B219B5" w14:textId="77777777" w:rsidR="00F151BC" w:rsidRPr="00782C96" w:rsidRDefault="00F151BC" w:rsidP="00E032CF">
            <w:pPr>
              <w:jc w:val="right"/>
              <w:rPr>
                <w:rFonts w:ascii="Arial" w:hAnsi="Arial" w:cs="Arial"/>
                <w:color w:val="000000"/>
                <w:sz w:val="16"/>
                <w:szCs w:val="16"/>
                <w:lang w:val="en-GB" w:eastAsia="en-IN"/>
              </w:rPr>
            </w:pPr>
            <w:r>
              <w:rPr>
                <w:rFonts w:ascii="Arial" w:hAnsi="Arial" w:cs="Arial"/>
                <w:color w:val="000000"/>
                <w:sz w:val="16"/>
                <w:szCs w:val="16"/>
                <w:lang w:val="en-GB" w:eastAsia="en-IN"/>
              </w:rPr>
              <w:t>−</w:t>
            </w:r>
            <w:r w:rsidRPr="00782C96">
              <w:rPr>
                <w:rFonts w:ascii="Arial" w:hAnsi="Arial" w:cs="Arial"/>
                <w:color w:val="000000"/>
                <w:sz w:val="16"/>
                <w:szCs w:val="16"/>
                <w:lang w:val="en-GB" w:eastAsia="en-IN"/>
              </w:rPr>
              <w:t>8.5</w:t>
            </w:r>
          </w:p>
        </w:tc>
        <w:tc>
          <w:tcPr>
            <w:tcW w:w="1275" w:type="dxa"/>
            <w:tcBorders>
              <w:top w:val="nil"/>
              <w:left w:val="nil"/>
              <w:bottom w:val="single" w:sz="4" w:space="0" w:color="auto"/>
              <w:right w:val="single" w:sz="4" w:space="0" w:color="auto"/>
            </w:tcBorders>
            <w:shd w:val="clear" w:color="auto" w:fill="auto"/>
            <w:noWrap/>
            <w:vAlign w:val="center"/>
            <w:hideMark/>
          </w:tcPr>
          <w:p w14:paraId="239116B0"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91</w:t>
            </w:r>
          </w:p>
        </w:tc>
        <w:tc>
          <w:tcPr>
            <w:tcW w:w="1413" w:type="dxa"/>
            <w:tcBorders>
              <w:top w:val="nil"/>
              <w:left w:val="nil"/>
              <w:bottom w:val="single" w:sz="4" w:space="0" w:color="auto"/>
              <w:right w:val="single" w:sz="4" w:space="0" w:color="auto"/>
            </w:tcBorders>
            <w:shd w:val="clear" w:color="auto" w:fill="auto"/>
            <w:noWrap/>
            <w:vAlign w:val="center"/>
            <w:hideMark/>
          </w:tcPr>
          <w:p w14:paraId="102020ED"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69.81</w:t>
            </w:r>
          </w:p>
        </w:tc>
      </w:tr>
      <w:tr w:rsidR="00F151BC" w:rsidRPr="00782C96" w14:paraId="4CD66626" w14:textId="77777777" w:rsidTr="00716B22">
        <w:trPr>
          <w:trHeight w:val="290"/>
          <w:jc w:val="center"/>
        </w:trPr>
        <w:tc>
          <w:tcPr>
            <w:tcW w:w="1213" w:type="dxa"/>
            <w:tcBorders>
              <w:top w:val="nil"/>
              <w:left w:val="single" w:sz="4" w:space="0" w:color="auto"/>
              <w:bottom w:val="single" w:sz="4" w:space="0" w:color="auto"/>
              <w:right w:val="single" w:sz="4" w:space="0" w:color="auto"/>
            </w:tcBorders>
            <w:shd w:val="clear" w:color="auto" w:fill="auto"/>
            <w:noWrap/>
            <w:vAlign w:val="center"/>
            <w:hideMark/>
          </w:tcPr>
          <w:p w14:paraId="66E31A77" w14:textId="77777777" w:rsidR="00F151BC" w:rsidRPr="00782C96" w:rsidRDefault="00F151BC" w:rsidP="00E032CF">
            <w:pPr>
              <w:rPr>
                <w:rFonts w:ascii="Arial" w:hAnsi="Arial" w:cs="Arial"/>
                <w:b/>
                <w:bCs/>
                <w:color w:val="000000"/>
                <w:sz w:val="16"/>
                <w:szCs w:val="16"/>
                <w:lang w:val="en-GB" w:eastAsia="en-IN"/>
              </w:rPr>
            </w:pPr>
            <w:r w:rsidRPr="00782C96">
              <w:rPr>
                <w:rFonts w:ascii="Arial" w:hAnsi="Arial" w:cs="Arial"/>
                <w:b/>
                <w:bCs/>
                <w:color w:val="000000"/>
                <w:sz w:val="16"/>
                <w:szCs w:val="16"/>
                <w:lang w:val="en-GB" w:eastAsia="en-IN"/>
              </w:rPr>
              <w:t>FY 2018</w:t>
            </w:r>
          </w:p>
        </w:tc>
        <w:tc>
          <w:tcPr>
            <w:tcW w:w="894" w:type="dxa"/>
            <w:tcBorders>
              <w:top w:val="nil"/>
              <w:left w:val="nil"/>
              <w:bottom w:val="single" w:sz="4" w:space="0" w:color="auto"/>
              <w:right w:val="single" w:sz="4" w:space="0" w:color="auto"/>
            </w:tcBorders>
            <w:shd w:val="clear" w:color="auto" w:fill="auto"/>
            <w:noWrap/>
            <w:vAlign w:val="center"/>
            <w:hideMark/>
          </w:tcPr>
          <w:p w14:paraId="317B3CA5" w14:textId="77777777" w:rsidR="00F151BC" w:rsidRPr="00782C96" w:rsidRDefault="00F151BC" w:rsidP="00E032CF">
            <w:pPr>
              <w:rPr>
                <w:rFonts w:ascii="Arial" w:hAnsi="Arial" w:cs="Arial"/>
                <w:color w:val="000000"/>
                <w:sz w:val="16"/>
                <w:szCs w:val="16"/>
                <w:lang w:val="en-GB" w:eastAsia="en-IN"/>
              </w:rPr>
            </w:pPr>
            <w:r w:rsidRPr="00782C96">
              <w:rPr>
                <w:rFonts w:ascii="Arial" w:hAnsi="Arial" w:cs="Arial"/>
                <w:color w:val="000000"/>
                <w:sz w:val="16"/>
                <w:szCs w:val="16"/>
                <w:lang w:val="en-GB" w:eastAsia="en-IN"/>
              </w:rPr>
              <w:t>Ind AS</w:t>
            </w:r>
          </w:p>
        </w:tc>
        <w:tc>
          <w:tcPr>
            <w:tcW w:w="1209" w:type="dxa"/>
            <w:tcBorders>
              <w:top w:val="nil"/>
              <w:left w:val="nil"/>
              <w:bottom w:val="single" w:sz="4" w:space="0" w:color="auto"/>
              <w:right w:val="single" w:sz="4" w:space="0" w:color="auto"/>
            </w:tcBorders>
            <w:shd w:val="clear" w:color="auto" w:fill="auto"/>
            <w:noWrap/>
            <w:vAlign w:val="center"/>
            <w:hideMark/>
          </w:tcPr>
          <w:p w14:paraId="5FD2519E"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26</w:t>
            </w:r>
            <w:r>
              <w:rPr>
                <w:rFonts w:ascii="Arial" w:hAnsi="Arial" w:cs="Arial"/>
                <w:color w:val="000000"/>
                <w:sz w:val="16"/>
                <w:szCs w:val="16"/>
                <w:lang w:val="en-GB" w:eastAsia="en-IN"/>
              </w:rPr>
              <w:t>,</w:t>
            </w:r>
            <w:r w:rsidRPr="00782C96">
              <w:rPr>
                <w:rFonts w:ascii="Arial" w:hAnsi="Arial" w:cs="Arial"/>
                <w:color w:val="000000"/>
                <w:sz w:val="16"/>
                <w:szCs w:val="16"/>
                <w:lang w:val="en-GB" w:eastAsia="en-IN"/>
              </w:rPr>
              <w:t>686</w:t>
            </w:r>
          </w:p>
        </w:tc>
        <w:tc>
          <w:tcPr>
            <w:tcW w:w="1184" w:type="dxa"/>
            <w:tcBorders>
              <w:top w:val="nil"/>
              <w:left w:val="nil"/>
              <w:bottom w:val="single" w:sz="4" w:space="0" w:color="auto"/>
              <w:right w:val="single" w:sz="4" w:space="0" w:color="auto"/>
            </w:tcBorders>
            <w:shd w:val="clear" w:color="auto" w:fill="auto"/>
            <w:noWrap/>
            <w:vAlign w:val="center"/>
            <w:hideMark/>
          </w:tcPr>
          <w:p w14:paraId="229205C6"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79</w:t>
            </w:r>
          </w:p>
        </w:tc>
        <w:tc>
          <w:tcPr>
            <w:tcW w:w="968" w:type="dxa"/>
            <w:tcBorders>
              <w:top w:val="nil"/>
              <w:left w:val="nil"/>
              <w:bottom w:val="single" w:sz="4" w:space="0" w:color="auto"/>
              <w:right w:val="single" w:sz="4" w:space="0" w:color="auto"/>
            </w:tcBorders>
            <w:shd w:val="clear" w:color="auto" w:fill="auto"/>
            <w:noWrap/>
            <w:vAlign w:val="center"/>
            <w:hideMark/>
          </w:tcPr>
          <w:p w14:paraId="56F43B92"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73</w:t>
            </w:r>
          </w:p>
        </w:tc>
        <w:tc>
          <w:tcPr>
            <w:tcW w:w="1282" w:type="dxa"/>
            <w:tcBorders>
              <w:top w:val="nil"/>
              <w:left w:val="nil"/>
              <w:bottom w:val="single" w:sz="4" w:space="0" w:color="auto"/>
              <w:right w:val="single" w:sz="4" w:space="0" w:color="auto"/>
            </w:tcBorders>
            <w:shd w:val="clear" w:color="auto" w:fill="auto"/>
            <w:noWrap/>
            <w:vAlign w:val="center"/>
            <w:hideMark/>
          </w:tcPr>
          <w:p w14:paraId="729E242E"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63.6</w:t>
            </w:r>
          </w:p>
        </w:tc>
        <w:tc>
          <w:tcPr>
            <w:tcW w:w="1188" w:type="dxa"/>
            <w:tcBorders>
              <w:top w:val="nil"/>
              <w:left w:val="nil"/>
              <w:bottom w:val="single" w:sz="4" w:space="0" w:color="auto"/>
              <w:right w:val="single" w:sz="4" w:space="0" w:color="auto"/>
            </w:tcBorders>
            <w:shd w:val="clear" w:color="auto" w:fill="auto"/>
            <w:noWrap/>
            <w:vAlign w:val="center"/>
            <w:hideMark/>
          </w:tcPr>
          <w:p w14:paraId="37DEF83D"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69.8</w:t>
            </w:r>
          </w:p>
        </w:tc>
        <w:tc>
          <w:tcPr>
            <w:tcW w:w="1418" w:type="dxa"/>
            <w:tcBorders>
              <w:top w:val="nil"/>
              <w:left w:val="nil"/>
              <w:bottom w:val="single" w:sz="4" w:space="0" w:color="auto"/>
              <w:right w:val="single" w:sz="4" w:space="0" w:color="auto"/>
            </w:tcBorders>
            <w:shd w:val="clear" w:color="auto" w:fill="auto"/>
            <w:noWrap/>
            <w:vAlign w:val="center"/>
            <w:hideMark/>
          </w:tcPr>
          <w:p w14:paraId="7FE61BFD" w14:textId="77777777" w:rsidR="00F151BC" w:rsidRPr="00782C96" w:rsidRDefault="00F151BC" w:rsidP="00E032CF">
            <w:pPr>
              <w:jc w:val="right"/>
              <w:rPr>
                <w:rFonts w:ascii="Arial" w:hAnsi="Arial" w:cs="Arial"/>
                <w:color w:val="000000"/>
                <w:sz w:val="16"/>
                <w:szCs w:val="16"/>
                <w:lang w:val="en-GB" w:eastAsia="en-IN"/>
              </w:rPr>
            </w:pPr>
            <w:r>
              <w:rPr>
                <w:rFonts w:ascii="Arial" w:hAnsi="Arial" w:cs="Arial"/>
                <w:color w:val="000000"/>
                <w:sz w:val="16"/>
                <w:szCs w:val="16"/>
                <w:lang w:val="en-GB" w:eastAsia="en-IN"/>
              </w:rPr>
              <w:t>−</w:t>
            </w:r>
            <w:r w:rsidRPr="00782C96">
              <w:rPr>
                <w:rFonts w:ascii="Arial" w:hAnsi="Arial" w:cs="Arial"/>
                <w:color w:val="000000"/>
                <w:sz w:val="16"/>
                <w:szCs w:val="16"/>
                <w:lang w:val="en-GB" w:eastAsia="en-IN"/>
              </w:rPr>
              <w:t>6.2</w:t>
            </w:r>
          </w:p>
        </w:tc>
        <w:tc>
          <w:tcPr>
            <w:tcW w:w="1276" w:type="dxa"/>
            <w:tcBorders>
              <w:top w:val="nil"/>
              <w:left w:val="nil"/>
              <w:bottom w:val="single" w:sz="4" w:space="0" w:color="auto"/>
              <w:right w:val="single" w:sz="4" w:space="0" w:color="auto"/>
            </w:tcBorders>
            <w:shd w:val="clear" w:color="auto" w:fill="auto"/>
            <w:noWrap/>
            <w:vAlign w:val="center"/>
            <w:hideMark/>
          </w:tcPr>
          <w:p w14:paraId="39CCC554" w14:textId="77777777" w:rsidR="00F151BC" w:rsidRPr="00782C96" w:rsidRDefault="00F151BC" w:rsidP="00E032CF">
            <w:pPr>
              <w:jc w:val="right"/>
              <w:rPr>
                <w:rFonts w:ascii="Arial" w:hAnsi="Arial" w:cs="Arial"/>
                <w:color w:val="000000"/>
                <w:sz w:val="16"/>
                <w:szCs w:val="16"/>
                <w:lang w:val="en-GB" w:eastAsia="en-IN"/>
              </w:rPr>
            </w:pPr>
            <w:r>
              <w:rPr>
                <w:rFonts w:ascii="Arial" w:hAnsi="Arial" w:cs="Arial"/>
                <w:color w:val="000000"/>
                <w:sz w:val="16"/>
                <w:szCs w:val="16"/>
                <w:lang w:val="en-GB" w:eastAsia="en-IN"/>
              </w:rPr>
              <w:t>−</w:t>
            </w:r>
            <w:r w:rsidRPr="00782C96">
              <w:rPr>
                <w:rFonts w:ascii="Arial" w:hAnsi="Arial" w:cs="Arial"/>
                <w:color w:val="000000"/>
                <w:sz w:val="16"/>
                <w:szCs w:val="16"/>
                <w:lang w:val="en-GB" w:eastAsia="en-IN"/>
              </w:rPr>
              <w:t>17.2</w:t>
            </w:r>
          </w:p>
        </w:tc>
        <w:tc>
          <w:tcPr>
            <w:tcW w:w="1275" w:type="dxa"/>
            <w:tcBorders>
              <w:top w:val="nil"/>
              <w:left w:val="nil"/>
              <w:bottom w:val="single" w:sz="4" w:space="0" w:color="auto"/>
              <w:right w:val="single" w:sz="4" w:space="0" w:color="auto"/>
            </w:tcBorders>
            <w:shd w:val="clear" w:color="auto" w:fill="auto"/>
            <w:noWrap/>
            <w:vAlign w:val="center"/>
            <w:hideMark/>
          </w:tcPr>
          <w:p w14:paraId="7FBAEA46"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88</w:t>
            </w:r>
          </w:p>
        </w:tc>
        <w:tc>
          <w:tcPr>
            <w:tcW w:w="1413" w:type="dxa"/>
            <w:tcBorders>
              <w:top w:val="nil"/>
              <w:left w:val="nil"/>
              <w:bottom w:val="single" w:sz="4" w:space="0" w:color="auto"/>
              <w:right w:val="single" w:sz="4" w:space="0" w:color="auto"/>
            </w:tcBorders>
            <w:shd w:val="clear" w:color="auto" w:fill="auto"/>
            <w:noWrap/>
            <w:vAlign w:val="center"/>
            <w:hideMark/>
          </w:tcPr>
          <w:p w14:paraId="40BA7990" w14:textId="77777777" w:rsidR="00F151BC" w:rsidRPr="00782C96" w:rsidRDefault="00F151BC" w:rsidP="00E032CF">
            <w:pPr>
              <w:jc w:val="right"/>
              <w:rPr>
                <w:rFonts w:ascii="Arial" w:hAnsi="Arial" w:cs="Arial"/>
                <w:color w:val="000000"/>
                <w:sz w:val="16"/>
                <w:szCs w:val="16"/>
                <w:lang w:val="en-GB" w:eastAsia="en-IN"/>
              </w:rPr>
            </w:pPr>
            <w:r w:rsidRPr="00782C96">
              <w:rPr>
                <w:rFonts w:ascii="Arial" w:hAnsi="Arial" w:cs="Arial"/>
                <w:color w:val="000000"/>
                <w:sz w:val="16"/>
                <w:szCs w:val="16"/>
                <w:lang w:val="en-GB" w:eastAsia="en-IN"/>
              </w:rPr>
              <w:t>89.80</w:t>
            </w:r>
          </w:p>
        </w:tc>
      </w:tr>
      <w:tr w:rsidR="00F151BC" w:rsidRPr="00782C96" w14:paraId="66134AC3" w14:textId="77777777" w:rsidTr="00716B22">
        <w:trPr>
          <w:trHeight w:val="290"/>
          <w:jc w:val="center"/>
        </w:trPr>
        <w:tc>
          <w:tcPr>
            <w:tcW w:w="1213" w:type="dxa"/>
            <w:tcBorders>
              <w:top w:val="nil"/>
              <w:left w:val="single" w:sz="4" w:space="0" w:color="auto"/>
              <w:bottom w:val="single" w:sz="4" w:space="0" w:color="auto"/>
              <w:right w:val="single" w:sz="4" w:space="0" w:color="auto"/>
            </w:tcBorders>
            <w:shd w:val="clear" w:color="auto" w:fill="auto"/>
            <w:noWrap/>
            <w:vAlign w:val="center"/>
            <w:hideMark/>
          </w:tcPr>
          <w:p w14:paraId="58199BAA" w14:textId="77777777" w:rsidR="00F151BC" w:rsidRPr="00782C96" w:rsidRDefault="00F151BC" w:rsidP="00E032CF">
            <w:pPr>
              <w:rPr>
                <w:rFonts w:ascii="Arial" w:hAnsi="Arial" w:cs="Arial"/>
                <w:sz w:val="16"/>
                <w:szCs w:val="16"/>
                <w:lang w:val="en-GB" w:eastAsia="en-IN"/>
              </w:rPr>
            </w:pPr>
            <w:r w:rsidRPr="00782C96">
              <w:rPr>
                <w:rFonts w:ascii="Arial" w:hAnsi="Arial" w:cs="Arial"/>
                <w:sz w:val="16"/>
                <w:szCs w:val="16"/>
                <w:lang w:val="en-GB" w:eastAsia="en-IN"/>
              </w:rPr>
              <w:t xml:space="preserve">Restated FY </w:t>
            </w:r>
            <w:r>
              <w:rPr>
                <w:rFonts w:ascii="Arial" w:hAnsi="Arial" w:cs="Arial"/>
                <w:sz w:val="16"/>
                <w:szCs w:val="16"/>
                <w:lang w:val="en-GB" w:eastAsia="en-IN"/>
              </w:rPr>
              <w:t>2017–</w:t>
            </w:r>
            <w:r w:rsidRPr="00782C96">
              <w:rPr>
                <w:rFonts w:ascii="Arial" w:hAnsi="Arial" w:cs="Arial"/>
                <w:sz w:val="16"/>
                <w:szCs w:val="16"/>
                <w:lang w:val="en-GB" w:eastAsia="en-IN"/>
              </w:rPr>
              <w:t xml:space="preserve">18 </w:t>
            </w:r>
          </w:p>
        </w:tc>
        <w:tc>
          <w:tcPr>
            <w:tcW w:w="894" w:type="dxa"/>
            <w:tcBorders>
              <w:top w:val="nil"/>
              <w:left w:val="nil"/>
              <w:bottom w:val="single" w:sz="4" w:space="0" w:color="auto"/>
              <w:right w:val="single" w:sz="4" w:space="0" w:color="auto"/>
            </w:tcBorders>
            <w:shd w:val="clear" w:color="auto" w:fill="auto"/>
            <w:noWrap/>
            <w:vAlign w:val="center"/>
            <w:hideMark/>
          </w:tcPr>
          <w:p w14:paraId="6975BD1F" w14:textId="77777777" w:rsidR="00F151BC" w:rsidRPr="00782C96" w:rsidRDefault="00F151BC" w:rsidP="00E032CF">
            <w:pPr>
              <w:rPr>
                <w:rFonts w:ascii="Arial" w:hAnsi="Arial" w:cs="Arial"/>
                <w:sz w:val="16"/>
                <w:szCs w:val="16"/>
                <w:lang w:val="en-GB" w:eastAsia="en-IN"/>
              </w:rPr>
            </w:pPr>
            <w:r w:rsidRPr="00782C96">
              <w:rPr>
                <w:rFonts w:ascii="Arial" w:hAnsi="Arial" w:cs="Arial"/>
                <w:sz w:val="16"/>
                <w:szCs w:val="16"/>
                <w:lang w:val="en-GB" w:eastAsia="en-IN"/>
              </w:rPr>
              <w:t>Ind AS</w:t>
            </w:r>
          </w:p>
        </w:tc>
        <w:tc>
          <w:tcPr>
            <w:tcW w:w="1209" w:type="dxa"/>
            <w:tcBorders>
              <w:top w:val="nil"/>
              <w:left w:val="nil"/>
              <w:bottom w:val="single" w:sz="4" w:space="0" w:color="auto"/>
              <w:right w:val="single" w:sz="4" w:space="0" w:color="auto"/>
            </w:tcBorders>
            <w:shd w:val="clear" w:color="auto" w:fill="auto"/>
            <w:noWrap/>
            <w:vAlign w:val="center"/>
            <w:hideMark/>
          </w:tcPr>
          <w:p w14:paraId="64E52B78"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26</w:t>
            </w:r>
            <w:r>
              <w:rPr>
                <w:rFonts w:ascii="Arial" w:hAnsi="Arial" w:cs="Arial"/>
                <w:sz w:val="16"/>
                <w:szCs w:val="16"/>
                <w:lang w:val="en-GB" w:eastAsia="en-IN"/>
              </w:rPr>
              <w:t>,</w:t>
            </w:r>
            <w:r w:rsidRPr="00782C96">
              <w:rPr>
                <w:rFonts w:ascii="Arial" w:hAnsi="Arial" w:cs="Arial"/>
                <w:sz w:val="16"/>
                <w:szCs w:val="16"/>
                <w:lang w:val="en-GB" w:eastAsia="en-IN"/>
              </w:rPr>
              <w:t>686</w:t>
            </w:r>
          </w:p>
        </w:tc>
        <w:tc>
          <w:tcPr>
            <w:tcW w:w="1184" w:type="dxa"/>
            <w:tcBorders>
              <w:top w:val="nil"/>
              <w:left w:val="nil"/>
              <w:bottom w:val="single" w:sz="4" w:space="0" w:color="auto"/>
              <w:right w:val="single" w:sz="4" w:space="0" w:color="auto"/>
            </w:tcBorders>
            <w:shd w:val="clear" w:color="auto" w:fill="auto"/>
            <w:noWrap/>
            <w:vAlign w:val="center"/>
            <w:hideMark/>
          </w:tcPr>
          <w:p w14:paraId="46C1994C"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79</w:t>
            </w:r>
          </w:p>
        </w:tc>
        <w:tc>
          <w:tcPr>
            <w:tcW w:w="968" w:type="dxa"/>
            <w:tcBorders>
              <w:top w:val="nil"/>
              <w:left w:val="nil"/>
              <w:bottom w:val="single" w:sz="4" w:space="0" w:color="auto"/>
              <w:right w:val="single" w:sz="4" w:space="0" w:color="auto"/>
            </w:tcBorders>
            <w:shd w:val="clear" w:color="auto" w:fill="auto"/>
            <w:noWrap/>
            <w:vAlign w:val="center"/>
            <w:hideMark/>
          </w:tcPr>
          <w:p w14:paraId="0C22D85F"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73</w:t>
            </w:r>
          </w:p>
        </w:tc>
        <w:tc>
          <w:tcPr>
            <w:tcW w:w="1282" w:type="dxa"/>
            <w:tcBorders>
              <w:top w:val="nil"/>
              <w:left w:val="nil"/>
              <w:bottom w:val="single" w:sz="4" w:space="0" w:color="auto"/>
              <w:right w:val="single" w:sz="4" w:space="0" w:color="auto"/>
            </w:tcBorders>
            <w:shd w:val="clear" w:color="auto" w:fill="auto"/>
            <w:noWrap/>
            <w:vAlign w:val="center"/>
            <w:hideMark/>
          </w:tcPr>
          <w:p w14:paraId="2FD36D3C"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62.7</w:t>
            </w:r>
          </w:p>
        </w:tc>
        <w:tc>
          <w:tcPr>
            <w:tcW w:w="1188" w:type="dxa"/>
            <w:tcBorders>
              <w:top w:val="nil"/>
              <w:left w:val="nil"/>
              <w:bottom w:val="single" w:sz="4" w:space="0" w:color="auto"/>
              <w:right w:val="single" w:sz="4" w:space="0" w:color="auto"/>
            </w:tcBorders>
            <w:shd w:val="clear" w:color="auto" w:fill="auto"/>
            <w:noWrap/>
            <w:vAlign w:val="center"/>
            <w:hideMark/>
          </w:tcPr>
          <w:p w14:paraId="5D125D87"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69.2</w:t>
            </w:r>
            <w:r w:rsidRPr="00782C96">
              <w:rPr>
                <w:rFonts w:ascii="Arial" w:hAnsi="Arial" w:cs="Arial"/>
                <w:sz w:val="16"/>
                <w:szCs w:val="16"/>
                <w:vertAlign w:val="superscript"/>
                <w:lang w:val="en-GB" w:eastAsia="en-IN"/>
              </w:rPr>
              <w:t>5</w:t>
            </w:r>
          </w:p>
        </w:tc>
        <w:tc>
          <w:tcPr>
            <w:tcW w:w="1418" w:type="dxa"/>
            <w:tcBorders>
              <w:top w:val="nil"/>
              <w:left w:val="nil"/>
              <w:bottom w:val="single" w:sz="4" w:space="0" w:color="auto"/>
              <w:right w:val="single" w:sz="4" w:space="0" w:color="auto"/>
            </w:tcBorders>
            <w:shd w:val="clear" w:color="auto" w:fill="auto"/>
            <w:noWrap/>
            <w:vAlign w:val="center"/>
            <w:hideMark/>
          </w:tcPr>
          <w:p w14:paraId="249AEFDE" w14:textId="77777777" w:rsidR="00F151BC" w:rsidRPr="00782C96" w:rsidRDefault="00F151BC" w:rsidP="00E032CF">
            <w:pPr>
              <w:jc w:val="right"/>
              <w:rPr>
                <w:rFonts w:ascii="Arial" w:hAnsi="Arial" w:cs="Arial"/>
                <w:sz w:val="16"/>
                <w:szCs w:val="16"/>
                <w:lang w:val="en-GB" w:eastAsia="en-IN"/>
              </w:rPr>
            </w:pPr>
            <w:r>
              <w:rPr>
                <w:rFonts w:ascii="Arial" w:hAnsi="Arial" w:cs="Arial"/>
                <w:sz w:val="16"/>
                <w:szCs w:val="16"/>
                <w:lang w:val="en-GB" w:eastAsia="en-IN"/>
              </w:rPr>
              <w:t>−</w:t>
            </w:r>
            <w:r w:rsidRPr="00782C96">
              <w:rPr>
                <w:rFonts w:ascii="Arial" w:hAnsi="Arial" w:cs="Arial"/>
                <w:sz w:val="16"/>
                <w:szCs w:val="16"/>
                <w:lang w:val="en-GB" w:eastAsia="en-IN"/>
              </w:rPr>
              <w:t>6.5</w:t>
            </w:r>
          </w:p>
        </w:tc>
        <w:tc>
          <w:tcPr>
            <w:tcW w:w="1276" w:type="dxa"/>
            <w:tcBorders>
              <w:top w:val="nil"/>
              <w:left w:val="nil"/>
              <w:bottom w:val="single" w:sz="4" w:space="0" w:color="auto"/>
              <w:right w:val="single" w:sz="4" w:space="0" w:color="auto"/>
            </w:tcBorders>
            <w:shd w:val="clear" w:color="auto" w:fill="auto"/>
            <w:noWrap/>
            <w:vAlign w:val="center"/>
            <w:hideMark/>
          </w:tcPr>
          <w:p w14:paraId="66F0D9BC" w14:textId="77777777" w:rsidR="00F151BC" w:rsidRPr="00782C96" w:rsidRDefault="00F151BC" w:rsidP="00E032CF">
            <w:pPr>
              <w:jc w:val="right"/>
              <w:rPr>
                <w:rFonts w:ascii="Arial" w:hAnsi="Arial" w:cs="Arial"/>
                <w:sz w:val="16"/>
                <w:szCs w:val="16"/>
                <w:lang w:val="en-GB" w:eastAsia="en-IN"/>
              </w:rPr>
            </w:pPr>
            <w:r>
              <w:rPr>
                <w:rFonts w:ascii="Arial" w:hAnsi="Arial" w:cs="Arial"/>
                <w:sz w:val="16"/>
                <w:szCs w:val="16"/>
                <w:lang w:val="en-GB" w:eastAsia="en-IN"/>
              </w:rPr>
              <w:t>−</w:t>
            </w:r>
            <w:r w:rsidRPr="00782C96">
              <w:rPr>
                <w:rFonts w:ascii="Arial" w:hAnsi="Arial" w:cs="Arial"/>
                <w:sz w:val="16"/>
                <w:szCs w:val="16"/>
                <w:lang w:val="en-GB" w:eastAsia="en-IN"/>
              </w:rPr>
              <w:t>17.8</w:t>
            </w:r>
          </w:p>
        </w:tc>
        <w:tc>
          <w:tcPr>
            <w:tcW w:w="1275" w:type="dxa"/>
            <w:tcBorders>
              <w:top w:val="nil"/>
              <w:left w:val="nil"/>
              <w:bottom w:val="single" w:sz="4" w:space="0" w:color="auto"/>
              <w:right w:val="single" w:sz="4" w:space="0" w:color="auto"/>
            </w:tcBorders>
            <w:shd w:val="clear" w:color="auto" w:fill="auto"/>
            <w:noWrap/>
            <w:vAlign w:val="center"/>
            <w:hideMark/>
          </w:tcPr>
          <w:p w14:paraId="40DDE314"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88</w:t>
            </w:r>
          </w:p>
        </w:tc>
        <w:tc>
          <w:tcPr>
            <w:tcW w:w="1413" w:type="dxa"/>
            <w:tcBorders>
              <w:top w:val="nil"/>
              <w:left w:val="nil"/>
              <w:bottom w:val="single" w:sz="4" w:space="0" w:color="auto"/>
              <w:right w:val="single" w:sz="4" w:space="0" w:color="auto"/>
            </w:tcBorders>
            <w:shd w:val="clear" w:color="auto" w:fill="auto"/>
            <w:noWrap/>
            <w:vAlign w:val="center"/>
            <w:hideMark/>
          </w:tcPr>
          <w:p w14:paraId="1B5D51AE" w14:textId="77777777" w:rsidR="00F151BC" w:rsidRPr="00782C96" w:rsidRDefault="00F151BC" w:rsidP="00E032CF">
            <w:pPr>
              <w:jc w:val="right"/>
              <w:rPr>
                <w:rFonts w:ascii="Arial" w:hAnsi="Arial" w:cs="Arial"/>
                <w:sz w:val="16"/>
                <w:szCs w:val="16"/>
                <w:lang w:val="en-GB" w:eastAsia="en-IN"/>
              </w:rPr>
            </w:pPr>
            <w:r w:rsidRPr="00782C96">
              <w:rPr>
                <w:rFonts w:ascii="Arial" w:hAnsi="Arial" w:cs="Arial"/>
                <w:sz w:val="16"/>
                <w:szCs w:val="16"/>
                <w:lang w:val="en-GB" w:eastAsia="en-IN"/>
              </w:rPr>
              <w:t> </w:t>
            </w:r>
          </w:p>
        </w:tc>
      </w:tr>
    </w:tbl>
    <w:p w14:paraId="4DBDC723" w14:textId="77777777" w:rsidR="0054621E" w:rsidRPr="00FC1D83" w:rsidRDefault="0054621E" w:rsidP="00F151BC">
      <w:pPr>
        <w:pStyle w:val="ExhibitText"/>
        <w:rPr>
          <w:lang w:val="en-GB"/>
        </w:rPr>
      </w:pPr>
    </w:p>
    <w:p w14:paraId="77506F08" w14:textId="77777777" w:rsidR="00F151BC" w:rsidRPr="00FC1D83" w:rsidRDefault="00F151BC" w:rsidP="00F151BC">
      <w:pPr>
        <w:pStyle w:val="ExhibitText"/>
        <w:rPr>
          <w:lang w:val="en-GB"/>
        </w:rPr>
      </w:pPr>
      <w:r w:rsidRPr="003B0B24">
        <w:rPr>
          <w:vertAlign w:val="superscript"/>
          <w:lang w:val="en-GB"/>
        </w:rPr>
        <w:t xml:space="preserve">* </w:t>
      </w:r>
      <w:r w:rsidRPr="00FC1D83">
        <w:rPr>
          <w:lang w:val="en-GB"/>
        </w:rPr>
        <w:t xml:space="preserve">Revenue includes </w:t>
      </w:r>
      <w:r>
        <w:rPr>
          <w:lang w:val="en-GB"/>
        </w:rPr>
        <w:t>net sales</w:t>
      </w:r>
      <w:r w:rsidRPr="00FC1D83">
        <w:rPr>
          <w:lang w:val="en-GB"/>
        </w:rPr>
        <w:t xml:space="preserve"> (</w:t>
      </w:r>
      <w:r>
        <w:rPr>
          <w:lang w:val="en-GB"/>
        </w:rPr>
        <w:t>revenue from operations</w:t>
      </w:r>
      <w:r w:rsidRPr="00FC1D83">
        <w:rPr>
          <w:lang w:val="en-GB"/>
        </w:rPr>
        <w:t>) and excludes other income.</w:t>
      </w:r>
    </w:p>
    <w:p w14:paraId="63C08E20" w14:textId="77777777" w:rsidR="00F151BC" w:rsidRPr="00FC1D83" w:rsidRDefault="00F151BC" w:rsidP="00F151BC">
      <w:pPr>
        <w:pStyle w:val="ExhibitText"/>
        <w:rPr>
          <w:lang w:val="en-GB"/>
        </w:rPr>
      </w:pPr>
      <w:r w:rsidRPr="003B0B24">
        <w:rPr>
          <w:vertAlign w:val="superscript"/>
          <w:lang w:val="en-GB"/>
        </w:rPr>
        <w:t>†</w:t>
      </w:r>
      <w:r>
        <w:rPr>
          <w:lang w:val="en-GB"/>
        </w:rPr>
        <w:t xml:space="preserve"> </w:t>
      </w:r>
      <w:r w:rsidRPr="00FC1D83">
        <w:rPr>
          <w:lang w:val="en-GB"/>
        </w:rPr>
        <w:t xml:space="preserve">Operating </w:t>
      </w:r>
      <w:r>
        <w:rPr>
          <w:lang w:val="en-GB"/>
        </w:rPr>
        <w:t>expenditure</w:t>
      </w:r>
      <w:r w:rsidRPr="00FC1D83">
        <w:rPr>
          <w:lang w:val="en-GB"/>
        </w:rPr>
        <w:t xml:space="preserve"> = </w:t>
      </w:r>
      <w:r>
        <w:rPr>
          <w:lang w:val="en-GB"/>
        </w:rPr>
        <w:t>total expenditure – finance cost.</w:t>
      </w:r>
    </w:p>
    <w:p w14:paraId="6D194427" w14:textId="56E61673" w:rsidR="00F151BC" w:rsidRPr="00FC1D83" w:rsidRDefault="00F151BC" w:rsidP="00F151BC">
      <w:pPr>
        <w:pStyle w:val="ExhibitText"/>
        <w:rPr>
          <w:lang w:val="en-GB"/>
        </w:rPr>
      </w:pPr>
      <w:r w:rsidRPr="003B0B24">
        <w:rPr>
          <w:vertAlign w:val="superscript"/>
          <w:lang w:val="en-GB"/>
        </w:rPr>
        <w:t>‡</w:t>
      </w:r>
      <w:r w:rsidRPr="00FC1D83">
        <w:rPr>
          <w:lang w:val="en-GB"/>
        </w:rPr>
        <w:t xml:space="preserve"> Operating </w:t>
      </w:r>
      <w:r w:rsidR="002664CA">
        <w:rPr>
          <w:lang w:val="en-GB"/>
        </w:rPr>
        <w:t>profit</w:t>
      </w:r>
      <w:r>
        <w:rPr>
          <w:lang w:val="en-GB"/>
        </w:rPr>
        <w:t>/loss</w:t>
      </w:r>
      <w:r w:rsidRPr="00FC1D83">
        <w:rPr>
          <w:lang w:val="en-GB"/>
        </w:rPr>
        <w:t xml:space="preserve"> = </w:t>
      </w:r>
      <w:r>
        <w:rPr>
          <w:lang w:val="en-GB"/>
        </w:rPr>
        <w:t>revenue (net sales) –</w:t>
      </w:r>
      <w:r w:rsidRPr="00FC1D83">
        <w:rPr>
          <w:lang w:val="en-GB"/>
        </w:rPr>
        <w:t xml:space="preserve"> </w:t>
      </w:r>
      <w:r>
        <w:rPr>
          <w:lang w:val="en-GB"/>
        </w:rPr>
        <w:t>operating expenditure.</w:t>
      </w:r>
    </w:p>
    <w:p w14:paraId="483C13C6" w14:textId="23BCEAA4" w:rsidR="00F151BC" w:rsidRPr="00FC1D83" w:rsidRDefault="00F151BC" w:rsidP="00F151BC">
      <w:pPr>
        <w:pStyle w:val="ExhibitText"/>
        <w:rPr>
          <w:lang w:val="en-GB"/>
        </w:rPr>
      </w:pPr>
      <w:r w:rsidRPr="003B0B24">
        <w:rPr>
          <w:vertAlign w:val="superscript"/>
          <w:lang w:val="en-GB"/>
        </w:rPr>
        <w:t>§</w:t>
      </w:r>
      <w:r w:rsidRPr="00FC1D83">
        <w:rPr>
          <w:lang w:val="en-GB"/>
        </w:rPr>
        <w:t xml:space="preserve"> Indonesian Ministry of Energy and Mineral Resources thermal coal reference price.</w:t>
      </w:r>
    </w:p>
    <w:p w14:paraId="08AC064F" w14:textId="77777777" w:rsidR="00F151BC" w:rsidRPr="00FC1D83" w:rsidRDefault="00F151BC" w:rsidP="00F151BC">
      <w:pPr>
        <w:pStyle w:val="Footnote"/>
        <w:rPr>
          <w:lang w:val="en-GB"/>
        </w:rPr>
      </w:pPr>
    </w:p>
    <w:p w14:paraId="67B5BBBB" w14:textId="431614E6" w:rsidR="00B61750" w:rsidRPr="00DE2D9F" w:rsidRDefault="00F151BC" w:rsidP="00E360AF">
      <w:pPr>
        <w:pStyle w:val="Footnote"/>
      </w:pPr>
      <w:r w:rsidRPr="006F57F7">
        <w:rPr>
          <w:lang w:val="en-GB"/>
        </w:rPr>
        <w:t xml:space="preserve">Note: </w:t>
      </w:r>
      <w:r w:rsidR="0054621E" w:rsidRPr="0054621E">
        <w:rPr>
          <w:lang w:val="en-GB"/>
        </w:rPr>
        <w:t>All five units operational since April 2013.</w:t>
      </w:r>
      <w:r w:rsidR="0054621E">
        <w:rPr>
          <w:lang w:val="en-GB"/>
        </w:rPr>
        <w:t xml:space="preserve"> </w:t>
      </w:r>
      <w:r w:rsidR="0054621E" w:rsidRPr="0054621E">
        <w:rPr>
          <w:lang w:val="en-GB"/>
        </w:rPr>
        <w:t xml:space="preserve">Operational losses for FY 2019 stood at ₹7.14 billion and net loss for FY 2019 stood at ₹16.54 billion, for FY </w:t>
      </w:r>
      <w:r w:rsidR="0054621E">
        <w:rPr>
          <w:lang w:val="en-GB"/>
        </w:rPr>
        <w:t>20</w:t>
      </w:r>
      <w:r w:rsidR="0054621E" w:rsidRPr="0054621E">
        <w:rPr>
          <w:lang w:val="en-GB"/>
        </w:rPr>
        <w:t>20, ₹8.91 billion.</w:t>
      </w:r>
      <w:r w:rsidR="0054621E">
        <w:rPr>
          <w:lang w:val="en-GB"/>
        </w:rPr>
        <w:t xml:space="preserve"> </w:t>
      </w:r>
      <w:r w:rsidRPr="006F57F7">
        <w:rPr>
          <w:lang w:val="en-GB"/>
        </w:rPr>
        <w:t xml:space="preserve">IGAAP = </w:t>
      </w:r>
      <w:r w:rsidR="00B61750">
        <w:rPr>
          <w:lang w:val="en-GB"/>
        </w:rPr>
        <w:t>Indian Generally Accepted Accounting Principles</w:t>
      </w:r>
      <w:r w:rsidRPr="006F57F7">
        <w:rPr>
          <w:lang w:val="en-GB"/>
        </w:rPr>
        <w:t xml:space="preserve">; Ind AS = </w:t>
      </w:r>
      <w:r w:rsidR="00B61750">
        <w:rPr>
          <w:lang w:val="en-GB"/>
        </w:rPr>
        <w:t>Indian Accounting Standard</w:t>
      </w:r>
      <w:r w:rsidRPr="006F57F7">
        <w:rPr>
          <w:lang w:val="en-GB"/>
        </w:rPr>
        <w:t xml:space="preserve">; </w:t>
      </w:r>
      <w:r w:rsidRPr="00E6039E">
        <w:rPr>
          <w:lang w:val="en-GB"/>
        </w:rPr>
        <w:t xml:space="preserve">FY = fiscal year; HBA = </w:t>
      </w:r>
      <w:proofErr w:type="spellStart"/>
      <w:r w:rsidRPr="00E6039E">
        <w:rPr>
          <w:lang w:val="en-GB"/>
        </w:rPr>
        <w:t>Harga</w:t>
      </w:r>
      <w:proofErr w:type="spellEnd"/>
      <w:r w:rsidRPr="00E6039E">
        <w:rPr>
          <w:lang w:val="en-GB"/>
        </w:rPr>
        <w:t xml:space="preserve"> Batubara </w:t>
      </w:r>
      <w:proofErr w:type="spellStart"/>
      <w:r w:rsidRPr="00E6039E">
        <w:rPr>
          <w:lang w:val="en-GB"/>
        </w:rPr>
        <w:t>Acuan</w:t>
      </w:r>
      <w:proofErr w:type="spellEnd"/>
      <w:r w:rsidRPr="008268FD">
        <w:rPr>
          <w:lang w:val="en-GB"/>
        </w:rPr>
        <w:t xml:space="preserve">; </w:t>
      </w:r>
      <w:r w:rsidR="004115DD" w:rsidRPr="00633368">
        <w:rPr>
          <w:lang w:val="en-CA"/>
        </w:rPr>
        <w:t>₹ = INR = Indian rupee; US$1 = ₹</w:t>
      </w:r>
      <w:r w:rsidR="004115DD" w:rsidRPr="007B60C0">
        <w:rPr>
          <w:lang w:val="en-CA"/>
        </w:rPr>
        <w:t>64.7052</w:t>
      </w:r>
      <w:r w:rsidR="004115DD" w:rsidRPr="00633368">
        <w:rPr>
          <w:lang w:val="en-CA"/>
        </w:rPr>
        <w:t xml:space="preserve"> </w:t>
      </w:r>
      <w:r w:rsidR="004115DD">
        <w:rPr>
          <w:lang w:val="en-CA"/>
        </w:rPr>
        <w:t>on April 11, 2017</w:t>
      </w:r>
    </w:p>
    <w:p w14:paraId="0866B4BC" w14:textId="55C81740" w:rsidR="00B61750" w:rsidRPr="00C04176" w:rsidRDefault="00D01DEA" w:rsidP="00DE2D9F">
      <w:pPr>
        <w:pStyle w:val="Footnote"/>
        <w:rPr>
          <w:lang w:val="en-GB"/>
        </w:rPr>
      </w:pPr>
      <w:r>
        <w:rPr>
          <w:lang w:val="en-GB"/>
        </w:rPr>
        <w:t xml:space="preserve">Source: </w:t>
      </w:r>
      <w:r w:rsidR="00B61750" w:rsidRPr="003B0B24">
        <w:rPr>
          <w:lang w:val="en-GB"/>
        </w:rPr>
        <w:t xml:space="preserve">Created by the author based on </w:t>
      </w:r>
      <w:r w:rsidR="00327608">
        <w:rPr>
          <w:lang w:val="en-GB"/>
        </w:rPr>
        <w:t xml:space="preserve">the following </w:t>
      </w:r>
      <w:r w:rsidR="00B61750" w:rsidRPr="003B0B24">
        <w:rPr>
          <w:lang w:val="en-GB"/>
        </w:rPr>
        <w:t>annual reports</w:t>
      </w:r>
      <w:r w:rsidR="00327608">
        <w:rPr>
          <w:lang w:val="en-GB"/>
        </w:rPr>
        <w:t>:</w:t>
      </w:r>
      <w:r w:rsidR="00B61750" w:rsidRPr="003B0B24">
        <w:rPr>
          <w:lang w:val="en-GB"/>
        </w:rPr>
        <w:t xml:space="preserve"> </w:t>
      </w:r>
      <w:r w:rsidR="00A74043">
        <w:rPr>
          <w:lang w:val="en-GB"/>
        </w:rPr>
        <w:t xml:space="preserve">CGPL </w:t>
      </w:r>
      <w:r w:rsidR="00B61750" w:rsidRPr="003B0B24">
        <w:rPr>
          <w:lang w:val="en-GB"/>
        </w:rPr>
        <w:t>Coastal Gujarat Power Limited</w:t>
      </w:r>
      <w:r w:rsidR="00A74043">
        <w:rPr>
          <w:lang w:val="en-GB"/>
        </w:rPr>
        <w:t xml:space="preserve"> (A Tata Power Company),</w:t>
      </w:r>
      <w:r w:rsidR="00B61750" w:rsidRPr="003B0B24">
        <w:rPr>
          <w:lang w:val="en-GB"/>
        </w:rPr>
        <w:t xml:space="preserve"> </w:t>
      </w:r>
      <w:r w:rsidR="00327608" w:rsidRPr="00327608">
        <w:rPr>
          <w:i/>
          <w:iCs/>
          <w:lang w:val="en-GB"/>
        </w:rPr>
        <w:t xml:space="preserve">12th </w:t>
      </w:r>
      <w:r w:rsidR="00B61750" w:rsidRPr="00327608">
        <w:rPr>
          <w:i/>
          <w:iCs/>
          <w:lang w:val="en-GB"/>
        </w:rPr>
        <w:t>Annual Report 2017</w:t>
      </w:r>
      <w:r w:rsidR="00327608" w:rsidRPr="00327608">
        <w:rPr>
          <w:i/>
          <w:iCs/>
          <w:lang w:val="en-GB"/>
        </w:rPr>
        <w:t>–</w:t>
      </w:r>
      <w:r w:rsidR="00B61750" w:rsidRPr="00327608">
        <w:rPr>
          <w:i/>
          <w:iCs/>
          <w:lang w:val="en-GB"/>
        </w:rPr>
        <w:t>18</w:t>
      </w:r>
      <w:r w:rsidR="00327608">
        <w:rPr>
          <w:lang w:val="en-GB"/>
        </w:rPr>
        <w:t>,</w:t>
      </w:r>
      <w:r w:rsidR="00B61750" w:rsidRPr="00C04176">
        <w:rPr>
          <w:lang w:val="en-GB"/>
        </w:rPr>
        <w:t xml:space="preserve"> </w:t>
      </w:r>
      <w:r w:rsidR="00327608">
        <w:rPr>
          <w:lang w:val="en-GB"/>
        </w:rPr>
        <w:t>a</w:t>
      </w:r>
      <w:r w:rsidR="00B61750">
        <w:rPr>
          <w:lang w:val="en-GB"/>
        </w:rPr>
        <w:t>ccessed April 2, 2021</w:t>
      </w:r>
      <w:r w:rsidR="00327608">
        <w:rPr>
          <w:lang w:val="en-GB"/>
        </w:rPr>
        <w:t>,</w:t>
      </w:r>
      <w:r w:rsidR="00327608">
        <w:t xml:space="preserve"> </w:t>
      </w:r>
      <w:r w:rsidR="00B61750" w:rsidRPr="00452D63">
        <w:t>www.tatapower.com/pdf/cgpl-mundra/fy-2017-18.pdf</w:t>
      </w:r>
      <w:r w:rsidR="00327608">
        <w:t xml:space="preserve">; </w:t>
      </w:r>
      <w:r w:rsidR="00A74043">
        <w:rPr>
          <w:lang w:val="en-GB"/>
        </w:rPr>
        <w:t xml:space="preserve">Tata Power, </w:t>
      </w:r>
      <w:r w:rsidR="00B61750" w:rsidRPr="00716B22">
        <w:rPr>
          <w:i/>
          <w:iCs/>
          <w:lang w:val="en-GB"/>
        </w:rPr>
        <w:t>Annual Report 2016</w:t>
      </w:r>
      <w:r w:rsidR="00327608" w:rsidRPr="00716B22">
        <w:rPr>
          <w:i/>
          <w:iCs/>
          <w:lang w:val="en-GB"/>
        </w:rPr>
        <w:t>–</w:t>
      </w:r>
      <w:r w:rsidR="00B61750" w:rsidRPr="00716B22">
        <w:rPr>
          <w:i/>
          <w:iCs/>
          <w:lang w:val="en-GB"/>
        </w:rPr>
        <w:t>17</w:t>
      </w:r>
      <w:r w:rsidR="00A74043" w:rsidRPr="00716B22">
        <w:rPr>
          <w:i/>
          <w:iCs/>
          <w:lang w:val="en-GB"/>
        </w:rPr>
        <w:t>: Renewing Growth through Renewables</w:t>
      </w:r>
      <w:r w:rsidR="00327608">
        <w:rPr>
          <w:lang w:val="en-GB"/>
        </w:rPr>
        <w:t>,</w:t>
      </w:r>
      <w:r w:rsidR="00B61750" w:rsidRPr="00C04176">
        <w:rPr>
          <w:lang w:val="en-GB"/>
        </w:rPr>
        <w:t xml:space="preserve"> </w:t>
      </w:r>
      <w:r w:rsidR="00327608">
        <w:rPr>
          <w:lang w:val="en-GB"/>
        </w:rPr>
        <w:t>a</w:t>
      </w:r>
      <w:r w:rsidR="00B61750">
        <w:rPr>
          <w:lang w:val="en-GB"/>
        </w:rPr>
        <w:t>ccessed April 2, 2021</w:t>
      </w:r>
      <w:r w:rsidR="00327608">
        <w:rPr>
          <w:lang w:val="en-GB"/>
        </w:rPr>
        <w:t>,</w:t>
      </w:r>
      <w:r w:rsidR="00B61750">
        <w:rPr>
          <w:lang w:val="en-GB"/>
        </w:rPr>
        <w:t xml:space="preserve"> </w:t>
      </w:r>
      <w:r w:rsidR="00B61750" w:rsidRPr="00B61750">
        <w:rPr>
          <w:lang w:val="en-GB"/>
        </w:rPr>
        <w:t>www.tatapower.com/pdf/investor-relations/98Annual-Report-2016-17.pdf</w:t>
      </w:r>
      <w:r w:rsidR="00327608">
        <w:rPr>
          <w:lang w:val="en-GB"/>
        </w:rPr>
        <w:t>;</w:t>
      </w:r>
      <w:r w:rsidR="00684B1A">
        <w:rPr>
          <w:lang w:val="en-GB"/>
        </w:rPr>
        <w:t xml:space="preserve"> </w:t>
      </w:r>
      <w:r w:rsidR="00A74043">
        <w:rPr>
          <w:lang w:val="en-GB"/>
        </w:rPr>
        <w:t xml:space="preserve">Tata Power, </w:t>
      </w:r>
      <w:r w:rsidR="00B61750" w:rsidRPr="00716B22">
        <w:rPr>
          <w:i/>
          <w:iCs/>
          <w:lang w:val="en-GB"/>
        </w:rPr>
        <w:t>Annual Report 2015</w:t>
      </w:r>
      <w:r w:rsidR="00327608" w:rsidRPr="00716B22">
        <w:rPr>
          <w:i/>
          <w:iCs/>
          <w:lang w:val="en-GB"/>
        </w:rPr>
        <w:t>–</w:t>
      </w:r>
      <w:r w:rsidR="00B61750" w:rsidRPr="00716B22">
        <w:rPr>
          <w:i/>
          <w:iCs/>
          <w:lang w:val="en-GB"/>
        </w:rPr>
        <w:t>16</w:t>
      </w:r>
      <w:r w:rsidR="00A74043" w:rsidRPr="00716B22">
        <w:rPr>
          <w:i/>
          <w:iCs/>
          <w:lang w:val="en-GB"/>
        </w:rPr>
        <w:t>: Raising the Bar in Centenary Year</w:t>
      </w:r>
      <w:r w:rsidR="00327608">
        <w:rPr>
          <w:lang w:val="en-GB"/>
        </w:rPr>
        <w:t>,</w:t>
      </w:r>
      <w:r w:rsidR="00B61750" w:rsidRPr="00C04176">
        <w:rPr>
          <w:lang w:val="en-GB"/>
        </w:rPr>
        <w:t xml:space="preserve"> </w:t>
      </w:r>
      <w:r w:rsidR="00327608">
        <w:rPr>
          <w:lang w:val="en-GB"/>
        </w:rPr>
        <w:t>a</w:t>
      </w:r>
      <w:r w:rsidR="00B61750">
        <w:rPr>
          <w:lang w:val="en-GB"/>
        </w:rPr>
        <w:t>ccessed April 2, 2021</w:t>
      </w:r>
      <w:r w:rsidR="00327608">
        <w:rPr>
          <w:lang w:val="en-GB"/>
        </w:rPr>
        <w:t>,</w:t>
      </w:r>
      <w:r w:rsidR="00B61750">
        <w:rPr>
          <w:lang w:val="en-GB"/>
        </w:rPr>
        <w:t xml:space="preserve"> </w:t>
      </w:r>
      <w:r w:rsidR="00B61750" w:rsidRPr="00B61750">
        <w:rPr>
          <w:lang w:val="en-GB"/>
        </w:rPr>
        <w:t>www.tatapower.com/pdf/investor-relations/97Annual-Report-2015-16.pdf</w:t>
      </w:r>
      <w:r w:rsidR="00327608">
        <w:rPr>
          <w:lang w:val="en-GB"/>
        </w:rPr>
        <w:t>;</w:t>
      </w:r>
      <w:r w:rsidR="00A74043">
        <w:rPr>
          <w:lang w:val="en-GB"/>
        </w:rPr>
        <w:t xml:space="preserve"> Tata Power, </w:t>
      </w:r>
      <w:r w:rsidR="00A74043" w:rsidRPr="00716B22">
        <w:rPr>
          <w:i/>
          <w:iCs/>
          <w:lang w:val="en-GB"/>
        </w:rPr>
        <w:t xml:space="preserve">96th </w:t>
      </w:r>
      <w:r w:rsidR="00B61750" w:rsidRPr="00716B22">
        <w:rPr>
          <w:i/>
          <w:iCs/>
          <w:lang w:val="en-GB"/>
        </w:rPr>
        <w:t>Annual Report 2014</w:t>
      </w:r>
      <w:r w:rsidR="00327608" w:rsidRPr="00716B22">
        <w:rPr>
          <w:i/>
          <w:iCs/>
          <w:lang w:val="en-GB"/>
        </w:rPr>
        <w:t>–</w:t>
      </w:r>
      <w:r w:rsidR="00B61750" w:rsidRPr="00716B22">
        <w:rPr>
          <w:i/>
          <w:iCs/>
          <w:lang w:val="en-GB"/>
        </w:rPr>
        <w:t>15</w:t>
      </w:r>
      <w:r w:rsidR="00A74043" w:rsidRPr="00716B22">
        <w:rPr>
          <w:i/>
          <w:iCs/>
          <w:lang w:val="en-GB"/>
        </w:rPr>
        <w:t>: 100 Years of Invisible Goodness</w:t>
      </w:r>
      <w:r w:rsidR="00327608">
        <w:rPr>
          <w:lang w:val="en-GB"/>
        </w:rPr>
        <w:t>,</w:t>
      </w:r>
      <w:r w:rsidR="00B61750" w:rsidRPr="00C04176">
        <w:rPr>
          <w:lang w:val="en-GB"/>
        </w:rPr>
        <w:t xml:space="preserve"> </w:t>
      </w:r>
      <w:r w:rsidR="00327608">
        <w:rPr>
          <w:lang w:val="en-GB"/>
        </w:rPr>
        <w:t>a</w:t>
      </w:r>
      <w:r w:rsidR="00B61750">
        <w:rPr>
          <w:lang w:val="en-GB"/>
        </w:rPr>
        <w:t xml:space="preserve">ccessed April 2, 2021, </w:t>
      </w:r>
      <w:r w:rsidR="00B61750" w:rsidRPr="00B61750">
        <w:rPr>
          <w:lang w:val="en-GB"/>
        </w:rPr>
        <w:t>www.tatapower.com/pdf/investor-relations/96Annual-Report-2014-15.pdf</w:t>
      </w:r>
      <w:r w:rsidR="00327608">
        <w:rPr>
          <w:lang w:val="en-GB"/>
        </w:rPr>
        <w:t>;</w:t>
      </w:r>
      <w:r w:rsidR="00A74043">
        <w:rPr>
          <w:lang w:val="en-GB"/>
        </w:rPr>
        <w:t xml:space="preserve"> Tata Power, </w:t>
      </w:r>
      <w:r w:rsidR="00A74043" w:rsidRPr="00716B22">
        <w:rPr>
          <w:i/>
          <w:iCs/>
          <w:lang w:val="en-GB"/>
        </w:rPr>
        <w:t xml:space="preserve">95th </w:t>
      </w:r>
      <w:r w:rsidR="00B61750" w:rsidRPr="00716B22">
        <w:rPr>
          <w:i/>
          <w:iCs/>
          <w:lang w:val="en-GB"/>
        </w:rPr>
        <w:t>Annual Report 2013</w:t>
      </w:r>
      <w:r w:rsidR="00327608" w:rsidRPr="00716B22">
        <w:rPr>
          <w:i/>
          <w:iCs/>
          <w:lang w:val="en-GB"/>
        </w:rPr>
        <w:t>–</w:t>
      </w:r>
      <w:r w:rsidR="00B61750" w:rsidRPr="00716B22">
        <w:rPr>
          <w:i/>
          <w:iCs/>
          <w:lang w:val="en-GB"/>
        </w:rPr>
        <w:t>14</w:t>
      </w:r>
      <w:r w:rsidR="00327608">
        <w:rPr>
          <w:lang w:val="en-GB"/>
        </w:rPr>
        <w:t>,</w:t>
      </w:r>
      <w:r w:rsidR="00B61750">
        <w:rPr>
          <w:lang w:val="en-GB"/>
        </w:rPr>
        <w:t xml:space="preserve"> </w:t>
      </w:r>
      <w:r w:rsidR="00327608">
        <w:rPr>
          <w:lang w:val="en-GB"/>
        </w:rPr>
        <w:t>a</w:t>
      </w:r>
      <w:r w:rsidR="00B61750">
        <w:rPr>
          <w:lang w:val="en-GB"/>
        </w:rPr>
        <w:t>ccessed April 2, 2021</w:t>
      </w:r>
      <w:r w:rsidR="00327608">
        <w:rPr>
          <w:lang w:val="en-GB"/>
        </w:rPr>
        <w:t>,</w:t>
      </w:r>
      <w:r>
        <w:rPr>
          <w:lang w:val="en-GB"/>
        </w:rPr>
        <w:t xml:space="preserve"> </w:t>
      </w:r>
      <w:r w:rsidRPr="00D01DEA">
        <w:rPr>
          <w:lang w:val="en-GB"/>
        </w:rPr>
        <w:t>www.tatapower.com/pdf/investor-relations/95Annual-Report-2013-14.pdf</w:t>
      </w:r>
      <w:r w:rsidR="00327608">
        <w:rPr>
          <w:lang w:val="en-GB"/>
        </w:rPr>
        <w:t>;</w:t>
      </w:r>
      <w:r w:rsidR="00A74043">
        <w:rPr>
          <w:lang w:val="en-GB"/>
        </w:rPr>
        <w:t xml:space="preserve"> Tata Power, </w:t>
      </w:r>
      <w:r w:rsidR="00A74043" w:rsidRPr="00716B22">
        <w:rPr>
          <w:i/>
          <w:iCs/>
          <w:lang w:val="en-GB"/>
        </w:rPr>
        <w:t xml:space="preserve">94th </w:t>
      </w:r>
      <w:r w:rsidR="00B61750" w:rsidRPr="00716B22">
        <w:rPr>
          <w:i/>
          <w:iCs/>
          <w:lang w:val="en-GB"/>
        </w:rPr>
        <w:t>Annual Report 2012</w:t>
      </w:r>
      <w:r w:rsidR="00327608" w:rsidRPr="00716B22">
        <w:rPr>
          <w:i/>
          <w:iCs/>
          <w:lang w:val="en-GB"/>
        </w:rPr>
        <w:t>–</w:t>
      </w:r>
      <w:r w:rsidR="00B61750" w:rsidRPr="00716B22">
        <w:rPr>
          <w:i/>
          <w:iCs/>
          <w:lang w:val="en-GB"/>
        </w:rPr>
        <w:t>13</w:t>
      </w:r>
      <w:r w:rsidR="00A74043" w:rsidRPr="00716B22">
        <w:rPr>
          <w:i/>
          <w:iCs/>
          <w:lang w:val="en-GB"/>
        </w:rPr>
        <w:t>: Lighting Up Lives with Care</w:t>
      </w:r>
      <w:r w:rsidR="00327608">
        <w:rPr>
          <w:lang w:val="en-GB"/>
        </w:rPr>
        <w:t>,</w:t>
      </w:r>
      <w:r w:rsidR="00B61750" w:rsidRPr="00C04176">
        <w:rPr>
          <w:lang w:val="en-GB"/>
        </w:rPr>
        <w:t xml:space="preserve"> </w:t>
      </w:r>
      <w:r w:rsidR="00327608">
        <w:rPr>
          <w:lang w:val="en-GB"/>
        </w:rPr>
        <w:t>a</w:t>
      </w:r>
      <w:r w:rsidR="00B61750">
        <w:rPr>
          <w:lang w:val="en-GB"/>
        </w:rPr>
        <w:t>ccessed April 2, 2021</w:t>
      </w:r>
      <w:r w:rsidR="00327608">
        <w:rPr>
          <w:lang w:val="en-GB"/>
        </w:rPr>
        <w:t>,</w:t>
      </w:r>
      <w:r w:rsidR="00B61750">
        <w:rPr>
          <w:lang w:val="en-GB"/>
        </w:rPr>
        <w:t xml:space="preserve"> </w:t>
      </w:r>
      <w:r w:rsidR="00B61750" w:rsidRPr="00B61750">
        <w:rPr>
          <w:lang w:val="en-GB"/>
        </w:rPr>
        <w:t>www.tatapower.com/pdf/investor-relations/94Annual-report-2012-13.pdf</w:t>
      </w:r>
      <w:r w:rsidR="00A74043">
        <w:rPr>
          <w:lang w:val="en-GB"/>
        </w:rPr>
        <w:t>.</w:t>
      </w:r>
    </w:p>
    <w:p w14:paraId="6ED0A982" w14:textId="37106865" w:rsidR="00B61750" w:rsidRPr="00C04176" w:rsidRDefault="00B61750" w:rsidP="00B61750">
      <w:pPr>
        <w:pStyle w:val="BodyTextMain"/>
        <w:rPr>
          <w:rFonts w:ascii="Arial" w:hAnsi="Arial" w:cs="Arial"/>
          <w:sz w:val="17"/>
          <w:szCs w:val="17"/>
          <w:lang w:val="en-GB"/>
        </w:rPr>
      </w:pPr>
      <w:r w:rsidRPr="00C04176">
        <w:rPr>
          <w:rFonts w:ascii="Arial" w:hAnsi="Arial" w:cs="Arial"/>
          <w:sz w:val="17"/>
          <w:szCs w:val="17"/>
          <w:lang w:val="en-GB"/>
        </w:rPr>
        <w:t xml:space="preserve"> </w:t>
      </w:r>
    </w:p>
    <w:p w14:paraId="35AF2EA7" w14:textId="77777777" w:rsidR="006E363E" w:rsidRPr="00FC1D83" w:rsidRDefault="006E363E" w:rsidP="00200774">
      <w:pPr>
        <w:pStyle w:val="BodyTextMain"/>
        <w:rPr>
          <w:lang w:val="en-GB"/>
        </w:rPr>
      </w:pPr>
    </w:p>
    <w:p w14:paraId="46F04133" w14:textId="77777777" w:rsidR="00F151BC" w:rsidRDefault="00F151BC">
      <w:pPr>
        <w:spacing w:after="200" w:line="276" w:lineRule="auto"/>
        <w:rPr>
          <w:rFonts w:ascii="Arial" w:hAnsi="Arial" w:cs="Arial"/>
          <w:b/>
          <w:caps/>
          <w:lang w:val="en-GB"/>
        </w:rPr>
      </w:pPr>
      <w:r>
        <w:rPr>
          <w:lang w:val="en-GB"/>
        </w:rPr>
        <w:br w:type="page"/>
      </w:r>
    </w:p>
    <w:p w14:paraId="0CE0E255" w14:textId="77777777" w:rsidR="00F151BC" w:rsidRDefault="00F151BC" w:rsidP="00200774">
      <w:pPr>
        <w:pStyle w:val="ExhibitHeading"/>
        <w:rPr>
          <w:lang w:val="en-GB"/>
        </w:rPr>
        <w:sectPr w:rsidR="00F151BC" w:rsidSect="00F151BC">
          <w:headerReference w:type="default" r:id="rId15"/>
          <w:endnotePr>
            <w:numFmt w:val="decimal"/>
          </w:endnotePr>
          <w:pgSz w:w="15840" w:h="12240" w:orient="landscape" w:code="1"/>
          <w:pgMar w:top="1440" w:right="1080" w:bottom="1440" w:left="1440" w:header="1080" w:footer="720" w:gutter="0"/>
          <w:cols w:space="720"/>
          <w:docGrid w:linePitch="360"/>
        </w:sectPr>
      </w:pPr>
    </w:p>
    <w:p w14:paraId="376F4823" w14:textId="12A709D2" w:rsidR="00847E4B" w:rsidRPr="00FC1D83" w:rsidRDefault="00847E4B" w:rsidP="00200774">
      <w:pPr>
        <w:pStyle w:val="ExhibitHeading"/>
        <w:rPr>
          <w:lang w:val="en-GB"/>
        </w:rPr>
      </w:pPr>
      <w:r w:rsidRPr="00FC1D83">
        <w:rPr>
          <w:lang w:val="en-GB"/>
        </w:rPr>
        <w:lastRenderedPageBreak/>
        <w:t xml:space="preserve">Exhibit </w:t>
      </w:r>
      <w:r w:rsidR="00F151BC">
        <w:rPr>
          <w:lang w:val="en-GB"/>
        </w:rPr>
        <w:t>6:</w:t>
      </w:r>
      <w:r w:rsidRPr="00FC1D83">
        <w:rPr>
          <w:lang w:val="en-GB"/>
        </w:rPr>
        <w:t xml:space="preserve"> </w:t>
      </w:r>
      <w:r w:rsidR="00400C47" w:rsidRPr="00FC1D83">
        <w:rPr>
          <w:caps w:val="0"/>
          <w:lang w:val="en-GB"/>
        </w:rPr>
        <w:t>GROWTH IN INSTALLED CAPACITY BY INVESTMENT MODE</w:t>
      </w:r>
    </w:p>
    <w:p w14:paraId="432F3EAE" w14:textId="77777777" w:rsidR="00847E4B" w:rsidRPr="00FC1D83" w:rsidRDefault="00847E4B" w:rsidP="00847E4B">
      <w:pPr>
        <w:rPr>
          <w:lang w:val="en-GB"/>
        </w:rPr>
      </w:pPr>
    </w:p>
    <w:p w14:paraId="06847C7F" w14:textId="77777777" w:rsidR="00847E4B" w:rsidRPr="00FC1D83" w:rsidRDefault="00847E4B" w:rsidP="00200774">
      <w:pPr>
        <w:pStyle w:val="Footnote"/>
        <w:rPr>
          <w:b/>
          <w:caps/>
          <w:lang w:val="en-GB"/>
        </w:rPr>
      </w:pPr>
      <w:r w:rsidRPr="00FC1D83">
        <w:rPr>
          <w:noProof/>
          <w:lang w:val="en-GB"/>
        </w:rPr>
        <w:drawing>
          <wp:inline distT="0" distB="0" distL="0" distR="0" wp14:anchorId="708FE3D9" wp14:editId="76EBC3B1">
            <wp:extent cx="5943600" cy="3079631"/>
            <wp:effectExtent l="0" t="0" r="0" b="6985"/>
            <wp:docPr id="7" name="Chart 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46A727" w14:textId="77777777" w:rsidR="00200774" w:rsidRPr="00FC1D83" w:rsidRDefault="00200774" w:rsidP="00200774">
      <w:pPr>
        <w:pStyle w:val="Footnote"/>
        <w:rPr>
          <w:lang w:val="en-GB"/>
        </w:rPr>
      </w:pPr>
    </w:p>
    <w:p w14:paraId="4CE5C3F9" w14:textId="0079DC6A" w:rsidR="00475491" w:rsidRDefault="00475491" w:rsidP="00200774">
      <w:pPr>
        <w:pStyle w:val="Footnote"/>
        <w:rPr>
          <w:lang w:val="en-GB"/>
        </w:rPr>
      </w:pPr>
      <w:r>
        <w:rPr>
          <w:lang w:val="en-GB"/>
        </w:rPr>
        <w:t>Note: MW = megawatt.</w:t>
      </w:r>
    </w:p>
    <w:p w14:paraId="23A8BB1A" w14:textId="13FB5C32" w:rsidR="00847E4B" w:rsidRPr="00FC1D83" w:rsidRDefault="00847E4B" w:rsidP="00200774">
      <w:pPr>
        <w:pStyle w:val="Footnote"/>
        <w:rPr>
          <w:lang w:val="en-GB"/>
        </w:rPr>
      </w:pPr>
      <w:r w:rsidRPr="00FC1D83">
        <w:rPr>
          <w:lang w:val="en-GB"/>
        </w:rPr>
        <w:t>Source:</w:t>
      </w:r>
      <w:r w:rsidR="00FC1D83">
        <w:rPr>
          <w:lang w:val="en-GB"/>
        </w:rPr>
        <w:t xml:space="preserve"> </w:t>
      </w:r>
      <w:r w:rsidR="00475491" w:rsidRPr="00FC1D83">
        <w:rPr>
          <w:rStyle w:val="BodyTextMainChar"/>
          <w:rFonts w:ascii="Arial" w:hAnsi="Arial" w:cs="Arial"/>
          <w:lang w:val="en-GB"/>
        </w:rPr>
        <w:t xml:space="preserve">Central Electricity Authority, </w:t>
      </w:r>
      <w:r w:rsidR="00475491">
        <w:rPr>
          <w:rStyle w:val="BodyTextMainChar"/>
          <w:rFonts w:ascii="Arial" w:hAnsi="Arial" w:cs="Arial"/>
          <w:lang w:val="en-GB"/>
        </w:rPr>
        <w:t xml:space="preserve">Ministry of Power, Government of India, </w:t>
      </w:r>
      <w:r w:rsidR="00475491" w:rsidRPr="00782C96">
        <w:rPr>
          <w:rStyle w:val="BodyTextMainChar"/>
          <w:rFonts w:ascii="Arial" w:hAnsi="Arial" w:cs="Arial"/>
          <w:i/>
          <w:iCs/>
          <w:lang w:val="en-GB"/>
        </w:rPr>
        <w:t>Growth of Electricity Sector in India from 1947–2020</w:t>
      </w:r>
      <w:r w:rsidR="00475491">
        <w:rPr>
          <w:rStyle w:val="BodyTextMainChar"/>
          <w:rFonts w:ascii="Arial" w:hAnsi="Arial" w:cs="Arial"/>
          <w:lang w:val="en-GB"/>
        </w:rPr>
        <w:t>,</w:t>
      </w:r>
      <w:r w:rsidR="00475491" w:rsidRPr="00CC29C7" w:rsidDel="00CC29C7">
        <w:rPr>
          <w:rStyle w:val="BodyTextMainChar"/>
          <w:rFonts w:ascii="Arial" w:hAnsi="Arial" w:cs="Arial"/>
          <w:lang w:val="en-GB"/>
        </w:rPr>
        <w:t xml:space="preserve"> </w:t>
      </w:r>
      <w:r w:rsidR="00475491" w:rsidRPr="00FC1D83">
        <w:rPr>
          <w:rStyle w:val="BodyTextMainChar"/>
          <w:rFonts w:ascii="Arial" w:hAnsi="Arial" w:cs="Arial"/>
          <w:lang w:val="en-GB"/>
        </w:rPr>
        <w:t>October 2020</w:t>
      </w:r>
      <w:r w:rsidR="00475491">
        <w:rPr>
          <w:rStyle w:val="BodyTextMainChar"/>
          <w:rFonts w:ascii="Arial" w:hAnsi="Arial" w:cs="Arial"/>
          <w:lang w:val="en-GB"/>
        </w:rPr>
        <w:t xml:space="preserve">, accessed </w:t>
      </w:r>
      <w:r w:rsidR="00475491" w:rsidRPr="00FC1D83">
        <w:rPr>
          <w:rStyle w:val="BodyTextMainChar"/>
          <w:rFonts w:ascii="Arial" w:hAnsi="Arial" w:cs="Arial"/>
          <w:lang w:val="en-GB"/>
        </w:rPr>
        <w:t>February 8, 2021</w:t>
      </w:r>
      <w:r w:rsidR="00475491">
        <w:rPr>
          <w:rStyle w:val="BodyTextMainChar"/>
          <w:rFonts w:ascii="Arial" w:hAnsi="Arial" w:cs="Arial"/>
          <w:lang w:val="en-GB"/>
        </w:rPr>
        <w:t>,</w:t>
      </w:r>
      <w:r w:rsidR="00475491" w:rsidRPr="00FC1D83">
        <w:rPr>
          <w:rStyle w:val="BodyTextMainChar"/>
          <w:rFonts w:ascii="Arial" w:hAnsi="Arial" w:cs="Arial"/>
          <w:lang w:val="en-GB"/>
        </w:rPr>
        <w:t xml:space="preserve"> https://cea.nic.in/wp-content/uploads/pdm/2020/12/growth_2020.pdf</w:t>
      </w:r>
      <w:r w:rsidR="00475491">
        <w:rPr>
          <w:rStyle w:val="BodyTextMainChar"/>
          <w:rFonts w:ascii="Arial" w:hAnsi="Arial" w:cs="Arial"/>
          <w:lang w:val="en-GB"/>
        </w:rPr>
        <w:t>.</w:t>
      </w:r>
    </w:p>
    <w:p w14:paraId="1B1E994F" w14:textId="52D370C1" w:rsidR="00847E4B" w:rsidRDefault="00847E4B" w:rsidP="00847E4B">
      <w:pPr>
        <w:pStyle w:val="ExhibitHeading"/>
        <w:rPr>
          <w:lang w:val="en-GB"/>
        </w:rPr>
      </w:pPr>
    </w:p>
    <w:p w14:paraId="14997C66" w14:textId="77777777" w:rsidR="00905DED" w:rsidRPr="00FC1D83" w:rsidRDefault="00905DED" w:rsidP="00847E4B">
      <w:pPr>
        <w:pStyle w:val="ExhibitHeading"/>
        <w:rPr>
          <w:lang w:val="en-GB"/>
        </w:rPr>
      </w:pPr>
    </w:p>
    <w:p w14:paraId="7FEC1C66" w14:textId="272F34E3" w:rsidR="00847E4B" w:rsidRPr="003B0B24" w:rsidRDefault="00847E4B" w:rsidP="00905DED">
      <w:pPr>
        <w:pStyle w:val="ExhibitHeading"/>
      </w:pPr>
      <w:r w:rsidRPr="003B0B24">
        <w:t xml:space="preserve">Exhibit </w:t>
      </w:r>
      <w:r w:rsidR="00F151BC">
        <w:t>7:</w:t>
      </w:r>
      <w:r w:rsidRPr="003B0B24">
        <w:t xml:space="preserve"> </w:t>
      </w:r>
      <w:r w:rsidR="007C4644">
        <w:t>Electricity-Generation</w:t>
      </w:r>
      <w:r w:rsidR="00400C47" w:rsidRPr="003B0B24">
        <w:t xml:space="preserve"> MODE</w:t>
      </w:r>
      <w:r w:rsidR="00185B56" w:rsidRPr="003B0B24">
        <w:t xml:space="preserve">, </w:t>
      </w:r>
      <w:r w:rsidR="00400C47" w:rsidRPr="003B0B24">
        <w:t>GROWTH</w:t>
      </w:r>
      <w:r w:rsidR="00185B56" w:rsidRPr="003B0B24">
        <w:t xml:space="preserve"> over time</w:t>
      </w:r>
    </w:p>
    <w:p w14:paraId="200A77CF" w14:textId="77777777" w:rsidR="00847E4B" w:rsidRPr="00FC1D83" w:rsidRDefault="00847E4B" w:rsidP="00847E4B">
      <w:pPr>
        <w:pStyle w:val="ExhibitHeading"/>
        <w:jc w:val="left"/>
        <w:rPr>
          <w:rFonts w:ascii="Times New Roman" w:hAnsi="Times New Roman" w:cs="Times New Roman"/>
          <w:b w:val="0"/>
          <w:caps w:val="0"/>
          <w:lang w:val="en-GB"/>
        </w:rPr>
      </w:pPr>
    </w:p>
    <w:p w14:paraId="4CA2F253" w14:textId="4AAD037B" w:rsidR="00847E4B" w:rsidRPr="00FC1D83" w:rsidRDefault="00452D63" w:rsidP="00847E4B">
      <w:pPr>
        <w:pStyle w:val="ExhibitHeading"/>
        <w:jc w:val="left"/>
        <w:rPr>
          <w:rFonts w:ascii="Times New Roman" w:hAnsi="Times New Roman" w:cs="Times New Roman"/>
          <w:b w:val="0"/>
          <w:caps w:val="0"/>
          <w:lang w:val="en-GB"/>
        </w:rPr>
      </w:pPr>
      <w:r w:rsidRPr="000119BE">
        <w:rPr>
          <w:noProof/>
        </w:rPr>
        <w:drawing>
          <wp:inline distT="0" distB="0" distL="0" distR="0" wp14:anchorId="6A6B5EEC" wp14:editId="4C5F2387">
            <wp:extent cx="5943600" cy="3038475"/>
            <wp:effectExtent l="0" t="0" r="0" b="9525"/>
            <wp:docPr id="4" name="Chart 4">
              <a:extLst xmlns:a="http://schemas.openxmlformats.org/drawingml/2006/main">
                <a:ext uri="{FF2B5EF4-FFF2-40B4-BE49-F238E27FC236}">
                  <a16:creationId xmlns:a16="http://schemas.microsoft.com/office/drawing/2014/main" i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4E7ADD" w14:textId="77777777" w:rsidR="00452A2C" w:rsidRDefault="00452A2C" w:rsidP="00452A2C">
      <w:pPr>
        <w:pStyle w:val="Footnote"/>
        <w:rPr>
          <w:lang w:val="en-GB"/>
        </w:rPr>
      </w:pPr>
    </w:p>
    <w:p w14:paraId="223747D9" w14:textId="67F6E224" w:rsidR="00847E4B" w:rsidRPr="003B0B24" w:rsidRDefault="006348BB" w:rsidP="003B0B24">
      <w:pPr>
        <w:pStyle w:val="Footnote"/>
        <w:rPr>
          <w:b/>
          <w:caps/>
          <w:lang w:val="en-GB"/>
        </w:rPr>
      </w:pPr>
      <w:r>
        <w:rPr>
          <w:lang w:val="en-GB"/>
        </w:rPr>
        <w:t>Note: MW = megawatt.</w:t>
      </w:r>
    </w:p>
    <w:p w14:paraId="40B1465E" w14:textId="5FEF821B" w:rsidR="00202D65" w:rsidRPr="00FC1D83" w:rsidRDefault="00847E4B" w:rsidP="00452D63">
      <w:pPr>
        <w:pStyle w:val="Footnote"/>
        <w:rPr>
          <w:lang w:val="en-GB"/>
        </w:rPr>
        <w:sectPr w:rsidR="00202D65" w:rsidRPr="00FC1D83" w:rsidSect="00107A92">
          <w:headerReference w:type="default" r:id="rId18"/>
          <w:endnotePr>
            <w:numFmt w:val="decimal"/>
          </w:endnotePr>
          <w:pgSz w:w="12240" w:h="15840" w:code="1"/>
          <w:pgMar w:top="1080" w:right="1440" w:bottom="1440" w:left="1440" w:header="1080" w:footer="720" w:gutter="0"/>
          <w:cols w:space="720"/>
          <w:docGrid w:linePitch="360"/>
        </w:sectPr>
      </w:pPr>
      <w:r w:rsidRPr="00FC1D83">
        <w:rPr>
          <w:lang w:val="en-GB"/>
        </w:rPr>
        <w:t xml:space="preserve">Source: </w:t>
      </w:r>
      <w:r w:rsidR="00E6508D" w:rsidRPr="00FC1D83">
        <w:rPr>
          <w:rStyle w:val="BodyTextMainChar"/>
          <w:rFonts w:ascii="Arial" w:hAnsi="Arial" w:cs="Arial"/>
          <w:lang w:val="en-GB"/>
        </w:rPr>
        <w:t xml:space="preserve">Central Electricity Authority, </w:t>
      </w:r>
      <w:r w:rsidR="00E6508D">
        <w:rPr>
          <w:rStyle w:val="BodyTextMainChar"/>
          <w:rFonts w:ascii="Arial" w:hAnsi="Arial" w:cs="Arial"/>
          <w:lang w:val="en-GB"/>
        </w:rPr>
        <w:t xml:space="preserve">Ministry of Power, Government of India, </w:t>
      </w:r>
      <w:r w:rsidR="00E6508D" w:rsidRPr="00782C96">
        <w:rPr>
          <w:rStyle w:val="BodyTextMainChar"/>
          <w:rFonts w:ascii="Arial" w:hAnsi="Arial" w:cs="Arial"/>
          <w:i/>
          <w:iCs/>
          <w:lang w:val="en-GB"/>
        </w:rPr>
        <w:t>Growth of Electricity Sector in India from 1947–2020</w:t>
      </w:r>
      <w:r w:rsidR="00E6508D">
        <w:rPr>
          <w:rStyle w:val="BodyTextMainChar"/>
          <w:rFonts w:ascii="Arial" w:hAnsi="Arial" w:cs="Arial"/>
          <w:lang w:val="en-GB"/>
        </w:rPr>
        <w:t>,</w:t>
      </w:r>
      <w:r w:rsidR="00E6508D" w:rsidRPr="00CC29C7" w:rsidDel="00CC29C7">
        <w:rPr>
          <w:rStyle w:val="BodyTextMainChar"/>
          <w:rFonts w:ascii="Arial" w:hAnsi="Arial" w:cs="Arial"/>
          <w:lang w:val="en-GB"/>
        </w:rPr>
        <w:t xml:space="preserve"> </w:t>
      </w:r>
      <w:r w:rsidR="00E6508D" w:rsidRPr="00FC1D83">
        <w:rPr>
          <w:rStyle w:val="BodyTextMainChar"/>
          <w:rFonts w:ascii="Arial" w:hAnsi="Arial" w:cs="Arial"/>
          <w:lang w:val="en-GB"/>
        </w:rPr>
        <w:t>October 2020</w:t>
      </w:r>
      <w:r w:rsidR="00E6508D">
        <w:rPr>
          <w:rStyle w:val="BodyTextMainChar"/>
          <w:rFonts w:ascii="Arial" w:hAnsi="Arial" w:cs="Arial"/>
          <w:lang w:val="en-GB"/>
        </w:rPr>
        <w:t xml:space="preserve">, accessed </w:t>
      </w:r>
      <w:r w:rsidR="00E6508D" w:rsidRPr="00FC1D83">
        <w:rPr>
          <w:rStyle w:val="BodyTextMainChar"/>
          <w:rFonts w:ascii="Arial" w:hAnsi="Arial" w:cs="Arial"/>
          <w:lang w:val="en-GB"/>
        </w:rPr>
        <w:t>February 8, 2021</w:t>
      </w:r>
      <w:r w:rsidR="00E6508D">
        <w:rPr>
          <w:rStyle w:val="BodyTextMainChar"/>
          <w:rFonts w:ascii="Arial" w:hAnsi="Arial" w:cs="Arial"/>
          <w:lang w:val="en-GB"/>
        </w:rPr>
        <w:t>,</w:t>
      </w:r>
      <w:r w:rsidR="00E6508D" w:rsidRPr="00FC1D83">
        <w:rPr>
          <w:rStyle w:val="BodyTextMainChar"/>
          <w:rFonts w:ascii="Arial" w:hAnsi="Arial" w:cs="Arial"/>
          <w:lang w:val="en-GB"/>
        </w:rPr>
        <w:t xml:space="preserve"> </w:t>
      </w:r>
      <w:r w:rsidR="00CA3C53" w:rsidRPr="000119BE">
        <w:rPr>
          <w:rStyle w:val="BodyTextMainChar"/>
          <w:rFonts w:ascii="Arial" w:hAnsi="Arial" w:cs="Arial"/>
          <w:lang w:val="en-GB"/>
        </w:rPr>
        <w:t>https://cea.nic.in/wp-content/uploads/pdm/2020/12/growth_2020.pdf</w:t>
      </w:r>
      <w:r w:rsidR="00E6508D">
        <w:rPr>
          <w:rStyle w:val="BodyTextMainChar"/>
          <w:rFonts w:ascii="Arial" w:hAnsi="Arial" w:cs="Arial"/>
          <w:lang w:val="en-GB"/>
        </w:rPr>
        <w:t>.</w:t>
      </w:r>
      <w:r w:rsidR="00202D65" w:rsidRPr="00FC1D83">
        <w:rPr>
          <w:lang w:val="en-GB"/>
        </w:rPr>
        <w:br w:type="page"/>
      </w:r>
    </w:p>
    <w:p w14:paraId="53942FBA" w14:textId="6141512D" w:rsidR="00D84F1E" w:rsidRPr="00FC1D83" w:rsidRDefault="00302AB1" w:rsidP="00302AB1">
      <w:pPr>
        <w:pStyle w:val="Casehead1"/>
        <w:rPr>
          <w:lang w:val="en-GB"/>
        </w:rPr>
      </w:pPr>
      <w:r w:rsidRPr="00FC1D83">
        <w:rPr>
          <w:lang w:val="en-GB"/>
        </w:rPr>
        <w:lastRenderedPageBreak/>
        <w:t>ENDNOTES</w:t>
      </w:r>
      <w:bookmarkEnd w:id="0"/>
    </w:p>
    <w:sectPr w:rsidR="00D84F1E" w:rsidRPr="00FC1D83" w:rsidSect="00C86F36">
      <w:headerReference w:type="default" r:id="rId19"/>
      <w:endnotePr>
        <w:numFmt w:val="decimal"/>
      </w:endnotePr>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76552" w16cex:dateUtc="2021-05-13T03:14:00Z"/>
  <w16cex:commentExtensible w16cex:durableId="243570CC" w16cex:dateUtc="2021-04-29T21:52:00Z"/>
  <w16cex:commentExtensible w16cex:durableId="244765D1" w16cex:dateUtc="2021-05-13T03: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22538" w14:textId="77777777" w:rsidR="00717A7C" w:rsidRDefault="00717A7C" w:rsidP="00D75295">
      <w:r>
        <w:separator/>
      </w:r>
    </w:p>
  </w:endnote>
  <w:endnote w:type="continuationSeparator" w:id="0">
    <w:p w14:paraId="3B5AB951" w14:textId="77777777" w:rsidR="00717A7C" w:rsidRDefault="00717A7C" w:rsidP="00D75295">
      <w:r>
        <w:continuationSeparator/>
      </w:r>
    </w:p>
  </w:endnote>
  <w:endnote w:type="continuationNotice" w:id="1">
    <w:p w14:paraId="442D3083" w14:textId="77777777" w:rsidR="00717A7C" w:rsidRDefault="00717A7C"/>
  </w:endnote>
  <w:endnote w:id="2">
    <w:p w14:paraId="261F2B0B" w14:textId="7830C33F"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Apurva Vishwanath, “Blow to Tata Power, Adani as Supreme Court Sets Aside Ruling on Tariff,” </w:t>
      </w:r>
      <w:r w:rsidRPr="00DE2D9F">
        <w:rPr>
          <w:i/>
          <w:iCs/>
          <w:lang w:val="en-GB"/>
        </w:rPr>
        <w:t>Livemint</w:t>
      </w:r>
      <w:r w:rsidRPr="00DE2D9F">
        <w:rPr>
          <w:lang w:val="en-GB"/>
        </w:rPr>
        <w:t>, April 12, 2017, accessed November 24, 2020, www.livemint.com/Industry/rRYlaktVS3si7JK5FBtjiM/SC-sets-aside-ruling-allowing-compensatory-tariff-to-Tata-Po.html</w:t>
      </w:r>
      <w:r w:rsidRPr="00DE2D9F">
        <w:rPr>
          <w:rStyle w:val="Hyperlink"/>
          <w:color w:val="000000" w:themeColor="text1"/>
          <w:spacing w:val="-4"/>
          <w:u w:val="none"/>
          <w:lang w:val="en-GB"/>
        </w:rPr>
        <w:t>.</w:t>
      </w:r>
    </w:p>
  </w:endnote>
  <w:endnote w:id="3">
    <w:p w14:paraId="6534C61A" w14:textId="19F2E389" w:rsidR="00FA0AAF" w:rsidRPr="00DE2D9F" w:rsidRDefault="00FA0AAF" w:rsidP="00DE2D9F">
      <w:pPr>
        <w:pStyle w:val="Footnote"/>
        <w:rPr>
          <w:lang w:val="en-CA"/>
        </w:rPr>
      </w:pPr>
      <w:r w:rsidRPr="00DE2D9F">
        <w:rPr>
          <w:rStyle w:val="EndnoteReference"/>
          <w:spacing w:val="-4"/>
        </w:rPr>
        <w:endnoteRef/>
      </w:r>
      <w:r w:rsidRPr="00DE2D9F">
        <w:t xml:space="preserve"> </w:t>
      </w:r>
      <w:bookmarkStart w:id="3" w:name="_Hlk67994137"/>
      <w:r w:rsidRPr="00DE2D9F">
        <w:rPr>
          <w:lang w:val="en-CA"/>
        </w:rPr>
        <w:t>₹ = INR = Indian rupee; US$1 = ₹64.7052 on April 11, 2017.</w:t>
      </w:r>
      <w:bookmarkEnd w:id="3"/>
    </w:p>
  </w:endnote>
  <w:endnote w:id="4">
    <w:p w14:paraId="3DAC27BF" w14:textId="01BF2F4B" w:rsidR="00620E32" w:rsidRPr="00DE2D9F" w:rsidRDefault="00620E32" w:rsidP="00DE2D9F">
      <w:pPr>
        <w:pStyle w:val="Footnote"/>
        <w:rPr>
          <w:lang w:val="en-GB"/>
        </w:rPr>
      </w:pPr>
      <w:r w:rsidRPr="00DE2D9F">
        <w:rPr>
          <w:vertAlign w:val="superscript"/>
          <w:lang w:val="en-GB"/>
        </w:rPr>
        <w:endnoteRef/>
      </w:r>
      <w:r w:rsidRPr="00DE2D9F">
        <w:rPr>
          <w:lang w:val="en-GB"/>
        </w:rPr>
        <w:t xml:space="preserve"> </w:t>
      </w:r>
      <w:r w:rsidRPr="00DE2D9F">
        <w:rPr>
          <w:spacing w:val="-4"/>
          <w:lang w:val="en-GB"/>
        </w:rPr>
        <w:t>The Indonesian Ministry of Energy and Mineral Resources notified the regulation benchmarking coal export price to the international market prices, making it illegal to sell Indonesian coal at prices less than those prevailing internationally. “Coal,” Indonesian Investments, April 5, 2018, accessed February 8, 2021, www.indonesia-investments.com/business/commodities/coal/item236</w:t>
      </w:r>
      <w:r w:rsidRPr="00DE2D9F">
        <w:rPr>
          <w:rStyle w:val="Hyperlink"/>
          <w:color w:val="000000" w:themeColor="text1"/>
          <w:spacing w:val="-4"/>
          <w:u w:val="none"/>
          <w:lang w:val="en-GB"/>
        </w:rPr>
        <w:t>.</w:t>
      </w:r>
    </w:p>
  </w:endnote>
  <w:endnote w:id="5">
    <w:p w14:paraId="56761C84" w14:textId="7998D620" w:rsidR="00FA0AAF" w:rsidRPr="00DE2D9F" w:rsidRDefault="00FA0AAF" w:rsidP="00DE2D9F">
      <w:pPr>
        <w:pStyle w:val="Footnote"/>
        <w:rPr>
          <w:lang w:val="en-CA"/>
        </w:rPr>
      </w:pPr>
      <w:r w:rsidRPr="00DE2D9F">
        <w:rPr>
          <w:rStyle w:val="EndnoteReference"/>
          <w:spacing w:val="-4"/>
        </w:rPr>
        <w:endnoteRef/>
      </w:r>
      <w:r w:rsidRPr="00DE2D9F">
        <w:t xml:space="preserve"> </w:t>
      </w:r>
      <w:r w:rsidRPr="00DE2D9F">
        <w:rPr>
          <w:lang w:val="en-CA"/>
        </w:rPr>
        <w:t>All dollar amounts are in US dollars</w:t>
      </w:r>
      <w:r w:rsidR="007A4814" w:rsidRPr="00DE2D9F">
        <w:rPr>
          <w:lang w:val="en-CA"/>
        </w:rPr>
        <w:t xml:space="preserve"> unless otherwise specifed</w:t>
      </w:r>
      <w:r w:rsidRPr="00DE2D9F">
        <w:rPr>
          <w:lang w:val="en-CA"/>
        </w:rPr>
        <w:t xml:space="preserve">. </w:t>
      </w:r>
    </w:p>
  </w:endnote>
  <w:endnote w:id="6">
    <w:p w14:paraId="07CC5DAC" w14:textId="0A84FFF1" w:rsidR="00620E32" w:rsidRPr="00DE2D9F" w:rsidRDefault="00620E32" w:rsidP="00DE2D9F">
      <w:pPr>
        <w:pStyle w:val="Footnote"/>
      </w:pPr>
      <w:r w:rsidRPr="00DE2D9F">
        <w:rPr>
          <w:rStyle w:val="EndnoteReference"/>
          <w:spacing w:val="-4"/>
        </w:rPr>
        <w:endnoteRef/>
      </w:r>
      <w:r w:rsidRPr="00DE2D9F">
        <w:t xml:space="preserve"> </w:t>
      </w:r>
      <w:r w:rsidR="00844109" w:rsidRPr="00DE2D9F">
        <w:rPr>
          <w:rStyle w:val="FootnoteChar"/>
          <w:rFonts w:eastAsia="Calibri"/>
          <w:spacing w:val="-4"/>
          <w:lang w:val="en-GB"/>
        </w:rPr>
        <w:t>“COALspot: Coal Index, Coal News, Shipping</w:t>
      </w:r>
      <w:r w:rsidR="007A4814" w:rsidRPr="00DE2D9F">
        <w:rPr>
          <w:rStyle w:val="FootnoteChar"/>
          <w:rFonts w:eastAsia="Calibri"/>
          <w:spacing w:val="-4"/>
          <w:lang w:val="en-GB"/>
        </w:rPr>
        <w:t>,</w:t>
      </w:r>
      <w:r w:rsidR="00844109" w:rsidRPr="00DE2D9F">
        <w:rPr>
          <w:rStyle w:val="FootnoteChar"/>
          <w:rFonts w:eastAsia="Calibri"/>
          <w:spacing w:val="-4"/>
          <w:lang w:val="en-GB"/>
        </w:rPr>
        <w:t>”</w:t>
      </w:r>
      <w:r w:rsidRPr="00DE2D9F">
        <w:rPr>
          <w:rStyle w:val="FootnoteChar"/>
          <w:rFonts w:eastAsia="Calibri"/>
          <w:spacing w:val="-4"/>
          <w:lang w:val="en-GB"/>
        </w:rPr>
        <w:t xml:space="preserve"> </w:t>
      </w:r>
      <w:r w:rsidR="007A4814" w:rsidRPr="00DE2D9F">
        <w:rPr>
          <w:rStyle w:val="FootnoteChar"/>
          <w:rFonts w:eastAsia="Calibri"/>
          <w:spacing w:val="-4"/>
          <w:lang w:val="en-GB"/>
        </w:rPr>
        <w:t xml:space="preserve">COALspot, </w:t>
      </w:r>
      <w:r w:rsidRPr="00DE2D9F">
        <w:rPr>
          <w:rStyle w:val="FootnoteChar"/>
          <w:rFonts w:eastAsia="Calibri"/>
          <w:spacing w:val="-4"/>
          <w:lang w:val="en-GB"/>
        </w:rPr>
        <w:t>accessed April 2, 202</w:t>
      </w:r>
      <w:r w:rsidRPr="00DE2D9F">
        <w:rPr>
          <w:rStyle w:val="CommentReference"/>
          <w:spacing w:val="-4"/>
          <w:sz w:val="17"/>
          <w:szCs w:val="17"/>
        </w:rPr>
        <w:annotationRef/>
      </w:r>
      <w:r w:rsidR="00844109" w:rsidRPr="00DE2D9F">
        <w:rPr>
          <w:rStyle w:val="FootnoteChar"/>
          <w:rFonts w:eastAsia="Calibri"/>
          <w:spacing w:val="-4"/>
          <w:lang w:val="en-GB"/>
        </w:rPr>
        <w:t>1</w:t>
      </w:r>
      <w:r w:rsidRPr="00DE2D9F">
        <w:rPr>
          <w:rStyle w:val="FootnoteChar"/>
          <w:rFonts w:eastAsia="Calibri"/>
          <w:spacing w:val="-4"/>
          <w:lang w:val="en-GB"/>
        </w:rPr>
        <w:t>, www.coalspot.com</w:t>
      </w:r>
      <w:r w:rsidR="00844109" w:rsidRPr="00DE2D9F">
        <w:rPr>
          <w:rStyle w:val="FootnoteChar"/>
          <w:rFonts w:eastAsia="Calibri"/>
          <w:spacing w:val="-4"/>
          <w:lang w:val="en-GB"/>
        </w:rPr>
        <w:t>.</w:t>
      </w:r>
    </w:p>
  </w:endnote>
  <w:endnote w:id="7">
    <w:p w14:paraId="4AC22A67" w14:textId="13C827E4"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Notably, the largest coal-based power plant in India was also based in Mundra (the Adani power plant with a 4,620-megawatt capacity). This plant was also using Indonesian coal and suffered from the same issues. Other power plants in the country that were based on Indonesian coal were the Kalisindh plant in Jhalawar, Rajasthan (1,220 megawatts); the GMR plant in Raipur, Raikheda, Chhattisgarh (1,370 megawatts); the Sikka plant in Jamnagar, Gujarat (500 megawatts); the Painampuram plant in Nellore, Andra Pradesh (1,320 megawatts); and the Essar plant in Salaya, Gujarat (1,320 megawatts). </w:t>
      </w:r>
      <w:r w:rsidR="002746BE" w:rsidRPr="00DE2D9F">
        <w:rPr>
          <w:rStyle w:val="BodyTextMainChar"/>
          <w:rFonts w:ascii="Arial" w:eastAsia="Calibri" w:hAnsi="Arial" w:cs="Arial"/>
          <w:spacing w:val="-4"/>
          <w:lang w:val="en-GB"/>
        </w:rPr>
        <w:t xml:space="preserve">Central Electricity Authority, Ministry of Power, Government of India, </w:t>
      </w:r>
      <w:r w:rsidR="002746BE" w:rsidRPr="00DE2D9F">
        <w:rPr>
          <w:rStyle w:val="BodyTextMainChar"/>
          <w:rFonts w:ascii="Arial" w:eastAsia="Calibri" w:hAnsi="Arial" w:cs="Arial"/>
          <w:i/>
          <w:iCs/>
          <w:spacing w:val="-4"/>
          <w:lang w:val="en-GB"/>
        </w:rPr>
        <w:t>Growth of Electricity Sector in India from 1947–2020</w:t>
      </w:r>
      <w:r w:rsidR="002746BE" w:rsidRPr="00DE2D9F">
        <w:rPr>
          <w:rStyle w:val="BodyTextMainChar"/>
          <w:rFonts w:ascii="Arial" w:eastAsia="Calibri" w:hAnsi="Arial" w:cs="Arial"/>
          <w:spacing w:val="-4"/>
          <w:lang w:val="en-GB"/>
        </w:rPr>
        <w:t>,</w:t>
      </w:r>
      <w:r w:rsidR="002746BE" w:rsidRPr="00DE2D9F" w:rsidDel="00CC29C7">
        <w:rPr>
          <w:rStyle w:val="BodyTextMainChar"/>
          <w:rFonts w:ascii="Arial" w:eastAsia="Calibri" w:hAnsi="Arial" w:cs="Arial"/>
          <w:spacing w:val="-4"/>
          <w:lang w:val="en-GB"/>
        </w:rPr>
        <w:t xml:space="preserve"> </w:t>
      </w:r>
      <w:r w:rsidR="002746BE" w:rsidRPr="00DE2D9F">
        <w:rPr>
          <w:rStyle w:val="BodyTextMainChar"/>
          <w:rFonts w:ascii="Arial" w:eastAsia="Calibri" w:hAnsi="Arial" w:cs="Arial"/>
          <w:spacing w:val="-4"/>
          <w:lang w:val="en-GB"/>
        </w:rPr>
        <w:t>October 2020, accessed February 8, 2021, https://cea.nic.in/wp-content/uploads/pdm/2020/12/growth_2020.pdf.</w:t>
      </w:r>
      <w:r w:rsidRPr="00DE2D9F">
        <w:rPr>
          <w:lang w:val="en-GB"/>
        </w:rPr>
        <w:t xml:space="preserve"> </w:t>
      </w:r>
    </w:p>
  </w:endnote>
  <w:endnote w:id="8">
    <w:p w14:paraId="0BD2D02F" w14:textId="3CB132B3"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PTI, “Tata Power Synchronises Third 800 MW Unit at Mundra Project,” </w:t>
      </w:r>
      <w:r w:rsidRPr="00DE2D9F">
        <w:rPr>
          <w:i/>
          <w:iCs/>
          <w:lang w:val="en-GB"/>
        </w:rPr>
        <w:t>Economic Times</w:t>
      </w:r>
      <w:r w:rsidRPr="00DE2D9F">
        <w:rPr>
          <w:lang w:val="en-GB"/>
        </w:rPr>
        <w:t>, October 8, 2012, accessed November 24, 2020, https://economictimes.indiatimes.com/industry/energy/power/tata-power-synchronises-third-800-mw-unit-at-mundra-project/articleshow/16721996.cms?from=mdr</w:t>
      </w:r>
      <w:r w:rsidRPr="00DE2D9F">
        <w:rPr>
          <w:rStyle w:val="Hyperlink"/>
          <w:color w:val="000000" w:themeColor="text1"/>
          <w:spacing w:val="-4"/>
          <w:u w:val="none"/>
          <w:lang w:val="en-GB"/>
        </w:rPr>
        <w:t>.</w:t>
      </w:r>
    </w:p>
  </w:endnote>
  <w:endnote w:id="9">
    <w:p w14:paraId="79D6DD11" w14:textId="2608E5A1"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PTI “Tata Power Sees Rs 3,000 Crore Equity Erosion in Mundra UMPP Project: Sources,” </w:t>
      </w:r>
      <w:r w:rsidRPr="00DE2D9F">
        <w:rPr>
          <w:i/>
          <w:iCs/>
          <w:lang w:val="en-GB"/>
        </w:rPr>
        <w:t>Economic Times</w:t>
      </w:r>
      <w:r w:rsidRPr="00DE2D9F">
        <w:rPr>
          <w:lang w:val="en-GB"/>
        </w:rPr>
        <w:t>, October 7, 2012, accessed February 8, 2021, https://economictimes.indiatimes.com/markets/stocks/news/tata-power-sees-rs-3000-crore-equity-erosion-in-mundra-umpp-project-sources/articleshow/16708353.cms?from=mdr</w:t>
      </w:r>
      <w:r w:rsidRPr="00DE2D9F">
        <w:rPr>
          <w:rStyle w:val="Hyperlink"/>
          <w:color w:val="000000" w:themeColor="text1"/>
          <w:spacing w:val="-4"/>
          <w:u w:val="none"/>
          <w:lang w:val="en-GB"/>
        </w:rPr>
        <w:t>.</w:t>
      </w:r>
    </w:p>
  </w:endnote>
  <w:endnote w:id="10">
    <w:p w14:paraId="6AF00CCC" w14:textId="12613B32"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Central Electricity Authority, Ministry of Power, Government of India, </w:t>
      </w:r>
      <w:r w:rsidRPr="00DE2D9F">
        <w:rPr>
          <w:i/>
          <w:iCs/>
          <w:lang w:val="en-GB"/>
        </w:rPr>
        <w:t>Growth of Electricity Sector in India from 1947–2020</w:t>
      </w:r>
      <w:r w:rsidRPr="00DE2D9F">
        <w:rPr>
          <w:lang w:val="en-GB"/>
        </w:rPr>
        <w:t xml:space="preserve">, October 2020, accessed February 8, 2021, https://cea.nic.in/wp-content/uploads/pdm/2020/12/growth_2020.pdf. </w:t>
      </w:r>
    </w:p>
  </w:endnote>
  <w:endnote w:id="11">
    <w:p w14:paraId="17341E29" w14:textId="38093A41" w:rsidR="0023761C" w:rsidRPr="00DE2D9F" w:rsidRDefault="0023761C" w:rsidP="00DE2D9F">
      <w:pPr>
        <w:pStyle w:val="Footnote"/>
      </w:pPr>
      <w:r w:rsidRPr="00DE2D9F">
        <w:rPr>
          <w:rStyle w:val="EndnoteReference"/>
          <w:spacing w:val="-4"/>
        </w:rPr>
        <w:endnoteRef/>
      </w:r>
      <w:r w:rsidRPr="00DE2D9F">
        <w:t xml:space="preserve"> In pursuit of economies of scale, Indian Government was encouraging setting up of extremely large power plants i.e., 4000 MW or more, as contrast to existing power plants which were up</w:t>
      </w:r>
      <w:r w:rsidR="007A4814" w:rsidRPr="00DE2D9F">
        <w:rPr>
          <w:lang w:val="en-CA"/>
        </w:rPr>
        <w:t xml:space="preserve"> </w:t>
      </w:r>
      <w:r w:rsidRPr="00DE2D9F">
        <w:t>to 2</w:t>
      </w:r>
      <w:r w:rsidR="007A4814" w:rsidRPr="00DE2D9F">
        <w:rPr>
          <w:lang w:val="en-CA"/>
        </w:rPr>
        <w:t>,</w:t>
      </w:r>
      <w:r w:rsidRPr="00DE2D9F">
        <w:t>000 MW. Such ultra large power plants, employ superior technology to be more efficient, be less polluting, and can be effectively managed by specialized players.</w:t>
      </w:r>
    </w:p>
  </w:endnote>
  <w:endnote w:id="12">
    <w:p w14:paraId="0FF4DE07" w14:textId="2B5B6BA3" w:rsidR="00FA0AAF" w:rsidRPr="00DE2D9F" w:rsidRDefault="00FA0AAF" w:rsidP="00DE2D9F">
      <w:pPr>
        <w:pStyle w:val="Footnote"/>
        <w:rPr>
          <w:rStyle w:val="Hyperlink"/>
          <w:color w:val="000000" w:themeColor="text1"/>
          <w:spacing w:val="-4"/>
          <w:u w:val="none"/>
          <w:lang w:val="en-GB"/>
        </w:rPr>
      </w:pPr>
      <w:r w:rsidRPr="00DE2D9F">
        <w:rPr>
          <w:rStyle w:val="EndnoteReference"/>
          <w:color w:val="000000" w:themeColor="text1"/>
          <w:spacing w:val="-4"/>
          <w:lang w:val="en-GB"/>
        </w:rPr>
        <w:endnoteRef/>
      </w:r>
      <w:r w:rsidRPr="00DE2D9F">
        <w:rPr>
          <w:lang w:val="en-GB"/>
        </w:rPr>
        <w:t xml:space="preserve"> Indian coal had a gross calorific value (GCV) of 4,500 kilocalories (kcal) per kilogram (kg), in comparison to a GCV of 6,500 kcal per kg of Australian coal. As such, power plants using India’s coal consumed about 0.7 kg of coal per kWh of power generation, whereas US power plants consumed about 0.45 kg of coal per kWh. In 2017, India imported nearly 130 megatons of oil equivalent (nearly 200 million metric tons) of steam coal and coking coal—29 per cent of its total consumption—to meet the demands of electricity, cement, and steel production. Coastal Power Generation Limited, </w:t>
      </w:r>
      <w:r w:rsidRPr="00DE2D9F">
        <w:rPr>
          <w:i/>
          <w:iCs/>
          <w:lang w:val="en-GB"/>
        </w:rPr>
        <w:t>Tata Power Mundra Ultra Mega Power Project: Towards a Cleaner and Greener Future</w:t>
      </w:r>
      <w:r w:rsidRPr="005E3301">
        <w:t>,</w:t>
      </w:r>
      <w:r w:rsidRPr="005E3301" w:rsidDel="005F5505">
        <w:t xml:space="preserve"> </w:t>
      </w:r>
      <w:r w:rsidRPr="005E3301">
        <w:t xml:space="preserve">accessed February 6, 2021, </w:t>
      </w:r>
      <w:r w:rsidRPr="00DE2D9F">
        <w:rPr>
          <w:lang w:val="en-GB"/>
        </w:rPr>
        <w:t>www.tatapower.com/plants-projects/thermal-generation-projects/cgpl/pdf/umpp-greener-future121015.pdf.</w:t>
      </w:r>
    </w:p>
  </w:endnote>
  <w:endnote w:id="13">
    <w:p w14:paraId="3FF67C1F" w14:textId="6D3D10B2"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Aditi Roy Ghatak and Abir Dasgupta, “Raising the ‘Bar’ for India’s Power Sector,” </w:t>
      </w:r>
      <w:r w:rsidRPr="00DE2D9F">
        <w:rPr>
          <w:i/>
          <w:iCs/>
          <w:lang w:val="en-GB"/>
        </w:rPr>
        <w:t>Economic &amp; Political Weekly</w:t>
      </w:r>
      <w:r w:rsidRPr="00DE2D9F">
        <w:rPr>
          <w:lang w:val="en-GB"/>
        </w:rPr>
        <w:t xml:space="preserve"> 52, no. 20 (May 2017), accessed April 2, 2021, www.epw.in/journal/2017/20/insight/raising-‘bar’-indias-power-sector.html-0.</w:t>
      </w:r>
      <w:r w:rsidRPr="00DE2D9F" w:rsidDel="00290F92">
        <w:rPr>
          <w:lang w:val="en-GB"/>
        </w:rPr>
        <w:t xml:space="preserve"> </w:t>
      </w:r>
    </w:p>
  </w:endnote>
  <w:endnote w:id="14">
    <w:p w14:paraId="34C08D84" w14:textId="5AB67D9D"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Pr="00DE2D9F">
        <w:rPr>
          <w:rFonts w:eastAsia="Calibri"/>
          <w:spacing w:val="-6"/>
          <w:lang w:val="en-GB"/>
        </w:rPr>
        <w:t xml:space="preserve">Ksenia Kondratieva, “Tata Power Offers to Sell 51% of Mundra Plant for ₹1,” </w:t>
      </w:r>
      <w:r w:rsidRPr="00DE2D9F">
        <w:rPr>
          <w:rFonts w:eastAsia="Calibri"/>
          <w:i/>
          <w:iCs/>
          <w:spacing w:val="-6"/>
          <w:lang w:val="en-GB"/>
        </w:rPr>
        <w:t>Hindu BusinessLine</w:t>
      </w:r>
      <w:r w:rsidRPr="00DE2D9F">
        <w:rPr>
          <w:rFonts w:eastAsia="Calibri"/>
          <w:spacing w:val="-6"/>
          <w:lang w:val="en-GB"/>
        </w:rPr>
        <w:t>, June 22, 2017, accessed November 24, 2020</w:t>
      </w:r>
      <w:r w:rsidRPr="00DE2D9F">
        <w:rPr>
          <w:rFonts w:eastAsia="Calibri"/>
          <w:bCs/>
          <w:spacing w:val="-6"/>
          <w:lang w:val="en-GB"/>
        </w:rPr>
        <w:t>,</w:t>
      </w:r>
      <w:r w:rsidRPr="00DE2D9F">
        <w:rPr>
          <w:bCs/>
          <w:spacing w:val="-6"/>
          <w:lang w:val="en-GB"/>
        </w:rPr>
        <w:t xml:space="preserve"> www.thehindubusinessline.com/companies/tata-power-offers-to-sell-51-of-mundra-plant-for-1/article9732822.ece</w:t>
      </w:r>
      <w:r w:rsidRPr="00DE2D9F">
        <w:rPr>
          <w:rStyle w:val="Hyperlink"/>
          <w:bCs/>
          <w:color w:val="000000" w:themeColor="text1"/>
          <w:spacing w:val="-6"/>
          <w:u w:val="none"/>
          <w:lang w:val="en-GB"/>
        </w:rPr>
        <w:t>.</w:t>
      </w:r>
    </w:p>
  </w:endnote>
  <w:endnote w:id="15">
    <w:p w14:paraId="0DEC1001" w14:textId="73840AF5"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Vishwanath, op. cit.</w:t>
      </w:r>
    </w:p>
  </w:endnote>
  <w:endnote w:id="16">
    <w:p w14:paraId="71325B21" w14:textId="4459FFA1"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Ghatak and Dasgupta, op. cit.</w:t>
      </w:r>
    </w:p>
  </w:endnote>
  <w:endnote w:id="17">
    <w:p w14:paraId="33DEF401" w14:textId="2EA07A09"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Pr="00DE2D9F">
        <w:rPr>
          <w:rStyle w:val="FootnoteChar"/>
          <w:rFonts w:eastAsia="Calibri"/>
        </w:rPr>
        <w:t>Sandhya Madan, Swetha Manimuthu, and S. Thiruvengadam, “History of Electric Power in India (1890 – 1990)” (paper, 2007 IEEE Conference on the History of Electric Power, Newark, NJ, 2007), 152–165, accessed February 6, 2021, https://ieeexplore.ieee.org/document/4510263.</w:t>
      </w:r>
    </w:p>
  </w:endnote>
  <w:endnote w:id="18">
    <w:p w14:paraId="3BF6BC76" w14:textId="640D3F09"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Electricity was a concurrent subject as per the Constitution of India (Schedule 7), giving both central and state governments the rights to participate in generation, transmission, and distribution. </w:t>
      </w:r>
    </w:p>
  </w:endnote>
  <w:endnote w:id="19">
    <w:p w14:paraId="7E373DF5" w14:textId="3C45A3B3"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“The Electricity Act, 2003,” </w:t>
      </w:r>
      <w:r w:rsidR="0037418B" w:rsidRPr="00DE2D9F">
        <w:rPr>
          <w:lang w:val="en-GB"/>
        </w:rPr>
        <w:t xml:space="preserve">Ministry of Power, Government of India, </w:t>
      </w:r>
      <w:r w:rsidRPr="00DE2D9F">
        <w:rPr>
          <w:lang w:val="en-GB"/>
        </w:rPr>
        <w:t xml:space="preserve">June 10, 2003, accessed April 2, 2021 </w:t>
      </w:r>
      <w:r w:rsidRPr="00DE2D9F">
        <w:t>https://powermin.gov.in/en/content/electricity-act-2003</w:t>
      </w:r>
      <w:r w:rsidR="0037418B" w:rsidRPr="00DE2D9F">
        <w:t>.</w:t>
      </w:r>
    </w:p>
  </w:endnote>
  <w:endnote w:id="20">
    <w:p w14:paraId="3E6A22FC" w14:textId="21DA011A"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In 2017, modifications to the act were brought about, further easing regulations and unbundling the sector while also easing the entry of private firms into generation and transmission. “Power Sector at a Glance All India,” Ministry of Power, Government of India, accessed February 9, 2021, https://powermin.gov.in/en/content/power-sector-glance-all-india</w:t>
      </w:r>
      <w:r w:rsidRPr="00DE2D9F">
        <w:rPr>
          <w:rStyle w:val="Hyperlink"/>
          <w:color w:val="000000" w:themeColor="text1"/>
          <w:spacing w:val="-4"/>
          <w:u w:val="none"/>
          <w:lang w:val="en-GB"/>
        </w:rPr>
        <w:t>.</w:t>
      </w:r>
      <w:r w:rsidRPr="00DE2D9F">
        <w:rPr>
          <w:lang w:val="en-GB"/>
        </w:rPr>
        <w:t xml:space="preserve"> </w:t>
      </w:r>
    </w:p>
  </w:endnote>
  <w:endnote w:id="21">
    <w:p w14:paraId="08CCF6A4" w14:textId="6ECAE14B"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“The Electricity Act, 2003,” </w:t>
      </w:r>
      <w:r w:rsidR="0037418B" w:rsidRPr="00DE2D9F">
        <w:rPr>
          <w:lang w:val="en-CA"/>
        </w:rPr>
        <w:t>op. cit.</w:t>
      </w:r>
      <w:r w:rsidRPr="00DE2D9F">
        <w:t xml:space="preserve"> </w:t>
      </w:r>
    </w:p>
  </w:endnote>
  <w:endnote w:id="22">
    <w:p w14:paraId="5C9337CB" w14:textId="6F8951C1"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The usage of the term “adopt” was important. CERC, on behalf of the government adopted a tariff, which had been decided through transparent and competitive bidding done by the procurer (i.e., state electricity utilities). “Guidelines for Determination of Tariff by Bidding Process for Procurement of Power by Distribution Licensees,” </w:t>
      </w:r>
      <w:r w:rsidR="0037418B" w:rsidRPr="00DE2D9F">
        <w:rPr>
          <w:i/>
          <w:iCs/>
          <w:lang w:val="en-GB"/>
        </w:rPr>
        <w:t>The Gazette of India</w:t>
      </w:r>
      <w:r w:rsidRPr="00DE2D9F">
        <w:rPr>
          <w:lang w:val="en-GB"/>
        </w:rPr>
        <w:t>, January</w:t>
      </w:r>
      <w:r w:rsidR="0037418B" w:rsidRPr="00DE2D9F">
        <w:rPr>
          <w:lang w:val="en-GB"/>
        </w:rPr>
        <w:t xml:space="preserve"> 19,</w:t>
      </w:r>
      <w:r w:rsidRPr="00DE2D9F">
        <w:rPr>
          <w:lang w:val="en-GB"/>
        </w:rPr>
        <w:t xml:space="preserve"> 2005, accessed February 9, 2021, www.cserc.gov.in/asset/doc/Bidding_Guidelines.pdf</w:t>
      </w:r>
      <w:r w:rsidRPr="00DE2D9F">
        <w:rPr>
          <w:rStyle w:val="Hyperlink"/>
          <w:color w:val="000000" w:themeColor="text1"/>
          <w:spacing w:val="-4"/>
          <w:u w:val="none"/>
          <w:lang w:val="en-GB"/>
        </w:rPr>
        <w:t>.</w:t>
      </w:r>
    </w:p>
  </w:endnote>
  <w:endnote w:id="23">
    <w:p w14:paraId="16D054AB" w14:textId="46214FF1"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“The Electricity Act, 2003,” </w:t>
      </w:r>
      <w:r w:rsidR="00605E23" w:rsidRPr="00DE2D9F">
        <w:rPr>
          <w:lang w:val="en-GB"/>
        </w:rPr>
        <w:t>op. cit.</w:t>
      </w:r>
      <w:r w:rsidRPr="00DE2D9F">
        <w:rPr>
          <w:lang w:val="en-GB"/>
        </w:rPr>
        <w:t xml:space="preserve"> </w:t>
      </w:r>
    </w:p>
  </w:endnote>
  <w:endnote w:id="24">
    <w:p w14:paraId="635F9B95" w14:textId="181C3ABE"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Pr="00DE2D9F">
        <w:rPr>
          <w:i/>
          <w:iCs/>
          <w:spacing w:val="-4"/>
          <w:lang w:val="en-GB"/>
        </w:rPr>
        <w:t>The Electricity Act</w:t>
      </w:r>
      <w:r w:rsidRPr="00DE2D9F">
        <w:rPr>
          <w:spacing w:val="-4"/>
          <w:lang w:val="en-GB"/>
        </w:rPr>
        <w:t xml:space="preserve">, 2003, stipulated two kinds of bidding—Case 1 and Case 2. In Case 1 bidding, almost all project risks (i.e., location, technology, fuel, approvals, clearances, and land acquisition) laid with the private developer. The developer had an obligation to supply power to State Electricity Boards (SEBs), for which it signed power supply agreements with electricity procurers, at rates that were determined after a competitive bid. In Case 2 bidding, the government de-risked the project before inviting bids for development. Government organizations like Power Finance Corporation Ltd. would identify an attractive location for the power plant, identify land requirements, take possession of land, obtain environmental and forest clearances, identify sources of raw material (i.e., coal and water), and make preliminary tie-ups with distributions companies and SEBs for power purchase. Subsequently, an auction for the construction, management, and operation of the de-risked plant proposal would be held. In both alternatives, Case 1 and Case 2, the L-1 </w:t>
      </w:r>
      <w:r w:rsidR="00716B22" w:rsidRPr="00DE2D9F">
        <w:rPr>
          <w:spacing w:val="-4"/>
          <w:lang w:val="en-GB"/>
        </w:rPr>
        <w:t>the best bid that quoted the lowest levelized electricity tariff was chosen</w:t>
      </w:r>
      <w:r w:rsidRPr="00DE2D9F">
        <w:rPr>
          <w:spacing w:val="-4"/>
          <w:lang w:val="en-GB"/>
        </w:rPr>
        <w:t xml:space="preserve">. This tariff comprised two distinct components: fixed capacity charge and fuel charge. The fixed capacity charge aimed to compensate the developer for the costs of setting up the power plant and was payable for making the plant operationally available to the purchaser (typically 90 per cent normative availability). Contractual clauses sought to incentivize the developer to exceed normative availability (to the extent of actual electricity dispatched) and to penalize the developer if it failed to maintain the promised normative availability. The second component, fuel charge, compensated for the cost of fuel to the extent that power was requisitioned from the plant by the purchaser. To accommodate macroeconomic changes over time, both the charges were revised annually to reflect variations in the wholesale price index (WPI). During the competitive bidding, the bidders were provided the flexibility to bid the extent to which they would like the tariff components to be adjusted for WPI changes—that is, the tariff could be indexed to WPI to the full extent permitted (escalable), partly indexed (partly non-escalable), or not indexed at all (non-escalable tariff). As the bids were decided based on levelized tariffs over the full life cycle of the plant (as per a pre-disclosed criterion), reducing the extent of escalability of the tariff gave the bidders better chances of becoming the lowest bidder. Central Electricity Regulatory Commission, </w:t>
      </w:r>
      <w:r w:rsidRPr="00DE2D9F">
        <w:rPr>
          <w:i/>
          <w:iCs/>
          <w:spacing w:val="-4"/>
          <w:lang w:val="en-GB"/>
        </w:rPr>
        <w:t>Request for Qualification for Tariff Based Bidding Process for Procurement of Power on Long Term Basis by Setting Up Power Stations at Where Location or Fuel Is Not Specified</w:t>
      </w:r>
      <w:r w:rsidRPr="00DE2D9F">
        <w:rPr>
          <w:spacing w:val="-4"/>
          <w:lang w:val="en-GB"/>
        </w:rPr>
        <w:t>, accessed</w:t>
      </w:r>
      <w:r w:rsidRPr="00DE2D9F" w:rsidDel="004D7CDB">
        <w:rPr>
          <w:spacing w:val="-4"/>
          <w:lang w:val="en-GB"/>
        </w:rPr>
        <w:t xml:space="preserve"> </w:t>
      </w:r>
      <w:r w:rsidRPr="00DE2D9F">
        <w:rPr>
          <w:spacing w:val="-4"/>
          <w:lang w:val="en-GB"/>
        </w:rPr>
        <w:t xml:space="preserve">February 9, 2021, www.cercind.gov.in/030206/case1.pdf; Central Electricity Regulatory Commission, </w:t>
      </w:r>
      <w:r w:rsidRPr="00DE2D9F">
        <w:rPr>
          <w:i/>
          <w:iCs/>
          <w:spacing w:val="-4"/>
          <w:lang w:val="en-GB"/>
        </w:rPr>
        <w:t>Standard Bid Documents for Tariff Based Bidding Process for Procurement of Power on Long Term Basis by Setting Up of Power Stations at Specified Location and/or Fuel</w:t>
      </w:r>
      <w:r w:rsidRPr="00DE2D9F">
        <w:rPr>
          <w:spacing w:val="-4"/>
          <w:lang w:val="en-GB"/>
        </w:rPr>
        <w:t>, accessed February 9, 2021, www.cercind.gov.in/030206/case2.pdf.</w:t>
      </w:r>
    </w:p>
  </w:endnote>
  <w:endnote w:id="25">
    <w:p w14:paraId="65E081B0" w14:textId="0704AC0B"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“Overview,” Tata Power, accessed February 8, 2021, www.tatapower.com/corporate/overview.aspx.</w:t>
      </w:r>
    </w:p>
  </w:endnote>
  <w:endnote w:id="26">
    <w:p w14:paraId="47B5D2B4" w14:textId="2910424A"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“Key Milestones of the 100 Year Old Journey,”</w:t>
      </w:r>
      <w:r w:rsidRPr="00DE2D9F" w:rsidDel="00C435CD">
        <w:rPr>
          <w:lang w:val="en-GB"/>
        </w:rPr>
        <w:t xml:space="preserve"> </w:t>
      </w:r>
      <w:r w:rsidRPr="00DE2D9F">
        <w:rPr>
          <w:lang w:val="en-GB"/>
        </w:rPr>
        <w:t>Tata Power, accessed February 8, 2021, http://tatapower100.tatapower.com/heritage/milestones.aspx.</w:t>
      </w:r>
    </w:p>
  </w:endnote>
  <w:endnote w:id="27">
    <w:p w14:paraId="1B771D6A" w14:textId="5948CD27"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The power generation capacity of Tata Power as of 2017 was estimated from the installed power generation capacity of 2017. “Overview,” op. cit.</w:t>
      </w:r>
    </w:p>
  </w:endnote>
  <w:endnote w:id="28">
    <w:p w14:paraId="5B3C0632" w14:textId="2C0BB9F1"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Pr="00DE2D9F">
        <w:t>PTI, “Government Yet to Award Four Ultra Mega Power Plants to Developers,” Economic Times, December 8, 2014, accessed February 6, 2021, https://economictimes.indiatimes.com/industry/energy/power/government-yet-to-award-four-ultra-mega-power-plants-to-developers/articleshow/45412631.cms.</w:t>
      </w:r>
    </w:p>
  </w:endnote>
  <w:endnote w:id="29">
    <w:p w14:paraId="714FA4A7" w14:textId="6F756F68"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Coastal Power Generation Limited, op. cit.</w:t>
      </w:r>
    </w:p>
  </w:endnote>
  <w:endnote w:id="30">
    <w:p w14:paraId="783C9CB3" w14:textId="05F6BDB2"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Power purchase agreements were planned and agreed with five states—namely, Gujarat (1,805 MW), Maharashtra (760 MW), Punjab (475 MW), Rajasthan (380 MW), and Haryana (380 MW)—that would purchase electricity from the power plant. PTI, “PFC Transfers CGPL to Tata Power,” </w:t>
      </w:r>
      <w:r w:rsidRPr="00DE2D9F">
        <w:rPr>
          <w:i/>
          <w:iCs/>
          <w:lang w:val="en-GB"/>
        </w:rPr>
        <w:t>Economic Times</w:t>
      </w:r>
      <w:r w:rsidRPr="00DE2D9F">
        <w:rPr>
          <w:lang w:val="en-GB"/>
        </w:rPr>
        <w:t>, April 23, 2007, accessed November 24, 2020, https://economictimes.indiatimes.com/industry/energy/power/pfc-transfers-cgpl-to-tata-power/articleshow/1942616.cms?from=mdr</w:t>
      </w:r>
      <w:r w:rsidRPr="00DE2D9F">
        <w:rPr>
          <w:rStyle w:val="Hyperlink"/>
          <w:color w:val="000000" w:themeColor="text1"/>
          <w:spacing w:val="-4"/>
          <w:u w:val="none"/>
          <w:lang w:val="en-GB"/>
        </w:rPr>
        <w:t>.</w:t>
      </w:r>
    </w:p>
  </w:endnote>
  <w:endnote w:id="31">
    <w:p w14:paraId="520D6E8D" w14:textId="32B89461"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Central Electricity Regulatory Commission, </w:t>
      </w:r>
      <w:r w:rsidRPr="00DE2D9F">
        <w:rPr>
          <w:i/>
          <w:iCs/>
          <w:lang w:val="en-GB"/>
        </w:rPr>
        <w:t>Petition No. 159/MP/2012</w:t>
      </w:r>
      <w:r w:rsidRPr="00DE2D9F">
        <w:rPr>
          <w:lang w:val="en-GB"/>
        </w:rPr>
        <w:t>, accessed February 6, 2021, www.cercind.gov.in/2013/orders/159_mp_2012.pdf</w:t>
      </w:r>
      <w:r w:rsidRPr="00DE2D9F">
        <w:rPr>
          <w:rStyle w:val="Hyperlink"/>
          <w:color w:val="000000" w:themeColor="text1"/>
          <w:spacing w:val="-4"/>
          <w:u w:val="none"/>
          <w:lang w:val="en-GB"/>
        </w:rPr>
        <w:t>.</w:t>
      </w:r>
    </w:p>
  </w:endnote>
  <w:endnote w:id="32">
    <w:p w14:paraId="1A47E087" w14:textId="51EA8815" w:rsidR="00FA0AAF" w:rsidRPr="00DE2D9F" w:rsidRDefault="00FA0AAF" w:rsidP="00DE2D9F">
      <w:pPr>
        <w:pStyle w:val="Footnote"/>
        <w:rPr>
          <w:lang w:val="en-GB"/>
        </w:rPr>
      </w:pPr>
      <w:r w:rsidRPr="00DE2D9F">
        <w:rPr>
          <w:rStyle w:val="EndnoteReference"/>
          <w:spacing w:val="-4"/>
          <w:lang w:val="en-GB"/>
        </w:rPr>
        <w:endnoteRef/>
      </w:r>
      <w:r w:rsidRPr="00DE2D9F">
        <w:rPr>
          <w:lang w:val="en-GB"/>
        </w:rPr>
        <w:t xml:space="preserve"> </w:t>
      </w:r>
      <w:r w:rsidRPr="00DE2D9F">
        <w:rPr>
          <w:rStyle w:val="FootnoteChar"/>
          <w:rFonts w:eastAsia="Calibri"/>
          <w:lang w:val="en-GB"/>
        </w:rPr>
        <w:t>As per the bidding conditions, power tariffs could be quoted requesting for different levels of coal price adjustments. Tata Power had bid a 55 per cent non-escalable tariff, which implied that power tariffs would be adjusted to a 45 per cent extent only for changes in coal prices.</w:t>
      </w:r>
      <w:r w:rsidRPr="00DE2D9F">
        <w:rPr>
          <w:rStyle w:val="FootnoteChar"/>
          <w:rFonts w:eastAsia="Calibri"/>
          <w:spacing w:val="-4"/>
          <w:lang w:val="en-GB"/>
        </w:rPr>
        <w:t xml:space="preserve"> </w:t>
      </w:r>
    </w:p>
  </w:endnote>
  <w:endnote w:id="33">
    <w:p w14:paraId="1F25C0B7" w14:textId="2ED3C55D" w:rsidR="00FA0AAF" w:rsidRPr="00DE2D9F" w:rsidRDefault="00FA0AAF" w:rsidP="00DE2D9F">
      <w:pPr>
        <w:pStyle w:val="Footnote"/>
      </w:pPr>
      <w:r w:rsidRPr="00DE2D9F">
        <w:rPr>
          <w:rStyle w:val="EndnoteReference"/>
          <w:color w:val="000000" w:themeColor="text1"/>
          <w:spacing w:val="-4"/>
          <w:lang w:val="en-GB"/>
        </w:rPr>
        <w:endnoteRef/>
      </w:r>
      <w:r w:rsidRPr="00DE2D9F">
        <w:rPr>
          <w:lang w:val="en-GB"/>
        </w:rPr>
        <w:t xml:space="preserve"> PTI, “Tata Power Signs Coal Supply Agreement with Indonesian Firm PT Antang Gunung Meratus,” </w:t>
      </w:r>
      <w:r w:rsidRPr="00DE2D9F">
        <w:rPr>
          <w:i/>
          <w:iCs/>
          <w:lang w:val="en-GB"/>
        </w:rPr>
        <w:t>Economic Times</w:t>
      </w:r>
      <w:r w:rsidRPr="00DE2D9F">
        <w:rPr>
          <w:lang w:val="en-GB"/>
        </w:rPr>
        <w:t xml:space="preserve">, </w:t>
      </w:r>
      <w:r w:rsidRPr="00DE2D9F">
        <w:t>July 20, 2012, accessed February 6, 2021, https://economictimes.indiatimes.com/industry/energy/power/tata-power-signs-coal-supply-agreement-with-indonesian-firm-pt-antang-gunung-meratus/articleshow/15057938.cms?utm_source=contentofinterest&amp;utm_medium=text&amp;utm_campaign=cppst; Coastal Power Generation Limited, op. cit.</w:t>
      </w:r>
    </w:p>
  </w:endnote>
  <w:endnote w:id="34">
    <w:p w14:paraId="053D7814" w14:textId="2707FFC1"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PTI, “Government Yet to Award Four Ultra Mega Power Plants to Developers,” op. cit.</w:t>
      </w:r>
    </w:p>
  </w:endnote>
  <w:endnote w:id="35">
    <w:p w14:paraId="22344F9D" w14:textId="74F905EE"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“CGPL</w:t>
      </w:r>
      <w:r w:rsidR="0037418B" w:rsidRPr="00DE2D9F">
        <w:rPr>
          <w:lang w:val="en-GB"/>
        </w:rPr>
        <w:t>—</w:t>
      </w:r>
      <w:r w:rsidRPr="00DE2D9F">
        <w:rPr>
          <w:lang w:val="en-GB"/>
        </w:rPr>
        <w:t>4150 MW,” Tata Power,</w:t>
      </w:r>
      <w:r w:rsidRPr="00DE2D9F" w:rsidDel="00D87E5B">
        <w:rPr>
          <w:rStyle w:val="FootnoteChar"/>
          <w:rFonts w:eastAsia="Calibri"/>
          <w:color w:val="000000" w:themeColor="text1"/>
          <w:spacing w:val="-4"/>
          <w:lang w:val="en-GB"/>
        </w:rPr>
        <w:t xml:space="preserve"> </w:t>
      </w:r>
      <w:r w:rsidRPr="00DE2D9F">
        <w:rPr>
          <w:rStyle w:val="FootnoteChar"/>
          <w:rFonts w:eastAsia="Calibri"/>
          <w:color w:val="000000" w:themeColor="text1"/>
          <w:spacing w:val="-4"/>
          <w:lang w:val="en-GB"/>
        </w:rPr>
        <w:t>accessed</w:t>
      </w:r>
      <w:r w:rsidRPr="00DE2D9F">
        <w:rPr>
          <w:lang w:val="en-GB"/>
        </w:rPr>
        <w:t xml:space="preserve"> February 8, 2021, www.tatapower.com/plants-projects/thermal-generation-projects/cgpl-4150mw.aspx.</w:t>
      </w:r>
    </w:p>
  </w:endnote>
  <w:endnote w:id="36">
    <w:p w14:paraId="45B464F2" w14:textId="1C69A871"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Coastal Power Generation Limited, op. cit.</w:t>
      </w:r>
    </w:p>
  </w:endnote>
  <w:endnote w:id="37">
    <w:p w14:paraId="4CAE74CD" w14:textId="31592ACB"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0037418B" w:rsidRPr="00DE2D9F">
        <w:rPr>
          <w:lang w:val="en-GB"/>
        </w:rPr>
        <w:t>I</w:t>
      </w:r>
      <w:r w:rsidRPr="00DE2D9F">
        <w:rPr>
          <w:lang w:val="en-GB"/>
        </w:rPr>
        <w:t>n 2005, the world average was 919 g</w:t>
      </w:r>
      <w:r w:rsidR="0037418B" w:rsidRPr="00DE2D9F">
        <w:rPr>
          <w:lang w:val="en-GB"/>
        </w:rPr>
        <w:t>rams</w:t>
      </w:r>
      <w:r w:rsidRPr="00DE2D9F">
        <w:rPr>
          <w:lang w:val="en-GB"/>
        </w:rPr>
        <w:t xml:space="preserve"> of CO</w:t>
      </w:r>
      <w:r w:rsidRPr="00DE2D9F">
        <w:rPr>
          <w:vertAlign w:val="subscript"/>
          <w:lang w:val="en-GB"/>
        </w:rPr>
        <w:t>2</w:t>
      </w:r>
      <w:r w:rsidRPr="00DE2D9F">
        <w:rPr>
          <w:lang w:val="en-GB"/>
        </w:rPr>
        <w:t xml:space="preserve"> per kWh, and the average for member countries of the Organisation for Economic Co-operation and Development was 888 g</w:t>
      </w:r>
      <w:r w:rsidR="0037418B" w:rsidRPr="00DE2D9F">
        <w:rPr>
          <w:lang w:val="en-GB"/>
        </w:rPr>
        <w:t>rams</w:t>
      </w:r>
      <w:r w:rsidRPr="00DE2D9F">
        <w:rPr>
          <w:lang w:val="en-GB"/>
        </w:rPr>
        <w:t xml:space="preserve"> of CO</w:t>
      </w:r>
      <w:r w:rsidRPr="00DE2D9F">
        <w:rPr>
          <w:vertAlign w:val="subscript"/>
          <w:lang w:val="en-GB"/>
        </w:rPr>
        <w:t>2</w:t>
      </w:r>
      <w:r w:rsidRPr="00DE2D9F">
        <w:rPr>
          <w:lang w:val="en-GB"/>
        </w:rPr>
        <w:t xml:space="preserve"> per kWh</w:t>
      </w:r>
      <w:r w:rsidR="0037418B" w:rsidRPr="00DE2D9F">
        <w:rPr>
          <w:lang w:val="en-GB"/>
        </w:rPr>
        <w:t>;</w:t>
      </w:r>
      <w:r w:rsidRPr="00DE2D9F">
        <w:rPr>
          <w:lang w:val="en-GB"/>
        </w:rPr>
        <w:t xml:space="preserve"> Ibid.</w:t>
      </w:r>
      <w:r w:rsidRPr="00DE2D9F" w:rsidDel="00A752B6">
        <w:rPr>
          <w:lang w:val="en-GB"/>
        </w:rPr>
        <w:t xml:space="preserve"> </w:t>
      </w:r>
    </w:p>
  </w:endnote>
  <w:endnote w:id="38">
    <w:p w14:paraId="7CA37ED6" w14:textId="3B72AF33"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Ibid.</w:t>
      </w:r>
    </w:p>
  </w:endnote>
  <w:endnote w:id="39">
    <w:p w14:paraId="278F92F3" w14:textId="39B7FDBC"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Central Electricity Regulatory Authority, “Order on Petition 159/MP,” February 21, 2014, accessed November 24, 2020, www.cercind.gov.in/2014/orders/SO159.pdf].</w:t>
      </w:r>
    </w:p>
  </w:endnote>
  <w:endnote w:id="40">
    <w:p w14:paraId="1C28500F" w14:textId="30BAE3EA" w:rsidR="00FA0AAF" w:rsidRPr="00DE2D9F" w:rsidRDefault="00FA0AAF" w:rsidP="00DE2D9F">
      <w:pPr>
        <w:pStyle w:val="Footnote"/>
        <w:rPr>
          <w:lang w:val="en-GB"/>
        </w:rPr>
      </w:pPr>
      <w:r w:rsidRPr="00DE2D9F">
        <w:rPr>
          <w:vertAlign w:val="superscript"/>
          <w:lang w:val="en-GB"/>
        </w:rPr>
        <w:endnoteRef/>
      </w:r>
      <w:r w:rsidRPr="00DE2D9F">
        <w:rPr>
          <w:lang w:val="en-GB"/>
        </w:rPr>
        <w:t xml:space="preserve"> Ghatak and Dasgupta, op. cit.</w:t>
      </w:r>
    </w:p>
  </w:endnote>
  <w:endnote w:id="41">
    <w:p w14:paraId="384F181B" w14:textId="163D8EEF" w:rsidR="00FA0AAF" w:rsidRPr="00DE2D9F" w:rsidRDefault="00FA0AAF" w:rsidP="00DE2D9F">
      <w:pPr>
        <w:pStyle w:val="Footnote"/>
        <w:rPr>
          <w:rStyle w:val="Emphasis"/>
          <w:i w:val="0"/>
          <w:iCs w:val="0"/>
        </w:rPr>
      </w:pPr>
      <w:r w:rsidRPr="00DE2D9F">
        <w:rPr>
          <w:rStyle w:val="EndnoteReference"/>
          <w:color w:val="000000" w:themeColor="text1"/>
          <w:spacing w:val="-4"/>
          <w:lang w:val="en-GB"/>
        </w:rPr>
        <w:endnoteRef/>
      </w:r>
      <w:r w:rsidRPr="00DE2D9F">
        <w:rPr>
          <w:lang w:val="en-GB"/>
        </w:rPr>
        <w:t xml:space="preserve"> Central Electricity Regulatory Commission, Petition No. 155/MP/2012, accessed February 6, 2021, www.cercind.gov.in/2014/orders/SO155N.pdf</w:t>
      </w:r>
      <w:r w:rsidRPr="00DE2D9F">
        <w:rPr>
          <w:rStyle w:val="Emphasis"/>
          <w:i w:val="0"/>
          <w:iCs w:val="0"/>
        </w:rPr>
        <w:t>; Umakanth Varottil, “CERC Order in the Adani Power Case,” IndiaCorpLaw, April 10, 2013, accessed February 6, 2021, https://indiacorplaw.in/2013/04/cerc-order-in-adani-power-case.html.</w:t>
      </w:r>
    </w:p>
  </w:endnote>
  <w:endnote w:id="42">
    <w:p w14:paraId="42A3FD66" w14:textId="54F342AB" w:rsidR="00FA0AAF" w:rsidRPr="00DE2D9F" w:rsidRDefault="00FA0AAF" w:rsidP="00DE2D9F">
      <w:pPr>
        <w:pStyle w:val="Footnote"/>
        <w:rPr>
          <w:rStyle w:val="Emphasis"/>
          <w:i w:val="0"/>
          <w:iCs w:val="0"/>
        </w:rPr>
      </w:pPr>
      <w:r w:rsidRPr="00DE2D9F">
        <w:rPr>
          <w:rStyle w:val="Emphasis"/>
          <w:i w:val="0"/>
          <w:iCs w:val="0"/>
        </w:rPr>
        <w:endnoteRef/>
      </w:r>
      <w:r w:rsidRPr="00DE2D9F">
        <w:rPr>
          <w:rStyle w:val="Emphasis"/>
          <w:i w:val="0"/>
          <w:iCs w:val="0"/>
        </w:rPr>
        <w:t xml:space="preserve"> Ibid.</w:t>
      </w:r>
    </w:p>
  </w:endnote>
  <w:endnote w:id="43">
    <w:p w14:paraId="283CFE8F" w14:textId="1B0B0D18"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Central Electricity Regulatory Commission, </w:t>
      </w:r>
      <w:r w:rsidRPr="00DE2D9F">
        <w:rPr>
          <w:i/>
          <w:iCs/>
          <w:lang w:val="en-GB"/>
        </w:rPr>
        <w:t>Petition No. 155/MP/2012</w:t>
      </w:r>
      <w:r w:rsidRPr="00DE2D9F">
        <w:rPr>
          <w:lang w:val="en-GB"/>
        </w:rPr>
        <w:t>, op. cit.</w:t>
      </w:r>
    </w:p>
  </w:endnote>
  <w:endnote w:id="44">
    <w:p w14:paraId="136FB75E" w14:textId="120210A9"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Pr="00DE2D9F">
        <w:rPr>
          <w:spacing w:val="-6"/>
          <w:lang w:val="en-GB"/>
        </w:rPr>
        <w:t xml:space="preserve">Press Trust of India, “Tata Power Seeks Higher Tariff for Mundra UMPP,” </w:t>
      </w:r>
      <w:r w:rsidRPr="00DE2D9F">
        <w:rPr>
          <w:i/>
          <w:iCs/>
          <w:spacing w:val="-6"/>
          <w:lang w:val="en-GB"/>
        </w:rPr>
        <w:t>Business Standard</w:t>
      </w:r>
      <w:r w:rsidRPr="00DE2D9F">
        <w:rPr>
          <w:spacing w:val="-6"/>
          <w:lang w:val="en-GB"/>
        </w:rPr>
        <w:t>, January 14, 2013, accessed November 24, 2020, www.business-standard.com/article/companies/tata-power-seeks-higher-tariff-for-mundra-umpp-112071700149_1.html.</w:t>
      </w:r>
    </w:p>
  </w:endnote>
  <w:endnote w:id="45">
    <w:p w14:paraId="776DE440" w14:textId="39A3D467"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Pr="00DE2D9F">
        <w:rPr>
          <w:lang w:val="en-GB" w:eastAsia="x-none"/>
        </w:rPr>
        <w:t xml:space="preserve">“Mission,” </w:t>
      </w:r>
      <w:r w:rsidRPr="00DE2D9F">
        <w:rPr>
          <w:lang w:val="en-GB"/>
        </w:rPr>
        <w:t xml:space="preserve">Central Electricity Regulatory Commission of India, accessed April 2, 2021, </w:t>
      </w:r>
      <w:r w:rsidRPr="00DE2D9F">
        <w:rPr>
          <w:lang w:val="en-GB" w:eastAsia="x-none"/>
        </w:rPr>
        <w:t>www.cercind.gov.in/Mission.html</w:t>
      </w:r>
      <w:r w:rsidRPr="00DE2D9F">
        <w:rPr>
          <w:rStyle w:val="Hyperlink"/>
          <w:color w:val="000000" w:themeColor="text1"/>
          <w:spacing w:val="-4"/>
          <w:u w:val="none"/>
          <w:lang w:val="en-GB" w:eastAsia="x-none"/>
        </w:rPr>
        <w:t>.</w:t>
      </w:r>
    </w:p>
  </w:endnote>
  <w:endnote w:id="46">
    <w:p w14:paraId="4C485645" w14:textId="018C8B24"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Committee members were leading experts of the country: Deepak Parekh, chairman, Housing Development Finance Corporation Limited; Arundhati Bhattacharya, managing director and chief executive officer, SBI Capital Markets; Devi Singh, director, Indian Institute of Management-Lucknow; the managing director and chief executive officer of Tata Power; three officers from the Haryana government; two officers each from the Gujarat, Maharashtra, and Rajasthan governments; and one officer from the Punjab government. </w:t>
      </w:r>
    </w:p>
  </w:endnote>
  <w:endnote w:id="47">
    <w:p w14:paraId="0E22628C" w14:textId="726615BF"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Pr="00DE2D9F">
        <w:rPr>
          <w:spacing w:val="-2"/>
          <w:lang w:val="en-GB"/>
        </w:rPr>
        <w:t xml:space="preserve">This issue was finalized on December 31, 2013. Central Electricity Regulatory Commission, </w:t>
      </w:r>
      <w:r w:rsidRPr="00DE2D9F">
        <w:rPr>
          <w:i/>
          <w:iCs/>
          <w:spacing w:val="-2"/>
          <w:lang w:val="en-GB"/>
        </w:rPr>
        <w:t>Petition No. 159/MP/2012</w:t>
      </w:r>
      <w:r w:rsidRPr="00DE2D9F">
        <w:rPr>
          <w:spacing w:val="-2"/>
          <w:lang w:val="en-GB"/>
        </w:rPr>
        <w:t>, op. cit.</w:t>
      </w:r>
      <w:r w:rsidRPr="00DE2D9F">
        <w:rPr>
          <w:lang w:val="en-GB"/>
        </w:rPr>
        <w:t xml:space="preserve"> </w:t>
      </w:r>
    </w:p>
  </w:endnote>
  <w:endnote w:id="48">
    <w:p w14:paraId="2C86F4AD" w14:textId="6356D027"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By the time the case was taken up before APTEL, many of the parties had already approached the Supreme Court and sought its intervention. APTEL took this view when it was specifically asked by the Supreme Court to look into all aspects (change of law, force majeure, and public interest) and pass a final judgment. However, APTEL’s judgment would only get implemented after it had been ratified by the Supreme Court.</w:t>
      </w:r>
    </w:p>
  </w:endnote>
  <w:endnote w:id="49">
    <w:p w14:paraId="50656238" w14:textId="3D92F18C"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PTO, “APTEL Sets Aside CERC Compensatory Tariff Order,” </w:t>
      </w:r>
      <w:r w:rsidRPr="00DE2D9F">
        <w:rPr>
          <w:i/>
          <w:iCs/>
          <w:lang w:val="en-GB"/>
        </w:rPr>
        <w:t>Times of India</w:t>
      </w:r>
      <w:r w:rsidRPr="00DE2D9F">
        <w:rPr>
          <w:lang w:val="en-GB"/>
        </w:rPr>
        <w:t xml:space="preserve">, </w:t>
      </w:r>
      <w:r w:rsidRPr="00DE2D9F">
        <w:t>April 7, 2016,</w:t>
      </w:r>
      <w:r w:rsidRPr="00DE2D9F">
        <w:rPr>
          <w:lang w:val="en-GB"/>
        </w:rPr>
        <w:t xml:space="preserve"> accessed, February 6, 2021, https://timesofindia.indiatimes.com/city/delhi/APTEL-sets-aside-CERC-compensatory-tariff-order/articleshow/51730679.cms</w:t>
      </w:r>
      <w:r w:rsidRPr="00DE2D9F">
        <w:rPr>
          <w:rStyle w:val="Hyperlink"/>
          <w:color w:val="000000" w:themeColor="text1"/>
          <w:spacing w:val="-4"/>
          <w:u w:val="none"/>
          <w:lang w:val="en-GB"/>
        </w:rPr>
        <w:t>.</w:t>
      </w:r>
    </w:p>
  </w:endnote>
  <w:endnote w:id="50">
    <w:p w14:paraId="3174836B" w14:textId="01EB2DF3"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Pr="00DE2D9F">
        <w:rPr>
          <w:bCs/>
          <w:lang w:val="en-GB"/>
        </w:rPr>
        <w:t xml:space="preserve">Supreme Court of India, </w:t>
      </w:r>
      <w:r w:rsidR="008023F4" w:rsidRPr="00DE2D9F">
        <w:rPr>
          <w:bCs/>
          <w:i/>
          <w:iCs/>
          <w:lang w:val="en-GB"/>
        </w:rPr>
        <w:t xml:space="preserve">Civil Appellate Jurisdiction: </w:t>
      </w:r>
      <w:r w:rsidRPr="00DE2D9F">
        <w:rPr>
          <w:bCs/>
          <w:i/>
          <w:iCs/>
          <w:lang w:val="en-GB"/>
        </w:rPr>
        <w:t>Judgment</w:t>
      </w:r>
      <w:r w:rsidR="008023F4" w:rsidRPr="00DE2D9F">
        <w:rPr>
          <w:bCs/>
          <w:i/>
          <w:iCs/>
          <w:lang w:val="en-GB"/>
        </w:rPr>
        <w:t>, R.F. NARIMAN, J.</w:t>
      </w:r>
      <w:r w:rsidRPr="00DE2D9F">
        <w:rPr>
          <w:bCs/>
          <w:lang w:val="en-GB"/>
        </w:rPr>
        <w:t xml:space="preserve">, accessed April 2, 2021 </w:t>
      </w:r>
      <w:r w:rsidRPr="00DE2D9F">
        <w:rPr>
          <w:lang w:val="en-GB"/>
        </w:rPr>
        <w:t>https://main.sci.gov.in/judgment/judis/44760.pdf</w:t>
      </w:r>
      <w:r w:rsidR="008023F4" w:rsidRPr="00DE2D9F">
        <w:rPr>
          <w:lang w:val="en-GB"/>
        </w:rPr>
        <w:t>.</w:t>
      </w:r>
    </w:p>
  </w:endnote>
  <w:endnote w:id="51">
    <w:p w14:paraId="04157185" w14:textId="0ABD7B78"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Central Electricity Regulatory Authority, </w:t>
      </w:r>
      <w:r w:rsidR="008023F4" w:rsidRPr="00DE2D9F">
        <w:rPr>
          <w:i/>
          <w:iCs/>
          <w:lang w:val="en-GB"/>
        </w:rPr>
        <w:t>Petition No.</w:t>
      </w:r>
      <w:r w:rsidRPr="00DE2D9F">
        <w:rPr>
          <w:i/>
          <w:iCs/>
          <w:lang w:val="en-GB"/>
        </w:rPr>
        <w:t xml:space="preserve"> 159/MP/2012</w:t>
      </w:r>
      <w:r w:rsidRPr="00DE2D9F">
        <w:rPr>
          <w:lang w:val="en-GB"/>
        </w:rPr>
        <w:t xml:space="preserve">, </w:t>
      </w:r>
      <w:r w:rsidR="008023F4" w:rsidRPr="00DE2D9F">
        <w:rPr>
          <w:lang w:val="en-GB"/>
        </w:rPr>
        <w:t>o</w:t>
      </w:r>
      <w:r w:rsidRPr="00DE2D9F">
        <w:rPr>
          <w:lang w:val="en-GB"/>
        </w:rPr>
        <w:t>p.</w:t>
      </w:r>
      <w:r w:rsidR="008023F4" w:rsidRPr="00DE2D9F">
        <w:rPr>
          <w:lang w:val="en-GB"/>
        </w:rPr>
        <w:t xml:space="preserve"> cit.,</w:t>
      </w:r>
      <w:r w:rsidRPr="00DE2D9F">
        <w:rPr>
          <w:lang w:val="en-GB"/>
        </w:rPr>
        <w:t xml:space="preserve"> 169.</w:t>
      </w:r>
    </w:p>
  </w:endnote>
  <w:endnote w:id="52">
    <w:p w14:paraId="2442E989" w14:textId="3418BC52"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Ghatak and Dasgupta, op. cit.</w:t>
      </w:r>
    </w:p>
  </w:endnote>
  <w:endnote w:id="53">
    <w:p w14:paraId="1C86AAE5" w14:textId="21F1D627"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Pr="00DE2D9F">
        <w:rPr>
          <w:bCs/>
          <w:lang w:val="en-GB"/>
        </w:rPr>
        <w:t xml:space="preserve">Supreme Court of India, </w:t>
      </w:r>
      <w:r w:rsidR="008023F4" w:rsidRPr="00DE2D9F">
        <w:rPr>
          <w:bCs/>
          <w:lang w:val="en-GB"/>
        </w:rPr>
        <w:t>o</w:t>
      </w:r>
      <w:r w:rsidRPr="00DE2D9F">
        <w:rPr>
          <w:bCs/>
          <w:lang w:val="en-GB"/>
        </w:rPr>
        <w:t xml:space="preserve">p. </w:t>
      </w:r>
      <w:r w:rsidR="008023F4" w:rsidRPr="00DE2D9F">
        <w:rPr>
          <w:bCs/>
          <w:lang w:val="en-GB"/>
        </w:rPr>
        <w:t xml:space="preserve">cit., </w:t>
      </w:r>
      <w:r w:rsidRPr="00DE2D9F">
        <w:rPr>
          <w:bCs/>
          <w:lang w:val="en-GB"/>
        </w:rPr>
        <w:t>49</w:t>
      </w:r>
      <w:r w:rsidR="008023F4" w:rsidRPr="00DE2D9F">
        <w:rPr>
          <w:bCs/>
          <w:lang w:val="en-GB"/>
        </w:rPr>
        <w:t>.</w:t>
      </w:r>
    </w:p>
  </w:endnote>
  <w:endnote w:id="54">
    <w:p w14:paraId="1EF629F0" w14:textId="4B37B413" w:rsidR="00FA0AAF" w:rsidRPr="00DE2D9F" w:rsidRDefault="00FA0AAF" w:rsidP="00DE2D9F">
      <w:pPr>
        <w:pStyle w:val="Footnote"/>
        <w:rPr>
          <w:lang w:val="en-GB"/>
        </w:rPr>
      </w:pPr>
      <w:r w:rsidRPr="00DE2D9F">
        <w:rPr>
          <w:rFonts w:eastAsia="Calibri"/>
          <w:vertAlign w:val="superscript"/>
          <w:lang w:val="en-GB"/>
        </w:rPr>
        <w:endnoteRef/>
      </w:r>
      <w:r w:rsidRPr="00DE2D9F">
        <w:rPr>
          <w:rFonts w:eastAsia="Calibri"/>
          <w:lang w:val="en-GB"/>
        </w:rPr>
        <w:t xml:space="preserve"> Ibid. </w:t>
      </w:r>
    </w:p>
  </w:endnote>
  <w:endnote w:id="55">
    <w:p w14:paraId="1C7145F9" w14:textId="0DA1C1E3" w:rsidR="00B50CAD" w:rsidRPr="00DE2D9F" w:rsidRDefault="00B50CAD" w:rsidP="00DE2D9F">
      <w:pPr>
        <w:pStyle w:val="Footnote"/>
      </w:pPr>
      <w:r w:rsidRPr="00DE2D9F">
        <w:rPr>
          <w:rStyle w:val="EndnoteReference"/>
          <w:spacing w:val="-4"/>
        </w:rPr>
        <w:endnoteRef/>
      </w:r>
      <w:r w:rsidRPr="00DE2D9F">
        <w:t xml:space="preserve"> Ibid., 65.</w:t>
      </w:r>
    </w:p>
  </w:endnote>
  <w:endnote w:id="56">
    <w:p w14:paraId="5C698714" w14:textId="12CA6B49"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Ibid.</w:t>
      </w:r>
    </w:p>
  </w:endnote>
  <w:endnote w:id="57">
    <w:p w14:paraId="6A8AFC65" w14:textId="201E748F"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Ashwini Chitnis and Shantanu Dixit, “Supreme Court’s Order on ‘Compensatory Tariff’ Powers Accountability and Strengthens Competition,” The Wire, April 20, 2017, accessed November 24, 2020, https://thewire.in/business/supreme-courts-order-compensatory-tariffs-accountability</w:t>
      </w:r>
      <w:r w:rsidRPr="00DE2D9F">
        <w:rPr>
          <w:rStyle w:val="Hyperlink"/>
          <w:color w:val="000000" w:themeColor="text1"/>
          <w:spacing w:val="-4"/>
          <w:u w:val="none"/>
          <w:lang w:val="en-GB"/>
        </w:rPr>
        <w:t xml:space="preserve">; </w:t>
      </w:r>
      <w:r w:rsidRPr="00DE2D9F">
        <w:rPr>
          <w:lang w:val="en-GB"/>
        </w:rPr>
        <w:t>Ghatak and Dasgupta, op. cit.</w:t>
      </w:r>
    </w:p>
  </w:endnote>
  <w:endnote w:id="58">
    <w:p w14:paraId="481C51D3" w14:textId="2DEAD584"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00CE6F14" w:rsidRPr="00DE2D9F">
        <w:rPr>
          <w:lang w:val="en-GB"/>
        </w:rPr>
        <w:t>Commerce GUVNL, Copy of Petition to Be Filed before GERC, EpGL Matter</w:t>
      </w:r>
      <w:r w:rsidRPr="00DE2D9F">
        <w:rPr>
          <w:lang w:val="en-GB"/>
        </w:rPr>
        <w:t>, accessed April 2, 2021</w:t>
      </w:r>
      <w:r w:rsidR="00CE6F14" w:rsidRPr="00DE2D9F">
        <w:rPr>
          <w:lang w:val="en-GB"/>
        </w:rPr>
        <w:t xml:space="preserve">, </w:t>
      </w:r>
      <w:r w:rsidRPr="00DE2D9F">
        <w:rPr>
          <w:lang w:val="en-GB"/>
        </w:rPr>
        <w:t>www.gercin.org/wp-content/uploads/2019/09/petition_1807.pdf</w:t>
      </w:r>
      <w:r w:rsidR="00CE6F14" w:rsidRPr="00DE2D9F">
        <w:rPr>
          <w:lang w:val="en-GB"/>
        </w:rPr>
        <w:t>, 66–321</w:t>
      </w:r>
      <w:r w:rsidR="00240756" w:rsidRPr="00DE2D9F">
        <w:rPr>
          <w:lang w:val="en-GB"/>
        </w:rPr>
        <w:t>.</w:t>
      </w:r>
    </w:p>
  </w:endnote>
  <w:endnote w:id="59">
    <w:p w14:paraId="0AE61004" w14:textId="5CBD4DD0" w:rsidR="00FA0AAF" w:rsidRPr="00DE2D9F" w:rsidRDefault="00FA0AAF" w:rsidP="00DE2D9F">
      <w:pPr>
        <w:pStyle w:val="Footnote"/>
        <w:rPr>
          <w:lang w:val="en-GB"/>
        </w:rPr>
      </w:pPr>
      <w:r w:rsidRPr="00DE2D9F">
        <w:rPr>
          <w:rStyle w:val="EndnoteReference"/>
          <w:color w:val="000000" w:themeColor="text1"/>
          <w:spacing w:val="-4"/>
          <w:lang w:val="en-GB"/>
        </w:rPr>
        <w:endnoteRef/>
      </w:r>
      <w:r w:rsidRPr="00DE2D9F">
        <w:rPr>
          <w:lang w:val="en-GB"/>
        </w:rPr>
        <w:t xml:space="preserve"> </w:t>
      </w:r>
      <w:r w:rsidRPr="00DE2D9F">
        <w:rPr>
          <w:spacing w:val="-4"/>
          <w:lang w:val="en-GB"/>
        </w:rPr>
        <w:t>IANS, “Tata Power to Focus on Renewables for Future Growth,”</w:t>
      </w:r>
      <w:r w:rsidRPr="00DE2D9F">
        <w:rPr>
          <w:rStyle w:val="Hyperlink"/>
          <w:color w:val="000000" w:themeColor="text1"/>
          <w:spacing w:val="-4"/>
          <w:u w:val="none"/>
          <w:lang w:val="en-GB"/>
        </w:rPr>
        <w:t xml:space="preserve"> </w:t>
      </w:r>
      <w:r w:rsidRPr="00DE2D9F">
        <w:rPr>
          <w:rStyle w:val="Hyperlink"/>
          <w:i/>
          <w:iCs/>
          <w:color w:val="000000" w:themeColor="text1"/>
          <w:spacing w:val="-4"/>
          <w:u w:val="none"/>
          <w:lang w:val="en-GB"/>
        </w:rPr>
        <w:t>Economic Times</w:t>
      </w:r>
      <w:r w:rsidRPr="00DE2D9F">
        <w:rPr>
          <w:rStyle w:val="Hyperlink"/>
          <w:color w:val="000000" w:themeColor="text1"/>
          <w:spacing w:val="-4"/>
          <w:u w:val="none"/>
          <w:lang w:val="en-GB"/>
        </w:rPr>
        <w:t>, Au</w:t>
      </w:r>
      <w:r w:rsidRPr="00DE2D9F">
        <w:rPr>
          <w:spacing w:val="-4"/>
          <w:lang w:val="en-GB"/>
        </w:rPr>
        <w:t>gust 1, 2020, accessed</w:t>
      </w:r>
      <w:r w:rsidRPr="00DE2D9F">
        <w:rPr>
          <w:rStyle w:val="Hyperlink"/>
          <w:color w:val="000000" w:themeColor="text1"/>
          <w:spacing w:val="-4"/>
          <w:u w:val="none"/>
          <w:lang w:val="en-GB"/>
        </w:rPr>
        <w:t xml:space="preserve"> </w:t>
      </w:r>
      <w:r w:rsidRPr="00DE2D9F">
        <w:rPr>
          <w:spacing w:val="-4"/>
          <w:lang w:val="en-GB"/>
        </w:rPr>
        <w:t>Feb</w:t>
      </w:r>
      <w:r w:rsidRPr="00DE2D9F">
        <w:rPr>
          <w:rStyle w:val="Hyperlink"/>
          <w:color w:val="000000" w:themeColor="text1"/>
          <w:spacing w:val="-4"/>
          <w:u w:val="none"/>
          <w:lang w:val="en-GB"/>
        </w:rPr>
        <w:t>r</w:t>
      </w:r>
      <w:r w:rsidRPr="00DE2D9F">
        <w:rPr>
          <w:spacing w:val="-4"/>
          <w:lang w:val="en-GB"/>
        </w:rPr>
        <w:t>uary 6, 2021, https://energy.economictimes.indiatimes.com/news/renewable/tata-power-to-focus-on-renewables-for-future-growth/77295529</w:t>
      </w:r>
      <w:r w:rsidRPr="00DE2D9F">
        <w:rPr>
          <w:rStyle w:val="Hyperlink"/>
          <w:color w:val="000000" w:themeColor="text1"/>
          <w:spacing w:val="-4"/>
          <w:u w:val="none"/>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8B90F" w14:textId="77777777" w:rsidR="00717A7C" w:rsidRDefault="00717A7C" w:rsidP="00D75295">
      <w:r>
        <w:separator/>
      </w:r>
    </w:p>
  </w:footnote>
  <w:footnote w:type="continuationSeparator" w:id="0">
    <w:p w14:paraId="461D5C8F" w14:textId="77777777" w:rsidR="00717A7C" w:rsidRDefault="00717A7C" w:rsidP="00D75295">
      <w:r>
        <w:continuationSeparator/>
      </w:r>
    </w:p>
  </w:footnote>
  <w:footnote w:type="continuationNotice" w:id="1">
    <w:p w14:paraId="6A9DE400" w14:textId="77777777" w:rsidR="00717A7C" w:rsidRDefault="00717A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3F5A333" w:rsidR="00FA0AAF" w:rsidRPr="00C92CC4" w:rsidRDefault="00FA0AA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B1709D">
      <w:rPr>
        <w:rFonts w:ascii="Arial" w:hAnsi="Arial"/>
        <w:b/>
      </w:rPr>
      <w:t>9B21M056</w:t>
    </w:r>
  </w:p>
  <w:p w14:paraId="2B53C0A0" w14:textId="77777777" w:rsidR="00FA0AAF" w:rsidRDefault="00FA0AAF" w:rsidP="00D13667">
    <w:pPr>
      <w:pStyle w:val="Header"/>
      <w:tabs>
        <w:tab w:val="clear" w:pos="4680"/>
      </w:tabs>
      <w:rPr>
        <w:sz w:val="18"/>
        <w:szCs w:val="18"/>
      </w:rPr>
    </w:pPr>
  </w:p>
  <w:p w14:paraId="47119730" w14:textId="77777777" w:rsidR="00FA0AAF" w:rsidRPr="00C92CC4" w:rsidRDefault="00FA0AAF"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0F6FD" w14:textId="48034338" w:rsidR="00FA0AAF" w:rsidRPr="00C92CC4" w:rsidRDefault="00FA0AAF" w:rsidP="00A20015">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5E3301">
      <w:rPr>
        <w:rFonts w:ascii="Arial" w:hAnsi="Arial"/>
        <w:b/>
      </w:rPr>
      <w:t>9B21M056</w:t>
    </w:r>
  </w:p>
  <w:p w14:paraId="34C00B1F" w14:textId="77777777" w:rsidR="00FA0AAF" w:rsidRDefault="00FA0AAF" w:rsidP="00A20015">
    <w:pPr>
      <w:pStyle w:val="Header"/>
      <w:tabs>
        <w:tab w:val="clear" w:pos="4680"/>
      </w:tabs>
      <w:rPr>
        <w:sz w:val="18"/>
        <w:szCs w:val="18"/>
      </w:rPr>
    </w:pPr>
  </w:p>
  <w:p w14:paraId="46777B7A" w14:textId="77777777" w:rsidR="00FA0AAF" w:rsidRPr="00C92CC4" w:rsidRDefault="00FA0AAF" w:rsidP="00A20015">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3DBF4" w14:textId="4DE420BB" w:rsidR="005E3301" w:rsidRPr="00C92CC4" w:rsidRDefault="005E3301" w:rsidP="00A20015">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9B21M056</w:t>
    </w:r>
  </w:p>
  <w:p w14:paraId="55CA20E4" w14:textId="77777777" w:rsidR="005E3301" w:rsidRDefault="005E3301" w:rsidP="00A20015">
    <w:pPr>
      <w:pStyle w:val="Header"/>
      <w:tabs>
        <w:tab w:val="clear" w:pos="4680"/>
      </w:tabs>
      <w:rPr>
        <w:sz w:val="18"/>
        <w:szCs w:val="18"/>
      </w:rPr>
    </w:pPr>
  </w:p>
  <w:p w14:paraId="465CB168" w14:textId="77777777" w:rsidR="005E3301" w:rsidRPr="00C92CC4" w:rsidRDefault="005E3301" w:rsidP="00A20015">
    <w:pPr>
      <w:pStyle w:val="Header"/>
      <w:tabs>
        <w:tab w:val="clear" w:pos="468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BAEA2" w14:textId="6A0583F3" w:rsidR="005E3301" w:rsidRPr="00C92CC4" w:rsidRDefault="005E3301" w:rsidP="00A20015">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9B21M056</w:t>
    </w:r>
  </w:p>
  <w:p w14:paraId="0BA72D42" w14:textId="77777777" w:rsidR="005E3301" w:rsidRDefault="005E3301" w:rsidP="00A20015">
    <w:pPr>
      <w:pStyle w:val="Header"/>
      <w:tabs>
        <w:tab w:val="clear" w:pos="4680"/>
      </w:tabs>
      <w:rPr>
        <w:sz w:val="18"/>
        <w:szCs w:val="18"/>
      </w:rPr>
    </w:pPr>
  </w:p>
  <w:p w14:paraId="277FFD7E" w14:textId="77777777" w:rsidR="005E3301" w:rsidRPr="00C92CC4" w:rsidRDefault="005E3301" w:rsidP="00A20015">
    <w:pPr>
      <w:pStyle w:val="Header"/>
      <w:tabs>
        <w:tab w:val="clear" w:pos="4680"/>
      </w:tabs>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343E" w14:textId="5719A310" w:rsidR="00FA0AAF" w:rsidRPr="00C92CC4" w:rsidRDefault="00FA0AAF" w:rsidP="00C86F36">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5E3301">
      <w:rPr>
        <w:rFonts w:ascii="Arial" w:hAnsi="Arial"/>
        <w:b/>
      </w:rPr>
      <w:t>9B21M056</w:t>
    </w:r>
  </w:p>
  <w:p w14:paraId="300A3851" w14:textId="77777777" w:rsidR="00FA0AAF" w:rsidRDefault="00FA0AAF" w:rsidP="00C86F36">
    <w:pPr>
      <w:pStyle w:val="Header"/>
      <w:tabs>
        <w:tab w:val="clear" w:pos="4680"/>
      </w:tabs>
      <w:rPr>
        <w:sz w:val="18"/>
        <w:szCs w:val="18"/>
      </w:rPr>
    </w:pPr>
  </w:p>
  <w:p w14:paraId="131F56C4" w14:textId="77777777" w:rsidR="00FA0AAF" w:rsidRPr="00C92CC4" w:rsidRDefault="00FA0AAF" w:rsidP="00C86F36">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462C"/>
    <w:multiLevelType w:val="hybridMultilevel"/>
    <w:tmpl w:val="24F2E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1"/>
  </w:num>
  <w:num w:numId="8">
    <w:abstractNumId w:val="12"/>
  </w:num>
  <w:num w:numId="9">
    <w:abstractNumId w:val="9"/>
  </w:num>
  <w:num w:numId="10">
    <w:abstractNumId w:val="2"/>
  </w:num>
  <w:num w:numId="11">
    <w:abstractNumId w:val="6"/>
  </w:num>
  <w:num w:numId="12">
    <w:abstractNumId w:val="7"/>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zMzQwMLE0MzU0NjZV0lEKTi0uzszPAymwqAUANJe5BCwAAAA="/>
  </w:docVars>
  <w:rsids>
    <w:rsidRoot w:val="008A4DC4"/>
    <w:rsid w:val="0000085A"/>
    <w:rsid w:val="000014FD"/>
    <w:rsid w:val="000019C7"/>
    <w:rsid w:val="00006C2E"/>
    <w:rsid w:val="000119BE"/>
    <w:rsid w:val="00011FC5"/>
    <w:rsid w:val="00012A1E"/>
    <w:rsid w:val="00013105"/>
    <w:rsid w:val="00013360"/>
    <w:rsid w:val="00014594"/>
    <w:rsid w:val="00016759"/>
    <w:rsid w:val="0001684D"/>
    <w:rsid w:val="00020FF6"/>
    <w:rsid w:val="000216CE"/>
    <w:rsid w:val="00024ED4"/>
    <w:rsid w:val="00025DC7"/>
    <w:rsid w:val="000313CE"/>
    <w:rsid w:val="00031D5F"/>
    <w:rsid w:val="00035F09"/>
    <w:rsid w:val="00041747"/>
    <w:rsid w:val="0004327D"/>
    <w:rsid w:val="00044ECC"/>
    <w:rsid w:val="0005234A"/>
    <w:rsid w:val="00052FB6"/>
    <w:rsid w:val="000531D3"/>
    <w:rsid w:val="000555FF"/>
    <w:rsid w:val="0005646B"/>
    <w:rsid w:val="00056990"/>
    <w:rsid w:val="000615D1"/>
    <w:rsid w:val="000643A7"/>
    <w:rsid w:val="00064688"/>
    <w:rsid w:val="00064FE9"/>
    <w:rsid w:val="0006695A"/>
    <w:rsid w:val="000707A4"/>
    <w:rsid w:val="000728BB"/>
    <w:rsid w:val="00072C3E"/>
    <w:rsid w:val="00075B42"/>
    <w:rsid w:val="0008065F"/>
    <w:rsid w:val="0008102D"/>
    <w:rsid w:val="00082624"/>
    <w:rsid w:val="00083C0F"/>
    <w:rsid w:val="00085DE9"/>
    <w:rsid w:val="00086B26"/>
    <w:rsid w:val="000877F6"/>
    <w:rsid w:val="0009369E"/>
    <w:rsid w:val="00093C0A"/>
    <w:rsid w:val="00094C0E"/>
    <w:rsid w:val="000A146D"/>
    <w:rsid w:val="000A15C6"/>
    <w:rsid w:val="000A2894"/>
    <w:rsid w:val="000A338F"/>
    <w:rsid w:val="000A5DE1"/>
    <w:rsid w:val="000B4430"/>
    <w:rsid w:val="000B7D34"/>
    <w:rsid w:val="000C384D"/>
    <w:rsid w:val="000C7C47"/>
    <w:rsid w:val="000D2A2F"/>
    <w:rsid w:val="000D7091"/>
    <w:rsid w:val="000D70ED"/>
    <w:rsid w:val="000E048D"/>
    <w:rsid w:val="000E0B0E"/>
    <w:rsid w:val="000E389A"/>
    <w:rsid w:val="000E4571"/>
    <w:rsid w:val="000F0C22"/>
    <w:rsid w:val="000F1216"/>
    <w:rsid w:val="000F6B09"/>
    <w:rsid w:val="000F6FDC"/>
    <w:rsid w:val="00101AAA"/>
    <w:rsid w:val="0010297D"/>
    <w:rsid w:val="00104567"/>
    <w:rsid w:val="00104916"/>
    <w:rsid w:val="00104AA7"/>
    <w:rsid w:val="00104C71"/>
    <w:rsid w:val="00105673"/>
    <w:rsid w:val="00107A92"/>
    <w:rsid w:val="00107AB0"/>
    <w:rsid w:val="00107BEB"/>
    <w:rsid w:val="00110D23"/>
    <w:rsid w:val="00114194"/>
    <w:rsid w:val="00125658"/>
    <w:rsid w:val="001261D8"/>
    <w:rsid w:val="0012732D"/>
    <w:rsid w:val="00131D63"/>
    <w:rsid w:val="00134628"/>
    <w:rsid w:val="00136332"/>
    <w:rsid w:val="00143F25"/>
    <w:rsid w:val="00144C97"/>
    <w:rsid w:val="00147F85"/>
    <w:rsid w:val="00151598"/>
    <w:rsid w:val="00152682"/>
    <w:rsid w:val="00153C1B"/>
    <w:rsid w:val="00153DFF"/>
    <w:rsid w:val="00153F58"/>
    <w:rsid w:val="001543C2"/>
    <w:rsid w:val="001548BB"/>
    <w:rsid w:val="00154FC9"/>
    <w:rsid w:val="00160E61"/>
    <w:rsid w:val="00165B03"/>
    <w:rsid w:val="00165C74"/>
    <w:rsid w:val="00170F4C"/>
    <w:rsid w:val="00171369"/>
    <w:rsid w:val="00173FE3"/>
    <w:rsid w:val="001808BE"/>
    <w:rsid w:val="001817AA"/>
    <w:rsid w:val="00183A29"/>
    <w:rsid w:val="00185B56"/>
    <w:rsid w:val="0018724A"/>
    <w:rsid w:val="00187AD7"/>
    <w:rsid w:val="001901C0"/>
    <w:rsid w:val="0019241A"/>
    <w:rsid w:val="00192A18"/>
    <w:rsid w:val="001A068E"/>
    <w:rsid w:val="001A0A30"/>
    <w:rsid w:val="001A0EE3"/>
    <w:rsid w:val="001A10E6"/>
    <w:rsid w:val="001A22D1"/>
    <w:rsid w:val="001A752D"/>
    <w:rsid w:val="001A757E"/>
    <w:rsid w:val="001B11E3"/>
    <w:rsid w:val="001B337E"/>
    <w:rsid w:val="001B4347"/>
    <w:rsid w:val="001B5032"/>
    <w:rsid w:val="001C68F4"/>
    <w:rsid w:val="001C6A1D"/>
    <w:rsid w:val="001C6C3B"/>
    <w:rsid w:val="001C7777"/>
    <w:rsid w:val="001C7A7F"/>
    <w:rsid w:val="001D344B"/>
    <w:rsid w:val="001D348D"/>
    <w:rsid w:val="001D55A5"/>
    <w:rsid w:val="001E0828"/>
    <w:rsid w:val="001E297F"/>
    <w:rsid w:val="001E364F"/>
    <w:rsid w:val="001E3E2B"/>
    <w:rsid w:val="001E57F1"/>
    <w:rsid w:val="001F0CFC"/>
    <w:rsid w:val="001F4222"/>
    <w:rsid w:val="001F6D0E"/>
    <w:rsid w:val="00200057"/>
    <w:rsid w:val="00200774"/>
    <w:rsid w:val="00200ED7"/>
    <w:rsid w:val="002020AF"/>
    <w:rsid w:val="00202D65"/>
    <w:rsid w:val="00202F4A"/>
    <w:rsid w:val="00203AA1"/>
    <w:rsid w:val="0020540C"/>
    <w:rsid w:val="00206A6F"/>
    <w:rsid w:val="00213473"/>
    <w:rsid w:val="00213E98"/>
    <w:rsid w:val="00215882"/>
    <w:rsid w:val="00220EA1"/>
    <w:rsid w:val="00222FAE"/>
    <w:rsid w:val="002230CD"/>
    <w:rsid w:val="002265FA"/>
    <w:rsid w:val="00230150"/>
    <w:rsid w:val="0023081A"/>
    <w:rsid w:val="002318E4"/>
    <w:rsid w:val="00233111"/>
    <w:rsid w:val="0023761C"/>
    <w:rsid w:val="00240756"/>
    <w:rsid w:val="00240D3B"/>
    <w:rsid w:val="002455C1"/>
    <w:rsid w:val="002515B3"/>
    <w:rsid w:val="00252ADD"/>
    <w:rsid w:val="00252FE8"/>
    <w:rsid w:val="0025409E"/>
    <w:rsid w:val="00256AE4"/>
    <w:rsid w:val="00260E93"/>
    <w:rsid w:val="0026233F"/>
    <w:rsid w:val="00265099"/>
    <w:rsid w:val="00265FA8"/>
    <w:rsid w:val="002664CA"/>
    <w:rsid w:val="00270080"/>
    <w:rsid w:val="0027139A"/>
    <w:rsid w:val="00274049"/>
    <w:rsid w:val="002746BE"/>
    <w:rsid w:val="00276024"/>
    <w:rsid w:val="00277CCB"/>
    <w:rsid w:val="0028293D"/>
    <w:rsid w:val="00287761"/>
    <w:rsid w:val="00290F92"/>
    <w:rsid w:val="00291BCB"/>
    <w:rsid w:val="0029458A"/>
    <w:rsid w:val="00294CE2"/>
    <w:rsid w:val="00295893"/>
    <w:rsid w:val="00296B31"/>
    <w:rsid w:val="002974BA"/>
    <w:rsid w:val="00297F8F"/>
    <w:rsid w:val="002A2494"/>
    <w:rsid w:val="002A448F"/>
    <w:rsid w:val="002A52BF"/>
    <w:rsid w:val="002A7123"/>
    <w:rsid w:val="002B01C3"/>
    <w:rsid w:val="002B1993"/>
    <w:rsid w:val="002B1DA4"/>
    <w:rsid w:val="002B36D1"/>
    <w:rsid w:val="002B40FF"/>
    <w:rsid w:val="002B6F8B"/>
    <w:rsid w:val="002B7753"/>
    <w:rsid w:val="002C06C4"/>
    <w:rsid w:val="002C25AF"/>
    <w:rsid w:val="002C4E29"/>
    <w:rsid w:val="002C4ECE"/>
    <w:rsid w:val="002C7215"/>
    <w:rsid w:val="002C7997"/>
    <w:rsid w:val="002D1436"/>
    <w:rsid w:val="002D432B"/>
    <w:rsid w:val="002D5C29"/>
    <w:rsid w:val="002D7F1F"/>
    <w:rsid w:val="002E5198"/>
    <w:rsid w:val="002E768A"/>
    <w:rsid w:val="002F01D3"/>
    <w:rsid w:val="002F273E"/>
    <w:rsid w:val="002F460C"/>
    <w:rsid w:val="002F48D6"/>
    <w:rsid w:val="002F612F"/>
    <w:rsid w:val="00302AB1"/>
    <w:rsid w:val="003061A6"/>
    <w:rsid w:val="0030677F"/>
    <w:rsid w:val="00317391"/>
    <w:rsid w:val="00320853"/>
    <w:rsid w:val="00320A77"/>
    <w:rsid w:val="003219F5"/>
    <w:rsid w:val="00326216"/>
    <w:rsid w:val="00327608"/>
    <w:rsid w:val="00330F74"/>
    <w:rsid w:val="00332695"/>
    <w:rsid w:val="00335930"/>
    <w:rsid w:val="00335AAB"/>
    <w:rsid w:val="00336580"/>
    <w:rsid w:val="00336A1E"/>
    <w:rsid w:val="003375AF"/>
    <w:rsid w:val="0033785D"/>
    <w:rsid w:val="00340F32"/>
    <w:rsid w:val="003410A8"/>
    <w:rsid w:val="0034498A"/>
    <w:rsid w:val="00352411"/>
    <w:rsid w:val="00354899"/>
    <w:rsid w:val="00355CC0"/>
    <w:rsid w:val="00355FD6"/>
    <w:rsid w:val="003649E7"/>
    <w:rsid w:val="00364A5C"/>
    <w:rsid w:val="0036718C"/>
    <w:rsid w:val="00367DB8"/>
    <w:rsid w:val="00371CFC"/>
    <w:rsid w:val="00373FB1"/>
    <w:rsid w:val="0037418B"/>
    <w:rsid w:val="003829FE"/>
    <w:rsid w:val="00382E70"/>
    <w:rsid w:val="003859EC"/>
    <w:rsid w:val="003910E2"/>
    <w:rsid w:val="0039111B"/>
    <w:rsid w:val="00396C76"/>
    <w:rsid w:val="00396D15"/>
    <w:rsid w:val="00397136"/>
    <w:rsid w:val="003A74FD"/>
    <w:rsid w:val="003A7821"/>
    <w:rsid w:val="003A7F4F"/>
    <w:rsid w:val="003B03CA"/>
    <w:rsid w:val="003B0B24"/>
    <w:rsid w:val="003B0C69"/>
    <w:rsid w:val="003B2F16"/>
    <w:rsid w:val="003B30D8"/>
    <w:rsid w:val="003B3B2A"/>
    <w:rsid w:val="003B3C75"/>
    <w:rsid w:val="003B5624"/>
    <w:rsid w:val="003B6D43"/>
    <w:rsid w:val="003B7EF2"/>
    <w:rsid w:val="003C0D8C"/>
    <w:rsid w:val="003C0FCE"/>
    <w:rsid w:val="003C1096"/>
    <w:rsid w:val="003C3FA4"/>
    <w:rsid w:val="003C4C3D"/>
    <w:rsid w:val="003D0BA1"/>
    <w:rsid w:val="003D0EDF"/>
    <w:rsid w:val="003D15E5"/>
    <w:rsid w:val="003D2520"/>
    <w:rsid w:val="003D6A3B"/>
    <w:rsid w:val="003D7D5D"/>
    <w:rsid w:val="003E4268"/>
    <w:rsid w:val="003E6FA7"/>
    <w:rsid w:val="003F01CF"/>
    <w:rsid w:val="003F09E5"/>
    <w:rsid w:val="003F1864"/>
    <w:rsid w:val="003F190C"/>
    <w:rsid w:val="003F226F"/>
    <w:rsid w:val="003F2B0C"/>
    <w:rsid w:val="003F56AA"/>
    <w:rsid w:val="003F6681"/>
    <w:rsid w:val="004001AC"/>
    <w:rsid w:val="00400C47"/>
    <w:rsid w:val="0040148A"/>
    <w:rsid w:val="00404289"/>
    <w:rsid w:val="004105B2"/>
    <w:rsid w:val="0041145A"/>
    <w:rsid w:val="004114A4"/>
    <w:rsid w:val="004115DD"/>
    <w:rsid w:val="00412900"/>
    <w:rsid w:val="00417BF4"/>
    <w:rsid w:val="004221E4"/>
    <w:rsid w:val="004234D3"/>
    <w:rsid w:val="004267CA"/>
    <w:rsid w:val="004273F8"/>
    <w:rsid w:val="004355A3"/>
    <w:rsid w:val="00436D94"/>
    <w:rsid w:val="00440746"/>
    <w:rsid w:val="00440F45"/>
    <w:rsid w:val="004411A0"/>
    <w:rsid w:val="00443CDB"/>
    <w:rsid w:val="00443FFA"/>
    <w:rsid w:val="004451BA"/>
    <w:rsid w:val="00445DA5"/>
    <w:rsid w:val="00446546"/>
    <w:rsid w:val="00452769"/>
    <w:rsid w:val="00452A2C"/>
    <w:rsid w:val="00452C47"/>
    <w:rsid w:val="00452D63"/>
    <w:rsid w:val="00454FA7"/>
    <w:rsid w:val="00455B8F"/>
    <w:rsid w:val="00455C0D"/>
    <w:rsid w:val="0045793E"/>
    <w:rsid w:val="00461848"/>
    <w:rsid w:val="00461F4F"/>
    <w:rsid w:val="00463D88"/>
    <w:rsid w:val="00464224"/>
    <w:rsid w:val="004645E6"/>
    <w:rsid w:val="00464C93"/>
    <w:rsid w:val="00465348"/>
    <w:rsid w:val="00467DDB"/>
    <w:rsid w:val="00471D1D"/>
    <w:rsid w:val="00473AE9"/>
    <w:rsid w:val="00475491"/>
    <w:rsid w:val="00477633"/>
    <w:rsid w:val="00477ED4"/>
    <w:rsid w:val="00480927"/>
    <w:rsid w:val="00480B34"/>
    <w:rsid w:val="00484134"/>
    <w:rsid w:val="004856D0"/>
    <w:rsid w:val="00494150"/>
    <w:rsid w:val="00494F47"/>
    <w:rsid w:val="00495F85"/>
    <w:rsid w:val="00495FEA"/>
    <w:rsid w:val="004979A5"/>
    <w:rsid w:val="004A25E0"/>
    <w:rsid w:val="004A6C6B"/>
    <w:rsid w:val="004A7907"/>
    <w:rsid w:val="004A7E04"/>
    <w:rsid w:val="004B01F3"/>
    <w:rsid w:val="004B1CCB"/>
    <w:rsid w:val="004B27A4"/>
    <w:rsid w:val="004B2CB4"/>
    <w:rsid w:val="004B2DCB"/>
    <w:rsid w:val="004B5493"/>
    <w:rsid w:val="004B632F"/>
    <w:rsid w:val="004B75DC"/>
    <w:rsid w:val="004C0D56"/>
    <w:rsid w:val="004C405A"/>
    <w:rsid w:val="004C5A50"/>
    <w:rsid w:val="004D282A"/>
    <w:rsid w:val="004D3DCC"/>
    <w:rsid w:val="004D3FB1"/>
    <w:rsid w:val="004D5A62"/>
    <w:rsid w:val="004D657A"/>
    <w:rsid w:val="004D6F21"/>
    <w:rsid w:val="004D7292"/>
    <w:rsid w:val="004D73A5"/>
    <w:rsid w:val="004D7CDB"/>
    <w:rsid w:val="004E5C65"/>
    <w:rsid w:val="004F70F7"/>
    <w:rsid w:val="004F717E"/>
    <w:rsid w:val="00510CEF"/>
    <w:rsid w:val="005160F1"/>
    <w:rsid w:val="00516F19"/>
    <w:rsid w:val="00517283"/>
    <w:rsid w:val="00517439"/>
    <w:rsid w:val="00521E53"/>
    <w:rsid w:val="00524B7B"/>
    <w:rsid w:val="00524F2F"/>
    <w:rsid w:val="00527E5C"/>
    <w:rsid w:val="00530EA1"/>
    <w:rsid w:val="00532CF5"/>
    <w:rsid w:val="00532FE0"/>
    <w:rsid w:val="00533310"/>
    <w:rsid w:val="00542335"/>
    <w:rsid w:val="00544763"/>
    <w:rsid w:val="0054621E"/>
    <w:rsid w:val="00547221"/>
    <w:rsid w:val="005528CB"/>
    <w:rsid w:val="005552B7"/>
    <w:rsid w:val="00565B35"/>
    <w:rsid w:val="00566771"/>
    <w:rsid w:val="00570D01"/>
    <w:rsid w:val="00570E21"/>
    <w:rsid w:val="00571186"/>
    <w:rsid w:val="00571C5D"/>
    <w:rsid w:val="00573DCF"/>
    <w:rsid w:val="00577B7D"/>
    <w:rsid w:val="00580E43"/>
    <w:rsid w:val="00581E2E"/>
    <w:rsid w:val="00584F15"/>
    <w:rsid w:val="0058513A"/>
    <w:rsid w:val="005862D5"/>
    <w:rsid w:val="0059482B"/>
    <w:rsid w:val="0059514B"/>
    <w:rsid w:val="005A0FDC"/>
    <w:rsid w:val="005A1B0F"/>
    <w:rsid w:val="005A6283"/>
    <w:rsid w:val="005A6F7C"/>
    <w:rsid w:val="005A77C3"/>
    <w:rsid w:val="005A788E"/>
    <w:rsid w:val="005B00B0"/>
    <w:rsid w:val="005B18EA"/>
    <w:rsid w:val="005B4CE6"/>
    <w:rsid w:val="005B5EFE"/>
    <w:rsid w:val="005B639E"/>
    <w:rsid w:val="005B6FCD"/>
    <w:rsid w:val="005C335C"/>
    <w:rsid w:val="005C33B0"/>
    <w:rsid w:val="005C3DB8"/>
    <w:rsid w:val="005C439F"/>
    <w:rsid w:val="005C5FD6"/>
    <w:rsid w:val="005D30D7"/>
    <w:rsid w:val="005E19AA"/>
    <w:rsid w:val="005E3301"/>
    <w:rsid w:val="005E4AE4"/>
    <w:rsid w:val="005E545D"/>
    <w:rsid w:val="005F4332"/>
    <w:rsid w:val="005F5505"/>
    <w:rsid w:val="005F6462"/>
    <w:rsid w:val="005F6BD3"/>
    <w:rsid w:val="005F6C20"/>
    <w:rsid w:val="00604610"/>
    <w:rsid w:val="00605752"/>
    <w:rsid w:val="00605E23"/>
    <w:rsid w:val="00610BF9"/>
    <w:rsid w:val="00611EF9"/>
    <w:rsid w:val="00612B3F"/>
    <w:rsid w:val="006163F7"/>
    <w:rsid w:val="00616D3A"/>
    <w:rsid w:val="00620B2C"/>
    <w:rsid w:val="00620E32"/>
    <w:rsid w:val="006210CB"/>
    <w:rsid w:val="00621791"/>
    <w:rsid w:val="00623DEC"/>
    <w:rsid w:val="006242F7"/>
    <w:rsid w:val="00624E3B"/>
    <w:rsid w:val="00627C63"/>
    <w:rsid w:val="00632714"/>
    <w:rsid w:val="00633368"/>
    <w:rsid w:val="0063350B"/>
    <w:rsid w:val="00633F71"/>
    <w:rsid w:val="006348BB"/>
    <w:rsid w:val="0063720F"/>
    <w:rsid w:val="00640808"/>
    <w:rsid w:val="0064444E"/>
    <w:rsid w:val="00652606"/>
    <w:rsid w:val="00656A95"/>
    <w:rsid w:val="00656D04"/>
    <w:rsid w:val="00662499"/>
    <w:rsid w:val="0066529E"/>
    <w:rsid w:val="006737CA"/>
    <w:rsid w:val="00674A6C"/>
    <w:rsid w:val="00680056"/>
    <w:rsid w:val="00681801"/>
    <w:rsid w:val="00681A6E"/>
    <w:rsid w:val="006848A3"/>
    <w:rsid w:val="00684B1A"/>
    <w:rsid w:val="006905EA"/>
    <w:rsid w:val="00692565"/>
    <w:rsid w:val="00692ACF"/>
    <w:rsid w:val="00692FF3"/>
    <w:rsid w:val="0069449A"/>
    <w:rsid w:val="006946EE"/>
    <w:rsid w:val="0069667C"/>
    <w:rsid w:val="0069738B"/>
    <w:rsid w:val="006A3A35"/>
    <w:rsid w:val="006A58A9"/>
    <w:rsid w:val="006A606D"/>
    <w:rsid w:val="006A6786"/>
    <w:rsid w:val="006B2C94"/>
    <w:rsid w:val="006B3671"/>
    <w:rsid w:val="006B48A3"/>
    <w:rsid w:val="006C0371"/>
    <w:rsid w:val="006C08B6"/>
    <w:rsid w:val="006C0B1A"/>
    <w:rsid w:val="006C0C91"/>
    <w:rsid w:val="006C5439"/>
    <w:rsid w:val="006C6065"/>
    <w:rsid w:val="006C7F9F"/>
    <w:rsid w:val="006D285F"/>
    <w:rsid w:val="006D368F"/>
    <w:rsid w:val="006D7151"/>
    <w:rsid w:val="006E0ECC"/>
    <w:rsid w:val="006E237F"/>
    <w:rsid w:val="006E2CBA"/>
    <w:rsid w:val="006E2F6D"/>
    <w:rsid w:val="006E363E"/>
    <w:rsid w:val="006E58F6"/>
    <w:rsid w:val="006E77E1"/>
    <w:rsid w:val="006F131D"/>
    <w:rsid w:val="006F57F7"/>
    <w:rsid w:val="00702EA9"/>
    <w:rsid w:val="00703C07"/>
    <w:rsid w:val="00706D9F"/>
    <w:rsid w:val="007072EF"/>
    <w:rsid w:val="00707977"/>
    <w:rsid w:val="00710500"/>
    <w:rsid w:val="00711642"/>
    <w:rsid w:val="0071569A"/>
    <w:rsid w:val="00716B22"/>
    <w:rsid w:val="00717A7C"/>
    <w:rsid w:val="00717AFD"/>
    <w:rsid w:val="0072189B"/>
    <w:rsid w:val="00722FF8"/>
    <w:rsid w:val="007230BC"/>
    <w:rsid w:val="0072659E"/>
    <w:rsid w:val="00727313"/>
    <w:rsid w:val="00737AD6"/>
    <w:rsid w:val="0074207B"/>
    <w:rsid w:val="007438D9"/>
    <w:rsid w:val="00743912"/>
    <w:rsid w:val="00746322"/>
    <w:rsid w:val="007507C6"/>
    <w:rsid w:val="00751076"/>
    <w:rsid w:val="00751E0B"/>
    <w:rsid w:val="00752BCD"/>
    <w:rsid w:val="00752E2D"/>
    <w:rsid w:val="00755E97"/>
    <w:rsid w:val="00756857"/>
    <w:rsid w:val="00757201"/>
    <w:rsid w:val="00766DA1"/>
    <w:rsid w:val="00767E5A"/>
    <w:rsid w:val="00773EC6"/>
    <w:rsid w:val="00775E66"/>
    <w:rsid w:val="00777CBF"/>
    <w:rsid w:val="00777FAB"/>
    <w:rsid w:val="00780D94"/>
    <w:rsid w:val="0078537C"/>
    <w:rsid w:val="007866A6"/>
    <w:rsid w:val="00787F56"/>
    <w:rsid w:val="00793FA1"/>
    <w:rsid w:val="007A130D"/>
    <w:rsid w:val="007A17B4"/>
    <w:rsid w:val="007A1FE0"/>
    <w:rsid w:val="007A4814"/>
    <w:rsid w:val="007A719B"/>
    <w:rsid w:val="007B0C7B"/>
    <w:rsid w:val="007B1D9B"/>
    <w:rsid w:val="007B2C51"/>
    <w:rsid w:val="007B3C85"/>
    <w:rsid w:val="007B4A71"/>
    <w:rsid w:val="007B60C0"/>
    <w:rsid w:val="007B7AEA"/>
    <w:rsid w:val="007C30DE"/>
    <w:rsid w:val="007C4644"/>
    <w:rsid w:val="007D12AC"/>
    <w:rsid w:val="007D1A2D"/>
    <w:rsid w:val="007D32E6"/>
    <w:rsid w:val="007D4102"/>
    <w:rsid w:val="007D59A3"/>
    <w:rsid w:val="007E1E17"/>
    <w:rsid w:val="007E2B2A"/>
    <w:rsid w:val="007E355F"/>
    <w:rsid w:val="007E3DEB"/>
    <w:rsid w:val="007E4294"/>
    <w:rsid w:val="007E458A"/>
    <w:rsid w:val="007E4706"/>
    <w:rsid w:val="007E530E"/>
    <w:rsid w:val="007E54A7"/>
    <w:rsid w:val="007E71C1"/>
    <w:rsid w:val="007E7BE0"/>
    <w:rsid w:val="007F198D"/>
    <w:rsid w:val="007F3D6B"/>
    <w:rsid w:val="007F3F52"/>
    <w:rsid w:val="007F43B7"/>
    <w:rsid w:val="007F5603"/>
    <w:rsid w:val="007F71B4"/>
    <w:rsid w:val="0080183F"/>
    <w:rsid w:val="0080225E"/>
    <w:rsid w:val="008023F4"/>
    <w:rsid w:val="008038E0"/>
    <w:rsid w:val="00805DFC"/>
    <w:rsid w:val="008108FD"/>
    <w:rsid w:val="008111F1"/>
    <w:rsid w:val="00817790"/>
    <w:rsid w:val="00821FFC"/>
    <w:rsid w:val="00825C60"/>
    <w:rsid w:val="008268FD"/>
    <w:rsid w:val="008271CA"/>
    <w:rsid w:val="00827557"/>
    <w:rsid w:val="0082769B"/>
    <w:rsid w:val="00830D84"/>
    <w:rsid w:val="00832402"/>
    <w:rsid w:val="00832E69"/>
    <w:rsid w:val="00833125"/>
    <w:rsid w:val="00835816"/>
    <w:rsid w:val="008407BF"/>
    <w:rsid w:val="00841A9D"/>
    <w:rsid w:val="00844109"/>
    <w:rsid w:val="008467D5"/>
    <w:rsid w:val="00847E4B"/>
    <w:rsid w:val="008519E9"/>
    <w:rsid w:val="0085200F"/>
    <w:rsid w:val="008610E5"/>
    <w:rsid w:val="00861755"/>
    <w:rsid w:val="00863103"/>
    <w:rsid w:val="008636E2"/>
    <w:rsid w:val="008644A8"/>
    <w:rsid w:val="0086751C"/>
    <w:rsid w:val="00867BF8"/>
    <w:rsid w:val="00877C8B"/>
    <w:rsid w:val="0088474B"/>
    <w:rsid w:val="00885110"/>
    <w:rsid w:val="008954A1"/>
    <w:rsid w:val="00896B80"/>
    <w:rsid w:val="00896CA2"/>
    <w:rsid w:val="008A06A3"/>
    <w:rsid w:val="008A1399"/>
    <w:rsid w:val="008A4DC4"/>
    <w:rsid w:val="008B03FB"/>
    <w:rsid w:val="008B438C"/>
    <w:rsid w:val="008B55FD"/>
    <w:rsid w:val="008B6900"/>
    <w:rsid w:val="008C0C74"/>
    <w:rsid w:val="008C35B0"/>
    <w:rsid w:val="008C77B2"/>
    <w:rsid w:val="008D06CA"/>
    <w:rsid w:val="008D08A9"/>
    <w:rsid w:val="008D3A46"/>
    <w:rsid w:val="008D590B"/>
    <w:rsid w:val="008E031A"/>
    <w:rsid w:val="008E69A5"/>
    <w:rsid w:val="008E7A34"/>
    <w:rsid w:val="008F2385"/>
    <w:rsid w:val="008F23E2"/>
    <w:rsid w:val="008F2475"/>
    <w:rsid w:val="008F43A6"/>
    <w:rsid w:val="008F4C4A"/>
    <w:rsid w:val="008F538A"/>
    <w:rsid w:val="008F5595"/>
    <w:rsid w:val="008F6BE1"/>
    <w:rsid w:val="009012D2"/>
    <w:rsid w:val="009055CD"/>
    <w:rsid w:val="00905DED"/>
    <w:rsid w:val="009066B2"/>
    <w:rsid w:val="009067A4"/>
    <w:rsid w:val="00907A43"/>
    <w:rsid w:val="00907F8D"/>
    <w:rsid w:val="00911E8B"/>
    <w:rsid w:val="00913099"/>
    <w:rsid w:val="00913C0E"/>
    <w:rsid w:val="00914F13"/>
    <w:rsid w:val="009177AF"/>
    <w:rsid w:val="00920CE1"/>
    <w:rsid w:val="00921D64"/>
    <w:rsid w:val="00921E12"/>
    <w:rsid w:val="00924905"/>
    <w:rsid w:val="00924F03"/>
    <w:rsid w:val="00930780"/>
    <w:rsid w:val="00930885"/>
    <w:rsid w:val="00931843"/>
    <w:rsid w:val="00933B66"/>
    <w:rsid w:val="00933D68"/>
    <w:rsid w:val="009340DB"/>
    <w:rsid w:val="00935E24"/>
    <w:rsid w:val="00940F7F"/>
    <w:rsid w:val="00944F1A"/>
    <w:rsid w:val="0094618C"/>
    <w:rsid w:val="00946BA4"/>
    <w:rsid w:val="00947489"/>
    <w:rsid w:val="0095094E"/>
    <w:rsid w:val="009519E6"/>
    <w:rsid w:val="009520D5"/>
    <w:rsid w:val="0095684B"/>
    <w:rsid w:val="00956B9D"/>
    <w:rsid w:val="009571A3"/>
    <w:rsid w:val="00960571"/>
    <w:rsid w:val="009670CA"/>
    <w:rsid w:val="00972498"/>
    <w:rsid w:val="0097481F"/>
    <w:rsid w:val="00974CC6"/>
    <w:rsid w:val="009761E9"/>
    <w:rsid w:val="00976370"/>
    <w:rsid w:val="00976AD4"/>
    <w:rsid w:val="00977FED"/>
    <w:rsid w:val="00982F7B"/>
    <w:rsid w:val="009833E9"/>
    <w:rsid w:val="00986510"/>
    <w:rsid w:val="00991BD3"/>
    <w:rsid w:val="009940BC"/>
    <w:rsid w:val="00995547"/>
    <w:rsid w:val="00995BB4"/>
    <w:rsid w:val="00996036"/>
    <w:rsid w:val="00997DE0"/>
    <w:rsid w:val="009A312F"/>
    <w:rsid w:val="009A3184"/>
    <w:rsid w:val="009A3C2C"/>
    <w:rsid w:val="009A5348"/>
    <w:rsid w:val="009A5DF2"/>
    <w:rsid w:val="009A6B3F"/>
    <w:rsid w:val="009A7238"/>
    <w:rsid w:val="009A7678"/>
    <w:rsid w:val="009A7FD7"/>
    <w:rsid w:val="009B03C1"/>
    <w:rsid w:val="009B0AB7"/>
    <w:rsid w:val="009B1D66"/>
    <w:rsid w:val="009B2F87"/>
    <w:rsid w:val="009B4134"/>
    <w:rsid w:val="009B6CEC"/>
    <w:rsid w:val="009B71F3"/>
    <w:rsid w:val="009C58AC"/>
    <w:rsid w:val="009C627F"/>
    <w:rsid w:val="009C76D5"/>
    <w:rsid w:val="009D7713"/>
    <w:rsid w:val="009E0E06"/>
    <w:rsid w:val="009E4582"/>
    <w:rsid w:val="009E7F21"/>
    <w:rsid w:val="009F0CE6"/>
    <w:rsid w:val="009F237F"/>
    <w:rsid w:val="009F3D15"/>
    <w:rsid w:val="009F4E67"/>
    <w:rsid w:val="009F63B0"/>
    <w:rsid w:val="009F6EF6"/>
    <w:rsid w:val="009F6F93"/>
    <w:rsid w:val="009F7AA4"/>
    <w:rsid w:val="00A10AD7"/>
    <w:rsid w:val="00A137C2"/>
    <w:rsid w:val="00A14C74"/>
    <w:rsid w:val="00A14FB2"/>
    <w:rsid w:val="00A15B2D"/>
    <w:rsid w:val="00A20015"/>
    <w:rsid w:val="00A21C21"/>
    <w:rsid w:val="00A25568"/>
    <w:rsid w:val="00A270D9"/>
    <w:rsid w:val="00A302F9"/>
    <w:rsid w:val="00A323B0"/>
    <w:rsid w:val="00A3375F"/>
    <w:rsid w:val="00A34F04"/>
    <w:rsid w:val="00A37C47"/>
    <w:rsid w:val="00A431DB"/>
    <w:rsid w:val="00A46A23"/>
    <w:rsid w:val="00A4728A"/>
    <w:rsid w:val="00A47B36"/>
    <w:rsid w:val="00A51A54"/>
    <w:rsid w:val="00A559DB"/>
    <w:rsid w:val="00A5676A"/>
    <w:rsid w:val="00A569EA"/>
    <w:rsid w:val="00A5764D"/>
    <w:rsid w:val="00A616C0"/>
    <w:rsid w:val="00A61FF2"/>
    <w:rsid w:val="00A645AE"/>
    <w:rsid w:val="00A64CBF"/>
    <w:rsid w:val="00A6594A"/>
    <w:rsid w:val="00A668DC"/>
    <w:rsid w:val="00A676A0"/>
    <w:rsid w:val="00A730EE"/>
    <w:rsid w:val="00A74043"/>
    <w:rsid w:val="00A752B6"/>
    <w:rsid w:val="00A76D28"/>
    <w:rsid w:val="00A81E87"/>
    <w:rsid w:val="00A91E6D"/>
    <w:rsid w:val="00AA2E18"/>
    <w:rsid w:val="00AA448C"/>
    <w:rsid w:val="00AA7ED0"/>
    <w:rsid w:val="00AB242B"/>
    <w:rsid w:val="00AB61A8"/>
    <w:rsid w:val="00AC2AA4"/>
    <w:rsid w:val="00AC4BA9"/>
    <w:rsid w:val="00AC5CA7"/>
    <w:rsid w:val="00AD1BD1"/>
    <w:rsid w:val="00AD46B5"/>
    <w:rsid w:val="00AD6DC0"/>
    <w:rsid w:val="00AE1CDA"/>
    <w:rsid w:val="00AE3F02"/>
    <w:rsid w:val="00AE5FB8"/>
    <w:rsid w:val="00AE6F93"/>
    <w:rsid w:val="00AF1925"/>
    <w:rsid w:val="00AF30AB"/>
    <w:rsid w:val="00AF35FC"/>
    <w:rsid w:val="00AF5556"/>
    <w:rsid w:val="00AF69F4"/>
    <w:rsid w:val="00AF7265"/>
    <w:rsid w:val="00B00CBA"/>
    <w:rsid w:val="00B01C1C"/>
    <w:rsid w:val="00B034B2"/>
    <w:rsid w:val="00B03639"/>
    <w:rsid w:val="00B0652A"/>
    <w:rsid w:val="00B12D23"/>
    <w:rsid w:val="00B131E6"/>
    <w:rsid w:val="00B16486"/>
    <w:rsid w:val="00B1709D"/>
    <w:rsid w:val="00B261B7"/>
    <w:rsid w:val="00B26B46"/>
    <w:rsid w:val="00B3038A"/>
    <w:rsid w:val="00B32574"/>
    <w:rsid w:val="00B32612"/>
    <w:rsid w:val="00B32FCA"/>
    <w:rsid w:val="00B35B1F"/>
    <w:rsid w:val="00B40937"/>
    <w:rsid w:val="00B423EF"/>
    <w:rsid w:val="00B453DE"/>
    <w:rsid w:val="00B50CAD"/>
    <w:rsid w:val="00B53324"/>
    <w:rsid w:val="00B55562"/>
    <w:rsid w:val="00B56274"/>
    <w:rsid w:val="00B61750"/>
    <w:rsid w:val="00B62497"/>
    <w:rsid w:val="00B67351"/>
    <w:rsid w:val="00B71237"/>
    <w:rsid w:val="00B72597"/>
    <w:rsid w:val="00B73F86"/>
    <w:rsid w:val="00B7728C"/>
    <w:rsid w:val="00B80008"/>
    <w:rsid w:val="00B82927"/>
    <w:rsid w:val="00B84C29"/>
    <w:rsid w:val="00B855A6"/>
    <w:rsid w:val="00B863C4"/>
    <w:rsid w:val="00B874EC"/>
    <w:rsid w:val="00B87DC0"/>
    <w:rsid w:val="00B901F9"/>
    <w:rsid w:val="00B95061"/>
    <w:rsid w:val="00B97C9B"/>
    <w:rsid w:val="00BA3741"/>
    <w:rsid w:val="00BA40DB"/>
    <w:rsid w:val="00BA56F6"/>
    <w:rsid w:val="00BA5F8E"/>
    <w:rsid w:val="00BB168F"/>
    <w:rsid w:val="00BC0AEE"/>
    <w:rsid w:val="00BC1603"/>
    <w:rsid w:val="00BC4D98"/>
    <w:rsid w:val="00BC56AA"/>
    <w:rsid w:val="00BD1CD3"/>
    <w:rsid w:val="00BD58F0"/>
    <w:rsid w:val="00BD6EFB"/>
    <w:rsid w:val="00BD720D"/>
    <w:rsid w:val="00BE0543"/>
    <w:rsid w:val="00BE113B"/>
    <w:rsid w:val="00BE36EC"/>
    <w:rsid w:val="00BE3DF5"/>
    <w:rsid w:val="00BE6579"/>
    <w:rsid w:val="00BF18C2"/>
    <w:rsid w:val="00BF408B"/>
    <w:rsid w:val="00BF4AF3"/>
    <w:rsid w:val="00BF5D68"/>
    <w:rsid w:val="00BF5EAB"/>
    <w:rsid w:val="00BF6438"/>
    <w:rsid w:val="00C02112"/>
    <w:rsid w:val="00C02410"/>
    <w:rsid w:val="00C04176"/>
    <w:rsid w:val="00C04387"/>
    <w:rsid w:val="00C0510B"/>
    <w:rsid w:val="00C07861"/>
    <w:rsid w:val="00C12F6C"/>
    <w:rsid w:val="00C1584D"/>
    <w:rsid w:val="00C1594F"/>
    <w:rsid w:val="00C15BE2"/>
    <w:rsid w:val="00C23C69"/>
    <w:rsid w:val="00C26568"/>
    <w:rsid w:val="00C27029"/>
    <w:rsid w:val="00C27C78"/>
    <w:rsid w:val="00C31427"/>
    <w:rsid w:val="00C3447F"/>
    <w:rsid w:val="00C3565C"/>
    <w:rsid w:val="00C420FC"/>
    <w:rsid w:val="00C42350"/>
    <w:rsid w:val="00C435CD"/>
    <w:rsid w:val="00C4444C"/>
    <w:rsid w:val="00C44714"/>
    <w:rsid w:val="00C44B4E"/>
    <w:rsid w:val="00C44DF6"/>
    <w:rsid w:val="00C45702"/>
    <w:rsid w:val="00C53C4A"/>
    <w:rsid w:val="00C61DBF"/>
    <w:rsid w:val="00C67102"/>
    <w:rsid w:val="00C675D0"/>
    <w:rsid w:val="00C712D8"/>
    <w:rsid w:val="00C72AAA"/>
    <w:rsid w:val="00C769F2"/>
    <w:rsid w:val="00C775F3"/>
    <w:rsid w:val="00C80EAA"/>
    <w:rsid w:val="00C81491"/>
    <w:rsid w:val="00C81676"/>
    <w:rsid w:val="00C848F4"/>
    <w:rsid w:val="00C855F9"/>
    <w:rsid w:val="00C85C5D"/>
    <w:rsid w:val="00C860EA"/>
    <w:rsid w:val="00C86F36"/>
    <w:rsid w:val="00C86F98"/>
    <w:rsid w:val="00C91944"/>
    <w:rsid w:val="00C92CC4"/>
    <w:rsid w:val="00C940F3"/>
    <w:rsid w:val="00C95F92"/>
    <w:rsid w:val="00CA0AFB"/>
    <w:rsid w:val="00CA2CE1"/>
    <w:rsid w:val="00CA2EC0"/>
    <w:rsid w:val="00CA3976"/>
    <w:rsid w:val="00CA3C53"/>
    <w:rsid w:val="00CA50E3"/>
    <w:rsid w:val="00CA70EF"/>
    <w:rsid w:val="00CA757B"/>
    <w:rsid w:val="00CA77B3"/>
    <w:rsid w:val="00CA7FDA"/>
    <w:rsid w:val="00CB0620"/>
    <w:rsid w:val="00CB108D"/>
    <w:rsid w:val="00CB1B0C"/>
    <w:rsid w:val="00CB3DF1"/>
    <w:rsid w:val="00CB55AD"/>
    <w:rsid w:val="00CB5A15"/>
    <w:rsid w:val="00CC1787"/>
    <w:rsid w:val="00CC182C"/>
    <w:rsid w:val="00CC29C7"/>
    <w:rsid w:val="00CC397F"/>
    <w:rsid w:val="00CC4178"/>
    <w:rsid w:val="00CC4F44"/>
    <w:rsid w:val="00CC646F"/>
    <w:rsid w:val="00CC79C9"/>
    <w:rsid w:val="00CD0824"/>
    <w:rsid w:val="00CD2908"/>
    <w:rsid w:val="00CE0210"/>
    <w:rsid w:val="00CE0AEC"/>
    <w:rsid w:val="00CE3F69"/>
    <w:rsid w:val="00CE501A"/>
    <w:rsid w:val="00CE6351"/>
    <w:rsid w:val="00CE6465"/>
    <w:rsid w:val="00CE6F14"/>
    <w:rsid w:val="00CF1C11"/>
    <w:rsid w:val="00D01DEA"/>
    <w:rsid w:val="00D03A82"/>
    <w:rsid w:val="00D073E3"/>
    <w:rsid w:val="00D10F7F"/>
    <w:rsid w:val="00D1347A"/>
    <w:rsid w:val="00D13667"/>
    <w:rsid w:val="00D13910"/>
    <w:rsid w:val="00D15344"/>
    <w:rsid w:val="00D17AA6"/>
    <w:rsid w:val="00D17C81"/>
    <w:rsid w:val="00D20150"/>
    <w:rsid w:val="00D21C99"/>
    <w:rsid w:val="00D23F57"/>
    <w:rsid w:val="00D26453"/>
    <w:rsid w:val="00D31BEC"/>
    <w:rsid w:val="00D32004"/>
    <w:rsid w:val="00D32D39"/>
    <w:rsid w:val="00D333A0"/>
    <w:rsid w:val="00D34A69"/>
    <w:rsid w:val="00D367A2"/>
    <w:rsid w:val="00D401DB"/>
    <w:rsid w:val="00D4171C"/>
    <w:rsid w:val="00D46121"/>
    <w:rsid w:val="00D479F7"/>
    <w:rsid w:val="00D53790"/>
    <w:rsid w:val="00D63150"/>
    <w:rsid w:val="00D636BA"/>
    <w:rsid w:val="00D64A32"/>
    <w:rsid w:val="00D64EFC"/>
    <w:rsid w:val="00D66564"/>
    <w:rsid w:val="00D66946"/>
    <w:rsid w:val="00D73742"/>
    <w:rsid w:val="00D75295"/>
    <w:rsid w:val="00D756F1"/>
    <w:rsid w:val="00D76287"/>
    <w:rsid w:val="00D76CE9"/>
    <w:rsid w:val="00D8182E"/>
    <w:rsid w:val="00D8226D"/>
    <w:rsid w:val="00D84D34"/>
    <w:rsid w:val="00D84F1E"/>
    <w:rsid w:val="00D86C4D"/>
    <w:rsid w:val="00D87E5B"/>
    <w:rsid w:val="00D90ADD"/>
    <w:rsid w:val="00D92C7F"/>
    <w:rsid w:val="00D93E2B"/>
    <w:rsid w:val="00D9712C"/>
    <w:rsid w:val="00D978DA"/>
    <w:rsid w:val="00D97F12"/>
    <w:rsid w:val="00DA2520"/>
    <w:rsid w:val="00DA47EC"/>
    <w:rsid w:val="00DA4B82"/>
    <w:rsid w:val="00DA52A3"/>
    <w:rsid w:val="00DA6095"/>
    <w:rsid w:val="00DB42E7"/>
    <w:rsid w:val="00DB48B0"/>
    <w:rsid w:val="00DC09D8"/>
    <w:rsid w:val="00DD32C2"/>
    <w:rsid w:val="00DD48AE"/>
    <w:rsid w:val="00DD6711"/>
    <w:rsid w:val="00DE01A6"/>
    <w:rsid w:val="00DE234B"/>
    <w:rsid w:val="00DE2D9F"/>
    <w:rsid w:val="00DE3278"/>
    <w:rsid w:val="00DE3F30"/>
    <w:rsid w:val="00DE78F0"/>
    <w:rsid w:val="00DE7A98"/>
    <w:rsid w:val="00DF0471"/>
    <w:rsid w:val="00DF1375"/>
    <w:rsid w:val="00DF32C2"/>
    <w:rsid w:val="00DF5DF1"/>
    <w:rsid w:val="00DF6157"/>
    <w:rsid w:val="00DF7350"/>
    <w:rsid w:val="00DF7AF1"/>
    <w:rsid w:val="00E00DD7"/>
    <w:rsid w:val="00E00DED"/>
    <w:rsid w:val="00E0182C"/>
    <w:rsid w:val="00E032CF"/>
    <w:rsid w:val="00E0407E"/>
    <w:rsid w:val="00E0483F"/>
    <w:rsid w:val="00E0640C"/>
    <w:rsid w:val="00E07EA2"/>
    <w:rsid w:val="00E1364F"/>
    <w:rsid w:val="00E17104"/>
    <w:rsid w:val="00E21479"/>
    <w:rsid w:val="00E26EE1"/>
    <w:rsid w:val="00E3045E"/>
    <w:rsid w:val="00E31332"/>
    <w:rsid w:val="00E360AF"/>
    <w:rsid w:val="00E4032B"/>
    <w:rsid w:val="00E4626B"/>
    <w:rsid w:val="00E46285"/>
    <w:rsid w:val="00E471A7"/>
    <w:rsid w:val="00E47A3B"/>
    <w:rsid w:val="00E50325"/>
    <w:rsid w:val="00E53B1A"/>
    <w:rsid w:val="00E55AE6"/>
    <w:rsid w:val="00E56CBB"/>
    <w:rsid w:val="00E57A7F"/>
    <w:rsid w:val="00E6039E"/>
    <w:rsid w:val="00E610A8"/>
    <w:rsid w:val="00E628D1"/>
    <w:rsid w:val="00E62C80"/>
    <w:rsid w:val="00E62DDC"/>
    <w:rsid w:val="00E62E35"/>
    <w:rsid w:val="00E635CF"/>
    <w:rsid w:val="00E63C7D"/>
    <w:rsid w:val="00E6508D"/>
    <w:rsid w:val="00E659A0"/>
    <w:rsid w:val="00E72388"/>
    <w:rsid w:val="00E7322E"/>
    <w:rsid w:val="00E83528"/>
    <w:rsid w:val="00E84DBB"/>
    <w:rsid w:val="00E86C70"/>
    <w:rsid w:val="00E90E78"/>
    <w:rsid w:val="00E93882"/>
    <w:rsid w:val="00E94D08"/>
    <w:rsid w:val="00E9559F"/>
    <w:rsid w:val="00E9692D"/>
    <w:rsid w:val="00E96EA8"/>
    <w:rsid w:val="00EA0233"/>
    <w:rsid w:val="00EA4705"/>
    <w:rsid w:val="00EA52E5"/>
    <w:rsid w:val="00EA6026"/>
    <w:rsid w:val="00EB1E3B"/>
    <w:rsid w:val="00EB4F9F"/>
    <w:rsid w:val="00EC06FA"/>
    <w:rsid w:val="00EC6E0A"/>
    <w:rsid w:val="00ED018C"/>
    <w:rsid w:val="00ED1648"/>
    <w:rsid w:val="00ED4D41"/>
    <w:rsid w:val="00ED4E18"/>
    <w:rsid w:val="00ED7922"/>
    <w:rsid w:val="00EE02C4"/>
    <w:rsid w:val="00EE1133"/>
    <w:rsid w:val="00EE1F37"/>
    <w:rsid w:val="00EE3A22"/>
    <w:rsid w:val="00EE4CEC"/>
    <w:rsid w:val="00EF0D2C"/>
    <w:rsid w:val="00EF2833"/>
    <w:rsid w:val="00F0159C"/>
    <w:rsid w:val="00F03A52"/>
    <w:rsid w:val="00F0410C"/>
    <w:rsid w:val="00F064C2"/>
    <w:rsid w:val="00F06BD1"/>
    <w:rsid w:val="00F07AAD"/>
    <w:rsid w:val="00F105B7"/>
    <w:rsid w:val="00F112AD"/>
    <w:rsid w:val="00F1154B"/>
    <w:rsid w:val="00F13220"/>
    <w:rsid w:val="00F151BC"/>
    <w:rsid w:val="00F15EFE"/>
    <w:rsid w:val="00F17A21"/>
    <w:rsid w:val="00F261EB"/>
    <w:rsid w:val="00F30B8C"/>
    <w:rsid w:val="00F35002"/>
    <w:rsid w:val="00F36FC2"/>
    <w:rsid w:val="00F37B27"/>
    <w:rsid w:val="00F40448"/>
    <w:rsid w:val="00F42986"/>
    <w:rsid w:val="00F43796"/>
    <w:rsid w:val="00F441D2"/>
    <w:rsid w:val="00F460EE"/>
    <w:rsid w:val="00F46556"/>
    <w:rsid w:val="00F476CF"/>
    <w:rsid w:val="00F50E91"/>
    <w:rsid w:val="00F510C8"/>
    <w:rsid w:val="00F53A6C"/>
    <w:rsid w:val="00F56799"/>
    <w:rsid w:val="00F5747F"/>
    <w:rsid w:val="00F57BBB"/>
    <w:rsid w:val="00F57D29"/>
    <w:rsid w:val="00F60786"/>
    <w:rsid w:val="00F62073"/>
    <w:rsid w:val="00F63F9F"/>
    <w:rsid w:val="00F71F25"/>
    <w:rsid w:val="00F72D6F"/>
    <w:rsid w:val="00F75DCF"/>
    <w:rsid w:val="00F7755D"/>
    <w:rsid w:val="00F778D2"/>
    <w:rsid w:val="00F779EF"/>
    <w:rsid w:val="00F81824"/>
    <w:rsid w:val="00F81DCF"/>
    <w:rsid w:val="00F824DF"/>
    <w:rsid w:val="00F84B6E"/>
    <w:rsid w:val="00F91BC7"/>
    <w:rsid w:val="00F96201"/>
    <w:rsid w:val="00FA0AAF"/>
    <w:rsid w:val="00FA1BBC"/>
    <w:rsid w:val="00FA7D69"/>
    <w:rsid w:val="00FB109B"/>
    <w:rsid w:val="00FB39D7"/>
    <w:rsid w:val="00FB498A"/>
    <w:rsid w:val="00FB6A5B"/>
    <w:rsid w:val="00FC12E7"/>
    <w:rsid w:val="00FC1D83"/>
    <w:rsid w:val="00FC42EE"/>
    <w:rsid w:val="00FC7305"/>
    <w:rsid w:val="00FD0B18"/>
    <w:rsid w:val="00FD2FAD"/>
    <w:rsid w:val="00FD7789"/>
    <w:rsid w:val="00FE0937"/>
    <w:rsid w:val="00FE3FB8"/>
    <w:rsid w:val="00FE462E"/>
    <w:rsid w:val="00FE714F"/>
    <w:rsid w:val="00FF3582"/>
    <w:rsid w:val="00FF50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11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88782">
      <w:bodyDiv w:val="1"/>
      <w:marLeft w:val="0"/>
      <w:marRight w:val="0"/>
      <w:marTop w:val="0"/>
      <w:marBottom w:val="0"/>
      <w:divBdr>
        <w:top w:val="none" w:sz="0" w:space="0" w:color="auto"/>
        <w:left w:val="none" w:sz="0" w:space="0" w:color="auto"/>
        <w:bottom w:val="none" w:sz="0" w:space="0" w:color="auto"/>
        <w:right w:val="none" w:sz="0" w:space="0" w:color="auto"/>
      </w:divBdr>
      <w:divsChild>
        <w:div w:id="2011181428">
          <w:marLeft w:val="0"/>
          <w:marRight w:val="0"/>
          <w:marTop w:val="0"/>
          <w:marBottom w:val="0"/>
          <w:divBdr>
            <w:top w:val="none" w:sz="0" w:space="0" w:color="auto"/>
            <w:left w:val="none" w:sz="0" w:space="0" w:color="auto"/>
            <w:bottom w:val="none" w:sz="0" w:space="0" w:color="auto"/>
            <w:right w:val="none" w:sz="0" w:space="0" w:color="auto"/>
          </w:divBdr>
          <w:divsChild>
            <w:div w:id="845444457">
              <w:marLeft w:val="0"/>
              <w:marRight w:val="0"/>
              <w:marTop w:val="0"/>
              <w:marBottom w:val="0"/>
              <w:divBdr>
                <w:top w:val="none" w:sz="0" w:space="0" w:color="auto"/>
                <w:left w:val="none" w:sz="0" w:space="0" w:color="auto"/>
                <w:bottom w:val="none" w:sz="0" w:space="0" w:color="auto"/>
                <w:right w:val="none" w:sz="0" w:space="0" w:color="auto"/>
              </w:divBdr>
              <w:divsChild>
                <w:div w:id="4151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alspot.com"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 Id="rId22"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thak%20computer\Dropbox\My%20Cases\Mundra%20Power%20plants\CGPL%20Tata%20Power\Tables_with%20%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rthak%20computer\Dropbox\My%20Cases\Mundra%20Power%20plants\CGPL%20Tata%20Power\Tables_with%20%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rthak%20computer\Dropbox\My%20Cases\Mundra%20Power%20plants\Indonesian%20Coal%20Price%20Referecne%20CoalSp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wapnilgarg\Dropbox\My%20Cases\Mundra%20Power%20plants\Tables_with%20%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rthak%20computer\Dropbox\My%20Cases\Mundra%20Power%20plants\CGPL%20Tata%20Power\Tables_with%20%20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1493606568409719"/>
          <c:y val="5.7058422217562695E-2"/>
          <c:w val="0.87355945891378961"/>
          <c:h val="0.83180835393801678"/>
        </c:manualLayout>
      </c:layout>
      <c:lineChart>
        <c:grouping val="standard"/>
        <c:varyColors val="0"/>
        <c:ser>
          <c:idx val="0"/>
          <c:order val="0"/>
          <c:tx>
            <c:strRef>
              <c:f>'Energy Deficit'!$B$1</c:f>
              <c:strCache>
                <c:ptCount val="1"/>
                <c:pt idx="0">
                  <c:v>Energy Deficit (%)</c:v>
                </c:pt>
              </c:strCache>
            </c:strRef>
          </c:tx>
          <c:spPr>
            <a:ln w="28575" cap="rnd">
              <a:solidFill>
                <a:schemeClr val="tx1"/>
              </a:solidFill>
              <a:prstDash val="sysDash"/>
              <a:round/>
            </a:ln>
            <a:effectLst/>
          </c:spPr>
          <c:marker>
            <c:symbol val="none"/>
          </c:marker>
          <c:dLbls>
            <c:delete val="1"/>
          </c:dLbls>
          <c:cat>
            <c:strRef>
              <c:f>'Energy Deficit'!$A$2:$A$36</c:f>
              <c:strCache>
                <c:ptCount val="35"/>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pt idx="34">
                  <c:v>2019</c:v>
                </c:pt>
              </c:strCache>
            </c:strRef>
          </c:cat>
          <c:val>
            <c:numRef>
              <c:f>'Energy Deficit'!$B$2:$B$36</c:f>
              <c:numCache>
                <c:formatCode>0.0</c:formatCode>
                <c:ptCount val="35"/>
                <c:pt idx="0">
                  <c:v>6.7</c:v>
                </c:pt>
                <c:pt idx="1">
                  <c:v>7.9</c:v>
                </c:pt>
                <c:pt idx="2">
                  <c:v>9.4</c:v>
                </c:pt>
                <c:pt idx="3">
                  <c:v>10.91</c:v>
                </c:pt>
                <c:pt idx="4">
                  <c:v>7.74</c:v>
                </c:pt>
                <c:pt idx="5">
                  <c:v>7.92</c:v>
                </c:pt>
                <c:pt idx="6">
                  <c:v>7.87</c:v>
                </c:pt>
                <c:pt idx="7">
                  <c:v>7.8</c:v>
                </c:pt>
                <c:pt idx="8">
                  <c:v>8.33</c:v>
                </c:pt>
                <c:pt idx="9">
                  <c:v>7.35</c:v>
                </c:pt>
                <c:pt idx="10">
                  <c:v>7.09</c:v>
                </c:pt>
                <c:pt idx="11">
                  <c:v>9.15</c:v>
                </c:pt>
                <c:pt idx="12">
                  <c:v>11.51</c:v>
                </c:pt>
                <c:pt idx="13">
                  <c:v>8.0500000000000007</c:v>
                </c:pt>
                <c:pt idx="14">
                  <c:v>5.9</c:v>
                </c:pt>
                <c:pt idx="15">
                  <c:v>6.21</c:v>
                </c:pt>
                <c:pt idx="16">
                  <c:v>7.85</c:v>
                </c:pt>
                <c:pt idx="17">
                  <c:v>7.5</c:v>
                </c:pt>
                <c:pt idx="18">
                  <c:v>8.81</c:v>
                </c:pt>
                <c:pt idx="19">
                  <c:v>7.13</c:v>
                </c:pt>
                <c:pt idx="20">
                  <c:v>7.31</c:v>
                </c:pt>
                <c:pt idx="21">
                  <c:v>8.3800000000000008</c:v>
                </c:pt>
                <c:pt idx="22">
                  <c:v>9.57</c:v>
                </c:pt>
                <c:pt idx="23">
                  <c:v>9.92</c:v>
                </c:pt>
                <c:pt idx="24">
                  <c:v>11.07</c:v>
                </c:pt>
                <c:pt idx="25">
                  <c:v>10.11</c:v>
                </c:pt>
                <c:pt idx="26">
                  <c:v>8.5</c:v>
                </c:pt>
                <c:pt idx="27">
                  <c:v>8.4600000000000009</c:v>
                </c:pt>
                <c:pt idx="28">
                  <c:v>8.7100000000000009</c:v>
                </c:pt>
                <c:pt idx="29">
                  <c:v>4.2300000000000004</c:v>
                </c:pt>
                <c:pt idx="30">
                  <c:v>3.57</c:v>
                </c:pt>
                <c:pt idx="31">
                  <c:v>2.11</c:v>
                </c:pt>
                <c:pt idx="32">
                  <c:v>0.66</c:v>
                </c:pt>
                <c:pt idx="33">
                  <c:v>0.71</c:v>
                </c:pt>
                <c:pt idx="34">
                  <c:v>0.57999999999999996</c:v>
                </c:pt>
              </c:numCache>
            </c:numRef>
          </c:val>
          <c:smooth val="0"/>
          <c:extLst>
            <c:ext xmlns:c16="http://schemas.microsoft.com/office/drawing/2014/chart" uri="{C3380CC4-5D6E-409C-BE32-E72D297353CC}">
              <c16:uniqueId val="{00000000-47F8-41EB-B2C8-CA6AE8AB6A49}"/>
            </c:ext>
          </c:extLst>
        </c:ser>
        <c:ser>
          <c:idx val="1"/>
          <c:order val="1"/>
          <c:tx>
            <c:strRef>
              <c:f>'Energy Deficit'!$C$1</c:f>
              <c:strCache>
                <c:ptCount val="1"/>
                <c:pt idx="0">
                  <c:v>Peak Deficit (%)</c:v>
                </c:pt>
              </c:strCache>
            </c:strRef>
          </c:tx>
          <c:spPr>
            <a:ln w="28575" cap="rnd">
              <a:solidFill>
                <a:schemeClr val="tx1"/>
              </a:solidFill>
              <a:prstDash val="solid"/>
              <a:round/>
            </a:ln>
            <a:effectLst/>
          </c:spPr>
          <c:marker>
            <c:symbol val="none"/>
          </c:marker>
          <c:dLbls>
            <c:delete val="1"/>
          </c:dLbls>
          <c:cat>
            <c:strRef>
              <c:f>'Energy Deficit'!$A$2:$A$36</c:f>
              <c:strCache>
                <c:ptCount val="35"/>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pt idx="34">
                  <c:v>2019</c:v>
                </c:pt>
              </c:strCache>
            </c:strRef>
          </c:cat>
          <c:val>
            <c:numRef>
              <c:f>'Energy Deficit'!$C$2:$C$36</c:f>
              <c:numCache>
                <c:formatCode>0.0</c:formatCode>
                <c:ptCount val="35"/>
                <c:pt idx="0">
                  <c:v>11.66</c:v>
                </c:pt>
                <c:pt idx="1">
                  <c:v>13.79</c:v>
                </c:pt>
                <c:pt idx="2">
                  <c:v>12.73</c:v>
                </c:pt>
                <c:pt idx="3">
                  <c:v>11.72</c:v>
                </c:pt>
                <c:pt idx="4">
                  <c:v>12.5</c:v>
                </c:pt>
                <c:pt idx="5">
                  <c:v>16.66</c:v>
                </c:pt>
                <c:pt idx="6">
                  <c:v>15.53</c:v>
                </c:pt>
                <c:pt idx="7">
                  <c:v>18.79</c:v>
                </c:pt>
                <c:pt idx="8">
                  <c:v>20.49</c:v>
                </c:pt>
                <c:pt idx="9">
                  <c:v>18.309999999999999</c:v>
                </c:pt>
                <c:pt idx="10">
                  <c:v>16.45</c:v>
                </c:pt>
                <c:pt idx="11">
                  <c:v>18.28</c:v>
                </c:pt>
                <c:pt idx="12">
                  <c:v>17.97</c:v>
                </c:pt>
                <c:pt idx="13">
                  <c:v>11.3</c:v>
                </c:pt>
                <c:pt idx="14">
                  <c:v>13.93</c:v>
                </c:pt>
                <c:pt idx="15">
                  <c:v>12.35</c:v>
                </c:pt>
                <c:pt idx="16">
                  <c:v>12.35</c:v>
                </c:pt>
                <c:pt idx="17">
                  <c:v>11.79</c:v>
                </c:pt>
                <c:pt idx="18">
                  <c:v>12.2</c:v>
                </c:pt>
                <c:pt idx="19">
                  <c:v>11.24</c:v>
                </c:pt>
                <c:pt idx="20">
                  <c:v>11.66</c:v>
                </c:pt>
                <c:pt idx="21">
                  <c:v>12.29</c:v>
                </c:pt>
                <c:pt idx="22">
                  <c:v>13.8</c:v>
                </c:pt>
                <c:pt idx="23">
                  <c:v>16.600000000000001</c:v>
                </c:pt>
                <c:pt idx="24">
                  <c:v>11.86</c:v>
                </c:pt>
                <c:pt idx="25">
                  <c:v>12.72</c:v>
                </c:pt>
                <c:pt idx="26">
                  <c:v>9.84</c:v>
                </c:pt>
                <c:pt idx="27">
                  <c:v>10.63</c:v>
                </c:pt>
                <c:pt idx="28">
                  <c:v>8.98</c:v>
                </c:pt>
                <c:pt idx="29">
                  <c:v>4.49</c:v>
                </c:pt>
                <c:pt idx="30">
                  <c:v>4.7300000000000004</c:v>
                </c:pt>
                <c:pt idx="31">
                  <c:v>3.2</c:v>
                </c:pt>
                <c:pt idx="32">
                  <c:v>1.63</c:v>
                </c:pt>
                <c:pt idx="33">
                  <c:v>2.02</c:v>
                </c:pt>
                <c:pt idx="34">
                  <c:v>0.84</c:v>
                </c:pt>
              </c:numCache>
            </c:numRef>
          </c:val>
          <c:smooth val="0"/>
          <c:extLst>
            <c:ext xmlns:c16="http://schemas.microsoft.com/office/drawing/2014/chart" uri="{C3380CC4-5D6E-409C-BE32-E72D297353CC}">
              <c16:uniqueId val="{00000001-47F8-41EB-B2C8-CA6AE8AB6A49}"/>
            </c:ext>
          </c:extLst>
        </c:ser>
        <c:dLbls>
          <c:dLblPos val="t"/>
          <c:showLegendKey val="0"/>
          <c:showVal val="1"/>
          <c:showCatName val="0"/>
          <c:showSerName val="0"/>
          <c:showPercent val="0"/>
          <c:showBubbleSize val="0"/>
        </c:dLbls>
        <c:smooth val="0"/>
        <c:axId val="951892800"/>
        <c:axId val="951890080"/>
      </c:lineChart>
      <c:catAx>
        <c:axId val="95189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51890080"/>
        <c:crosses val="autoZero"/>
        <c:auto val="1"/>
        <c:lblAlgn val="ctr"/>
        <c:lblOffset val="100"/>
        <c:noMultiLvlLbl val="0"/>
      </c:catAx>
      <c:valAx>
        <c:axId val="951890080"/>
        <c:scaling>
          <c:orientation val="minMax"/>
          <c:max val="2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sz="950"/>
                  <a:t>Energy Deficit (% of Total Installed Capacity) </a:t>
                </a:r>
              </a:p>
            </c:rich>
          </c:tx>
          <c:layout>
            <c:manualLayout>
              <c:xMode val="edge"/>
              <c:yMode val="edge"/>
              <c:x val="1.7128461351969559E-2"/>
              <c:y val="0.115657735909110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51892800"/>
        <c:crosses val="autoZero"/>
        <c:crossBetween val="between"/>
      </c:valAx>
      <c:spPr>
        <a:noFill/>
        <a:ln>
          <a:noFill/>
        </a:ln>
        <a:effectLst/>
      </c:spPr>
    </c:plotArea>
    <c:legend>
      <c:legendPos val="b"/>
      <c:layout>
        <c:manualLayout>
          <c:xMode val="edge"/>
          <c:yMode val="edge"/>
          <c:x val="0.5700866457957815"/>
          <c:y val="7.4242952837461199E-2"/>
          <c:w val="0.30532673800390336"/>
          <c:h val="0.134235748621309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70608721986675"/>
          <c:y val="1.2188388451443568E-2"/>
          <c:w val="0.85365838885523926"/>
          <c:h val="0.74478057425068001"/>
        </c:manualLayout>
      </c:layout>
      <c:lineChart>
        <c:grouping val="standard"/>
        <c:varyColors val="0"/>
        <c:ser>
          <c:idx val="0"/>
          <c:order val="0"/>
          <c:tx>
            <c:strRef>
              <c:f>'Consumption (Sector)'!$C$1</c:f>
              <c:strCache>
                <c:ptCount val="1"/>
                <c:pt idx="0">
                  <c:v>Domestic </c:v>
                </c:pt>
              </c:strCache>
            </c:strRef>
          </c:tx>
          <c:spPr>
            <a:ln w="28575" cap="rnd">
              <a:solidFill>
                <a:schemeClr val="dk1">
                  <a:tint val="88500"/>
                </a:schemeClr>
              </a:solidFill>
              <a:prstDash val="lgDash"/>
              <a:round/>
            </a:ln>
            <a:effectLst/>
          </c:spPr>
          <c:marker>
            <c:symbol val="none"/>
          </c:marker>
          <c:dLbls>
            <c:delete val="1"/>
          </c:dLbls>
          <c:cat>
            <c:numRef>
              <c:f>'Consumption (Sector)'!$A$2:$A$20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'Consumption (Sector)'!$C$2:$C$20</c:f>
              <c:numCache>
                <c:formatCode>General</c:formatCode>
                <c:ptCount val="19"/>
                <c:pt idx="0">
                  <c:v>75629</c:v>
                </c:pt>
                <c:pt idx="1">
                  <c:v>79694</c:v>
                </c:pt>
                <c:pt idx="2">
                  <c:v>83355</c:v>
                </c:pt>
                <c:pt idx="3">
                  <c:v>89736</c:v>
                </c:pt>
                <c:pt idx="4">
                  <c:v>95659</c:v>
                </c:pt>
                <c:pt idx="5">
                  <c:v>100090</c:v>
                </c:pt>
                <c:pt idx="6">
                  <c:v>111002</c:v>
                </c:pt>
                <c:pt idx="7">
                  <c:v>120918</c:v>
                </c:pt>
                <c:pt idx="8">
                  <c:v>130056</c:v>
                </c:pt>
                <c:pt idx="9">
                  <c:v>144246</c:v>
                </c:pt>
                <c:pt idx="10">
                  <c:v>156016</c:v>
                </c:pt>
                <c:pt idx="11">
                  <c:v>171104</c:v>
                </c:pt>
                <c:pt idx="12">
                  <c:v>183700</c:v>
                </c:pt>
                <c:pt idx="13">
                  <c:v>199842</c:v>
                </c:pt>
                <c:pt idx="14">
                  <c:v>217405</c:v>
                </c:pt>
                <c:pt idx="15">
                  <c:v>238876</c:v>
                </c:pt>
                <c:pt idx="16">
                  <c:v>255826</c:v>
                </c:pt>
                <c:pt idx="17">
                  <c:v>273545</c:v>
                </c:pt>
                <c:pt idx="18">
                  <c:v>296219</c:v>
                </c:pt>
              </c:numCache>
            </c:numRef>
          </c:val>
          <c:smooth val="0"/>
          <c:extLst>
            <c:ext xmlns:c16="http://schemas.microsoft.com/office/drawing/2014/chart" uri="{C3380CC4-5D6E-409C-BE32-E72D297353CC}">
              <c16:uniqueId val="{00000000-344A-475A-951F-276F5338B82F}"/>
            </c:ext>
          </c:extLst>
        </c:ser>
        <c:ser>
          <c:idx val="1"/>
          <c:order val="1"/>
          <c:tx>
            <c:strRef>
              <c:f>'Consumption (Sector)'!$D$1</c:f>
              <c:strCache>
                <c:ptCount val="1"/>
                <c:pt idx="0">
                  <c:v>Commercial</c:v>
                </c:pt>
              </c:strCache>
            </c:strRef>
          </c:tx>
          <c:spPr>
            <a:ln w="28575" cap="rnd">
              <a:solidFill>
                <a:schemeClr val="dk1">
                  <a:tint val="55000"/>
                </a:schemeClr>
              </a:solidFill>
              <a:round/>
            </a:ln>
            <a:effectLst/>
          </c:spPr>
          <c:marker>
            <c:symbol val="none"/>
          </c:marker>
          <c:dLbls>
            <c:delete val="1"/>
          </c:dLbls>
          <c:cat>
            <c:numRef>
              <c:f>'Consumption (Sector)'!$A$2:$A$20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'Consumption (Sector)'!$D$2:$D$20</c:f>
              <c:numCache>
                <c:formatCode>General</c:formatCode>
                <c:ptCount val="19"/>
                <c:pt idx="0">
                  <c:v>22545</c:v>
                </c:pt>
                <c:pt idx="1">
                  <c:v>24140</c:v>
                </c:pt>
                <c:pt idx="2">
                  <c:v>25437</c:v>
                </c:pt>
                <c:pt idx="3">
                  <c:v>28201</c:v>
                </c:pt>
                <c:pt idx="4">
                  <c:v>31381</c:v>
                </c:pt>
                <c:pt idx="5">
                  <c:v>35965</c:v>
                </c:pt>
                <c:pt idx="6">
                  <c:v>40220</c:v>
                </c:pt>
                <c:pt idx="7">
                  <c:v>46685</c:v>
                </c:pt>
                <c:pt idx="8">
                  <c:v>53543</c:v>
                </c:pt>
                <c:pt idx="9">
                  <c:v>59297</c:v>
                </c:pt>
                <c:pt idx="10">
                  <c:v>68719</c:v>
                </c:pt>
                <c:pt idx="11">
                  <c:v>65381</c:v>
                </c:pt>
                <c:pt idx="12">
                  <c:v>72794</c:v>
                </c:pt>
                <c:pt idx="13">
                  <c:v>74247</c:v>
                </c:pt>
                <c:pt idx="14">
                  <c:v>78391</c:v>
                </c:pt>
                <c:pt idx="15">
                  <c:v>86037</c:v>
                </c:pt>
                <c:pt idx="16">
                  <c:v>89825</c:v>
                </c:pt>
                <c:pt idx="17">
                  <c:v>93755</c:v>
                </c:pt>
                <c:pt idx="18">
                  <c:v>98622</c:v>
                </c:pt>
              </c:numCache>
            </c:numRef>
          </c:val>
          <c:smooth val="0"/>
          <c:extLst>
            <c:ext xmlns:c16="http://schemas.microsoft.com/office/drawing/2014/chart" uri="{C3380CC4-5D6E-409C-BE32-E72D297353CC}">
              <c16:uniqueId val="{00000001-344A-475A-951F-276F5338B82F}"/>
            </c:ext>
          </c:extLst>
        </c:ser>
        <c:ser>
          <c:idx val="2"/>
          <c:order val="2"/>
          <c:tx>
            <c:strRef>
              <c:f>'Consumption (Sector)'!$E$1</c:f>
              <c:strCache>
                <c:ptCount val="1"/>
                <c:pt idx="0">
                  <c:v>Industrial</c:v>
                </c:pt>
              </c:strCache>
            </c:strRef>
          </c:tx>
          <c:spPr>
            <a:ln w="28575" cap="rnd">
              <a:solidFill>
                <a:schemeClr val="dk1">
                  <a:tint val="75000"/>
                </a:schemeClr>
              </a:solidFill>
              <a:prstDash val="dash"/>
              <a:round/>
            </a:ln>
            <a:effectLst/>
          </c:spPr>
          <c:marker>
            <c:symbol val="none"/>
          </c:marker>
          <c:dLbls>
            <c:delete val="1"/>
          </c:dLbls>
          <c:cat>
            <c:numRef>
              <c:f>'Consumption (Sector)'!$A$2:$A$20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'Consumption (Sector)'!$E$2:$E$20</c:f>
              <c:numCache>
                <c:formatCode>General</c:formatCode>
                <c:ptCount val="19"/>
                <c:pt idx="0">
                  <c:v>159306</c:v>
                </c:pt>
                <c:pt idx="1">
                  <c:v>159507</c:v>
                </c:pt>
                <c:pt idx="2">
                  <c:v>168821</c:v>
                </c:pt>
                <c:pt idx="3">
                  <c:v>181970</c:v>
                </c:pt>
                <c:pt idx="4">
                  <c:v>199449</c:v>
                </c:pt>
                <c:pt idx="5">
                  <c:v>214121</c:v>
                </c:pt>
                <c:pt idx="6">
                  <c:v>241216</c:v>
                </c:pt>
                <c:pt idx="7">
                  <c:v>265407</c:v>
                </c:pt>
                <c:pt idx="8">
                  <c:v>279656</c:v>
                </c:pt>
                <c:pt idx="9">
                  <c:v>290255</c:v>
                </c:pt>
                <c:pt idx="10">
                  <c:v>301256</c:v>
                </c:pt>
                <c:pt idx="11">
                  <c:v>352291</c:v>
                </c:pt>
                <c:pt idx="12">
                  <c:v>365989</c:v>
                </c:pt>
                <c:pt idx="13">
                  <c:v>384418</c:v>
                </c:pt>
                <c:pt idx="14">
                  <c:v>418346</c:v>
                </c:pt>
                <c:pt idx="15">
                  <c:v>423523</c:v>
                </c:pt>
                <c:pt idx="16">
                  <c:v>440206</c:v>
                </c:pt>
                <c:pt idx="17">
                  <c:v>468613</c:v>
                </c:pt>
                <c:pt idx="18">
                  <c:v>492361</c:v>
                </c:pt>
              </c:numCache>
            </c:numRef>
          </c:val>
          <c:smooth val="0"/>
          <c:extLst>
            <c:ext xmlns:c16="http://schemas.microsoft.com/office/drawing/2014/chart" uri="{C3380CC4-5D6E-409C-BE32-E72D297353CC}">
              <c16:uniqueId val="{00000002-344A-475A-951F-276F5338B82F}"/>
            </c:ext>
          </c:extLst>
        </c:ser>
        <c:ser>
          <c:idx val="3"/>
          <c:order val="3"/>
          <c:tx>
            <c:strRef>
              <c:f>'Consumption (Sector)'!$F$1</c:f>
              <c:strCache>
                <c:ptCount val="1"/>
                <c:pt idx="0">
                  <c:v>Agricultural</c:v>
                </c:pt>
              </c:strCache>
            </c:strRef>
          </c:tx>
          <c:spPr>
            <a:ln w="28575" cap="rnd">
              <a:solidFill>
                <a:schemeClr val="dk1">
                  <a:tint val="98500"/>
                </a:schemeClr>
              </a:solidFill>
              <a:round/>
            </a:ln>
            <a:effectLst/>
          </c:spPr>
          <c:marker>
            <c:symbol val="none"/>
          </c:marker>
          <c:dLbls>
            <c:delete val="1"/>
          </c:dLbls>
          <c:cat>
            <c:numRef>
              <c:f>'Consumption (Sector)'!$A$2:$A$20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'Consumption (Sector)'!$F$2:$F$20</c:f>
              <c:numCache>
                <c:formatCode>General</c:formatCode>
                <c:ptCount val="19"/>
                <c:pt idx="0">
                  <c:v>84729</c:v>
                </c:pt>
                <c:pt idx="1">
                  <c:v>81673</c:v>
                </c:pt>
                <c:pt idx="2">
                  <c:v>84486</c:v>
                </c:pt>
                <c:pt idx="3">
                  <c:v>87089</c:v>
                </c:pt>
                <c:pt idx="4">
                  <c:v>88555</c:v>
                </c:pt>
                <c:pt idx="5">
                  <c:v>90292</c:v>
                </c:pt>
                <c:pt idx="6">
                  <c:v>99023</c:v>
                </c:pt>
                <c:pt idx="7">
                  <c:v>104182</c:v>
                </c:pt>
                <c:pt idx="8">
                  <c:v>107776</c:v>
                </c:pt>
                <c:pt idx="9">
                  <c:v>119320</c:v>
                </c:pt>
                <c:pt idx="10">
                  <c:v>123389</c:v>
                </c:pt>
                <c:pt idx="11">
                  <c:v>140960</c:v>
                </c:pt>
                <c:pt idx="12">
                  <c:v>147462</c:v>
                </c:pt>
                <c:pt idx="13">
                  <c:v>152744</c:v>
                </c:pt>
                <c:pt idx="14">
                  <c:v>168913</c:v>
                </c:pt>
                <c:pt idx="15">
                  <c:v>173185</c:v>
                </c:pt>
                <c:pt idx="16">
                  <c:v>191151</c:v>
                </c:pt>
                <c:pt idx="17">
                  <c:v>199247</c:v>
                </c:pt>
                <c:pt idx="18">
                  <c:v>211609</c:v>
                </c:pt>
              </c:numCache>
            </c:numRef>
          </c:val>
          <c:smooth val="0"/>
          <c:extLst>
            <c:ext xmlns:c16="http://schemas.microsoft.com/office/drawing/2014/chart" uri="{C3380CC4-5D6E-409C-BE32-E72D297353CC}">
              <c16:uniqueId val="{00000003-344A-475A-951F-276F5338B82F}"/>
            </c:ext>
          </c:extLst>
        </c:ser>
        <c:ser>
          <c:idx val="4"/>
          <c:order val="4"/>
          <c:tx>
            <c:strRef>
              <c:f>'Consumption (Sector)'!$G$1</c:f>
              <c:strCache>
                <c:ptCount val="1"/>
                <c:pt idx="0">
                  <c:v>Traction</c:v>
                </c:pt>
              </c:strCache>
            </c:strRef>
          </c:tx>
          <c:spPr>
            <a:ln w="28575" cap="rnd">
              <a:solidFill>
                <a:schemeClr val="tx1">
                  <a:lumMod val="75000"/>
                  <a:lumOff val="25000"/>
                </a:schemeClr>
              </a:solidFill>
              <a:prstDash val="dashDot"/>
              <a:round/>
            </a:ln>
            <a:effectLst/>
          </c:spPr>
          <c:marker>
            <c:symbol val="none"/>
          </c:marker>
          <c:dLbls>
            <c:delete val="1"/>
          </c:dLbls>
          <c:cat>
            <c:numRef>
              <c:f>'Consumption (Sector)'!$A$2:$A$20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'Consumption (Sector)'!$G$2:$G$20</c:f>
              <c:numCache>
                <c:formatCode>General</c:formatCode>
                <c:ptCount val="19"/>
                <c:pt idx="0">
                  <c:v>8213</c:v>
                </c:pt>
                <c:pt idx="1">
                  <c:v>8106</c:v>
                </c:pt>
                <c:pt idx="2">
                  <c:v>8797</c:v>
                </c:pt>
                <c:pt idx="3">
                  <c:v>9210</c:v>
                </c:pt>
                <c:pt idx="4">
                  <c:v>9495</c:v>
                </c:pt>
                <c:pt idx="5">
                  <c:v>9944</c:v>
                </c:pt>
                <c:pt idx="6">
                  <c:v>10800</c:v>
                </c:pt>
                <c:pt idx="7">
                  <c:v>11108</c:v>
                </c:pt>
                <c:pt idx="8">
                  <c:v>11808</c:v>
                </c:pt>
                <c:pt idx="9">
                  <c:v>12407</c:v>
                </c:pt>
                <c:pt idx="10">
                  <c:v>13086</c:v>
                </c:pt>
                <c:pt idx="11">
                  <c:v>14206</c:v>
                </c:pt>
                <c:pt idx="12">
                  <c:v>14100</c:v>
                </c:pt>
                <c:pt idx="13">
                  <c:v>15540</c:v>
                </c:pt>
                <c:pt idx="14">
                  <c:v>16177</c:v>
                </c:pt>
                <c:pt idx="15">
                  <c:v>16594</c:v>
                </c:pt>
                <c:pt idx="16">
                  <c:v>15683</c:v>
                </c:pt>
                <c:pt idx="17">
                  <c:v>17433</c:v>
                </c:pt>
                <c:pt idx="18">
                  <c:v>18188</c:v>
                </c:pt>
              </c:numCache>
            </c:numRef>
          </c:val>
          <c:smooth val="0"/>
          <c:extLst>
            <c:ext xmlns:c16="http://schemas.microsoft.com/office/drawing/2014/chart" uri="{C3380CC4-5D6E-409C-BE32-E72D297353CC}">
              <c16:uniqueId val="{00000004-344A-475A-951F-276F5338B82F}"/>
            </c:ext>
          </c:extLst>
        </c:ser>
        <c:dLbls>
          <c:dLblPos val="t"/>
          <c:showLegendKey val="0"/>
          <c:showVal val="1"/>
          <c:showCatName val="0"/>
          <c:showSerName val="0"/>
          <c:showPercent val="0"/>
          <c:showBubbleSize val="0"/>
        </c:dLbls>
        <c:smooth val="0"/>
        <c:axId val="768132768"/>
        <c:axId val="768133856"/>
      </c:lineChart>
      <c:catAx>
        <c:axId val="76813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68133856"/>
        <c:crosses val="autoZero"/>
        <c:auto val="1"/>
        <c:lblAlgn val="ctr"/>
        <c:lblOffset val="100"/>
        <c:noMultiLvlLbl val="0"/>
      </c:catAx>
      <c:valAx>
        <c:axId val="76813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a:t> Electricity Consumption (MWh)</a:t>
                </a:r>
              </a:p>
            </c:rich>
          </c:tx>
          <c:layout>
            <c:manualLayout>
              <c:xMode val="edge"/>
              <c:yMode val="edge"/>
              <c:x val="1.8680597617605503E-3"/>
              <c:y val="7.49647046670186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68132768"/>
        <c:crosses val="autoZero"/>
        <c:crossBetween val="between"/>
      </c:valAx>
      <c:spPr>
        <a:noFill/>
        <a:ln>
          <a:noFill/>
        </a:ln>
        <a:effectLst/>
      </c:spPr>
    </c:plotArea>
    <c:legend>
      <c:legendPos val="b"/>
      <c:layout>
        <c:manualLayout>
          <c:xMode val="edge"/>
          <c:yMode val="edge"/>
          <c:x val="2.1247211303516414E-3"/>
          <c:y val="0.92477144264506839"/>
          <c:w val="0.99561253451626208"/>
          <c:h val="7.522855735493162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5400000" spcFirstLastPara="1" vertOverflow="ellipsis" wrap="square" anchor="ctr" anchorCtr="1"/>
          <a:lstStyle/>
          <a:p>
            <a:pPr>
              <a:defRPr sz="900" b="0" i="0" u="none" strike="noStrike" kern="1200" spc="0" baseline="0">
                <a:solidFill>
                  <a:schemeClr val="tx1"/>
                </a:solidFill>
                <a:latin typeface="Arial" panose="020B0604020202020204" pitchFamily="34" charset="0"/>
                <a:ea typeface="+mn-ea"/>
                <a:cs typeface="Arial" panose="020B0604020202020204" pitchFamily="34" charset="0"/>
              </a:defRPr>
            </a:pPr>
            <a:r>
              <a:rPr lang="en-US" sz="1000"/>
              <a:t>HBA Indonesian Coal</a:t>
            </a:r>
            <a:r>
              <a:rPr lang="en-US" sz="1000" baseline="0"/>
              <a:t> Prices</a:t>
            </a:r>
            <a:r>
              <a:rPr lang="en-US" sz="1000"/>
              <a:t> (US$ per Metric Ton)</a:t>
            </a:r>
          </a:p>
        </c:rich>
      </c:tx>
      <c:layout>
        <c:manualLayout>
          <c:xMode val="edge"/>
          <c:yMode val="edge"/>
          <c:x val="5.3418803418803424E-4"/>
          <c:y val="0.13908872901678657"/>
        </c:manualLayout>
      </c:layout>
      <c:overlay val="0"/>
      <c:spPr>
        <a:noFill/>
        <a:ln>
          <a:noFill/>
        </a:ln>
        <a:effectLst/>
      </c:spPr>
      <c:txPr>
        <a:bodyPr rot="-5400000" spcFirstLastPara="1" vertOverflow="ellipsis" wrap="square" anchor="ctr" anchorCtr="1"/>
        <a:lstStyle/>
        <a:p>
          <a:pPr>
            <a:defRPr sz="9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2447674809879535"/>
          <c:y val="0.15107913669064749"/>
          <c:w val="0.85201897839693119"/>
          <c:h val="0.484602805944221"/>
        </c:manualLayout>
      </c:layout>
      <c:lineChart>
        <c:grouping val="standard"/>
        <c:varyColors val="0"/>
        <c:ser>
          <c:idx val="0"/>
          <c:order val="0"/>
          <c:tx>
            <c:strRef>
              <c:f>'Indonesian Coal Price Referecne'!$C$1</c:f>
              <c:strCache>
                <c:ptCount val="1"/>
                <c:pt idx="0">
                  <c:v>USD/Tonne</c:v>
                </c:pt>
              </c:strCache>
            </c:strRef>
          </c:tx>
          <c:spPr>
            <a:ln w="28575" cap="rnd">
              <a:solidFill>
                <a:schemeClr val="dk1">
                  <a:tint val="88500"/>
                </a:schemeClr>
              </a:solidFill>
              <a:round/>
            </a:ln>
            <a:effectLst/>
          </c:spPr>
          <c:marker>
            <c:symbol val="none"/>
          </c:marker>
          <c:cat>
            <c:numRef>
              <c:f>'Indonesian Coal Price Referecne'!$B$2:$B$17</c:f>
              <c:numCache>
                <c:formatCode>mmm\-yy</c:formatCode>
                <c:ptCount val="16"/>
                <c:pt idx="0">
                  <c:v>39845</c:v>
                </c:pt>
                <c:pt idx="1">
                  <c:v>39934</c:v>
                </c:pt>
                <c:pt idx="2">
                  <c:v>40179</c:v>
                </c:pt>
                <c:pt idx="3">
                  <c:v>40513</c:v>
                </c:pt>
                <c:pt idx="4">
                  <c:v>40544</c:v>
                </c:pt>
                <c:pt idx="5">
                  <c:v>40575</c:v>
                </c:pt>
                <c:pt idx="6">
                  <c:v>40969</c:v>
                </c:pt>
                <c:pt idx="7">
                  <c:v>41214</c:v>
                </c:pt>
                <c:pt idx="8">
                  <c:v>41334</c:v>
                </c:pt>
                <c:pt idx="9">
                  <c:v>41548</c:v>
                </c:pt>
                <c:pt idx="10">
                  <c:v>41640</c:v>
                </c:pt>
                <c:pt idx="11">
                  <c:v>41974</c:v>
                </c:pt>
                <c:pt idx="12">
                  <c:v>42064</c:v>
                </c:pt>
                <c:pt idx="13">
                  <c:v>42339</c:v>
                </c:pt>
                <c:pt idx="14">
                  <c:v>42401</c:v>
                </c:pt>
                <c:pt idx="15">
                  <c:v>42705</c:v>
                </c:pt>
              </c:numCache>
            </c:numRef>
          </c:cat>
          <c:val>
            <c:numRef>
              <c:f>'Indonesian Coal Price Referecne'!$C$2:$C$17</c:f>
              <c:numCache>
                <c:formatCode>General</c:formatCode>
                <c:ptCount val="16"/>
                <c:pt idx="0">
                  <c:v>81.349999999999994</c:v>
                </c:pt>
                <c:pt idx="1">
                  <c:v>62.83</c:v>
                </c:pt>
                <c:pt idx="2">
                  <c:v>77.39</c:v>
                </c:pt>
                <c:pt idx="3">
                  <c:v>103.41</c:v>
                </c:pt>
                <c:pt idx="4">
                  <c:v>112.4</c:v>
                </c:pt>
                <c:pt idx="5">
                  <c:v>127.05</c:v>
                </c:pt>
                <c:pt idx="6">
                  <c:v>112.87</c:v>
                </c:pt>
                <c:pt idx="7">
                  <c:v>81.44</c:v>
                </c:pt>
                <c:pt idx="8">
                  <c:v>90.09</c:v>
                </c:pt>
                <c:pt idx="9">
                  <c:v>76.61</c:v>
                </c:pt>
                <c:pt idx="10">
                  <c:v>81.900000000000006</c:v>
                </c:pt>
                <c:pt idx="11">
                  <c:v>64.650000000000006</c:v>
                </c:pt>
                <c:pt idx="12">
                  <c:v>67.760000000000005</c:v>
                </c:pt>
                <c:pt idx="13">
                  <c:v>53.51</c:v>
                </c:pt>
                <c:pt idx="14">
                  <c:v>50.92</c:v>
                </c:pt>
                <c:pt idx="15">
                  <c:v>101.69</c:v>
                </c:pt>
              </c:numCache>
            </c:numRef>
          </c:val>
          <c:smooth val="0"/>
          <c:extLst>
            <c:ext xmlns:c16="http://schemas.microsoft.com/office/drawing/2014/chart" uri="{C3380CC4-5D6E-409C-BE32-E72D297353CC}">
              <c16:uniqueId val="{00000000-C54D-4D6A-97F6-6658DBA06137}"/>
            </c:ext>
          </c:extLst>
        </c:ser>
        <c:dLbls>
          <c:showLegendKey val="0"/>
          <c:showVal val="0"/>
          <c:showCatName val="0"/>
          <c:showSerName val="0"/>
          <c:showPercent val="0"/>
          <c:showBubbleSize val="0"/>
        </c:dLbls>
        <c:smooth val="0"/>
        <c:axId val="391237800"/>
        <c:axId val="391245016"/>
      </c:lineChart>
      <c:dateAx>
        <c:axId val="391237800"/>
        <c:scaling>
          <c:orientation val="minMax"/>
        </c:scaling>
        <c:delete val="0"/>
        <c:axPos val="b"/>
        <c:numFmt formatCode="mmmm\ 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1245016"/>
        <c:crosses val="autoZero"/>
        <c:auto val="1"/>
        <c:lblOffset val="100"/>
        <c:baseTimeUnit val="months"/>
      </c:dateAx>
      <c:valAx>
        <c:axId val="391245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1237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4225334813917492"/>
          <c:y val="0.10331224413844438"/>
          <c:w val="0.84395787065078398"/>
          <c:h val="0.71865675796852146"/>
        </c:manualLayout>
      </c:layout>
      <c:lineChart>
        <c:grouping val="standard"/>
        <c:varyColors val="0"/>
        <c:ser>
          <c:idx val="0"/>
          <c:order val="0"/>
          <c:tx>
            <c:strRef>
              <c:f>'Installed Capacity'!$B$1</c:f>
              <c:strCache>
                <c:ptCount val="1"/>
                <c:pt idx="0">
                  <c:v>State</c:v>
                </c:pt>
              </c:strCache>
            </c:strRef>
          </c:tx>
          <c:spPr>
            <a:ln w="28575" cap="rnd">
              <a:solidFill>
                <a:schemeClr val="dk1">
                  <a:tint val="88500"/>
                </a:schemeClr>
              </a:solidFill>
              <a:round/>
            </a:ln>
            <a:effectLst/>
          </c:spPr>
          <c:marker>
            <c:symbol val="none"/>
          </c:marker>
          <c:cat>
            <c:numRef>
              <c:f>'Installed Capacity'!$A$2:$A$20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'Installed Capacity'!$B$2:$B$20</c:f>
              <c:numCache>
                <c:formatCode>General</c:formatCode>
                <c:ptCount val="19"/>
                <c:pt idx="0">
                  <c:v>63721</c:v>
                </c:pt>
                <c:pt idx="1">
                  <c:v>65512</c:v>
                </c:pt>
                <c:pt idx="2">
                  <c:v>66582</c:v>
                </c:pt>
                <c:pt idx="3">
                  <c:v>67505</c:v>
                </c:pt>
                <c:pt idx="4">
                  <c:v>69161</c:v>
                </c:pt>
                <c:pt idx="5">
                  <c:v>73235</c:v>
                </c:pt>
                <c:pt idx="6">
                  <c:v>73579</c:v>
                </c:pt>
                <c:pt idx="7">
                  <c:v>77523</c:v>
                </c:pt>
                <c:pt idx="8">
                  <c:v>79309</c:v>
                </c:pt>
                <c:pt idx="9">
                  <c:v>82905</c:v>
                </c:pt>
                <c:pt idx="10">
                  <c:v>87417</c:v>
                </c:pt>
                <c:pt idx="11">
                  <c:v>85919</c:v>
                </c:pt>
                <c:pt idx="12">
                  <c:v>89125</c:v>
                </c:pt>
                <c:pt idx="13">
                  <c:v>92265</c:v>
                </c:pt>
                <c:pt idx="14">
                  <c:v>95079</c:v>
                </c:pt>
                <c:pt idx="15">
                  <c:v>101790</c:v>
                </c:pt>
                <c:pt idx="16">
                  <c:v>103967</c:v>
                </c:pt>
                <c:pt idx="17">
                  <c:v>103975</c:v>
                </c:pt>
                <c:pt idx="18">
                  <c:v>105076</c:v>
                </c:pt>
              </c:numCache>
            </c:numRef>
          </c:val>
          <c:smooth val="0"/>
          <c:extLst>
            <c:ext xmlns:c16="http://schemas.microsoft.com/office/drawing/2014/chart" uri="{C3380CC4-5D6E-409C-BE32-E72D297353CC}">
              <c16:uniqueId val="{00000000-FEB1-4721-BDFF-F8FD65AC8F7A}"/>
            </c:ext>
          </c:extLst>
        </c:ser>
        <c:ser>
          <c:idx val="1"/>
          <c:order val="1"/>
          <c:tx>
            <c:strRef>
              <c:f>'Installed Capacity'!$C$1</c:f>
              <c:strCache>
                <c:ptCount val="1"/>
                <c:pt idx="0">
                  <c:v>Private</c:v>
                </c:pt>
              </c:strCache>
            </c:strRef>
          </c:tx>
          <c:spPr>
            <a:ln w="28575" cap="rnd">
              <a:solidFill>
                <a:schemeClr val="dk1">
                  <a:tint val="55000"/>
                </a:schemeClr>
              </a:solidFill>
              <a:round/>
            </a:ln>
            <a:effectLst/>
          </c:spPr>
          <c:marker>
            <c:symbol val="none"/>
          </c:marker>
          <c:cat>
            <c:numRef>
              <c:f>'Installed Capacity'!$A$2:$A$20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'Installed Capacity'!$C$2:$C$20</c:f>
              <c:numCache>
                <c:formatCode>General</c:formatCode>
                <c:ptCount val="19"/>
                <c:pt idx="0">
                  <c:v>9936</c:v>
                </c:pt>
                <c:pt idx="1">
                  <c:v>10800</c:v>
                </c:pt>
                <c:pt idx="2">
                  <c:v>11351</c:v>
                </c:pt>
                <c:pt idx="3">
                  <c:v>12325</c:v>
                </c:pt>
                <c:pt idx="4">
                  <c:v>13718</c:v>
                </c:pt>
                <c:pt idx="5">
                  <c:v>14135</c:v>
                </c:pt>
                <c:pt idx="6">
                  <c:v>16713</c:v>
                </c:pt>
                <c:pt idx="7">
                  <c:v>20511</c:v>
                </c:pt>
                <c:pt idx="8">
                  <c:v>22879</c:v>
                </c:pt>
                <c:pt idx="9">
                  <c:v>29014</c:v>
                </c:pt>
                <c:pt idx="10">
                  <c:v>35450</c:v>
                </c:pt>
                <c:pt idx="11">
                  <c:v>54276</c:v>
                </c:pt>
                <c:pt idx="12">
                  <c:v>68859</c:v>
                </c:pt>
                <c:pt idx="13">
                  <c:v>88164</c:v>
                </c:pt>
                <c:pt idx="14">
                  <c:v>107304</c:v>
                </c:pt>
                <c:pt idx="15">
                  <c:v>127076</c:v>
                </c:pt>
                <c:pt idx="16">
                  <c:v>142608</c:v>
                </c:pt>
                <c:pt idx="17">
                  <c:v>155511</c:v>
                </c:pt>
                <c:pt idx="18">
                  <c:v>164428</c:v>
                </c:pt>
              </c:numCache>
            </c:numRef>
          </c:val>
          <c:smooth val="0"/>
          <c:extLst>
            <c:ext xmlns:c16="http://schemas.microsoft.com/office/drawing/2014/chart" uri="{C3380CC4-5D6E-409C-BE32-E72D297353CC}">
              <c16:uniqueId val="{00000001-FEB1-4721-BDFF-F8FD65AC8F7A}"/>
            </c:ext>
          </c:extLst>
        </c:ser>
        <c:ser>
          <c:idx val="2"/>
          <c:order val="2"/>
          <c:tx>
            <c:strRef>
              <c:f>'Installed Capacity'!$D$1</c:f>
              <c:strCache>
                <c:ptCount val="1"/>
                <c:pt idx="0">
                  <c:v>Central</c:v>
                </c:pt>
              </c:strCache>
            </c:strRef>
          </c:tx>
          <c:spPr>
            <a:ln w="28575" cap="rnd">
              <a:solidFill>
                <a:schemeClr val="dk1">
                  <a:tint val="75000"/>
                </a:schemeClr>
              </a:solidFill>
              <a:round/>
            </a:ln>
            <a:effectLst/>
          </c:spPr>
          <c:marker>
            <c:symbol val="none"/>
          </c:marker>
          <c:cat>
            <c:numRef>
              <c:f>'Installed Capacity'!$A$2:$A$20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'Installed Capacity'!$D$2:$D$20</c:f>
              <c:numCache>
                <c:formatCode>General</c:formatCode>
                <c:ptCount val="19"/>
                <c:pt idx="0">
                  <c:v>27969</c:v>
                </c:pt>
                <c:pt idx="1">
                  <c:v>28734</c:v>
                </c:pt>
                <c:pt idx="2">
                  <c:v>29944</c:v>
                </c:pt>
                <c:pt idx="3">
                  <c:v>32854</c:v>
                </c:pt>
                <c:pt idx="4">
                  <c:v>35547</c:v>
                </c:pt>
                <c:pt idx="5">
                  <c:v>36917</c:v>
                </c:pt>
                <c:pt idx="6">
                  <c:v>42037</c:v>
                </c:pt>
                <c:pt idx="7">
                  <c:v>45027</c:v>
                </c:pt>
                <c:pt idx="8">
                  <c:v>45777</c:v>
                </c:pt>
                <c:pt idx="9">
                  <c:v>47479</c:v>
                </c:pt>
                <c:pt idx="10">
                  <c:v>50759</c:v>
                </c:pt>
                <c:pt idx="11">
                  <c:v>59682</c:v>
                </c:pt>
                <c:pt idx="12">
                  <c:v>65360</c:v>
                </c:pt>
                <c:pt idx="13">
                  <c:v>68126</c:v>
                </c:pt>
                <c:pt idx="14">
                  <c:v>72521</c:v>
                </c:pt>
                <c:pt idx="15">
                  <c:v>76297</c:v>
                </c:pt>
                <c:pt idx="16">
                  <c:v>80257</c:v>
                </c:pt>
                <c:pt idx="17">
                  <c:v>84517</c:v>
                </c:pt>
                <c:pt idx="18">
                  <c:v>86597</c:v>
                </c:pt>
              </c:numCache>
            </c:numRef>
          </c:val>
          <c:smooth val="0"/>
          <c:extLst>
            <c:ext xmlns:c16="http://schemas.microsoft.com/office/drawing/2014/chart" uri="{C3380CC4-5D6E-409C-BE32-E72D297353CC}">
              <c16:uniqueId val="{00000002-FEB1-4721-BDFF-F8FD65AC8F7A}"/>
            </c:ext>
          </c:extLst>
        </c:ser>
        <c:dLbls>
          <c:showLegendKey val="0"/>
          <c:showVal val="0"/>
          <c:showCatName val="0"/>
          <c:showSerName val="0"/>
          <c:showPercent val="0"/>
          <c:showBubbleSize val="0"/>
        </c:dLbls>
        <c:smooth val="0"/>
        <c:axId val="768139840"/>
        <c:axId val="768140928"/>
      </c:lineChart>
      <c:catAx>
        <c:axId val="768139840"/>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68140928"/>
        <c:crosses val="autoZero"/>
        <c:auto val="1"/>
        <c:lblAlgn val="ctr"/>
        <c:lblOffset val="100"/>
        <c:noMultiLvlLbl val="0"/>
      </c:catAx>
      <c:valAx>
        <c:axId val="768140928"/>
        <c:scaling>
          <c:orientation val="minMax"/>
          <c:max val="17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a:t>Electricity  Generation  (MW)</a:t>
                </a:r>
              </a:p>
            </c:rich>
          </c:tx>
          <c:layout>
            <c:manualLayout>
              <c:xMode val="edge"/>
              <c:yMode val="edge"/>
              <c:x val="8.2544249276532734E-3"/>
              <c:y val="0.1037171395027467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68139840"/>
        <c:crosses val="autoZero"/>
        <c:crossBetween val="between"/>
      </c:valAx>
      <c:spPr>
        <a:noFill/>
        <a:ln>
          <a:noFill/>
        </a:ln>
        <a:effectLst/>
      </c:spPr>
    </c:plotArea>
    <c:legend>
      <c:legendPos val="b"/>
      <c:layout>
        <c:manualLayout>
          <c:xMode val="edge"/>
          <c:yMode val="edge"/>
          <c:x val="0.3076468806783767"/>
          <c:y val="0.9342151884551243"/>
          <c:w val="0.38470623864324649"/>
          <c:h val="6.578481154487571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62924826704354"/>
          <c:y val="4.1700121675021982E-2"/>
          <c:w val="0.81860522242412004"/>
          <c:h val="0.73541271956390064"/>
        </c:manualLayout>
      </c:layout>
      <c:barChart>
        <c:barDir val="col"/>
        <c:grouping val="stacked"/>
        <c:varyColors val="0"/>
        <c:ser>
          <c:idx val="0"/>
          <c:order val="0"/>
          <c:tx>
            <c:strRef>
              <c:f>'Electricity Generation'!$E$2</c:f>
              <c:strCache>
                <c:ptCount val="1"/>
                <c:pt idx="0">
                  <c:v>Coal/Lignite</c:v>
                </c:pt>
              </c:strCache>
            </c:strRef>
          </c:tx>
          <c:spPr>
            <a:solidFill>
              <a:schemeClr val="dk1">
                <a:tint val="88500"/>
              </a:schemeClr>
            </a:solidFill>
            <a:ln>
              <a:noFill/>
            </a:ln>
            <a:effectLst/>
          </c:spPr>
          <c:invertIfNegative val="0"/>
          <c:cat>
            <c:numRef>
              <c:f>'Electricity Generation'!$D$3:$D$21</c:f>
              <c:numCache>
                <c:formatCode>0</c:formatCode>
                <c:ptCount val="19"/>
                <c:pt idx="0">
                  <c:v>1947</c:v>
                </c:pt>
                <c:pt idx="1">
                  <c:v>1950</c:v>
                </c:pt>
                <c:pt idx="2">
                  <c:v>1956</c:v>
                </c:pt>
                <c:pt idx="3">
                  <c:v>1961</c:v>
                </c:pt>
                <c:pt idx="4">
                  <c:v>1966</c:v>
                </c:pt>
                <c:pt idx="5">
                  <c:v>1969</c:v>
                </c:pt>
                <c:pt idx="6">
                  <c:v>1974</c:v>
                </c:pt>
                <c:pt idx="7">
                  <c:v>1979</c:v>
                </c:pt>
                <c:pt idx="8">
                  <c:v>1980</c:v>
                </c:pt>
                <c:pt idx="9">
                  <c:v>1985</c:v>
                </c:pt>
                <c:pt idx="10">
                  <c:v>1990</c:v>
                </c:pt>
                <c:pt idx="11">
                  <c:v>1992</c:v>
                </c:pt>
                <c:pt idx="12">
                  <c:v>1997</c:v>
                </c:pt>
                <c:pt idx="13">
                  <c:v>2002</c:v>
                </c:pt>
                <c:pt idx="14">
                  <c:v>2007</c:v>
                </c:pt>
                <c:pt idx="15">
                  <c:v>2012</c:v>
                </c:pt>
                <c:pt idx="16">
                  <c:v>2017</c:v>
                </c:pt>
                <c:pt idx="17">
                  <c:v>2018</c:v>
                </c:pt>
                <c:pt idx="18">
                  <c:v>2019</c:v>
                </c:pt>
              </c:numCache>
            </c:numRef>
          </c:cat>
          <c:val>
            <c:numRef>
              <c:f>'Electricity Generation'!$E$3:$E$21</c:f>
              <c:numCache>
                <c:formatCode>_(* #,##0_);_(* \(#,##0\);_(* "-"??_);_(@_)</c:formatCode>
                <c:ptCount val="19"/>
                <c:pt idx="0">
                  <c:v>756</c:v>
                </c:pt>
                <c:pt idx="1">
                  <c:v>1004</c:v>
                </c:pt>
                <c:pt idx="2">
                  <c:v>1597</c:v>
                </c:pt>
                <c:pt idx="3">
                  <c:v>2436</c:v>
                </c:pt>
                <c:pt idx="4">
                  <c:v>4417</c:v>
                </c:pt>
                <c:pt idx="5">
                  <c:v>6640</c:v>
                </c:pt>
                <c:pt idx="6">
                  <c:v>8652</c:v>
                </c:pt>
                <c:pt idx="7">
                  <c:v>14875</c:v>
                </c:pt>
                <c:pt idx="8">
                  <c:v>15991</c:v>
                </c:pt>
                <c:pt idx="9">
                  <c:v>26311</c:v>
                </c:pt>
                <c:pt idx="10">
                  <c:v>41237</c:v>
                </c:pt>
                <c:pt idx="11">
                  <c:v>44791</c:v>
                </c:pt>
                <c:pt idx="12">
                  <c:v>54154</c:v>
                </c:pt>
                <c:pt idx="13">
                  <c:v>62131</c:v>
                </c:pt>
                <c:pt idx="14">
                  <c:v>71121</c:v>
                </c:pt>
                <c:pt idx="15">
                  <c:v>112022</c:v>
                </c:pt>
                <c:pt idx="16">
                  <c:v>192163</c:v>
                </c:pt>
                <c:pt idx="17">
                  <c:v>197172</c:v>
                </c:pt>
                <c:pt idx="18">
                  <c:v>200705</c:v>
                </c:pt>
              </c:numCache>
            </c:numRef>
          </c:val>
          <c:extLst>
            <c:ext xmlns:c16="http://schemas.microsoft.com/office/drawing/2014/chart" uri="{C3380CC4-5D6E-409C-BE32-E72D297353CC}">
              <c16:uniqueId val="{00000000-98EB-47D5-B3FA-4E8A325E9F1F}"/>
            </c:ext>
          </c:extLst>
        </c:ser>
        <c:ser>
          <c:idx val="1"/>
          <c:order val="1"/>
          <c:tx>
            <c:strRef>
              <c:f>'Electricity Generation'!$F$2</c:f>
              <c:strCache>
                <c:ptCount val="1"/>
                <c:pt idx="0">
                  <c:v>Gas</c:v>
                </c:pt>
              </c:strCache>
            </c:strRef>
          </c:tx>
          <c:spPr>
            <a:solidFill>
              <a:schemeClr val="dk1">
                <a:tint val="55000"/>
              </a:schemeClr>
            </a:solidFill>
            <a:ln>
              <a:noFill/>
            </a:ln>
            <a:effectLst/>
          </c:spPr>
          <c:invertIfNegative val="0"/>
          <c:cat>
            <c:numRef>
              <c:f>'Electricity Generation'!$D$3:$D$21</c:f>
              <c:numCache>
                <c:formatCode>0</c:formatCode>
                <c:ptCount val="19"/>
                <c:pt idx="0">
                  <c:v>1947</c:v>
                </c:pt>
                <c:pt idx="1">
                  <c:v>1950</c:v>
                </c:pt>
                <c:pt idx="2">
                  <c:v>1956</c:v>
                </c:pt>
                <c:pt idx="3">
                  <c:v>1961</c:v>
                </c:pt>
                <c:pt idx="4">
                  <c:v>1966</c:v>
                </c:pt>
                <c:pt idx="5">
                  <c:v>1969</c:v>
                </c:pt>
                <c:pt idx="6">
                  <c:v>1974</c:v>
                </c:pt>
                <c:pt idx="7">
                  <c:v>1979</c:v>
                </c:pt>
                <c:pt idx="8">
                  <c:v>1980</c:v>
                </c:pt>
                <c:pt idx="9">
                  <c:v>1985</c:v>
                </c:pt>
                <c:pt idx="10">
                  <c:v>1990</c:v>
                </c:pt>
                <c:pt idx="11">
                  <c:v>1992</c:v>
                </c:pt>
                <c:pt idx="12">
                  <c:v>1997</c:v>
                </c:pt>
                <c:pt idx="13">
                  <c:v>2002</c:v>
                </c:pt>
                <c:pt idx="14">
                  <c:v>2007</c:v>
                </c:pt>
                <c:pt idx="15">
                  <c:v>2012</c:v>
                </c:pt>
                <c:pt idx="16">
                  <c:v>2017</c:v>
                </c:pt>
                <c:pt idx="17">
                  <c:v>2018</c:v>
                </c:pt>
                <c:pt idx="18">
                  <c:v>2019</c:v>
                </c:pt>
              </c:numCache>
            </c:numRef>
          </c:cat>
          <c:val>
            <c:numRef>
              <c:f>'Electricity Generation'!$F$3:$F$21</c:f>
              <c:numCache>
                <c:formatCode>_(* #,##0_);_(* \(#,##0\);_(* "-"??_);_(@_)</c:formatCode>
                <c:ptCount val="19"/>
                <c:pt idx="0">
                  <c:v>0</c:v>
                </c:pt>
                <c:pt idx="1">
                  <c:v>0</c:v>
                </c:pt>
                <c:pt idx="2">
                  <c:v>0</c:v>
                </c:pt>
                <c:pt idx="3">
                  <c:v>0</c:v>
                </c:pt>
                <c:pt idx="4">
                  <c:v>134</c:v>
                </c:pt>
                <c:pt idx="5">
                  <c:v>134</c:v>
                </c:pt>
                <c:pt idx="6">
                  <c:v>165</c:v>
                </c:pt>
                <c:pt idx="7">
                  <c:v>168</c:v>
                </c:pt>
                <c:pt idx="8">
                  <c:v>268</c:v>
                </c:pt>
                <c:pt idx="9">
                  <c:v>542</c:v>
                </c:pt>
                <c:pt idx="10">
                  <c:v>2343</c:v>
                </c:pt>
                <c:pt idx="11">
                  <c:v>3095</c:v>
                </c:pt>
                <c:pt idx="12">
                  <c:v>6562</c:v>
                </c:pt>
                <c:pt idx="13">
                  <c:v>11163</c:v>
                </c:pt>
                <c:pt idx="14">
                  <c:v>13692</c:v>
                </c:pt>
                <c:pt idx="15">
                  <c:v>18381</c:v>
                </c:pt>
                <c:pt idx="16">
                  <c:v>25329</c:v>
                </c:pt>
                <c:pt idx="17">
                  <c:v>24897</c:v>
                </c:pt>
                <c:pt idx="18">
                  <c:v>24937</c:v>
                </c:pt>
              </c:numCache>
            </c:numRef>
          </c:val>
          <c:extLst>
            <c:ext xmlns:c16="http://schemas.microsoft.com/office/drawing/2014/chart" uri="{C3380CC4-5D6E-409C-BE32-E72D297353CC}">
              <c16:uniqueId val="{00000001-98EB-47D5-B3FA-4E8A325E9F1F}"/>
            </c:ext>
          </c:extLst>
        </c:ser>
        <c:ser>
          <c:idx val="2"/>
          <c:order val="2"/>
          <c:tx>
            <c:strRef>
              <c:f>'Electricity Generation'!$G$2</c:f>
              <c:strCache>
                <c:ptCount val="1"/>
                <c:pt idx="0">
                  <c:v>Diesel</c:v>
                </c:pt>
              </c:strCache>
            </c:strRef>
          </c:tx>
          <c:spPr>
            <a:solidFill>
              <a:schemeClr val="dk1">
                <a:tint val="75000"/>
              </a:schemeClr>
            </a:solidFill>
            <a:ln>
              <a:noFill/>
            </a:ln>
            <a:effectLst/>
          </c:spPr>
          <c:invertIfNegative val="0"/>
          <c:cat>
            <c:numRef>
              <c:f>'Electricity Generation'!$D$3:$D$21</c:f>
              <c:numCache>
                <c:formatCode>0</c:formatCode>
                <c:ptCount val="19"/>
                <c:pt idx="0">
                  <c:v>1947</c:v>
                </c:pt>
                <c:pt idx="1">
                  <c:v>1950</c:v>
                </c:pt>
                <c:pt idx="2">
                  <c:v>1956</c:v>
                </c:pt>
                <c:pt idx="3">
                  <c:v>1961</c:v>
                </c:pt>
                <c:pt idx="4">
                  <c:v>1966</c:v>
                </c:pt>
                <c:pt idx="5">
                  <c:v>1969</c:v>
                </c:pt>
                <c:pt idx="6">
                  <c:v>1974</c:v>
                </c:pt>
                <c:pt idx="7">
                  <c:v>1979</c:v>
                </c:pt>
                <c:pt idx="8">
                  <c:v>1980</c:v>
                </c:pt>
                <c:pt idx="9">
                  <c:v>1985</c:v>
                </c:pt>
                <c:pt idx="10">
                  <c:v>1990</c:v>
                </c:pt>
                <c:pt idx="11">
                  <c:v>1992</c:v>
                </c:pt>
                <c:pt idx="12">
                  <c:v>1997</c:v>
                </c:pt>
                <c:pt idx="13">
                  <c:v>2002</c:v>
                </c:pt>
                <c:pt idx="14">
                  <c:v>2007</c:v>
                </c:pt>
                <c:pt idx="15">
                  <c:v>2012</c:v>
                </c:pt>
                <c:pt idx="16">
                  <c:v>2017</c:v>
                </c:pt>
                <c:pt idx="17">
                  <c:v>2018</c:v>
                </c:pt>
                <c:pt idx="18">
                  <c:v>2019</c:v>
                </c:pt>
              </c:numCache>
            </c:numRef>
          </c:cat>
          <c:val>
            <c:numRef>
              <c:f>'Electricity Generation'!$G$3:$G$21</c:f>
              <c:numCache>
                <c:formatCode>_(* #,##0_);_(* \(#,##0\);_(* "-"??_);_(@_)</c:formatCode>
                <c:ptCount val="19"/>
                <c:pt idx="0">
                  <c:v>98</c:v>
                </c:pt>
                <c:pt idx="1">
                  <c:v>149</c:v>
                </c:pt>
                <c:pt idx="2">
                  <c:v>228</c:v>
                </c:pt>
                <c:pt idx="3">
                  <c:v>300</c:v>
                </c:pt>
                <c:pt idx="4">
                  <c:v>352</c:v>
                </c:pt>
                <c:pt idx="5">
                  <c:v>276</c:v>
                </c:pt>
                <c:pt idx="6">
                  <c:v>241</c:v>
                </c:pt>
                <c:pt idx="7">
                  <c:v>164</c:v>
                </c:pt>
                <c:pt idx="8">
                  <c:v>165</c:v>
                </c:pt>
                <c:pt idx="9">
                  <c:v>177</c:v>
                </c:pt>
                <c:pt idx="10">
                  <c:v>165</c:v>
                </c:pt>
                <c:pt idx="11">
                  <c:v>168</c:v>
                </c:pt>
                <c:pt idx="12">
                  <c:v>294</c:v>
                </c:pt>
                <c:pt idx="13">
                  <c:v>1135</c:v>
                </c:pt>
                <c:pt idx="14">
                  <c:v>1202</c:v>
                </c:pt>
                <c:pt idx="15">
                  <c:v>1200</c:v>
                </c:pt>
                <c:pt idx="16">
                  <c:v>838</c:v>
                </c:pt>
                <c:pt idx="17">
                  <c:v>838</c:v>
                </c:pt>
                <c:pt idx="18">
                  <c:v>638</c:v>
                </c:pt>
              </c:numCache>
            </c:numRef>
          </c:val>
          <c:extLst>
            <c:ext xmlns:c16="http://schemas.microsoft.com/office/drawing/2014/chart" uri="{C3380CC4-5D6E-409C-BE32-E72D297353CC}">
              <c16:uniqueId val="{00000002-98EB-47D5-B3FA-4E8A325E9F1F}"/>
            </c:ext>
          </c:extLst>
        </c:ser>
        <c:ser>
          <c:idx val="3"/>
          <c:order val="3"/>
          <c:tx>
            <c:strRef>
              <c:f>'Electricity Generation'!$H$2</c:f>
              <c:strCache>
                <c:ptCount val="1"/>
                <c:pt idx="0">
                  <c:v>Hydro</c:v>
                </c:pt>
              </c:strCache>
            </c:strRef>
          </c:tx>
          <c:spPr>
            <a:solidFill>
              <a:schemeClr val="dk1">
                <a:tint val="98500"/>
              </a:schemeClr>
            </a:solidFill>
            <a:ln>
              <a:noFill/>
            </a:ln>
            <a:effectLst/>
          </c:spPr>
          <c:invertIfNegative val="0"/>
          <c:cat>
            <c:numRef>
              <c:f>'Electricity Generation'!$D$3:$D$21</c:f>
              <c:numCache>
                <c:formatCode>0</c:formatCode>
                <c:ptCount val="19"/>
                <c:pt idx="0">
                  <c:v>1947</c:v>
                </c:pt>
                <c:pt idx="1">
                  <c:v>1950</c:v>
                </c:pt>
                <c:pt idx="2">
                  <c:v>1956</c:v>
                </c:pt>
                <c:pt idx="3">
                  <c:v>1961</c:v>
                </c:pt>
                <c:pt idx="4">
                  <c:v>1966</c:v>
                </c:pt>
                <c:pt idx="5">
                  <c:v>1969</c:v>
                </c:pt>
                <c:pt idx="6">
                  <c:v>1974</c:v>
                </c:pt>
                <c:pt idx="7">
                  <c:v>1979</c:v>
                </c:pt>
                <c:pt idx="8">
                  <c:v>1980</c:v>
                </c:pt>
                <c:pt idx="9">
                  <c:v>1985</c:v>
                </c:pt>
                <c:pt idx="10">
                  <c:v>1990</c:v>
                </c:pt>
                <c:pt idx="11">
                  <c:v>1992</c:v>
                </c:pt>
                <c:pt idx="12">
                  <c:v>1997</c:v>
                </c:pt>
                <c:pt idx="13">
                  <c:v>2002</c:v>
                </c:pt>
                <c:pt idx="14">
                  <c:v>2007</c:v>
                </c:pt>
                <c:pt idx="15">
                  <c:v>2012</c:v>
                </c:pt>
                <c:pt idx="16">
                  <c:v>2017</c:v>
                </c:pt>
                <c:pt idx="17">
                  <c:v>2018</c:v>
                </c:pt>
                <c:pt idx="18">
                  <c:v>2019</c:v>
                </c:pt>
              </c:numCache>
            </c:numRef>
          </c:cat>
          <c:val>
            <c:numRef>
              <c:f>'Electricity Generation'!$H$3:$H$21</c:f>
              <c:numCache>
                <c:formatCode>_(* #,##0_);_(* \(#,##0\);_(* "-"??_);_(@_)</c:formatCode>
                <c:ptCount val="19"/>
                <c:pt idx="0">
                  <c:v>508</c:v>
                </c:pt>
                <c:pt idx="1">
                  <c:v>560</c:v>
                </c:pt>
                <c:pt idx="2">
                  <c:v>1061</c:v>
                </c:pt>
                <c:pt idx="3">
                  <c:v>1917</c:v>
                </c:pt>
                <c:pt idx="4">
                  <c:v>4124</c:v>
                </c:pt>
                <c:pt idx="5">
                  <c:v>5907</c:v>
                </c:pt>
                <c:pt idx="6">
                  <c:v>6966</c:v>
                </c:pt>
                <c:pt idx="7">
                  <c:v>10833</c:v>
                </c:pt>
                <c:pt idx="8">
                  <c:v>11384</c:v>
                </c:pt>
                <c:pt idx="9">
                  <c:v>14460</c:v>
                </c:pt>
                <c:pt idx="10">
                  <c:v>18308</c:v>
                </c:pt>
                <c:pt idx="11">
                  <c:v>19194</c:v>
                </c:pt>
                <c:pt idx="12">
                  <c:v>21658</c:v>
                </c:pt>
                <c:pt idx="13">
                  <c:v>26269</c:v>
                </c:pt>
                <c:pt idx="14">
                  <c:v>34654</c:v>
                </c:pt>
                <c:pt idx="15">
                  <c:v>38990</c:v>
                </c:pt>
                <c:pt idx="16">
                  <c:v>44478</c:v>
                </c:pt>
                <c:pt idx="17">
                  <c:v>45293</c:v>
                </c:pt>
                <c:pt idx="18">
                  <c:v>45399</c:v>
                </c:pt>
              </c:numCache>
            </c:numRef>
          </c:val>
          <c:extLst>
            <c:ext xmlns:c16="http://schemas.microsoft.com/office/drawing/2014/chart" uri="{C3380CC4-5D6E-409C-BE32-E72D297353CC}">
              <c16:uniqueId val="{00000003-98EB-47D5-B3FA-4E8A325E9F1F}"/>
            </c:ext>
          </c:extLst>
        </c:ser>
        <c:ser>
          <c:idx val="4"/>
          <c:order val="4"/>
          <c:tx>
            <c:strRef>
              <c:f>'Electricity Generation'!$I$2</c:f>
              <c:strCache>
                <c:ptCount val="1"/>
                <c:pt idx="0">
                  <c:v>Nuclear</c:v>
                </c:pt>
              </c:strCache>
            </c:strRef>
          </c:tx>
          <c:spPr>
            <a:solidFill>
              <a:schemeClr val="dk1">
                <a:tint val="30000"/>
              </a:schemeClr>
            </a:solidFill>
            <a:ln>
              <a:noFill/>
            </a:ln>
            <a:effectLst/>
          </c:spPr>
          <c:invertIfNegative val="0"/>
          <c:cat>
            <c:numRef>
              <c:f>'Electricity Generation'!$D$3:$D$21</c:f>
              <c:numCache>
                <c:formatCode>0</c:formatCode>
                <c:ptCount val="19"/>
                <c:pt idx="0">
                  <c:v>1947</c:v>
                </c:pt>
                <c:pt idx="1">
                  <c:v>1950</c:v>
                </c:pt>
                <c:pt idx="2">
                  <c:v>1956</c:v>
                </c:pt>
                <c:pt idx="3">
                  <c:v>1961</c:v>
                </c:pt>
                <c:pt idx="4">
                  <c:v>1966</c:v>
                </c:pt>
                <c:pt idx="5">
                  <c:v>1969</c:v>
                </c:pt>
                <c:pt idx="6">
                  <c:v>1974</c:v>
                </c:pt>
                <c:pt idx="7">
                  <c:v>1979</c:v>
                </c:pt>
                <c:pt idx="8">
                  <c:v>1980</c:v>
                </c:pt>
                <c:pt idx="9">
                  <c:v>1985</c:v>
                </c:pt>
                <c:pt idx="10">
                  <c:v>1990</c:v>
                </c:pt>
                <c:pt idx="11">
                  <c:v>1992</c:v>
                </c:pt>
                <c:pt idx="12">
                  <c:v>1997</c:v>
                </c:pt>
                <c:pt idx="13">
                  <c:v>2002</c:v>
                </c:pt>
                <c:pt idx="14">
                  <c:v>2007</c:v>
                </c:pt>
                <c:pt idx="15">
                  <c:v>2012</c:v>
                </c:pt>
                <c:pt idx="16">
                  <c:v>2017</c:v>
                </c:pt>
                <c:pt idx="17">
                  <c:v>2018</c:v>
                </c:pt>
                <c:pt idx="18">
                  <c:v>2019</c:v>
                </c:pt>
              </c:numCache>
            </c:numRef>
          </c:cat>
          <c:val>
            <c:numRef>
              <c:f>'Electricity Generation'!$I$3:$I$21</c:f>
              <c:numCache>
                <c:formatCode>_(* #,##0_);_(* \(#,##0\);_(* "-"??_);_(@_)</c:formatCode>
                <c:ptCount val="19"/>
                <c:pt idx="0">
                  <c:v>0</c:v>
                </c:pt>
                <c:pt idx="1">
                  <c:v>0</c:v>
                </c:pt>
                <c:pt idx="2">
                  <c:v>0</c:v>
                </c:pt>
                <c:pt idx="3">
                  <c:v>0</c:v>
                </c:pt>
                <c:pt idx="4">
                  <c:v>0</c:v>
                </c:pt>
                <c:pt idx="5">
                  <c:v>0</c:v>
                </c:pt>
                <c:pt idx="6">
                  <c:v>640</c:v>
                </c:pt>
                <c:pt idx="7">
                  <c:v>640</c:v>
                </c:pt>
                <c:pt idx="8">
                  <c:v>640</c:v>
                </c:pt>
                <c:pt idx="9">
                  <c:v>1095</c:v>
                </c:pt>
                <c:pt idx="10">
                  <c:v>1565</c:v>
                </c:pt>
                <c:pt idx="11">
                  <c:v>1785</c:v>
                </c:pt>
                <c:pt idx="12">
                  <c:v>2225</c:v>
                </c:pt>
                <c:pt idx="13">
                  <c:v>2720</c:v>
                </c:pt>
                <c:pt idx="14">
                  <c:v>3900</c:v>
                </c:pt>
                <c:pt idx="15">
                  <c:v>4780</c:v>
                </c:pt>
                <c:pt idx="16">
                  <c:v>6780</c:v>
                </c:pt>
                <c:pt idx="17">
                  <c:v>6780</c:v>
                </c:pt>
                <c:pt idx="18">
                  <c:v>6780</c:v>
                </c:pt>
              </c:numCache>
            </c:numRef>
          </c:val>
          <c:extLst>
            <c:ext xmlns:c16="http://schemas.microsoft.com/office/drawing/2014/chart" uri="{C3380CC4-5D6E-409C-BE32-E72D297353CC}">
              <c16:uniqueId val="{00000004-98EB-47D5-B3FA-4E8A325E9F1F}"/>
            </c:ext>
          </c:extLst>
        </c:ser>
        <c:ser>
          <c:idx val="5"/>
          <c:order val="5"/>
          <c:tx>
            <c:strRef>
              <c:f>'Electricity Generation'!$J$2</c:f>
              <c:strCache>
                <c:ptCount val="1"/>
                <c:pt idx="0">
                  <c:v>Renewables</c:v>
                </c:pt>
              </c:strCache>
            </c:strRef>
          </c:tx>
          <c:spPr>
            <a:solidFill>
              <a:schemeClr val="dk1">
                <a:tint val="60000"/>
              </a:schemeClr>
            </a:solidFill>
            <a:ln>
              <a:noFill/>
            </a:ln>
            <a:effectLst/>
          </c:spPr>
          <c:invertIfNegative val="0"/>
          <c:cat>
            <c:numRef>
              <c:f>'Electricity Generation'!$D$3:$D$21</c:f>
              <c:numCache>
                <c:formatCode>0</c:formatCode>
                <c:ptCount val="19"/>
                <c:pt idx="0">
                  <c:v>1947</c:v>
                </c:pt>
                <c:pt idx="1">
                  <c:v>1950</c:v>
                </c:pt>
                <c:pt idx="2">
                  <c:v>1956</c:v>
                </c:pt>
                <c:pt idx="3">
                  <c:v>1961</c:v>
                </c:pt>
                <c:pt idx="4">
                  <c:v>1966</c:v>
                </c:pt>
                <c:pt idx="5">
                  <c:v>1969</c:v>
                </c:pt>
                <c:pt idx="6">
                  <c:v>1974</c:v>
                </c:pt>
                <c:pt idx="7">
                  <c:v>1979</c:v>
                </c:pt>
                <c:pt idx="8">
                  <c:v>1980</c:v>
                </c:pt>
                <c:pt idx="9">
                  <c:v>1985</c:v>
                </c:pt>
                <c:pt idx="10">
                  <c:v>1990</c:v>
                </c:pt>
                <c:pt idx="11">
                  <c:v>1992</c:v>
                </c:pt>
                <c:pt idx="12">
                  <c:v>1997</c:v>
                </c:pt>
                <c:pt idx="13">
                  <c:v>2002</c:v>
                </c:pt>
                <c:pt idx="14">
                  <c:v>2007</c:v>
                </c:pt>
                <c:pt idx="15">
                  <c:v>2012</c:v>
                </c:pt>
                <c:pt idx="16">
                  <c:v>2017</c:v>
                </c:pt>
                <c:pt idx="17">
                  <c:v>2018</c:v>
                </c:pt>
                <c:pt idx="18">
                  <c:v>2019</c:v>
                </c:pt>
              </c:numCache>
            </c:numRef>
          </c:cat>
          <c:val>
            <c:numRef>
              <c:f>'Electricity Generation'!$J$3:$J$21</c:f>
              <c:numCache>
                <c:formatCode>_(* #,##0_);_(* \(#,##0\);_(* "-"??_);_(@_)</c:formatCode>
                <c:ptCount val="19"/>
                <c:pt idx="0">
                  <c:v>0</c:v>
                </c:pt>
                <c:pt idx="1">
                  <c:v>0</c:v>
                </c:pt>
                <c:pt idx="2">
                  <c:v>0</c:v>
                </c:pt>
                <c:pt idx="3">
                  <c:v>0</c:v>
                </c:pt>
                <c:pt idx="4">
                  <c:v>0</c:v>
                </c:pt>
                <c:pt idx="5">
                  <c:v>0</c:v>
                </c:pt>
                <c:pt idx="6">
                  <c:v>0</c:v>
                </c:pt>
                <c:pt idx="7">
                  <c:v>0</c:v>
                </c:pt>
                <c:pt idx="8">
                  <c:v>0</c:v>
                </c:pt>
                <c:pt idx="9">
                  <c:v>0</c:v>
                </c:pt>
                <c:pt idx="10">
                  <c:v>18</c:v>
                </c:pt>
                <c:pt idx="11">
                  <c:v>32</c:v>
                </c:pt>
                <c:pt idx="12">
                  <c:v>902</c:v>
                </c:pt>
                <c:pt idx="13">
                  <c:v>1628</c:v>
                </c:pt>
                <c:pt idx="14">
                  <c:v>7760</c:v>
                </c:pt>
                <c:pt idx="15">
                  <c:v>24504</c:v>
                </c:pt>
                <c:pt idx="16">
                  <c:v>57244</c:v>
                </c:pt>
                <c:pt idx="17">
                  <c:v>69022</c:v>
                </c:pt>
                <c:pt idx="18">
                  <c:v>77642</c:v>
                </c:pt>
              </c:numCache>
            </c:numRef>
          </c:val>
          <c:extLst>
            <c:ext xmlns:c16="http://schemas.microsoft.com/office/drawing/2014/chart" uri="{C3380CC4-5D6E-409C-BE32-E72D297353CC}">
              <c16:uniqueId val="{00000005-98EB-47D5-B3FA-4E8A325E9F1F}"/>
            </c:ext>
          </c:extLst>
        </c:ser>
        <c:dLbls>
          <c:showLegendKey val="0"/>
          <c:showVal val="0"/>
          <c:showCatName val="0"/>
          <c:showSerName val="0"/>
          <c:showPercent val="0"/>
          <c:showBubbleSize val="0"/>
        </c:dLbls>
        <c:gapWidth val="150"/>
        <c:overlap val="100"/>
        <c:axId val="768134944"/>
        <c:axId val="768145824"/>
      </c:barChart>
      <c:catAx>
        <c:axId val="76813494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68145824"/>
        <c:crosses val="autoZero"/>
        <c:auto val="1"/>
        <c:lblAlgn val="ctr"/>
        <c:lblOffset val="100"/>
        <c:noMultiLvlLbl val="0"/>
      </c:catAx>
      <c:valAx>
        <c:axId val="76814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US"/>
                  <a:t>Electrcity (Megawatts)</a:t>
                </a:r>
              </a:p>
            </c:rich>
          </c:tx>
          <c:layout>
            <c:manualLayout>
              <c:xMode val="edge"/>
              <c:yMode val="edge"/>
              <c:x val="2.2434995625546812E-2"/>
              <c:y val="0.282964061006041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6813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2F5AE-E1FF-4EC9-B38A-57A28A1B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4930</Words>
  <Characters>27342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3</cp:revision>
  <cp:lastPrinted>2015-03-04T20:34:00Z</cp:lastPrinted>
  <dcterms:created xsi:type="dcterms:W3CDTF">2021-05-13T17:33:00Z</dcterms:created>
  <dcterms:modified xsi:type="dcterms:W3CDTF">2021-05-13T17:36:00Z</dcterms:modified>
</cp:coreProperties>
</file>