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4F0F04E2" w:rsidR="003A5366" w:rsidRPr="0017095C" w:rsidRDefault="00BC353D"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0E3B3C21" wp14:editId="45B21EB7">
            <wp:extent cx="2613804" cy="551245"/>
            <wp:effectExtent l="0" t="0" r="0" b="1270"/>
            <wp:docPr id="1" name="Picture 1" descr="Ivey Publishing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AB6DD23" w:rsidR="00C02410" w:rsidRPr="0017095C" w:rsidRDefault="00BC353D" w:rsidP="00C02410">
      <w:pPr>
        <w:pStyle w:val="ProductNumber"/>
        <w:rPr>
          <w:lang w:val="en-CA"/>
        </w:rPr>
      </w:pPr>
      <w:r>
        <w:rPr>
          <w:lang w:val="en-CA"/>
        </w:rPr>
        <w:t>9B21M059</w:t>
      </w:r>
    </w:p>
    <w:p w14:paraId="4E057522" w14:textId="7A113CB1" w:rsidR="00D75295" w:rsidRPr="0017095C" w:rsidRDefault="00D75295" w:rsidP="00D75295">
      <w:pPr>
        <w:jc w:val="right"/>
        <w:rPr>
          <w:rFonts w:ascii="Arial" w:hAnsi="Arial"/>
          <w:b/>
          <w:lang w:val="en-CA"/>
        </w:rPr>
      </w:pPr>
    </w:p>
    <w:p w14:paraId="02524312" w14:textId="77777777" w:rsidR="001901C0" w:rsidRPr="0017095C" w:rsidRDefault="001901C0" w:rsidP="00D75295">
      <w:pPr>
        <w:jc w:val="right"/>
        <w:rPr>
          <w:rFonts w:ascii="Arial" w:hAnsi="Arial"/>
          <w:b/>
          <w:lang w:val="en-CA"/>
        </w:rPr>
      </w:pPr>
    </w:p>
    <w:p w14:paraId="2F03D26A" w14:textId="33DC433D" w:rsidR="00013360" w:rsidRPr="0017095C" w:rsidRDefault="00F32D56" w:rsidP="00013360">
      <w:pPr>
        <w:pStyle w:val="CaseTitle"/>
        <w:spacing w:after="0" w:line="240" w:lineRule="auto"/>
        <w:rPr>
          <w:sz w:val="20"/>
          <w:szCs w:val="20"/>
          <w:lang w:val="en-CA"/>
        </w:rPr>
      </w:pPr>
      <w:r w:rsidRPr="0017095C">
        <w:rPr>
          <w:lang w:val="en-CA"/>
        </w:rPr>
        <w:t>SHANDONG</w:t>
      </w:r>
      <w:r w:rsidRPr="0017095C">
        <w:rPr>
          <w:rFonts w:eastAsiaTheme="minorEastAsia"/>
          <w:lang w:val="en-CA" w:eastAsia="zh-CN"/>
        </w:rPr>
        <w:t xml:space="preserve"> </w:t>
      </w:r>
      <w:r w:rsidRPr="0017095C">
        <w:rPr>
          <w:lang w:val="en-CA"/>
        </w:rPr>
        <w:t>GOLD’S PROPOSED ACQU</w:t>
      </w:r>
      <w:r w:rsidRPr="0017095C">
        <w:rPr>
          <w:rFonts w:eastAsiaTheme="minorEastAsia"/>
          <w:lang w:val="en-CA" w:eastAsia="zh-CN"/>
        </w:rPr>
        <w:t>I</w:t>
      </w:r>
      <w:r w:rsidRPr="0017095C">
        <w:rPr>
          <w:lang w:val="en-CA"/>
        </w:rPr>
        <w:t>SITION OF TMAC in the High ArCtic</w:t>
      </w:r>
    </w:p>
    <w:p w14:paraId="40ABF6FD" w14:textId="77777777" w:rsidR="00CA3976" w:rsidRPr="0017095C" w:rsidRDefault="00CA3976" w:rsidP="00013360">
      <w:pPr>
        <w:pStyle w:val="CaseTitle"/>
        <w:spacing w:after="0" w:line="240" w:lineRule="auto"/>
        <w:rPr>
          <w:sz w:val="20"/>
          <w:szCs w:val="20"/>
          <w:lang w:val="en-CA"/>
        </w:rPr>
      </w:pPr>
    </w:p>
    <w:p w14:paraId="202F1085" w14:textId="77777777" w:rsidR="00013360" w:rsidRPr="0017095C" w:rsidRDefault="00013360" w:rsidP="00013360">
      <w:pPr>
        <w:pStyle w:val="CaseTitle"/>
        <w:spacing w:after="0" w:line="240" w:lineRule="auto"/>
        <w:rPr>
          <w:sz w:val="20"/>
          <w:szCs w:val="20"/>
          <w:lang w:val="en-CA"/>
        </w:rPr>
      </w:pPr>
    </w:p>
    <w:p w14:paraId="58B0C73F" w14:textId="740F70B5" w:rsidR="00086B26" w:rsidRPr="0017095C" w:rsidRDefault="00F32D56" w:rsidP="00086B26">
      <w:pPr>
        <w:pStyle w:val="StyleCopyrightStatementAfter0ptBottomSinglesolidline1"/>
        <w:rPr>
          <w:lang w:val="en-CA"/>
        </w:rPr>
      </w:pPr>
      <w:r w:rsidRPr="0017095C">
        <w:rPr>
          <w:szCs w:val="17"/>
          <w:lang w:val="en-CA"/>
        </w:rPr>
        <w:t>Su Liu, Paul W. Beamish, and Alex Beamish</w:t>
      </w:r>
      <w:r w:rsidR="00ED7922" w:rsidRPr="0017095C">
        <w:rPr>
          <w:rFonts w:cs="Arial"/>
          <w:sz w:val="14"/>
          <w:szCs w:val="16"/>
          <w:lang w:val="en-CA"/>
        </w:rPr>
        <w:t xml:space="preserve"> </w:t>
      </w:r>
      <w:r w:rsidR="00086B26" w:rsidRPr="0017095C">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7095C" w:rsidRDefault="00086B26" w:rsidP="00086B26">
      <w:pPr>
        <w:pStyle w:val="StyleCopyrightStatementAfter0ptBottomSinglesolidline1"/>
        <w:rPr>
          <w:lang w:val="en-CA"/>
        </w:rPr>
      </w:pPr>
    </w:p>
    <w:p w14:paraId="1EEEBFE5" w14:textId="33A6DD28" w:rsidR="00A323B0" w:rsidRPr="0017095C" w:rsidRDefault="00BC353D"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17095C" w:rsidRDefault="003A5366" w:rsidP="00A323B0">
      <w:pPr>
        <w:pStyle w:val="StyleStyleCopyrightStatementAfter0ptBottomSinglesolid"/>
        <w:rPr>
          <w:rFonts w:cs="Arial"/>
          <w:szCs w:val="16"/>
          <w:lang w:val="en-CA"/>
        </w:rPr>
      </w:pPr>
    </w:p>
    <w:p w14:paraId="3922E14F" w14:textId="4F092D03" w:rsidR="00751E0B" w:rsidRPr="0017095C" w:rsidRDefault="00BC353D"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17095C">
        <w:rPr>
          <w:rFonts w:cs="Arial"/>
          <w:iCs w:val="0"/>
          <w:color w:val="auto"/>
          <w:szCs w:val="16"/>
          <w:lang w:val="en-CA"/>
        </w:rPr>
        <w:tab/>
        <w:t xml:space="preserve">Version: </w:t>
      </w:r>
      <w:r w:rsidR="00F32D56" w:rsidRPr="0017095C">
        <w:rPr>
          <w:rFonts w:cs="Arial"/>
          <w:iCs w:val="0"/>
          <w:color w:val="auto"/>
          <w:szCs w:val="16"/>
          <w:lang w:val="en-CA"/>
        </w:rPr>
        <w:t>2021-</w:t>
      </w:r>
      <w:r w:rsidR="00B22F55">
        <w:rPr>
          <w:rFonts w:cs="Arial"/>
          <w:iCs w:val="0"/>
          <w:color w:val="auto"/>
          <w:szCs w:val="16"/>
          <w:lang w:val="en-CA"/>
        </w:rPr>
        <w:t>05-31</w:t>
      </w:r>
    </w:p>
    <w:p w14:paraId="0A2A54E4" w14:textId="568EE978" w:rsidR="00751E0B" w:rsidRPr="0017095C" w:rsidRDefault="00751E0B" w:rsidP="00751E0B">
      <w:pPr>
        <w:pStyle w:val="StyleCopyrightStatementAfter0ptBottomSinglesolidline1"/>
        <w:rPr>
          <w:rFonts w:ascii="Times New Roman" w:hAnsi="Times New Roman"/>
          <w:sz w:val="20"/>
          <w:lang w:val="en-CA"/>
        </w:rPr>
      </w:pPr>
    </w:p>
    <w:p w14:paraId="439F7C88" w14:textId="77777777" w:rsidR="000F140E" w:rsidRPr="0017095C" w:rsidRDefault="000F140E" w:rsidP="00751E0B">
      <w:pPr>
        <w:pStyle w:val="StyleCopyrightStatementAfter0ptBottomSinglesolidline1"/>
        <w:rPr>
          <w:rFonts w:ascii="Times New Roman" w:hAnsi="Times New Roman"/>
          <w:sz w:val="20"/>
          <w:lang w:val="en-CA"/>
        </w:rPr>
      </w:pPr>
    </w:p>
    <w:p w14:paraId="2AA3B246" w14:textId="58794260" w:rsidR="00C00AE7" w:rsidRPr="0017095C" w:rsidRDefault="00C00AE7" w:rsidP="00C00AE7">
      <w:pPr>
        <w:pStyle w:val="BodyTextMain"/>
        <w:rPr>
          <w:lang w:val="en-CA"/>
        </w:rPr>
      </w:pPr>
      <w:r w:rsidRPr="0017095C">
        <w:rPr>
          <w:lang w:val="en-CA"/>
        </w:rPr>
        <w:t xml:space="preserve">On May 8, 2020, </w:t>
      </w:r>
      <w:r w:rsidR="00792B9F" w:rsidRPr="0017095C">
        <w:rPr>
          <w:lang w:val="en-CA"/>
        </w:rPr>
        <w:t>Chinese state-owned enterprise Shandong Gold</w:t>
      </w:r>
      <w:r w:rsidR="00E12748" w:rsidRPr="0017095C">
        <w:rPr>
          <w:lang w:val="en-CA"/>
        </w:rPr>
        <w:t xml:space="preserve"> Group </w:t>
      </w:r>
      <w:r w:rsidR="002D426C" w:rsidRPr="0017095C">
        <w:rPr>
          <w:lang w:val="en-CA"/>
        </w:rPr>
        <w:t xml:space="preserve">Co. Ltd. </w:t>
      </w:r>
      <w:r w:rsidR="00E12748" w:rsidRPr="0017095C">
        <w:rPr>
          <w:lang w:val="en-CA"/>
        </w:rPr>
        <w:t>(Shandong Gold)</w:t>
      </w:r>
      <w:r w:rsidR="00792B9F" w:rsidRPr="0017095C">
        <w:rPr>
          <w:lang w:val="en-CA"/>
        </w:rPr>
        <w:t xml:space="preserve"> held an</w:t>
      </w:r>
      <w:r w:rsidRPr="0017095C">
        <w:rPr>
          <w:lang w:val="en-CA"/>
        </w:rPr>
        <w:t xml:space="preserve"> </w:t>
      </w:r>
      <w:r w:rsidRPr="0017095C">
        <w:rPr>
          <w:lang w:val="en-CA" w:eastAsia="zh-CN"/>
        </w:rPr>
        <w:t>online</w:t>
      </w:r>
      <w:r w:rsidRPr="0017095C">
        <w:rPr>
          <w:lang w:val="en-CA"/>
        </w:rPr>
        <w:t xml:space="preserve"> signing ceremony</w:t>
      </w:r>
      <w:r w:rsidR="00792B9F" w:rsidRPr="0017095C">
        <w:rPr>
          <w:lang w:val="en-CA"/>
        </w:rPr>
        <w:t xml:space="preserve"> simultaneously in Jinan, China</w:t>
      </w:r>
      <w:r w:rsidR="000F140E" w:rsidRPr="0017095C">
        <w:rPr>
          <w:lang w:val="en-CA"/>
        </w:rPr>
        <w:t>,</w:t>
      </w:r>
      <w:r w:rsidR="00792B9F" w:rsidRPr="0017095C">
        <w:rPr>
          <w:lang w:val="en-CA"/>
        </w:rPr>
        <w:t xml:space="preserve"> and in Toronto, Canada </w:t>
      </w:r>
      <w:r w:rsidRPr="0017095C">
        <w:rPr>
          <w:lang w:val="en-CA"/>
        </w:rPr>
        <w:t>for the acquisition of TMAC Resource</w:t>
      </w:r>
      <w:r w:rsidRPr="0017095C">
        <w:rPr>
          <w:lang w:val="en-CA" w:eastAsia="zh-CN"/>
        </w:rPr>
        <w:t>s</w:t>
      </w:r>
      <w:r w:rsidRPr="0017095C">
        <w:rPr>
          <w:lang w:val="en-CA"/>
        </w:rPr>
        <w:t xml:space="preserve"> (TM</w:t>
      </w:r>
      <w:r w:rsidR="00792B9F" w:rsidRPr="0017095C">
        <w:rPr>
          <w:lang w:val="en-CA"/>
        </w:rPr>
        <w:t>AC</w:t>
      </w:r>
      <w:r w:rsidRPr="0017095C">
        <w:rPr>
          <w:lang w:val="en-CA"/>
        </w:rPr>
        <w:t>), a listed Canadian gold mining company. According to a series of agreements signed by the two parties, Shandong Gold would acquire 100</w:t>
      </w:r>
      <w:r w:rsidR="00792B9F" w:rsidRPr="0017095C">
        <w:rPr>
          <w:lang w:val="en-CA"/>
        </w:rPr>
        <w:t xml:space="preserve"> per cent</w:t>
      </w:r>
      <w:r w:rsidRPr="0017095C">
        <w:rPr>
          <w:lang w:val="en-CA"/>
        </w:rPr>
        <w:t xml:space="preserve"> equity of TMAC in cash at a price of C</w:t>
      </w:r>
      <w:r w:rsidR="00792B9F" w:rsidRPr="0017095C">
        <w:rPr>
          <w:lang w:val="en-CA"/>
        </w:rPr>
        <w:t>A</w:t>
      </w:r>
      <w:r w:rsidRPr="0017095C">
        <w:rPr>
          <w:lang w:val="en-CA"/>
        </w:rPr>
        <w:t>$1.75</w:t>
      </w:r>
      <w:r w:rsidR="00E12748" w:rsidRPr="0017095C">
        <w:rPr>
          <w:rStyle w:val="EndnoteReference"/>
          <w:lang w:val="en-CA"/>
        </w:rPr>
        <w:endnoteReference w:id="1"/>
      </w:r>
      <w:r w:rsidRPr="0017095C">
        <w:rPr>
          <w:lang w:val="en-CA"/>
        </w:rPr>
        <w:t xml:space="preserve"> per share, with a total investment of approximately US$163 million. The acquisition still needed to be approved by the relevant departments of the Chinese and Canadian government</w:t>
      </w:r>
      <w:r w:rsidRPr="0017095C">
        <w:rPr>
          <w:lang w:val="en-CA" w:eastAsia="zh-CN"/>
        </w:rPr>
        <w:t>s</w:t>
      </w:r>
      <w:r w:rsidRPr="0017095C">
        <w:rPr>
          <w:lang w:val="en-CA"/>
        </w:rPr>
        <w:t>.</w:t>
      </w:r>
    </w:p>
    <w:p w14:paraId="64FAE4CB" w14:textId="77777777" w:rsidR="00C00AE7" w:rsidRPr="0017095C" w:rsidRDefault="00C00AE7" w:rsidP="00C00AE7">
      <w:pPr>
        <w:pStyle w:val="BodyTextMain"/>
        <w:rPr>
          <w:lang w:val="en-CA"/>
        </w:rPr>
      </w:pPr>
    </w:p>
    <w:p w14:paraId="082836E3" w14:textId="266B551A" w:rsidR="00C00AE7" w:rsidRPr="0017095C" w:rsidRDefault="00C00AE7" w:rsidP="00C00AE7">
      <w:pPr>
        <w:pStyle w:val="BodyTextMain"/>
        <w:rPr>
          <w:lang w:val="en-CA" w:eastAsia="zh-CN"/>
        </w:rPr>
      </w:pPr>
      <w:r w:rsidRPr="0017095C">
        <w:rPr>
          <w:lang w:val="en-CA"/>
        </w:rPr>
        <w:t xml:space="preserve">TMAC’s core asset was </w:t>
      </w:r>
      <w:r w:rsidRPr="0017095C">
        <w:rPr>
          <w:lang w:val="en-CA" w:eastAsia="zh-CN"/>
        </w:rPr>
        <w:t>its 100</w:t>
      </w:r>
      <w:r w:rsidR="00792B9F" w:rsidRPr="0017095C">
        <w:rPr>
          <w:lang w:val="en-CA" w:eastAsia="zh-CN"/>
        </w:rPr>
        <w:t xml:space="preserve"> per cent</w:t>
      </w:r>
      <w:r w:rsidRPr="0017095C">
        <w:rPr>
          <w:lang w:val="en-CA"/>
        </w:rPr>
        <w:t xml:space="preserve"> interest in the Hope Bay gold project located in the northeast of </w:t>
      </w:r>
      <w:r w:rsidRPr="0017095C">
        <w:rPr>
          <w:lang w:val="en-CA" w:eastAsia="zh-CN"/>
        </w:rPr>
        <w:t>the</w:t>
      </w:r>
      <w:r w:rsidR="00F61DA2" w:rsidRPr="0017095C">
        <w:rPr>
          <w:lang w:val="en-CA" w:eastAsia="zh-CN"/>
        </w:rPr>
        <w:t xml:space="preserve"> Canadian</w:t>
      </w:r>
      <w:r w:rsidRPr="0017095C">
        <w:rPr>
          <w:lang w:val="en-CA" w:eastAsia="zh-CN"/>
        </w:rPr>
        <w:t xml:space="preserve"> territory of </w:t>
      </w:r>
      <w:r w:rsidRPr="0017095C">
        <w:rPr>
          <w:lang w:val="en-CA"/>
        </w:rPr>
        <w:t xml:space="preserve">Nunavut. The project was located about 160 kilometres north of the Arctic Circle. </w:t>
      </w:r>
      <w:r w:rsidR="001E10C0" w:rsidRPr="0017095C">
        <w:rPr>
          <w:lang w:val="en-CA"/>
        </w:rPr>
        <w:t xml:space="preserve">Since </w:t>
      </w:r>
      <w:r w:rsidRPr="0017095C">
        <w:rPr>
          <w:lang w:val="en-CA"/>
        </w:rPr>
        <w:t xml:space="preserve">production </w:t>
      </w:r>
      <w:r w:rsidR="003C1FBE" w:rsidRPr="0017095C">
        <w:rPr>
          <w:lang w:val="en-CA"/>
        </w:rPr>
        <w:t xml:space="preserve">began </w:t>
      </w:r>
      <w:r w:rsidRPr="0017095C">
        <w:rPr>
          <w:lang w:val="en-CA"/>
        </w:rPr>
        <w:t>in 2017, t</w:t>
      </w:r>
      <w:r w:rsidR="003C1FBE" w:rsidRPr="0017095C">
        <w:rPr>
          <w:lang w:val="en-CA"/>
        </w:rPr>
        <w:t>he project</w:t>
      </w:r>
      <w:r w:rsidRPr="0017095C">
        <w:rPr>
          <w:lang w:val="en-CA"/>
        </w:rPr>
        <w:t xml:space="preserve"> </w:t>
      </w:r>
      <w:r w:rsidR="001E10C0" w:rsidRPr="0017095C">
        <w:rPr>
          <w:lang w:val="en-CA"/>
        </w:rPr>
        <w:t xml:space="preserve">had </w:t>
      </w:r>
      <w:r w:rsidRPr="0017095C">
        <w:rPr>
          <w:lang w:val="en-CA"/>
        </w:rPr>
        <w:t xml:space="preserve">faced </w:t>
      </w:r>
      <w:r w:rsidRPr="0017095C">
        <w:rPr>
          <w:lang w:val="en-CA" w:eastAsia="zh-CN"/>
        </w:rPr>
        <w:t>numerous</w:t>
      </w:r>
      <w:r w:rsidRPr="0017095C">
        <w:rPr>
          <w:lang w:val="en-CA"/>
        </w:rPr>
        <w:t xml:space="preserve"> operational problems</w:t>
      </w:r>
      <w:r w:rsidR="003C1FBE" w:rsidRPr="0017095C">
        <w:rPr>
          <w:lang w:val="en-CA"/>
        </w:rPr>
        <w:t>, which</w:t>
      </w:r>
      <w:r w:rsidRPr="0017095C">
        <w:rPr>
          <w:lang w:val="en-CA"/>
        </w:rPr>
        <w:t xml:space="preserve"> </w:t>
      </w:r>
      <w:r w:rsidR="00147EBB" w:rsidRPr="0017095C">
        <w:rPr>
          <w:lang w:val="en-CA"/>
        </w:rPr>
        <w:t>required</w:t>
      </w:r>
      <w:r w:rsidRPr="0017095C">
        <w:rPr>
          <w:lang w:val="en-CA"/>
        </w:rPr>
        <w:t xml:space="preserve"> hundreds of millions of Canadian dollars</w:t>
      </w:r>
      <w:r w:rsidR="003C1FBE" w:rsidRPr="0017095C">
        <w:rPr>
          <w:lang w:val="en-CA"/>
        </w:rPr>
        <w:t xml:space="preserve"> to resolve, but</w:t>
      </w:r>
      <w:r w:rsidRPr="0017095C">
        <w:rPr>
          <w:lang w:val="en-CA"/>
        </w:rPr>
        <w:t xml:space="preserve"> TMAC </w:t>
      </w:r>
      <w:r w:rsidR="001E10C0" w:rsidRPr="0017095C">
        <w:rPr>
          <w:lang w:val="en-CA"/>
        </w:rPr>
        <w:t xml:space="preserve">had been </w:t>
      </w:r>
      <w:r w:rsidRPr="0017095C">
        <w:rPr>
          <w:lang w:val="en-CA"/>
        </w:rPr>
        <w:t>unable to obtain the</w:t>
      </w:r>
      <w:r w:rsidR="003C1FBE" w:rsidRPr="0017095C">
        <w:rPr>
          <w:lang w:val="en-CA"/>
        </w:rPr>
        <w:t xml:space="preserve"> required</w:t>
      </w:r>
      <w:r w:rsidRPr="0017095C">
        <w:rPr>
          <w:lang w:val="en-CA"/>
        </w:rPr>
        <w:t xml:space="preserve"> fund</w:t>
      </w:r>
      <w:r w:rsidR="003C1FBE" w:rsidRPr="0017095C">
        <w:rPr>
          <w:lang w:val="en-CA"/>
        </w:rPr>
        <w:t>ing</w:t>
      </w:r>
      <w:r w:rsidRPr="0017095C">
        <w:rPr>
          <w:lang w:val="en-CA"/>
        </w:rPr>
        <w:t>.</w:t>
      </w:r>
      <w:r w:rsidR="00E12748" w:rsidRPr="0017095C">
        <w:rPr>
          <w:rStyle w:val="EndnoteReference"/>
          <w:lang w:val="en-CA"/>
        </w:rPr>
        <w:endnoteReference w:id="2"/>
      </w:r>
      <w:r w:rsidRPr="0017095C">
        <w:rPr>
          <w:lang w:val="en-CA"/>
        </w:rPr>
        <w:t xml:space="preserve"> </w:t>
      </w:r>
      <w:r w:rsidR="003C1FBE" w:rsidRPr="0017095C">
        <w:rPr>
          <w:lang w:val="en-CA"/>
        </w:rPr>
        <w:t>C</w:t>
      </w:r>
      <w:r w:rsidRPr="0017095C">
        <w:rPr>
          <w:lang w:val="en-CA"/>
        </w:rPr>
        <w:t xml:space="preserve">ould Shandong Gold </w:t>
      </w:r>
      <w:r w:rsidRPr="0017095C">
        <w:rPr>
          <w:lang w:val="en-CA" w:eastAsia="zh-CN"/>
        </w:rPr>
        <w:t xml:space="preserve">realistically </w:t>
      </w:r>
      <w:r w:rsidRPr="0017095C">
        <w:rPr>
          <w:lang w:val="en-CA"/>
        </w:rPr>
        <w:t>take over the operation of this gold mine</w:t>
      </w:r>
      <w:r w:rsidR="003C1FBE" w:rsidRPr="0017095C">
        <w:rPr>
          <w:lang w:val="en-CA"/>
        </w:rPr>
        <w:t xml:space="preserve"> in </w:t>
      </w:r>
      <w:r w:rsidR="00B953CB" w:rsidRPr="0017095C">
        <w:rPr>
          <w:lang w:val="en-CA"/>
        </w:rPr>
        <w:t>the</w:t>
      </w:r>
      <w:r w:rsidR="003C1FBE" w:rsidRPr="0017095C">
        <w:rPr>
          <w:lang w:val="en-CA"/>
        </w:rPr>
        <w:t xml:space="preserve"> difficult polar environment</w:t>
      </w:r>
      <w:r w:rsidRPr="0017095C">
        <w:rPr>
          <w:lang w:val="en-CA"/>
        </w:rPr>
        <w:t xml:space="preserve">? Would </w:t>
      </w:r>
      <w:r w:rsidR="003C1FBE" w:rsidRPr="0017095C">
        <w:rPr>
          <w:lang w:val="en-CA"/>
        </w:rPr>
        <w:t>Shandong Gold be welcomed into the project by Nunavut’s</w:t>
      </w:r>
      <w:r w:rsidRPr="0017095C">
        <w:rPr>
          <w:lang w:val="en-CA"/>
        </w:rPr>
        <w:t xml:space="preserve"> local </w:t>
      </w:r>
      <w:r w:rsidR="00816BFC">
        <w:rPr>
          <w:lang w:val="en-CA"/>
        </w:rPr>
        <w:t>Indigenous</w:t>
      </w:r>
      <w:r w:rsidRPr="0017095C">
        <w:rPr>
          <w:lang w:val="en-CA"/>
        </w:rPr>
        <w:t xml:space="preserve"> people</w:t>
      </w:r>
      <w:r w:rsidR="000D28D7" w:rsidRPr="0017095C">
        <w:rPr>
          <w:lang w:val="en-CA"/>
        </w:rPr>
        <w:t>,</w:t>
      </w:r>
      <w:r w:rsidRPr="0017095C">
        <w:rPr>
          <w:lang w:val="en-CA"/>
        </w:rPr>
        <w:t xml:space="preserve"> who held the land’s mineral lease? </w:t>
      </w:r>
      <w:r w:rsidR="000D28D7" w:rsidRPr="0017095C">
        <w:rPr>
          <w:lang w:val="en-CA"/>
        </w:rPr>
        <w:t>W</w:t>
      </w:r>
      <w:r w:rsidR="00AA02AB" w:rsidRPr="0017095C">
        <w:rPr>
          <w:lang w:val="en-CA"/>
        </w:rPr>
        <w:t>hat w</w:t>
      </w:r>
      <w:r w:rsidR="000D28D7" w:rsidRPr="0017095C">
        <w:rPr>
          <w:lang w:val="en-CA"/>
        </w:rPr>
        <w:t>ould</w:t>
      </w:r>
      <w:r w:rsidRPr="0017095C">
        <w:rPr>
          <w:lang w:val="en-CA"/>
        </w:rPr>
        <w:t xml:space="preserve"> </w:t>
      </w:r>
      <w:r w:rsidR="00AA02AB" w:rsidRPr="0017095C">
        <w:rPr>
          <w:lang w:val="en-CA"/>
        </w:rPr>
        <w:t xml:space="preserve">be </w:t>
      </w:r>
      <w:r w:rsidRPr="0017095C">
        <w:rPr>
          <w:lang w:val="en-CA"/>
        </w:rPr>
        <w:t>the</w:t>
      </w:r>
      <w:r w:rsidR="00AA02AB" w:rsidRPr="0017095C">
        <w:rPr>
          <w:lang w:val="en-CA"/>
        </w:rPr>
        <w:t xml:space="preserve"> effect of the</w:t>
      </w:r>
      <w:r w:rsidRPr="0017095C">
        <w:rPr>
          <w:lang w:val="en-CA"/>
        </w:rPr>
        <w:t xml:space="preserve"> Canadian government</w:t>
      </w:r>
      <w:r w:rsidR="000D28D7" w:rsidRPr="0017095C">
        <w:rPr>
          <w:lang w:val="en-CA"/>
        </w:rPr>
        <w:t>’s recent move to</w:t>
      </w:r>
      <w:r w:rsidRPr="0017095C">
        <w:rPr>
          <w:lang w:val="en-CA" w:eastAsia="zh-CN"/>
        </w:rPr>
        <w:t xml:space="preserve"> </w:t>
      </w:r>
      <w:r w:rsidRPr="0017095C">
        <w:rPr>
          <w:lang w:val="en-CA"/>
        </w:rPr>
        <w:t>strengthen its review of foreign acquisitions of Canadian companies?</w:t>
      </w:r>
    </w:p>
    <w:p w14:paraId="09CE4E9A" w14:textId="77777777" w:rsidR="00C00AE7" w:rsidRPr="0017095C" w:rsidRDefault="00C00AE7" w:rsidP="00C00AE7">
      <w:pPr>
        <w:pStyle w:val="BodyTextMain"/>
        <w:rPr>
          <w:lang w:val="en-CA" w:eastAsia="zh-CN"/>
        </w:rPr>
      </w:pPr>
    </w:p>
    <w:p w14:paraId="4AAA1CE5" w14:textId="77777777" w:rsidR="00C00AE7" w:rsidRPr="0017095C" w:rsidRDefault="00C00AE7" w:rsidP="00C00AE7">
      <w:pPr>
        <w:pStyle w:val="BodyTextMain"/>
        <w:rPr>
          <w:lang w:val="en-CA" w:eastAsia="zh-CN"/>
        </w:rPr>
      </w:pPr>
    </w:p>
    <w:p w14:paraId="7B236ACF" w14:textId="77777777" w:rsidR="00C00AE7" w:rsidRPr="0017095C" w:rsidRDefault="00C00AE7" w:rsidP="00C00AE7">
      <w:pPr>
        <w:pStyle w:val="Casehead1"/>
        <w:rPr>
          <w:rFonts w:eastAsia="Calibri"/>
          <w:lang w:val="en-CA"/>
        </w:rPr>
      </w:pPr>
      <w:r w:rsidRPr="0017095C">
        <w:rPr>
          <w:rFonts w:eastAsia="Calibri"/>
          <w:lang w:val="en-CA"/>
        </w:rPr>
        <w:t>SHANDONG GOLD’S INTERNATIONALIZATION STRATEGY</w:t>
      </w:r>
    </w:p>
    <w:p w14:paraId="18C57D70" w14:textId="77777777" w:rsidR="00C00AE7" w:rsidRPr="0017095C" w:rsidRDefault="00C00AE7" w:rsidP="00C00AE7">
      <w:pPr>
        <w:pStyle w:val="BodyTextMain"/>
        <w:rPr>
          <w:lang w:val="en-CA" w:eastAsia="zh-CN"/>
        </w:rPr>
      </w:pPr>
    </w:p>
    <w:p w14:paraId="6B69FD70" w14:textId="16E63625" w:rsidR="00C00AE7" w:rsidRPr="0017095C" w:rsidRDefault="000D28D7" w:rsidP="00C00AE7">
      <w:pPr>
        <w:pStyle w:val="BodyTextMain"/>
        <w:rPr>
          <w:rFonts w:eastAsiaTheme="majorEastAsia"/>
          <w:kern w:val="2"/>
          <w:lang w:val="en-CA" w:eastAsia="zh-CN"/>
        </w:rPr>
      </w:pPr>
      <w:r w:rsidRPr="0017095C">
        <w:rPr>
          <w:rFonts w:eastAsiaTheme="majorEastAsia"/>
          <w:kern w:val="2"/>
          <w:lang w:val="en-CA" w:eastAsia="zh-CN"/>
        </w:rPr>
        <w:t xml:space="preserve">Proposed in 2013, </w:t>
      </w:r>
      <w:r w:rsidR="00AA02AB" w:rsidRPr="0017095C">
        <w:rPr>
          <w:rFonts w:eastAsiaTheme="majorEastAsia"/>
          <w:kern w:val="2"/>
          <w:lang w:val="en-CA" w:eastAsia="zh-CN"/>
        </w:rPr>
        <w:t>the</w:t>
      </w:r>
      <w:r w:rsidR="00C00AE7" w:rsidRPr="0017095C">
        <w:rPr>
          <w:rFonts w:eastAsiaTheme="majorEastAsia"/>
          <w:kern w:val="2"/>
          <w:lang w:val="en-CA" w:eastAsia="zh-CN"/>
        </w:rPr>
        <w:t xml:space="preserve"> One Belt, One Road initiative became one of China’s three national strategies in 2014</w:t>
      </w:r>
      <w:r w:rsidR="00AA02AB" w:rsidRPr="0017095C">
        <w:rPr>
          <w:rFonts w:eastAsiaTheme="majorEastAsia"/>
          <w:kern w:val="2"/>
          <w:lang w:val="en-CA" w:eastAsia="zh-CN"/>
        </w:rPr>
        <w:t xml:space="preserve"> and</w:t>
      </w:r>
      <w:r w:rsidR="00C00AE7" w:rsidRPr="0017095C">
        <w:rPr>
          <w:rFonts w:eastAsiaTheme="majorEastAsia"/>
          <w:kern w:val="2"/>
          <w:lang w:val="en-CA" w:eastAsia="zh-CN"/>
        </w:rPr>
        <w:t xml:space="preserve"> was fully devised in 2015</w:t>
      </w:r>
      <w:r w:rsidR="00AA02AB" w:rsidRPr="0017095C">
        <w:rPr>
          <w:rFonts w:eastAsiaTheme="majorEastAsia"/>
          <w:kern w:val="2"/>
          <w:lang w:val="en-CA" w:eastAsia="zh-CN"/>
        </w:rPr>
        <w:t>.</w:t>
      </w:r>
      <w:r w:rsidRPr="0017095C">
        <w:rPr>
          <w:rFonts w:eastAsiaTheme="majorEastAsia"/>
          <w:kern w:val="2"/>
          <w:lang w:val="en-CA" w:eastAsia="zh-CN"/>
        </w:rPr>
        <w:t xml:space="preserve"> </w:t>
      </w:r>
      <w:r w:rsidR="00AA02AB" w:rsidRPr="0017095C">
        <w:rPr>
          <w:rFonts w:eastAsiaTheme="majorEastAsia"/>
          <w:kern w:val="2"/>
          <w:lang w:val="en-CA" w:eastAsia="zh-CN"/>
        </w:rPr>
        <w:t>The next year, in 2016,</w:t>
      </w:r>
      <w:r w:rsidR="00C00AE7" w:rsidRPr="0017095C">
        <w:rPr>
          <w:rFonts w:eastAsiaTheme="majorEastAsia"/>
          <w:kern w:val="2"/>
          <w:lang w:val="en-CA" w:eastAsia="zh-CN"/>
        </w:rPr>
        <w:t xml:space="preserve"> the One Belt</w:t>
      </w:r>
      <w:r w:rsidRPr="0017095C">
        <w:rPr>
          <w:rFonts w:eastAsiaTheme="majorEastAsia"/>
          <w:kern w:val="2"/>
          <w:lang w:val="en-CA" w:eastAsia="zh-CN"/>
        </w:rPr>
        <w:t>,</w:t>
      </w:r>
      <w:r w:rsidR="00C00AE7" w:rsidRPr="0017095C">
        <w:rPr>
          <w:rFonts w:eastAsiaTheme="majorEastAsia"/>
          <w:kern w:val="2"/>
          <w:lang w:val="en-CA" w:eastAsia="zh-CN"/>
        </w:rPr>
        <w:t xml:space="preserve"> One Road initiative entered the full implementation</w:t>
      </w:r>
      <w:r w:rsidRPr="0017095C">
        <w:rPr>
          <w:rFonts w:eastAsiaTheme="majorEastAsia"/>
          <w:kern w:val="2"/>
          <w:lang w:val="en-CA" w:eastAsia="zh-CN"/>
        </w:rPr>
        <w:t xml:space="preserve"> stage</w:t>
      </w:r>
      <w:r w:rsidR="00C00AE7" w:rsidRPr="0017095C">
        <w:rPr>
          <w:rFonts w:eastAsiaTheme="majorEastAsia"/>
          <w:kern w:val="2"/>
          <w:lang w:val="en-CA" w:eastAsia="zh-CN"/>
        </w:rPr>
        <w:t>.</w:t>
      </w:r>
      <w:r w:rsidR="00C00AE7" w:rsidRPr="0017095C">
        <w:rPr>
          <w:rFonts w:eastAsiaTheme="majorEastAsia"/>
          <w:kern w:val="2"/>
          <w:vertAlign w:val="superscript"/>
          <w:lang w:val="en-CA" w:eastAsia="zh-CN"/>
        </w:rPr>
        <w:endnoteReference w:id="3"/>
      </w:r>
      <w:r w:rsidR="00C00AE7" w:rsidRPr="0017095C">
        <w:rPr>
          <w:kern w:val="2"/>
          <w:sz w:val="21"/>
          <w:lang w:val="en-CA" w:eastAsia="zh-CN"/>
        </w:rPr>
        <w:t xml:space="preserve"> </w:t>
      </w:r>
      <w:r w:rsidR="00C00AE7" w:rsidRPr="0017095C">
        <w:rPr>
          <w:lang w:val="en-CA"/>
        </w:rPr>
        <w:t xml:space="preserve">This ambitious economic development project </w:t>
      </w:r>
      <w:r w:rsidR="00E12748" w:rsidRPr="0017095C">
        <w:rPr>
          <w:lang w:val="en-CA"/>
        </w:rPr>
        <w:t xml:space="preserve">comprised two parts. The first part (the </w:t>
      </w:r>
      <w:r w:rsidR="00AA02AB" w:rsidRPr="0017095C">
        <w:rPr>
          <w:lang w:val="en-CA"/>
        </w:rPr>
        <w:t>“</w:t>
      </w:r>
      <w:r w:rsidR="00E12748" w:rsidRPr="0017095C">
        <w:rPr>
          <w:lang w:val="en-CA"/>
        </w:rPr>
        <w:t>Belt</w:t>
      </w:r>
      <w:r w:rsidR="00AA02AB" w:rsidRPr="0017095C">
        <w:rPr>
          <w:lang w:val="en-CA"/>
        </w:rPr>
        <w:t>”</w:t>
      </w:r>
      <w:r w:rsidR="00E12748" w:rsidRPr="0017095C">
        <w:rPr>
          <w:lang w:val="en-CA"/>
        </w:rPr>
        <w:t>) consisted of</w:t>
      </w:r>
      <w:r w:rsidR="00C00AE7" w:rsidRPr="0017095C">
        <w:rPr>
          <w:lang w:val="en-CA"/>
        </w:rPr>
        <w:t xml:space="preserve"> overland transport links between China and both Central Asia and Europe</w:t>
      </w:r>
      <w:r w:rsidR="00E12748" w:rsidRPr="0017095C">
        <w:rPr>
          <w:lang w:val="en-CA"/>
        </w:rPr>
        <w:t xml:space="preserve">. The second part (the </w:t>
      </w:r>
      <w:r w:rsidR="00AA02AB" w:rsidRPr="0017095C">
        <w:rPr>
          <w:lang w:val="en-CA"/>
        </w:rPr>
        <w:t>“</w:t>
      </w:r>
      <w:r w:rsidR="00E12748" w:rsidRPr="0017095C">
        <w:rPr>
          <w:lang w:val="en-CA"/>
        </w:rPr>
        <w:t>Road</w:t>
      </w:r>
      <w:r w:rsidR="00AA02AB" w:rsidRPr="0017095C">
        <w:rPr>
          <w:lang w:val="en-CA"/>
        </w:rPr>
        <w:t>”</w:t>
      </w:r>
      <w:r w:rsidR="00E12748" w:rsidRPr="0017095C">
        <w:rPr>
          <w:lang w:val="en-CA"/>
        </w:rPr>
        <w:t>) consisted of</w:t>
      </w:r>
      <w:r w:rsidR="00C00AE7" w:rsidRPr="0017095C">
        <w:rPr>
          <w:lang w:val="en-CA"/>
        </w:rPr>
        <w:t xml:space="preserve"> a series of maritime routes between Chinese seaports and ports in other countries.</w:t>
      </w:r>
      <w:r w:rsidR="00C00AE7" w:rsidRPr="0017095C">
        <w:rPr>
          <w:kern w:val="2"/>
          <w:sz w:val="21"/>
          <w:lang w:val="en-CA" w:eastAsia="zh-CN"/>
        </w:rPr>
        <w:t xml:space="preserve"> </w:t>
      </w:r>
      <w:r w:rsidR="00C00AE7" w:rsidRPr="0017095C">
        <w:rPr>
          <w:rFonts w:eastAsiaTheme="majorEastAsia"/>
          <w:kern w:val="2"/>
          <w:lang w:val="en-CA" w:eastAsia="zh-CN"/>
        </w:rPr>
        <w:t xml:space="preserve">By the end of October 2019, the Chinese government had signed 197 </w:t>
      </w:r>
      <w:r w:rsidR="00E12748" w:rsidRPr="0017095C">
        <w:rPr>
          <w:rFonts w:eastAsiaTheme="majorEastAsia"/>
          <w:kern w:val="2"/>
          <w:lang w:val="en-CA" w:eastAsia="zh-CN"/>
        </w:rPr>
        <w:t xml:space="preserve">One </w:t>
      </w:r>
      <w:r w:rsidR="00C00AE7" w:rsidRPr="0017095C">
        <w:rPr>
          <w:rFonts w:eastAsiaTheme="majorEastAsia"/>
          <w:kern w:val="2"/>
          <w:lang w:val="en-CA" w:eastAsia="zh-CN"/>
        </w:rPr>
        <w:t>Belt</w:t>
      </w:r>
      <w:r w:rsidR="00E12748" w:rsidRPr="0017095C">
        <w:rPr>
          <w:rFonts w:eastAsiaTheme="majorEastAsia"/>
          <w:kern w:val="2"/>
          <w:lang w:val="en-CA" w:eastAsia="zh-CN"/>
        </w:rPr>
        <w:t>, One</w:t>
      </w:r>
      <w:r w:rsidR="00C00AE7" w:rsidRPr="0017095C">
        <w:rPr>
          <w:rFonts w:eastAsiaTheme="majorEastAsia"/>
          <w:kern w:val="2"/>
          <w:lang w:val="en-CA" w:eastAsia="zh-CN"/>
        </w:rPr>
        <w:t xml:space="preserve"> Road co</w:t>
      </w:r>
      <w:r w:rsidR="00E12748" w:rsidRPr="0017095C">
        <w:rPr>
          <w:rFonts w:eastAsiaTheme="majorEastAsia"/>
          <w:kern w:val="2"/>
          <w:lang w:val="en-CA" w:eastAsia="zh-CN"/>
        </w:rPr>
        <w:t>-</w:t>
      </w:r>
      <w:r w:rsidR="00C00AE7" w:rsidRPr="0017095C">
        <w:rPr>
          <w:rFonts w:eastAsiaTheme="majorEastAsia"/>
          <w:kern w:val="2"/>
          <w:lang w:val="en-CA" w:eastAsia="zh-CN"/>
        </w:rPr>
        <w:t>operati</w:t>
      </w:r>
      <w:r w:rsidR="00E12748" w:rsidRPr="0017095C">
        <w:rPr>
          <w:rFonts w:eastAsiaTheme="majorEastAsia"/>
          <w:kern w:val="2"/>
          <w:lang w:val="en-CA" w:eastAsia="zh-CN"/>
        </w:rPr>
        <w:t>ve</w:t>
      </w:r>
      <w:r w:rsidR="00C00AE7" w:rsidRPr="0017095C">
        <w:rPr>
          <w:rFonts w:eastAsiaTheme="majorEastAsia"/>
          <w:kern w:val="2"/>
          <w:lang w:val="en-CA" w:eastAsia="zh-CN"/>
        </w:rPr>
        <w:t xml:space="preserve"> documents with 137 countries and 30 international organizations, </w:t>
      </w:r>
      <w:r w:rsidR="00E12748" w:rsidRPr="0017095C">
        <w:rPr>
          <w:rFonts w:eastAsiaTheme="majorEastAsia"/>
          <w:kern w:val="2"/>
          <w:lang w:val="en-CA" w:eastAsia="zh-CN"/>
        </w:rPr>
        <w:t>which included</w:t>
      </w:r>
      <w:r w:rsidR="00C00AE7" w:rsidRPr="0017095C">
        <w:rPr>
          <w:rFonts w:eastAsiaTheme="majorEastAsia"/>
          <w:kern w:val="2"/>
          <w:lang w:val="en-CA" w:eastAsia="zh-CN"/>
        </w:rPr>
        <w:t xml:space="preserve"> issu</w:t>
      </w:r>
      <w:r w:rsidR="00E12748" w:rsidRPr="0017095C">
        <w:rPr>
          <w:rFonts w:eastAsiaTheme="majorEastAsia"/>
          <w:kern w:val="2"/>
          <w:lang w:val="en-CA" w:eastAsia="zh-CN"/>
        </w:rPr>
        <w:t>ing</w:t>
      </w:r>
      <w:r w:rsidR="00C00AE7" w:rsidRPr="0017095C">
        <w:rPr>
          <w:rFonts w:eastAsiaTheme="majorEastAsia"/>
          <w:kern w:val="2"/>
          <w:lang w:val="en-CA" w:eastAsia="zh-CN"/>
        </w:rPr>
        <w:t xml:space="preserve"> a series of related incentive policies and measures.</w:t>
      </w:r>
      <w:r w:rsidR="00C00AE7" w:rsidRPr="0017095C">
        <w:rPr>
          <w:rFonts w:eastAsiaTheme="majorEastAsia"/>
          <w:kern w:val="2"/>
          <w:vertAlign w:val="superscript"/>
          <w:lang w:val="en-CA" w:eastAsia="zh-CN"/>
        </w:rPr>
        <w:endnoteReference w:id="4"/>
      </w:r>
      <w:r w:rsidR="00C00AE7" w:rsidRPr="0017095C">
        <w:rPr>
          <w:rFonts w:eastAsiaTheme="majorEastAsia"/>
          <w:kern w:val="2"/>
          <w:lang w:val="en-CA" w:eastAsia="zh-CN"/>
        </w:rPr>
        <w:t xml:space="preserve"> The favourable policies of the One Belt, One Road initiative and the active international </w:t>
      </w:r>
      <w:r w:rsidR="00E12748" w:rsidRPr="0017095C">
        <w:rPr>
          <w:rFonts w:eastAsiaTheme="majorEastAsia"/>
          <w:kern w:val="2"/>
          <w:lang w:val="en-CA" w:eastAsia="zh-CN"/>
        </w:rPr>
        <w:t>mergers and acquisitions</w:t>
      </w:r>
      <w:r w:rsidR="00C00AE7" w:rsidRPr="0017095C">
        <w:rPr>
          <w:rFonts w:eastAsiaTheme="majorEastAsia"/>
          <w:kern w:val="2"/>
          <w:lang w:val="en-CA" w:eastAsia="zh-CN"/>
        </w:rPr>
        <w:t xml:space="preserve"> market brought huge development opportunities to Chinese precious metal mining and processing enterprises. </w:t>
      </w:r>
    </w:p>
    <w:p w14:paraId="5C2CA407" w14:textId="77777777" w:rsidR="00C00AE7" w:rsidRPr="0017095C" w:rsidRDefault="00C00AE7" w:rsidP="00C00AE7">
      <w:pPr>
        <w:pStyle w:val="BodyTextMain"/>
        <w:rPr>
          <w:rFonts w:eastAsiaTheme="majorEastAsia"/>
          <w:kern w:val="2"/>
          <w:lang w:val="en-CA" w:eastAsia="zh-CN"/>
        </w:rPr>
      </w:pPr>
    </w:p>
    <w:p w14:paraId="379D8193" w14:textId="441DD6AA" w:rsidR="00C00AE7" w:rsidRPr="0017095C" w:rsidRDefault="00C00AE7" w:rsidP="00C00AE7">
      <w:pPr>
        <w:pStyle w:val="BodyTextMain"/>
        <w:rPr>
          <w:rFonts w:eastAsiaTheme="majorEastAsia"/>
          <w:kern w:val="2"/>
          <w:lang w:val="en-CA" w:eastAsia="zh-CN"/>
        </w:rPr>
      </w:pPr>
      <w:r w:rsidRPr="0017095C">
        <w:rPr>
          <w:rFonts w:eastAsiaTheme="majorEastAsia"/>
          <w:kern w:val="2"/>
          <w:lang w:val="en-CA" w:eastAsia="zh-CN"/>
        </w:rPr>
        <w:lastRenderedPageBreak/>
        <w:t>Shandong Gold was established in 1996 in Shandong Province. It was a large state-owned enterprise with great financial and technical strengths. Since 2017, it had consistently ranked first among Chinese gold-producing enterprises.</w:t>
      </w:r>
      <w:r w:rsidRPr="0017095C">
        <w:rPr>
          <w:rFonts w:eastAsiaTheme="majorEastAsia"/>
          <w:kern w:val="2"/>
          <w:vertAlign w:val="superscript"/>
          <w:lang w:val="en-CA" w:eastAsia="zh-CN"/>
        </w:rPr>
        <w:endnoteReference w:id="5"/>
      </w:r>
      <w:r w:rsidRPr="0017095C">
        <w:rPr>
          <w:rFonts w:eastAsiaTheme="majorEastAsia"/>
          <w:kern w:val="2"/>
          <w:lang w:val="en-CA" w:eastAsia="zh-CN"/>
        </w:rPr>
        <w:t xml:space="preserve"> Shandong Gold actively implemented the national “</w:t>
      </w:r>
      <w:r w:rsidR="00B35D12" w:rsidRPr="0017095C">
        <w:rPr>
          <w:rFonts w:eastAsiaTheme="majorEastAsia"/>
          <w:kern w:val="2"/>
          <w:lang w:val="en-CA" w:eastAsia="zh-CN"/>
        </w:rPr>
        <w:t>G</w:t>
      </w:r>
      <w:r w:rsidRPr="0017095C">
        <w:rPr>
          <w:rFonts w:eastAsiaTheme="majorEastAsia"/>
          <w:kern w:val="2"/>
          <w:lang w:val="en-CA" w:eastAsia="zh-CN"/>
        </w:rPr>
        <w:t xml:space="preserve">oing </w:t>
      </w:r>
      <w:r w:rsidR="00B35D12" w:rsidRPr="0017095C">
        <w:rPr>
          <w:rFonts w:eastAsiaTheme="majorEastAsia"/>
          <w:kern w:val="2"/>
          <w:lang w:val="en-CA" w:eastAsia="zh-CN"/>
        </w:rPr>
        <w:t>O</w:t>
      </w:r>
      <w:r w:rsidRPr="0017095C">
        <w:rPr>
          <w:rFonts w:eastAsiaTheme="majorEastAsia"/>
          <w:kern w:val="2"/>
          <w:lang w:val="en-CA" w:eastAsia="zh-CN"/>
        </w:rPr>
        <w:t>ut” strategy, conducting resource development and production capacity co</w:t>
      </w:r>
      <w:r w:rsidR="00E12748" w:rsidRPr="0017095C">
        <w:rPr>
          <w:rFonts w:eastAsiaTheme="majorEastAsia"/>
          <w:kern w:val="2"/>
          <w:lang w:val="en-CA" w:eastAsia="zh-CN"/>
        </w:rPr>
        <w:t>-</w:t>
      </w:r>
      <w:r w:rsidRPr="0017095C">
        <w:rPr>
          <w:rFonts w:eastAsiaTheme="majorEastAsia"/>
          <w:kern w:val="2"/>
          <w:lang w:val="en-CA" w:eastAsia="zh-CN"/>
        </w:rPr>
        <w:t xml:space="preserve">operation overseas. In July 2016, Shandong Gold </w:t>
      </w:r>
      <w:r w:rsidR="00E12748" w:rsidRPr="0017095C">
        <w:rPr>
          <w:rFonts w:eastAsiaTheme="majorEastAsia"/>
          <w:kern w:val="2"/>
          <w:lang w:val="en-CA" w:eastAsia="zh-CN"/>
        </w:rPr>
        <w:t>signed a 50–50 joint venture partnership</w:t>
      </w:r>
      <w:r w:rsidRPr="0017095C">
        <w:rPr>
          <w:rFonts w:eastAsiaTheme="majorEastAsia"/>
          <w:kern w:val="2"/>
          <w:lang w:val="en-CA" w:eastAsia="zh-CN"/>
        </w:rPr>
        <w:t xml:space="preserve"> with Barrick Gold Corporation</w:t>
      </w:r>
      <w:r w:rsidR="00453D82" w:rsidRPr="0017095C">
        <w:rPr>
          <w:rFonts w:eastAsiaTheme="majorEastAsia"/>
          <w:kern w:val="2"/>
          <w:lang w:val="en-CA" w:eastAsia="zh-CN"/>
        </w:rPr>
        <w:t xml:space="preserve"> (Barrick)</w:t>
      </w:r>
      <w:r w:rsidRPr="0017095C">
        <w:rPr>
          <w:rFonts w:eastAsiaTheme="majorEastAsia"/>
          <w:kern w:val="2"/>
          <w:lang w:val="en-CA" w:eastAsia="zh-CN"/>
        </w:rPr>
        <w:t xml:space="preserve">, </w:t>
      </w:r>
      <w:r w:rsidR="00F50A69" w:rsidRPr="0017095C">
        <w:rPr>
          <w:rFonts w:eastAsiaTheme="majorEastAsia"/>
          <w:kern w:val="2"/>
          <w:lang w:val="en-CA" w:eastAsia="zh-CN"/>
        </w:rPr>
        <w:t xml:space="preserve">the world’s largest gold miner, </w:t>
      </w:r>
      <w:r w:rsidRPr="0017095C">
        <w:rPr>
          <w:rFonts w:eastAsiaTheme="majorEastAsia"/>
          <w:kern w:val="2"/>
          <w:lang w:val="en-CA" w:eastAsia="zh-CN"/>
        </w:rPr>
        <w:t>at Veladero</w:t>
      </w:r>
      <w:r w:rsidR="00F50A69" w:rsidRPr="0017095C">
        <w:rPr>
          <w:rFonts w:eastAsiaTheme="majorEastAsia"/>
          <w:kern w:val="2"/>
          <w:lang w:val="en-CA" w:eastAsia="zh-CN"/>
        </w:rPr>
        <w:t>,</w:t>
      </w:r>
      <w:r w:rsidRPr="0017095C">
        <w:rPr>
          <w:rFonts w:eastAsiaTheme="majorEastAsia"/>
          <w:kern w:val="2"/>
          <w:lang w:val="en-CA" w:eastAsia="zh-CN"/>
        </w:rPr>
        <w:t xml:space="preserve"> Argentina’s largest gold-producing mine</w:t>
      </w:r>
      <w:r w:rsidR="00F50A69" w:rsidRPr="0017095C">
        <w:rPr>
          <w:rFonts w:eastAsiaTheme="majorEastAsia"/>
          <w:kern w:val="2"/>
          <w:lang w:val="en-CA" w:eastAsia="zh-CN"/>
        </w:rPr>
        <w:t>.</w:t>
      </w:r>
      <w:r w:rsidRPr="0017095C">
        <w:rPr>
          <w:rFonts w:eastAsiaTheme="majorEastAsia"/>
          <w:kern w:val="2"/>
          <w:lang w:val="en-CA" w:eastAsia="zh-CN"/>
        </w:rPr>
        <w:t xml:space="preserve"> Shandong Gold quickly rose from 16th to 12th in the ranking of global gold mining companies</w:t>
      </w:r>
      <w:r w:rsidR="00B35D12" w:rsidRPr="0017095C">
        <w:rPr>
          <w:rFonts w:eastAsiaTheme="majorEastAsia"/>
          <w:kern w:val="2"/>
          <w:lang w:val="en-CA" w:eastAsia="zh-CN"/>
        </w:rPr>
        <w:t>,</w:t>
      </w:r>
      <w:r w:rsidRPr="0017095C">
        <w:rPr>
          <w:rFonts w:eastAsiaTheme="majorEastAsia"/>
          <w:kern w:val="2"/>
          <w:lang w:val="en-CA" w:eastAsia="zh-CN"/>
        </w:rPr>
        <w:t xml:space="preserve"> based on annual gold production.</w:t>
      </w:r>
      <w:r w:rsidRPr="0017095C">
        <w:rPr>
          <w:rFonts w:eastAsiaTheme="majorEastAsia"/>
          <w:kern w:val="2"/>
          <w:vertAlign w:val="superscript"/>
          <w:lang w:val="en-CA" w:eastAsia="zh-CN"/>
        </w:rPr>
        <w:endnoteReference w:id="6"/>
      </w:r>
    </w:p>
    <w:p w14:paraId="3080C6DC" w14:textId="77777777" w:rsidR="00C00AE7" w:rsidRPr="0017095C" w:rsidRDefault="00C00AE7" w:rsidP="00C00AE7">
      <w:pPr>
        <w:pStyle w:val="BodyTextMain"/>
        <w:rPr>
          <w:rFonts w:eastAsiaTheme="majorEastAsia"/>
          <w:kern w:val="2"/>
          <w:lang w:val="en-CA" w:eastAsia="zh-CN"/>
        </w:rPr>
      </w:pPr>
    </w:p>
    <w:p w14:paraId="5759B352" w14:textId="185C2DF8" w:rsidR="00C00AE7" w:rsidRPr="0017095C" w:rsidRDefault="00C00AE7" w:rsidP="00C00AE7">
      <w:pPr>
        <w:pStyle w:val="BodyTextMain"/>
        <w:rPr>
          <w:rFonts w:eastAsiaTheme="majorEastAsia"/>
          <w:kern w:val="2"/>
          <w:lang w:val="en-CA" w:eastAsia="zh-CN"/>
        </w:rPr>
      </w:pPr>
      <w:r w:rsidRPr="0017095C">
        <w:rPr>
          <w:rFonts w:eastAsiaTheme="majorEastAsia"/>
          <w:kern w:val="2"/>
          <w:lang w:val="en-CA" w:eastAsia="zh-CN"/>
        </w:rPr>
        <w:t xml:space="preserve">In the process of overseas resource investment and development, gold companies often faced </w:t>
      </w:r>
      <w:r w:rsidR="00B35D12" w:rsidRPr="0017095C">
        <w:rPr>
          <w:rFonts w:eastAsiaTheme="majorEastAsia"/>
          <w:kern w:val="2"/>
          <w:lang w:val="en-CA" w:eastAsia="zh-CN"/>
        </w:rPr>
        <w:t>high</w:t>
      </w:r>
      <w:r w:rsidRPr="0017095C">
        <w:rPr>
          <w:rFonts w:eastAsiaTheme="majorEastAsia"/>
          <w:kern w:val="2"/>
          <w:lang w:val="en-CA" w:eastAsia="zh-CN"/>
        </w:rPr>
        <w:t xml:space="preserve"> risk in terms of geopolitics, safety, environmental protection, and relationships with </w:t>
      </w:r>
      <w:r w:rsidR="00816BFC">
        <w:rPr>
          <w:rFonts w:eastAsiaTheme="majorEastAsia"/>
          <w:kern w:val="2"/>
          <w:lang w:val="en-CA" w:eastAsia="zh-CN"/>
        </w:rPr>
        <w:t>Indigenous</w:t>
      </w:r>
      <w:r w:rsidRPr="0017095C">
        <w:rPr>
          <w:rFonts w:eastAsiaTheme="majorEastAsia"/>
          <w:kern w:val="2"/>
          <w:lang w:val="en-CA" w:eastAsia="zh-CN"/>
        </w:rPr>
        <w:t xml:space="preserve"> residents.</w:t>
      </w:r>
      <w:r w:rsidRPr="0017095C">
        <w:rPr>
          <w:rFonts w:eastAsiaTheme="majorEastAsia"/>
          <w:kern w:val="2"/>
          <w:vertAlign w:val="superscript"/>
          <w:lang w:val="en-CA" w:eastAsia="zh-CN"/>
        </w:rPr>
        <w:endnoteReference w:id="7"/>
      </w:r>
      <w:r w:rsidRPr="0017095C">
        <w:rPr>
          <w:rFonts w:eastAsiaTheme="majorEastAsia"/>
          <w:kern w:val="2"/>
          <w:lang w:val="en-CA" w:eastAsia="zh-CN"/>
        </w:rPr>
        <w:t xml:space="preserve"> </w:t>
      </w:r>
      <w:r w:rsidR="00F50A69" w:rsidRPr="0017095C">
        <w:rPr>
          <w:rFonts w:eastAsiaTheme="majorEastAsia"/>
          <w:kern w:val="2"/>
          <w:lang w:val="en-CA" w:eastAsia="zh-CN"/>
        </w:rPr>
        <w:t>T</w:t>
      </w:r>
      <w:r w:rsidRPr="0017095C">
        <w:rPr>
          <w:rFonts w:eastAsiaTheme="majorEastAsia"/>
          <w:kern w:val="2"/>
          <w:lang w:val="en-CA" w:eastAsia="zh-CN"/>
        </w:rPr>
        <w:t>o understand the overseas resource investment landscape, Shandong Gold had established a special team.</w:t>
      </w:r>
      <w:r w:rsidRPr="0017095C">
        <w:rPr>
          <w:kern w:val="2"/>
          <w:sz w:val="21"/>
          <w:lang w:val="en-CA" w:eastAsia="zh-CN"/>
        </w:rPr>
        <w:t xml:space="preserve"> </w:t>
      </w:r>
      <w:r w:rsidRPr="0017095C">
        <w:rPr>
          <w:rFonts w:eastAsiaTheme="majorEastAsia"/>
          <w:kern w:val="2"/>
          <w:lang w:val="en-CA" w:eastAsia="zh-CN"/>
        </w:rPr>
        <w:t>The</w:t>
      </w:r>
      <w:r w:rsidR="00F50A69" w:rsidRPr="0017095C">
        <w:rPr>
          <w:rFonts w:eastAsiaTheme="majorEastAsia"/>
          <w:kern w:val="2"/>
          <w:lang w:val="en-CA" w:eastAsia="zh-CN"/>
        </w:rPr>
        <w:t xml:space="preserve"> team members</w:t>
      </w:r>
      <w:r w:rsidRPr="0017095C">
        <w:rPr>
          <w:rFonts w:eastAsiaTheme="majorEastAsia"/>
          <w:kern w:val="2"/>
          <w:lang w:val="en-CA" w:eastAsia="zh-CN"/>
        </w:rPr>
        <w:t xml:space="preserve"> studied </w:t>
      </w:r>
      <w:r w:rsidR="00B35D12" w:rsidRPr="0017095C">
        <w:rPr>
          <w:rFonts w:eastAsiaTheme="majorEastAsia"/>
          <w:kern w:val="2"/>
          <w:lang w:val="en-CA" w:eastAsia="zh-CN"/>
        </w:rPr>
        <w:t>key</w:t>
      </w:r>
      <w:r w:rsidRPr="0017095C">
        <w:rPr>
          <w:rFonts w:eastAsiaTheme="majorEastAsia"/>
          <w:kern w:val="2"/>
          <w:lang w:val="en-CA" w:eastAsia="zh-CN"/>
        </w:rPr>
        <w:t xml:space="preserve"> mines in production and under construction around the world</w:t>
      </w:r>
      <w:r w:rsidR="00F50A69" w:rsidRPr="0017095C">
        <w:rPr>
          <w:rFonts w:eastAsiaTheme="majorEastAsia"/>
          <w:kern w:val="2"/>
          <w:lang w:val="en-CA" w:eastAsia="zh-CN"/>
        </w:rPr>
        <w:t>.</w:t>
      </w:r>
      <w:r w:rsidRPr="0017095C">
        <w:rPr>
          <w:rFonts w:eastAsiaTheme="majorEastAsia"/>
          <w:kern w:val="2"/>
          <w:lang w:val="en-CA" w:eastAsia="zh-CN"/>
        </w:rPr>
        <w:t xml:space="preserve"> </w:t>
      </w:r>
      <w:r w:rsidR="00F50A69" w:rsidRPr="0017095C">
        <w:rPr>
          <w:rFonts w:eastAsiaTheme="majorEastAsia"/>
          <w:kern w:val="2"/>
          <w:lang w:val="en-CA" w:eastAsia="zh-CN"/>
        </w:rPr>
        <w:t xml:space="preserve">They </w:t>
      </w:r>
      <w:r w:rsidRPr="0017095C">
        <w:rPr>
          <w:rFonts w:eastAsiaTheme="majorEastAsia"/>
          <w:kern w:val="2"/>
          <w:lang w:val="en-CA" w:eastAsia="zh-CN"/>
        </w:rPr>
        <w:t>analyzed different countries’ political characteristics, investment environments, resource conditions, environmental protection policies, and other first-hand information</w:t>
      </w:r>
      <w:r w:rsidR="00F50A69" w:rsidRPr="0017095C">
        <w:rPr>
          <w:rFonts w:eastAsiaTheme="majorEastAsia"/>
          <w:kern w:val="2"/>
          <w:lang w:val="en-CA" w:eastAsia="zh-CN"/>
        </w:rPr>
        <w:t>. Shandong Gold was then able to</w:t>
      </w:r>
      <w:r w:rsidRPr="0017095C">
        <w:rPr>
          <w:rFonts w:eastAsiaTheme="majorEastAsia"/>
          <w:kern w:val="2"/>
          <w:lang w:val="en-CA" w:eastAsia="zh-CN"/>
        </w:rPr>
        <w:t xml:space="preserve"> ma</w:t>
      </w:r>
      <w:r w:rsidR="00F50A69" w:rsidRPr="0017095C">
        <w:rPr>
          <w:rFonts w:eastAsiaTheme="majorEastAsia"/>
          <w:kern w:val="2"/>
          <w:lang w:val="en-CA" w:eastAsia="zh-CN"/>
        </w:rPr>
        <w:t>k</w:t>
      </w:r>
      <w:r w:rsidRPr="0017095C">
        <w:rPr>
          <w:rFonts w:eastAsiaTheme="majorEastAsia"/>
          <w:kern w:val="2"/>
          <w:lang w:val="en-CA" w:eastAsia="zh-CN"/>
        </w:rPr>
        <w:t xml:space="preserve">e </w:t>
      </w:r>
      <w:r w:rsidR="00F50A69" w:rsidRPr="0017095C">
        <w:rPr>
          <w:rFonts w:eastAsiaTheme="majorEastAsia"/>
          <w:kern w:val="2"/>
          <w:lang w:val="en-CA" w:eastAsia="zh-CN"/>
        </w:rPr>
        <w:t xml:space="preserve">safer </w:t>
      </w:r>
      <w:r w:rsidRPr="0017095C">
        <w:rPr>
          <w:rFonts w:eastAsiaTheme="majorEastAsia"/>
          <w:kern w:val="2"/>
          <w:lang w:val="en-CA" w:eastAsia="zh-CN"/>
        </w:rPr>
        <w:t>plans for future investments.</w:t>
      </w:r>
    </w:p>
    <w:p w14:paraId="274142FB" w14:textId="77777777" w:rsidR="00C00AE7" w:rsidRPr="0017095C" w:rsidRDefault="00C00AE7" w:rsidP="00C00AE7">
      <w:pPr>
        <w:pStyle w:val="BodyTextMain"/>
        <w:rPr>
          <w:rFonts w:eastAsiaTheme="majorEastAsia"/>
          <w:kern w:val="2"/>
          <w:lang w:val="en-CA" w:eastAsia="zh-CN"/>
        </w:rPr>
      </w:pPr>
    </w:p>
    <w:p w14:paraId="0DB36A22" w14:textId="436BE45D" w:rsidR="00C00AE7" w:rsidRPr="0017095C" w:rsidRDefault="00C00AE7" w:rsidP="00C00AE7">
      <w:pPr>
        <w:pStyle w:val="BodyTextMain"/>
        <w:rPr>
          <w:rFonts w:eastAsiaTheme="majorEastAsia"/>
          <w:kern w:val="2"/>
          <w:lang w:val="en-CA" w:eastAsia="zh-CN"/>
        </w:rPr>
      </w:pPr>
      <w:r w:rsidRPr="0017095C">
        <w:rPr>
          <w:rFonts w:eastAsiaTheme="majorEastAsia"/>
          <w:kern w:val="2"/>
          <w:lang w:val="en-CA" w:eastAsia="zh-CN"/>
        </w:rPr>
        <w:t>In addition, since international mining rights trading w</w:t>
      </w:r>
      <w:r w:rsidR="00A14F17" w:rsidRPr="0017095C">
        <w:rPr>
          <w:rFonts w:eastAsiaTheme="majorEastAsia"/>
          <w:kern w:val="2"/>
          <w:lang w:val="en-CA" w:eastAsia="zh-CN"/>
        </w:rPr>
        <w:t>as</w:t>
      </w:r>
      <w:r w:rsidRPr="0017095C">
        <w:rPr>
          <w:rFonts w:eastAsiaTheme="majorEastAsia"/>
          <w:kern w:val="2"/>
          <w:lang w:val="en-CA" w:eastAsia="zh-CN"/>
        </w:rPr>
        <w:t xml:space="preserve"> mainly conducted through financial intermediary investment banks, Shandong Gold maintained communication and co</w:t>
      </w:r>
      <w:r w:rsidR="00F50A69" w:rsidRPr="0017095C">
        <w:rPr>
          <w:rFonts w:eastAsiaTheme="majorEastAsia"/>
          <w:kern w:val="2"/>
          <w:lang w:val="en-CA" w:eastAsia="zh-CN"/>
        </w:rPr>
        <w:t>-</w:t>
      </w:r>
      <w:r w:rsidRPr="0017095C">
        <w:rPr>
          <w:rFonts w:eastAsiaTheme="majorEastAsia"/>
          <w:kern w:val="2"/>
          <w:lang w:val="en-CA" w:eastAsia="zh-CN"/>
        </w:rPr>
        <w:t>operation with dozens of international investment banks every year. This allowed the</w:t>
      </w:r>
      <w:r w:rsidR="00F50A69" w:rsidRPr="0017095C">
        <w:rPr>
          <w:rFonts w:eastAsiaTheme="majorEastAsia"/>
          <w:kern w:val="2"/>
          <w:lang w:val="en-CA" w:eastAsia="zh-CN"/>
        </w:rPr>
        <w:t xml:space="preserve"> company</w:t>
      </w:r>
      <w:r w:rsidRPr="0017095C">
        <w:rPr>
          <w:rFonts w:eastAsiaTheme="majorEastAsia"/>
          <w:kern w:val="2"/>
          <w:lang w:val="en-CA" w:eastAsia="zh-CN"/>
        </w:rPr>
        <w:t xml:space="preserve"> to better understand the dynamics of the global mining trading market</w:t>
      </w:r>
      <w:r w:rsidR="00F50A69" w:rsidRPr="0017095C">
        <w:rPr>
          <w:rFonts w:eastAsiaTheme="majorEastAsia"/>
          <w:kern w:val="2"/>
          <w:lang w:val="en-CA" w:eastAsia="zh-CN"/>
        </w:rPr>
        <w:t xml:space="preserve"> and </w:t>
      </w:r>
      <w:r w:rsidR="00B35D12" w:rsidRPr="0017095C">
        <w:rPr>
          <w:rFonts w:eastAsiaTheme="majorEastAsia"/>
          <w:kern w:val="2"/>
          <w:lang w:val="en-CA" w:eastAsia="zh-CN"/>
        </w:rPr>
        <w:t xml:space="preserve">to </w:t>
      </w:r>
      <w:r w:rsidR="00F50A69" w:rsidRPr="0017095C">
        <w:rPr>
          <w:rFonts w:eastAsiaTheme="majorEastAsia"/>
          <w:kern w:val="2"/>
          <w:lang w:val="en-CA" w:eastAsia="zh-CN"/>
        </w:rPr>
        <w:t>learn about new</w:t>
      </w:r>
      <w:r w:rsidRPr="0017095C">
        <w:rPr>
          <w:rFonts w:eastAsiaTheme="majorEastAsia"/>
          <w:kern w:val="2"/>
          <w:lang w:val="en-CA" w:eastAsia="zh-CN"/>
        </w:rPr>
        <w:t xml:space="preserve"> potential mineral project investments.</w:t>
      </w:r>
    </w:p>
    <w:p w14:paraId="36FB50C0" w14:textId="77777777" w:rsidR="00C00AE7" w:rsidRPr="0017095C" w:rsidRDefault="00C00AE7" w:rsidP="00C00AE7">
      <w:pPr>
        <w:pStyle w:val="BodyTextMain"/>
        <w:rPr>
          <w:lang w:val="en-CA" w:eastAsia="zh-CN"/>
        </w:rPr>
      </w:pPr>
    </w:p>
    <w:p w14:paraId="6255AAA4" w14:textId="77777777" w:rsidR="00C00AE7" w:rsidRPr="0017095C" w:rsidRDefault="00C00AE7" w:rsidP="00C00AE7">
      <w:pPr>
        <w:pStyle w:val="BodyTextMain"/>
        <w:rPr>
          <w:lang w:val="en-CA" w:eastAsia="zh-CN"/>
        </w:rPr>
      </w:pPr>
    </w:p>
    <w:p w14:paraId="0B804E11" w14:textId="77777777" w:rsidR="00C00AE7" w:rsidRPr="0017095C" w:rsidRDefault="00C00AE7" w:rsidP="00C00AE7">
      <w:pPr>
        <w:pStyle w:val="Casehead1"/>
        <w:rPr>
          <w:lang w:val="en-CA" w:eastAsia="zh-CN"/>
        </w:rPr>
      </w:pPr>
      <w:r w:rsidRPr="0017095C">
        <w:rPr>
          <w:rFonts w:eastAsia="Calibri"/>
          <w:lang w:val="en-CA"/>
        </w:rPr>
        <w:t>CA</w:t>
      </w:r>
      <w:r w:rsidRPr="0017095C">
        <w:rPr>
          <w:lang w:val="en-CA" w:eastAsia="zh-CN"/>
        </w:rPr>
        <w:t>N</w:t>
      </w:r>
      <w:r w:rsidRPr="0017095C">
        <w:rPr>
          <w:rFonts w:eastAsia="Calibri"/>
          <w:lang w:val="en-CA"/>
        </w:rPr>
        <w:t>ADIAN MINING</w:t>
      </w:r>
    </w:p>
    <w:p w14:paraId="543F98A6" w14:textId="77777777" w:rsidR="00C00AE7" w:rsidRPr="0017095C" w:rsidRDefault="00C00AE7" w:rsidP="00C00AE7">
      <w:pPr>
        <w:pStyle w:val="BodyTextMain"/>
        <w:rPr>
          <w:rFonts w:ascii="Arial" w:hAnsi="Arial" w:cs="Arial"/>
          <w:b/>
          <w:bCs/>
          <w:lang w:val="en-CA" w:eastAsia="zh-CN"/>
        </w:rPr>
      </w:pPr>
    </w:p>
    <w:p w14:paraId="26CFF42B" w14:textId="4BEA4748" w:rsidR="00C00AE7" w:rsidRPr="0017095C" w:rsidRDefault="00C00AE7" w:rsidP="00C00AE7">
      <w:pPr>
        <w:pStyle w:val="BodyTextMain"/>
        <w:rPr>
          <w:rFonts w:eastAsiaTheme="majorEastAsia"/>
          <w:lang w:val="en-CA"/>
        </w:rPr>
      </w:pPr>
      <w:r w:rsidRPr="0017095C">
        <w:rPr>
          <w:rFonts w:eastAsiaTheme="majorEastAsia"/>
          <w:lang w:val="en-CA"/>
        </w:rPr>
        <w:t>Canada had always been recognized as a leader in global mining</w:t>
      </w:r>
      <w:r w:rsidRPr="0017095C">
        <w:rPr>
          <w:rFonts w:eastAsiaTheme="majorEastAsia"/>
          <w:vertAlign w:val="superscript"/>
          <w:lang w:val="en-CA"/>
        </w:rPr>
        <w:endnoteReference w:id="8"/>
      </w:r>
      <w:r w:rsidRPr="0017095C">
        <w:rPr>
          <w:rFonts w:eastAsiaTheme="majorEastAsia"/>
          <w:lang w:val="en-CA"/>
        </w:rPr>
        <w:t xml:space="preserve"> and was rich in more than 60 mineral resources, such as potassium, cadmium, gold, diamonds, </w:t>
      </w:r>
      <w:r w:rsidRPr="0017095C">
        <w:rPr>
          <w:rFonts w:eastAsiaTheme="majorEastAsia"/>
          <w:lang w:val="en-CA" w:eastAsia="zh-CN"/>
        </w:rPr>
        <w:t xml:space="preserve">gems, </w:t>
      </w:r>
      <w:r w:rsidRPr="0017095C">
        <w:rPr>
          <w:rFonts w:eastAsiaTheme="majorEastAsia"/>
          <w:lang w:val="en-CA"/>
        </w:rPr>
        <w:t>and uranium.</w:t>
      </w:r>
      <w:r w:rsidRPr="0017095C">
        <w:rPr>
          <w:lang w:val="en-CA"/>
        </w:rPr>
        <w:t xml:space="preserve"> </w:t>
      </w:r>
      <w:r w:rsidRPr="0017095C">
        <w:rPr>
          <w:rFonts w:eastAsiaTheme="majorEastAsia"/>
          <w:lang w:val="en-CA"/>
        </w:rPr>
        <w:t xml:space="preserve">The </w:t>
      </w:r>
      <w:r w:rsidR="005F29C9" w:rsidRPr="0017095C">
        <w:rPr>
          <w:rFonts w:eastAsiaTheme="majorEastAsia"/>
          <w:lang w:val="en-CA"/>
        </w:rPr>
        <w:t>country</w:t>
      </w:r>
      <w:r w:rsidRPr="0017095C">
        <w:rPr>
          <w:rFonts w:eastAsiaTheme="majorEastAsia"/>
          <w:lang w:val="en-CA"/>
        </w:rPr>
        <w:t xml:space="preserve"> ranked in the top five in the world</w:t>
      </w:r>
      <w:r w:rsidR="005F29C9" w:rsidRPr="0017095C">
        <w:rPr>
          <w:rFonts w:eastAsiaTheme="majorEastAsia"/>
          <w:lang w:val="en-CA"/>
        </w:rPr>
        <w:t xml:space="preserve"> in terms of output of many types of mineral resources (</w:t>
      </w:r>
      <w:r w:rsidR="005F29C9" w:rsidRPr="0017095C">
        <w:rPr>
          <w:rFonts w:eastAsiaTheme="majorEastAsia"/>
          <w:lang w:val="en-CA" w:eastAsia="zh-CN"/>
        </w:rPr>
        <w:t>including</w:t>
      </w:r>
      <w:r w:rsidR="005F29C9" w:rsidRPr="0017095C">
        <w:rPr>
          <w:rFonts w:eastAsiaTheme="majorEastAsia"/>
          <w:lang w:val="en-CA"/>
        </w:rPr>
        <w:t xml:space="preserve"> gold)</w:t>
      </w:r>
      <w:r w:rsidRPr="0017095C">
        <w:rPr>
          <w:rFonts w:eastAsiaTheme="majorEastAsia"/>
          <w:lang w:val="en-CA"/>
        </w:rPr>
        <w:t xml:space="preserve">. Canada’s rich mining resources were highly sought after and favoured by investors from </w:t>
      </w:r>
      <w:r w:rsidRPr="0017095C">
        <w:rPr>
          <w:rFonts w:eastAsiaTheme="majorEastAsia"/>
          <w:lang w:val="en-CA" w:eastAsia="zh-CN"/>
        </w:rPr>
        <w:t>many</w:t>
      </w:r>
      <w:r w:rsidRPr="0017095C">
        <w:rPr>
          <w:rFonts w:eastAsiaTheme="majorEastAsia"/>
          <w:lang w:val="en-CA"/>
        </w:rPr>
        <w:t xml:space="preserve"> countries.</w:t>
      </w:r>
      <w:r w:rsidRPr="0017095C">
        <w:rPr>
          <w:lang w:val="en-CA"/>
        </w:rPr>
        <w:t xml:space="preserve"> </w:t>
      </w:r>
      <w:r w:rsidRPr="0017095C">
        <w:rPr>
          <w:rFonts w:eastAsiaTheme="majorEastAsia"/>
          <w:lang w:val="en-CA"/>
        </w:rPr>
        <w:t>In 2018, Canada attracted 15</w:t>
      </w:r>
      <w:r w:rsidR="00792B9F" w:rsidRPr="0017095C">
        <w:rPr>
          <w:rFonts w:eastAsiaTheme="majorEastAsia"/>
          <w:lang w:val="en-CA"/>
        </w:rPr>
        <w:t xml:space="preserve"> per cent</w:t>
      </w:r>
      <w:r w:rsidRPr="0017095C">
        <w:rPr>
          <w:rFonts w:eastAsiaTheme="majorEastAsia"/>
          <w:lang w:val="en-CA"/>
        </w:rPr>
        <w:t xml:space="preserve"> of the total investment in the development of global mineral resources</w:t>
      </w:r>
      <w:r w:rsidR="00B35D12" w:rsidRPr="0017095C">
        <w:rPr>
          <w:rFonts w:eastAsiaTheme="majorEastAsia"/>
          <w:lang w:val="en-CA"/>
        </w:rPr>
        <w:t>. It</w:t>
      </w:r>
      <w:r w:rsidRPr="0017095C">
        <w:rPr>
          <w:rFonts w:eastAsiaTheme="majorEastAsia"/>
          <w:lang w:val="en-CA"/>
        </w:rPr>
        <w:t xml:space="preserve"> </w:t>
      </w:r>
      <w:r w:rsidRPr="0017095C">
        <w:rPr>
          <w:rFonts w:eastAsiaTheme="majorEastAsia"/>
          <w:lang w:val="en-CA" w:eastAsia="zh-CN"/>
        </w:rPr>
        <w:t>was</w:t>
      </w:r>
      <w:r w:rsidRPr="0017095C">
        <w:rPr>
          <w:rFonts w:eastAsiaTheme="majorEastAsia"/>
          <w:lang w:val="en-CA"/>
        </w:rPr>
        <w:t xml:space="preserve"> the world’s largest non-ferrous metal mineral exploration destination.</w:t>
      </w:r>
      <w:r w:rsidRPr="0017095C">
        <w:rPr>
          <w:lang w:val="en-CA"/>
        </w:rPr>
        <w:t xml:space="preserve"> </w:t>
      </w:r>
      <w:r w:rsidRPr="0017095C">
        <w:rPr>
          <w:rFonts w:eastAsiaTheme="majorEastAsia"/>
          <w:lang w:val="en-CA"/>
        </w:rPr>
        <w:t xml:space="preserve">The mining industry was also </w:t>
      </w:r>
      <w:r w:rsidRPr="0017095C">
        <w:rPr>
          <w:rFonts w:eastAsiaTheme="majorEastAsia"/>
          <w:lang w:val="en-CA" w:eastAsia="zh-CN"/>
        </w:rPr>
        <w:t>a</w:t>
      </w:r>
      <w:r w:rsidRPr="0017095C">
        <w:rPr>
          <w:rFonts w:eastAsiaTheme="majorEastAsia"/>
          <w:lang w:val="en-CA"/>
        </w:rPr>
        <w:t xml:space="preserve"> key industr</w:t>
      </w:r>
      <w:r w:rsidRPr="0017095C">
        <w:rPr>
          <w:rFonts w:eastAsiaTheme="majorEastAsia"/>
          <w:lang w:val="en-CA" w:eastAsia="zh-CN"/>
        </w:rPr>
        <w:t>y</w:t>
      </w:r>
      <w:r w:rsidRPr="0017095C">
        <w:rPr>
          <w:rFonts w:eastAsiaTheme="majorEastAsia"/>
          <w:lang w:val="en-CA"/>
        </w:rPr>
        <w:t xml:space="preserve"> </w:t>
      </w:r>
      <w:r w:rsidRPr="0017095C">
        <w:rPr>
          <w:rFonts w:eastAsiaTheme="majorEastAsia"/>
          <w:lang w:val="en-CA" w:eastAsia="zh-CN"/>
        </w:rPr>
        <w:t>in</w:t>
      </w:r>
      <w:r w:rsidRPr="0017095C">
        <w:rPr>
          <w:rFonts w:eastAsiaTheme="majorEastAsia"/>
          <w:lang w:val="en-CA"/>
        </w:rPr>
        <w:t xml:space="preserve"> Canada, with direct and indirect income f</w:t>
      </w:r>
      <w:r w:rsidR="00B35D12" w:rsidRPr="0017095C">
        <w:rPr>
          <w:rFonts w:eastAsiaTheme="majorEastAsia"/>
          <w:lang w:val="en-CA"/>
        </w:rPr>
        <w:t>rom</w:t>
      </w:r>
      <w:r w:rsidRPr="0017095C">
        <w:rPr>
          <w:rFonts w:eastAsiaTheme="majorEastAsia"/>
          <w:lang w:val="en-CA"/>
        </w:rPr>
        <w:t xml:space="preserve"> this industry accounting for 4.7</w:t>
      </w:r>
      <w:r w:rsidR="00792B9F" w:rsidRPr="0017095C">
        <w:rPr>
          <w:rFonts w:eastAsiaTheme="majorEastAsia"/>
          <w:lang w:val="en-CA"/>
        </w:rPr>
        <w:t xml:space="preserve"> per cent</w:t>
      </w:r>
      <w:r w:rsidRPr="0017095C">
        <w:rPr>
          <w:rFonts w:eastAsiaTheme="majorEastAsia"/>
          <w:lang w:val="en-CA"/>
        </w:rPr>
        <w:t xml:space="preserve"> of the country’s total </w:t>
      </w:r>
      <w:r w:rsidR="003103DE" w:rsidRPr="0017095C">
        <w:rPr>
          <w:rFonts w:eastAsiaTheme="majorEastAsia"/>
          <w:lang w:val="en-CA"/>
        </w:rPr>
        <w:t>gross domestic product</w:t>
      </w:r>
      <w:r w:rsidRPr="0017095C">
        <w:rPr>
          <w:rFonts w:eastAsiaTheme="majorEastAsia"/>
          <w:lang w:val="en-CA"/>
        </w:rPr>
        <w:t>.</w:t>
      </w:r>
      <w:r w:rsidRPr="0017095C">
        <w:rPr>
          <w:rFonts w:eastAsiaTheme="majorEastAsia"/>
          <w:vertAlign w:val="superscript"/>
          <w:lang w:val="en-CA"/>
        </w:rPr>
        <w:endnoteReference w:id="9"/>
      </w:r>
    </w:p>
    <w:p w14:paraId="12D6E3A0" w14:textId="77777777" w:rsidR="00C00AE7" w:rsidRPr="0017095C" w:rsidRDefault="00C00AE7" w:rsidP="00C00AE7">
      <w:pPr>
        <w:pStyle w:val="BodyTextMain"/>
        <w:rPr>
          <w:rFonts w:eastAsiaTheme="majorEastAsia"/>
          <w:lang w:val="en-CA"/>
        </w:rPr>
      </w:pPr>
    </w:p>
    <w:p w14:paraId="58E727F9" w14:textId="772141B8" w:rsidR="00C00AE7" w:rsidRPr="0017095C" w:rsidRDefault="00C00AE7" w:rsidP="00C00AE7">
      <w:pPr>
        <w:pStyle w:val="BodyTextMain"/>
        <w:rPr>
          <w:rFonts w:eastAsiaTheme="majorEastAsia"/>
          <w:lang w:val="en-CA"/>
        </w:rPr>
      </w:pPr>
      <w:r w:rsidRPr="0017095C">
        <w:rPr>
          <w:rFonts w:eastAsiaTheme="majorEastAsia"/>
          <w:lang w:val="en-CA"/>
        </w:rPr>
        <w:t>In addition to the resource endowment advantages of mining, Canada had strong global competitiveness in mineral exploration and development technology, mine management, and mining financing.</w:t>
      </w:r>
      <w:r w:rsidRPr="0017095C">
        <w:rPr>
          <w:lang w:val="en-CA"/>
        </w:rPr>
        <w:t xml:space="preserve"> </w:t>
      </w:r>
      <w:r w:rsidRPr="0017095C">
        <w:rPr>
          <w:rFonts w:eastAsiaTheme="majorEastAsia"/>
          <w:lang w:val="en-CA"/>
        </w:rPr>
        <w:t>Canada had an active mining capital market and the world’s largest mining trading platform—the Toronto Stock Exchange (TSX) and TSX Venture Exchange. There were about 1,400 mining companies in the world listed on the main board of the TSX, accounting for about 60</w:t>
      </w:r>
      <w:r w:rsidR="00792B9F" w:rsidRPr="0017095C">
        <w:rPr>
          <w:rFonts w:eastAsiaTheme="majorEastAsia"/>
          <w:lang w:val="en-CA"/>
        </w:rPr>
        <w:t xml:space="preserve"> per cent</w:t>
      </w:r>
      <w:r w:rsidRPr="0017095C">
        <w:rPr>
          <w:rFonts w:eastAsiaTheme="majorEastAsia"/>
          <w:lang w:val="en-CA"/>
        </w:rPr>
        <w:t xml:space="preserve"> of the total number of mining companies in the world.</w:t>
      </w:r>
      <w:r w:rsidRPr="0017095C">
        <w:rPr>
          <w:rFonts w:eastAsiaTheme="majorEastAsia"/>
          <w:vertAlign w:val="superscript"/>
          <w:lang w:val="en-CA"/>
        </w:rPr>
        <w:endnoteReference w:id="10"/>
      </w:r>
      <w:r w:rsidRPr="0017095C">
        <w:rPr>
          <w:lang w:val="en-CA"/>
        </w:rPr>
        <w:t xml:space="preserve"> </w:t>
      </w:r>
      <w:r w:rsidRPr="0017095C">
        <w:rPr>
          <w:rFonts w:eastAsiaTheme="majorEastAsia"/>
          <w:lang w:val="en-CA"/>
        </w:rPr>
        <w:t>Many major international gold companies, such as Barrick and Goldcorp</w:t>
      </w:r>
      <w:r w:rsidR="00453D82" w:rsidRPr="0017095C">
        <w:rPr>
          <w:rFonts w:eastAsiaTheme="majorEastAsia"/>
          <w:lang w:val="en-CA"/>
        </w:rPr>
        <w:t xml:space="preserve"> Inc.</w:t>
      </w:r>
      <w:r w:rsidRPr="0017095C">
        <w:rPr>
          <w:rFonts w:eastAsiaTheme="majorEastAsia"/>
          <w:lang w:val="en-CA"/>
        </w:rPr>
        <w:t>, were headquartered in Canada.</w:t>
      </w:r>
      <w:r w:rsidRPr="0017095C">
        <w:rPr>
          <w:rFonts w:eastAsiaTheme="majorEastAsia"/>
          <w:vertAlign w:val="superscript"/>
          <w:lang w:val="en-CA"/>
        </w:rPr>
        <w:endnoteReference w:id="11"/>
      </w:r>
      <w:r w:rsidRPr="0017095C">
        <w:rPr>
          <w:lang w:val="en-CA"/>
        </w:rPr>
        <w:t xml:space="preserve"> </w:t>
      </w:r>
      <w:r w:rsidRPr="0017095C">
        <w:rPr>
          <w:rFonts w:eastAsiaTheme="majorEastAsia"/>
          <w:lang w:val="en-CA"/>
        </w:rPr>
        <w:t>In addition, Canada held a world-class mining conference every year, attracting the active participation of global mining companies.</w:t>
      </w:r>
      <w:r w:rsidRPr="0017095C">
        <w:rPr>
          <w:rFonts w:eastAsiaTheme="majorEastAsia"/>
          <w:vertAlign w:val="superscript"/>
          <w:lang w:val="en-CA"/>
        </w:rPr>
        <w:endnoteReference w:id="12"/>
      </w:r>
      <w:r w:rsidRPr="0017095C">
        <w:rPr>
          <w:rFonts w:eastAsiaTheme="majorEastAsia"/>
          <w:lang w:val="en-CA"/>
        </w:rPr>
        <w:t xml:space="preserve"> Canada</w:t>
      </w:r>
      <w:r w:rsidRPr="0017095C">
        <w:rPr>
          <w:rFonts w:eastAsiaTheme="majorEastAsia"/>
          <w:lang w:val="en-CA" w:eastAsia="zh-CN"/>
        </w:rPr>
        <w:t>’</w:t>
      </w:r>
      <w:r w:rsidRPr="0017095C">
        <w:rPr>
          <w:rFonts w:eastAsiaTheme="majorEastAsia"/>
          <w:lang w:val="en-CA"/>
        </w:rPr>
        <w:t>s rich natural resources and good investment and financing environment had seen Canada firmly established as a global mining centre.</w:t>
      </w:r>
    </w:p>
    <w:p w14:paraId="36F553CC" w14:textId="77777777" w:rsidR="00C00AE7" w:rsidRPr="0017095C" w:rsidRDefault="00C00AE7" w:rsidP="00C00AE7">
      <w:pPr>
        <w:pStyle w:val="BodyTextMain"/>
        <w:rPr>
          <w:lang w:val="en-CA"/>
        </w:rPr>
      </w:pPr>
    </w:p>
    <w:p w14:paraId="7C9C98DD" w14:textId="13F43273" w:rsidR="00C00AE7" w:rsidRPr="0017095C" w:rsidRDefault="00C00AE7" w:rsidP="00C00AE7">
      <w:pPr>
        <w:pStyle w:val="BodyTextMain"/>
        <w:rPr>
          <w:lang w:val="en-CA"/>
        </w:rPr>
      </w:pPr>
      <w:r w:rsidRPr="0017095C">
        <w:rPr>
          <w:lang w:val="en-CA"/>
        </w:rPr>
        <w:t>Canada was a federal country composed of 10 provinces and three territories. The exploration, development, and mining of mineral resources, as well as the construction, management, and reclamation of mines, were mainly under the jurisdiction of each province, with each having its own mining legislation and mineral tenure system.</w:t>
      </w:r>
      <w:r w:rsidRPr="0017095C">
        <w:rPr>
          <w:vertAlign w:val="superscript"/>
          <w:lang w:val="en-CA"/>
        </w:rPr>
        <w:endnoteReference w:id="13"/>
      </w:r>
      <w:r w:rsidRPr="0017095C">
        <w:rPr>
          <w:lang w:val="en-CA"/>
        </w:rPr>
        <w:t xml:space="preserve"> The mining process of mineral resources was relatively similar in each country. Generally, it started with ordinary surveys, </w:t>
      </w:r>
      <w:r w:rsidR="00453D82" w:rsidRPr="0017095C">
        <w:rPr>
          <w:lang w:val="en-CA"/>
        </w:rPr>
        <w:t xml:space="preserve">followed </w:t>
      </w:r>
      <w:r w:rsidR="005F29C9" w:rsidRPr="0017095C">
        <w:rPr>
          <w:lang w:val="en-CA"/>
        </w:rPr>
        <w:t>by</w:t>
      </w:r>
      <w:r w:rsidR="00453D82" w:rsidRPr="0017095C">
        <w:rPr>
          <w:lang w:val="en-CA"/>
        </w:rPr>
        <w:t xml:space="preserve"> </w:t>
      </w:r>
      <w:r w:rsidRPr="0017095C">
        <w:rPr>
          <w:lang w:val="en-CA"/>
        </w:rPr>
        <w:t xml:space="preserve">detailed surveys, and </w:t>
      </w:r>
      <w:r w:rsidR="00453D82" w:rsidRPr="0017095C">
        <w:rPr>
          <w:lang w:val="en-CA"/>
        </w:rPr>
        <w:t>eventually</w:t>
      </w:r>
      <w:r w:rsidRPr="0017095C">
        <w:rPr>
          <w:lang w:val="en-CA"/>
        </w:rPr>
        <w:t xml:space="preserve"> mining. At different stages of </w:t>
      </w:r>
      <w:r w:rsidR="00453D82" w:rsidRPr="0017095C">
        <w:rPr>
          <w:lang w:val="en-CA"/>
        </w:rPr>
        <w:t xml:space="preserve">the </w:t>
      </w:r>
      <w:r w:rsidRPr="0017095C">
        <w:rPr>
          <w:lang w:val="en-CA"/>
        </w:rPr>
        <w:t>mining</w:t>
      </w:r>
      <w:r w:rsidR="00453D82" w:rsidRPr="0017095C">
        <w:rPr>
          <w:lang w:val="en-CA"/>
        </w:rPr>
        <w:t xml:space="preserve"> process</w:t>
      </w:r>
      <w:r w:rsidRPr="0017095C">
        <w:rPr>
          <w:lang w:val="en-CA"/>
        </w:rPr>
        <w:t>, issues of prospecting rights and mining rights</w:t>
      </w:r>
      <w:r w:rsidR="00453D82" w:rsidRPr="0017095C">
        <w:rPr>
          <w:lang w:val="en-CA"/>
        </w:rPr>
        <w:t xml:space="preserve"> arose</w:t>
      </w:r>
      <w:r w:rsidRPr="0017095C">
        <w:rPr>
          <w:lang w:val="en-CA"/>
        </w:rPr>
        <w:t>.</w:t>
      </w:r>
      <w:r w:rsidRPr="0017095C">
        <w:rPr>
          <w:vertAlign w:val="superscript"/>
          <w:lang w:val="en-CA"/>
        </w:rPr>
        <w:endnoteReference w:id="14"/>
      </w:r>
      <w:r w:rsidRPr="0017095C">
        <w:rPr>
          <w:lang w:val="en-CA"/>
        </w:rPr>
        <w:t xml:space="preserve"> Canadian </w:t>
      </w:r>
      <w:r w:rsidRPr="0017095C">
        <w:rPr>
          <w:lang w:val="en-CA"/>
        </w:rPr>
        <w:lastRenderedPageBreak/>
        <w:t>mining rights leases were mainly divided into exploration rights (</w:t>
      </w:r>
      <w:r w:rsidR="00F93A18" w:rsidRPr="0017095C">
        <w:rPr>
          <w:lang w:val="en-CA"/>
        </w:rPr>
        <w:t>i.e., m</w:t>
      </w:r>
      <w:r w:rsidRPr="0017095C">
        <w:rPr>
          <w:lang w:val="en-CA"/>
        </w:rPr>
        <w:t xml:space="preserve">ineral </w:t>
      </w:r>
      <w:r w:rsidR="00F93A18" w:rsidRPr="0017095C">
        <w:rPr>
          <w:lang w:val="en-CA"/>
        </w:rPr>
        <w:t>c</w:t>
      </w:r>
      <w:r w:rsidRPr="0017095C">
        <w:rPr>
          <w:lang w:val="en-CA"/>
        </w:rPr>
        <w:t>laims) and mining rights (</w:t>
      </w:r>
      <w:r w:rsidR="00F93A18" w:rsidRPr="0017095C">
        <w:rPr>
          <w:lang w:val="en-CA"/>
        </w:rPr>
        <w:t>i.e., m</w:t>
      </w:r>
      <w:r w:rsidRPr="0017095C">
        <w:rPr>
          <w:lang w:val="en-CA"/>
        </w:rPr>
        <w:t xml:space="preserve">ineral </w:t>
      </w:r>
      <w:r w:rsidR="00F93A18" w:rsidRPr="0017095C">
        <w:rPr>
          <w:lang w:val="en-CA"/>
        </w:rPr>
        <w:t>l</w:t>
      </w:r>
      <w:r w:rsidRPr="0017095C">
        <w:rPr>
          <w:lang w:val="en-CA"/>
        </w:rPr>
        <w:t>ease</w:t>
      </w:r>
      <w:r w:rsidRPr="0017095C">
        <w:rPr>
          <w:lang w:val="en-CA" w:eastAsia="zh-CN"/>
        </w:rPr>
        <w:t>s</w:t>
      </w:r>
      <w:r w:rsidRPr="0017095C">
        <w:rPr>
          <w:lang w:val="en-CA"/>
        </w:rPr>
        <w:t>).</w:t>
      </w:r>
      <w:r w:rsidRPr="0017095C">
        <w:rPr>
          <w:vertAlign w:val="superscript"/>
          <w:lang w:val="en-CA"/>
        </w:rPr>
        <w:endnoteReference w:id="15"/>
      </w:r>
      <w:r w:rsidRPr="0017095C">
        <w:rPr>
          <w:lang w:val="en-CA"/>
        </w:rPr>
        <w:t xml:space="preserve"> Only after holding an exploration permit or a mining lease could a company have the right to conduct exploration or mining activities in the designated area.</w:t>
      </w:r>
    </w:p>
    <w:p w14:paraId="1EA15BBC" w14:textId="77777777" w:rsidR="00C00AE7" w:rsidRPr="0017095C" w:rsidRDefault="00C00AE7" w:rsidP="00C00AE7">
      <w:pPr>
        <w:pStyle w:val="BodyTextMain"/>
        <w:rPr>
          <w:lang w:val="en-CA"/>
        </w:rPr>
      </w:pPr>
    </w:p>
    <w:p w14:paraId="2F49021B" w14:textId="05F45740" w:rsidR="00C00AE7" w:rsidRPr="0017095C" w:rsidRDefault="00C00AE7" w:rsidP="00C00AE7">
      <w:pPr>
        <w:pStyle w:val="BodyTextMain"/>
        <w:rPr>
          <w:lang w:val="en-CA" w:eastAsia="zh-CN"/>
        </w:rPr>
      </w:pPr>
      <w:r w:rsidRPr="0017095C">
        <w:rPr>
          <w:lang w:val="en-CA"/>
        </w:rPr>
        <w:t xml:space="preserve">In Nunavut and some areas in the </w:t>
      </w:r>
      <w:r w:rsidR="00BC353D">
        <w:t>Northwest Territories</w:t>
      </w:r>
      <w:r w:rsidRPr="0017095C">
        <w:rPr>
          <w:lang w:val="en-CA"/>
        </w:rPr>
        <w:t xml:space="preserve">, the surface land rights and underground mineral rights were separate. The </w:t>
      </w:r>
      <w:r w:rsidR="00816BFC">
        <w:rPr>
          <w:lang w:val="en-CA"/>
        </w:rPr>
        <w:t>Indigenous</w:t>
      </w:r>
      <w:r w:rsidRPr="0017095C">
        <w:rPr>
          <w:lang w:val="en-CA"/>
        </w:rPr>
        <w:t xml:space="preserve"> Inuit people held mineral rights on the surface of the land. </w:t>
      </w:r>
      <w:r w:rsidR="000A506E" w:rsidRPr="0017095C">
        <w:rPr>
          <w:lang w:val="en-CA"/>
        </w:rPr>
        <w:t>H</w:t>
      </w:r>
      <w:r w:rsidRPr="0017095C">
        <w:rPr>
          <w:lang w:val="en-CA"/>
        </w:rPr>
        <w:t>old</w:t>
      </w:r>
      <w:r w:rsidR="000A506E" w:rsidRPr="0017095C">
        <w:rPr>
          <w:lang w:val="en-CA"/>
        </w:rPr>
        <w:t>ers of</w:t>
      </w:r>
      <w:r w:rsidRPr="0017095C">
        <w:rPr>
          <w:lang w:val="en-CA"/>
        </w:rPr>
        <w:t xml:space="preserve"> underground mining rights</w:t>
      </w:r>
      <w:r w:rsidR="000A506E" w:rsidRPr="0017095C">
        <w:rPr>
          <w:lang w:val="en-CA"/>
        </w:rPr>
        <w:t>,</w:t>
      </w:r>
      <w:r w:rsidRPr="0017095C">
        <w:rPr>
          <w:lang w:val="en-CA"/>
        </w:rPr>
        <w:t xml:space="preserve"> such as private companies</w:t>
      </w:r>
      <w:r w:rsidR="000A506E" w:rsidRPr="0017095C">
        <w:rPr>
          <w:lang w:val="en-CA"/>
        </w:rPr>
        <w:t>, were required</w:t>
      </w:r>
      <w:r w:rsidRPr="0017095C">
        <w:rPr>
          <w:lang w:val="en-CA"/>
        </w:rPr>
        <w:t xml:space="preserve"> to negotiate with the </w:t>
      </w:r>
      <w:r w:rsidR="00816BFC">
        <w:rPr>
          <w:lang w:val="en-CA"/>
        </w:rPr>
        <w:t>Indigenous</w:t>
      </w:r>
      <w:r w:rsidRPr="0017095C">
        <w:rPr>
          <w:lang w:val="en-CA"/>
        </w:rPr>
        <w:t xml:space="preserve"> people before they conducted underground mining</w:t>
      </w:r>
      <w:r w:rsidR="000A506E" w:rsidRPr="0017095C">
        <w:rPr>
          <w:lang w:val="en-CA"/>
        </w:rPr>
        <w:t>. They also had to</w:t>
      </w:r>
      <w:r w:rsidRPr="0017095C">
        <w:rPr>
          <w:lang w:val="en-CA"/>
        </w:rPr>
        <w:t xml:space="preserve"> obtain</w:t>
      </w:r>
      <w:r w:rsidR="000A506E" w:rsidRPr="0017095C">
        <w:rPr>
          <w:lang w:val="en-CA"/>
        </w:rPr>
        <w:t xml:space="preserve"> a</w:t>
      </w:r>
      <w:r w:rsidRPr="0017095C">
        <w:rPr>
          <w:lang w:val="en-CA"/>
        </w:rPr>
        <w:t xml:space="preserve"> land entry permit or sign a mining agreement before they could conduct related mining activities.</w:t>
      </w:r>
      <w:r w:rsidRPr="0017095C">
        <w:rPr>
          <w:vertAlign w:val="superscript"/>
          <w:lang w:val="en-CA"/>
        </w:rPr>
        <w:endnoteReference w:id="16"/>
      </w:r>
    </w:p>
    <w:p w14:paraId="1EE2923D" w14:textId="77777777" w:rsidR="00C00AE7" w:rsidRPr="0017095C" w:rsidRDefault="00C00AE7" w:rsidP="00C00AE7">
      <w:pPr>
        <w:pStyle w:val="BodyTextMain"/>
        <w:rPr>
          <w:lang w:val="en-CA" w:eastAsia="zh-CN"/>
        </w:rPr>
      </w:pPr>
    </w:p>
    <w:p w14:paraId="7510EC1F" w14:textId="0CD8725F" w:rsidR="00C00AE7" w:rsidRPr="0017095C" w:rsidRDefault="000A506E" w:rsidP="00C00AE7">
      <w:pPr>
        <w:pStyle w:val="BodyTextMain"/>
        <w:rPr>
          <w:kern w:val="2"/>
          <w:lang w:val="en-CA" w:eastAsia="zh-CN"/>
        </w:rPr>
      </w:pPr>
      <w:r w:rsidRPr="0017095C">
        <w:rPr>
          <w:kern w:val="2"/>
          <w:lang w:val="en-CA" w:eastAsia="zh-CN"/>
        </w:rPr>
        <w:t>T</w:t>
      </w:r>
      <w:r w:rsidR="00C00AE7" w:rsidRPr="0017095C">
        <w:rPr>
          <w:kern w:val="2"/>
          <w:lang w:val="en-CA" w:eastAsia="zh-CN"/>
        </w:rPr>
        <w:t>o acquire an operating Canadian mining business</w:t>
      </w:r>
      <w:r w:rsidRPr="0017095C">
        <w:rPr>
          <w:kern w:val="2"/>
          <w:lang w:val="en-CA" w:eastAsia="zh-CN"/>
        </w:rPr>
        <w:t xml:space="preserve"> that</w:t>
      </w:r>
      <w:r w:rsidR="00C00AE7" w:rsidRPr="0017095C">
        <w:rPr>
          <w:kern w:val="2"/>
          <w:lang w:val="en-CA" w:eastAsia="zh-CN"/>
        </w:rPr>
        <w:t xml:space="preserve"> </w:t>
      </w:r>
      <w:r w:rsidRPr="0017095C">
        <w:rPr>
          <w:kern w:val="2"/>
          <w:lang w:val="en-CA" w:eastAsia="zh-CN"/>
        </w:rPr>
        <w:t>was priced above</w:t>
      </w:r>
      <w:r w:rsidR="00C00AE7" w:rsidRPr="0017095C">
        <w:rPr>
          <w:kern w:val="2"/>
          <w:lang w:val="en-CA" w:eastAsia="zh-CN"/>
        </w:rPr>
        <w:t xml:space="preserve"> a certain financial threshold,</w:t>
      </w:r>
      <w:r w:rsidR="00C00AE7" w:rsidRPr="0017095C">
        <w:rPr>
          <w:kern w:val="2"/>
          <w:vertAlign w:val="superscript"/>
          <w:lang w:val="en-CA" w:eastAsia="zh-CN"/>
        </w:rPr>
        <w:endnoteReference w:id="17"/>
      </w:r>
      <w:r w:rsidR="00C00AE7" w:rsidRPr="0017095C">
        <w:rPr>
          <w:kern w:val="2"/>
          <w:lang w:val="en-CA" w:eastAsia="zh-CN"/>
        </w:rPr>
        <w:t xml:space="preserve"> the acquisition transaction had to be submitted to the Canadian government for approval. There were two main Canadian government approvals</w:t>
      </w:r>
      <w:r w:rsidR="00F855B8" w:rsidRPr="0017095C">
        <w:rPr>
          <w:kern w:val="2"/>
          <w:lang w:val="en-CA" w:eastAsia="zh-CN"/>
        </w:rPr>
        <w:t>:</w:t>
      </w:r>
      <w:r w:rsidR="00C00AE7" w:rsidRPr="0017095C">
        <w:rPr>
          <w:kern w:val="2"/>
          <w:lang w:val="en-CA" w:eastAsia="zh-CN"/>
        </w:rPr>
        <w:t xml:space="preserve"> the </w:t>
      </w:r>
      <w:r w:rsidR="00F855B8" w:rsidRPr="0017095C">
        <w:rPr>
          <w:i/>
          <w:iCs/>
          <w:kern w:val="2"/>
          <w:lang w:val="en-CA" w:eastAsia="zh-CN"/>
        </w:rPr>
        <w:t>C</w:t>
      </w:r>
      <w:r w:rsidR="00C00AE7" w:rsidRPr="0017095C">
        <w:rPr>
          <w:i/>
          <w:iCs/>
          <w:kern w:val="2"/>
          <w:lang w:val="en-CA" w:eastAsia="zh-CN"/>
        </w:rPr>
        <w:t xml:space="preserve">ompetition </w:t>
      </w:r>
      <w:r w:rsidR="00F855B8" w:rsidRPr="0017095C">
        <w:rPr>
          <w:i/>
          <w:iCs/>
          <w:kern w:val="2"/>
          <w:lang w:val="en-CA" w:eastAsia="zh-CN"/>
        </w:rPr>
        <w:t>Act</w:t>
      </w:r>
      <w:r w:rsidR="00C00AE7" w:rsidRPr="0017095C">
        <w:rPr>
          <w:kern w:val="2"/>
          <w:lang w:val="en-CA" w:eastAsia="zh-CN"/>
        </w:rPr>
        <w:t xml:space="preserve"> (</w:t>
      </w:r>
      <w:r w:rsidR="00F855B8" w:rsidRPr="0017095C">
        <w:rPr>
          <w:kern w:val="2"/>
          <w:lang w:val="en-CA" w:eastAsia="zh-CN"/>
        </w:rPr>
        <w:t xml:space="preserve">for </w:t>
      </w:r>
      <w:r w:rsidR="00C00AE7" w:rsidRPr="0017095C">
        <w:rPr>
          <w:kern w:val="2"/>
          <w:lang w:val="en-CA" w:eastAsia="zh-CN"/>
        </w:rPr>
        <w:t xml:space="preserve">antitrust </w:t>
      </w:r>
      <w:r w:rsidR="00F855B8" w:rsidRPr="0017095C">
        <w:rPr>
          <w:kern w:val="2"/>
          <w:lang w:val="en-CA" w:eastAsia="zh-CN"/>
        </w:rPr>
        <w:t>issues</w:t>
      </w:r>
      <w:r w:rsidR="00C00AE7" w:rsidRPr="0017095C">
        <w:rPr>
          <w:kern w:val="2"/>
          <w:lang w:val="en-CA" w:eastAsia="zh-CN"/>
        </w:rPr>
        <w:t xml:space="preserve">) and the </w:t>
      </w:r>
      <w:r w:rsidR="00C00AE7" w:rsidRPr="0017095C">
        <w:rPr>
          <w:i/>
          <w:iCs/>
          <w:kern w:val="2"/>
          <w:lang w:val="en-CA" w:eastAsia="zh-CN"/>
        </w:rPr>
        <w:t>Investment Canada Act</w:t>
      </w:r>
      <w:r w:rsidR="00C00AE7" w:rsidRPr="0017095C">
        <w:rPr>
          <w:kern w:val="2"/>
          <w:lang w:val="en-CA" w:eastAsia="zh-CN"/>
        </w:rPr>
        <w:t xml:space="preserve">. </w:t>
      </w:r>
      <w:r w:rsidR="00F855B8" w:rsidRPr="0017095C">
        <w:rPr>
          <w:kern w:val="2"/>
          <w:lang w:val="en-CA" w:eastAsia="zh-CN"/>
        </w:rPr>
        <w:t>I</w:t>
      </w:r>
      <w:r w:rsidR="00C00AE7" w:rsidRPr="0017095C">
        <w:rPr>
          <w:kern w:val="2"/>
          <w:lang w:val="en-CA" w:eastAsia="zh-CN"/>
        </w:rPr>
        <w:t xml:space="preserve">nvestment law mainly examined whether this transaction could bring a net benefit to Canada. In addition, the Canadian government had the right to review any transaction it believed </w:t>
      </w:r>
      <w:r w:rsidR="00F855B8" w:rsidRPr="0017095C">
        <w:rPr>
          <w:kern w:val="2"/>
          <w:lang w:val="en-CA" w:eastAsia="zh-CN"/>
        </w:rPr>
        <w:t>could</w:t>
      </w:r>
      <w:r w:rsidR="00C00AE7" w:rsidRPr="0017095C">
        <w:rPr>
          <w:kern w:val="2"/>
          <w:lang w:val="en-CA" w:eastAsia="zh-CN"/>
        </w:rPr>
        <w:t xml:space="preserve"> harm national security.</w:t>
      </w:r>
    </w:p>
    <w:p w14:paraId="253F69C8" w14:textId="77777777" w:rsidR="00C00AE7" w:rsidRPr="0017095C" w:rsidRDefault="00C00AE7" w:rsidP="00C00AE7">
      <w:pPr>
        <w:pStyle w:val="BodyTextMain"/>
        <w:rPr>
          <w:kern w:val="2"/>
          <w:lang w:val="en-CA" w:eastAsia="zh-CN"/>
        </w:rPr>
      </w:pPr>
    </w:p>
    <w:p w14:paraId="0CC9F5B3" w14:textId="77777777" w:rsidR="00C00AE7" w:rsidRPr="0017095C" w:rsidRDefault="00C00AE7" w:rsidP="00C00AE7">
      <w:pPr>
        <w:pStyle w:val="BodyTextMain"/>
        <w:rPr>
          <w:kern w:val="2"/>
          <w:lang w:val="en-CA" w:eastAsia="zh-CN"/>
        </w:rPr>
      </w:pPr>
    </w:p>
    <w:p w14:paraId="3AE397EA" w14:textId="66A8539E" w:rsidR="00C00AE7" w:rsidRPr="0017095C" w:rsidRDefault="00C00AE7" w:rsidP="00C00AE7">
      <w:pPr>
        <w:pStyle w:val="Casehead1"/>
        <w:rPr>
          <w:rFonts w:eastAsia="Calibri"/>
          <w:lang w:val="en-CA"/>
        </w:rPr>
      </w:pPr>
      <w:r w:rsidRPr="0017095C">
        <w:rPr>
          <w:rFonts w:eastAsia="Calibri"/>
          <w:lang w:val="en-CA"/>
        </w:rPr>
        <w:t>TMAC</w:t>
      </w:r>
    </w:p>
    <w:p w14:paraId="4847B536" w14:textId="77777777" w:rsidR="00C00AE7" w:rsidRPr="0017095C" w:rsidRDefault="00C00AE7" w:rsidP="00C00AE7">
      <w:pPr>
        <w:pStyle w:val="BodyTextMain"/>
        <w:rPr>
          <w:kern w:val="2"/>
          <w:lang w:val="en-CA" w:eastAsia="zh-CN"/>
        </w:rPr>
      </w:pPr>
    </w:p>
    <w:p w14:paraId="01FFC438" w14:textId="08B6DB1C" w:rsidR="00C00AE7" w:rsidRPr="0017095C" w:rsidRDefault="00C00AE7" w:rsidP="00C00AE7">
      <w:pPr>
        <w:pStyle w:val="BodyTextMain"/>
        <w:rPr>
          <w:kern w:val="2"/>
          <w:lang w:val="en-CA" w:eastAsia="zh-CN"/>
        </w:rPr>
      </w:pPr>
      <w:r w:rsidRPr="0017095C">
        <w:rPr>
          <w:kern w:val="2"/>
          <w:lang w:val="en-CA" w:eastAsia="zh-CN"/>
        </w:rPr>
        <w:t>TMAC was a Canadian gold mining company headquartered in Toronto and listed on the T</w:t>
      </w:r>
      <w:r w:rsidR="00807066" w:rsidRPr="0017095C">
        <w:rPr>
          <w:kern w:val="2"/>
          <w:lang w:val="en-CA" w:eastAsia="zh-CN"/>
        </w:rPr>
        <w:t>SX</w:t>
      </w:r>
      <w:r w:rsidRPr="0017095C">
        <w:rPr>
          <w:kern w:val="2"/>
          <w:lang w:val="en-CA" w:eastAsia="zh-CN"/>
        </w:rPr>
        <w:t>. Its core asset was the Hope Bay project (</w:t>
      </w:r>
      <w:r w:rsidR="00B35D12" w:rsidRPr="0017095C">
        <w:rPr>
          <w:kern w:val="2"/>
          <w:lang w:val="en-CA" w:eastAsia="zh-CN"/>
        </w:rPr>
        <w:t xml:space="preserve">with </w:t>
      </w:r>
      <w:r w:rsidRPr="0017095C">
        <w:rPr>
          <w:kern w:val="2"/>
          <w:lang w:val="en-CA" w:eastAsia="zh-CN"/>
        </w:rPr>
        <w:t>100</w:t>
      </w:r>
      <w:r w:rsidR="00792B9F" w:rsidRPr="0017095C">
        <w:rPr>
          <w:kern w:val="2"/>
          <w:lang w:val="en-CA" w:eastAsia="zh-CN"/>
        </w:rPr>
        <w:t xml:space="preserve"> per cent</w:t>
      </w:r>
      <w:r w:rsidRPr="0017095C">
        <w:rPr>
          <w:kern w:val="2"/>
          <w:lang w:val="en-CA" w:eastAsia="zh-CN"/>
        </w:rPr>
        <w:t xml:space="preserve"> equity), which held mining rights for three mines in Nunavut with good growth potential. The three mines</w:t>
      </w:r>
      <w:r w:rsidR="007F4A6F" w:rsidRPr="0017095C">
        <w:rPr>
          <w:kern w:val="2"/>
          <w:lang w:val="en-CA" w:eastAsia="zh-CN"/>
        </w:rPr>
        <w:t xml:space="preserve"> were</w:t>
      </w:r>
      <w:r w:rsidR="00EC4543" w:rsidRPr="0017095C">
        <w:rPr>
          <w:kern w:val="2"/>
          <w:lang w:val="en-CA" w:eastAsia="zh-CN"/>
        </w:rPr>
        <w:t xml:space="preserve"> named</w:t>
      </w:r>
      <w:r w:rsidRPr="0017095C">
        <w:rPr>
          <w:kern w:val="2"/>
          <w:lang w:val="en-CA" w:eastAsia="zh-CN"/>
        </w:rPr>
        <w:t xml:space="preserve"> Doris, Madrid, and Boston</w:t>
      </w:r>
      <w:r w:rsidR="007F4A6F" w:rsidRPr="0017095C">
        <w:rPr>
          <w:kern w:val="2"/>
          <w:lang w:val="en-CA" w:eastAsia="zh-CN"/>
        </w:rPr>
        <w:t xml:space="preserve"> and</w:t>
      </w:r>
      <w:r w:rsidRPr="0017095C">
        <w:rPr>
          <w:kern w:val="2"/>
          <w:lang w:val="en-CA" w:eastAsia="zh-CN"/>
        </w:rPr>
        <w:t xml:space="preserve"> were all located along Hope Bay.</w:t>
      </w:r>
      <w:r w:rsidR="007F4A6F" w:rsidRPr="0017095C">
        <w:rPr>
          <w:rStyle w:val="EndnoteReference"/>
          <w:kern w:val="2"/>
          <w:lang w:val="en-CA" w:eastAsia="zh-CN"/>
        </w:rPr>
        <w:endnoteReference w:id="18"/>
      </w:r>
      <w:r w:rsidRPr="0017095C">
        <w:rPr>
          <w:kern w:val="2"/>
          <w:lang w:val="en-CA" w:eastAsia="zh-CN"/>
        </w:rPr>
        <w:t xml:space="preserve"> </w:t>
      </w:r>
    </w:p>
    <w:p w14:paraId="4C174586" w14:textId="77777777" w:rsidR="00C00AE7" w:rsidRPr="0017095C" w:rsidRDefault="00C00AE7" w:rsidP="00C00AE7">
      <w:pPr>
        <w:pStyle w:val="BodyTextMain"/>
        <w:rPr>
          <w:kern w:val="2"/>
          <w:lang w:val="en-CA" w:eastAsia="zh-CN"/>
        </w:rPr>
      </w:pPr>
    </w:p>
    <w:p w14:paraId="33D313D4" w14:textId="6A0064C3" w:rsidR="00C00AE7" w:rsidRPr="0017095C" w:rsidRDefault="00C00AE7" w:rsidP="00C00AE7">
      <w:pPr>
        <w:pStyle w:val="BodyTextMain"/>
        <w:rPr>
          <w:kern w:val="2"/>
          <w:lang w:val="en-CA" w:eastAsia="zh-CN"/>
        </w:rPr>
      </w:pPr>
      <w:r w:rsidRPr="0017095C">
        <w:rPr>
          <w:kern w:val="2"/>
          <w:lang w:val="en-CA" w:eastAsia="zh-CN"/>
        </w:rPr>
        <w:t xml:space="preserve">The Doris mining area was completed and put into production in 2017, </w:t>
      </w:r>
      <w:r w:rsidR="008F5E2F" w:rsidRPr="0017095C">
        <w:rPr>
          <w:kern w:val="2"/>
          <w:lang w:val="en-CA" w:eastAsia="zh-CN"/>
        </w:rPr>
        <w:t>with</w:t>
      </w:r>
      <w:r w:rsidRPr="0017095C">
        <w:rPr>
          <w:kern w:val="2"/>
          <w:lang w:val="en-CA" w:eastAsia="zh-CN"/>
        </w:rPr>
        <w:t xml:space="preserve"> </w:t>
      </w:r>
      <w:r w:rsidR="00FD56A9" w:rsidRPr="0017095C">
        <w:rPr>
          <w:kern w:val="2"/>
          <w:lang w:val="en-CA" w:eastAsia="zh-CN"/>
        </w:rPr>
        <w:t xml:space="preserve">a </w:t>
      </w:r>
      <w:r w:rsidRPr="0017095C">
        <w:rPr>
          <w:kern w:val="2"/>
          <w:lang w:val="en-CA" w:eastAsia="zh-CN"/>
        </w:rPr>
        <w:t xml:space="preserve">total production of </w:t>
      </w:r>
      <w:r w:rsidR="008F5E2F" w:rsidRPr="0017095C">
        <w:rPr>
          <w:kern w:val="2"/>
          <w:lang w:val="en-CA" w:eastAsia="zh-CN"/>
        </w:rPr>
        <w:t>approximately</w:t>
      </w:r>
      <w:r w:rsidRPr="0017095C">
        <w:rPr>
          <w:kern w:val="2"/>
          <w:lang w:val="en-CA" w:eastAsia="zh-CN"/>
        </w:rPr>
        <w:t xml:space="preserve"> 9.5 ton</w:t>
      </w:r>
      <w:r w:rsidR="00FD56A9" w:rsidRPr="0017095C">
        <w:rPr>
          <w:kern w:val="2"/>
          <w:lang w:val="en-CA" w:eastAsia="zh-CN"/>
        </w:rPr>
        <w:t>ne</w:t>
      </w:r>
      <w:r w:rsidRPr="0017095C">
        <w:rPr>
          <w:kern w:val="2"/>
          <w:lang w:val="en-CA" w:eastAsia="zh-CN"/>
        </w:rPr>
        <w:t>s</w:t>
      </w:r>
      <w:r w:rsidR="00FD56A9" w:rsidRPr="0017095C">
        <w:rPr>
          <w:kern w:val="2"/>
          <w:lang w:val="en-CA" w:eastAsia="zh-CN"/>
        </w:rPr>
        <w:t xml:space="preserve"> of gold</w:t>
      </w:r>
      <w:r w:rsidRPr="0017095C">
        <w:rPr>
          <w:kern w:val="2"/>
          <w:lang w:val="en-CA" w:eastAsia="zh-CN"/>
        </w:rPr>
        <w:t>.</w:t>
      </w:r>
      <w:r w:rsidRPr="0017095C">
        <w:rPr>
          <w:kern w:val="2"/>
          <w:vertAlign w:val="superscript"/>
          <w:lang w:val="en-CA" w:eastAsia="zh-CN"/>
        </w:rPr>
        <w:endnoteReference w:id="19"/>
      </w:r>
      <w:r w:rsidRPr="0017095C">
        <w:rPr>
          <w:kern w:val="2"/>
          <w:lang w:val="en-CA" w:eastAsia="zh-CN"/>
        </w:rPr>
        <w:t xml:space="preserve"> The Madrid and Boston mining areas had not yet entered the mining stage</w:t>
      </w:r>
      <w:r w:rsidR="008F5E2F" w:rsidRPr="0017095C">
        <w:rPr>
          <w:kern w:val="2"/>
          <w:lang w:val="en-CA" w:eastAsia="zh-CN"/>
        </w:rPr>
        <w:t>. A</w:t>
      </w:r>
      <w:r w:rsidRPr="0017095C">
        <w:rPr>
          <w:kern w:val="2"/>
          <w:lang w:val="en-CA" w:eastAsia="zh-CN"/>
        </w:rPr>
        <w:t xml:space="preserve"> large amount of capital would be required for infrastructure construction of the</w:t>
      </w:r>
      <w:r w:rsidR="008F5E2F" w:rsidRPr="0017095C">
        <w:rPr>
          <w:kern w:val="2"/>
          <w:lang w:val="en-CA" w:eastAsia="zh-CN"/>
        </w:rPr>
        <w:t>se</w:t>
      </w:r>
      <w:r w:rsidRPr="0017095C">
        <w:rPr>
          <w:kern w:val="2"/>
          <w:lang w:val="en-CA" w:eastAsia="zh-CN"/>
        </w:rPr>
        <w:t xml:space="preserve"> mining area</w:t>
      </w:r>
      <w:r w:rsidR="008F5E2F" w:rsidRPr="0017095C">
        <w:rPr>
          <w:kern w:val="2"/>
          <w:lang w:val="en-CA" w:eastAsia="zh-CN"/>
        </w:rPr>
        <w:t>s</w:t>
      </w:r>
      <w:r w:rsidRPr="0017095C">
        <w:rPr>
          <w:kern w:val="2"/>
          <w:lang w:val="en-CA" w:eastAsia="zh-CN"/>
        </w:rPr>
        <w:t>.</w:t>
      </w:r>
      <w:r w:rsidRPr="0017095C">
        <w:rPr>
          <w:kern w:val="2"/>
          <w:sz w:val="21"/>
          <w:lang w:val="en-CA" w:eastAsia="zh-CN"/>
        </w:rPr>
        <w:t xml:space="preserve"> </w:t>
      </w:r>
      <w:r w:rsidR="008F5E2F" w:rsidRPr="0017095C">
        <w:rPr>
          <w:kern w:val="2"/>
          <w:lang w:val="en-CA" w:eastAsia="zh-CN"/>
        </w:rPr>
        <w:t>O</w:t>
      </w:r>
      <w:r w:rsidR="008F5E2F" w:rsidRPr="0017095C">
        <w:rPr>
          <w:lang w:val="en-CA"/>
        </w:rPr>
        <w:t>n</w:t>
      </w:r>
      <w:r w:rsidRPr="0017095C">
        <w:rPr>
          <w:kern w:val="2"/>
          <w:lang w:val="en-CA" w:eastAsia="zh-CN"/>
        </w:rPr>
        <w:t xml:space="preserve"> December 31, 2019, </w:t>
      </w:r>
      <w:r w:rsidR="00D7344D" w:rsidRPr="0017095C">
        <w:rPr>
          <w:kern w:val="2"/>
          <w:lang w:val="en-CA" w:eastAsia="zh-CN"/>
        </w:rPr>
        <w:t xml:space="preserve">TMAC stated that </w:t>
      </w:r>
      <w:r w:rsidRPr="0017095C">
        <w:rPr>
          <w:kern w:val="2"/>
          <w:lang w:val="en-CA" w:eastAsia="zh-CN"/>
        </w:rPr>
        <w:t xml:space="preserve">according to the </w:t>
      </w:r>
      <w:r w:rsidR="00D7344D" w:rsidRPr="0017095C">
        <w:rPr>
          <w:kern w:val="2"/>
          <w:lang w:val="en-CA" w:eastAsia="zh-CN"/>
        </w:rPr>
        <w:t xml:space="preserve">Ontario Securities Commission’s </w:t>
      </w:r>
      <w:r w:rsidRPr="0017095C">
        <w:rPr>
          <w:kern w:val="2"/>
          <w:lang w:val="en-CA" w:eastAsia="zh-CN"/>
        </w:rPr>
        <w:t>N</w:t>
      </w:r>
      <w:r w:rsidR="00D7344D" w:rsidRPr="0017095C">
        <w:rPr>
          <w:kern w:val="2"/>
          <w:lang w:val="en-CA" w:eastAsia="zh-CN"/>
        </w:rPr>
        <w:t xml:space="preserve">ational </w:t>
      </w:r>
      <w:r w:rsidRPr="0017095C">
        <w:rPr>
          <w:kern w:val="2"/>
          <w:lang w:val="en-CA" w:eastAsia="zh-CN"/>
        </w:rPr>
        <w:t>I</w:t>
      </w:r>
      <w:r w:rsidR="00D7344D" w:rsidRPr="0017095C">
        <w:rPr>
          <w:kern w:val="2"/>
          <w:lang w:val="en-CA" w:eastAsia="zh-CN"/>
        </w:rPr>
        <w:t>nstrument</w:t>
      </w:r>
      <w:r w:rsidRPr="0017095C">
        <w:rPr>
          <w:kern w:val="2"/>
          <w:lang w:val="en-CA" w:eastAsia="zh-CN"/>
        </w:rPr>
        <w:t xml:space="preserve"> 43-101, the Hope Bay project had proven credible reserves of 3.545 million ounces (110.3 ton</w:t>
      </w:r>
      <w:r w:rsidR="000A32F0" w:rsidRPr="0017095C">
        <w:rPr>
          <w:kern w:val="2"/>
          <w:lang w:val="en-CA" w:eastAsia="zh-CN"/>
        </w:rPr>
        <w:t>ne</w:t>
      </w:r>
      <w:r w:rsidRPr="0017095C">
        <w:rPr>
          <w:kern w:val="2"/>
          <w:lang w:val="en-CA" w:eastAsia="zh-CN"/>
        </w:rPr>
        <w:t>s) of gold with an average grade of 6.5 grams per ton</w:t>
      </w:r>
      <w:r w:rsidR="000A32F0" w:rsidRPr="0017095C">
        <w:rPr>
          <w:kern w:val="2"/>
          <w:lang w:val="en-CA" w:eastAsia="zh-CN"/>
        </w:rPr>
        <w:t>ne</w:t>
      </w:r>
      <w:r w:rsidRPr="0017095C">
        <w:rPr>
          <w:kern w:val="2"/>
          <w:lang w:val="en-CA" w:eastAsia="zh-CN"/>
        </w:rPr>
        <w:t xml:space="preserve"> (see Exhibit </w:t>
      </w:r>
      <w:r w:rsidR="00AC7323" w:rsidRPr="0017095C">
        <w:rPr>
          <w:kern w:val="2"/>
          <w:lang w:val="en-CA" w:eastAsia="zh-CN"/>
        </w:rPr>
        <w:t>1</w:t>
      </w:r>
      <w:r w:rsidRPr="0017095C">
        <w:rPr>
          <w:kern w:val="2"/>
          <w:lang w:val="en-CA" w:eastAsia="zh-CN"/>
        </w:rPr>
        <w:t>)</w:t>
      </w:r>
      <w:r w:rsidR="00D7344D" w:rsidRPr="0017095C">
        <w:rPr>
          <w:kern w:val="2"/>
          <w:lang w:val="en-CA" w:eastAsia="zh-CN"/>
        </w:rPr>
        <w:t>. The project’s reserves were also</w:t>
      </w:r>
      <w:r w:rsidRPr="0017095C">
        <w:rPr>
          <w:kern w:val="2"/>
          <w:lang w:val="en-CA" w:eastAsia="zh-CN"/>
        </w:rPr>
        <w:t xml:space="preserve"> </w:t>
      </w:r>
      <w:r w:rsidR="00D7344D" w:rsidRPr="0017095C">
        <w:rPr>
          <w:kern w:val="2"/>
          <w:lang w:val="en-CA" w:eastAsia="zh-CN"/>
        </w:rPr>
        <w:t>likely to</w:t>
      </w:r>
      <w:r w:rsidRPr="0017095C">
        <w:rPr>
          <w:kern w:val="2"/>
          <w:lang w:val="en-CA" w:eastAsia="zh-CN"/>
        </w:rPr>
        <w:t xml:space="preserve"> increase.</w:t>
      </w:r>
      <w:r w:rsidRPr="0017095C">
        <w:rPr>
          <w:kern w:val="2"/>
          <w:vertAlign w:val="superscript"/>
          <w:lang w:val="en-CA" w:eastAsia="zh-CN"/>
        </w:rPr>
        <w:endnoteReference w:id="20"/>
      </w:r>
    </w:p>
    <w:p w14:paraId="43AC76F2" w14:textId="77777777" w:rsidR="00C00AE7" w:rsidRPr="0017095C" w:rsidRDefault="00C00AE7" w:rsidP="00C00AE7">
      <w:pPr>
        <w:pStyle w:val="BodyTextMain"/>
        <w:rPr>
          <w:kern w:val="2"/>
          <w:lang w:val="en-CA" w:eastAsia="zh-CN"/>
        </w:rPr>
      </w:pPr>
    </w:p>
    <w:p w14:paraId="4A5BEDF7" w14:textId="59D90063" w:rsidR="00C00AE7" w:rsidRPr="0017095C" w:rsidRDefault="00C00AE7" w:rsidP="00C00AE7">
      <w:pPr>
        <w:pStyle w:val="BodyTextMain"/>
        <w:rPr>
          <w:kern w:val="2"/>
          <w:sz w:val="21"/>
          <w:lang w:val="en-CA" w:eastAsia="zh-CN"/>
        </w:rPr>
      </w:pPr>
      <w:r w:rsidRPr="0017095C">
        <w:rPr>
          <w:kern w:val="2"/>
          <w:lang w:val="en-CA" w:eastAsia="zh-CN"/>
        </w:rPr>
        <w:t xml:space="preserve">The previous owners of </w:t>
      </w:r>
      <w:r w:rsidRPr="0017095C">
        <w:rPr>
          <w:lang w:val="en-CA"/>
        </w:rPr>
        <w:t xml:space="preserve">TMAC </w:t>
      </w:r>
      <w:r w:rsidRPr="0017095C">
        <w:rPr>
          <w:kern w:val="2"/>
          <w:lang w:val="en-CA" w:eastAsia="zh-CN"/>
        </w:rPr>
        <w:t>were highly experienced mining companies. They had cumulatively invested more than $1.7 billion to develop and construct the Hope Bay project.</w:t>
      </w:r>
      <w:r w:rsidRPr="0017095C">
        <w:rPr>
          <w:kern w:val="2"/>
          <w:sz w:val="21"/>
          <w:lang w:val="en-CA" w:eastAsia="zh-CN"/>
        </w:rPr>
        <w:t xml:space="preserve"> </w:t>
      </w:r>
      <w:r w:rsidRPr="0017095C">
        <w:rPr>
          <w:kern w:val="2"/>
          <w:lang w:val="en-CA" w:eastAsia="zh-CN"/>
        </w:rPr>
        <w:t xml:space="preserve">However, due to the problems of mineral extraction design, operation, and mining supply capacity, the Hope Bay project had not achieved the </w:t>
      </w:r>
      <w:r w:rsidRPr="0017095C">
        <w:rPr>
          <w:lang w:val="en-CA"/>
        </w:rPr>
        <w:t xml:space="preserve">TMAC </w:t>
      </w:r>
      <w:r w:rsidRPr="0017095C">
        <w:rPr>
          <w:kern w:val="2"/>
          <w:lang w:val="en-CA" w:eastAsia="zh-CN"/>
        </w:rPr>
        <w:t xml:space="preserve">treatment capacity and recovery rate indicators (see Exhibit </w:t>
      </w:r>
      <w:r w:rsidR="00AC7323" w:rsidRPr="0017095C">
        <w:rPr>
          <w:kern w:val="2"/>
          <w:lang w:val="en-CA" w:eastAsia="zh-CN"/>
        </w:rPr>
        <w:t>2</w:t>
      </w:r>
      <w:r w:rsidRPr="0017095C">
        <w:rPr>
          <w:kern w:val="2"/>
          <w:lang w:val="en-CA" w:eastAsia="zh-CN"/>
        </w:rPr>
        <w:t>). To solve the</w:t>
      </w:r>
      <w:r w:rsidR="00904220" w:rsidRPr="0017095C">
        <w:rPr>
          <w:kern w:val="2"/>
          <w:lang w:val="en-CA" w:eastAsia="zh-CN"/>
        </w:rPr>
        <w:t>se</w:t>
      </w:r>
      <w:r w:rsidRPr="0017095C">
        <w:rPr>
          <w:kern w:val="2"/>
          <w:lang w:val="en-CA" w:eastAsia="zh-CN"/>
        </w:rPr>
        <w:t xml:space="preserve"> problems, TMAC needed strong technical support and a large amount of capital investment (see Exhibit </w:t>
      </w:r>
      <w:r w:rsidR="00AC7323" w:rsidRPr="0017095C">
        <w:rPr>
          <w:kern w:val="2"/>
          <w:lang w:val="en-CA" w:eastAsia="zh-CN"/>
        </w:rPr>
        <w:t>3</w:t>
      </w:r>
      <w:r w:rsidRPr="0017095C">
        <w:rPr>
          <w:kern w:val="2"/>
          <w:lang w:val="en-CA" w:eastAsia="zh-CN"/>
        </w:rPr>
        <w:t>).</w:t>
      </w:r>
      <w:r w:rsidRPr="0017095C">
        <w:rPr>
          <w:kern w:val="2"/>
          <w:sz w:val="21"/>
          <w:lang w:val="en-CA" w:eastAsia="zh-CN"/>
        </w:rPr>
        <w:t xml:space="preserve"> </w:t>
      </w:r>
    </w:p>
    <w:p w14:paraId="43C50495" w14:textId="77777777" w:rsidR="00C00AE7" w:rsidRPr="0017095C" w:rsidRDefault="00C00AE7" w:rsidP="00C00AE7">
      <w:pPr>
        <w:pStyle w:val="BodyTextMain"/>
        <w:rPr>
          <w:kern w:val="2"/>
          <w:sz w:val="21"/>
          <w:lang w:val="en-CA" w:eastAsia="zh-CN"/>
        </w:rPr>
      </w:pPr>
    </w:p>
    <w:p w14:paraId="784D9886" w14:textId="78D433E2" w:rsidR="00C00AE7" w:rsidRPr="0017095C" w:rsidRDefault="00C00AE7" w:rsidP="00C00AE7">
      <w:pPr>
        <w:pStyle w:val="BodyTextMain"/>
        <w:rPr>
          <w:kern w:val="2"/>
          <w:lang w:val="en-CA" w:eastAsia="zh-CN"/>
        </w:rPr>
      </w:pPr>
      <w:r w:rsidRPr="0017095C">
        <w:rPr>
          <w:kern w:val="2"/>
          <w:lang w:val="en-CA" w:eastAsia="zh-CN"/>
        </w:rPr>
        <w:t>The biggest h</w:t>
      </w:r>
      <w:r w:rsidR="00904220" w:rsidRPr="0017095C">
        <w:rPr>
          <w:kern w:val="2"/>
          <w:lang w:val="en-CA" w:eastAsia="zh-CN"/>
        </w:rPr>
        <w:t>urdle</w:t>
      </w:r>
      <w:r w:rsidRPr="0017095C">
        <w:rPr>
          <w:kern w:val="2"/>
          <w:lang w:val="en-CA" w:eastAsia="zh-CN"/>
        </w:rPr>
        <w:t xml:space="preserve"> for </w:t>
      </w:r>
      <w:r w:rsidRPr="0017095C">
        <w:rPr>
          <w:lang w:val="en-CA"/>
        </w:rPr>
        <w:t xml:space="preserve">TMAC </w:t>
      </w:r>
      <w:r w:rsidRPr="0017095C">
        <w:rPr>
          <w:kern w:val="2"/>
          <w:lang w:val="en-CA" w:eastAsia="zh-CN"/>
        </w:rPr>
        <w:t xml:space="preserve">was funding. It had been unable to pay off its rollover debts. </w:t>
      </w:r>
      <w:r w:rsidR="00904220" w:rsidRPr="0017095C">
        <w:rPr>
          <w:kern w:val="2"/>
          <w:lang w:val="en-CA" w:eastAsia="zh-CN"/>
        </w:rPr>
        <w:t>T</w:t>
      </w:r>
      <w:r w:rsidRPr="0017095C">
        <w:rPr>
          <w:kern w:val="2"/>
          <w:lang w:val="en-CA" w:eastAsia="zh-CN"/>
        </w:rPr>
        <w:t>he stock market downturn caused by the</w:t>
      </w:r>
      <w:r w:rsidR="00904220" w:rsidRPr="0017095C">
        <w:rPr>
          <w:kern w:val="2"/>
          <w:lang w:val="en-CA" w:eastAsia="zh-CN"/>
        </w:rPr>
        <w:t xml:space="preserve"> outbreak of the</w:t>
      </w:r>
      <w:r w:rsidRPr="0017095C">
        <w:rPr>
          <w:kern w:val="2"/>
          <w:lang w:val="en-CA" w:eastAsia="zh-CN"/>
        </w:rPr>
        <w:t xml:space="preserve"> COVID-19 pandemic in 2020</w:t>
      </w:r>
      <w:r w:rsidR="00904220" w:rsidRPr="0017095C">
        <w:rPr>
          <w:kern w:val="2"/>
          <w:lang w:val="en-CA" w:eastAsia="zh-CN"/>
        </w:rPr>
        <w:t xml:space="preserve"> would have made it even more</w:t>
      </w:r>
      <w:r w:rsidRPr="0017095C">
        <w:rPr>
          <w:kern w:val="2"/>
          <w:lang w:val="en-CA" w:eastAsia="zh-CN"/>
        </w:rPr>
        <w:t xml:space="preserve"> difficult for </w:t>
      </w:r>
      <w:r w:rsidRPr="0017095C">
        <w:rPr>
          <w:lang w:val="en-CA"/>
        </w:rPr>
        <w:t xml:space="preserve">TMAC </w:t>
      </w:r>
      <w:r w:rsidRPr="0017095C">
        <w:rPr>
          <w:kern w:val="2"/>
          <w:lang w:val="en-CA" w:eastAsia="zh-CN"/>
        </w:rPr>
        <w:t xml:space="preserve">to raise funds from the securities market. </w:t>
      </w:r>
      <w:r w:rsidR="00904220" w:rsidRPr="0017095C">
        <w:rPr>
          <w:kern w:val="2"/>
          <w:lang w:val="en-CA" w:eastAsia="zh-CN"/>
        </w:rPr>
        <w:t xml:space="preserve">But before the </w:t>
      </w:r>
      <w:r w:rsidR="00FD56A9" w:rsidRPr="0017095C">
        <w:rPr>
          <w:kern w:val="2"/>
          <w:lang w:val="en-CA" w:eastAsia="zh-CN"/>
        </w:rPr>
        <w:t>pandemic</w:t>
      </w:r>
      <w:r w:rsidR="00904220" w:rsidRPr="0017095C">
        <w:rPr>
          <w:kern w:val="2"/>
          <w:lang w:val="en-CA" w:eastAsia="zh-CN"/>
        </w:rPr>
        <w:t>,</w:t>
      </w:r>
      <w:r w:rsidRPr="0017095C">
        <w:rPr>
          <w:kern w:val="2"/>
          <w:lang w:val="en-CA" w:eastAsia="zh-CN"/>
        </w:rPr>
        <w:t xml:space="preserve"> at the end of 2019</w:t>
      </w:r>
      <w:r w:rsidR="00904220" w:rsidRPr="0017095C">
        <w:rPr>
          <w:kern w:val="2"/>
          <w:lang w:val="en-CA" w:eastAsia="zh-CN"/>
        </w:rPr>
        <w:t>,</w:t>
      </w:r>
      <w:r w:rsidRPr="0017095C">
        <w:rPr>
          <w:kern w:val="2"/>
          <w:lang w:val="en-CA" w:eastAsia="zh-CN"/>
        </w:rPr>
        <w:t xml:space="preserve"> </w:t>
      </w:r>
      <w:r w:rsidR="00904220" w:rsidRPr="0017095C">
        <w:rPr>
          <w:kern w:val="2"/>
          <w:lang w:val="en-CA" w:eastAsia="zh-CN"/>
        </w:rPr>
        <w:t>TMAC’s</w:t>
      </w:r>
      <w:r w:rsidRPr="0017095C">
        <w:rPr>
          <w:kern w:val="2"/>
          <w:lang w:val="en-CA" w:eastAsia="zh-CN"/>
        </w:rPr>
        <w:t xml:space="preserve"> declining share price </w:t>
      </w:r>
      <w:r w:rsidR="00904220" w:rsidRPr="0017095C">
        <w:rPr>
          <w:kern w:val="2"/>
          <w:lang w:val="en-CA" w:eastAsia="zh-CN"/>
        </w:rPr>
        <w:t xml:space="preserve">caused </w:t>
      </w:r>
      <w:r w:rsidRPr="0017095C">
        <w:rPr>
          <w:kern w:val="2"/>
          <w:lang w:val="en-CA" w:eastAsia="zh-CN"/>
        </w:rPr>
        <w:t>the company to seek an external buyer.</w:t>
      </w:r>
      <w:r w:rsidR="00DE453C" w:rsidRPr="0017095C">
        <w:rPr>
          <w:kern w:val="2"/>
          <w:lang w:val="en-CA" w:eastAsia="zh-CN"/>
        </w:rPr>
        <w:t xml:space="preserve"> Jason Neal, the then president of TMAC, initiated a strategic review because he understood that TMAC would not have the resources to continue.</w:t>
      </w:r>
      <w:r w:rsidR="00FD56A9" w:rsidRPr="0017095C">
        <w:rPr>
          <w:rStyle w:val="EndnoteReference"/>
          <w:lang w:val="en-CA"/>
        </w:rPr>
        <w:endnoteReference w:id="21"/>
      </w:r>
      <w:r w:rsidR="00DE453C" w:rsidRPr="0017095C">
        <w:rPr>
          <w:kern w:val="2"/>
          <w:lang w:val="en-CA" w:eastAsia="zh-CN"/>
        </w:rPr>
        <w:t xml:space="preserve"> </w:t>
      </w:r>
    </w:p>
    <w:p w14:paraId="53E1490F" w14:textId="77777777" w:rsidR="00C00AE7" w:rsidRPr="0017095C" w:rsidRDefault="00C00AE7" w:rsidP="00C00AE7">
      <w:pPr>
        <w:pStyle w:val="BodyTextMain"/>
        <w:rPr>
          <w:kern w:val="2"/>
          <w:lang w:val="en-CA" w:eastAsia="zh-CN"/>
        </w:rPr>
      </w:pPr>
    </w:p>
    <w:p w14:paraId="04BCB25F" w14:textId="77777777" w:rsidR="00C00AE7" w:rsidRPr="0017095C" w:rsidRDefault="00C00AE7" w:rsidP="00C00AE7">
      <w:pPr>
        <w:pStyle w:val="BodyTextMain"/>
        <w:rPr>
          <w:kern w:val="2"/>
          <w:lang w:val="en-CA" w:eastAsia="zh-CN"/>
        </w:rPr>
      </w:pPr>
    </w:p>
    <w:p w14:paraId="5613ABE5" w14:textId="77777777" w:rsidR="00C00AE7" w:rsidRPr="0017095C" w:rsidRDefault="00C00AE7" w:rsidP="00C00AE7">
      <w:pPr>
        <w:pStyle w:val="Casehead1"/>
        <w:rPr>
          <w:lang w:val="en-CA" w:eastAsia="zh-CN"/>
        </w:rPr>
      </w:pPr>
      <w:r w:rsidRPr="0017095C">
        <w:rPr>
          <w:lang w:val="en-CA" w:eastAsia="zh-CN"/>
        </w:rPr>
        <w:t>SHANDONG GOLD’S INTEREST IN CANADA</w:t>
      </w:r>
    </w:p>
    <w:p w14:paraId="4BB651AC" w14:textId="77777777" w:rsidR="00C00AE7" w:rsidRPr="0017095C" w:rsidRDefault="00C00AE7" w:rsidP="00C00AE7">
      <w:pPr>
        <w:pStyle w:val="BodyTextMain"/>
        <w:rPr>
          <w:rFonts w:eastAsiaTheme="majorEastAsia"/>
          <w:kern w:val="2"/>
          <w:lang w:val="en-CA" w:eastAsia="zh-CN"/>
        </w:rPr>
      </w:pPr>
    </w:p>
    <w:p w14:paraId="2C681963" w14:textId="52F6275D" w:rsidR="00C00AE7" w:rsidRPr="0017095C" w:rsidRDefault="00C00AE7" w:rsidP="00C00AE7">
      <w:pPr>
        <w:pStyle w:val="BodyTextMain"/>
        <w:rPr>
          <w:kern w:val="2"/>
          <w:lang w:val="en-CA" w:eastAsia="zh-CN"/>
        </w:rPr>
      </w:pPr>
      <w:r w:rsidRPr="0017095C">
        <w:rPr>
          <w:rFonts w:eastAsiaTheme="majorEastAsia"/>
          <w:kern w:val="2"/>
          <w:lang w:val="en-CA" w:eastAsia="zh-CN"/>
        </w:rPr>
        <w:t>In the early stage</w:t>
      </w:r>
      <w:r w:rsidR="00FC4A8B" w:rsidRPr="0017095C">
        <w:rPr>
          <w:rFonts w:eastAsiaTheme="majorEastAsia"/>
          <w:kern w:val="2"/>
          <w:lang w:val="en-CA" w:eastAsia="zh-CN"/>
        </w:rPr>
        <w:t>s of the Hope Bay project</w:t>
      </w:r>
      <w:r w:rsidRPr="0017095C">
        <w:rPr>
          <w:rFonts w:eastAsiaTheme="majorEastAsia"/>
          <w:kern w:val="2"/>
          <w:lang w:val="en-CA" w:eastAsia="zh-CN"/>
        </w:rPr>
        <w:t>, Shandong Gold inspect</w:t>
      </w:r>
      <w:r w:rsidR="00FC4A8B" w:rsidRPr="0017095C">
        <w:rPr>
          <w:rFonts w:eastAsiaTheme="majorEastAsia"/>
          <w:kern w:val="2"/>
          <w:lang w:val="en-CA" w:eastAsia="zh-CN"/>
        </w:rPr>
        <w:t>ed</w:t>
      </w:r>
      <w:r w:rsidRPr="0017095C">
        <w:rPr>
          <w:rFonts w:eastAsiaTheme="majorEastAsia"/>
          <w:kern w:val="2"/>
          <w:lang w:val="en-CA" w:eastAsia="zh-CN"/>
        </w:rPr>
        <w:t xml:space="preserve"> several </w:t>
      </w:r>
      <w:r w:rsidR="00FC4A8B" w:rsidRPr="0017095C">
        <w:rPr>
          <w:rFonts w:eastAsiaTheme="majorEastAsia"/>
          <w:kern w:val="2"/>
          <w:lang w:val="en-CA" w:eastAsia="zh-CN"/>
        </w:rPr>
        <w:t xml:space="preserve">Canadian </w:t>
      </w:r>
      <w:r w:rsidRPr="0017095C">
        <w:rPr>
          <w:rFonts w:eastAsiaTheme="majorEastAsia"/>
          <w:kern w:val="2"/>
          <w:lang w:val="en-CA" w:eastAsia="zh-CN"/>
        </w:rPr>
        <w:t xml:space="preserve">production mines </w:t>
      </w:r>
      <w:r w:rsidR="00FC4A8B" w:rsidRPr="0017095C">
        <w:rPr>
          <w:rFonts w:eastAsiaTheme="majorEastAsia"/>
          <w:kern w:val="2"/>
          <w:lang w:val="en-CA" w:eastAsia="zh-CN"/>
        </w:rPr>
        <w:t>that were up for</w:t>
      </w:r>
      <w:r w:rsidRPr="0017095C">
        <w:rPr>
          <w:rFonts w:eastAsiaTheme="majorEastAsia"/>
          <w:kern w:val="2"/>
          <w:lang w:val="en-CA" w:eastAsia="zh-CN"/>
        </w:rPr>
        <w:t xml:space="preserve"> sale. </w:t>
      </w:r>
      <w:r w:rsidR="00FC4A8B" w:rsidRPr="0017095C">
        <w:rPr>
          <w:rFonts w:eastAsiaTheme="majorEastAsia"/>
          <w:kern w:val="2"/>
          <w:lang w:val="en-CA" w:eastAsia="zh-CN"/>
        </w:rPr>
        <w:t>Because</w:t>
      </w:r>
      <w:r w:rsidRPr="0017095C">
        <w:rPr>
          <w:rFonts w:eastAsiaTheme="majorEastAsia"/>
          <w:kern w:val="2"/>
          <w:lang w:val="en-CA" w:eastAsia="zh-CN"/>
        </w:rPr>
        <w:t xml:space="preserve"> mines invested a </w:t>
      </w:r>
      <w:r w:rsidR="00FC4A8B" w:rsidRPr="0017095C">
        <w:rPr>
          <w:rFonts w:eastAsiaTheme="majorEastAsia"/>
          <w:kern w:val="2"/>
          <w:lang w:val="en-CA" w:eastAsia="zh-CN"/>
        </w:rPr>
        <w:t>considerable amount</w:t>
      </w:r>
      <w:r w:rsidRPr="0017095C">
        <w:rPr>
          <w:rFonts w:eastAsiaTheme="majorEastAsia"/>
          <w:kern w:val="2"/>
          <w:lang w:val="en-CA" w:eastAsia="zh-CN"/>
        </w:rPr>
        <w:t xml:space="preserve"> of capital</w:t>
      </w:r>
      <w:r w:rsidR="00FC4A8B" w:rsidRPr="0017095C">
        <w:rPr>
          <w:rFonts w:eastAsiaTheme="majorEastAsia"/>
          <w:kern w:val="2"/>
          <w:lang w:val="en-CA" w:eastAsia="zh-CN"/>
        </w:rPr>
        <w:t xml:space="preserve"> during the</w:t>
      </w:r>
      <w:r w:rsidRPr="0017095C">
        <w:rPr>
          <w:rFonts w:eastAsiaTheme="majorEastAsia"/>
          <w:kern w:val="2"/>
          <w:lang w:val="en-CA" w:eastAsia="zh-CN"/>
        </w:rPr>
        <w:t xml:space="preserve"> infrastructure </w:t>
      </w:r>
      <w:r w:rsidRPr="0017095C">
        <w:rPr>
          <w:rFonts w:eastAsiaTheme="majorEastAsia"/>
          <w:kern w:val="2"/>
          <w:lang w:val="en-CA" w:eastAsia="zh-CN"/>
        </w:rPr>
        <w:lastRenderedPageBreak/>
        <w:t>construction</w:t>
      </w:r>
      <w:r w:rsidR="00FC4A8B" w:rsidRPr="0017095C">
        <w:rPr>
          <w:rFonts w:eastAsiaTheme="majorEastAsia"/>
          <w:kern w:val="2"/>
          <w:lang w:val="en-CA" w:eastAsia="zh-CN"/>
        </w:rPr>
        <w:t>’s early stages</w:t>
      </w:r>
      <w:r w:rsidRPr="0017095C">
        <w:rPr>
          <w:rFonts w:eastAsiaTheme="majorEastAsia"/>
          <w:kern w:val="2"/>
          <w:lang w:val="en-CA" w:eastAsia="zh-CN"/>
        </w:rPr>
        <w:t>, the</w:t>
      </w:r>
      <w:r w:rsidR="00FC4A8B" w:rsidRPr="0017095C">
        <w:rPr>
          <w:rFonts w:eastAsiaTheme="majorEastAsia"/>
          <w:kern w:val="2"/>
          <w:lang w:val="en-CA" w:eastAsia="zh-CN"/>
        </w:rPr>
        <w:t>ir</w:t>
      </w:r>
      <w:r w:rsidRPr="0017095C">
        <w:rPr>
          <w:rFonts w:eastAsiaTheme="majorEastAsia"/>
          <w:kern w:val="2"/>
          <w:lang w:val="en-CA" w:eastAsia="zh-CN"/>
        </w:rPr>
        <w:t xml:space="preserve"> asking price was </w:t>
      </w:r>
      <w:r w:rsidR="00FC4A8B" w:rsidRPr="0017095C">
        <w:rPr>
          <w:rFonts w:eastAsiaTheme="majorEastAsia"/>
          <w:kern w:val="2"/>
          <w:lang w:val="en-CA" w:eastAsia="zh-CN"/>
        </w:rPr>
        <w:t xml:space="preserve">usually </w:t>
      </w:r>
      <w:r w:rsidRPr="0017095C">
        <w:rPr>
          <w:rFonts w:eastAsiaTheme="majorEastAsia"/>
          <w:kern w:val="2"/>
          <w:lang w:val="en-CA" w:eastAsia="zh-CN"/>
        </w:rPr>
        <w:t>very high</w:t>
      </w:r>
      <w:r w:rsidR="00FC4A8B" w:rsidRPr="0017095C">
        <w:rPr>
          <w:rFonts w:eastAsiaTheme="majorEastAsia"/>
          <w:kern w:val="2"/>
          <w:lang w:val="en-CA" w:eastAsia="zh-CN"/>
        </w:rPr>
        <w:t xml:space="preserve"> and</w:t>
      </w:r>
      <w:r w:rsidRPr="0017095C">
        <w:rPr>
          <w:rFonts w:eastAsiaTheme="majorEastAsia"/>
          <w:kern w:val="2"/>
          <w:lang w:val="en-CA" w:eastAsia="zh-CN"/>
        </w:rPr>
        <w:t xml:space="preserve"> Shandong Gold did not </w:t>
      </w:r>
      <w:r w:rsidR="00FC4A8B" w:rsidRPr="0017095C">
        <w:rPr>
          <w:rFonts w:eastAsiaTheme="majorEastAsia"/>
          <w:kern w:val="2"/>
          <w:lang w:val="en-CA" w:eastAsia="zh-CN"/>
        </w:rPr>
        <w:t>consider</w:t>
      </w:r>
      <w:r w:rsidRPr="0017095C">
        <w:rPr>
          <w:rFonts w:eastAsiaTheme="majorEastAsia"/>
          <w:kern w:val="2"/>
          <w:lang w:val="en-CA" w:eastAsia="zh-CN"/>
        </w:rPr>
        <w:t xml:space="preserve"> the</w:t>
      </w:r>
      <w:r w:rsidR="00FC4A8B" w:rsidRPr="0017095C">
        <w:rPr>
          <w:rFonts w:eastAsiaTheme="majorEastAsia"/>
          <w:kern w:val="2"/>
          <w:lang w:val="en-CA" w:eastAsia="zh-CN"/>
        </w:rPr>
        <w:t>m</w:t>
      </w:r>
      <w:r w:rsidRPr="0017095C">
        <w:rPr>
          <w:rFonts w:eastAsiaTheme="majorEastAsia"/>
          <w:kern w:val="2"/>
          <w:lang w:val="en-CA" w:eastAsia="zh-CN"/>
        </w:rPr>
        <w:t xml:space="preserve"> ideal investment targets.</w:t>
      </w:r>
      <w:r w:rsidRPr="0017095C">
        <w:rPr>
          <w:kern w:val="2"/>
          <w:sz w:val="21"/>
          <w:lang w:val="en-CA" w:eastAsia="zh-CN"/>
        </w:rPr>
        <w:t xml:space="preserve"> </w:t>
      </w:r>
      <w:r w:rsidRPr="0017095C">
        <w:rPr>
          <w:kern w:val="2"/>
          <w:lang w:val="en-CA" w:eastAsia="zh-CN"/>
        </w:rPr>
        <w:t xml:space="preserve">Shandong Gold learned </w:t>
      </w:r>
      <w:r w:rsidR="00FC4A8B" w:rsidRPr="0017095C">
        <w:rPr>
          <w:kern w:val="2"/>
          <w:lang w:val="en-CA" w:eastAsia="zh-CN"/>
        </w:rPr>
        <w:t>about</w:t>
      </w:r>
      <w:r w:rsidRPr="0017095C">
        <w:rPr>
          <w:kern w:val="2"/>
          <w:lang w:val="en-CA" w:eastAsia="zh-CN"/>
        </w:rPr>
        <w:t xml:space="preserve"> </w:t>
      </w:r>
      <w:r w:rsidR="00FC4A8B" w:rsidRPr="0017095C">
        <w:rPr>
          <w:kern w:val="2"/>
          <w:lang w:val="en-CA" w:eastAsia="zh-CN"/>
        </w:rPr>
        <w:t xml:space="preserve">the </w:t>
      </w:r>
      <w:r w:rsidRPr="0017095C">
        <w:rPr>
          <w:lang w:val="en-CA"/>
        </w:rPr>
        <w:t xml:space="preserve">TMAC </w:t>
      </w:r>
      <w:r w:rsidR="00FC4A8B" w:rsidRPr="0017095C">
        <w:rPr>
          <w:lang w:val="en-CA"/>
        </w:rPr>
        <w:t>acquisition opportunity</w:t>
      </w:r>
      <w:r w:rsidRPr="0017095C">
        <w:rPr>
          <w:kern w:val="2"/>
          <w:lang w:val="en-CA" w:eastAsia="zh-CN"/>
        </w:rPr>
        <w:t xml:space="preserve"> from the investment bank</w:t>
      </w:r>
      <w:r w:rsidR="00FC4A8B" w:rsidRPr="0017095C">
        <w:rPr>
          <w:kern w:val="2"/>
          <w:lang w:val="en-CA" w:eastAsia="zh-CN"/>
        </w:rPr>
        <w:t xml:space="preserve"> contracted by TMAC’s seller</w:t>
      </w:r>
      <w:r w:rsidRPr="0017095C">
        <w:rPr>
          <w:kern w:val="2"/>
          <w:lang w:val="en-CA" w:eastAsia="zh-CN"/>
        </w:rPr>
        <w:t xml:space="preserve">, </w:t>
      </w:r>
      <w:r w:rsidR="00FC4A8B" w:rsidRPr="0017095C">
        <w:rPr>
          <w:kern w:val="2"/>
          <w:lang w:val="en-CA" w:eastAsia="zh-CN"/>
        </w:rPr>
        <w:t>although Shandong Gold</w:t>
      </w:r>
      <w:r w:rsidRPr="0017095C">
        <w:rPr>
          <w:lang w:val="en-CA"/>
        </w:rPr>
        <w:t xml:space="preserve"> </w:t>
      </w:r>
      <w:r w:rsidRPr="0017095C">
        <w:rPr>
          <w:kern w:val="2"/>
          <w:lang w:val="en-CA" w:eastAsia="zh-CN"/>
        </w:rPr>
        <w:t xml:space="preserve">had always </w:t>
      </w:r>
      <w:r w:rsidR="00FC4A8B" w:rsidRPr="0017095C">
        <w:rPr>
          <w:kern w:val="2"/>
          <w:lang w:val="en-CA" w:eastAsia="zh-CN"/>
        </w:rPr>
        <w:t>considered TMAC a</w:t>
      </w:r>
      <w:r w:rsidRPr="0017095C">
        <w:rPr>
          <w:kern w:val="2"/>
          <w:lang w:val="en-CA" w:eastAsia="zh-CN"/>
        </w:rPr>
        <w:t xml:space="preserve"> potential investment target. </w:t>
      </w:r>
      <w:r w:rsidR="00C40519" w:rsidRPr="0017095C">
        <w:rPr>
          <w:kern w:val="2"/>
          <w:lang w:val="en-CA" w:eastAsia="zh-CN"/>
        </w:rPr>
        <w:t>After completing the</w:t>
      </w:r>
      <w:r w:rsidRPr="0017095C">
        <w:rPr>
          <w:kern w:val="2"/>
          <w:lang w:val="en-CA" w:eastAsia="zh-CN"/>
        </w:rPr>
        <w:t xml:space="preserve"> due diligence </w:t>
      </w:r>
      <w:r w:rsidR="00C40519" w:rsidRPr="0017095C">
        <w:rPr>
          <w:kern w:val="2"/>
          <w:lang w:val="en-CA" w:eastAsia="zh-CN"/>
        </w:rPr>
        <w:t xml:space="preserve">process </w:t>
      </w:r>
      <w:r w:rsidRPr="0017095C">
        <w:rPr>
          <w:kern w:val="2"/>
          <w:lang w:val="en-CA" w:eastAsia="zh-CN"/>
        </w:rPr>
        <w:t xml:space="preserve">on </w:t>
      </w:r>
      <w:r w:rsidRPr="0017095C">
        <w:rPr>
          <w:lang w:val="en-CA"/>
        </w:rPr>
        <w:t>TMAC</w:t>
      </w:r>
      <w:r w:rsidRPr="0017095C">
        <w:rPr>
          <w:kern w:val="2"/>
          <w:lang w:val="en-CA" w:eastAsia="zh-CN"/>
        </w:rPr>
        <w:t xml:space="preserve">, Shandong Gold </w:t>
      </w:r>
      <w:r w:rsidR="00C40519" w:rsidRPr="0017095C">
        <w:rPr>
          <w:kern w:val="2"/>
          <w:lang w:val="en-CA" w:eastAsia="zh-CN"/>
        </w:rPr>
        <w:t xml:space="preserve">decided </w:t>
      </w:r>
      <w:r w:rsidRPr="0017095C">
        <w:rPr>
          <w:kern w:val="2"/>
          <w:lang w:val="en-CA" w:eastAsia="zh-CN"/>
        </w:rPr>
        <w:t>that th</w:t>
      </w:r>
      <w:r w:rsidR="00C40519" w:rsidRPr="0017095C">
        <w:rPr>
          <w:kern w:val="2"/>
          <w:lang w:val="en-CA" w:eastAsia="zh-CN"/>
        </w:rPr>
        <w:t>e potential</w:t>
      </w:r>
      <w:r w:rsidRPr="0017095C">
        <w:rPr>
          <w:kern w:val="2"/>
          <w:lang w:val="en-CA" w:eastAsia="zh-CN"/>
        </w:rPr>
        <w:t xml:space="preserve"> acquisition was </w:t>
      </w:r>
      <w:r w:rsidR="00C40519" w:rsidRPr="0017095C">
        <w:rPr>
          <w:kern w:val="2"/>
          <w:lang w:val="en-CA" w:eastAsia="zh-CN"/>
        </w:rPr>
        <w:t>ideal and consistent</w:t>
      </w:r>
      <w:r w:rsidRPr="0017095C">
        <w:rPr>
          <w:kern w:val="2"/>
          <w:lang w:val="en-CA" w:eastAsia="zh-CN"/>
        </w:rPr>
        <w:t xml:space="preserve"> with </w:t>
      </w:r>
      <w:r w:rsidR="00C40519" w:rsidRPr="0017095C">
        <w:rPr>
          <w:kern w:val="2"/>
          <w:lang w:val="en-CA" w:eastAsia="zh-CN"/>
        </w:rPr>
        <w:t>its</w:t>
      </w:r>
      <w:r w:rsidRPr="0017095C">
        <w:rPr>
          <w:kern w:val="2"/>
          <w:lang w:val="en-CA" w:eastAsia="zh-CN"/>
        </w:rPr>
        <w:t xml:space="preserve"> internationaliz</w:t>
      </w:r>
      <w:r w:rsidR="00C40519" w:rsidRPr="0017095C">
        <w:rPr>
          <w:kern w:val="2"/>
          <w:lang w:val="en-CA" w:eastAsia="zh-CN"/>
        </w:rPr>
        <w:t>ation strategy</w:t>
      </w:r>
      <w:r w:rsidRPr="0017095C">
        <w:rPr>
          <w:kern w:val="2"/>
          <w:lang w:val="en-CA" w:eastAsia="zh-CN"/>
        </w:rPr>
        <w:t xml:space="preserve">. </w:t>
      </w:r>
      <w:r w:rsidR="00C40519" w:rsidRPr="0017095C">
        <w:rPr>
          <w:kern w:val="2"/>
          <w:lang w:val="en-CA" w:eastAsia="zh-CN"/>
        </w:rPr>
        <w:t>T</w:t>
      </w:r>
      <w:r w:rsidRPr="0017095C">
        <w:rPr>
          <w:kern w:val="2"/>
          <w:lang w:val="en-CA" w:eastAsia="zh-CN"/>
        </w:rPr>
        <w:t xml:space="preserve">he proposed acquisition would </w:t>
      </w:r>
      <w:r w:rsidR="00C40519" w:rsidRPr="0017095C">
        <w:rPr>
          <w:kern w:val="2"/>
          <w:lang w:val="en-CA" w:eastAsia="zh-CN"/>
        </w:rPr>
        <w:t>become</w:t>
      </w:r>
      <w:r w:rsidRPr="0017095C">
        <w:rPr>
          <w:kern w:val="2"/>
          <w:lang w:val="en-CA" w:eastAsia="zh-CN"/>
        </w:rPr>
        <w:t xml:space="preserve"> Shandong Gold’s first wholly owned mine outside </w:t>
      </w:r>
      <w:r w:rsidR="00FA43FA" w:rsidRPr="0017095C">
        <w:rPr>
          <w:kern w:val="2"/>
          <w:lang w:val="en-CA" w:eastAsia="zh-CN"/>
        </w:rPr>
        <w:t xml:space="preserve">of </w:t>
      </w:r>
      <w:r w:rsidRPr="0017095C">
        <w:rPr>
          <w:kern w:val="2"/>
          <w:lang w:val="en-CA" w:eastAsia="zh-CN"/>
        </w:rPr>
        <w:t xml:space="preserve">China. </w:t>
      </w:r>
    </w:p>
    <w:p w14:paraId="30A2C601" w14:textId="77777777" w:rsidR="00C00AE7" w:rsidRPr="00BC353D" w:rsidRDefault="00C00AE7" w:rsidP="00BC353D">
      <w:pPr>
        <w:pStyle w:val="BodyTextMain"/>
        <w:rPr>
          <w:sz w:val="20"/>
        </w:rPr>
      </w:pPr>
    </w:p>
    <w:p w14:paraId="6F92E270" w14:textId="27FBC573" w:rsidR="00C00AE7" w:rsidRPr="0017095C" w:rsidRDefault="00C00AE7" w:rsidP="00C00AE7">
      <w:pPr>
        <w:pStyle w:val="BodyTextMain"/>
        <w:rPr>
          <w:kern w:val="2"/>
          <w:lang w:val="en-CA" w:eastAsia="zh-CN"/>
        </w:rPr>
      </w:pPr>
      <w:r w:rsidRPr="0017095C">
        <w:rPr>
          <w:kern w:val="2"/>
          <w:lang w:val="en-CA" w:eastAsia="zh-CN"/>
        </w:rPr>
        <w:t xml:space="preserve">Shandong Gold’s investment in the </w:t>
      </w:r>
      <w:r w:rsidRPr="0017095C">
        <w:rPr>
          <w:lang w:val="en-CA"/>
        </w:rPr>
        <w:t xml:space="preserve">TMAC </w:t>
      </w:r>
      <w:r w:rsidRPr="0017095C">
        <w:rPr>
          <w:kern w:val="2"/>
          <w:lang w:val="en-CA" w:eastAsia="zh-CN"/>
        </w:rPr>
        <w:t xml:space="preserve">project would actually mean purchasing a producing mine plus investment in </w:t>
      </w:r>
      <w:r w:rsidR="000A32F0" w:rsidRPr="0017095C">
        <w:rPr>
          <w:kern w:val="2"/>
          <w:lang w:val="en-CA" w:eastAsia="zh-CN"/>
        </w:rPr>
        <w:t>subsequent</w:t>
      </w:r>
      <w:r w:rsidRPr="0017095C">
        <w:rPr>
          <w:kern w:val="2"/>
          <w:lang w:val="en-CA" w:eastAsia="zh-CN"/>
        </w:rPr>
        <w:t xml:space="preserve"> expansion, to achieve gradual investment in </w:t>
      </w:r>
      <w:r w:rsidR="00C40519" w:rsidRPr="0017095C">
        <w:rPr>
          <w:kern w:val="2"/>
          <w:lang w:val="en-CA" w:eastAsia="zh-CN"/>
        </w:rPr>
        <w:t xml:space="preserve">various future </w:t>
      </w:r>
      <w:r w:rsidRPr="0017095C">
        <w:rPr>
          <w:kern w:val="2"/>
          <w:lang w:val="en-CA" w:eastAsia="zh-CN"/>
        </w:rPr>
        <w:t xml:space="preserve">phases. After </w:t>
      </w:r>
      <w:r w:rsidR="00C40519" w:rsidRPr="0017095C">
        <w:rPr>
          <w:kern w:val="2"/>
          <w:lang w:val="en-CA" w:eastAsia="zh-CN"/>
        </w:rPr>
        <w:t>the proposed acquisition</w:t>
      </w:r>
      <w:r w:rsidRPr="0017095C">
        <w:rPr>
          <w:kern w:val="2"/>
          <w:lang w:val="en-CA" w:eastAsia="zh-CN"/>
        </w:rPr>
        <w:t xml:space="preserve">, </w:t>
      </w:r>
      <w:r w:rsidR="00C40519" w:rsidRPr="0017095C">
        <w:rPr>
          <w:kern w:val="2"/>
          <w:lang w:val="en-CA" w:eastAsia="zh-CN"/>
        </w:rPr>
        <w:t>the mine</w:t>
      </w:r>
      <w:r w:rsidRPr="0017095C">
        <w:rPr>
          <w:kern w:val="2"/>
          <w:lang w:val="en-CA" w:eastAsia="zh-CN"/>
        </w:rPr>
        <w:t xml:space="preserve"> would </w:t>
      </w:r>
      <w:r w:rsidR="00C40519" w:rsidRPr="0017095C">
        <w:rPr>
          <w:kern w:val="2"/>
          <w:lang w:val="en-CA" w:eastAsia="zh-CN"/>
        </w:rPr>
        <w:t>have to meet a target</w:t>
      </w:r>
      <w:r w:rsidRPr="0017095C">
        <w:rPr>
          <w:kern w:val="2"/>
          <w:lang w:val="en-CA" w:eastAsia="zh-CN"/>
        </w:rPr>
        <w:t xml:space="preserve"> output </w:t>
      </w:r>
      <w:r w:rsidR="00C40519" w:rsidRPr="0017095C">
        <w:rPr>
          <w:kern w:val="2"/>
          <w:lang w:val="en-CA" w:eastAsia="zh-CN"/>
        </w:rPr>
        <w:t xml:space="preserve">level </w:t>
      </w:r>
      <w:r w:rsidRPr="0017095C">
        <w:rPr>
          <w:kern w:val="2"/>
          <w:lang w:val="en-CA" w:eastAsia="zh-CN"/>
        </w:rPr>
        <w:t>within two o</w:t>
      </w:r>
      <w:r w:rsidR="000A32F0" w:rsidRPr="0017095C">
        <w:rPr>
          <w:kern w:val="2"/>
          <w:lang w:val="en-CA" w:eastAsia="zh-CN"/>
        </w:rPr>
        <w:t>r</w:t>
      </w:r>
      <w:r w:rsidRPr="0017095C">
        <w:rPr>
          <w:kern w:val="2"/>
          <w:lang w:val="en-CA" w:eastAsia="zh-CN"/>
        </w:rPr>
        <w:t xml:space="preserve"> three years, </w:t>
      </w:r>
      <w:r w:rsidR="00C40519" w:rsidRPr="0017095C">
        <w:rPr>
          <w:kern w:val="2"/>
          <w:lang w:val="en-CA" w:eastAsia="zh-CN"/>
        </w:rPr>
        <w:t>which w</w:t>
      </w:r>
      <w:r w:rsidRPr="0017095C">
        <w:rPr>
          <w:kern w:val="2"/>
          <w:lang w:val="en-CA" w:eastAsia="zh-CN"/>
        </w:rPr>
        <w:t xml:space="preserve">ould </w:t>
      </w:r>
      <w:r w:rsidR="00C40519" w:rsidRPr="0017095C">
        <w:rPr>
          <w:kern w:val="2"/>
          <w:lang w:val="en-CA" w:eastAsia="zh-CN"/>
        </w:rPr>
        <w:t xml:space="preserve">allow the project to </w:t>
      </w:r>
      <w:r w:rsidRPr="0017095C">
        <w:rPr>
          <w:kern w:val="2"/>
          <w:lang w:val="en-CA" w:eastAsia="zh-CN"/>
        </w:rPr>
        <w:t xml:space="preserve">maintain operations in the Doris mine. </w:t>
      </w:r>
      <w:r w:rsidR="00C40519" w:rsidRPr="0017095C">
        <w:rPr>
          <w:kern w:val="2"/>
          <w:lang w:val="en-CA" w:eastAsia="zh-CN"/>
        </w:rPr>
        <w:t>Both of t</w:t>
      </w:r>
      <w:r w:rsidRPr="0017095C">
        <w:rPr>
          <w:kern w:val="2"/>
          <w:lang w:val="en-CA" w:eastAsia="zh-CN"/>
        </w:rPr>
        <w:t xml:space="preserve">he other two mining areas had proven resources underground and mining rights. </w:t>
      </w:r>
      <w:r w:rsidR="00C40519" w:rsidRPr="0017095C">
        <w:rPr>
          <w:kern w:val="2"/>
          <w:lang w:val="en-CA" w:eastAsia="zh-CN"/>
        </w:rPr>
        <w:t xml:space="preserve">Still in early stages, </w:t>
      </w:r>
      <w:r w:rsidRPr="0017095C">
        <w:rPr>
          <w:lang w:val="en-CA"/>
        </w:rPr>
        <w:t xml:space="preserve">TMAC </w:t>
      </w:r>
      <w:r w:rsidRPr="0017095C">
        <w:rPr>
          <w:kern w:val="2"/>
          <w:lang w:val="en-CA" w:eastAsia="zh-CN"/>
        </w:rPr>
        <w:t xml:space="preserve">had </w:t>
      </w:r>
      <w:r w:rsidR="00C40519" w:rsidRPr="0017095C">
        <w:rPr>
          <w:kern w:val="2"/>
          <w:lang w:val="en-CA" w:eastAsia="zh-CN"/>
        </w:rPr>
        <w:t xml:space="preserve">already </w:t>
      </w:r>
      <w:r w:rsidRPr="0017095C">
        <w:rPr>
          <w:kern w:val="2"/>
          <w:lang w:val="en-CA" w:eastAsia="zh-CN"/>
        </w:rPr>
        <w:t>invested $650 million</w:t>
      </w:r>
      <w:r w:rsidR="00C40519" w:rsidRPr="0017095C">
        <w:rPr>
          <w:kern w:val="2"/>
          <w:lang w:val="en-CA" w:eastAsia="zh-CN"/>
        </w:rPr>
        <w:t xml:space="preserve"> in the two mines bu</w:t>
      </w:r>
      <w:r w:rsidRPr="0017095C">
        <w:rPr>
          <w:kern w:val="2"/>
          <w:lang w:val="en-CA" w:eastAsia="zh-CN"/>
        </w:rPr>
        <w:t>t had not yet entered the mining stage. Therefore, Shandong Gold planned to continue invest</w:t>
      </w:r>
      <w:r w:rsidR="00C40519" w:rsidRPr="0017095C">
        <w:rPr>
          <w:kern w:val="2"/>
          <w:lang w:val="en-CA" w:eastAsia="zh-CN"/>
        </w:rPr>
        <w:t>ments</w:t>
      </w:r>
      <w:r w:rsidRPr="0017095C">
        <w:rPr>
          <w:kern w:val="2"/>
          <w:lang w:val="en-CA" w:eastAsia="zh-CN"/>
        </w:rPr>
        <w:t xml:space="preserve"> in the two mines </w:t>
      </w:r>
      <w:r w:rsidR="00C40519" w:rsidRPr="0017095C">
        <w:rPr>
          <w:kern w:val="2"/>
          <w:lang w:val="en-CA" w:eastAsia="zh-CN"/>
        </w:rPr>
        <w:t>to</w:t>
      </w:r>
      <w:r w:rsidRPr="0017095C">
        <w:rPr>
          <w:kern w:val="2"/>
          <w:lang w:val="en-CA" w:eastAsia="zh-CN"/>
        </w:rPr>
        <w:t xml:space="preserve"> extract gold. After refin</w:t>
      </w:r>
      <w:r w:rsidR="00851980" w:rsidRPr="0017095C">
        <w:rPr>
          <w:kern w:val="2"/>
          <w:lang w:val="en-CA" w:eastAsia="zh-CN"/>
        </w:rPr>
        <w:t>ing</w:t>
      </w:r>
      <w:r w:rsidRPr="0017095C">
        <w:rPr>
          <w:kern w:val="2"/>
          <w:lang w:val="en-CA" w:eastAsia="zh-CN"/>
        </w:rPr>
        <w:t xml:space="preserve"> the feasibility study reports of the two mines, </w:t>
      </w:r>
      <w:r w:rsidR="00851980" w:rsidRPr="0017095C">
        <w:rPr>
          <w:kern w:val="2"/>
          <w:lang w:val="en-CA" w:eastAsia="zh-CN"/>
        </w:rPr>
        <w:t>Shandong Gold planned to</w:t>
      </w:r>
      <w:r w:rsidRPr="0017095C">
        <w:rPr>
          <w:kern w:val="2"/>
          <w:lang w:val="en-CA" w:eastAsia="zh-CN"/>
        </w:rPr>
        <w:t xml:space="preserve"> invest in construction </w:t>
      </w:r>
      <w:r w:rsidR="00851980" w:rsidRPr="0017095C">
        <w:rPr>
          <w:kern w:val="2"/>
          <w:lang w:val="en-CA" w:eastAsia="zh-CN"/>
        </w:rPr>
        <w:t>during</w:t>
      </w:r>
      <w:r w:rsidRPr="0017095C">
        <w:rPr>
          <w:kern w:val="2"/>
          <w:lang w:val="en-CA" w:eastAsia="zh-CN"/>
        </w:rPr>
        <w:t xml:space="preserve"> the second or third year</w:t>
      </w:r>
      <w:r w:rsidR="00851980" w:rsidRPr="0017095C">
        <w:rPr>
          <w:kern w:val="2"/>
          <w:lang w:val="en-CA" w:eastAsia="zh-CN"/>
        </w:rPr>
        <w:t xml:space="preserve"> for their</w:t>
      </w:r>
      <w:r w:rsidRPr="0017095C">
        <w:rPr>
          <w:kern w:val="2"/>
          <w:lang w:val="en-CA" w:eastAsia="zh-CN"/>
        </w:rPr>
        <w:t xml:space="preserve"> complet</w:t>
      </w:r>
      <w:r w:rsidR="00851980" w:rsidRPr="0017095C">
        <w:rPr>
          <w:kern w:val="2"/>
          <w:lang w:val="en-CA" w:eastAsia="zh-CN"/>
        </w:rPr>
        <w:t>ion</w:t>
      </w:r>
      <w:r w:rsidRPr="0017095C">
        <w:rPr>
          <w:kern w:val="2"/>
          <w:lang w:val="en-CA" w:eastAsia="zh-CN"/>
        </w:rPr>
        <w:t xml:space="preserve"> and </w:t>
      </w:r>
      <w:r w:rsidR="00851980" w:rsidRPr="0017095C">
        <w:rPr>
          <w:kern w:val="2"/>
          <w:lang w:val="en-CA" w:eastAsia="zh-CN"/>
        </w:rPr>
        <w:t xml:space="preserve">to begin </w:t>
      </w:r>
      <w:r w:rsidR="00573378" w:rsidRPr="0017095C">
        <w:rPr>
          <w:kern w:val="2"/>
          <w:lang w:val="en-CA" w:eastAsia="zh-CN"/>
        </w:rPr>
        <w:t xml:space="preserve">production </w:t>
      </w:r>
      <w:r w:rsidR="00851980" w:rsidRPr="0017095C">
        <w:rPr>
          <w:kern w:val="2"/>
          <w:lang w:val="en-CA" w:eastAsia="zh-CN"/>
        </w:rPr>
        <w:t>with</w:t>
      </w:r>
      <w:r w:rsidRPr="0017095C">
        <w:rPr>
          <w:kern w:val="2"/>
          <w:lang w:val="en-CA" w:eastAsia="zh-CN"/>
        </w:rPr>
        <w:t xml:space="preserve">in three years. Therefore, Shandong Gold would be </w:t>
      </w:r>
      <w:r w:rsidR="00851980" w:rsidRPr="0017095C">
        <w:rPr>
          <w:kern w:val="2"/>
          <w:lang w:val="en-CA" w:eastAsia="zh-CN"/>
        </w:rPr>
        <w:t>expected</w:t>
      </w:r>
      <w:r w:rsidRPr="0017095C">
        <w:rPr>
          <w:kern w:val="2"/>
          <w:lang w:val="en-CA" w:eastAsia="zh-CN"/>
        </w:rPr>
        <w:t xml:space="preserve"> to make a very large investment in the </w:t>
      </w:r>
      <w:r w:rsidR="00851980" w:rsidRPr="0017095C">
        <w:rPr>
          <w:kern w:val="2"/>
          <w:lang w:val="en-CA" w:eastAsia="zh-CN"/>
        </w:rPr>
        <w:t xml:space="preserve">near </w:t>
      </w:r>
      <w:r w:rsidRPr="0017095C">
        <w:rPr>
          <w:kern w:val="2"/>
          <w:lang w:val="en-CA" w:eastAsia="zh-CN"/>
        </w:rPr>
        <w:t>future.</w:t>
      </w:r>
    </w:p>
    <w:p w14:paraId="7105C6DD" w14:textId="77777777" w:rsidR="00C00AE7" w:rsidRPr="00BC353D" w:rsidRDefault="00C00AE7" w:rsidP="00BC353D">
      <w:pPr>
        <w:pStyle w:val="BodyTextMain"/>
        <w:rPr>
          <w:sz w:val="20"/>
        </w:rPr>
      </w:pPr>
      <w:r w:rsidRPr="00BC353D">
        <w:rPr>
          <w:sz w:val="20"/>
        </w:rPr>
        <w:t xml:space="preserve"> </w:t>
      </w:r>
    </w:p>
    <w:p w14:paraId="05AB06F2" w14:textId="77777777" w:rsidR="00C00AE7" w:rsidRPr="00BC353D" w:rsidRDefault="00C00AE7" w:rsidP="00BC353D">
      <w:pPr>
        <w:pStyle w:val="BodyTextMain"/>
        <w:rPr>
          <w:sz w:val="20"/>
        </w:rPr>
      </w:pPr>
    </w:p>
    <w:p w14:paraId="0D3632BB" w14:textId="77777777" w:rsidR="00C00AE7" w:rsidRPr="0017095C" w:rsidRDefault="00C00AE7" w:rsidP="00C00AE7">
      <w:pPr>
        <w:pStyle w:val="Casehead1"/>
        <w:rPr>
          <w:rFonts w:eastAsia="Calibri"/>
          <w:lang w:val="en-CA"/>
        </w:rPr>
      </w:pPr>
      <w:r w:rsidRPr="0017095C">
        <w:rPr>
          <w:rFonts w:eastAsia="Calibri"/>
          <w:lang w:val="en-CA"/>
        </w:rPr>
        <w:t>TRANSACTION MODE</w:t>
      </w:r>
    </w:p>
    <w:p w14:paraId="7344E7FA" w14:textId="77777777" w:rsidR="00C00AE7" w:rsidRPr="00BC353D" w:rsidRDefault="00C00AE7" w:rsidP="00BC353D">
      <w:pPr>
        <w:pStyle w:val="BodyTextMain"/>
        <w:rPr>
          <w:sz w:val="20"/>
        </w:rPr>
      </w:pPr>
    </w:p>
    <w:p w14:paraId="35845CEE" w14:textId="77777777" w:rsidR="00C00AE7" w:rsidRPr="0017095C" w:rsidRDefault="00C00AE7" w:rsidP="00C00AE7">
      <w:pPr>
        <w:pStyle w:val="Casehead2"/>
        <w:rPr>
          <w:rFonts w:eastAsia="Calibri"/>
          <w:lang w:val="en-CA"/>
        </w:rPr>
      </w:pPr>
      <w:r w:rsidRPr="0017095C">
        <w:rPr>
          <w:rFonts w:eastAsia="Calibri"/>
          <w:lang w:val="en-CA"/>
        </w:rPr>
        <w:t>Agreement of Arrangement</w:t>
      </w:r>
    </w:p>
    <w:p w14:paraId="31EDDAB9" w14:textId="77777777" w:rsidR="00C00AE7" w:rsidRPr="00BC353D" w:rsidRDefault="00C00AE7" w:rsidP="00BC353D">
      <w:pPr>
        <w:pStyle w:val="BodyTextMain"/>
        <w:rPr>
          <w:sz w:val="20"/>
        </w:rPr>
      </w:pPr>
    </w:p>
    <w:p w14:paraId="0CECB0E5" w14:textId="04E4B4E3" w:rsidR="00C00AE7" w:rsidRPr="0017095C" w:rsidRDefault="0024579C" w:rsidP="00C00AE7">
      <w:pPr>
        <w:pStyle w:val="BodyTextMain"/>
        <w:rPr>
          <w:kern w:val="2"/>
          <w:lang w:val="en-CA" w:eastAsia="zh-CN"/>
        </w:rPr>
      </w:pPr>
      <w:r w:rsidRPr="0017095C">
        <w:rPr>
          <w:kern w:val="2"/>
          <w:lang w:val="en-CA" w:eastAsia="zh-CN"/>
        </w:rPr>
        <w:t>On May 8, 2020,</w:t>
      </w:r>
      <w:r w:rsidR="00C00AE7" w:rsidRPr="0017095C">
        <w:rPr>
          <w:kern w:val="2"/>
          <w:lang w:val="en-CA" w:eastAsia="zh-CN"/>
        </w:rPr>
        <w:t xml:space="preserve"> Shandong Gold and </w:t>
      </w:r>
      <w:r w:rsidR="00C00AE7" w:rsidRPr="0017095C">
        <w:rPr>
          <w:lang w:val="en-CA"/>
        </w:rPr>
        <w:t xml:space="preserve">TMAC </w:t>
      </w:r>
      <w:r w:rsidRPr="0017095C">
        <w:rPr>
          <w:lang w:val="en-CA"/>
        </w:rPr>
        <w:t>signed an agreement of arrangement stating that</w:t>
      </w:r>
      <w:r w:rsidR="00C00AE7" w:rsidRPr="0017095C">
        <w:rPr>
          <w:kern w:val="2"/>
          <w:lang w:val="en-CA" w:eastAsia="zh-CN"/>
        </w:rPr>
        <w:t xml:space="preserve"> Shandong Gold would acquire </w:t>
      </w:r>
      <w:r w:rsidRPr="0017095C">
        <w:rPr>
          <w:kern w:val="2"/>
          <w:lang w:val="en-CA" w:eastAsia="zh-CN"/>
        </w:rPr>
        <w:t xml:space="preserve">the </w:t>
      </w:r>
      <w:r w:rsidR="00C00AE7" w:rsidRPr="0017095C">
        <w:rPr>
          <w:kern w:val="2"/>
          <w:lang w:val="en-CA" w:eastAsia="zh-CN"/>
        </w:rPr>
        <w:t>TMAC current subsidiary</w:t>
      </w:r>
      <w:r w:rsidRPr="0017095C">
        <w:rPr>
          <w:kern w:val="2"/>
          <w:lang w:val="en-CA" w:eastAsia="zh-CN"/>
        </w:rPr>
        <w:t xml:space="preserve"> in Canada</w:t>
      </w:r>
      <w:r w:rsidR="00C00AE7" w:rsidRPr="0017095C">
        <w:rPr>
          <w:kern w:val="2"/>
          <w:lang w:val="en-CA" w:eastAsia="zh-CN"/>
        </w:rPr>
        <w:t xml:space="preserve"> at</w:t>
      </w:r>
      <w:r w:rsidRPr="0017095C">
        <w:rPr>
          <w:kern w:val="2"/>
          <w:lang w:val="en-CA" w:eastAsia="zh-CN"/>
        </w:rPr>
        <w:t xml:space="preserve"> </w:t>
      </w:r>
      <w:r w:rsidR="00C00AE7" w:rsidRPr="0017095C">
        <w:rPr>
          <w:kern w:val="2"/>
          <w:lang w:val="en-CA" w:eastAsia="zh-CN"/>
        </w:rPr>
        <w:t xml:space="preserve">$1.75 per share through </w:t>
      </w:r>
      <w:r w:rsidRPr="0017095C">
        <w:rPr>
          <w:kern w:val="2"/>
          <w:lang w:val="en-CA" w:eastAsia="zh-CN"/>
        </w:rPr>
        <w:t xml:space="preserve">a proposed new </w:t>
      </w:r>
      <w:r w:rsidR="00C00AE7" w:rsidRPr="0017095C">
        <w:rPr>
          <w:kern w:val="2"/>
          <w:lang w:val="en-CA" w:eastAsia="zh-CN"/>
        </w:rPr>
        <w:t>Shandong Gold subsidiary</w:t>
      </w:r>
      <w:r w:rsidRPr="0017095C">
        <w:rPr>
          <w:kern w:val="2"/>
          <w:lang w:val="en-CA" w:eastAsia="zh-CN"/>
        </w:rPr>
        <w:t xml:space="preserve"> in Hong Kong. T</w:t>
      </w:r>
      <w:r w:rsidR="00C00AE7" w:rsidRPr="0017095C">
        <w:rPr>
          <w:kern w:val="2"/>
          <w:lang w:val="en-CA" w:eastAsia="zh-CN"/>
        </w:rPr>
        <w:t>he total number of issued shares</w:t>
      </w:r>
      <w:r w:rsidR="00584141" w:rsidRPr="0017095C">
        <w:rPr>
          <w:kern w:val="2"/>
          <w:lang w:val="en-CA" w:eastAsia="zh-CN"/>
        </w:rPr>
        <w:t>, which was</w:t>
      </w:r>
      <w:r w:rsidRPr="0017095C">
        <w:rPr>
          <w:kern w:val="2"/>
          <w:lang w:val="en-CA" w:eastAsia="zh-CN"/>
        </w:rPr>
        <w:t xml:space="preserve"> current</w:t>
      </w:r>
      <w:r w:rsidR="00584141" w:rsidRPr="0017095C">
        <w:rPr>
          <w:kern w:val="2"/>
          <w:lang w:val="en-CA" w:eastAsia="zh-CN"/>
        </w:rPr>
        <w:t>ly</w:t>
      </w:r>
      <w:r w:rsidR="00C00AE7" w:rsidRPr="0017095C">
        <w:rPr>
          <w:kern w:val="2"/>
          <w:lang w:val="en-CA" w:eastAsia="zh-CN"/>
        </w:rPr>
        <w:t xml:space="preserve"> 119,456,881</w:t>
      </w:r>
      <w:r w:rsidR="00584141" w:rsidRPr="0017095C">
        <w:rPr>
          <w:kern w:val="2"/>
          <w:lang w:val="en-CA" w:eastAsia="zh-CN"/>
        </w:rPr>
        <w:t>, would be diluted after the sale</w:t>
      </w:r>
      <w:r w:rsidR="00C00AE7" w:rsidRPr="0017095C">
        <w:rPr>
          <w:kern w:val="2"/>
          <w:lang w:val="en-CA" w:eastAsia="zh-CN"/>
        </w:rPr>
        <w:t>.</w:t>
      </w:r>
      <w:r w:rsidR="00C00AE7" w:rsidRPr="0017095C">
        <w:rPr>
          <w:kern w:val="2"/>
          <w:sz w:val="21"/>
          <w:lang w:val="en-CA" w:eastAsia="zh-CN"/>
        </w:rPr>
        <w:t xml:space="preserve"> </w:t>
      </w:r>
      <w:r w:rsidR="00584141" w:rsidRPr="0017095C">
        <w:rPr>
          <w:kern w:val="2"/>
          <w:lang w:val="en-CA" w:eastAsia="zh-CN"/>
        </w:rPr>
        <w:t>The</w:t>
      </w:r>
      <w:r w:rsidR="00C00AE7" w:rsidRPr="0017095C">
        <w:rPr>
          <w:kern w:val="2"/>
          <w:lang w:val="en-CA" w:eastAsia="zh-CN"/>
        </w:rPr>
        <w:t xml:space="preserve"> </w:t>
      </w:r>
      <w:r w:rsidR="00584141" w:rsidRPr="0017095C">
        <w:rPr>
          <w:kern w:val="2"/>
          <w:lang w:val="en-CA" w:eastAsia="zh-CN"/>
        </w:rPr>
        <w:t xml:space="preserve">acquisition </w:t>
      </w:r>
      <w:r w:rsidR="00C00AE7" w:rsidRPr="0017095C">
        <w:rPr>
          <w:kern w:val="2"/>
          <w:lang w:val="en-CA" w:eastAsia="zh-CN"/>
        </w:rPr>
        <w:t>agreement was issued with a consideration of approximately $209</w:t>
      </w:r>
      <w:r w:rsidRPr="0017095C">
        <w:rPr>
          <w:kern w:val="2"/>
          <w:lang w:val="en-CA" w:eastAsia="zh-CN"/>
        </w:rPr>
        <w:t xml:space="preserve"> million</w:t>
      </w:r>
      <w:r w:rsidR="00FA43FA" w:rsidRPr="0017095C">
        <w:rPr>
          <w:kern w:val="2"/>
          <w:lang w:val="en-CA" w:eastAsia="zh-CN"/>
        </w:rPr>
        <w:t xml:space="preserve"> </w:t>
      </w:r>
      <w:r w:rsidR="00A63703" w:rsidRPr="0017095C">
        <w:rPr>
          <w:kern w:val="2"/>
          <w:lang w:val="en-CA" w:eastAsia="zh-CN"/>
        </w:rPr>
        <w:t>(</w:t>
      </w:r>
      <w:r w:rsidR="00FA43FA" w:rsidRPr="0017095C">
        <w:rPr>
          <w:kern w:val="2"/>
          <w:lang w:val="en-CA" w:eastAsia="zh-CN"/>
        </w:rPr>
        <w:t>s</w:t>
      </w:r>
      <w:r w:rsidR="00A63703" w:rsidRPr="0017095C">
        <w:rPr>
          <w:kern w:val="2"/>
          <w:lang w:val="en-CA" w:eastAsia="zh-CN"/>
        </w:rPr>
        <w:t>ee Exhibit 4 for TMAC’s capital structure)</w:t>
      </w:r>
      <w:r w:rsidR="00FA43FA" w:rsidRPr="0017095C">
        <w:rPr>
          <w:kern w:val="2"/>
          <w:lang w:val="en-CA" w:eastAsia="zh-CN"/>
        </w:rPr>
        <w:t>.</w:t>
      </w:r>
    </w:p>
    <w:p w14:paraId="6F4AF1D1" w14:textId="77777777" w:rsidR="00C00AE7" w:rsidRPr="00BC353D" w:rsidRDefault="00C00AE7" w:rsidP="00BC353D">
      <w:pPr>
        <w:pStyle w:val="BodyTextMain"/>
        <w:rPr>
          <w:sz w:val="20"/>
        </w:rPr>
      </w:pPr>
    </w:p>
    <w:p w14:paraId="292BDAB6" w14:textId="1CE9F7FD" w:rsidR="00C00AE7" w:rsidRPr="0017095C" w:rsidRDefault="00C00AE7" w:rsidP="00C00AE7">
      <w:pPr>
        <w:pStyle w:val="BodyTextMain"/>
        <w:rPr>
          <w:kern w:val="2"/>
          <w:lang w:val="en-CA" w:eastAsia="zh-CN"/>
        </w:rPr>
      </w:pPr>
      <w:r w:rsidRPr="0017095C">
        <w:rPr>
          <w:kern w:val="2"/>
          <w:lang w:val="en-CA" w:eastAsia="zh-CN"/>
        </w:rPr>
        <w:t>The purchase price was a 52</w:t>
      </w:r>
      <w:r w:rsidR="00792B9F" w:rsidRPr="0017095C">
        <w:rPr>
          <w:kern w:val="2"/>
          <w:lang w:val="en-CA" w:eastAsia="zh-CN"/>
        </w:rPr>
        <w:t xml:space="preserve"> per cent</w:t>
      </w:r>
      <w:r w:rsidRPr="0017095C">
        <w:rPr>
          <w:kern w:val="2"/>
          <w:lang w:val="en-CA" w:eastAsia="zh-CN"/>
        </w:rPr>
        <w:t xml:space="preserve"> premium to the volume-weighted average price for the first 20 days of May 6, 2020, and a 21</w:t>
      </w:r>
      <w:r w:rsidR="00792B9F" w:rsidRPr="0017095C">
        <w:rPr>
          <w:kern w:val="2"/>
          <w:lang w:val="en-CA" w:eastAsia="zh-CN"/>
        </w:rPr>
        <w:t xml:space="preserve"> per cent</w:t>
      </w:r>
      <w:r w:rsidRPr="0017095C">
        <w:rPr>
          <w:kern w:val="2"/>
          <w:lang w:val="en-CA" w:eastAsia="zh-CN"/>
        </w:rPr>
        <w:t xml:space="preserve"> premium to the closing price on May 6, 2020.</w:t>
      </w:r>
      <w:r w:rsidRPr="0017095C">
        <w:rPr>
          <w:kern w:val="2"/>
          <w:sz w:val="21"/>
          <w:lang w:val="en-CA" w:eastAsia="zh-CN"/>
        </w:rPr>
        <w:t xml:space="preserve"> </w:t>
      </w:r>
      <w:r w:rsidRPr="0017095C">
        <w:rPr>
          <w:kern w:val="2"/>
          <w:lang w:val="en-CA" w:eastAsia="zh-CN"/>
        </w:rPr>
        <w:t>After the transaction was completed, Shandong Gold</w:t>
      </w:r>
      <w:r w:rsidR="00584141" w:rsidRPr="0017095C">
        <w:rPr>
          <w:kern w:val="2"/>
          <w:lang w:val="en-CA" w:eastAsia="zh-CN"/>
        </w:rPr>
        <w:t>’s</w:t>
      </w:r>
      <w:r w:rsidRPr="0017095C">
        <w:rPr>
          <w:kern w:val="2"/>
          <w:lang w:val="en-CA" w:eastAsia="zh-CN"/>
        </w:rPr>
        <w:t xml:space="preserve"> </w:t>
      </w:r>
      <w:r w:rsidR="00584141" w:rsidRPr="0017095C">
        <w:rPr>
          <w:kern w:val="2"/>
          <w:lang w:val="en-CA" w:eastAsia="zh-CN"/>
        </w:rPr>
        <w:t xml:space="preserve">subsidiary in </w:t>
      </w:r>
      <w:r w:rsidRPr="0017095C">
        <w:rPr>
          <w:kern w:val="2"/>
          <w:lang w:val="en-CA" w:eastAsia="zh-CN"/>
        </w:rPr>
        <w:t>Hong Kong would hold 100</w:t>
      </w:r>
      <w:r w:rsidR="00792B9F" w:rsidRPr="0017095C">
        <w:rPr>
          <w:kern w:val="2"/>
          <w:lang w:val="en-CA" w:eastAsia="zh-CN"/>
        </w:rPr>
        <w:t xml:space="preserve"> per cent</w:t>
      </w:r>
      <w:r w:rsidRPr="0017095C">
        <w:rPr>
          <w:kern w:val="2"/>
          <w:lang w:val="en-CA" w:eastAsia="zh-CN"/>
        </w:rPr>
        <w:t xml:space="preserve"> equity of TMAC through direct and indirect means.</w:t>
      </w:r>
    </w:p>
    <w:p w14:paraId="12722E4B" w14:textId="77777777" w:rsidR="00C00AE7" w:rsidRPr="00BC353D" w:rsidRDefault="00C00AE7" w:rsidP="00BC353D">
      <w:pPr>
        <w:pStyle w:val="BodyTextMain"/>
        <w:rPr>
          <w:sz w:val="20"/>
        </w:rPr>
      </w:pPr>
    </w:p>
    <w:p w14:paraId="4166B33C" w14:textId="7EAC866E" w:rsidR="00C00AE7" w:rsidRPr="00BC353D" w:rsidRDefault="00C00AE7" w:rsidP="00C00AE7">
      <w:pPr>
        <w:pStyle w:val="BodyTextMain"/>
        <w:rPr>
          <w:spacing w:val="-2"/>
          <w:kern w:val="2"/>
          <w:lang w:val="en-CA" w:eastAsia="zh-CN"/>
        </w:rPr>
      </w:pPr>
      <w:r w:rsidRPr="00BC353D">
        <w:rPr>
          <w:spacing w:val="-2"/>
          <w:kern w:val="2"/>
          <w:lang w:val="en-CA" w:eastAsia="zh-CN"/>
        </w:rPr>
        <w:t xml:space="preserve">The acquisition required </w:t>
      </w:r>
      <w:r w:rsidR="00584141" w:rsidRPr="00BC353D">
        <w:rPr>
          <w:spacing w:val="-2"/>
          <w:kern w:val="2"/>
          <w:lang w:val="en-CA" w:eastAsia="zh-CN"/>
        </w:rPr>
        <w:t xml:space="preserve">approval from </w:t>
      </w:r>
      <w:r w:rsidRPr="00BC353D">
        <w:rPr>
          <w:spacing w:val="-2"/>
          <w:kern w:val="2"/>
          <w:lang w:val="en-CA" w:eastAsia="zh-CN"/>
        </w:rPr>
        <w:t>at least 66.6</w:t>
      </w:r>
      <w:r w:rsidR="00792B9F" w:rsidRPr="00BC353D">
        <w:rPr>
          <w:spacing w:val="-2"/>
          <w:kern w:val="2"/>
          <w:lang w:val="en-CA" w:eastAsia="zh-CN"/>
        </w:rPr>
        <w:t xml:space="preserve"> per cent</w:t>
      </w:r>
      <w:r w:rsidRPr="00BC353D">
        <w:rPr>
          <w:spacing w:val="-2"/>
          <w:kern w:val="2"/>
          <w:lang w:val="en-CA" w:eastAsia="zh-CN"/>
        </w:rPr>
        <w:t xml:space="preserve"> of </w:t>
      </w:r>
      <w:r w:rsidR="00584141" w:rsidRPr="00BC353D">
        <w:rPr>
          <w:spacing w:val="-2"/>
          <w:kern w:val="2"/>
          <w:lang w:val="en-CA" w:eastAsia="zh-CN"/>
        </w:rPr>
        <w:t xml:space="preserve">TMAC </w:t>
      </w:r>
      <w:r w:rsidRPr="00BC353D">
        <w:rPr>
          <w:spacing w:val="-2"/>
          <w:kern w:val="2"/>
          <w:lang w:val="en-CA" w:eastAsia="zh-CN"/>
        </w:rPr>
        <w:t xml:space="preserve">shareholders in </w:t>
      </w:r>
      <w:r w:rsidR="00584141" w:rsidRPr="00BC353D">
        <w:rPr>
          <w:spacing w:val="-2"/>
          <w:kern w:val="2"/>
          <w:lang w:val="en-CA" w:eastAsia="zh-CN"/>
        </w:rPr>
        <w:t>a</w:t>
      </w:r>
      <w:r w:rsidRPr="00BC353D">
        <w:rPr>
          <w:spacing w:val="-2"/>
          <w:kern w:val="2"/>
          <w:lang w:val="en-CA" w:eastAsia="zh-CN"/>
        </w:rPr>
        <w:t xml:space="preserve"> special meeting</w:t>
      </w:r>
      <w:r w:rsidR="00584141" w:rsidRPr="00BC353D">
        <w:rPr>
          <w:spacing w:val="-2"/>
          <w:kern w:val="2"/>
          <w:lang w:val="en-CA" w:eastAsia="zh-CN"/>
        </w:rPr>
        <w:t xml:space="preserve"> to</w:t>
      </w:r>
      <w:r w:rsidRPr="00BC353D">
        <w:rPr>
          <w:spacing w:val="-2"/>
          <w:kern w:val="2"/>
          <w:lang w:val="en-CA" w:eastAsia="zh-CN"/>
        </w:rPr>
        <w:t xml:space="preserve"> be conducted within 60 days after signing the agreement. </w:t>
      </w:r>
      <w:r w:rsidR="00584141" w:rsidRPr="00BC353D">
        <w:rPr>
          <w:spacing w:val="-2"/>
          <w:kern w:val="2"/>
          <w:lang w:val="en-CA" w:eastAsia="zh-CN"/>
        </w:rPr>
        <w:t>As well</w:t>
      </w:r>
      <w:r w:rsidRPr="00BC353D">
        <w:rPr>
          <w:spacing w:val="-2"/>
          <w:kern w:val="2"/>
          <w:lang w:val="en-CA" w:eastAsia="zh-CN"/>
        </w:rPr>
        <w:t xml:space="preserve">, the transaction </w:t>
      </w:r>
      <w:r w:rsidR="00584141" w:rsidRPr="00BC353D">
        <w:rPr>
          <w:spacing w:val="-2"/>
          <w:kern w:val="2"/>
          <w:lang w:val="en-CA" w:eastAsia="zh-CN"/>
        </w:rPr>
        <w:t>had</w:t>
      </w:r>
      <w:r w:rsidRPr="00BC353D">
        <w:rPr>
          <w:spacing w:val="-2"/>
          <w:kern w:val="2"/>
          <w:lang w:val="en-CA" w:eastAsia="zh-CN"/>
        </w:rPr>
        <w:t xml:space="preserve"> to be approved by relevant Canadian regulatory agencies, courts, and stock exchanges, </w:t>
      </w:r>
      <w:r w:rsidR="00584141" w:rsidRPr="00BC353D">
        <w:rPr>
          <w:spacing w:val="-2"/>
          <w:kern w:val="2"/>
          <w:lang w:val="en-CA" w:eastAsia="zh-CN"/>
        </w:rPr>
        <w:t>in addition</w:t>
      </w:r>
      <w:r w:rsidRPr="00BC353D">
        <w:rPr>
          <w:spacing w:val="-2"/>
          <w:kern w:val="2"/>
          <w:lang w:val="en-CA" w:eastAsia="zh-CN"/>
        </w:rPr>
        <w:t xml:space="preserve"> to meet</w:t>
      </w:r>
      <w:r w:rsidR="00584141" w:rsidRPr="00BC353D">
        <w:rPr>
          <w:spacing w:val="-2"/>
          <w:kern w:val="2"/>
          <w:lang w:val="en-CA" w:eastAsia="zh-CN"/>
        </w:rPr>
        <w:t>ing</w:t>
      </w:r>
      <w:r w:rsidRPr="00BC353D">
        <w:rPr>
          <w:spacing w:val="-2"/>
          <w:kern w:val="2"/>
          <w:lang w:val="en-CA" w:eastAsia="zh-CN"/>
        </w:rPr>
        <w:t xml:space="preserve"> standard conditions for </w:t>
      </w:r>
      <w:r w:rsidR="00584141" w:rsidRPr="00BC353D">
        <w:rPr>
          <w:spacing w:val="-2"/>
          <w:kern w:val="2"/>
          <w:lang w:val="en-CA" w:eastAsia="zh-CN"/>
        </w:rPr>
        <w:t>this type of</w:t>
      </w:r>
      <w:r w:rsidRPr="00BC353D">
        <w:rPr>
          <w:spacing w:val="-2"/>
          <w:kern w:val="2"/>
          <w:lang w:val="en-CA" w:eastAsia="zh-CN"/>
        </w:rPr>
        <w:t xml:space="preserve"> transaction. The de</w:t>
      </w:r>
      <w:r w:rsidR="00E547BA" w:rsidRPr="00BC353D">
        <w:rPr>
          <w:spacing w:val="-2"/>
          <w:kern w:val="2"/>
          <w:lang w:val="en-CA" w:eastAsia="zh-CN"/>
        </w:rPr>
        <w:t>a</w:t>
      </w:r>
      <w:r w:rsidRPr="00BC353D">
        <w:rPr>
          <w:spacing w:val="-2"/>
          <w:kern w:val="2"/>
          <w:lang w:val="en-CA" w:eastAsia="zh-CN"/>
        </w:rPr>
        <w:t xml:space="preserve">l would be completed within six months after </w:t>
      </w:r>
      <w:r w:rsidR="00E547BA" w:rsidRPr="00BC353D">
        <w:rPr>
          <w:spacing w:val="-2"/>
          <w:kern w:val="2"/>
          <w:lang w:val="en-CA" w:eastAsia="zh-CN"/>
        </w:rPr>
        <w:t xml:space="preserve">signing </w:t>
      </w:r>
      <w:r w:rsidRPr="00BC353D">
        <w:rPr>
          <w:spacing w:val="-2"/>
          <w:kern w:val="2"/>
          <w:lang w:val="en-CA" w:eastAsia="zh-CN"/>
        </w:rPr>
        <w:t>the agreement.</w:t>
      </w:r>
    </w:p>
    <w:p w14:paraId="1BF6E349" w14:textId="77777777" w:rsidR="00C00AE7" w:rsidRPr="00BC353D" w:rsidRDefault="00C00AE7" w:rsidP="00BC353D">
      <w:pPr>
        <w:pStyle w:val="BodyTextMain"/>
        <w:rPr>
          <w:sz w:val="20"/>
        </w:rPr>
      </w:pPr>
    </w:p>
    <w:p w14:paraId="697A1CDE" w14:textId="77777777" w:rsidR="00C00AE7" w:rsidRPr="00BC353D" w:rsidRDefault="00C00AE7" w:rsidP="00BC353D">
      <w:pPr>
        <w:pStyle w:val="BodyTextMain"/>
        <w:rPr>
          <w:sz w:val="20"/>
        </w:rPr>
      </w:pPr>
    </w:p>
    <w:p w14:paraId="0CB25714" w14:textId="77777777" w:rsidR="00C00AE7" w:rsidRPr="0017095C" w:rsidRDefault="00C00AE7" w:rsidP="00C00AE7">
      <w:pPr>
        <w:pStyle w:val="Casehead2"/>
        <w:rPr>
          <w:rFonts w:eastAsia="Calibri"/>
          <w:lang w:val="en-CA"/>
        </w:rPr>
      </w:pPr>
      <w:r w:rsidRPr="0017095C">
        <w:rPr>
          <w:rFonts w:eastAsia="Calibri"/>
          <w:lang w:val="en-CA"/>
        </w:rPr>
        <w:t>Transition Financing</w:t>
      </w:r>
    </w:p>
    <w:p w14:paraId="30C3595B" w14:textId="77777777" w:rsidR="00C00AE7" w:rsidRPr="00BC353D" w:rsidRDefault="00C00AE7" w:rsidP="00BC353D">
      <w:pPr>
        <w:pStyle w:val="BodyTextMain"/>
        <w:rPr>
          <w:sz w:val="20"/>
        </w:rPr>
      </w:pPr>
    </w:p>
    <w:p w14:paraId="5988BFBD" w14:textId="02B6F3C0" w:rsidR="00C00AE7" w:rsidRPr="0017095C" w:rsidRDefault="005B4FC7" w:rsidP="00C00AE7">
      <w:pPr>
        <w:pStyle w:val="BodyTextMain"/>
        <w:rPr>
          <w:kern w:val="2"/>
          <w:lang w:val="en-CA" w:eastAsia="zh-CN"/>
        </w:rPr>
      </w:pPr>
      <w:r w:rsidRPr="0017095C">
        <w:rPr>
          <w:kern w:val="2"/>
          <w:lang w:val="en-CA" w:eastAsia="zh-CN"/>
        </w:rPr>
        <w:t>At the same time</w:t>
      </w:r>
      <w:r w:rsidR="00C00AE7" w:rsidRPr="0017095C">
        <w:rPr>
          <w:kern w:val="2"/>
          <w:lang w:val="en-CA" w:eastAsia="zh-CN"/>
        </w:rPr>
        <w:t>, Shandong Gold</w:t>
      </w:r>
      <w:r w:rsidRPr="0017095C">
        <w:rPr>
          <w:kern w:val="2"/>
          <w:lang w:val="en-CA" w:eastAsia="zh-CN"/>
        </w:rPr>
        <w:t>’s subsidiary in</w:t>
      </w:r>
      <w:r w:rsidR="00C00AE7" w:rsidRPr="0017095C">
        <w:rPr>
          <w:kern w:val="2"/>
          <w:lang w:val="en-CA" w:eastAsia="zh-CN"/>
        </w:rPr>
        <w:t xml:space="preserve"> Hong Kong </w:t>
      </w:r>
      <w:r w:rsidRPr="0017095C">
        <w:rPr>
          <w:kern w:val="2"/>
          <w:lang w:val="en-CA" w:eastAsia="zh-CN"/>
        </w:rPr>
        <w:t>had to</w:t>
      </w:r>
      <w:r w:rsidR="00C00AE7" w:rsidRPr="0017095C">
        <w:rPr>
          <w:kern w:val="2"/>
          <w:lang w:val="en-CA" w:eastAsia="zh-CN"/>
        </w:rPr>
        <w:t xml:space="preserve"> sign </w:t>
      </w:r>
      <w:r w:rsidR="00C00AE7" w:rsidRPr="0017095C">
        <w:rPr>
          <w:iCs/>
          <w:kern w:val="2"/>
          <w:lang w:val="en-CA" w:eastAsia="zh-CN"/>
        </w:rPr>
        <w:t xml:space="preserve">a </w:t>
      </w:r>
      <w:r w:rsidRPr="0017095C">
        <w:rPr>
          <w:iCs/>
          <w:kern w:val="2"/>
          <w:lang w:val="en-CA" w:eastAsia="zh-CN"/>
        </w:rPr>
        <w:t>n</w:t>
      </w:r>
      <w:r w:rsidR="00C00AE7" w:rsidRPr="0017095C">
        <w:rPr>
          <w:iCs/>
          <w:kern w:val="2"/>
          <w:lang w:val="en-CA" w:eastAsia="zh-CN"/>
        </w:rPr>
        <w:t>on-</w:t>
      </w:r>
      <w:r w:rsidRPr="0017095C">
        <w:rPr>
          <w:iCs/>
          <w:kern w:val="2"/>
          <w:lang w:val="en-CA" w:eastAsia="zh-CN"/>
        </w:rPr>
        <w:t>p</w:t>
      </w:r>
      <w:r w:rsidR="00C00AE7" w:rsidRPr="0017095C">
        <w:rPr>
          <w:iCs/>
          <w:kern w:val="2"/>
          <w:lang w:val="en-CA" w:eastAsia="zh-CN"/>
        </w:rPr>
        <w:t xml:space="preserve">ublic </w:t>
      </w:r>
      <w:r w:rsidRPr="0017095C">
        <w:rPr>
          <w:iCs/>
          <w:kern w:val="2"/>
          <w:lang w:val="en-CA" w:eastAsia="zh-CN"/>
        </w:rPr>
        <w:t>p</w:t>
      </w:r>
      <w:r w:rsidR="00C00AE7" w:rsidRPr="0017095C">
        <w:rPr>
          <w:iCs/>
          <w:kern w:val="2"/>
          <w:lang w:val="en-CA" w:eastAsia="zh-CN"/>
        </w:rPr>
        <w:t xml:space="preserve">lacement </w:t>
      </w:r>
      <w:r w:rsidRPr="0017095C">
        <w:rPr>
          <w:iCs/>
          <w:kern w:val="2"/>
          <w:lang w:val="en-CA" w:eastAsia="zh-CN"/>
        </w:rPr>
        <w:t>s</w:t>
      </w:r>
      <w:r w:rsidR="00C00AE7" w:rsidRPr="0017095C">
        <w:rPr>
          <w:iCs/>
          <w:kern w:val="2"/>
          <w:lang w:val="en-CA" w:eastAsia="zh-CN"/>
        </w:rPr>
        <w:t xml:space="preserve">ubscription </w:t>
      </w:r>
      <w:r w:rsidRPr="0017095C">
        <w:rPr>
          <w:iCs/>
          <w:kern w:val="2"/>
          <w:lang w:val="en-CA" w:eastAsia="zh-CN"/>
        </w:rPr>
        <w:t>a</w:t>
      </w:r>
      <w:r w:rsidR="00C00AE7" w:rsidRPr="0017095C">
        <w:rPr>
          <w:iCs/>
          <w:kern w:val="2"/>
          <w:lang w:val="en-CA" w:eastAsia="zh-CN"/>
        </w:rPr>
        <w:t>greement</w:t>
      </w:r>
      <w:r w:rsidRPr="0017095C">
        <w:rPr>
          <w:iCs/>
          <w:kern w:val="2"/>
          <w:lang w:val="en-CA" w:eastAsia="zh-CN"/>
        </w:rPr>
        <w:t xml:space="preserve"> with TMAC expressing</w:t>
      </w:r>
      <w:r w:rsidR="00C00AE7" w:rsidRPr="0017095C">
        <w:rPr>
          <w:kern w:val="2"/>
          <w:lang w:val="en-CA" w:eastAsia="zh-CN"/>
        </w:rPr>
        <w:t xml:space="preserve"> inten</w:t>
      </w:r>
      <w:r w:rsidRPr="0017095C">
        <w:rPr>
          <w:kern w:val="2"/>
          <w:lang w:val="en-CA" w:eastAsia="zh-CN"/>
        </w:rPr>
        <w:t>t</w:t>
      </w:r>
      <w:r w:rsidR="00C00AE7" w:rsidRPr="0017095C">
        <w:rPr>
          <w:kern w:val="2"/>
          <w:lang w:val="en-CA" w:eastAsia="zh-CN"/>
        </w:rPr>
        <w:t xml:space="preserve"> to subscribe for newly issued </w:t>
      </w:r>
      <w:r w:rsidR="00EE5C6A" w:rsidRPr="0017095C">
        <w:rPr>
          <w:kern w:val="2"/>
          <w:lang w:val="en-CA" w:eastAsia="zh-CN"/>
        </w:rPr>
        <w:t xml:space="preserve">TMAC </w:t>
      </w:r>
      <w:r w:rsidR="00C00AE7" w:rsidRPr="0017095C">
        <w:rPr>
          <w:kern w:val="2"/>
          <w:lang w:val="en-CA" w:eastAsia="zh-CN"/>
        </w:rPr>
        <w:t>common shares at $1.75</w:t>
      </w:r>
      <w:r w:rsidRPr="0017095C">
        <w:rPr>
          <w:kern w:val="2"/>
          <w:lang w:val="en-CA" w:eastAsia="zh-CN"/>
        </w:rPr>
        <w:t xml:space="preserve"> per </w:t>
      </w:r>
      <w:r w:rsidR="00C00AE7" w:rsidRPr="0017095C">
        <w:rPr>
          <w:kern w:val="2"/>
          <w:lang w:val="en-CA" w:eastAsia="zh-CN"/>
        </w:rPr>
        <w:t>share for a total price of US$15 million</w:t>
      </w:r>
      <w:r w:rsidR="00EE5C6A" w:rsidRPr="0017095C">
        <w:rPr>
          <w:kern w:val="2"/>
          <w:lang w:val="en-CA" w:eastAsia="zh-CN"/>
        </w:rPr>
        <w:t>. These newly issued shares would consist of 9 per cent of Shandong Gold’s</w:t>
      </w:r>
      <w:r w:rsidR="00C00AE7" w:rsidRPr="0017095C">
        <w:rPr>
          <w:kern w:val="2"/>
          <w:lang w:val="en-CA" w:eastAsia="zh-CN"/>
        </w:rPr>
        <w:t xml:space="preserve"> total </w:t>
      </w:r>
      <w:r w:rsidR="00EE5C6A" w:rsidRPr="0017095C">
        <w:rPr>
          <w:kern w:val="2"/>
          <w:lang w:val="en-CA" w:eastAsia="zh-CN"/>
        </w:rPr>
        <w:t xml:space="preserve">TMAC </w:t>
      </w:r>
      <w:r w:rsidR="00C00AE7" w:rsidRPr="0017095C">
        <w:rPr>
          <w:kern w:val="2"/>
          <w:lang w:val="en-CA" w:eastAsia="zh-CN"/>
        </w:rPr>
        <w:t>shares</w:t>
      </w:r>
      <w:r w:rsidR="00AC4585" w:rsidRPr="0017095C">
        <w:rPr>
          <w:kern w:val="2"/>
          <w:lang w:val="en-CA" w:eastAsia="zh-CN"/>
        </w:rPr>
        <w:t>.</w:t>
      </w:r>
      <w:r w:rsidR="00573378" w:rsidRPr="0017095C">
        <w:rPr>
          <w:rStyle w:val="EndnoteReference"/>
          <w:kern w:val="2"/>
          <w:lang w:val="en-CA" w:eastAsia="zh-CN"/>
        </w:rPr>
        <w:endnoteReference w:id="22"/>
      </w:r>
      <w:r w:rsidR="00AC4585" w:rsidRPr="0017095C">
        <w:rPr>
          <w:kern w:val="2"/>
          <w:lang w:val="en-CA" w:eastAsia="zh-CN"/>
        </w:rPr>
        <w:t xml:space="preserve"> The revenue from these new shares</w:t>
      </w:r>
      <w:r w:rsidR="00C00AE7" w:rsidRPr="0017095C">
        <w:rPr>
          <w:kern w:val="2"/>
          <w:lang w:val="en-CA" w:eastAsia="zh-CN"/>
        </w:rPr>
        <w:t xml:space="preserve"> would provide TMAC with immediate financing. </w:t>
      </w:r>
      <w:r w:rsidR="00AC4585" w:rsidRPr="0017095C">
        <w:rPr>
          <w:kern w:val="2"/>
          <w:lang w:val="en-CA" w:eastAsia="zh-CN"/>
        </w:rPr>
        <w:t>T</w:t>
      </w:r>
      <w:r w:rsidR="00C00AE7" w:rsidRPr="0017095C">
        <w:rPr>
          <w:kern w:val="2"/>
          <w:lang w:val="en-CA" w:eastAsia="zh-CN"/>
        </w:rPr>
        <w:t xml:space="preserve">he acquisition of </w:t>
      </w:r>
      <w:r w:rsidR="00C00AE7" w:rsidRPr="0017095C">
        <w:rPr>
          <w:lang w:val="en-CA"/>
        </w:rPr>
        <w:t xml:space="preserve">TMAC </w:t>
      </w:r>
      <w:r w:rsidR="00AC4585" w:rsidRPr="0017095C">
        <w:rPr>
          <w:lang w:val="en-CA"/>
        </w:rPr>
        <w:t>was</w:t>
      </w:r>
      <w:r w:rsidR="00C00AE7" w:rsidRPr="0017095C">
        <w:rPr>
          <w:kern w:val="2"/>
          <w:lang w:val="en-CA" w:eastAsia="zh-CN"/>
        </w:rPr>
        <w:t xml:space="preserve"> officially signed, </w:t>
      </w:r>
      <w:r w:rsidR="00AC4585" w:rsidRPr="0017095C">
        <w:rPr>
          <w:kern w:val="2"/>
          <w:lang w:val="en-CA" w:eastAsia="zh-CN"/>
        </w:rPr>
        <w:t xml:space="preserve">but </w:t>
      </w:r>
      <w:r w:rsidR="00C00AE7" w:rsidRPr="0017095C">
        <w:rPr>
          <w:kern w:val="2"/>
          <w:lang w:val="en-CA" w:eastAsia="zh-CN"/>
        </w:rPr>
        <w:t>approval f</w:t>
      </w:r>
      <w:r w:rsidR="00AC4585" w:rsidRPr="0017095C">
        <w:rPr>
          <w:kern w:val="2"/>
          <w:lang w:val="en-CA" w:eastAsia="zh-CN"/>
        </w:rPr>
        <w:t>rom</w:t>
      </w:r>
      <w:r w:rsidR="00C00AE7" w:rsidRPr="0017095C">
        <w:rPr>
          <w:kern w:val="2"/>
          <w:lang w:val="en-CA" w:eastAsia="zh-CN"/>
        </w:rPr>
        <w:t xml:space="preserve"> the </w:t>
      </w:r>
      <w:r w:rsidR="00AC4585" w:rsidRPr="0017095C">
        <w:rPr>
          <w:kern w:val="2"/>
          <w:lang w:val="en-CA" w:eastAsia="zh-CN"/>
        </w:rPr>
        <w:t xml:space="preserve">governments of </w:t>
      </w:r>
      <w:r w:rsidR="00C00AE7" w:rsidRPr="0017095C">
        <w:rPr>
          <w:kern w:val="2"/>
          <w:lang w:val="en-CA" w:eastAsia="zh-CN"/>
        </w:rPr>
        <w:t>Chin</w:t>
      </w:r>
      <w:r w:rsidR="00AC4585" w:rsidRPr="0017095C">
        <w:rPr>
          <w:kern w:val="2"/>
          <w:lang w:val="en-CA" w:eastAsia="zh-CN"/>
        </w:rPr>
        <w:t>a</w:t>
      </w:r>
      <w:r w:rsidR="00C00AE7" w:rsidRPr="0017095C">
        <w:rPr>
          <w:kern w:val="2"/>
          <w:lang w:val="en-CA" w:eastAsia="zh-CN"/>
        </w:rPr>
        <w:t xml:space="preserve"> and Canada was still </w:t>
      </w:r>
      <w:r w:rsidR="00AC4585" w:rsidRPr="0017095C">
        <w:rPr>
          <w:kern w:val="2"/>
          <w:lang w:val="en-CA" w:eastAsia="zh-CN"/>
        </w:rPr>
        <w:t xml:space="preserve">required. </w:t>
      </w:r>
      <w:bookmarkStart w:id="0" w:name="_Hlk72998889"/>
      <w:r w:rsidR="00AC4585" w:rsidRPr="0017095C">
        <w:rPr>
          <w:kern w:val="2"/>
          <w:lang w:val="en-CA" w:eastAsia="zh-CN"/>
        </w:rPr>
        <w:t>Without financing, during the s</w:t>
      </w:r>
      <w:r w:rsidR="00C00AE7" w:rsidRPr="0017095C">
        <w:rPr>
          <w:kern w:val="2"/>
          <w:lang w:val="en-CA" w:eastAsia="zh-CN"/>
        </w:rPr>
        <w:t>ix months before formal delivery</w:t>
      </w:r>
      <w:r w:rsidR="00AC4585" w:rsidRPr="0017095C">
        <w:rPr>
          <w:kern w:val="2"/>
          <w:lang w:val="en-CA" w:eastAsia="zh-CN"/>
        </w:rPr>
        <w:t xml:space="preserve"> of the proposed acquisition</w:t>
      </w:r>
      <w:r w:rsidR="00C00AE7" w:rsidRPr="0017095C">
        <w:rPr>
          <w:kern w:val="2"/>
          <w:lang w:val="en-CA" w:eastAsia="zh-CN"/>
        </w:rPr>
        <w:t xml:space="preserve"> </w:t>
      </w:r>
      <w:r w:rsidR="00AC4585" w:rsidRPr="0017095C">
        <w:rPr>
          <w:kern w:val="2"/>
          <w:lang w:val="en-CA" w:eastAsia="zh-CN"/>
        </w:rPr>
        <w:t xml:space="preserve">the </w:t>
      </w:r>
      <w:r w:rsidR="00C00AE7" w:rsidRPr="0017095C">
        <w:rPr>
          <w:kern w:val="2"/>
          <w:lang w:val="en-CA" w:eastAsia="zh-CN"/>
        </w:rPr>
        <w:t xml:space="preserve">Hope Bay </w:t>
      </w:r>
      <w:r w:rsidR="00AC4585" w:rsidRPr="0017095C">
        <w:rPr>
          <w:kern w:val="2"/>
          <w:lang w:val="en-CA" w:eastAsia="zh-CN"/>
        </w:rPr>
        <w:t>project</w:t>
      </w:r>
      <w:r w:rsidR="00C00AE7" w:rsidRPr="0017095C">
        <w:rPr>
          <w:kern w:val="2"/>
          <w:lang w:val="en-CA" w:eastAsia="zh-CN"/>
        </w:rPr>
        <w:t xml:space="preserve"> </w:t>
      </w:r>
      <w:r w:rsidR="00087A1E" w:rsidRPr="0017095C">
        <w:rPr>
          <w:kern w:val="2"/>
          <w:lang w:val="en-CA" w:eastAsia="zh-CN"/>
        </w:rPr>
        <w:t>would</w:t>
      </w:r>
      <w:r w:rsidR="00AC4585" w:rsidRPr="0017095C">
        <w:rPr>
          <w:kern w:val="2"/>
          <w:lang w:val="en-CA" w:eastAsia="zh-CN"/>
        </w:rPr>
        <w:t xml:space="preserve"> not have </w:t>
      </w:r>
      <w:r w:rsidR="00C00AE7" w:rsidRPr="0017095C">
        <w:rPr>
          <w:kern w:val="2"/>
          <w:lang w:val="en-CA" w:eastAsia="zh-CN"/>
        </w:rPr>
        <w:t xml:space="preserve">sufficient </w:t>
      </w:r>
      <w:r w:rsidR="00AC4585" w:rsidRPr="0017095C">
        <w:rPr>
          <w:kern w:val="2"/>
          <w:lang w:val="en-CA" w:eastAsia="zh-CN"/>
        </w:rPr>
        <w:t>capital</w:t>
      </w:r>
      <w:r w:rsidR="00C00AE7" w:rsidRPr="0017095C">
        <w:rPr>
          <w:kern w:val="2"/>
          <w:lang w:val="en-CA" w:eastAsia="zh-CN"/>
        </w:rPr>
        <w:t xml:space="preserve"> to maintain operations</w:t>
      </w:r>
      <w:r w:rsidR="000108D7" w:rsidRPr="0017095C">
        <w:rPr>
          <w:kern w:val="2"/>
          <w:lang w:val="en-CA" w:eastAsia="zh-CN"/>
        </w:rPr>
        <w:t xml:space="preserve"> before formal delivery of the proposed acquisition</w:t>
      </w:r>
      <w:bookmarkEnd w:id="0"/>
      <w:r w:rsidR="00C00AE7" w:rsidRPr="0017095C">
        <w:rPr>
          <w:kern w:val="2"/>
          <w:lang w:val="en-CA" w:eastAsia="zh-CN"/>
        </w:rPr>
        <w:t>.</w:t>
      </w:r>
      <w:r w:rsidR="003D62C5" w:rsidRPr="0017095C">
        <w:rPr>
          <w:kern w:val="2"/>
          <w:lang w:val="en-CA" w:eastAsia="zh-CN"/>
        </w:rPr>
        <w:t xml:space="preserve"> Therefore</w:t>
      </w:r>
      <w:r w:rsidR="00C00AE7" w:rsidRPr="0017095C">
        <w:rPr>
          <w:kern w:val="2"/>
          <w:lang w:val="en-CA" w:eastAsia="zh-CN"/>
        </w:rPr>
        <w:t xml:space="preserve">, Shandong Gold </w:t>
      </w:r>
      <w:r w:rsidR="003D62C5" w:rsidRPr="0017095C">
        <w:rPr>
          <w:kern w:val="2"/>
          <w:lang w:val="en-CA" w:eastAsia="zh-CN"/>
        </w:rPr>
        <w:t>carefully considered lending the required funding to</w:t>
      </w:r>
      <w:r w:rsidR="00C00AE7" w:rsidRPr="0017095C">
        <w:rPr>
          <w:kern w:val="2"/>
          <w:lang w:val="en-CA" w:eastAsia="zh-CN"/>
        </w:rPr>
        <w:t xml:space="preserve"> </w:t>
      </w:r>
      <w:r w:rsidR="00C00AE7" w:rsidRPr="0017095C">
        <w:rPr>
          <w:lang w:val="en-CA"/>
        </w:rPr>
        <w:t xml:space="preserve">TMAC </w:t>
      </w:r>
      <w:r w:rsidR="003D62C5" w:rsidRPr="0017095C">
        <w:rPr>
          <w:lang w:val="en-CA"/>
        </w:rPr>
        <w:t>on its own</w:t>
      </w:r>
      <w:r w:rsidR="00C00AE7" w:rsidRPr="0017095C">
        <w:rPr>
          <w:kern w:val="2"/>
          <w:lang w:val="en-CA" w:eastAsia="zh-CN"/>
        </w:rPr>
        <w:t xml:space="preserve">. </w:t>
      </w:r>
    </w:p>
    <w:p w14:paraId="5A50F866" w14:textId="03BF66A8" w:rsidR="00C00AE7" w:rsidRPr="0017095C" w:rsidRDefault="00C00AE7" w:rsidP="00C00AE7">
      <w:pPr>
        <w:pStyle w:val="BodyTextMain"/>
        <w:rPr>
          <w:kern w:val="2"/>
          <w:lang w:val="en-CA" w:eastAsia="zh-CN"/>
        </w:rPr>
      </w:pPr>
      <w:r w:rsidRPr="0017095C">
        <w:rPr>
          <w:kern w:val="2"/>
          <w:lang w:val="en-CA" w:eastAsia="zh-CN"/>
        </w:rPr>
        <w:lastRenderedPageBreak/>
        <w:t xml:space="preserve">Before this transaction, </w:t>
      </w:r>
      <w:r w:rsidRPr="0017095C">
        <w:rPr>
          <w:lang w:val="en-CA"/>
        </w:rPr>
        <w:t xml:space="preserve">TMAC </w:t>
      </w:r>
      <w:r w:rsidRPr="0017095C">
        <w:rPr>
          <w:kern w:val="2"/>
          <w:lang w:val="en-CA" w:eastAsia="zh-CN"/>
        </w:rPr>
        <w:t xml:space="preserve">had borrowed significant </w:t>
      </w:r>
      <w:r w:rsidR="0096731E" w:rsidRPr="0017095C">
        <w:rPr>
          <w:kern w:val="2"/>
          <w:lang w:val="en-CA" w:eastAsia="zh-CN"/>
        </w:rPr>
        <w:t xml:space="preserve">amounts of </w:t>
      </w:r>
      <w:r w:rsidRPr="0017095C">
        <w:rPr>
          <w:kern w:val="2"/>
          <w:lang w:val="en-CA" w:eastAsia="zh-CN"/>
        </w:rPr>
        <w:t>fund</w:t>
      </w:r>
      <w:r w:rsidR="0096731E" w:rsidRPr="0017095C">
        <w:rPr>
          <w:kern w:val="2"/>
          <w:lang w:val="en-CA" w:eastAsia="zh-CN"/>
        </w:rPr>
        <w:t>ing</w:t>
      </w:r>
      <w:r w:rsidRPr="0017095C">
        <w:rPr>
          <w:kern w:val="2"/>
          <w:lang w:val="en-CA" w:eastAsia="zh-CN"/>
        </w:rPr>
        <w:t xml:space="preserve"> from </w:t>
      </w:r>
      <w:r w:rsidR="0096731E" w:rsidRPr="0017095C">
        <w:rPr>
          <w:kern w:val="2"/>
          <w:lang w:val="en-CA" w:eastAsia="zh-CN"/>
        </w:rPr>
        <w:t xml:space="preserve">the </w:t>
      </w:r>
      <w:r w:rsidRPr="0017095C">
        <w:rPr>
          <w:kern w:val="2"/>
          <w:lang w:val="en-CA" w:eastAsia="zh-CN"/>
        </w:rPr>
        <w:t xml:space="preserve">Toronto </w:t>
      </w:r>
      <w:r w:rsidR="001057C6" w:rsidRPr="0017095C">
        <w:rPr>
          <w:kern w:val="2"/>
          <w:lang w:val="en-CA" w:eastAsia="zh-CN"/>
        </w:rPr>
        <w:t xml:space="preserve">alternative asset management firm </w:t>
      </w:r>
      <w:r w:rsidRPr="0017095C">
        <w:rPr>
          <w:kern w:val="2"/>
          <w:lang w:val="en-CA" w:eastAsia="zh-CN"/>
        </w:rPr>
        <w:t>Sprott Inc.</w:t>
      </w:r>
      <w:r w:rsidR="001057C6" w:rsidRPr="0017095C">
        <w:rPr>
          <w:kern w:val="2"/>
          <w:lang w:val="en-CA" w:eastAsia="zh-CN"/>
        </w:rPr>
        <w:t>, wh</w:t>
      </w:r>
      <w:r w:rsidR="00816BFC">
        <w:rPr>
          <w:kern w:val="2"/>
          <w:lang w:val="en-CA" w:eastAsia="zh-CN"/>
        </w:rPr>
        <w:t>ich</w:t>
      </w:r>
      <w:r w:rsidR="001057C6" w:rsidRPr="0017095C">
        <w:rPr>
          <w:kern w:val="2"/>
          <w:lang w:val="en-CA" w:eastAsia="zh-CN"/>
        </w:rPr>
        <w:t xml:space="preserve"> had mortgaged TMAC’s</w:t>
      </w:r>
      <w:r w:rsidRPr="0017095C">
        <w:rPr>
          <w:kern w:val="2"/>
          <w:lang w:val="en-CA" w:eastAsia="zh-CN"/>
        </w:rPr>
        <w:t xml:space="preserve"> current property.</w:t>
      </w:r>
      <w:r w:rsidR="001057C6" w:rsidRPr="0017095C">
        <w:rPr>
          <w:rStyle w:val="EndnoteReference"/>
          <w:kern w:val="2"/>
          <w:lang w:val="en-CA" w:eastAsia="zh-CN"/>
        </w:rPr>
        <w:endnoteReference w:id="23"/>
      </w:r>
      <w:r w:rsidR="001057C6" w:rsidRPr="0017095C">
        <w:rPr>
          <w:kern w:val="2"/>
          <w:lang w:val="en-CA" w:eastAsia="zh-CN"/>
        </w:rPr>
        <w:t xml:space="preserve"> W</w:t>
      </w:r>
      <w:r w:rsidR="007A47C4" w:rsidRPr="0017095C">
        <w:rPr>
          <w:kern w:val="2"/>
          <w:lang w:val="en-CA" w:eastAsia="zh-CN"/>
        </w:rPr>
        <w:t>it</w:t>
      </w:r>
      <w:r w:rsidRPr="0017095C">
        <w:rPr>
          <w:kern w:val="2"/>
          <w:lang w:val="en-CA" w:eastAsia="zh-CN"/>
        </w:rPr>
        <w:t xml:space="preserve">h Shandong Gold </w:t>
      </w:r>
      <w:r w:rsidR="001057C6" w:rsidRPr="0017095C">
        <w:rPr>
          <w:kern w:val="2"/>
          <w:lang w:val="en-CA" w:eastAsia="zh-CN"/>
        </w:rPr>
        <w:t>provid</w:t>
      </w:r>
      <w:r w:rsidR="007A47C4" w:rsidRPr="0017095C">
        <w:rPr>
          <w:kern w:val="2"/>
          <w:lang w:val="en-CA" w:eastAsia="zh-CN"/>
        </w:rPr>
        <w:t>ing a loan to</w:t>
      </w:r>
      <w:r w:rsidRPr="0017095C">
        <w:rPr>
          <w:kern w:val="2"/>
          <w:lang w:val="en-CA" w:eastAsia="zh-CN"/>
        </w:rPr>
        <w:t xml:space="preserve"> </w:t>
      </w:r>
      <w:r w:rsidRPr="0017095C">
        <w:rPr>
          <w:lang w:val="en-CA"/>
        </w:rPr>
        <w:t>TMAC</w:t>
      </w:r>
      <w:r w:rsidRPr="0017095C">
        <w:rPr>
          <w:kern w:val="2"/>
          <w:lang w:val="en-CA" w:eastAsia="zh-CN"/>
        </w:rPr>
        <w:t xml:space="preserve">, nothing from </w:t>
      </w:r>
      <w:r w:rsidRPr="0017095C">
        <w:rPr>
          <w:lang w:val="en-CA"/>
        </w:rPr>
        <w:t xml:space="preserve">TMAC </w:t>
      </w:r>
      <w:r w:rsidRPr="0017095C">
        <w:rPr>
          <w:kern w:val="2"/>
          <w:lang w:val="en-CA" w:eastAsia="zh-CN"/>
        </w:rPr>
        <w:t xml:space="preserve">would </w:t>
      </w:r>
      <w:r w:rsidR="007A47C4" w:rsidRPr="0017095C">
        <w:rPr>
          <w:kern w:val="2"/>
          <w:lang w:val="en-CA" w:eastAsia="zh-CN"/>
        </w:rPr>
        <w:t xml:space="preserve">need to </w:t>
      </w:r>
      <w:r w:rsidRPr="0017095C">
        <w:rPr>
          <w:kern w:val="2"/>
          <w:lang w:val="en-CA" w:eastAsia="zh-CN"/>
        </w:rPr>
        <w:t xml:space="preserve">be mortgaged. </w:t>
      </w:r>
      <w:r w:rsidR="007A47C4" w:rsidRPr="0017095C">
        <w:rPr>
          <w:kern w:val="2"/>
          <w:lang w:val="en-CA" w:eastAsia="zh-CN"/>
        </w:rPr>
        <w:t>However, t</w:t>
      </w:r>
      <w:r w:rsidRPr="0017095C">
        <w:rPr>
          <w:kern w:val="2"/>
          <w:lang w:val="en-CA" w:eastAsia="zh-CN"/>
        </w:rPr>
        <w:t xml:space="preserve">his </w:t>
      </w:r>
      <w:r w:rsidR="007A47C4" w:rsidRPr="0017095C">
        <w:rPr>
          <w:kern w:val="2"/>
          <w:lang w:val="en-CA" w:eastAsia="zh-CN"/>
        </w:rPr>
        <w:t>could become a serious</w:t>
      </w:r>
      <w:r w:rsidRPr="0017095C">
        <w:rPr>
          <w:kern w:val="2"/>
          <w:lang w:val="en-CA" w:eastAsia="zh-CN"/>
        </w:rPr>
        <w:t xml:space="preserve"> problem</w:t>
      </w:r>
      <w:r w:rsidR="007A47C4" w:rsidRPr="0017095C">
        <w:rPr>
          <w:kern w:val="2"/>
          <w:lang w:val="en-CA" w:eastAsia="zh-CN"/>
        </w:rPr>
        <w:t xml:space="preserve"> i</w:t>
      </w:r>
      <w:r w:rsidRPr="0017095C">
        <w:rPr>
          <w:kern w:val="2"/>
          <w:lang w:val="en-CA" w:eastAsia="zh-CN"/>
        </w:rPr>
        <w:t xml:space="preserve">f the project failed to receive </w:t>
      </w:r>
      <w:r w:rsidR="007A47C4" w:rsidRPr="0017095C">
        <w:rPr>
          <w:kern w:val="2"/>
          <w:lang w:val="en-CA" w:eastAsia="zh-CN"/>
        </w:rPr>
        <w:t xml:space="preserve">final </w:t>
      </w:r>
      <w:r w:rsidRPr="0017095C">
        <w:rPr>
          <w:kern w:val="2"/>
          <w:lang w:val="en-CA" w:eastAsia="zh-CN"/>
        </w:rPr>
        <w:t>approval</w:t>
      </w:r>
      <w:r w:rsidR="007A47C4" w:rsidRPr="0017095C">
        <w:rPr>
          <w:kern w:val="2"/>
          <w:lang w:val="en-CA" w:eastAsia="zh-CN"/>
        </w:rPr>
        <w:t xml:space="preserve"> and</w:t>
      </w:r>
      <w:r w:rsidRPr="0017095C">
        <w:rPr>
          <w:kern w:val="2"/>
          <w:lang w:val="en-CA" w:eastAsia="zh-CN"/>
        </w:rPr>
        <w:t xml:space="preserve"> the transaction could not be completed</w:t>
      </w:r>
      <w:r w:rsidR="007A47C4" w:rsidRPr="0017095C">
        <w:rPr>
          <w:kern w:val="2"/>
          <w:lang w:val="en-CA" w:eastAsia="zh-CN"/>
        </w:rPr>
        <w:t>.</w:t>
      </w:r>
      <w:r w:rsidRPr="0017095C">
        <w:rPr>
          <w:kern w:val="2"/>
          <w:lang w:val="en-CA" w:eastAsia="zh-CN"/>
        </w:rPr>
        <w:t xml:space="preserve"> </w:t>
      </w:r>
      <w:r w:rsidRPr="0017095C">
        <w:rPr>
          <w:lang w:val="en-CA"/>
        </w:rPr>
        <w:t xml:space="preserve">TMAC </w:t>
      </w:r>
      <w:r w:rsidR="007A47C4" w:rsidRPr="0017095C">
        <w:rPr>
          <w:lang w:val="en-CA"/>
        </w:rPr>
        <w:t xml:space="preserve">would have already received the loan from </w:t>
      </w:r>
      <w:r w:rsidR="007A47C4" w:rsidRPr="0017095C">
        <w:rPr>
          <w:kern w:val="2"/>
          <w:lang w:val="en-CA" w:eastAsia="zh-CN"/>
        </w:rPr>
        <w:t>Shandong Gold</w:t>
      </w:r>
      <w:r w:rsidRPr="0017095C">
        <w:rPr>
          <w:kern w:val="2"/>
          <w:lang w:val="en-CA" w:eastAsia="zh-CN"/>
        </w:rPr>
        <w:t>.</w:t>
      </w:r>
      <w:r w:rsidR="007A47C4" w:rsidRPr="0017095C">
        <w:rPr>
          <w:kern w:val="2"/>
          <w:lang w:val="en-CA" w:eastAsia="zh-CN"/>
        </w:rPr>
        <w:t xml:space="preserve"> If TMAC</w:t>
      </w:r>
      <w:r w:rsidRPr="0017095C">
        <w:rPr>
          <w:kern w:val="2"/>
          <w:lang w:val="en-CA" w:eastAsia="zh-CN"/>
        </w:rPr>
        <w:t xml:space="preserve"> could not re</w:t>
      </w:r>
      <w:r w:rsidR="007A47C4" w:rsidRPr="0017095C">
        <w:rPr>
          <w:kern w:val="2"/>
          <w:lang w:val="en-CA" w:eastAsia="zh-CN"/>
        </w:rPr>
        <w:t>pay the loan</w:t>
      </w:r>
      <w:r w:rsidRPr="0017095C">
        <w:rPr>
          <w:kern w:val="2"/>
          <w:lang w:val="en-CA" w:eastAsia="zh-CN"/>
        </w:rPr>
        <w:t xml:space="preserve">, Shandong Gold would </w:t>
      </w:r>
      <w:r w:rsidR="007A47C4" w:rsidRPr="0017095C">
        <w:rPr>
          <w:kern w:val="2"/>
          <w:lang w:val="en-CA" w:eastAsia="zh-CN"/>
        </w:rPr>
        <w:t>have</w:t>
      </w:r>
      <w:r w:rsidRPr="0017095C">
        <w:rPr>
          <w:kern w:val="2"/>
          <w:lang w:val="en-CA" w:eastAsia="zh-CN"/>
        </w:rPr>
        <w:t xml:space="preserve"> to go to Canada to apply for enforcement. The time </w:t>
      </w:r>
      <w:r w:rsidR="007A47C4" w:rsidRPr="0017095C">
        <w:rPr>
          <w:kern w:val="2"/>
          <w:lang w:val="en-CA" w:eastAsia="zh-CN"/>
        </w:rPr>
        <w:t xml:space="preserve">and </w:t>
      </w:r>
      <w:r w:rsidRPr="0017095C">
        <w:rPr>
          <w:kern w:val="2"/>
          <w:lang w:val="en-CA" w:eastAsia="zh-CN"/>
        </w:rPr>
        <w:t>cost</w:t>
      </w:r>
      <w:r w:rsidR="007A47C4" w:rsidRPr="0017095C">
        <w:rPr>
          <w:kern w:val="2"/>
          <w:lang w:val="en-CA" w:eastAsia="zh-CN"/>
        </w:rPr>
        <w:t xml:space="preserve"> of such an issue would be</w:t>
      </w:r>
      <w:r w:rsidRPr="0017095C">
        <w:rPr>
          <w:kern w:val="2"/>
          <w:lang w:val="en-CA" w:eastAsia="zh-CN"/>
        </w:rPr>
        <w:t xml:space="preserve"> difficult to control, so the risk of </w:t>
      </w:r>
      <w:r w:rsidR="000A32F0" w:rsidRPr="0017095C">
        <w:rPr>
          <w:kern w:val="2"/>
          <w:lang w:val="en-CA" w:eastAsia="zh-CN"/>
        </w:rPr>
        <w:t>lending</w:t>
      </w:r>
      <w:r w:rsidRPr="0017095C">
        <w:rPr>
          <w:kern w:val="2"/>
          <w:lang w:val="en-CA" w:eastAsia="zh-CN"/>
        </w:rPr>
        <w:t xml:space="preserve"> was very high.</w:t>
      </w:r>
    </w:p>
    <w:p w14:paraId="6F5657D0" w14:textId="77777777" w:rsidR="00C00AE7" w:rsidRPr="0017095C" w:rsidRDefault="00C00AE7" w:rsidP="00C00AE7">
      <w:pPr>
        <w:pStyle w:val="BodyTextMain"/>
        <w:rPr>
          <w:kern w:val="2"/>
          <w:lang w:val="en-CA" w:eastAsia="zh-CN"/>
        </w:rPr>
      </w:pPr>
    </w:p>
    <w:p w14:paraId="5E73C2F1" w14:textId="16AF4D91" w:rsidR="00C00AE7" w:rsidRPr="0017095C" w:rsidRDefault="00C00AE7" w:rsidP="00C00AE7">
      <w:pPr>
        <w:pStyle w:val="BodyTextMain"/>
        <w:rPr>
          <w:kern w:val="2"/>
          <w:lang w:val="en-CA" w:eastAsia="zh-CN"/>
        </w:rPr>
      </w:pPr>
      <w:r w:rsidRPr="0017095C">
        <w:rPr>
          <w:kern w:val="2"/>
          <w:lang w:val="en-CA" w:eastAsia="zh-CN"/>
        </w:rPr>
        <w:t>Shandong Gold finally opted</w:t>
      </w:r>
      <w:r w:rsidR="007A47C4" w:rsidRPr="0017095C">
        <w:rPr>
          <w:kern w:val="2"/>
          <w:lang w:val="en-CA" w:eastAsia="zh-CN"/>
        </w:rPr>
        <w:t xml:space="preserve"> for</w:t>
      </w:r>
      <w:r w:rsidRPr="0017095C">
        <w:rPr>
          <w:kern w:val="2"/>
          <w:lang w:val="en-CA" w:eastAsia="zh-CN"/>
        </w:rPr>
        <w:t xml:space="preserve"> equity financing. </w:t>
      </w:r>
      <w:r w:rsidRPr="0017095C">
        <w:rPr>
          <w:lang w:val="en-CA"/>
        </w:rPr>
        <w:t xml:space="preserve">TMAC </w:t>
      </w:r>
      <w:r w:rsidRPr="0017095C">
        <w:rPr>
          <w:kern w:val="2"/>
          <w:lang w:val="en-CA" w:eastAsia="zh-CN"/>
        </w:rPr>
        <w:t xml:space="preserve">would issue some new shares and Shandong Gold would subscribe for these new shares. In this way, </w:t>
      </w:r>
      <w:r w:rsidRPr="0017095C">
        <w:rPr>
          <w:lang w:val="en-CA"/>
        </w:rPr>
        <w:t xml:space="preserve">TMAC </w:t>
      </w:r>
      <w:r w:rsidRPr="0017095C">
        <w:rPr>
          <w:kern w:val="2"/>
          <w:lang w:val="en-CA" w:eastAsia="zh-CN"/>
        </w:rPr>
        <w:t xml:space="preserve">could also receive funds, </w:t>
      </w:r>
      <w:r w:rsidR="009B7021" w:rsidRPr="0017095C">
        <w:rPr>
          <w:kern w:val="2"/>
          <w:lang w:val="en-CA" w:eastAsia="zh-CN"/>
        </w:rPr>
        <w:t>but</w:t>
      </w:r>
      <w:r w:rsidRPr="0017095C">
        <w:rPr>
          <w:kern w:val="2"/>
          <w:lang w:val="en-CA" w:eastAsia="zh-CN"/>
        </w:rPr>
        <w:t xml:space="preserve"> Shandong Gold would become its shareholder. The advantage of becoming a shareholder was that if the transaction failed</w:t>
      </w:r>
      <w:r w:rsidR="000A32F0" w:rsidRPr="0017095C">
        <w:rPr>
          <w:kern w:val="2"/>
          <w:lang w:val="en-CA" w:eastAsia="zh-CN"/>
        </w:rPr>
        <w:t xml:space="preserve"> to receive final approval</w:t>
      </w:r>
      <w:r w:rsidRPr="0017095C">
        <w:rPr>
          <w:kern w:val="2"/>
          <w:lang w:val="en-CA" w:eastAsia="zh-CN"/>
        </w:rPr>
        <w:t xml:space="preserve">, Shandong Gold still held </w:t>
      </w:r>
      <w:r w:rsidR="009B7021" w:rsidRPr="0017095C">
        <w:rPr>
          <w:kern w:val="2"/>
          <w:lang w:val="en-CA" w:eastAsia="zh-CN"/>
        </w:rPr>
        <w:t>the</w:t>
      </w:r>
      <w:r w:rsidRPr="0017095C">
        <w:rPr>
          <w:kern w:val="2"/>
          <w:lang w:val="en-CA" w:eastAsia="zh-CN"/>
        </w:rPr>
        <w:t xml:space="preserve"> shares. If </w:t>
      </w:r>
      <w:r w:rsidR="009B7021" w:rsidRPr="0017095C">
        <w:rPr>
          <w:kern w:val="2"/>
          <w:lang w:val="en-CA" w:eastAsia="zh-CN"/>
        </w:rPr>
        <w:t>an</w:t>
      </w:r>
      <w:r w:rsidRPr="0017095C">
        <w:rPr>
          <w:kern w:val="2"/>
          <w:lang w:val="en-CA" w:eastAsia="zh-CN"/>
        </w:rPr>
        <w:t>other investor</w:t>
      </w:r>
      <w:r w:rsidR="009B7021" w:rsidRPr="0017095C">
        <w:rPr>
          <w:kern w:val="2"/>
          <w:lang w:val="en-CA" w:eastAsia="zh-CN"/>
        </w:rPr>
        <w:t xml:space="preserve"> were to then buy</w:t>
      </w:r>
      <w:r w:rsidRPr="0017095C">
        <w:rPr>
          <w:kern w:val="2"/>
          <w:lang w:val="en-CA" w:eastAsia="zh-CN"/>
        </w:rPr>
        <w:t xml:space="preserve"> </w:t>
      </w:r>
      <w:r w:rsidRPr="0017095C">
        <w:rPr>
          <w:lang w:val="en-CA"/>
        </w:rPr>
        <w:t>TMAC</w:t>
      </w:r>
      <w:r w:rsidRPr="0017095C">
        <w:rPr>
          <w:kern w:val="2"/>
          <w:lang w:val="en-CA" w:eastAsia="zh-CN"/>
        </w:rPr>
        <w:t xml:space="preserve">, Shandong Gold could sell this part of the stock. </w:t>
      </w:r>
      <w:r w:rsidR="009B7021" w:rsidRPr="0017095C">
        <w:rPr>
          <w:kern w:val="2"/>
          <w:lang w:val="en-CA" w:eastAsia="zh-CN"/>
        </w:rPr>
        <w:t>Therefore, e</w:t>
      </w:r>
      <w:r w:rsidRPr="0017095C">
        <w:rPr>
          <w:kern w:val="2"/>
          <w:lang w:val="en-CA" w:eastAsia="zh-CN"/>
        </w:rPr>
        <w:t xml:space="preserve">quity financing was more secure for Shandong Gold. When </w:t>
      </w:r>
      <w:r w:rsidRPr="0017095C">
        <w:rPr>
          <w:iCs/>
          <w:kern w:val="2"/>
          <w:lang w:val="en-CA" w:eastAsia="zh-CN"/>
        </w:rPr>
        <w:t xml:space="preserve">the </w:t>
      </w:r>
      <w:r w:rsidR="009B7021" w:rsidRPr="0017095C">
        <w:rPr>
          <w:iCs/>
          <w:kern w:val="2"/>
          <w:lang w:val="en-CA" w:eastAsia="zh-CN"/>
        </w:rPr>
        <w:t>a</w:t>
      </w:r>
      <w:r w:rsidRPr="0017095C">
        <w:rPr>
          <w:iCs/>
          <w:kern w:val="2"/>
          <w:lang w:val="en-CA" w:eastAsia="zh-CN"/>
        </w:rPr>
        <w:t>greement of</w:t>
      </w:r>
      <w:r w:rsidR="000A32F0" w:rsidRPr="0017095C">
        <w:rPr>
          <w:iCs/>
          <w:kern w:val="2"/>
          <w:lang w:val="en-CA" w:eastAsia="zh-CN"/>
        </w:rPr>
        <w:t xml:space="preserve"> </w:t>
      </w:r>
      <w:r w:rsidR="009B7021" w:rsidRPr="0017095C">
        <w:rPr>
          <w:iCs/>
          <w:kern w:val="2"/>
          <w:lang w:val="en-CA" w:eastAsia="zh-CN"/>
        </w:rPr>
        <w:t>a</w:t>
      </w:r>
      <w:r w:rsidRPr="0017095C">
        <w:rPr>
          <w:iCs/>
          <w:kern w:val="2"/>
          <w:lang w:val="en-CA" w:eastAsia="zh-CN"/>
        </w:rPr>
        <w:t>rrangement</w:t>
      </w:r>
      <w:r w:rsidRPr="0017095C">
        <w:rPr>
          <w:kern w:val="2"/>
          <w:lang w:val="en-CA" w:eastAsia="zh-CN"/>
        </w:rPr>
        <w:t xml:space="preserve"> was signed, the funds were provided to </w:t>
      </w:r>
      <w:r w:rsidRPr="0017095C">
        <w:rPr>
          <w:lang w:val="en-CA"/>
        </w:rPr>
        <w:t xml:space="preserve">TMAC </w:t>
      </w:r>
      <w:r w:rsidRPr="0017095C">
        <w:rPr>
          <w:kern w:val="2"/>
          <w:lang w:val="en-CA" w:eastAsia="zh-CN"/>
        </w:rPr>
        <w:t xml:space="preserve">simultaneously by Shandong Gold. </w:t>
      </w:r>
      <w:r w:rsidR="009B7021" w:rsidRPr="0017095C">
        <w:rPr>
          <w:kern w:val="2"/>
          <w:lang w:val="en-CA" w:eastAsia="zh-CN"/>
        </w:rPr>
        <w:t>In the future, a</w:t>
      </w:r>
      <w:r w:rsidRPr="0017095C">
        <w:rPr>
          <w:kern w:val="2"/>
          <w:lang w:val="en-CA" w:eastAsia="zh-CN"/>
        </w:rPr>
        <w:t>fter collect</w:t>
      </w:r>
      <w:r w:rsidR="009B7021" w:rsidRPr="0017095C">
        <w:rPr>
          <w:kern w:val="2"/>
          <w:lang w:val="en-CA" w:eastAsia="zh-CN"/>
        </w:rPr>
        <w:t>ing</w:t>
      </w:r>
      <w:r w:rsidRPr="0017095C">
        <w:rPr>
          <w:kern w:val="2"/>
          <w:lang w:val="en-CA" w:eastAsia="zh-CN"/>
        </w:rPr>
        <w:t xml:space="preserve"> all other outstanding stock, </w:t>
      </w:r>
      <w:r w:rsidR="009B7021" w:rsidRPr="0017095C">
        <w:rPr>
          <w:kern w:val="2"/>
          <w:lang w:val="en-CA" w:eastAsia="zh-CN"/>
        </w:rPr>
        <w:t>Shandong Gold</w:t>
      </w:r>
      <w:r w:rsidRPr="0017095C">
        <w:rPr>
          <w:kern w:val="2"/>
          <w:lang w:val="en-CA" w:eastAsia="zh-CN"/>
        </w:rPr>
        <w:t xml:space="preserve"> would </w:t>
      </w:r>
      <w:r w:rsidR="009B7021" w:rsidRPr="0017095C">
        <w:rPr>
          <w:kern w:val="2"/>
          <w:lang w:val="en-CA" w:eastAsia="zh-CN"/>
        </w:rPr>
        <w:t>be able to use the new stock it purchased</w:t>
      </w:r>
      <w:r w:rsidRPr="0017095C">
        <w:rPr>
          <w:kern w:val="2"/>
          <w:lang w:val="en-CA" w:eastAsia="zh-CN"/>
        </w:rPr>
        <w:t xml:space="preserve"> to delist</w:t>
      </w:r>
      <w:r w:rsidR="009B7021" w:rsidRPr="0017095C">
        <w:rPr>
          <w:kern w:val="2"/>
          <w:lang w:val="en-CA" w:eastAsia="zh-CN"/>
        </w:rPr>
        <w:t xml:space="preserve"> TMAC</w:t>
      </w:r>
      <w:r w:rsidRPr="0017095C">
        <w:rPr>
          <w:kern w:val="2"/>
          <w:lang w:val="en-CA" w:eastAsia="zh-CN"/>
        </w:rPr>
        <w:t xml:space="preserve"> from the T</w:t>
      </w:r>
      <w:r w:rsidR="009B7021" w:rsidRPr="0017095C">
        <w:rPr>
          <w:kern w:val="2"/>
          <w:lang w:val="en-CA" w:eastAsia="zh-CN"/>
        </w:rPr>
        <w:t>SX</w:t>
      </w:r>
      <w:r w:rsidRPr="0017095C">
        <w:rPr>
          <w:kern w:val="2"/>
          <w:lang w:val="en-CA" w:eastAsia="zh-CN"/>
        </w:rPr>
        <w:t>.</w:t>
      </w:r>
    </w:p>
    <w:p w14:paraId="1A0A8579" w14:textId="77777777" w:rsidR="00C00AE7" w:rsidRPr="0017095C" w:rsidRDefault="00C00AE7" w:rsidP="00C00AE7">
      <w:pPr>
        <w:pStyle w:val="BodyTextMain"/>
        <w:rPr>
          <w:lang w:val="en-CA" w:eastAsia="zh-CN"/>
        </w:rPr>
      </w:pPr>
    </w:p>
    <w:p w14:paraId="20AF3858" w14:textId="77777777" w:rsidR="00C00AE7" w:rsidRPr="0017095C" w:rsidRDefault="00C00AE7" w:rsidP="00C00AE7">
      <w:pPr>
        <w:pStyle w:val="BodyTextMain"/>
        <w:rPr>
          <w:lang w:val="en-CA" w:eastAsia="zh-CN"/>
        </w:rPr>
      </w:pPr>
    </w:p>
    <w:p w14:paraId="7D114315" w14:textId="77777777" w:rsidR="00C00AE7" w:rsidRPr="0017095C" w:rsidRDefault="00C00AE7" w:rsidP="00C00AE7">
      <w:pPr>
        <w:pStyle w:val="Casehead2"/>
        <w:rPr>
          <w:rFonts w:eastAsia="Calibri"/>
          <w:lang w:val="en-CA"/>
        </w:rPr>
      </w:pPr>
      <w:r w:rsidRPr="0017095C">
        <w:rPr>
          <w:rFonts w:eastAsia="Calibri"/>
          <w:lang w:val="en-CA"/>
        </w:rPr>
        <w:t>Lock-in Agreement</w:t>
      </w:r>
    </w:p>
    <w:p w14:paraId="1A4788E6" w14:textId="77777777" w:rsidR="00C00AE7" w:rsidRPr="0017095C" w:rsidRDefault="00C00AE7" w:rsidP="00C00AE7">
      <w:pPr>
        <w:pStyle w:val="BodyTextMain"/>
        <w:rPr>
          <w:lang w:val="en-CA"/>
        </w:rPr>
      </w:pPr>
    </w:p>
    <w:p w14:paraId="455B943B" w14:textId="7DCA8171" w:rsidR="00C00AE7" w:rsidRPr="0017095C" w:rsidRDefault="00C00AE7" w:rsidP="00C00AE7">
      <w:pPr>
        <w:pStyle w:val="BodyTextMain"/>
        <w:rPr>
          <w:lang w:val="en-CA"/>
        </w:rPr>
      </w:pPr>
      <w:r w:rsidRPr="0017095C">
        <w:rPr>
          <w:lang w:val="en-CA"/>
        </w:rPr>
        <w:t xml:space="preserve">This project also </w:t>
      </w:r>
      <w:r w:rsidR="008504E6" w:rsidRPr="0017095C">
        <w:rPr>
          <w:lang w:val="en-CA"/>
        </w:rPr>
        <w:t>included</w:t>
      </w:r>
      <w:r w:rsidRPr="0017095C">
        <w:rPr>
          <w:lang w:val="en-CA"/>
        </w:rPr>
        <w:t xml:space="preserve"> bidders from countries</w:t>
      </w:r>
      <w:r w:rsidR="008504E6" w:rsidRPr="0017095C">
        <w:rPr>
          <w:lang w:val="en-CA"/>
        </w:rPr>
        <w:t xml:space="preserve"> other than China</w:t>
      </w:r>
      <w:r w:rsidRPr="0017095C">
        <w:rPr>
          <w:lang w:val="en-CA"/>
        </w:rPr>
        <w:t xml:space="preserve">. </w:t>
      </w:r>
      <w:r w:rsidR="008504E6" w:rsidRPr="0017095C">
        <w:rPr>
          <w:lang w:val="en-CA"/>
        </w:rPr>
        <w:t>The</w:t>
      </w:r>
      <w:r w:rsidRPr="0017095C">
        <w:rPr>
          <w:lang w:val="en-CA"/>
        </w:rPr>
        <w:t xml:space="preserve"> Chinese buyers were </w:t>
      </w:r>
      <w:r w:rsidRPr="0017095C">
        <w:rPr>
          <w:lang w:val="en-CA" w:eastAsia="zh-CN"/>
        </w:rPr>
        <w:t>proposing</w:t>
      </w:r>
      <w:r w:rsidRPr="0017095C">
        <w:rPr>
          <w:lang w:val="en-CA"/>
        </w:rPr>
        <w:t xml:space="preserve"> </w:t>
      </w:r>
      <w:r w:rsidR="008504E6" w:rsidRPr="0017095C">
        <w:rPr>
          <w:lang w:val="en-CA"/>
        </w:rPr>
        <w:t xml:space="preserve">an </w:t>
      </w:r>
      <w:r w:rsidRPr="0017095C">
        <w:rPr>
          <w:lang w:val="en-CA"/>
        </w:rPr>
        <w:t xml:space="preserve">all-cash acquisition, </w:t>
      </w:r>
      <w:r w:rsidR="008504E6" w:rsidRPr="0017095C">
        <w:rPr>
          <w:lang w:val="en-CA"/>
        </w:rPr>
        <w:t>but other</w:t>
      </w:r>
      <w:r w:rsidRPr="0017095C">
        <w:rPr>
          <w:lang w:val="en-CA"/>
        </w:rPr>
        <w:t xml:space="preserve"> buyers were more inclined to swap stock. </w:t>
      </w:r>
      <w:r w:rsidR="008504E6" w:rsidRPr="0017095C">
        <w:rPr>
          <w:lang w:val="en-CA"/>
        </w:rPr>
        <w:t xml:space="preserve">Although </w:t>
      </w:r>
      <w:r w:rsidRPr="0017095C">
        <w:rPr>
          <w:lang w:val="en-CA"/>
        </w:rPr>
        <w:t>TMAC</w:t>
      </w:r>
      <w:r w:rsidRPr="0017095C">
        <w:rPr>
          <w:lang w:val="en-CA" w:eastAsia="zh-CN"/>
        </w:rPr>
        <w:t>’</w:t>
      </w:r>
      <w:r w:rsidRPr="0017095C">
        <w:rPr>
          <w:lang w:val="en-CA"/>
        </w:rPr>
        <w:t>s major shareholders</w:t>
      </w:r>
      <w:r w:rsidR="008504E6" w:rsidRPr="0017095C">
        <w:rPr>
          <w:lang w:val="en-CA"/>
        </w:rPr>
        <w:t xml:space="preserve"> would likely agree to a</w:t>
      </w:r>
      <w:r w:rsidRPr="0017095C">
        <w:rPr>
          <w:lang w:val="en-CA"/>
        </w:rPr>
        <w:t xml:space="preserve"> share swap</w:t>
      </w:r>
      <w:r w:rsidR="008504E6" w:rsidRPr="0017095C">
        <w:rPr>
          <w:lang w:val="en-CA"/>
        </w:rPr>
        <w:t>,</w:t>
      </w:r>
      <w:r w:rsidRPr="0017095C">
        <w:rPr>
          <w:lang w:val="en-CA"/>
        </w:rPr>
        <w:t xml:space="preserve"> </w:t>
      </w:r>
      <w:r w:rsidR="008504E6" w:rsidRPr="0017095C">
        <w:rPr>
          <w:lang w:val="en-CA"/>
        </w:rPr>
        <w:t xml:space="preserve">the </w:t>
      </w:r>
      <w:r w:rsidRPr="0017095C">
        <w:rPr>
          <w:lang w:val="en-CA"/>
        </w:rPr>
        <w:t>TMAC compan</w:t>
      </w:r>
      <w:r w:rsidR="008504E6" w:rsidRPr="0017095C">
        <w:rPr>
          <w:lang w:val="en-CA"/>
        </w:rPr>
        <w:t>y itself prefer</w:t>
      </w:r>
      <w:r w:rsidR="00087A1E" w:rsidRPr="0017095C">
        <w:rPr>
          <w:lang w:val="en-CA"/>
        </w:rPr>
        <w:t>red</w:t>
      </w:r>
      <w:r w:rsidRPr="0017095C">
        <w:rPr>
          <w:lang w:val="en-CA"/>
        </w:rPr>
        <w:t xml:space="preserve"> cash</w:t>
      </w:r>
      <w:r w:rsidR="008504E6" w:rsidRPr="0017095C">
        <w:rPr>
          <w:lang w:val="en-CA"/>
        </w:rPr>
        <w:t>, which</w:t>
      </w:r>
      <w:r w:rsidRPr="0017095C">
        <w:rPr>
          <w:lang w:val="en-CA"/>
        </w:rPr>
        <w:t xml:space="preserve"> could </w:t>
      </w:r>
      <w:r w:rsidR="008504E6" w:rsidRPr="0017095C">
        <w:rPr>
          <w:lang w:val="en-CA"/>
        </w:rPr>
        <w:t xml:space="preserve">be </w:t>
      </w:r>
      <w:r w:rsidRPr="0017095C">
        <w:rPr>
          <w:lang w:val="en-CA"/>
        </w:rPr>
        <w:t xml:space="preserve">directly </w:t>
      </w:r>
      <w:r w:rsidR="008504E6" w:rsidRPr="0017095C">
        <w:rPr>
          <w:lang w:val="en-CA"/>
        </w:rPr>
        <w:t>applied to</w:t>
      </w:r>
      <w:r w:rsidRPr="0017095C">
        <w:rPr>
          <w:lang w:val="en-CA"/>
        </w:rPr>
        <w:t xml:space="preserve"> </w:t>
      </w:r>
      <w:r w:rsidR="008504E6" w:rsidRPr="0017095C">
        <w:rPr>
          <w:lang w:val="en-CA"/>
        </w:rPr>
        <w:t>re</w:t>
      </w:r>
      <w:r w:rsidRPr="0017095C">
        <w:rPr>
          <w:lang w:val="en-CA"/>
        </w:rPr>
        <w:t>solve the dilemma of capital shortages. In particular, this transaction w</w:t>
      </w:r>
      <w:r w:rsidR="008504E6" w:rsidRPr="0017095C">
        <w:rPr>
          <w:lang w:val="en-CA"/>
        </w:rPr>
        <w:t>ould take place</w:t>
      </w:r>
      <w:r w:rsidRPr="0017095C">
        <w:rPr>
          <w:lang w:val="en-CA"/>
        </w:rPr>
        <w:t xml:space="preserve"> during the COVID-19 pandemic, </w:t>
      </w:r>
      <w:r w:rsidR="008504E6" w:rsidRPr="0017095C">
        <w:rPr>
          <w:lang w:val="en-CA"/>
        </w:rPr>
        <w:t xml:space="preserve">when </w:t>
      </w:r>
      <w:r w:rsidRPr="0017095C">
        <w:rPr>
          <w:lang w:val="en-CA"/>
        </w:rPr>
        <w:t xml:space="preserve">mining stocks on the Toronto stock market were underperforming, </w:t>
      </w:r>
      <w:r w:rsidR="000A32F0" w:rsidRPr="0017095C">
        <w:rPr>
          <w:lang w:val="en-CA"/>
        </w:rPr>
        <w:t xml:space="preserve">which made </w:t>
      </w:r>
      <w:r w:rsidRPr="0017095C">
        <w:rPr>
          <w:lang w:val="en-CA"/>
        </w:rPr>
        <w:t xml:space="preserve">cash transactions </w:t>
      </w:r>
      <w:r w:rsidR="008504E6" w:rsidRPr="0017095C">
        <w:rPr>
          <w:lang w:val="en-CA"/>
        </w:rPr>
        <w:t>prefer</w:t>
      </w:r>
      <w:r w:rsidR="000A32F0" w:rsidRPr="0017095C">
        <w:rPr>
          <w:lang w:val="en-CA"/>
        </w:rPr>
        <w:t xml:space="preserve">able </w:t>
      </w:r>
      <w:r w:rsidR="002B4996" w:rsidRPr="0017095C">
        <w:rPr>
          <w:lang w:val="en-CA"/>
        </w:rPr>
        <w:t>for</w:t>
      </w:r>
      <w:r w:rsidRPr="0017095C">
        <w:rPr>
          <w:lang w:val="en-CA"/>
        </w:rPr>
        <w:t xml:space="preserve"> shareholders during the first quarter of 2020. </w:t>
      </w:r>
    </w:p>
    <w:p w14:paraId="65526982" w14:textId="77777777" w:rsidR="00C00AE7" w:rsidRPr="0017095C" w:rsidRDefault="00C00AE7" w:rsidP="00C00AE7">
      <w:pPr>
        <w:pStyle w:val="BodyTextMain"/>
        <w:rPr>
          <w:kern w:val="2"/>
          <w:lang w:val="en-CA" w:eastAsia="zh-CN"/>
        </w:rPr>
      </w:pPr>
    </w:p>
    <w:p w14:paraId="25A68468" w14:textId="695DCA76" w:rsidR="00C00AE7" w:rsidRPr="0017095C" w:rsidRDefault="008504E6" w:rsidP="00C00AE7">
      <w:pPr>
        <w:pStyle w:val="BodyTextMain"/>
        <w:rPr>
          <w:kern w:val="2"/>
          <w:lang w:val="en-CA" w:eastAsia="zh-CN"/>
        </w:rPr>
      </w:pPr>
      <w:r w:rsidRPr="0017095C">
        <w:rPr>
          <w:kern w:val="2"/>
          <w:lang w:val="en-CA" w:eastAsia="zh-CN"/>
        </w:rPr>
        <w:t>T</w:t>
      </w:r>
      <w:r w:rsidR="00C00AE7" w:rsidRPr="0017095C">
        <w:rPr>
          <w:kern w:val="2"/>
          <w:lang w:val="en-CA" w:eastAsia="zh-CN"/>
        </w:rPr>
        <w:t>o increase certainty of the transaction, Shandong Gold</w:t>
      </w:r>
      <w:r w:rsidRPr="0017095C">
        <w:rPr>
          <w:kern w:val="2"/>
          <w:lang w:val="en-CA" w:eastAsia="zh-CN"/>
        </w:rPr>
        <w:t>’s subsidiary in</w:t>
      </w:r>
      <w:r w:rsidR="00C00AE7" w:rsidRPr="0017095C">
        <w:rPr>
          <w:kern w:val="2"/>
          <w:lang w:val="en-CA" w:eastAsia="zh-CN"/>
        </w:rPr>
        <w:t xml:space="preserve"> Hong Kong also signed </w:t>
      </w:r>
      <w:r w:rsidR="00C00AE7" w:rsidRPr="0017095C">
        <w:rPr>
          <w:iCs/>
          <w:kern w:val="2"/>
          <w:lang w:val="en-CA" w:eastAsia="zh-CN"/>
        </w:rPr>
        <w:t xml:space="preserve">a lock-in agreement </w:t>
      </w:r>
      <w:r w:rsidR="00C00AE7" w:rsidRPr="0017095C">
        <w:rPr>
          <w:kern w:val="2"/>
          <w:lang w:val="en-CA" w:eastAsia="zh-CN"/>
        </w:rPr>
        <w:t>with TMAC’s largest shareholder</w:t>
      </w:r>
      <w:r w:rsidR="000345E1" w:rsidRPr="0017095C">
        <w:rPr>
          <w:kern w:val="2"/>
          <w:lang w:val="en-CA" w:eastAsia="zh-CN"/>
        </w:rPr>
        <w:t>,</w:t>
      </w:r>
      <w:r w:rsidR="00C00AE7" w:rsidRPr="0017095C">
        <w:rPr>
          <w:kern w:val="2"/>
          <w:lang w:val="en-CA" w:eastAsia="zh-CN"/>
        </w:rPr>
        <w:t xml:space="preserve"> Resource Capital</w:t>
      </w:r>
      <w:r w:rsidR="00087A1E" w:rsidRPr="0017095C">
        <w:rPr>
          <w:kern w:val="2"/>
          <w:lang w:val="en-CA" w:eastAsia="zh-CN"/>
        </w:rPr>
        <w:t>;</w:t>
      </w:r>
      <w:r w:rsidR="00C00AE7" w:rsidRPr="0017095C">
        <w:rPr>
          <w:kern w:val="2"/>
          <w:lang w:val="en-CA" w:eastAsia="zh-CN"/>
        </w:rPr>
        <w:t xml:space="preserve"> </w:t>
      </w:r>
      <w:r w:rsidR="00BF5172" w:rsidRPr="0017095C">
        <w:rPr>
          <w:kern w:val="2"/>
          <w:lang w:val="en-CA" w:eastAsia="zh-CN"/>
        </w:rPr>
        <w:t>i</w:t>
      </w:r>
      <w:r w:rsidR="00C00AE7" w:rsidRPr="0017095C">
        <w:rPr>
          <w:kern w:val="2"/>
          <w:lang w:val="en-CA" w:eastAsia="zh-CN"/>
        </w:rPr>
        <w:t>t</w:t>
      </w:r>
      <w:r w:rsidR="00BF5172" w:rsidRPr="0017095C">
        <w:rPr>
          <w:kern w:val="2"/>
          <w:lang w:val="en-CA" w:eastAsia="zh-CN"/>
        </w:rPr>
        <w:t>s</w:t>
      </w:r>
      <w:r w:rsidR="00C00AE7" w:rsidRPr="0017095C">
        <w:rPr>
          <w:kern w:val="2"/>
          <w:lang w:val="en-CA" w:eastAsia="zh-CN"/>
        </w:rPr>
        <w:t xml:space="preserve"> second-largest shareholder</w:t>
      </w:r>
      <w:r w:rsidR="000345E1" w:rsidRPr="0017095C">
        <w:rPr>
          <w:kern w:val="2"/>
          <w:lang w:val="en-CA" w:eastAsia="zh-CN"/>
        </w:rPr>
        <w:t>,</w:t>
      </w:r>
      <w:r w:rsidR="00C00AE7" w:rsidRPr="0017095C">
        <w:rPr>
          <w:kern w:val="2"/>
          <w:lang w:val="en-CA" w:eastAsia="zh-CN"/>
        </w:rPr>
        <w:t xml:space="preserve"> Newmont</w:t>
      </w:r>
      <w:r w:rsidR="00BF5172" w:rsidRPr="0017095C">
        <w:rPr>
          <w:kern w:val="2"/>
          <w:lang w:val="en-CA" w:eastAsia="zh-CN"/>
        </w:rPr>
        <w:t xml:space="preserve"> Corporation</w:t>
      </w:r>
      <w:r w:rsidR="00087A1E" w:rsidRPr="0017095C">
        <w:rPr>
          <w:kern w:val="2"/>
          <w:lang w:val="en-CA" w:eastAsia="zh-CN"/>
        </w:rPr>
        <w:t>;</w:t>
      </w:r>
      <w:r w:rsidR="00C00AE7" w:rsidRPr="0017095C">
        <w:rPr>
          <w:kern w:val="2"/>
          <w:lang w:val="en-CA" w:eastAsia="zh-CN"/>
        </w:rPr>
        <w:t xml:space="preserve"> and TMAC’s directors and executives. The agreement stipulated that before the voting and termination of the agreement, the major shareholders and executives irrevocably promised to vote for the transaction and vote against other acquisition proposals</w:t>
      </w:r>
      <w:r w:rsidR="00BF5172" w:rsidRPr="0017095C">
        <w:rPr>
          <w:kern w:val="2"/>
          <w:lang w:val="en-CA" w:eastAsia="zh-CN"/>
        </w:rPr>
        <w:t>. They agreed</w:t>
      </w:r>
      <w:r w:rsidR="00C00AE7" w:rsidRPr="0017095C">
        <w:rPr>
          <w:kern w:val="2"/>
          <w:lang w:val="en-CA" w:eastAsia="zh-CN"/>
        </w:rPr>
        <w:t xml:space="preserve"> not</w:t>
      </w:r>
      <w:r w:rsidR="00BF5172" w:rsidRPr="0017095C">
        <w:rPr>
          <w:kern w:val="2"/>
          <w:lang w:val="en-CA" w:eastAsia="zh-CN"/>
        </w:rPr>
        <w:t xml:space="preserve"> to</w:t>
      </w:r>
      <w:r w:rsidR="00C00AE7" w:rsidRPr="0017095C">
        <w:rPr>
          <w:kern w:val="2"/>
          <w:lang w:val="en-CA" w:eastAsia="zh-CN"/>
        </w:rPr>
        <w:t xml:space="preserve"> exercise any right to object to the transaction. The transaction had been unanimously approved by TMAC’s board of directors.</w:t>
      </w:r>
      <w:r w:rsidR="000A32F0" w:rsidRPr="0017095C">
        <w:rPr>
          <w:rStyle w:val="EndnoteReference"/>
          <w:lang w:val="en-CA"/>
        </w:rPr>
        <w:endnoteReference w:id="24"/>
      </w:r>
    </w:p>
    <w:p w14:paraId="00325E01" w14:textId="77777777" w:rsidR="00C00AE7" w:rsidRPr="0017095C" w:rsidRDefault="00C00AE7" w:rsidP="00C00AE7">
      <w:pPr>
        <w:pStyle w:val="BodyTextMain"/>
        <w:rPr>
          <w:lang w:val="en-CA"/>
        </w:rPr>
      </w:pPr>
    </w:p>
    <w:p w14:paraId="274D0623" w14:textId="77777777" w:rsidR="00C00AE7" w:rsidRPr="0017095C" w:rsidRDefault="00C00AE7" w:rsidP="00C00AE7">
      <w:pPr>
        <w:pStyle w:val="BodyTextMain"/>
        <w:rPr>
          <w:lang w:val="en-CA"/>
        </w:rPr>
      </w:pPr>
    </w:p>
    <w:p w14:paraId="50F121EA" w14:textId="6F0EDA14" w:rsidR="00C00AE7" w:rsidRPr="0017095C" w:rsidRDefault="00C00AE7" w:rsidP="00C00AE7">
      <w:pPr>
        <w:pStyle w:val="Casehead1"/>
        <w:rPr>
          <w:lang w:val="en-CA" w:eastAsia="zh-CN"/>
        </w:rPr>
      </w:pPr>
      <w:r w:rsidRPr="0017095C">
        <w:rPr>
          <w:rFonts w:eastAsia="Calibri"/>
          <w:lang w:val="en-CA"/>
        </w:rPr>
        <w:t xml:space="preserve">THE </w:t>
      </w:r>
      <w:r w:rsidR="005F14C5" w:rsidRPr="0017095C">
        <w:rPr>
          <w:rFonts w:eastAsia="Calibri"/>
          <w:lang w:val="en-CA"/>
        </w:rPr>
        <w:t>Inuit People of Hope Bay</w:t>
      </w:r>
    </w:p>
    <w:p w14:paraId="4DAEF4E2" w14:textId="77777777" w:rsidR="00C00AE7" w:rsidRPr="0017095C" w:rsidRDefault="00C00AE7" w:rsidP="00C00AE7">
      <w:pPr>
        <w:pStyle w:val="BodyTextMain"/>
        <w:rPr>
          <w:lang w:val="en-CA"/>
        </w:rPr>
      </w:pPr>
    </w:p>
    <w:p w14:paraId="4BF56B00" w14:textId="6ADB8BE5" w:rsidR="00C00AE7" w:rsidRPr="0017095C" w:rsidRDefault="005F14C5" w:rsidP="00C00AE7">
      <w:pPr>
        <w:pStyle w:val="BodyTextMain"/>
        <w:rPr>
          <w:lang w:val="en-CA" w:eastAsia="zh-CN"/>
        </w:rPr>
      </w:pPr>
      <w:r w:rsidRPr="0017095C">
        <w:rPr>
          <w:lang w:val="en-CA"/>
        </w:rPr>
        <w:t>The Inuit people of Hope Bay were an</w:t>
      </w:r>
      <w:r w:rsidR="00C00AE7" w:rsidRPr="0017095C">
        <w:rPr>
          <w:lang w:val="en-CA"/>
        </w:rPr>
        <w:t xml:space="preserve"> important stakeholder in this transaction</w:t>
      </w:r>
      <w:r w:rsidRPr="0017095C">
        <w:rPr>
          <w:lang w:val="en-CA" w:eastAsia="zh-CN"/>
        </w:rPr>
        <w:t>. They</w:t>
      </w:r>
      <w:r w:rsidR="00C00AE7" w:rsidRPr="0017095C">
        <w:rPr>
          <w:lang w:val="en-CA"/>
        </w:rPr>
        <w:t xml:space="preserve"> owned the land and mineral rights of the mining area. According to Canadian law, the development of resources located within the scope of </w:t>
      </w:r>
      <w:r w:rsidR="00816BFC">
        <w:rPr>
          <w:lang w:val="en-CA"/>
        </w:rPr>
        <w:t>Indigenous</w:t>
      </w:r>
      <w:r w:rsidR="00C00AE7" w:rsidRPr="0017095C">
        <w:rPr>
          <w:lang w:val="en-CA"/>
        </w:rPr>
        <w:t xml:space="preserve"> residences </w:t>
      </w:r>
      <w:r w:rsidR="00F532F1" w:rsidRPr="0017095C">
        <w:rPr>
          <w:lang w:val="en-CA"/>
        </w:rPr>
        <w:t>required</w:t>
      </w:r>
      <w:r w:rsidR="00087A1E" w:rsidRPr="0017095C">
        <w:rPr>
          <w:lang w:val="en-CA"/>
        </w:rPr>
        <w:t xml:space="preserve"> </w:t>
      </w:r>
      <w:r w:rsidR="00C00AE7" w:rsidRPr="0017095C">
        <w:rPr>
          <w:lang w:val="en-CA"/>
        </w:rPr>
        <w:t xml:space="preserve">the permission of the </w:t>
      </w:r>
      <w:r w:rsidR="008D4B50" w:rsidRPr="0017095C">
        <w:rPr>
          <w:lang w:val="en-CA"/>
        </w:rPr>
        <w:t>Inuit</w:t>
      </w:r>
      <w:r w:rsidR="00C00AE7" w:rsidRPr="0017095C">
        <w:rPr>
          <w:lang w:val="en-CA"/>
        </w:rPr>
        <w:t xml:space="preserve"> people</w:t>
      </w:r>
      <w:r w:rsidR="00087A1E" w:rsidRPr="0017095C">
        <w:rPr>
          <w:lang w:val="en-CA"/>
        </w:rPr>
        <w:t>,</w:t>
      </w:r>
      <w:r w:rsidR="00C00AE7" w:rsidRPr="0017095C">
        <w:rPr>
          <w:lang w:val="en-CA"/>
        </w:rPr>
        <w:t xml:space="preserve"> and a consensus with them</w:t>
      </w:r>
      <w:r w:rsidR="00087A1E" w:rsidRPr="0017095C">
        <w:rPr>
          <w:lang w:val="en-CA"/>
        </w:rPr>
        <w:t xml:space="preserve"> had to be reached</w:t>
      </w:r>
      <w:r w:rsidR="00C00AE7" w:rsidRPr="0017095C">
        <w:rPr>
          <w:lang w:val="en-CA"/>
        </w:rPr>
        <w:t>. Previously, TMAC had signed a land and mineral exploration agreement with Inuit land and mineral rights holders</w:t>
      </w:r>
      <w:r w:rsidR="00BF5172" w:rsidRPr="0017095C">
        <w:rPr>
          <w:lang w:val="en-CA"/>
        </w:rPr>
        <w:t>. That</w:t>
      </w:r>
      <w:r w:rsidR="00C00AE7" w:rsidRPr="0017095C">
        <w:rPr>
          <w:lang w:val="en-CA"/>
        </w:rPr>
        <w:t xml:space="preserve"> agreement </w:t>
      </w:r>
      <w:r w:rsidR="00BF5172" w:rsidRPr="0017095C">
        <w:rPr>
          <w:lang w:val="en-CA"/>
        </w:rPr>
        <w:t xml:space="preserve">was </w:t>
      </w:r>
      <w:r w:rsidR="00C00AE7" w:rsidRPr="0017095C">
        <w:rPr>
          <w:lang w:val="en-CA"/>
        </w:rPr>
        <w:t>set to expire on December 31, 2035.</w:t>
      </w:r>
      <w:r w:rsidR="008D4B50" w:rsidRPr="0017095C">
        <w:rPr>
          <w:rStyle w:val="EndnoteReference"/>
          <w:lang w:val="en-CA"/>
        </w:rPr>
        <w:endnoteReference w:id="25"/>
      </w:r>
    </w:p>
    <w:p w14:paraId="2116C43B" w14:textId="77777777" w:rsidR="00C00AE7" w:rsidRPr="0017095C" w:rsidRDefault="00C00AE7" w:rsidP="00C00AE7">
      <w:pPr>
        <w:pStyle w:val="BodyTextMain"/>
        <w:rPr>
          <w:lang w:val="en-CA" w:eastAsia="zh-CN"/>
        </w:rPr>
      </w:pPr>
    </w:p>
    <w:p w14:paraId="0172CE20" w14:textId="0F679503" w:rsidR="00C00AE7" w:rsidRDefault="00C00AE7" w:rsidP="00C00AE7">
      <w:pPr>
        <w:pStyle w:val="BodyTextMain"/>
        <w:rPr>
          <w:lang w:val="en-CA"/>
        </w:rPr>
      </w:pPr>
      <w:r w:rsidRPr="0017095C">
        <w:rPr>
          <w:rFonts w:eastAsia="SimSun"/>
          <w:lang w:val="en-CA"/>
        </w:rPr>
        <w:t xml:space="preserve">The Canadian government would also first seek the opinions of the </w:t>
      </w:r>
      <w:r w:rsidR="008D4B50" w:rsidRPr="0017095C">
        <w:rPr>
          <w:rFonts w:eastAsia="SimSun"/>
          <w:lang w:val="en-CA"/>
        </w:rPr>
        <w:t>Inuit</w:t>
      </w:r>
      <w:r w:rsidRPr="0017095C">
        <w:rPr>
          <w:rFonts w:eastAsia="SimSun"/>
          <w:lang w:val="en-CA"/>
        </w:rPr>
        <w:t xml:space="preserve"> people </w:t>
      </w:r>
      <w:r w:rsidR="00BF5172" w:rsidRPr="0017095C">
        <w:rPr>
          <w:rFonts w:eastAsia="SimSun"/>
          <w:lang w:val="en-CA"/>
        </w:rPr>
        <w:t>before</w:t>
      </w:r>
      <w:r w:rsidRPr="0017095C">
        <w:rPr>
          <w:rFonts w:eastAsia="SimSun"/>
          <w:lang w:val="en-CA"/>
        </w:rPr>
        <w:t xml:space="preserve"> approving </w:t>
      </w:r>
      <w:r w:rsidR="00BF5172" w:rsidRPr="0017095C">
        <w:rPr>
          <w:rFonts w:eastAsia="SimSun"/>
          <w:lang w:val="en-CA"/>
        </w:rPr>
        <w:t>the agreement</w:t>
      </w:r>
      <w:r w:rsidR="0017095C" w:rsidRPr="0017095C">
        <w:rPr>
          <w:rFonts w:eastAsia="SimSun"/>
          <w:lang w:val="en-CA"/>
        </w:rPr>
        <w:t>;</w:t>
      </w:r>
      <w:r w:rsidRPr="0017095C">
        <w:rPr>
          <w:rFonts w:eastAsia="SimSun"/>
          <w:lang w:val="en-CA"/>
        </w:rPr>
        <w:t xml:space="preserve"> so</w:t>
      </w:r>
      <w:r w:rsidR="0017095C" w:rsidRPr="0017095C">
        <w:rPr>
          <w:rFonts w:eastAsia="SimSun"/>
          <w:lang w:val="en-CA"/>
        </w:rPr>
        <w:t>,</w:t>
      </w:r>
      <w:r w:rsidRPr="0017095C">
        <w:rPr>
          <w:rFonts w:eastAsia="SimSun"/>
          <w:lang w:val="en-CA"/>
        </w:rPr>
        <w:t xml:space="preserve"> it was very important for the operation of the mine to properly handle the relationship with the</w:t>
      </w:r>
      <w:r w:rsidR="008D4B50" w:rsidRPr="0017095C">
        <w:rPr>
          <w:rFonts w:eastAsia="SimSun"/>
          <w:lang w:val="en-CA"/>
        </w:rPr>
        <w:t>m</w:t>
      </w:r>
      <w:r w:rsidRPr="0017095C">
        <w:rPr>
          <w:rFonts w:eastAsia="SimSun"/>
          <w:lang w:val="en-CA"/>
        </w:rPr>
        <w:t>.</w:t>
      </w:r>
      <w:r w:rsidRPr="0017095C">
        <w:rPr>
          <w:lang w:val="en-CA"/>
        </w:rPr>
        <w:t xml:space="preserve"> Conducting exploration and mining in </w:t>
      </w:r>
      <w:r w:rsidR="00816BFC">
        <w:rPr>
          <w:lang w:val="en-CA"/>
        </w:rPr>
        <w:t>Indigenous</w:t>
      </w:r>
      <w:r w:rsidRPr="0017095C">
        <w:rPr>
          <w:lang w:val="en-CA"/>
        </w:rPr>
        <w:t xml:space="preserve"> settlements required considerable cost and energy to communicate with the </w:t>
      </w:r>
      <w:r w:rsidR="00CE5EEF" w:rsidRPr="0017095C">
        <w:rPr>
          <w:lang w:val="en-CA"/>
        </w:rPr>
        <w:t>local</w:t>
      </w:r>
      <w:r w:rsidRPr="0017095C">
        <w:rPr>
          <w:lang w:val="en-CA"/>
        </w:rPr>
        <w:t xml:space="preserve"> communities.</w:t>
      </w:r>
    </w:p>
    <w:p w14:paraId="13CC5774" w14:textId="77777777" w:rsidR="00BC353D" w:rsidRPr="0017095C" w:rsidRDefault="00BC353D" w:rsidP="00C00AE7">
      <w:pPr>
        <w:pStyle w:val="BodyTextMain"/>
        <w:rPr>
          <w:lang w:val="en-CA"/>
        </w:rPr>
      </w:pPr>
    </w:p>
    <w:p w14:paraId="1E8B6EA0" w14:textId="10949EE7" w:rsidR="00C00AE7" w:rsidRPr="0017095C" w:rsidRDefault="00C00AE7" w:rsidP="00C00AE7">
      <w:pPr>
        <w:pStyle w:val="BodyTextMain"/>
        <w:rPr>
          <w:lang w:val="en-CA" w:eastAsia="zh-CN"/>
        </w:rPr>
      </w:pPr>
      <w:r w:rsidRPr="0017095C">
        <w:rPr>
          <w:lang w:val="en-CA"/>
        </w:rPr>
        <w:t xml:space="preserve">The </w:t>
      </w:r>
      <w:r w:rsidR="00CE5EEF" w:rsidRPr="0017095C">
        <w:rPr>
          <w:lang w:val="en-CA"/>
        </w:rPr>
        <w:t>Inuit</w:t>
      </w:r>
      <w:r w:rsidRPr="0017095C">
        <w:rPr>
          <w:lang w:val="en-CA"/>
        </w:rPr>
        <w:t xml:space="preserve"> people called th</w:t>
      </w:r>
      <w:r w:rsidR="00F532F1" w:rsidRPr="0017095C">
        <w:rPr>
          <w:lang w:val="en-CA"/>
        </w:rPr>
        <w:t>e</w:t>
      </w:r>
      <w:r w:rsidRPr="0017095C">
        <w:rPr>
          <w:lang w:val="en-CA"/>
        </w:rPr>
        <w:t xml:space="preserve"> area Hope Bay because they were very optimistic about i</w:t>
      </w:r>
      <w:r w:rsidRPr="0017095C">
        <w:rPr>
          <w:lang w:val="en-CA" w:eastAsia="zh-CN"/>
        </w:rPr>
        <w:t xml:space="preserve">ts future. </w:t>
      </w:r>
      <w:r w:rsidR="00BC353D">
        <w:rPr>
          <w:lang w:val="en-CA" w:eastAsia="zh-CN"/>
        </w:rPr>
        <w:t>It was also known</w:t>
      </w:r>
      <w:r w:rsidRPr="0017095C">
        <w:rPr>
          <w:lang w:val="en-CA"/>
        </w:rPr>
        <w:t xml:space="preserve"> that an investor with technical and financial strength was needed to </w:t>
      </w:r>
      <w:r w:rsidRPr="0017095C">
        <w:rPr>
          <w:lang w:val="en-CA" w:eastAsia="zh-CN"/>
        </w:rPr>
        <w:t>extract</w:t>
      </w:r>
      <w:r w:rsidRPr="0017095C">
        <w:rPr>
          <w:lang w:val="en-CA"/>
        </w:rPr>
        <w:t xml:space="preserve"> the mining resources </w:t>
      </w:r>
      <w:r w:rsidRPr="0017095C">
        <w:rPr>
          <w:lang w:val="en-CA" w:eastAsia="zh-CN"/>
        </w:rPr>
        <w:lastRenderedPageBreak/>
        <w:t>t</w:t>
      </w:r>
      <w:r w:rsidRPr="0017095C">
        <w:rPr>
          <w:lang w:val="en-CA"/>
        </w:rPr>
        <w:t xml:space="preserve">here. TMAC </w:t>
      </w:r>
      <w:r w:rsidR="00BF5172" w:rsidRPr="0017095C">
        <w:rPr>
          <w:lang w:val="en-CA"/>
        </w:rPr>
        <w:t xml:space="preserve">had </w:t>
      </w:r>
      <w:r w:rsidRPr="0017095C">
        <w:rPr>
          <w:lang w:val="en-CA"/>
        </w:rPr>
        <w:t xml:space="preserve">started production in 2017, </w:t>
      </w:r>
      <w:r w:rsidR="00BF5172" w:rsidRPr="0017095C">
        <w:rPr>
          <w:lang w:val="en-CA"/>
        </w:rPr>
        <w:t xml:space="preserve">but after over two years of operation, </w:t>
      </w:r>
      <w:r w:rsidRPr="0017095C">
        <w:rPr>
          <w:lang w:val="en-CA"/>
        </w:rPr>
        <w:t xml:space="preserve">the annual output had not reached the expected value. </w:t>
      </w:r>
      <w:r w:rsidR="00782A64" w:rsidRPr="0017095C">
        <w:rPr>
          <w:lang w:val="en-CA"/>
        </w:rPr>
        <w:t xml:space="preserve">As Neal said, “We have been making operational performance improvements since construction was completed, although we have not reached our targets.” </w:t>
      </w:r>
      <w:r w:rsidRPr="0017095C">
        <w:rPr>
          <w:lang w:val="en-CA"/>
        </w:rPr>
        <w:t>Now that TMAC had difficulty with financing,</w:t>
      </w:r>
      <w:r w:rsidR="002952BE" w:rsidRPr="0017095C">
        <w:rPr>
          <w:rStyle w:val="EndnoteReference"/>
          <w:lang w:val="en-CA"/>
        </w:rPr>
        <w:endnoteReference w:id="26"/>
      </w:r>
      <w:r w:rsidRPr="0017095C">
        <w:rPr>
          <w:lang w:val="en-CA"/>
        </w:rPr>
        <w:t xml:space="preserve"> it was</w:t>
      </w:r>
      <w:r w:rsidRPr="0017095C">
        <w:rPr>
          <w:lang w:val="en-CA" w:eastAsia="zh-CN"/>
        </w:rPr>
        <w:t xml:space="preserve"> not </w:t>
      </w:r>
      <w:r w:rsidRPr="0017095C">
        <w:rPr>
          <w:lang w:val="en-CA"/>
        </w:rPr>
        <w:t xml:space="preserve">possible to develop this area, nor to fulfill the hopes and requirements of the </w:t>
      </w:r>
      <w:r w:rsidR="00816BFC">
        <w:rPr>
          <w:lang w:val="en-CA"/>
        </w:rPr>
        <w:t>Indigenous</w:t>
      </w:r>
      <w:r w:rsidRPr="0017095C">
        <w:rPr>
          <w:lang w:val="en-CA"/>
        </w:rPr>
        <w:t xml:space="preserve"> people.</w:t>
      </w:r>
    </w:p>
    <w:p w14:paraId="661FA2D0" w14:textId="77777777" w:rsidR="00C00AE7" w:rsidRPr="0017095C" w:rsidRDefault="00C00AE7" w:rsidP="00C00AE7">
      <w:pPr>
        <w:pStyle w:val="BodyTextMain"/>
        <w:rPr>
          <w:lang w:val="en-CA"/>
        </w:rPr>
      </w:pPr>
    </w:p>
    <w:p w14:paraId="66B5EDF9" w14:textId="69DB1DA8" w:rsidR="00C00AE7" w:rsidRPr="0017095C" w:rsidRDefault="00C00AE7" w:rsidP="00C00AE7">
      <w:pPr>
        <w:pStyle w:val="BodyTextMain"/>
        <w:rPr>
          <w:lang w:val="en-CA"/>
        </w:rPr>
      </w:pPr>
      <w:r w:rsidRPr="0017095C">
        <w:rPr>
          <w:lang w:val="en-CA"/>
        </w:rPr>
        <w:t xml:space="preserve">Shandong Gold also signed a commitment agreement with the local </w:t>
      </w:r>
      <w:r w:rsidR="00816BFC">
        <w:rPr>
          <w:lang w:val="en-CA"/>
        </w:rPr>
        <w:t>Indigenous</w:t>
      </w:r>
      <w:r w:rsidRPr="0017095C">
        <w:rPr>
          <w:lang w:val="en-CA"/>
        </w:rPr>
        <w:t xml:space="preserve"> people before entering</w:t>
      </w:r>
      <w:r w:rsidR="00BF5172" w:rsidRPr="0017095C">
        <w:rPr>
          <w:lang w:val="en-CA"/>
        </w:rPr>
        <w:t xml:space="preserve"> into th</w:t>
      </w:r>
      <w:r w:rsidR="00F532F1" w:rsidRPr="0017095C">
        <w:rPr>
          <w:lang w:val="en-CA"/>
        </w:rPr>
        <w:t>e</w:t>
      </w:r>
      <w:r w:rsidR="00BF5172" w:rsidRPr="0017095C">
        <w:rPr>
          <w:lang w:val="en-CA"/>
        </w:rPr>
        <w:t xml:space="preserve"> agreement</w:t>
      </w:r>
      <w:r w:rsidRPr="0017095C">
        <w:rPr>
          <w:lang w:val="en-CA"/>
        </w:rPr>
        <w:t>. Th</w:t>
      </w:r>
      <w:r w:rsidR="00BF5172" w:rsidRPr="0017095C">
        <w:rPr>
          <w:lang w:val="en-CA"/>
        </w:rPr>
        <w:t>e</w:t>
      </w:r>
      <w:r w:rsidRPr="0017095C">
        <w:rPr>
          <w:lang w:val="en-CA"/>
        </w:rPr>
        <w:t xml:space="preserve"> mining and sales of mines</w:t>
      </w:r>
      <w:r w:rsidR="00BF5172" w:rsidRPr="0017095C">
        <w:rPr>
          <w:lang w:val="en-CA"/>
        </w:rPr>
        <w:t xml:space="preserve"> involved in this project would provide</w:t>
      </w:r>
      <w:r w:rsidRPr="0017095C">
        <w:rPr>
          <w:lang w:val="en-CA"/>
        </w:rPr>
        <w:t xml:space="preserve"> the </w:t>
      </w:r>
      <w:r w:rsidR="00816BFC">
        <w:rPr>
          <w:lang w:val="en-CA"/>
        </w:rPr>
        <w:t>Indigenous</w:t>
      </w:r>
      <w:r w:rsidRPr="0017095C">
        <w:rPr>
          <w:lang w:val="en-CA"/>
        </w:rPr>
        <w:t xml:space="preserve"> people </w:t>
      </w:r>
      <w:r w:rsidR="00BF5172" w:rsidRPr="0017095C">
        <w:rPr>
          <w:lang w:val="en-CA"/>
        </w:rPr>
        <w:t>with</w:t>
      </w:r>
      <w:r w:rsidRPr="0017095C">
        <w:rPr>
          <w:lang w:val="en-CA"/>
        </w:rPr>
        <w:t xml:space="preserve"> a net benefit</w:t>
      </w:r>
      <w:r w:rsidR="00BF5172" w:rsidRPr="0017095C">
        <w:rPr>
          <w:lang w:val="en-CA"/>
        </w:rPr>
        <w:t>.</w:t>
      </w:r>
      <w:r w:rsidRPr="0017095C">
        <w:rPr>
          <w:lang w:val="en-CA"/>
        </w:rPr>
        <w:t xml:space="preserve"> TMAC </w:t>
      </w:r>
      <w:r w:rsidR="00BF5172" w:rsidRPr="0017095C">
        <w:rPr>
          <w:lang w:val="en-CA"/>
        </w:rPr>
        <w:t>would also provide</w:t>
      </w:r>
      <w:r w:rsidRPr="0017095C">
        <w:rPr>
          <w:lang w:val="en-CA"/>
        </w:rPr>
        <w:t xml:space="preserve"> a certain percentage of the profits to the </w:t>
      </w:r>
      <w:r w:rsidR="00816BFC">
        <w:rPr>
          <w:lang w:val="en-CA"/>
        </w:rPr>
        <w:t>Indigenous</w:t>
      </w:r>
      <w:r w:rsidRPr="0017095C">
        <w:rPr>
          <w:lang w:val="en-CA"/>
        </w:rPr>
        <w:t xml:space="preserve"> people in the form of an equity fund directly linked to the future income of TMAC in this project. The more minerals </w:t>
      </w:r>
      <w:r w:rsidR="00BF5172" w:rsidRPr="0017095C">
        <w:rPr>
          <w:lang w:val="en-CA"/>
        </w:rPr>
        <w:t xml:space="preserve">that were </w:t>
      </w:r>
      <w:r w:rsidRPr="0017095C">
        <w:rPr>
          <w:lang w:val="en-CA"/>
        </w:rPr>
        <w:t xml:space="preserve">excavated and sold, the more </w:t>
      </w:r>
      <w:r w:rsidR="00BF5172" w:rsidRPr="0017095C">
        <w:rPr>
          <w:lang w:val="en-CA"/>
        </w:rPr>
        <w:t xml:space="preserve">compensation that </w:t>
      </w:r>
      <w:r w:rsidRPr="0017095C">
        <w:rPr>
          <w:lang w:val="en-CA"/>
        </w:rPr>
        <w:t xml:space="preserve">local </w:t>
      </w:r>
      <w:r w:rsidR="00816BFC">
        <w:rPr>
          <w:lang w:val="en-CA"/>
        </w:rPr>
        <w:t>Indigenous</w:t>
      </w:r>
      <w:r w:rsidRPr="0017095C">
        <w:rPr>
          <w:lang w:val="en-CA"/>
        </w:rPr>
        <w:t xml:space="preserve"> people would receive</w:t>
      </w:r>
      <w:r w:rsidR="00BF5172" w:rsidRPr="0017095C">
        <w:rPr>
          <w:lang w:val="en-CA"/>
        </w:rPr>
        <w:t>,</w:t>
      </w:r>
      <w:r w:rsidRPr="0017095C">
        <w:rPr>
          <w:lang w:val="en-CA"/>
        </w:rPr>
        <w:t xml:space="preserve"> a</w:t>
      </w:r>
      <w:r w:rsidRPr="0017095C">
        <w:rPr>
          <w:lang w:val="en-CA" w:eastAsia="zh-CN"/>
        </w:rPr>
        <w:t>s a</w:t>
      </w:r>
      <w:r w:rsidRPr="0017095C">
        <w:rPr>
          <w:lang w:val="en-CA"/>
        </w:rPr>
        <w:t xml:space="preserve"> certain percentage.</w:t>
      </w:r>
    </w:p>
    <w:p w14:paraId="6C775AE5" w14:textId="77777777" w:rsidR="00C00AE7" w:rsidRPr="0017095C" w:rsidRDefault="00C00AE7" w:rsidP="00C00AE7">
      <w:pPr>
        <w:pStyle w:val="BodyTextMain"/>
        <w:rPr>
          <w:lang w:val="en-CA"/>
        </w:rPr>
      </w:pPr>
    </w:p>
    <w:p w14:paraId="39E7038B" w14:textId="6454E2B2" w:rsidR="00C00AE7" w:rsidRPr="0017095C" w:rsidRDefault="00BC353D" w:rsidP="00C00AE7">
      <w:pPr>
        <w:pStyle w:val="BodyTextMain"/>
        <w:rPr>
          <w:lang w:val="en-CA"/>
        </w:rPr>
      </w:pPr>
      <w:r w:rsidRPr="00C86F54">
        <w:t xml:space="preserve">TMAC also promised to help </w:t>
      </w:r>
      <w:r>
        <w:t>improve</w:t>
      </w:r>
      <w:r w:rsidRPr="00C86F54">
        <w:t xml:space="preserve"> employment </w:t>
      </w:r>
      <w:r>
        <w:t>availability</w:t>
      </w:r>
      <w:r w:rsidRPr="00C86F54">
        <w:t xml:space="preserve"> for the local Inuit people, who still lacked economic opportunity. Shandong Gold </w:t>
      </w:r>
      <w:r>
        <w:t xml:space="preserve">offered workplace training </w:t>
      </w:r>
      <w:r w:rsidRPr="00C86F54">
        <w:t>and</w:t>
      </w:r>
      <w:r>
        <w:t xml:space="preserve"> would</w:t>
      </w:r>
      <w:r w:rsidRPr="00C86F54">
        <w:t xml:space="preserve"> help them build their communities</w:t>
      </w:r>
      <w:r>
        <w:t>, and invest in</w:t>
      </w:r>
      <w:r w:rsidRPr="00C86F54">
        <w:t xml:space="preserve"> their education </w:t>
      </w:r>
      <w:r>
        <w:t>systems</w:t>
      </w:r>
      <w:r w:rsidRPr="00C86F54">
        <w:t xml:space="preserve">. </w:t>
      </w:r>
      <w:r>
        <w:t>However,</w:t>
      </w:r>
      <w:r w:rsidRPr="00C86F54">
        <w:t xml:space="preserve"> this would only be possible after TMAC had the necessary funds</w:t>
      </w:r>
      <w:r w:rsidR="00C00AE7" w:rsidRPr="0017095C">
        <w:rPr>
          <w:lang w:val="en-CA"/>
        </w:rPr>
        <w:t>.</w:t>
      </w:r>
    </w:p>
    <w:p w14:paraId="6E7FCB2D" w14:textId="77777777" w:rsidR="00C00AE7" w:rsidRPr="0017095C" w:rsidRDefault="00C00AE7" w:rsidP="00C00AE7">
      <w:pPr>
        <w:pStyle w:val="BodyTextMain"/>
        <w:rPr>
          <w:lang w:val="en-CA"/>
        </w:rPr>
      </w:pPr>
    </w:p>
    <w:p w14:paraId="37A27BD4" w14:textId="6A71D57F" w:rsidR="00C00AE7" w:rsidRPr="0017095C" w:rsidRDefault="00C00AE7" w:rsidP="00C00AE7">
      <w:pPr>
        <w:pStyle w:val="BodyTextMain"/>
        <w:rPr>
          <w:lang w:val="en-CA" w:eastAsia="zh-CN"/>
        </w:rPr>
      </w:pPr>
      <w:r w:rsidRPr="005249EB">
        <w:rPr>
          <w:lang w:val="en-CA"/>
        </w:rPr>
        <w:t xml:space="preserve">After negotiating with the Inuit people, </w:t>
      </w:r>
      <w:r w:rsidR="00327780" w:rsidRPr="005249EB">
        <w:rPr>
          <w:lang w:val="en-CA"/>
        </w:rPr>
        <w:t xml:space="preserve">Hujie Duan, </w:t>
      </w:r>
      <w:r w:rsidRPr="005249EB">
        <w:rPr>
          <w:lang w:val="en-CA"/>
        </w:rPr>
        <w:t>Shandong Gold</w:t>
      </w:r>
      <w:r w:rsidR="00FB45F4" w:rsidRPr="005249EB">
        <w:rPr>
          <w:lang w:val="en-CA"/>
        </w:rPr>
        <w:t>’s</w:t>
      </w:r>
      <w:r w:rsidRPr="005249EB">
        <w:rPr>
          <w:lang w:val="en-CA"/>
        </w:rPr>
        <w:t xml:space="preserve"> acquisition project leader</w:t>
      </w:r>
      <w:r w:rsidR="00FB45F4" w:rsidRPr="005249EB">
        <w:rPr>
          <w:lang w:val="en-CA"/>
        </w:rPr>
        <w:t>,</w:t>
      </w:r>
      <w:r w:rsidRPr="005249EB">
        <w:rPr>
          <w:lang w:val="en-CA"/>
        </w:rPr>
        <w:t xml:space="preserve"> felt th</w:t>
      </w:r>
      <w:r w:rsidR="00FB45F4" w:rsidRPr="005249EB">
        <w:rPr>
          <w:lang w:val="en-CA"/>
        </w:rPr>
        <w:t>at</w:t>
      </w:r>
      <w:r w:rsidRPr="005249EB">
        <w:rPr>
          <w:lang w:val="en-CA"/>
        </w:rPr>
        <w:t xml:space="preserve"> </w:t>
      </w:r>
      <w:r w:rsidR="005249EB" w:rsidRPr="005249EB">
        <w:rPr>
          <w:lang w:val="en-CA"/>
        </w:rPr>
        <w:t>Shandong Gold</w:t>
      </w:r>
      <w:r w:rsidR="005249EB">
        <w:rPr>
          <w:lang w:val="en-CA"/>
        </w:rPr>
        <w:t xml:space="preserve"> may be</w:t>
      </w:r>
      <w:r w:rsidR="00FB45F4" w:rsidRPr="005249EB">
        <w:rPr>
          <w:lang w:val="en-CA"/>
        </w:rPr>
        <w:t xml:space="preserve"> welcome </w:t>
      </w:r>
      <w:r w:rsidRPr="005249EB">
        <w:rPr>
          <w:lang w:val="en-CA"/>
        </w:rPr>
        <w:t>to invest there. Shandong Gold had strong financial resources</w:t>
      </w:r>
      <w:r w:rsidR="00FB45F4" w:rsidRPr="005249EB">
        <w:rPr>
          <w:lang w:val="en-CA"/>
        </w:rPr>
        <w:t>. It</w:t>
      </w:r>
      <w:r w:rsidRPr="005249EB">
        <w:rPr>
          <w:lang w:val="en-CA"/>
        </w:rPr>
        <w:t xml:space="preserve"> was also a global leader in the technology of underground mine development. </w:t>
      </w:r>
      <w:r w:rsidR="00327780" w:rsidRPr="005249EB">
        <w:rPr>
          <w:lang w:val="en-CA"/>
        </w:rPr>
        <w:t>S</w:t>
      </w:r>
      <w:r w:rsidRPr="005249EB">
        <w:rPr>
          <w:lang w:val="en-CA"/>
        </w:rPr>
        <w:t>ome ports around Hope Bay had been built by Chinese companies.</w:t>
      </w:r>
      <w:r w:rsidRPr="0017095C">
        <w:rPr>
          <w:lang w:val="en-CA"/>
        </w:rPr>
        <w:t xml:space="preserve"> </w:t>
      </w:r>
      <w:r w:rsidR="00BC353D">
        <w:t xml:space="preserve">Shandong Gold saw the opportunity to develop and increase good relations with the locals. Some people had communicated to </w:t>
      </w:r>
      <w:proofErr w:type="spellStart"/>
      <w:r w:rsidR="00BC353D">
        <w:t>Hujie</w:t>
      </w:r>
      <w:proofErr w:type="spellEnd"/>
      <w:r w:rsidR="00BC353D">
        <w:t xml:space="preserve"> </w:t>
      </w:r>
      <w:proofErr w:type="spellStart"/>
      <w:r w:rsidR="00BC353D">
        <w:t>Duan</w:t>
      </w:r>
      <w:proofErr w:type="spellEnd"/>
      <w:r w:rsidR="00BC353D">
        <w:t xml:space="preserve"> that they hoped that powerful companies could invest in the construction of the Hope Bay area as soon as possible.</w:t>
      </w:r>
    </w:p>
    <w:p w14:paraId="6F753EDE" w14:textId="77777777" w:rsidR="00C00AE7" w:rsidRPr="0017095C" w:rsidRDefault="00C00AE7" w:rsidP="00C00AE7">
      <w:pPr>
        <w:pStyle w:val="BodyTextMain"/>
        <w:rPr>
          <w:lang w:val="en-CA" w:eastAsia="zh-CN"/>
        </w:rPr>
      </w:pPr>
    </w:p>
    <w:p w14:paraId="7FF9B618" w14:textId="77777777" w:rsidR="00C00AE7" w:rsidRPr="0017095C" w:rsidRDefault="00C00AE7" w:rsidP="00C00AE7">
      <w:pPr>
        <w:pStyle w:val="BodyTextMain"/>
        <w:rPr>
          <w:lang w:val="en-CA" w:eastAsia="zh-CN"/>
        </w:rPr>
      </w:pPr>
    </w:p>
    <w:p w14:paraId="29CBA2D8" w14:textId="77777777" w:rsidR="00C00AE7" w:rsidRPr="0017095C" w:rsidRDefault="00C00AE7" w:rsidP="00C00AE7">
      <w:pPr>
        <w:pStyle w:val="Casehead1"/>
        <w:rPr>
          <w:rFonts w:eastAsia="Calibri"/>
          <w:lang w:val="en-CA"/>
        </w:rPr>
      </w:pPr>
      <w:r w:rsidRPr="0017095C">
        <w:rPr>
          <w:rFonts w:eastAsia="Calibri"/>
          <w:lang w:val="en-CA"/>
        </w:rPr>
        <w:t>INVESTMENT RISKS</w:t>
      </w:r>
    </w:p>
    <w:p w14:paraId="0432F025" w14:textId="77777777" w:rsidR="00C00AE7" w:rsidRPr="0017095C" w:rsidRDefault="00C00AE7" w:rsidP="00C00AE7">
      <w:pPr>
        <w:pStyle w:val="BodyTextMain"/>
        <w:rPr>
          <w:b/>
          <w:lang w:val="en-CA" w:eastAsia="zh-CN"/>
        </w:rPr>
      </w:pPr>
    </w:p>
    <w:p w14:paraId="31336D58" w14:textId="77777777" w:rsidR="00C00AE7" w:rsidRPr="0017095C" w:rsidRDefault="00C00AE7" w:rsidP="00C00AE7">
      <w:pPr>
        <w:pStyle w:val="Casehead2"/>
        <w:rPr>
          <w:lang w:val="en-CA" w:eastAsia="zh-CN"/>
        </w:rPr>
      </w:pPr>
      <w:r w:rsidRPr="0017095C">
        <w:rPr>
          <w:rFonts w:eastAsia="Calibri"/>
          <w:lang w:val="en-CA"/>
        </w:rPr>
        <w:t xml:space="preserve">Uncertainty Approval Risk </w:t>
      </w:r>
    </w:p>
    <w:p w14:paraId="1CF6A1C3" w14:textId="77777777" w:rsidR="00C00AE7" w:rsidRPr="0017095C" w:rsidRDefault="00C00AE7" w:rsidP="00C00AE7">
      <w:pPr>
        <w:pStyle w:val="BodyTextMain"/>
        <w:rPr>
          <w:rFonts w:ascii="Arial" w:hAnsi="Arial" w:cs="Arial"/>
          <w:b/>
          <w:bCs/>
          <w:lang w:val="en-CA" w:eastAsia="zh-CN"/>
        </w:rPr>
      </w:pPr>
    </w:p>
    <w:p w14:paraId="3CA872AF" w14:textId="690AA055" w:rsidR="00C00AE7" w:rsidRPr="0017095C" w:rsidRDefault="00C00AE7" w:rsidP="00C00AE7">
      <w:pPr>
        <w:pStyle w:val="BodyTextMain"/>
        <w:rPr>
          <w:lang w:val="en-CA"/>
        </w:rPr>
      </w:pPr>
      <w:r w:rsidRPr="0017095C">
        <w:rPr>
          <w:lang w:val="en-CA"/>
        </w:rPr>
        <w:t>Th</w:t>
      </w:r>
      <w:r w:rsidR="00C60B4E" w:rsidRPr="0017095C">
        <w:rPr>
          <w:lang w:val="en-CA"/>
        </w:rPr>
        <w:t>e</w:t>
      </w:r>
      <w:r w:rsidRPr="0017095C">
        <w:rPr>
          <w:lang w:val="en-CA"/>
        </w:rPr>
        <w:t xml:space="preserve"> acquisition </w:t>
      </w:r>
      <w:r w:rsidR="00C60B4E" w:rsidRPr="0017095C">
        <w:rPr>
          <w:lang w:val="en-CA"/>
        </w:rPr>
        <w:t>of TMAC</w:t>
      </w:r>
      <w:r w:rsidRPr="0017095C">
        <w:rPr>
          <w:lang w:val="en-CA"/>
        </w:rPr>
        <w:t xml:space="preserve"> </w:t>
      </w:r>
      <w:r w:rsidR="00C60B4E" w:rsidRPr="0017095C">
        <w:rPr>
          <w:lang w:val="en-CA"/>
        </w:rPr>
        <w:t xml:space="preserve">would </w:t>
      </w:r>
      <w:r w:rsidRPr="0017095C">
        <w:rPr>
          <w:lang w:val="en-CA"/>
        </w:rPr>
        <w:t>need approv</w:t>
      </w:r>
      <w:r w:rsidR="00C60B4E" w:rsidRPr="0017095C">
        <w:rPr>
          <w:lang w:val="en-CA"/>
        </w:rPr>
        <w:t>al from</w:t>
      </w:r>
      <w:r w:rsidRPr="0017095C">
        <w:rPr>
          <w:lang w:val="en-CA"/>
        </w:rPr>
        <w:t xml:space="preserve"> relevant departments of </w:t>
      </w:r>
      <w:r w:rsidR="00C60B4E" w:rsidRPr="0017095C">
        <w:rPr>
          <w:lang w:val="en-CA"/>
        </w:rPr>
        <w:t>both</w:t>
      </w:r>
      <w:r w:rsidRPr="0017095C">
        <w:rPr>
          <w:lang w:val="en-CA"/>
        </w:rPr>
        <w:t xml:space="preserve"> Chinese and Canadian governments. China’s resource-based state-owned enterprises had increased the intensity and scale of overseas investment, which had aroused widespread criticism in international public opinion. </w:t>
      </w:r>
      <w:r w:rsidR="00C60B4E" w:rsidRPr="0017095C">
        <w:rPr>
          <w:lang w:val="en-CA"/>
        </w:rPr>
        <w:t>Many f</w:t>
      </w:r>
      <w:r w:rsidRPr="0017095C">
        <w:rPr>
          <w:lang w:val="en-CA"/>
        </w:rPr>
        <w:t>oreign governments</w:t>
      </w:r>
      <w:r w:rsidR="00D34708" w:rsidRPr="0017095C">
        <w:rPr>
          <w:lang w:val="en-CA"/>
        </w:rPr>
        <w:t xml:space="preserve"> expressed</w:t>
      </w:r>
      <w:r w:rsidRPr="0017095C">
        <w:rPr>
          <w:lang w:val="en-CA"/>
        </w:rPr>
        <w:t xml:space="preserve"> concerns about the </w:t>
      </w:r>
      <w:r w:rsidR="00C60B4E" w:rsidRPr="0017095C">
        <w:rPr>
          <w:lang w:val="en-CA"/>
        </w:rPr>
        <w:t>true intentions</w:t>
      </w:r>
      <w:r w:rsidRPr="0017095C">
        <w:rPr>
          <w:lang w:val="en-CA"/>
        </w:rPr>
        <w:t xml:space="preserve"> of </w:t>
      </w:r>
      <w:r w:rsidR="003744BB" w:rsidRPr="0017095C">
        <w:rPr>
          <w:lang w:val="en-CA"/>
        </w:rPr>
        <w:t xml:space="preserve">the </w:t>
      </w:r>
      <w:r w:rsidRPr="0017095C">
        <w:rPr>
          <w:lang w:val="en-CA"/>
        </w:rPr>
        <w:t xml:space="preserve">Chinese state-owned enterprises </w:t>
      </w:r>
      <w:r w:rsidR="00C60B4E" w:rsidRPr="0017095C">
        <w:rPr>
          <w:lang w:val="en-CA"/>
        </w:rPr>
        <w:t>that were seeking</w:t>
      </w:r>
      <w:r w:rsidRPr="0017095C">
        <w:rPr>
          <w:lang w:val="en-CA"/>
        </w:rPr>
        <w:t xml:space="preserve"> overseas investments</w:t>
      </w:r>
      <w:r w:rsidR="00C60B4E" w:rsidRPr="0017095C">
        <w:rPr>
          <w:lang w:val="en-CA"/>
        </w:rPr>
        <w:t xml:space="preserve"> and often</w:t>
      </w:r>
      <w:r w:rsidR="00D34708" w:rsidRPr="0017095C">
        <w:rPr>
          <w:lang w:val="en-CA"/>
        </w:rPr>
        <w:t xml:space="preserve"> identif</w:t>
      </w:r>
      <w:r w:rsidR="00C60B4E" w:rsidRPr="0017095C">
        <w:rPr>
          <w:lang w:val="en-CA"/>
        </w:rPr>
        <w:t>ied</w:t>
      </w:r>
      <w:r w:rsidRPr="0017095C">
        <w:rPr>
          <w:lang w:val="en-CA"/>
        </w:rPr>
        <w:t xml:space="preserve"> the purchaser </w:t>
      </w:r>
      <w:r w:rsidR="00D34708" w:rsidRPr="0017095C">
        <w:rPr>
          <w:lang w:val="en-CA"/>
        </w:rPr>
        <w:t>simply</w:t>
      </w:r>
      <w:r w:rsidRPr="0017095C">
        <w:rPr>
          <w:lang w:val="en-CA"/>
        </w:rPr>
        <w:t xml:space="preserve"> as the Chinese government. </w:t>
      </w:r>
    </w:p>
    <w:p w14:paraId="254469EF" w14:textId="77777777" w:rsidR="00C00AE7" w:rsidRPr="0017095C" w:rsidRDefault="00C00AE7" w:rsidP="00C00AE7">
      <w:pPr>
        <w:pStyle w:val="BodyTextMain"/>
        <w:rPr>
          <w:lang w:val="en-CA"/>
        </w:rPr>
      </w:pPr>
    </w:p>
    <w:p w14:paraId="4CA0BECE" w14:textId="6FB1499A" w:rsidR="00C00AE7" w:rsidRPr="0017095C" w:rsidRDefault="00C00AE7" w:rsidP="00C00AE7">
      <w:pPr>
        <w:pStyle w:val="BodyTextMain"/>
        <w:rPr>
          <w:lang w:val="en-CA"/>
        </w:rPr>
      </w:pPr>
      <w:r w:rsidRPr="0017095C">
        <w:rPr>
          <w:lang w:val="en-CA"/>
        </w:rPr>
        <w:t xml:space="preserve">Equating the investment of Chinese state-owned enterprises with </w:t>
      </w:r>
      <w:r w:rsidR="00D34708" w:rsidRPr="0017095C">
        <w:rPr>
          <w:lang w:val="en-CA"/>
        </w:rPr>
        <w:t>an</w:t>
      </w:r>
      <w:r w:rsidRPr="0017095C">
        <w:rPr>
          <w:lang w:val="en-CA"/>
        </w:rPr>
        <w:t xml:space="preserve"> investment </w:t>
      </w:r>
      <w:r w:rsidR="00D34708" w:rsidRPr="0017095C">
        <w:rPr>
          <w:lang w:val="en-CA"/>
        </w:rPr>
        <w:t>by</w:t>
      </w:r>
      <w:r w:rsidRPr="0017095C">
        <w:rPr>
          <w:lang w:val="en-CA"/>
        </w:rPr>
        <w:t xml:space="preserve"> the Chinese government </w:t>
      </w:r>
      <w:r w:rsidR="00D34708" w:rsidRPr="0017095C">
        <w:rPr>
          <w:lang w:val="en-CA"/>
        </w:rPr>
        <w:t>tended to</w:t>
      </w:r>
      <w:r w:rsidRPr="0017095C">
        <w:rPr>
          <w:lang w:val="en-CA"/>
        </w:rPr>
        <w:t xml:space="preserve"> increase risk and difficulty of investing in overseas non-ferrous metal projects. Shandong Gold’s acquisition of TMAC came at a time when the Canadian government was stepping up its review of foreign government-invested companies taking over Canadian companies, which </w:t>
      </w:r>
      <w:r w:rsidR="00A921E7" w:rsidRPr="0017095C">
        <w:rPr>
          <w:lang w:val="en-CA"/>
        </w:rPr>
        <w:t>could also</w:t>
      </w:r>
      <w:r w:rsidRPr="0017095C">
        <w:rPr>
          <w:lang w:val="en-CA"/>
        </w:rPr>
        <w:t xml:space="preserve"> increase</w:t>
      </w:r>
      <w:r w:rsidR="00816BFC">
        <w:rPr>
          <w:lang w:val="en-CA"/>
        </w:rPr>
        <w:t xml:space="preserve"> the</w:t>
      </w:r>
      <w:r w:rsidRPr="0017095C">
        <w:rPr>
          <w:lang w:val="en-CA"/>
        </w:rPr>
        <w:t xml:space="preserve"> uncertainty of approval</w:t>
      </w:r>
      <w:r w:rsidR="00A921E7" w:rsidRPr="0017095C">
        <w:rPr>
          <w:lang w:val="en-CA"/>
        </w:rPr>
        <w:t xml:space="preserve"> for the transaction</w:t>
      </w:r>
      <w:r w:rsidRPr="0017095C">
        <w:rPr>
          <w:lang w:val="en-CA"/>
        </w:rPr>
        <w:t>.</w:t>
      </w:r>
      <w:r w:rsidRPr="0017095C">
        <w:rPr>
          <w:rStyle w:val="EndnoteReference"/>
          <w:color w:val="000000" w:themeColor="text1"/>
          <w:lang w:val="en-CA"/>
        </w:rPr>
        <w:endnoteReference w:id="27"/>
      </w:r>
    </w:p>
    <w:p w14:paraId="4DC4BB87" w14:textId="77777777" w:rsidR="00C00AE7" w:rsidRPr="0017095C" w:rsidRDefault="00C00AE7" w:rsidP="00C00AE7">
      <w:pPr>
        <w:pStyle w:val="BodyTextMain"/>
        <w:rPr>
          <w:rFonts w:eastAsia="SimSun"/>
          <w:lang w:val="en-CA" w:eastAsia="zh-CN"/>
        </w:rPr>
      </w:pPr>
    </w:p>
    <w:p w14:paraId="0F5B09F4" w14:textId="717778F0" w:rsidR="00C00AE7" w:rsidRPr="0017095C" w:rsidRDefault="00C00AE7" w:rsidP="00C00AE7">
      <w:pPr>
        <w:pStyle w:val="BodyTextMain"/>
        <w:rPr>
          <w:rFonts w:eastAsia="SimSun"/>
          <w:szCs w:val="24"/>
          <w:lang w:val="en-CA" w:eastAsia="zh-CN"/>
        </w:rPr>
      </w:pPr>
      <w:r w:rsidRPr="0017095C">
        <w:rPr>
          <w:rFonts w:eastAsia="SimSun"/>
          <w:lang w:val="en-CA" w:eastAsia="zh-CN"/>
        </w:rPr>
        <w:t>Shandong Gold was optimistic that the project would meet the requirements of Canadian investment l</w:t>
      </w:r>
      <w:r w:rsidRPr="0017095C">
        <w:rPr>
          <w:rFonts w:eastAsia="SimSun"/>
          <w:szCs w:val="24"/>
          <w:lang w:val="en-CA" w:eastAsia="zh-CN"/>
        </w:rPr>
        <w:t>aw. The investment environment of Canadian mining was relatively transparent and stable</w:t>
      </w:r>
      <w:r w:rsidR="00BC353D">
        <w:rPr>
          <w:rFonts w:eastAsia="SimSun"/>
          <w:szCs w:val="24"/>
          <w:lang w:val="en-CA" w:eastAsia="zh-CN"/>
        </w:rPr>
        <w:t xml:space="preserve"> when compared to some other global mining environments</w:t>
      </w:r>
      <w:r w:rsidRPr="0017095C">
        <w:rPr>
          <w:rFonts w:eastAsia="SimSun"/>
          <w:szCs w:val="24"/>
          <w:lang w:val="en-CA" w:eastAsia="zh-CN"/>
        </w:rPr>
        <w:t>.</w:t>
      </w:r>
      <w:r w:rsidRPr="0017095C">
        <w:rPr>
          <w:rFonts w:eastAsia="SimSun"/>
          <w:sz w:val="24"/>
          <w:szCs w:val="24"/>
          <w:lang w:val="en-CA" w:eastAsia="zh-CN"/>
        </w:rPr>
        <w:t xml:space="preserve"> </w:t>
      </w:r>
      <w:r w:rsidRPr="0017095C">
        <w:rPr>
          <w:rFonts w:eastAsia="SimSun"/>
          <w:szCs w:val="24"/>
          <w:lang w:val="en-CA" w:eastAsia="zh-CN"/>
        </w:rPr>
        <w:t xml:space="preserve">The governments of China and Canada had signed </w:t>
      </w:r>
      <w:r w:rsidR="00A921E7" w:rsidRPr="0017095C">
        <w:rPr>
          <w:rFonts w:eastAsia="SimSun"/>
          <w:szCs w:val="24"/>
          <w:lang w:val="en-CA" w:eastAsia="zh-CN"/>
        </w:rPr>
        <w:t>f</w:t>
      </w:r>
      <w:r w:rsidRPr="0017095C">
        <w:rPr>
          <w:rFonts w:eastAsia="SimSun"/>
          <w:szCs w:val="24"/>
          <w:lang w:val="en-CA" w:eastAsia="zh-CN"/>
        </w:rPr>
        <w:t xml:space="preserve">oreign </w:t>
      </w:r>
      <w:r w:rsidR="00A921E7" w:rsidRPr="0017095C">
        <w:rPr>
          <w:rFonts w:eastAsia="SimSun"/>
          <w:szCs w:val="24"/>
          <w:lang w:val="en-CA" w:eastAsia="zh-CN"/>
        </w:rPr>
        <w:t>i</w:t>
      </w:r>
      <w:r w:rsidRPr="0017095C">
        <w:rPr>
          <w:rFonts w:eastAsia="SimSun"/>
          <w:szCs w:val="24"/>
          <w:lang w:val="en-CA" w:eastAsia="zh-CN"/>
        </w:rPr>
        <w:t xml:space="preserve">nvestment </w:t>
      </w:r>
      <w:r w:rsidR="00A921E7" w:rsidRPr="0017095C">
        <w:rPr>
          <w:rFonts w:eastAsia="SimSun"/>
          <w:szCs w:val="24"/>
          <w:lang w:val="en-CA" w:eastAsia="zh-CN"/>
        </w:rPr>
        <w:t>p</w:t>
      </w:r>
      <w:r w:rsidRPr="0017095C">
        <w:rPr>
          <w:rFonts w:eastAsia="SimSun"/>
          <w:szCs w:val="24"/>
          <w:lang w:val="en-CA" w:eastAsia="zh-CN"/>
        </w:rPr>
        <w:t xml:space="preserve">romotion and </w:t>
      </w:r>
      <w:r w:rsidR="00A921E7" w:rsidRPr="0017095C">
        <w:rPr>
          <w:rFonts w:eastAsia="SimSun"/>
          <w:szCs w:val="24"/>
          <w:lang w:val="en-CA" w:eastAsia="zh-CN"/>
        </w:rPr>
        <w:t>p</w:t>
      </w:r>
      <w:r w:rsidRPr="0017095C">
        <w:rPr>
          <w:rFonts w:eastAsia="SimSun"/>
          <w:szCs w:val="24"/>
          <w:lang w:val="en-CA" w:eastAsia="zh-CN"/>
        </w:rPr>
        <w:t xml:space="preserve">rotection </w:t>
      </w:r>
      <w:r w:rsidR="00A921E7" w:rsidRPr="0017095C">
        <w:rPr>
          <w:rFonts w:eastAsia="SimSun"/>
          <w:szCs w:val="24"/>
          <w:lang w:val="en-CA" w:eastAsia="zh-CN"/>
        </w:rPr>
        <w:t>a</w:t>
      </w:r>
      <w:r w:rsidRPr="0017095C">
        <w:rPr>
          <w:rFonts w:eastAsia="SimSun"/>
          <w:szCs w:val="24"/>
          <w:lang w:val="en-CA" w:eastAsia="zh-CN"/>
        </w:rPr>
        <w:t>greements (FIPA</w:t>
      </w:r>
      <w:r w:rsidR="00F532F1" w:rsidRPr="0017095C">
        <w:rPr>
          <w:rFonts w:eastAsia="SimSun"/>
          <w:szCs w:val="24"/>
          <w:lang w:val="en-CA" w:eastAsia="zh-CN"/>
        </w:rPr>
        <w:t>s</w:t>
      </w:r>
      <w:r w:rsidRPr="0017095C">
        <w:rPr>
          <w:rFonts w:eastAsia="SimSun"/>
          <w:szCs w:val="24"/>
          <w:lang w:val="en-CA" w:eastAsia="zh-CN"/>
        </w:rPr>
        <w:t>), which were designed to encourage mutual investment between the two countries.</w:t>
      </w:r>
      <w:r w:rsidRPr="0017095C">
        <w:rPr>
          <w:rFonts w:eastAsia="SimSun"/>
          <w:sz w:val="24"/>
          <w:szCs w:val="24"/>
          <w:lang w:val="en-CA" w:eastAsia="zh-CN"/>
        </w:rPr>
        <w:t xml:space="preserve"> </w:t>
      </w:r>
      <w:r w:rsidRPr="0017095C">
        <w:rPr>
          <w:rFonts w:eastAsia="SimSun"/>
          <w:szCs w:val="24"/>
          <w:lang w:val="en-CA" w:eastAsia="zh-CN"/>
        </w:rPr>
        <w:t>In the China</w:t>
      </w:r>
      <w:r w:rsidR="00A921E7" w:rsidRPr="0017095C">
        <w:rPr>
          <w:rFonts w:eastAsia="SimSun"/>
          <w:szCs w:val="24"/>
          <w:lang w:val="en-CA" w:eastAsia="zh-CN"/>
        </w:rPr>
        <w:t>–</w:t>
      </w:r>
      <w:r w:rsidRPr="0017095C">
        <w:rPr>
          <w:rFonts w:eastAsia="SimSun"/>
          <w:szCs w:val="24"/>
          <w:lang w:val="en-CA" w:eastAsia="zh-CN"/>
        </w:rPr>
        <w:t>Canada FIPA, both countries promised each other most-favoured-nation treatment, which could ensure that investors from both countries would not be discriminated</w:t>
      </w:r>
      <w:r w:rsidR="00A921E7" w:rsidRPr="0017095C">
        <w:rPr>
          <w:rFonts w:eastAsia="SimSun"/>
          <w:szCs w:val="24"/>
          <w:lang w:val="en-CA" w:eastAsia="zh-CN"/>
        </w:rPr>
        <w:t>, in comparison to</w:t>
      </w:r>
      <w:r w:rsidRPr="0017095C">
        <w:rPr>
          <w:rFonts w:eastAsia="SimSun"/>
          <w:szCs w:val="24"/>
          <w:lang w:val="en-CA" w:eastAsia="zh-CN"/>
        </w:rPr>
        <w:t xml:space="preserve"> other countries. </w:t>
      </w:r>
    </w:p>
    <w:p w14:paraId="32999C4D" w14:textId="77777777" w:rsidR="00C00AE7" w:rsidRPr="0017095C" w:rsidRDefault="00C00AE7" w:rsidP="00C00AE7">
      <w:pPr>
        <w:pStyle w:val="BodyTextMain"/>
        <w:rPr>
          <w:rFonts w:eastAsia="SimSun"/>
          <w:szCs w:val="24"/>
          <w:lang w:val="en-CA" w:eastAsia="zh-CN"/>
        </w:rPr>
      </w:pPr>
    </w:p>
    <w:p w14:paraId="4A0DF476" w14:textId="187E6EB8" w:rsidR="00C00AE7" w:rsidRPr="0017095C" w:rsidRDefault="00C00AE7" w:rsidP="00C00AE7">
      <w:pPr>
        <w:pStyle w:val="BodyTextMain"/>
        <w:rPr>
          <w:rFonts w:eastAsia="SimSun"/>
          <w:szCs w:val="24"/>
          <w:lang w:val="en-CA" w:eastAsia="zh-CN"/>
        </w:rPr>
      </w:pPr>
      <w:r w:rsidRPr="0017095C">
        <w:rPr>
          <w:rFonts w:eastAsia="SimSun"/>
          <w:szCs w:val="24"/>
          <w:lang w:val="en-CA" w:eastAsia="zh-CN"/>
        </w:rPr>
        <w:lastRenderedPageBreak/>
        <w:t>In the future, Shandong Gold planned to make a substantial additional investment in Canada to help its Canada-based mine. This would create employment opportunities and stimulate local economic development. However, the FIPA did not affect the Canadian government’s power to evaluate or reject Chinese investment</w:t>
      </w:r>
      <w:r w:rsidR="00A921E7" w:rsidRPr="0017095C">
        <w:rPr>
          <w:rFonts w:eastAsia="SimSun"/>
          <w:szCs w:val="24"/>
          <w:lang w:val="en-CA" w:eastAsia="zh-CN"/>
        </w:rPr>
        <w:t>,</w:t>
      </w:r>
      <w:r w:rsidRPr="0017095C">
        <w:rPr>
          <w:rFonts w:eastAsia="SimSun"/>
          <w:szCs w:val="24"/>
          <w:lang w:val="en-CA" w:eastAsia="zh-CN"/>
        </w:rPr>
        <w:t xml:space="preserve"> from the perspective of national interests.</w:t>
      </w:r>
      <w:r w:rsidRPr="0017095C">
        <w:rPr>
          <w:rFonts w:eastAsia="SimSun"/>
          <w:szCs w:val="24"/>
          <w:vertAlign w:val="superscript"/>
          <w:lang w:val="en-CA" w:eastAsia="zh-CN"/>
        </w:rPr>
        <w:endnoteReference w:id="28"/>
      </w:r>
    </w:p>
    <w:p w14:paraId="14683F71" w14:textId="77777777" w:rsidR="00C00AE7" w:rsidRPr="0017095C" w:rsidRDefault="00C00AE7" w:rsidP="00C00AE7">
      <w:pPr>
        <w:pStyle w:val="BodyTextMain"/>
        <w:rPr>
          <w:rFonts w:ascii="Arial" w:hAnsi="Arial" w:cs="Arial"/>
          <w:b/>
          <w:bCs/>
          <w:lang w:val="en-CA" w:eastAsia="zh-CN"/>
        </w:rPr>
      </w:pPr>
    </w:p>
    <w:p w14:paraId="7E568D17" w14:textId="77777777" w:rsidR="00C00AE7" w:rsidRPr="0017095C" w:rsidRDefault="00C00AE7" w:rsidP="00C00AE7">
      <w:pPr>
        <w:pStyle w:val="BodyTextMain"/>
        <w:rPr>
          <w:rFonts w:ascii="Arial" w:hAnsi="Arial" w:cs="Arial"/>
          <w:b/>
          <w:bCs/>
          <w:lang w:val="en-CA" w:eastAsia="zh-CN"/>
        </w:rPr>
      </w:pPr>
    </w:p>
    <w:p w14:paraId="596FB0A7" w14:textId="77777777" w:rsidR="00C00AE7" w:rsidRPr="0017095C" w:rsidRDefault="00C00AE7" w:rsidP="00C00AE7">
      <w:pPr>
        <w:pStyle w:val="Casehead2"/>
        <w:rPr>
          <w:lang w:val="en-CA" w:eastAsia="zh-CN"/>
        </w:rPr>
      </w:pPr>
      <w:r w:rsidRPr="0017095C">
        <w:rPr>
          <w:rFonts w:eastAsia="Calibri"/>
          <w:lang w:val="en-CA"/>
        </w:rPr>
        <w:t>Project Operation Risk</w:t>
      </w:r>
    </w:p>
    <w:p w14:paraId="2CD8D5E7" w14:textId="77777777" w:rsidR="00C00AE7" w:rsidRPr="0017095C" w:rsidRDefault="00C00AE7" w:rsidP="00C00AE7">
      <w:pPr>
        <w:pStyle w:val="BodyTextMain"/>
        <w:rPr>
          <w:rFonts w:ascii="Arial" w:hAnsi="Arial" w:cs="Arial"/>
          <w:b/>
          <w:bCs/>
          <w:lang w:val="en-CA" w:eastAsia="zh-CN"/>
        </w:rPr>
      </w:pPr>
    </w:p>
    <w:p w14:paraId="1592D397" w14:textId="6FCD2C94" w:rsidR="00C00AE7" w:rsidRPr="0017095C" w:rsidRDefault="00C00AE7" w:rsidP="00C00AE7">
      <w:pPr>
        <w:pStyle w:val="BodyTextMain"/>
        <w:rPr>
          <w:rFonts w:eastAsia="SimSun"/>
          <w:lang w:val="en-CA" w:eastAsia="zh-CN"/>
        </w:rPr>
      </w:pPr>
      <w:r w:rsidRPr="0017095C">
        <w:rPr>
          <w:rFonts w:eastAsia="SimSun"/>
          <w:lang w:val="en-CA" w:eastAsia="zh-CN"/>
        </w:rPr>
        <w:t>A major risk in the search for and development of mineral resources lay in the difference between actual and estimated reserves</w:t>
      </w:r>
      <w:r w:rsidR="00A921E7" w:rsidRPr="0017095C">
        <w:rPr>
          <w:rFonts w:eastAsia="SimSun"/>
          <w:lang w:val="en-CA" w:eastAsia="zh-CN"/>
        </w:rPr>
        <w:t>. This difference</w:t>
      </w:r>
      <w:r w:rsidRPr="0017095C">
        <w:rPr>
          <w:rFonts w:eastAsia="SimSun"/>
          <w:lang w:val="en-CA" w:eastAsia="zh-CN"/>
        </w:rPr>
        <w:t xml:space="preserve"> led to various problems</w:t>
      </w:r>
      <w:r w:rsidR="00A921E7" w:rsidRPr="0017095C">
        <w:rPr>
          <w:rFonts w:eastAsia="SimSun"/>
          <w:lang w:val="en-CA" w:eastAsia="zh-CN"/>
        </w:rPr>
        <w:t>,</w:t>
      </w:r>
      <w:r w:rsidRPr="0017095C">
        <w:rPr>
          <w:rFonts w:eastAsia="SimSun"/>
          <w:lang w:val="en-CA" w:eastAsia="zh-CN"/>
        </w:rPr>
        <w:t xml:space="preserve"> such as mines never opening, unexploited minerals, or difficult</w:t>
      </w:r>
      <w:r w:rsidR="003744BB" w:rsidRPr="0017095C">
        <w:rPr>
          <w:rFonts w:eastAsia="SimSun"/>
          <w:lang w:val="en-CA" w:eastAsia="zh-CN"/>
        </w:rPr>
        <w:t>ies in</w:t>
      </w:r>
      <w:r w:rsidRPr="0017095C">
        <w:rPr>
          <w:rFonts w:eastAsia="SimSun"/>
          <w:lang w:val="en-CA" w:eastAsia="zh-CN"/>
        </w:rPr>
        <w:t xml:space="preserve"> transportation after mining.</w:t>
      </w:r>
      <w:r w:rsidRPr="0017095C">
        <w:rPr>
          <w:rFonts w:eastAsia="SimSun"/>
          <w:sz w:val="24"/>
          <w:szCs w:val="24"/>
          <w:lang w:val="en-CA" w:eastAsia="zh-CN"/>
        </w:rPr>
        <w:t xml:space="preserve"> </w:t>
      </w:r>
      <w:r w:rsidRPr="0017095C">
        <w:rPr>
          <w:rFonts w:eastAsia="SimSun"/>
          <w:lang w:val="en-CA" w:eastAsia="zh-CN"/>
        </w:rPr>
        <w:t xml:space="preserve">Even after completing the exploration of mineral resources and determining the reserves, investors still needed to provide mining, refining, and environmental protection technologies, and to begin to build </w:t>
      </w:r>
      <w:r w:rsidR="003744BB" w:rsidRPr="0017095C">
        <w:rPr>
          <w:rFonts w:eastAsia="SimSun"/>
          <w:lang w:val="en-CA" w:eastAsia="zh-CN"/>
        </w:rPr>
        <w:t xml:space="preserve">the </w:t>
      </w:r>
      <w:r w:rsidRPr="0017095C">
        <w:rPr>
          <w:rFonts w:eastAsia="SimSun"/>
          <w:lang w:val="en-CA" w:eastAsia="zh-CN"/>
        </w:rPr>
        <w:t xml:space="preserve">infrastructure. </w:t>
      </w:r>
      <w:r w:rsidR="00A921E7" w:rsidRPr="0017095C">
        <w:rPr>
          <w:rFonts w:eastAsia="SimSun"/>
          <w:lang w:val="en-CA" w:eastAsia="zh-CN"/>
        </w:rPr>
        <w:t>All of t</w:t>
      </w:r>
      <w:r w:rsidRPr="0017095C">
        <w:rPr>
          <w:rFonts w:eastAsia="SimSun"/>
          <w:lang w:val="en-CA" w:eastAsia="zh-CN"/>
        </w:rPr>
        <w:t xml:space="preserve">hese </w:t>
      </w:r>
      <w:r w:rsidR="00A921E7" w:rsidRPr="0017095C">
        <w:rPr>
          <w:rFonts w:eastAsia="SimSun"/>
          <w:lang w:val="en-CA" w:eastAsia="zh-CN"/>
        </w:rPr>
        <w:t xml:space="preserve">tasks </w:t>
      </w:r>
      <w:r w:rsidRPr="0017095C">
        <w:rPr>
          <w:rFonts w:eastAsia="SimSun"/>
          <w:lang w:val="en-CA" w:eastAsia="zh-CN"/>
        </w:rPr>
        <w:t>require</w:t>
      </w:r>
      <w:r w:rsidR="00A921E7" w:rsidRPr="0017095C">
        <w:rPr>
          <w:rFonts w:eastAsia="SimSun"/>
          <w:lang w:val="en-CA" w:eastAsia="zh-CN"/>
        </w:rPr>
        <w:t>d a high level of</w:t>
      </w:r>
      <w:r w:rsidRPr="0017095C">
        <w:rPr>
          <w:rFonts w:eastAsia="SimSun"/>
          <w:lang w:val="en-CA" w:eastAsia="zh-CN"/>
        </w:rPr>
        <w:t xml:space="preserve"> technology and talent</w:t>
      </w:r>
      <w:r w:rsidR="00A921E7" w:rsidRPr="0017095C">
        <w:rPr>
          <w:rFonts w:eastAsia="SimSun"/>
          <w:lang w:val="en-CA" w:eastAsia="zh-CN"/>
        </w:rPr>
        <w:t>, which</w:t>
      </w:r>
      <w:r w:rsidRPr="0017095C">
        <w:rPr>
          <w:rFonts w:eastAsia="SimSun"/>
          <w:lang w:val="en-CA" w:eastAsia="zh-CN"/>
        </w:rPr>
        <w:t xml:space="preserve"> could</w:t>
      </w:r>
      <w:r w:rsidR="00A921E7" w:rsidRPr="0017095C">
        <w:rPr>
          <w:rFonts w:eastAsia="SimSun"/>
          <w:lang w:val="en-CA" w:eastAsia="zh-CN"/>
        </w:rPr>
        <w:t xml:space="preserve"> lead to high risk if it fell below</w:t>
      </w:r>
      <w:r w:rsidRPr="0017095C">
        <w:rPr>
          <w:rFonts w:eastAsia="SimSun"/>
          <w:lang w:val="en-CA" w:eastAsia="zh-CN"/>
        </w:rPr>
        <w:t xml:space="preserve"> the needs of overseas mineral investment.</w:t>
      </w:r>
    </w:p>
    <w:p w14:paraId="3CCC0513" w14:textId="77777777" w:rsidR="00C00AE7" w:rsidRPr="0017095C" w:rsidRDefault="00C00AE7" w:rsidP="00C00AE7">
      <w:pPr>
        <w:pStyle w:val="BodyTextMain"/>
        <w:rPr>
          <w:rFonts w:eastAsia="SimSun"/>
          <w:lang w:val="en-CA" w:eastAsia="zh-CN"/>
        </w:rPr>
      </w:pPr>
    </w:p>
    <w:p w14:paraId="79EB6CBC" w14:textId="22D82D21" w:rsidR="00C00AE7" w:rsidRPr="0017095C" w:rsidRDefault="00A921E7" w:rsidP="00C00AE7">
      <w:pPr>
        <w:pStyle w:val="BodyTextMain"/>
        <w:rPr>
          <w:rFonts w:eastAsia="SimSun"/>
          <w:sz w:val="24"/>
          <w:szCs w:val="24"/>
          <w:lang w:val="en-CA" w:eastAsia="zh-CN"/>
        </w:rPr>
      </w:pPr>
      <w:r w:rsidRPr="0017095C">
        <w:rPr>
          <w:rFonts w:eastAsia="SimSun"/>
          <w:szCs w:val="24"/>
          <w:lang w:val="en-CA" w:eastAsia="zh-CN"/>
        </w:rPr>
        <w:t>Before</w:t>
      </w:r>
      <w:r w:rsidR="00C00AE7" w:rsidRPr="0017095C">
        <w:rPr>
          <w:rFonts w:eastAsia="SimSun"/>
          <w:szCs w:val="24"/>
          <w:lang w:val="en-CA" w:eastAsia="zh-CN"/>
        </w:rPr>
        <w:t xml:space="preserve"> signing the agreement</w:t>
      </w:r>
      <w:r w:rsidR="003744BB" w:rsidRPr="0017095C">
        <w:rPr>
          <w:rFonts w:eastAsia="SimSun"/>
          <w:szCs w:val="24"/>
          <w:lang w:val="en-CA" w:eastAsia="zh-CN"/>
        </w:rPr>
        <w:t xml:space="preserve"> to acquire TMAC</w:t>
      </w:r>
      <w:r w:rsidR="00C00AE7" w:rsidRPr="0017095C">
        <w:rPr>
          <w:rFonts w:eastAsia="SimSun"/>
          <w:szCs w:val="24"/>
          <w:lang w:val="en-CA" w:eastAsia="zh-CN"/>
        </w:rPr>
        <w:t xml:space="preserve">, Shandong Gold had communicated with current </w:t>
      </w:r>
      <w:r w:rsidR="003744BB" w:rsidRPr="0017095C">
        <w:rPr>
          <w:rFonts w:eastAsia="SimSun"/>
          <w:szCs w:val="24"/>
          <w:lang w:val="en-CA" w:eastAsia="zh-CN"/>
        </w:rPr>
        <w:t xml:space="preserve">TMAC </w:t>
      </w:r>
      <w:r w:rsidR="00C00AE7" w:rsidRPr="0017095C">
        <w:rPr>
          <w:rFonts w:eastAsia="SimSun"/>
          <w:szCs w:val="24"/>
          <w:lang w:val="en-CA" w:eastAsia="zh-CN"/>
        </w:rPr>
        <w:t xml:space="preserve">executives and received their support and recognition. </w:t>
      </w:r>
      <w:r w:rsidR="003744BB" w:rsidRPr="0017095C">
        <w:rPr>
          <w:rFonts w:eastAsia="SimSun"/>
          <w:szCs w:val="24"/>
          <w:lang w:val="en-CA" w:eastAsia="zh-CN"/>
        </w:rPr>
        <w:t>T</w:t>
      </w:r>
      <w:r w:rsidR="00716B73" w:rsidRPr="0017095C">
        <w:rPr>
          <w:rFonts w:eastAsia="SimSun"/>
          <w:szCs w:val="24"/>
          <w:lang w:val="en-CA" w:eastAsia="zh-CN"/>
        </w:rPr>
        <w:t>MAC</w:t>
      </w:r>
      <w:r w:rsidR="00C00AE7" w:rsidRPr="0017095C">
        <w:rPr>
          <w:rFonts w:eastAsia="SimSun"/>
          <w:szCs w:val="24"/>
          <w:lang w:val="en-CA" w:eastAsia="zh-CN"/>
        </w:rPr>
        <w:t xml:space="preserve"> executives</w:t>
      </w:r>
      <w:r w:rsidR="003744BB" w:rsidRPr="0017095C">
        <w:rPr>
          <w:rFonts w:eastAsia="SimSun"/>
          <w:szCs w:val="24"/>
          <w:lang w:val="en-CA" w:eastAsia="zh-CN"/>
        </w:rPr>
        <w:t>, who</w:t>
      </w:r>
      <w:r w:rsidR="00C00AE7" w:rsidRPr="0017095C">
        <w:rPr>
          <w:rFonts w:eastAsia="SimSun"/>
          <w:szCs w:val="24"/>
          <w:lang w:val="en-CA" w:eastAsia="zh-CN"/>
        </w:rPr>
        <w:t xml:space="preserve"> had </w:t>
      </w:r>
      <w:r w:rsidR="003744BB" w:rsidRPr="0017095C">
        <w:rPr>
          <w:rFonts w:eastAsia="SimSun"/>
          <w:szCs w:val="24"/>
          <w:lang w:val="en-CA" w:eastAsia="zh-CN"/>
        </w:rPr>
        <w:t>developed a</w:t>
      </w:r>
      <w:r w:rsidRPr="0017095C">
        <w:rPr>
          <w:rFonts w:eastAsia="SimSun"/>
          <w:szCs w:val="24"/>
          <w:lang w:val="en-CA" w:eastAsia="zh-CN"/>
        </w:rPr>
        <w:t xml:space="preserve"> great </w:t>
      </w:r>
      <w:r w:rsidR="003744BB" w:rsidRPr="0017095C">
        <w:rPr>
          <w:rFonts w:eastAsia="SimSun"/>
          <w:szCs w:val="24"/>
          <w:lang w:val="en-CA" w:eastAsia="zh-CN"/>
        </w:rPr>
        <w:t>fondness</w:t>
      </w:r>
      <w:r w:rsidR="00C00AE7" w:rsidRPr="0017095C">
        <w:rPr>
          <w:rFonts w:eastAsia="SimSun"/>
          <w:szCs w:val="24"/>
          <w:lang w:val="en-CA" w:eastAsia="zh-CN"/>
        </w:rPr>
        <w:t xml:space="preserve"> for the Hope Bay </w:t>
      </w:r>
      <w:r w:rsidR="003744BB" w:rsidRPr="0017095C">
        <w:rPr>
          <w:rFonts w:eastAsia="SimSun"/>
          <w:szCs w:val="24"/>
          <w:lang w:val="en-CA" w:eastAsia="zh-CN"/>
        </w:rPr>
        <w:t xml:space="preserve">area and the </w:t>
      </w:r>
      <w:r w:rsidR="00C00AE7" w:rsidRPr="0017095C">
        <w:rPr>
          <w:rFonts w:eastAsia="SimSun"/>
          <w:szCs w:val="24"/>
          <w:lang w:val="en-CA" w:eastAsia="zh-CN"/>
        </w:rPr>
        <w:t>mine</w:t>
      </w:r>
      <w:r w:rsidR="003744BB" w:rsidRPr="0017095C">
        <w:rPr>
          <w:rFonts w:eastAsia="SimSun"/>
          <w:szCs w:val="24"/>
          <w:lang w:val="en-CA" w:eastAsia="zh-CN"/>
        </w:rPr>
        <w:t>,</w:t>
      </w:r>
      <w:r w:rsidR="00C00AE7" w:rsidRPr="0017095C">
        <w:rPr>
          <w:rFonts w:eastAsia="SimSun"/>
          <w:szCs w:val="24"/>
          <w:lang w:val="en-CA" w:eastAsia="zh-CN"/>
        </w:rPr>
        <w:t xml:space="preserve"> were very optimistic </w:t>
      </w:r>
      <w:r w:rsidR="003744BB" w:rsidRPr="0017095C">
        <w:rPr>
          <w:rFonts w:eastAsia="SimSun"/>
          <w:szCs w:val="24"/>
          <w:lang w:val="en-CA" w:eastAsia="zh-CN"/>
        </w:rPr>
        <w:t>about the acquisition. They</w:t>
      </w:r>
      <w:r w:rsidR="00C00AE7" w:rsidRPr="0017095C">
        <w:rPr>
          <w:rFonts w:eastAsia="SimSun"/>
          <w:szCs w:val="24"/>
          <w:lang w:val="en-CA" w:eastAsia="zh-CN"/>
        </w:rPr>
        <w:t xml:space="preserve"> hop</w:t>
      </w:r>
      <w:r w:rsidRPr="0017095C">
        <w:rPr>
          <w:rFonts w:eastAsia="SimSun"/>
          <w:szCs w:val="24"/>
          <w:lang w:val="en-CA" w:eastAsia="zh-CN"/>
        </w:rPr>
        <w:t>ed</w:t>
      </w:r>
      <w:r w:rsidR="00422804" w:rsidRPr="0017095C">
        <w:rPr>
          <w:rFonts w:eastAsia="SimSun"/>
          <w:szCs w:val="24"/>
          <w:lang w:val="en-CA" w:eastAsia="zh-CN"/>
        </w:rPr>
        <w:t xml:space="preserve"> to see</w:t>
      </w:r>
      <w:r w:rsidR="00C00AE7" w:rsidRPr="0017095C">
        <w:rPr>
          <w:rFonts w:eastAsia="SimSun"/>
          <w:szCs w:val="24"/>
          <w:lang w:val="en-CA" w:eastAsia="zh-CN"/>
        </w:rPr>
        <w:t xml:space="preserve"> a </w:t>
      </w:r>
      <w:r w:rsidR="00422804" w:rsidRPr="0017095C">
        <w:rPr>
          <w:rFonts w:eastAsia="SimSun"/>
          <w:szCs w:val="24"/>
          <w:lang w:val="en-CA" w:eastAsia="zh-CN"/>
        </w:rPr>
        <w:t>major</w:t>
      </w:r>
      <w:r w:rsidR="00C00AE7" w:rsidRPr="0017095C">
        <w:rPr>
          <w:rFonts w:eastAsia="SimSun"/>
          <w:szCs w:val="24"/>
          <w:lang w:val="en-CA" w:eastAsia="zh-CN"/>
        </w:rPr>
        <w:t xml:space="preserve"> investment </w:t>
      </w:r>
      <w:r w:rsidR="003744BB" w:rsidRPr="0017095C">
        <w:rPr>
          <w:rFonts w:eastAsia="SimSun"/>
          <w:szCs w:val="24"/>
          <w:lang w:val="en-CA" w:eastAsia="zh-CN"/>
        </w:rPr>
        <w:t xml:space="preserve">in </w:t>
      </w:r>
      <w:r w:rsidR="00422804" w:rsidRPr="0017095C">
        <w:rPr>
          <w:rFonts w:eastAsia="SimSun"/>
          <w:szCs w:val="24"/>
          <w:lang w:val="en-CA" w:eastAsia="zh-CN"/>
        </w:rPr>
        <w:t>the</w:t>
      </w:r>
      <w:r w:rsidR="003744BB" w:rsidRPr="0017095C">
        <w:rPr>
          <w:rFonts w:eastAsia="SimSun"/>
          <w:szCs w:val="24"/>
          <w:lang w:val="en-CA" w:eastAsia="zh-CN"/>
        </w:rPr>
        <w:t xml:space="preserve"> a</w:t>
      </w:r>
      <w:r w:rsidR="00422804" w:rsidRPr="0017095C">
        <w:rPr>
          <w:rFonts w:eastAsia="SimSun"/>
          <w:szCs w:val="24"/>
          <w:lang w:val="en-CA" w:eastAsia="zh-CN"/>
        </w:rPr>
        <w:t>re</w:t>
      </w:r>
      <w:r w:rsidR="003744BB" w:rsidRPr="0017095C">
        <w:rPr>
          <w:rFonts w:eastAsia="SimSun"/>
          <w:szCs w:val="24"/>
          <w:lang w:val="en-CA" w:eastAsia="zh-CN"/>
        </w:rPr>
        <w:t>a</w:t>
      </w:r>
      <w:r w:rsidR="00422804" w:rsidRPr="0017095C">
        <w:rPr>
          <w:rFonts w:eastAsia="SimSun"/>
          <w:szCs w:val="24"/>
          <w:lang w:val="en-CA" w:eastAsia="zh-CN"/>
        </w:rPr>
        <w:t xml:space="preserve"> </w:t>
      </w:r>
      <w:r w:rsidR="00C00AE7" w:rsidRPr="0017095C">
        <w:rPr>
          <w:rFonts w:eastAsia="SimSun"/>
          <w:szCs w:val="24"/>
          <w:lang w:val="en-CA" w:eastAsia="zh-CN"/>
        </w:rPr>
        <w:t xml:space="preserve">in the </w:t>
      </w:r>
      <w:r w:rsidR="003744BB" w:rsidRPr="0017095C">
        <w:rPr>
          <w:rFonts w:eastAsia="SimSun"/>
          <w:szCs w:val="24"/>
          <w:lang w:val="en-CA" w:eastAsia="zh-CN"/>
        </w:rPr>
        <w:t xml:space="preserve">near </w:t>
      </w:r>
      <w:r w:rsidR="00C00AE7" w:rsidRPr="0017095C">
        <w:rPr>
          <w:rFonts w:eastAsia="SimSun"/>
          <w:szCs w:val="24"/>
          <w:lang w:val="en-CA" w:eastAsia="zh-CN"/>
        </w:rPr>
        <w:t>future.</w:t>
      </w:r>
      <w:r w:rsidR="00C00AE7" w:rsidRPr="0017095C">
        <w:rPr>
          <w:rFonts w:eastAsia="SimSun"/>
          <w:sz w:val="24"/>
          <w:szCs w:val="24"/>
          <w:lang w:val="en-CA" w:eastAsia="zh-CN"/>
        </w:rPr>
        <w:t xml:space="preserve"> </w:t>
      </w:r>
      <w:r w:rsidR="003744BB" w:rsidRPr="0017095C">
        <w:rPr>
          <w:rFonts w:eastAsia="SimSun"/>
          <w:szCs w:val="24"/>
          <w:lang w:val="en-CA" w:eastAsia="zh-CN"/>
        </w:rPr>
        <w:t>They</w:t>
      </w:r>
      <w:r w:rsidR="00C00AE7" w:rsidRPr="0017095C">
        <w:rPr>
          <w:rFonts w:eastAsia="SimSun"/>
          <w:szCs w:val="24"/>
          <w:lang w:val="en-CA" w:eastAsia="zh-CN"/>
        </w:rPr>
        <w:t xml:space="preserve"> also expressed their willingness to stay</w:t>
      </w:r>
      <w:r w:rsidR="00422804" w:rsidRPr="0017095C">
        <w:rPr>
          <w:rFonts w:eastAsia="SimSun"/>
          <w:szCs w:val="24"/>
          <w:lang w:val="en-CA" w:eastAsia="zh-CN"/>
        </w:rPr>
        <w:t xml:space="preserve"> with the </w:t>
      </w:r>
      <w:r w:rsidR="003744BB" w:rsidRPr="0017095C">
        <w:rPr>
          <w:rFonts w:eastAsia="SimSun"/>
          <w:szCs w:val="24"/>
          <w:lang w:val="en-CA" w:eastAsia="zh-CN"/>
        </w:rPr>
        <w:t xml:space="preserve">new </w:t>
      </w:r>
      <w:r w:rsidR="00422804" w:rsidRPr="0017095C">
        <w:rPr>
          <w:rFonts w:eastAsia="SimSun"/>
          <w:szCs w:val="24"/>
          <w:lang w:val="en-CA" w:eastAsia="zh-CN"/>
        </w:rPr>
        <w:t xml:space="preserve">company after </w:t>
      </w:r>
      <w:r w:rsidR="003744BB" w:rsidRPr="0017095C">
        <w:rPr>
          <w:rFonts w:eastAsia="SimSun"/>
          <w:szCs w:val="24"/>
          <w:lang w:val="en-CA" w:eastAsia="zh-CN"/>
        </w:rPr>
        <w:t xml:space="preserve">the final approval of </w:t>
      </w:r>
      <w:r w:rsidR="00422804" w:rsidRPr="0017095C">
        <w:rPr>
          <w:rFonts w:eastAsia="SimSun"/>
          <w:szCs w:val="24"/>
          <w:lang w:val="en-CA" w:eastAsia="zh-CN"/>
        </w:rPr>
        <w:t xml:space="preserve">the </w:t>
      </w:r>
      <w:r w:rsidR="003744BB" w:rsidRPr="0017095C">
        <w:rPr>
          <w:rFonts w:eastAsia="SimSun"/>
          <w:szCs w:val="24"/>
          <w:lang w:val="en-CA" w:eastAsia="zh-CN"/>
        </w:rPr>
        <w:t>TMAC acquisition</w:t>
      </w:r>
      <w:r w:rsidR="00C00AE7" w:rsidRPr="0017095C">
        <w:rPr>
          <w:rFonts w:eastAsia="SimSun"/>
          <w:szCs w:val="24"/>
          <w:lang w:val="en-CA" w:eastAsia="zh-CN"/>
        </w:rPr>
        <w:t xml:space="preserve">. These </w:t>
      </w:r>
      <w:r w:rsidR="003744BB" w:rsidRPr="0017095C">
        <w:rPr>
          <w:rFonts w:eastAsia="SimSun"/>
          <w:szCs w:val="24"/>
          <w:lang w:val="en-CA" w:eastAsia="zh-CN"/>
        </w:rPr>
        <w:t xml:space="preserve">executives were </w:t>
      </w:r>
      <w:r w:rsidR="00C00AE7" w:rsidRPr="0017095C">
        <w:rPr>
          <w:rFonts w:eastAsia="SimSun"/>
          <w:szCs w:val="24"/>
          <w:lang w:val="en-CA" w:eastAsia="zh-CN"/>
        </w:rPr>
        <w:t>veteran mine managers</w:t>
      </w:r>
      <w:r w:rsidR="00B04C22" w:rsidRPr="0017095C">
        <w:rPr>
          <w:rFonts w:eastAsia="SimSun"/>
          <w:szCs w:val="24"/>
          <w:lang w:val="en-CA" w:eastAsia="zh-CN"/>
        </w:rPr>
        <w:t>. They</w:t>
      </w:r>
      <w:r w:rsidR="00C00AE7" w:rsidRPr="0017095C">
        <w:rPr>
          <w:rFonts w:eastAsia="SimSun"/>
          <w:szCs w:val="24"/>
          <w:lang w:val="en-CA" w:eastAsia="zh-CN"/>
        </w:rPr>
        <w:t xml:space="preserve"> were </w:t>
      </w:r>
      <w:r w:rsidR="00422804" w:rsidRPr="0017095C">
        <w:rPr>
          <w:rFonts w:eastAsia="SimSun"/>
          <w:szCs w:val="24"/>
          <w:lang w:val="en-CA" w:eastAsia="zh-CN"/>
        </w:rPr>
        <w:t>exactly</w:t>
      </w:r>
      <w:r w:rsidR="00C00AE7" w:rsidRPr="0017095C">
        <w:rPr>
          <w:rFonts w:eastAsia="SimSun"/>
          <w:szCs w:val="24"/>
          <w:lang w:val="en-CA" w:eastAsia="zh-CN"/>
        </w:rPr>
        <w:t xml:space="preserve"> the talent that Shandong Gold needed</w:t>
      </w:r>
      <w:r w:rsidR="00B04C22" w:rsidRPr="0017095C">
        <w:rPr>
          <w:rFonts w:eastAsia="SimSun"/>
          <w:szCs w:val="24"/>
          <w:lang w:val="en-CA" w:eastAsia="zh-CN"/>
        </w:rPr>
        <w:t>. R</w:t>
      </w:r>
      <w:r w:rsidR="00C00AE7" w:rsidRPr="0017095C">
        <w:rPr>
          <w:rFonts w:eastAsia="SimSun"/>
          <w:szCs w:val="24"/>
          <w:lang w:val="en-CA" w:eastAsia="zh-CN"/>
        </w:rPr>
        <w:t>et</w:t>
      </w:r>
      <w:r w:rsidR="00422804" w:rsidRPr="0017095C">
        <w:rPr>
          <w:rFonts w:eastAsia="SimSun"/>
          <w:szCs w:val="24"/>
          <w:lang w:val="en-CA" w:eastAsia="zh-CN"/>
        </w:rPr>
        <w:t>ai</w:t>
      </w:r>
      <w:r w:rsidR="00C00AE7" w:rsidRPr="0017095C">
        <w:rPr>
          <w:rFonts w:eastAsia="SimSun"/>
          <w:szCs w:val="24"/>
          <w:lang w:val="en-CA" w:eastAsia="zh-CN"/>
        </w:rPr>
        <w:t>nin</w:t>
      </w:r>
      <w:r w:rsidR="00422804" w:rsidRPr="0017095C">
        <w:rPr>
          <w:rFonts w:eastAsia="SimSun"/>
          <w:szCs w:val="24"/>
          <w:lang w:val="en-CA" w:eastAsia="zh-CN"/>
        </w:rPr>
        <w:t>g them</w:t>
      </w:r>
      <w:r w:rsidR="00C00AE7" w:rsidRPr="0017095C">
        <w:rPr>
          <w:rFonts w:eastAsia="SimSun"/>
          <w:szCs w:val="24"/>
          <w:lang w:val="en-CA" w:eastAsia="zh-CN"/>
        </w:rPr>
        <w:t xml:space="preserve"> was conducive to ensuring business continuity.</w:t>
      </w:r>
      <w:r w:rsidR="00C00AE7" w:rsidRPr="0017095C">
        <w:rPr>
          <w:rFonts w:eastAsia="SimSun"/>
          <w:sz w:val="24"/>
          <w:szCs w:val="24"/>
          <w:lang w:val="en-CA" w:eastAsia="zh-CN"/>
        </w:rPr>
        <w:t xml:space="preserve"> </w:t>
      </w:r>
    </w:p>
    <w:p w14:paraId="57B76966" w14:textId="77777777" w:rsidR="00C00AE7" w:rsidRPr="0017095C" w:rsidRDefault="00C00AE7" w:rsidP="00C00AE7">
      <w:pPr>
        <w:pStyle w:val="BodyTextMain"/>
        <w:rPr>
          <w:rFonts w:eastAsia="SimSun"/>
          <w:sz w:val="24"/>
          <w:szCs w:val="24"/>
          <w:lang w:val="en-CA" w:eastAsia="zh-CN"/>
        </w:rPr>
      </w:pPr>
    </w:p>
    <w:p w14:paraId="325346B2" w14:textId="6099FFC1" w:rsidR="00C00AE7" w:rsidRPr="0017095C" w:rsidRDefault="00C00AE7" w:rsidP="00C00AE7">
      <w:pPr>
        <w:pStyle w:val="BodyTextMain"/>
        <w:rPr>
          <w:rFonts w:eastAsia="SimSun"/>
          <w:lang w:val="en-CA" w:eastAsia="zh-CN"/>
        </w:rPr>
      </w:pPr>
      <w:r w:rsidRPr="0017095C">
        <w:rPr>
          <w:rFonts w:eastAsia="SimSun"/>
          <w:szCs w:val="24"/>
          <w:lang w:val="en-CA" w:eastAsia="zh-CN"/>
        </w:rPr>
        <w:t xml:space="preserve">Shandong Gold was setting up an international management team </w:t>
      </w:r>
      <w:r w:rsidR="00F6690C" w:rsidRPr="0017095C">
        <w:rPr>
          <w:rFonts w:eastAsia="SimSun"/>
          <w:szCs w:val="24"/>
          <w:lang w:val="en-CA" w:eastAsia="zh-CN"/>
        </w:rPr>
        <w:t>that would eventually</w:t>
      </w:r>
      <w:r w:rsidRPr="0017095C">
        <w:rPr>
          <w:rFonts w:eastAsia="SimSun"/>
          <w:szCs w:val="24"/>
          <w:lang w:val="en-CA" w:eastAsia="zh-CN"/>
        </w:rPr>
        <w:t xml:space="preserve"> take over </w:t>
      </w:r>
      <w:r w:rsidRPr="0017095C">
        <w:rPr>
          <w:lang w:val="en-CA"/>
        </w:rPr>
        <w:t>TMAC</w:t>
      </w:r>
      <w:r w:rsidRPr="0017095C">
        <w:rPr>
          <w:rFonts w:eastAsia="SimSun"/>
          <w:szCs w:val="24"/>
          <w:lang w:val="en-CA" w:eastAsia="zh-CN"/>
        </w:rPr>
        <w:t>.</w:t>
      </w:r>
      <w:r w:rsidRPr="0017095C">
        <w:rPr>
          <w:rFonts w:eastAsia="SimSun"/>
          <w:sz w:val="24"/>
          <w:szCs w:val="24"/>
          <w:lang w:val="en-CA" w:eastAsia="zh-CN"/>
        </w:rPr>
        <w:t xml:space="preserve"> </w:t>
      </w:r>
      <w:r w:rsidR="00F6690C" w:rsidRPr="0017095C">
        <w:rPr>
          <w:rFonts w:eastAsia="SimSun"/>
          <w:szCs w:val="24"/>
          <w:lang w:val="en-CA" w:eastAsia="zh-CN"/>
        </w:rPr>
        <w:t>The company</w:t>
      </w:r>
      <w:r w:rsidRPr="0017095C">
        <w:rPr>
          <w:rFonts w:eastAsia="SimSun"/>
          <w:szCs w:val="24"/>
          <w:lang w:val="en-CA" w:eastAsia="zh-CN"/>
        </w:rPr>
        <w:t xml:space="preserve"> planned to appoint a</w:t>
      </w:r>
      <w:r w:rsidR="00F6690C" w:rsidRPr="0017095C">
        <w:rPr>
          <w:rFonts w:eastAsia="SimSun"/>
          <w:szCs w:val="24"/>
          <w:lang w:val="en-CA" w:eastAsia="zh-CN"/>
        </w:rPr>
        <w:t>s</w:t>
      </w:r>
      <w:r w:rsidRPr="0017095C">
        <w:rPr>
          <w:rFonts w:eastAsia="SimSun"/>
          <w:szCs w:val="24"/>
          <w:lang w:val="en-CA" w:eastAsia="zh-CN"/>
        </w:rPr>
        <w:t xml:space="preserve"> </w:t>
      </w:r>
      <w:r w:rsidR="00F6690C" w:rsidRPr="0017095C">
        <w:rPr>
          <w:rFonts w:eastAsia="SimSun"/>
          <w:szCs w:val="24"/>
          <w:lang w:val="en-CA" w:eastAsia="zh-CN"/>
        </w:rPr>
        <w:t>general manager</w:t>
      </w:r>
      <w:r w:rsidRPr="0017095C">
        <w:rPr>
          <w:rFonts w:eastAsia="SimSun"/>
          <w:szCs w:val="24"/>
          <w:lang w:val="en-CA" w:eastAsia="zh-CN"/>
        </w:rPr>
        <w:t xml:space="preserve"> </w:t>
      </w:r>
      <w:r w:rsidR="00F6690C" w:rsidRPr="0017095C">
        <w:rPr>
          <w:rFonts w:eastAsia="SimSun"/>
          <w:szCs w:val="24"/>
          <w:lang w:val="en-CA" w:eastAsia="zh-CN"/>
        </w:rPr>
        <w:t xml:space="preserve">an employee </w:t>
      </w:r>
      <w:r w:rsidRPr="0017095C">
        <w:rPr>
          <w:rFonts w:eastAsia="SimSun"/>
          <w:szCs w:val="24"/>
          <w:lang w:val="en-CA" w:eastAsia="zh-CN"/>
        </w:rPr>
        <w:t xml:space="preserve">who had worked as a mine manager in many countries. This </w:t>
      </w:r>
      <w:r w:rsidR="00F6690C" w:rsidRPr="0017095C">
        <w:rPr>
          <w:rFonts w:eastAsia="SimSun"/>
          <w:szCs w:val="24"/>
          <w:lang w:val="en-CA" w:eastAsia="zh-CN"/>
        </w:rPr>
        <w:t>person</w:t>
      </w:r>
      <w:r w:rsidRPr="0017095C">
        <w:rPr>
          <w:rFonts w:eastAsia="SimSun"/>
          <w:szCs w:val="24"/>
          <w:lang w:val="en-CA" w:eastAsia="zh-CN"/>
        </w:rPr>
        <w:t xml:space="preserve"> would be a Canadian </w:t>
      </w:r>
      <w:r w:rsidR="00F6690C" w:rsidRPr="0017095C">
        <w:rPr>
          <w:rFonts w:eastAsia="SimSun"/>
          <w:szCs w:val="24"/>
          <w:lang w:val="en-CA" w:eastAsia="zh-CN"/>
        </w:rPr>
        <w:t xml:space="preserve">employee </w:t>
      </w:r>
      <w:r w:rsidRPr="0017095C">
        <w:rPr>
          <w:rFonts w:eastAsia="SimSun"/>
          <w:szCs w:val="24"/>
          <w:lang w:val="en-CA" w:eastAsia="zh-CN"/>
        </w:rPr>
        <w:t xml:space="preserve">who had </w:t>
      </w:r>
      <w:r w:rsidR="00716B73" w:rsidRPr="0017095C">
        <w:rPr>
          <w:rFonts w:eastAsia="SimSun"/>
          <w:szCs w:val="24"/>
          <w:lang w:val="en-CA" w:eastAsia="zh-CN"/>
        </w:rPr>
        <w:t>demonstrated excellent</w:t>
      </w:r>
      <w:r w:rsidRPr="0017095C">
        <w:rPr>
          <w:rFonts w:eastAsia="SimSun"/>
          <w:szCs w:val="24"/>
          <w:lang w:val="en-CA" w:eastAsia="zh-CN"/>
        </w:rPr>
        <w:t xml:space="preserve"> co</w:t>
      </w:r>
      <w:r w:rsidR="00F6690C" w:rsidRPr="0017095C">
        <w:rPr>
          <w:rFonts w:eastAsia="SimSun"/>
          <w:szCs w:val="24"/>
          <w:lang w:val="en-CA" w:eastAsia="zh-CN"/>
        </w:rPr>
        <w:t>-</w:t>
      </w:r>
      <w:r w:rsidRPr="0017095C">
        <w:rPr>
          <w:rFonts w:eastAsia="SimSun"/>
          <w:szCs w:val="24"/>
          <w:lang w:val="en-CA" w:eastAsia="zh-CN"/>
        </w:rPr>
        <w:t xml:space="preserve">operation </w:t>
      </w:r>
      <w:r w:rsidR="00716B73" w:rsidRPr="0017095C">
        <w:rPr>
          <w:rFonts w:eastAsia="SimSun"/>
          <w:szCs w:val="24"/>
          <w:lang w:val="en-CA" w:eastAsia="zh-CN"/>
        </w:rPr>
        <w:t xml:space="preserve">skills </w:t>
      </w:r>
      <w:r w:rsidRPr="0017095C">
        <w:rPr>
          <w:rFonts w:eastAsia="SimSun"/>
          <w:szCs w:val="24"/>
          <w:lang w:val="en-CA" w:eastAsia="zh-CN"/>
        </w:rPr>
        <w:t>with Shandong Gold for many years</w:t>
      </w:r>
      <w:r w:rsidR="00F6690C" w:rsidRPr="0017095C">
        <w:rPr>
          <w:rFonts w:eastAsia="SimSun"/>
          <w:szCs w:val="24"/>
          <w:lang w:val="en-CA" w:eastAsia="zh-CN"/>
        </w:rPr>
        <w:t>. The general manager</w:t>
      </w:r>
      <w:r w:rsidRPr="0017095C">
        <w:rPr>
          <w:rFonts w:eastAsia="SimSun"/>
          <w:szCs w:val="24"/>
          <w:lang w:val="en-CA" w:eastAsia="zh-CN"/>
        </w:rPr>
        <w:t xml:space="preserve"> would be accompanied by s</w:t>
      </w:r>
      <w:r w:rsidR="00F6690C" w:rsidRPr="0017095C">
        <w:rPr>
          <w:rFonts w:eastAsia="SimSun"/>
          <w:szCs w:val="24"/>
          <w:lang w:val="en-CA" w:eastAsia="zh-CN"/>
        </w:rPr>
        <w:t>everal</w:t>
      </w:r>
      <w:r w:rsidRPr="0017095C">
        <w:rPr>
          <w:rFonts w:eastAsia="SimSun"/>
          <w:szCs w:val="24"/>
          <w:lang w:val="en-CA" w:eastAsia="zh-CN"/>
        </w:rPr>
        <w:t xml:space="preserve"> Chinese </w:t>
      </w:r>
      <w:r w:rsidR="00F6690C" w:rsidRPr="0017095C">
        <w:rPr>
          <w:rFonts w:eastAsia="SimSun"/>
          <w:szCs w:val="24"/>
          <w:lang w:val="en-CA" w:eastAsia="zh-CN"/>
        </w:rPr>
        <w:t xml:space="preserve">executives </w:t>
      </w:r>
      <w:r w:rsidRPr="0017095C">
        <w:rPr>
          <w:rFonts w:eastAsia="SimSun"/>
          <w:szCs w:val="24"/>
          <w:lang w:val="en-CA" w:eastAsia="zh-CN"/>
        </w:rPr>
        <w:t xml:space="preserve">to form </w:t>
      </w:r>
      <w:r w:rsidR="00F6690C" w:rsidRPr="0017095C">
        <w:rPr>
          <w:rFonts w:eastAsia="SimSun"/>
          <w:szCs w:val="24"/>
          <w:lang w:val="en-CA" w:eastAsia="zh-CN"/>
        </w:rPr>
        <w:t>the</w:t>
      </w:r>
      <w:r w:rsidRPr="0017095C">
        <w:rPr>
          <w:rFonts w:eastAsia="SimSun"/>
          <w:szCs w:val="24"/>
          <w:lang w:val="en-CA" w:eastAsia="zh-CN"/>
        </w:rPr>
        <w:t xml:space="preserve"> </w:t>
      </w:r>
      <w:r w:rsidR="00716B73" w:rsidRPr="0017095C">
        <w:rPr>
          <w:rFonts w:eastAsia="SimSun"/>
          <w:szCs w:val="24"/>
          <w:lang w:val="en-CA" w:eastAsia="zh-CN"/>
        </w:rPr>
        <w:t xml:space="preserve">new company’s </w:t>
      </w:r>
      <w:r w:rsidRPr="0017095C">
        <w:rPr>
          <w:rFonts w:eastAsia="SimSun"/>
          <w:szCs w:val="24"/>
          <w:lang w:val="en-CA" w:eastAsia="zh-CN"/>
        </w:rPr>
        <w:t>management team.</w:t>
      </w:r>
    </w:p>
    <w:p w14:paraId="3FCBEFEF" w14:textId="77777777" w:rsidR="00C00AE7" w:rsidRPr="0017095C" w:rsidRDefault="00C00AE7" w:rsidP="00C00AE7">
      <w:pPr>
        <w:pStyle w:val="BodyTextMain"/>
        <w:rPr>
          <w:rFonts w:eastAsia="SimSun"/>
          <w:szCs w:val="24"/>
          <w:lang w:val="en-CA" w:eastAsia="zh-CN"/>
        </w:rPr>
      </w:pPr>
    </w:p>
    <w:p w14:paraId="0DC0726D" w14:textId="70D4A1D8" w:rsidR="00C00AE7" w:rsidRPr="0017095C" w:rsidRDefault="00C00AE7" w:rsidP="00C00AE7">
      <w:pPr>
        <w:pStyle w:val="BodyTextMain"/>
        <w:rPr>
          <w:rFonts w:eastAsia="SimSun"/>
          <w:szCs w:val="24"/>
          <w:lang w:val="en-CA" w:eastAsia="zh-CN"/>
        </w:rPr>
      </w:pPr>
      <w:r w:rsidRPr="0017095C">
        <w:rPr>
          <w:lang w:val="en-CA"/>
        </w:rPr>
        <w:t>TMAC</w:t>
      </w:r>
      <w:r w:rsidRPr="0017095C">
        <w:rPr>
          <w:rFonts w:eastAsia="SimSun"/>
          <w:szCs w:val="24"/>
          <w:lang w:val="en-CA" w:eastAsia="zh-CN"/>
        </w:rPr>
        <w:t>’s Hope Bay project was located in the cold polar region of the Arctic Circle</w:t>
      </w:r>
      <w:r w:rsidR="00716B73" w:rsidRPr="0017095C">
        <w:rPr>
          <w:rFonts w:eastAsia="SimSun"/>
          <w:szCs w:val="24"/>
          <w:lang w:val="en-CA" w:eastAsia="zh-CN"/>
        </w:rPr>
        <w:t>, but because it was</w:t>
      </w:r>
      <w:r w:rsidRPr="0017095C">
        <w:rPr>
          <w:rFonts w:eastAsia="SimSun"/>
          <w:szCs w:val="24"/>
          <w:lang w:val="en-CA" w:eastAsia="zh-CN"/>
        </w:rPr>
        <w:t xml:space="preserve"> an underground mine,</w:t>
      </w:r>
      <w:r w:rsidR="00F6690C" w:rsidRPr="0017095C">
        <w:rPr>
          <w:rFonts w:eastAsia="SimSun"/>
          <w:szCs w:val="24"/>
          <w:lang w:val="en-CA" w:eastAsia="zh-CN"/>
        </w:rPr>
        <w:t xml:space="preserve"> </w:t>
      </w:r>
      <w:r w:rsidR="00716B73" w:rsidRPr="0017095C">
        <w:rPr>
          <w:rFonts w:eastAsia="SimSun"/>
          <w:szCs w:val="24"/>
          <w:lang w:val="en-CA" w:eastAsia="zh-CN"/>
        </w:rPr>
        <w:t>the cold temperatures</w:t>
      </w:r>
      <w:r w:rsidR="00F6690C" w:rsidRPr="0017095C">
        <w:rPr>
          <w:rFonts w:eastAsia="SimSun"/>
          <w:szCs w:val="24"/>
          <w:lang w:val="en-CA" w:eastAsia="zh-CN"/>
        </w:rPr>
        <w:t xml:space="preserve"> had relatively low</w:t>
      </w:r>
      <w:r w:rsidRPr="0017095C">
        <w:rPr>
          <w:rFonts w:eastAsia="SimSun"/>
          <w:szCs w:val="24"/>
          <w:lang w:val="en-CA" w:eastAsia="zh-CN"/>
        </w:rPr>
        <w:t xml:space="preserve"> </w:t>
      </w:r>
      <w:r w:rsidR="00716B73" w:rsidRPr="0017095C">
        <w:rPr>
          <w:rFonts w:eastAsia="SimSun"/>
          <w:szCs w:val="24"/>
          <w:lang w:val="en-CA" w:eastAsia="zh-CN"/>
        </w:rPr>
        <w:t>effect</w:t>
      </w:r>
      <w:r w:rsidRPr="0017095C">
        <w:rPr>
          <w:rFonts w:eastAsia="SimSun"/>
          <w:szCs w:val="24"/>
          <w:lang w:val="en-CA" w:eastAsia="zh-CN"/>
        </w:rPr>
        <w:t>. The f</w:t>
      </w:r>
      <w:r w:rsidR="00F6690C" w:rsidRPr="0017095C">
        <w:rPr>
          <w:rFonts w:eastAsia="SimSun"/>
          <w:szCs w:val="24"/>
          <w:lang w:val="en-CA" w:eastAsia="zh-CN"/>
        </w:rPr>
        <w:t>a</w:t>
      </w:r>
      <w:r w:rsidRPr="0017095C">
        <w:rPr>
          <w:rFonts w:eastAsia="SimSun"/>
          <w:szCs w:val="24"/>
          <w:lang w:val="en-CA" w:eastAsia="zh-CN"/>
        </w:rPr>
        <w:t>rther down</w:t>
      </w:r>
      <w:r w:rsidR="00F6690C" w:rsidRPr="0017095C">
        <w:rPr>
          <w:rFonts w:eastAsia="SimSun"/>
          <w:szCs w:val="24"/>
          <w:lang w:val="en-CA" w:eastAsia="zh-CN"/>
        </w:rPr>
        <w:t xml:space="preserve"> the mine extended</w:t>
      </w:r>
      <w:r w:rsidRPr="0017095C">
        <w:rPr>
          <w:rFonts w:eastAsia="SimSun"/>
          <w:szCs w:val="24"/>
          <w:lang w:val="en-CA" w:eastAsia="zh-CN"/>
        </w:rPr>
        <w:t xml:space="preserve">, the </w:t>
      </w:r>
      <w:r w:rsidR="00716B73" w:rsidRPr="0017095C">
        <w:rPr>
          <w:rFonts w:eastAsia="SimSun"/>
          <w:szCs w:val="24"/>
          <w:lang w:val="en-CA" w:eastAsia="zh-CN"/>
        </w:rPr>
        <w:t>warmer</w:t>
      </w:r>
      <w:r w:rsidRPr="0017095C">
        <w:rPr>
          <w:rFonts w:eastAsia="SimSun"/>
          <w:szCs w:val="24"/>
          <w:lang w:val="en-CA" w:eastAsia="zh-CN"/>
        </w:rPr>
        <w:t xml:space="preserve"> the temperature</w:t>
      </w:r>
      <w:r w:rsidR="00716B73" w:rsidRPr="0017095C">
        <w:rPr>
          <w:rFonts w:eastAsia="SimSun"/>
          <w:szCs w:val="24"/>
          <w:lang w:val="en-CA" w:eastAsia="zh-CN"/>
        </w:rPr>
        <w:t>s</w:t>
      </w:r>
      <w:r w:rsidRPr="0017095C">
        <w:rPr>
          <w:rFonts w:eastAsia="SimSun"/>
          <w:szCs w:val="24"/>
          <w:lang w:val="en-CA" w:eastAsia="zh-CN"/>
        </w:rPr>
        <w:t xml:space="preserve">. After the ore was mined, it </w:t>
      </w:r>
      <w:r w:rsidR="00F6690C" w:rsidRPr="0017095C">
        <w:rPr>
          <w:rFonts w:eastAsia="SimSun"/>
          <w:szCs w:val="24"/>
          <w:lang w:val="en-CA" w:eastAsia="zh-CN"/>
        </w:rPr>
        <w:t>had</w:t>
      </w:r>
      <w:r w:rsidRPr="0017095C">
        <w:rPr>
          <w:rFonts w:eastAsia="SimSun"/>
          <w:szCs w:val="24"/>
          <w:lang w:val="en-CA" w:eastAsia="zh-CN"/>
        </w:rPr>
        <w:t xml:space="preserve"> to be ground up </w:t>
      </w:r>
      <w:r w:rsidR="00F6690C" w:rsidRPr="0017095C">
        <w:rPr>
          <w:rFonts w:eastAsia="SimSun"/>
          <w:szCs w:val="24"/>
          <w:lang w:val="en-CA" w:eastAsia="zh-CN"/>
        </w:rPr>
        <w:t>before</w:t>
      </w:r>
      <w:r w:rsidRPr="0017095C">
        <w:rPr>
          <w:rFonts w:eastAsia="SimSun"/>
          <w:szCs w:val="24"/>
          <w:lang w:val="en-CA" w:eastAsia="zh-CN"/>
        </w:rPr>
        <w:t xml:space="preserve"> the gold</w:t>
      </w:r>
      <w:r w:rsidR="00F6690C" w:rsidRPr="0017095C">
        <w:rPr>
          <w:rFonts w:eastAsia="SimSun"/>
          <w:szCs w:val="24"/>
          <w:lang w:val="en-CA" w:eastAsia="zh-CN"/>
        </w:rPr>
        <w:t xml:space="preserve"> could be extracted</w:t>
      </w:r>
      <w:r w:rsidRPr="0017095C">
        <w:rPr>
          <w:rFonts w:eastAsia="SimSun"/>
          <w:szCs w:val="24"/>
          <w:lang w:val="en-CA" w:eastAsia="zh-CN"/>
        </w:rPr>
        <w:t>. Th</w:t>
      </w:r>
      <w:r w:rsidR="00F6690C" w:rsidRPr="0017095C">
        <w:rPr>
          <w:rFonts w:eastAsia="SimSun"/>
          <w:szCs w:val="24"/>
          <w:lang w:val="en-CA" w:eastAsia="zh-CN"/>
        </w:rPr>
        <w:t>is process, which was known as</w:t>
      </w:r>
      <w:r w:rsidRPr="0017095C">
        <w:rPr>
          <w:rFonts w:eastAsia="SimSun"/>
          <w:szCs w:val="24"/>
          <w:lang w:val="en-CA" w:eastAsia="zh-CN"/>
        </w:rPr>
        <w:t xml:space="preserve"> beneficiation</w:t>
      </w:r>
      <w:r w:rsidR="00F6690C" w:rsidRPr="0017095C">
        <w:rPr>
          <w:rFonts w:eastAsia="SimSun"/>
          <w:szCs w:val="24"/>
          <w:lang w:val="en-CA" w:eastAsia="zh-CN"/>
        </w:rPr>
        <w:t>,</w:t>
      </w:r>
      <w:r w:rsidRPr="0017095C">
        <w:rPr>
          <w:rFonts w:eastAsia="SimSun"/>
          <w:szCs w:val="24"/>
          <w:lang w:val="en-CA" w:eastAsia="zh-CN"/>
        </w:rPr>
        <w:t xml:space="preserve"> generally </w:t>
      </w:r>
      <w:r w:rsidR="00F6690C" w:rsidRPr="0017095C">
        <w:rPr>
          <w:rFonts w:eastAsia="SimSun"/>
          <w:szCs w:val="24"/>
          <w:lang w:val="en-CA" w:eastAsia="zh-CN"/>
        </w:rPr>
        <w:t xml:space="preserve">took place in </w:t>
      </w:r>
      <w:r w:rsidRPr="0017095C">
        <w:rPr>
          <w:rFonts w:eastAsia="SimSun"/>
          <w:szCs w:val="24"/>
          <w:lang w:val="en-CA" w:eastAsia="zh-CN"/>
        </w:rPr>
        <w:t xml:space="preserve">a </w:t>
      </w:r>
      <w:r w:rsidR="00F6690C" w:rsidRPr="0017095C">
        <w:rPr>
          <w:rFonts w:eastAsia="SimSun"/>
          <w:szCs w:val="24"/>
          <w:lang w:val="en-CA" w:eastAsia="zh-CN"/>
        </w:rPr>
        <w:t xml:space="preserve">heated </w:t>
      </w:r>
      <w:r w:rsidRPr="0017095C">
        <w:rPr>
          <w:rFonts w:eastAsia="SimSun"/>
          <w:szCs w:val="24"/>
          <w:lang w:val="en-CA" w:eastAsia="zh-CN"/>
        </w:rPr>
        <w:t>frame structure</w:t>
      </w:r>
      <w:r w:rsidR="00F6690C" w:rsidRPr="0017095C">
        <w:rPr>
          <w:rFonts w:eastAsia="SimSun"/>
          <w:szCs w:val="24"/>
          <w:lang w:val="en-CA" w:eastAsia="zh-CN"/>
        </w:rPr>
        <w:t>. Therefore</w:t>
      </w:r>
      <w:r w:rsidRPr="0017095C">
        <w:rPr>
          <w:rFonts w:eastAsia="SimSun"/>
          <w:szCs w:val="24"/>
          <w:lang w:val="en-CA" w:eastAsia="zh-CN"/>
        </w:rPr>
        <w:t xml:space="preserve">, </w:t>
      </w:r>
      <w:r w:rsidR="00F6690C" w:rsidRPr="0017095C">
        <w:rPr>
          <w:rFonts w:eastAsia="SimSun"/>
          <w:szCs w:val="24"/>
          <w:lang w:val="en-CA" w:eastAsia="zh-CN"/>
        </w:rPr>
        <w:t>the Arctic Circle’s cold weather had very little impact on the mine’s</w:t>
      </w:r>
      <w:r w:rsidRPr="0017095C">
        <w:rPr>
          <w:rFonts w:eastAsia="SimSun"/>
          <w:szCs w:val="24"/>
          <w:lang w:val="en-CA" w:eastAsia="zh-CN"/>
        </w:rPr>
        <w:t xml:space="preserve"> operations.</w:t>
      </w:r>
      <w:r w:rsidR="006E0640" w:rsidRPr="0017095C">
        <w:rPr>
          <w:rStyle w:val="EndnoteReference"/>
          <w:lang w:val="en-CA"/>
        </w:rPr>
        <w:endnoteReference w:id="29"/>
      </w:r>
      <w:r w:rsidRPr="0017095C">
        <w:rPr>
          <w:rFonts w:eastAsia="SimSun"/>
          <w:szCs w:val="24"/>
          <w:lang w:val="en-CA" w:eastAsia="zh-CN"/>
        </w:rPr>
        <w:t xml:space="preserve"> </w:t>
      </w:r>
    </w:p>
    <w:p w14:paraId="2AF287D5" w14:textId="77777777" w:rsidR="00C00AE7" w:rsidRPr="0017095C" w:rsidRDefault="00C00AE7" w:rsidP="00C00AE7">
      <w:pPr>
        <w:pStyle w:val="BodyTextMain"/>
        <w:rPr>
          <w:rFonts w:eastAsia="SimSun"/>
          <w:szCs w:val="24"/>
          <w:lang w:val="en-CA" w:eastAsia="zh-CN"/>
        </w:rPr>
      </w:pPr>
    </w:p>
    <w:p w14:paraId="3551ADC0" w14:textId="0EF572EC" w:rsidR="00C00AE7" w:rsidRPr="0017095C" w:rsidRDefault="00F6690C" w:rsidP="00C00AE7">
      <w:pPr>
        <w:pStyle w:val="BodyTextMain"/>
        <w:rPr>
          <w:rFonts w:eastAsia="SimSun"/>
          <w:szCs w:val="24"/>
          <w:lang w:val="en-CA" w:eastAsia="zh-CN"/>
        </w:rPr>
      </w:pPr>
      <w:r w:rsidRPr="0017095C">
        <w:rPr>
          <w:rFonts w:eastAsia="SimSun"/>
          <w:szCs w:val="24"/>
          <w:lang w:val="en-CA" w:eastAsia="zh-CN"/>
        </w:rPr>
        <w:t>A</w:t>
      </w:r>
      <w:r w:rsidR="00C00AE7" w:rsidRPr="0017095C">
        <w:rPr>
          <w:rFonts w:eastAsia="SimSun"/>
          <w:szCs w:val="24"/>
          <w:lang w:val="en-CA" w:eastAsia="zh-CN"/>
        </w:rPr>
        <w:t xml:space="preserve"> more challenging issue in polar regions</w:t>
      </w:r>
      <w:r w:rsidRPr="0017095C">
        <w:rPr>
          <w:rFonts w:eastAsia="SimSun"/>
          <w:szCs w:val="24"/>
          <w:lang w:val="en-CA" w:eastAsia="zh-CN"/>
        </w:rPr>
        <w:t>, however,</w:t>
      </w:r>
      <w:r w:rsidR="00C00AE7" w:rsidRPr="0017095C">
        <w:rPr>
          <w:rFonts w:eastAsia="SimSun"/>
          <w:szCs w:val="24"/>
          <w:lang w:val="en-CA" w:eastAsia="zh-CN"/>
        </w:rPr>
        <w:t xml:space="preserve"> was transportation</w:t>
      </w:r>
      <w:r w:rsidR="00D44C2A" w:rsidRPr="0017095C">
        <w:rPr>
          <w:rFonts w:eastAsia="SimSun"/>
          <w:szCs w:val="24"/>
          <w:lang w:val="en-CA" w:eastAsia="zh-CN"/>
        </w:rPr>
        <w:t>, which became considerably more difficult with</w:t>
      </w:r>
      <w:r w:rsidR="00C00AE7" w:rsidRPr="0017095C">
        <w:rPr>
          <w:rFonts w:eastAsia="SimSun"/>
          <w:szCs w:val="24"/>
          <w:lang w:val="en-CA" w:eastAsia="zh-CN"/>
        </w:rPr>
        <w:t xml:space="preserve"> ice and snow. </w:t>
      </w:r>
      <w:r w:rsidR="007B4F00" w:rsidRPr="0017095C">
        <w:rPr>
          <w:rFonts w:eastAsia="SimSun"/>
          <w:szCs w:val="24"/>
          <w:lang w:val="en-CA" w:eastAsia="zh-CN"/>
        </w:rPr>
        <w:t>An</w:t>
      </w:r>
      <w:r w:rsidR="00C00AE7" w:rsidRPr="0017095C">
        <w:rPr>
          <w:rFonts w:eastAsia="SimSun"/>
          <w:szCs w:val="24"/>
          <w:lang w:val="en-CA" w:eastAsia="zh-CN"/>
        </w:rPr>
        <w:t xml:space="preserve">other challenge was </w:t>
      </w:r>
      <w:r w:rsidR="007B4F00" w:rsidRPr="0017095C">
        <w:rPr>
          <w:rFonts w:eastAsia="SimSun"/>
          <w:szCs w:val="24"/>
          <w:lang w:val="en-CA" w:eastAsia="zh-CN"/>
        </w:rPr>
        <w:t>an</w:t>
      </w:r>
      <w:r w:rsidR="00C00AE7" w:rsidRPr="0017095C">
        <w:rPr>
          <w:rFonts w:eastAsia="SimSun"/>
          <w:szCs w:val="24"/>
          <w:lang w:val="en-CA" w:eastAsia="zh-CN"/>
        </w:rPr>
        <w:t xml:space="preserve"> issue </w:t>
      </w:r>
      <w:r w:rsidR="00D44C2A" w:rsidRPr="0017095C">
        <w:rPr>
          <w:rFonts w:eastAsia="SimSun"/>
          <w:szCs w:val="24"/>
          <w:lang w:val="en-CA" w:eastAsia="zh-CN"/>
        </w:rPr>
        <w:t xml:space="preserve">related to the discarded materials from screening, which was </w:t>
      </w:r>
      <w:r w:rsidR="007B4F00" w:rsidRPr="0017095C">
        <w:rPr>
          <w:rFonts w:eastAsia="SimSun"/>
          <w:szCs w:val="24"/>
          <w:lang w:val="en-CA" w:eastAsia="zh-CN"/>
        </w:rPr>
        <w:t>referred to as</w:t>
      </w:r>
      <w:r w:rsidR="00C00AE7" w:rsidRPr="0017095C">
        <w:rPr>
          <w:rFonts w:eastAsia="SimSun"/>
          <w:szCs w:val="24"/>
          <w:lang w:val="en-CA" w:eastAsia="zh-CN"/>
        </w:rPr>
        <w:t xml:space="preserve"> tailings. </w:t>
      </w:r>
      <w:r w:rsidR="007B4F00" w:rsidRPr="0017095C">
        <w:rPr>
          <w:rFonts w:eastAsia="SimSun"/>
          <w:szCs w:val="24"/>
          <w:lang w:val="en-CA" w:eastAsia="zh-CN"/>
        </w:rPr>
        <w:t>During</w:t>
      </w:r>
      <w:r w:rsidR="00C00AE7" w:rsidRPr="0017095C">
        <w:rPr>
          <w:rFonts w:eastAsia="SimSun"/>
          <w:szCs w:val="24"/>
          <w:lang w:val="en-CA" w:eastAsia="zh-CN"/>
        </w:rPr>
        <w:t xml:space="preserve"> the </w:t>
      </w:r>
      <w:r w:rsidR="00D44C2A" w:rsidRPr="0017095C">
        <w:rPr>
          <w:rFonts w:eastAsia="SimSun"/>
          <w:szCs w:val="24"/>
          <w:lang w:val="en-CA" w:eastAsia="zh-CN"/>
        </w:rPr>
        <w:t>ore</w:t>
      </w:r>
      <w:r w:rsidR="00C00AE7" w:rsidRPr="0017095C">
        <w:rPr>
          <w:rFonts w:eastAsia="SimSun"/>
          <w:szCs w:val="24"/>
          <w:lang w:val="en-CA" w:eastAsia="zh-CN"/>
        </w:rPr>
        <w:t xml:space="preserve"> extraction process, </w:t>
      </w:r>
      <w:r w:rsidR="002C3428" w:rsidRPr="0017095C">
        <w:rPr>
          <w:rFonts w:eastAsia="SimSun"/>
          <w:szCs w:val="24"/>
          <w:lang w:val="en-CA" w:eastAsia="zh-CN"/>
        </w:rPr>
        <w:t>a</w:t>
      </w:r>
      <w:r w:rsidR="00C00AE7" w:rsidRPr="0017095C">
        <w:rPr>
          <w:rFonts w:eastAsia="SimSun"/>
          <w:szCs w:val="24"/>
          <w:lang w:val="en-CA" w:eastAsia="zh-CN"/>
        </w:rPr>
        <w:t xml:space="preserve">fter screening out the high gold content, the </w:t>
      </w:r>
      <w:r w:rsidR="002C3428" w:rsidRPr="0017095C">
        <w:rPr>
          <w:rFonts w:eastAsia="SimSun"/>
          <w:szCs w:val="24"/>
          <w:lang w:val="en-CA" w:eastAsia="zh-CN"/>
        </w:rPr>
        <w:t xml:space="preserve">tailings (which looked like wet cement) </w:t>
      </w:r>
      <w:r w:rsidR="00C00AE7" w:rsidRPr="0017095C">
        <w:rPr>
          <w:rFonts w:eastAsia="SimSun"/>
          <w:szCs w:val="24"/>
          <w:lang w:val="en-CA" w:eastAsia="zh-CN"/>
        </w:rPr>
        <w:t xml:space="preserve">would be discharged from the pipeline </w:t>
      </w:r>
      <w:r w:rsidR="00F4439C" w:rsidRPr="0017095C">
        <w:rPr>
          <w:rFonts w:eastAsia="SimSun"/>
          <w:szCs w:val="24"/>
          <w:lang w:val="en-CA" w:eastAsia="zh-CN"/>
        </w:rPr>
        <w:t>in</w:t>
      </w:r>
      <w:r w:rsidR="00C00AE7" w:rsidRPr="0017095C">
        <w:rPr>
          <w:rFonts w:eastAsia="SimSun"/>
          <w:szCs w:val="24"/>
          <w:lang w:val="en-CA" w:eastAsia="zh-CN"/>
        </w:rPr>
        <w:t xml:space="preserve">to </w:t>
      </w:r>
      <w:r w:rsidR="00F532F1" w:rsidRPr="0017095C">
        <w:rPr>
          <w:rFonts w:eastAsia="SimSun"/>
          <w:szCs w:val="24"/>
          <w:lang w:val="en-CA" w:eastAsia="zh-CN"/>
        </w:rPr>
        <w:t>a</w:t>
      </w:r>
      <w:r w:rsidR="00C00AE7" w:rsidRPr="0017095C">
        <w:rPr>
          <w:rFonts w:eastAsia="SimSun"/>
          <w:szCs w:val="24"/>
          <w:lang w:val="en-CA" w:eastAsia="zh-CN"/>
        </w:rPr>
        <w:t xml:space="preserve"> tailings pond. If the pipeline was exposed </w:t>
      </w:r>
      <w:r w:rsidR="00F4439C" w:rsidRPr="0017095C">
        <w:rPr>
          <w:rFonts w:eastAsia="SimSun"/>
          <w:szCs w:val="24"/>
          <w:lang w:val="en-CA" w:eastAsia="zh-CN"/>
        </w:rPr>
        <w:t xml:space="preserve">to the </w:t>
      </w:r>
      <w:r w:rsidR="00C00AE7" w:rsidRPr="0017095C">
        <w:rPr>
          <w:rFonts w:eastAsia="SimSun"/>
          <w:szCs w:val="24"/>
          <w:lang w:val="en-CA" w:eastAsia="zh-CN"/>
        </w:rPr>
        <w:t>outside</w:t>
      </w:r>
      <w:r w:rsidR="00F4439C" w:rsidRPr="0017095C">
        <w:rPr>
          <w:rFonts w:eastAsia="SimSun"/>
          <w:szCs w:val="24"/>
          <w:lang w:val="en-CA" w:eastAsia="zh-CN"/>
        </w:rPr>
        <w:t xml:space="preserve"> cold</w:t>
      </w:r>
      <w:r w:rsidR="00C00AE7" w:rsidRPr="0017095C">
        <w:rPr>
          <w:rFonts w:eastAsia="SimSun"/>
          <w:szCs w:val="24"/>
          <w:lang w:val="en-CA" w:eastAsia="zh-CN"/>
        </w:rPr>
        <w:t xml:space="preserve">, the </w:t>
      </w:r>
      <w:r w:rsidR="00F4439C" w:rsidRPr="0017095C">
        <w:rPr>
          <w:rFonts w:eastAsia="SimSun"/>
          <w:szCs w:val="24"/>
          <w:lang w:val="en-CA" w:eastAsia="zh-CN"/>
        </w:rPr>
        <w:t>excess material could</w:t>
      </w:r>
      <w:r w:rsidR="00C00AE7" w:rsidRPr="0017095C">
        <w:rPr>
          <w:rFonts w:eastAsia="SimSun"/>
          <w:szCs w:val="24"/>
          <w:lang w:val="en-CA" w:eastAsia="zh-CN"/>
        </w:rPr>
        <w:t xml:space="preserve"> freeze </w:t>
      </w:r>
      <w:r w:rsidR="00F4439C" w:rsidRPr="0017095C">
        <w:rPr>
          <w:rFonts w:eastAsia="SimSun"/>
          <w:szCs w:val="24"/>
          <w:lang w:val="en-CA" w:eastAsia="zh-CN"/>
        </w:rPr>
        <w:t>after being</w:t>
      </w:r>
      <w:r w:rsidR="00C00AE7" w:rsidRPr="0017095C">
        <w:rPr>
          <w:rFonts w:eastAsia="SimSun"/>
          <w:szCs w:val="24"/>
          <w:lang w:val="en-CA" w:eastAsia="zh-CN"/>
        </w:rPr>
        <w:t xml:space="preserve"> discharged</w:t>
      </w:r>
      <w:r w:rsidR="00F4439C" w:rsidRPr="0017095C">
        <w:rPr>
          <w:rFonts w:eastAsia="SimSun"/>
          <w:szCs w:val="24"/>
          <w:lang w:val="en-CA" w:eastAsia="zh-CN"/>
        </w:rPr>
        <w:t>, which</w:t>
      </w:r>
      <w:r w:rsidR="00C00AE7" w:rsidRPr="0017095C">
        <w:rPr>
          <w:rFonts w:eastAsia="SimSun"/>
          <w:szCs w:val="24"/>
          <w:lang w:val="en-CA" w:eastAsia="zh-CN"/>
        </w:rPr>
        <w:t xml:space="preserve"> would </w:t>
      </w:r>
      <w:r w:rsidR="00F4439C" w:rsidRPr="0017095C">
        <w:rPr>
          <w:rFonts w:eastAsia="SimSun"/>
          <w:szCs w:val="24"/>
          <w:lang w:val="en-CA" w:eastAsia="zh-CN"/>
        </w:rPr>
        <w:t>create</w:t>
      </w:r>
      <w:r w:rsidR="00C00AE7" w:rsidRPr="0017095C">
        <w:rPr>
          <w:rFonts w:eastAsia="SimSun"/>
          <w:szCs w:val="24"/>
          <w:lang w:val="en-CA" w:eastAsia="zh-CN"/>
        </w:rPr>
        <w:t xml:space="preserve"> </w:t>
      </w:r>
      <w:r w:rsidR="00DB4603" w:rsidRPr="0017095C">
        <w:rPr>
          <w:rFonts w:eastAsia="SimSun"/>
          <w:szCs w:val="24"/>
          <w:lang w:val="en-CA" w:eastAsia="zh-CN"/>
        </w:rPr>
        <w:t>difficulties</w:t>
      </w:r>
      <w:r w:rsidR="00C00AE7" w:rsidRPr="0017095C">
        <w:rPr>
          <w:rFonts w:eastAsia="SimSun"/>
          <w:szCs w:val="24"/>
          <w:lang w:val="en-CA" w:eastAsia="zh-CN"/>
        </w:rPr>
        <w:t>.</w:t>
      </w:r>
    </w:p>
    <w:p w14:paraId="19838182" w14:textId="77777777" w:rsidR="00C00AE7" w:rsidRPr="0017095C" w:rsidRDefault="00C00AE7" w:rsidP="00C00AE7">
      <w:pPr>
        <w:pStyle w:val="BodyTextMain"/>
        <w:rPr>
          <w:b/>
          <w:lang w:val="en-CA" w:eastAsia="zh-CN"/>
        </w:rPr>
      </w:pPr>
    </w:p>
    <w:p w14:paraId="650C1B23" w14:textId="77777777" w:rsidR="00C00AE7" w:rsidRPr="0017095C" w:rsidRDefault="00C00AE7" w:rsidP="00C00AE7">
      <w:pPr>
        <w:pStyle w:val="BodyTextMain"/>
        <w:rPr>
          <w:b/>
          <w:lang w:val="en-CA" w:eastAsia="zh-CN"/>
        </w:rPr>
      </w:pPr>
    </w:p>
    <w:p w14:paraId="1C79EF6D" w14:textId="77777777" w:rsidR="00C00AE7" w:rsidRPr="0017095C" w:rsidRDefault="00C00AE7" w:rsidP="00F32836">
      <w:pPr>
        <w:pStyle w:val="Casehead2"/>
        <w:keepNext/>
        <w:rPr>
          <w:rFonts w:eastAsia="Calibri"/>
          <w:lang w:val="en-CA"/>
        </w:rPr>
      </w:pPr>
      <w:r w:rsidRPr="0017095C">
        <w:rPr>
          <w:rFonts w:eastAsia="Calibri"/>
          <w:lang w:val="en-CA"/>
        </w:rPr>
        <w:t>Cultural Differences Risk</w:t>
      </w:r>
    </w:p>
    <w:p w14:paraId="0CE2D6AF" w14:textId="77777777" w:rsidR="00C00AE7" w:rsidRPr="0017095C" w:rsidRDefault="00C00AE7" w:rsidP="00F32836">
      <w:pPr>
        <w:pStyle w:val="BodyTextMain"/>
        <w:keepNext/>
        <w:rPr>
          <w:b/>
          <w:lang w:val="en-CA" w:eastAsia="zh-CN"/>
        </w:rPr>
      </w:pPr>
    </w:p>
    <w:p w14:paraId="75529FE2" w14:textId="7C9FC734" w:rsidR="00C00AE7" w:rsidRPr="0017095C" w:rsidRDefault="00C00AE7" w:rsidP="00F32836">
      <w:pPr>
        <w:pStyle w:val="BodyTextMain"/>
        <w:keepNext/>
        <w:rPr>
          <w:rFonts w:eastAsia="SimSun"/>
          <w:szCs w:val="24"/>
          <w:lang w:val="en-CA"/>
        </w:rPr>
      </w:pPr>
      <w:r w:rsidRPr="0017095C">
        <w:rPr>
          <w:rFonts w:eastAsia="SimSun"/>
          <w:szCs w:val="24"/>
          <w:lang w:val="en-CA"/>
        </w:rPr>
        <w:t xml:space="preserve">Shandong Gold </w:t>
      </w:r>
      <w:r w:rsidRPr="0017095C">
        <w:rPr>
          <w:rFonts w:eastAsia="SimSun"/>
          <w:szCs w:val="24"/>
          <w:lang w:val="en-CA" w:eastAsia="zh-CN"/>
        </w:rPr>
        <w:t xml:space="preserve">had </w:t>
      </w:r>
      <w:r w:rsidR="004B5A87" w:rsidRPr="0017095C">
        <w:rPr>
          <w:rFonts w:eastAsia="SimSun"/>
          <w:szCs w:val="24"/>
          <w:lang w:val="en-CA" w:eastAsia="zh-CN"/>
        </w:rPr>
        <w:t>only ever</w:t>
      </w:r>
      <w:r w:rsidRPr="0017095C">
        <w:rPr>
          <w:rFonts w:eastAsia="SimSun"/>
          <w:szCs w:val="24"/>
          <w:lang w:val="en-CA"/>
        </w:rPr>
        <w:t xml:space="preserve"> managed </w:t>
      </w:r>
      <w:r w:rsidR="004B5A87" w:rsidRPr="0017095C">
        <w:rPr>
          <w:rFonts w:eastAsia="SimSun"/>
          <w:szCs w:val="24"/>
          <w:lang w:val="en-CA"/>
        </w:rPr>
        <w:t>Chinese mines, which were very cost-efficient to manage</w:t>
      </w:r>
      <w:r w:rsidRPr="0017095C">
        <w:rPr>
          <w:rFonts w:eastAsia="SimSun"/>
          <w:szCs w:val="24"/>
          <w:lang w:val="en-CA"/>
        </w:rPr>
        <w:t xml:space="preserve">. In contrast, foreign </w:t>
      </w:r>
      <w:r w:rsidR="004B5A87" w:rsidRPr="0017095C">
        <w:rPr>
          <w:rFonts w:eastAsia="SimSun"/>
          <w:szCs w:val="24"/>
          <w:lang w:val="en-CA"/>
        </w:rPr>
        <w:t xml:space="preserve">mines carried high </w:t>
      </w:r>
      <w:r w:rsidRPr="0017095C">
        <w:rPr>
          <w:rFonts w:eastAsia="SimSun"/>
          <w:szCs w:val="24"/>
          <w:lang w:val="en-CA"/>
        </w:rPr>
        <w:t xml:space="preserve">management costs. For example, </w:t>
      </w:r>
      <w:r w:rsidR="004B5A87" w:rsidRPr="0017095C">
        <w:rPr>
          <w:rFonts w:eastAsia="SimSun"/>
          <w:szCs w:val="24"/>
          <w:lang w:val="en-CA"/>
        </w:rPr>
        <w:t>director</w:t>
      </w:r>
      <w:r w:rsidRPr="0017095C">
        <w:rPr>
          <w:rFonts w:eastAsia="SimSun"/>
          <w:szCs w:val="24"/>
          <w:lang w:val="en-CA"/>
        </w:rPr>
        <w:t xml:space="preserve"> insurance provided </w:t>
      </w:r>
      <w:r w:rsidR="004B5A87" w:rsidRPr="0017095C">
        <w:rPr>
          <w:rFonts w:eastAsia="SimSun"/>
          <w:szCs w:val="24"/>
          <w:lang w:val="en-CA"/>
        </w:rPr>
        <w:t>great</w:t>
      </w:r>
      <w:r w:rsidRPr="0017095C">
        <w:rPr>
          <w:rFonts w:eastAsia="SimSun"/>
          <w:szCs w:val="24"/>
          <w:lang w:val="en-CA"/>
        </w:rPr>
        <w:t xml:space="preserve"> benefits</w:t>
      </w:r>
      <w:r w:rsidR="004B5A87" w:rsidRPr="0017095C">
        <w:rPr>
          <w:rFonts w:eastAsia="SimSun"/>
          <w:szCs w:val="24"/>
          <w:lang w:val="en-CA"/>
        </w:rPr>
        <w:t xml:space="preserve"> but at a much higher cost than</w:t>
      </w:r>
      <w:r w:rsidRPr="0017095C">
        <w:rPr>
          <w:rFonts w:eastAsia="SimSun"/>
          <w:szCs w:val="24"/>
          <w:lang w:val="en-CA"/>
        </w:rPr>
        <w:t xml:space="preserve"> in China. </w:t>
      </w:r>
      <w:r w:rsidR="002F2F3F" w:rsidRPr="0017095C">
        <w:rPr>
          <w:rFonts w:eastAsia="SimSun"/>
          <w:szCs w:val="24"/>
          <w:lang w:val="en-CA"/>
        </w:rPr>
        <w:t>Also</w:t>
      </w:r>
      <w:r w:rsidR="00653E1E" w:rsidRPr="0017095C">
        <w:rPr>
          <w:rFonts w:eastAsia="SimSun"/>
          <w:szCs w:val="24"/>
          <w:lang w:val="en-CA"/>
        </w:rPr>
        <w:t>,</w:t>
      </w:r>
      <w:r w:rsidRPr="0017095C">
        <w:rPr>
          <w:rFonts w:eastAsia="SimSun"/>
          <w:szCs w:val="24"/>
          <w:lang w:val="en-CA"/>
        </w:rPr>
        <w:t xml:space="preserve"> Chinese employees </w:t>
      </w:r>
      <w:r w:rsidR="002F2F3F" w:rsidRPr="0017095C">
        <w:rPr>
          <w:rFonts w:eastAsia="SimSun"/>
          <w:szCs w:val="24"/>
          <w:lang w:val="en-CA"/>
        </w:rPr>
        <w:t xml:space="preserve">could be asked to work </w:t>
      </w:r>
      <w:r w:rsidR="00763C8A" w:rsidRPr="0017095C">
        <w:rPr>
          <w:rFonts w:eastAsia="SimSun"/>
          <w:szCs w:val="24"/>
          <w:lang w:val="en-CA"/>
        </w:rPr>
        <w:t xml:space="preserve">extremely </w:t>
      </w:r>
      <w:r w:rsidR="00763C8A" w:rsidRPr="0017095C">
        <w:rPr>
          <w:rFonts w:eastAsia="SimSun"/>
          <w:szCs w:val="24"/>
          <w:lang w:val="en-CA"/>
        </w:rPr>
        <w:lastRenderedPageBreak/>
        <w:t>long hours</w:t>
      </w:r>
      <w:r w:rsidR="002F2F3F" w:rsidRPr="0017095C">
        <w:rPr>
          <w:rFonts w:eastAsia="SimSun"/>
          <w:szCs w:val="24"/>
          <w:lang w:val="en-CA"/>
        </w:rPr>
        <w:t xml:space="preserve">, but </w:t>
      </w:r>
      <w:r w:rsidR="00763C8A" w:rsidRPr="0017095C">
        <w:rPr>
          <w:rFonts w:eastAsia="SimSun"/>
          <w:szCs w:val="24"/>
          <w:lang w:val="en-CA"/>
        </w:rPr>
        <w:t xml:space="preserve">non-Chinese </w:t>
      </w:r>
      <w:r w:rsidR="002F2F3F" w:rsidRPr="0017095C">
        <w:rPr>
          <w:rFonts w:eastAsia="SimSun"/>
          <w:szCs w:val="24"/>
          <w:lang w:val="en-CA"/>
        </w:rPr>
        <w:t>employees</w:t>
      </w:r>
      <w:r w:rsidR="00763C8A" w:rsidRPr="0017095C">
        <w:rPr>
          <w:rFonts w:eastAsia="SimSun"/>
          <w:szCs w:val="24"/>
          <w:lang w:val="en-CA"/>
        </w:rPr>
        <w:t xml:space="preserve"> often</w:t>
      </w:r>
      <w:r w:rsidR="002F2F3F" w:rsidRPr="0017095C">
        <w:rPr>
          <w:rFonts w:eastAsia="SimSun"/>
          <w:szCs w:val="24"/>
          <w:lang w:val="en-CA"/>
        </w:rPr>
        <w:t xml:space="preserve"> expected to have weekends and vacation time off work, when they would not be available via telephone or email</w:t>
      </w:r>
      <w:r w:rsidRPr="0017095C">
        <w:rPr>
          <w:rFonts w:eastAsia="SimSun"/>
          <w:szCs w:val="24"/>
          <w:lang w:val="en-CA"/>
        </w:rPr>
        <w:t>.</w:t>
      </w:r>
      <w:r w:rsidR="006E0640" w:rsidRPr="0017095C">
        <w:rPr>
          <w:rStyle w:val="EndnoteReference"/>
          <w:lang w:val="en-CA"/>
        </w:rPr>
        <w:endnoteReference w:id="30"/>
      </w:r>
      <w:r w:rsidR="002F2F3F" w:rsidRPr="0017095C">
        <w:rPr>
          <w:rFonts w:eastAsia="SimSun"/>
          <w:szCs w:val="24"/>
          <w:lang w:val="en-CA"/>
        </w:rPr>
        <w:t xml:space="preserve"> Clearly, Shandong Gold would have to apply a very</w:t>
      </w:r>
      <w:r w:rsidRPr="0017095C">
        <w:rPr>
          <w:rFonts w:eastAsia="SimSun"/>
          <w:szCs w:val="24"/>
          <w:lang w:val="en-CA"/>
        </w:rPr>
        <w:t xml:space="preserve"> different management </w:t>
      </w:r>
      <w:r w:rsidRPr="0017095C">
        <w:rPr>
          <w:rFonts w:eastAsia="SimSun"/>
          <w:szCs w:val="24"/>
          <w:lang w:val="en-CA" w:eastAsia="zh-CN"/>
        </w:rPr>
        <w:t>style</w:t>
      </w:r>
      <w:r w:rsidR="002F2F3F" w:rsidRPr="0017095C">
        <w:rPr>
          <w:rFonts w:eastAsia="SimSun"/>
          <w:szCs w:val="24"/>
          <w:lang w:val="en-CA" w:eastAsia="zh-CN"/>
        </w:rPr>
        <w:t xml:space="preserve"> to</w:t>
      </w:r>
      <w:r w:rsidRPr="0017095C">
        <w:rPr>
          <w:rFonts w:eastAsia="SimSun"/>
          <w:szCs w:val="24"/>
          <w:lang w:val="en-CA"/>
        </w:rPr>
        <w:t xml:space="preserve"> employee </w:t>
      </w:r>
      <w:r w:rsidR="002F2F3F" w:rsidRPr="0017095C">
        <w:rPr>
          <w:rFonts w:eastAsia="SimSun"/>
          <w:szCs w:val="24"/>
          <w:lang w:val="en-CA"/>
        </w:rPr>
        <w:t xml:space="preserve">relations and </w:t>
      </w:r>
      <w:r w:rsidRPr="0017095C">
        <w:rPr>
          <w:rFonts w:eastAsia="SimSun"/>
          <w:szCs w:val="24"/>
          <w:lang w:val="en-CA"/>
        </w:rPr>
        <w:t>working methods</w:t>
      </w:r>
      <w:r w:rsidR="002F2F3F" w:rsidRPr="0017095C">
        <w:rPr>
          <w:rFonts w:eastAsia="SimSun"/>
          <w:szCs w:val="24"/>
          <w:lang w:val="en-CA"/>
        </w:rPr>
        <w:t>, compared to what it was used to</w:t>
      </w:r>
      <w:r w:rsidRPr="0017095C">
        <w:rPr>
          <w:rFonts w:eastAsia="SimSun"/>
          <w:szCs w:val="24"/>
          <w:lang w:val="en-CA"/>
        </w:rPr>
        <w:t xml:space="preserve"> in China</w:t>
      </w:r>
      <w:r w:rsidRPr="0017095C">
        <w:rPr>
          <w:rFonts w:eastAsia="SimSun"/>
          <w:szCs w:val="24"/>
          <w:lang w:val="en-CA" w:eastAsia="zh-CN"/>
        </w:rPr>
        <w:t>’</w:t>
      </w:r>
      <w:r w:rsidRPr="0017095C">
        <w:rPr>
          <w:rFonts w:eastAsia="SimSun"/>
          <w:szCs w:val="24"/>
          <w:lang w:val="en-CA"/>
        </w:rPr>
        <w:t>s mine operations</w:t>
      </w:r>
      <w:r w:rsidR="002F2F3F" w:rsidRPr="0017095C">
        <w:rPr>
          <w:rFonts w:eastAsia="SimSun"/>
          <w:szCs w:val="24"/>
          <w:lang w:val="en-CA"/>
        </w:rPr>
        <w:t>, after</w:t>
      </w:r>
      <w:r w:rsidRPr="0017095C">
        <w:rPr>
          <w:rFonts w:eastAsia="SimSun"/>
          <w:szCs w:val="24"/>
          <w:lang w:val="en-CA"/>
        </w:rPr>
        <w:t xml:space="preserve"> </w:t>
      </w:r>
      <w:r w:rsidR="00716B73" w:rsidRPr="0017095C">
        <w:rPr>
          <w:rFonts w:eastAsia="SimSun"/>
          <w:szCs w:val="24"/>
          <w:lang w:val="en-CA"/>
        </w:rPr>
        <w:t xml:space="preserve">final approvals of </w:t>
      </w:r>
      <w:r w:rsidR="002F2F3F" w:rsidRPr="0017095C">
        <w:rPr>
          <w:rFonts w:eastAsia="SimSun"/>
          <w:szCs w:val="24"/>
          <w:lang w:val="en-CA"/>
        </w:rPr>
        <w:t xml:space="preserve">the proposed </w:t>
      </w:r>
      <w:r w:rsidRPr="0017095C">
        <w:rPr>
          <w:lang w:val="en-CA"/>
        </w:rPr>
        <w:t>TMAC</w:t>
      </w:r>
      <w:r w:rsidR="002F2F3F" w:rsidRPr="0017095C">
        <w:rPr>
          <w:lang w:val="en-CA"/>
        </w:rPr>
        <w:t xml:space="preserve"> acquisition.</w:t>
      </w:r>
    </w:p>
    <w:p w14:paraId="7DCC96A9" w14:textId="77777777" w:rsidR="00C00AE7" w:rsidRPr="0017095C" w:rsidRDefault="00C00AE7" w:rsidP="00C00AE7">
      <w:pPr>
        <w:pStyle w:val="BodyTextMain"/>
        <w:rPr>
          <w:b/>
          <w:lang w:val="en-CA" w:eastAsia="zh-CN"/>
        </w:rPr>
      </w:pPr>
    </w:p>
    <w:p w14:paraId="2CBCD173" w14:textId="77777777" w:rsidR="00C00AE7" w:rsidRPr="0017095C" w:rsidRDefault="00C00AE7" w:rsidP="00C00AE7">
      <w:pPr>
        <w:pStyle w:val="BodyTextMain"/>
        <w:rPr>
          <w:b/>
          <w:lang w:val="en-CA" w:eastAsia="zh-CN"/>
        </w:rPr>
      </w:pPr>
    </w:p>
    <w:p w14:paraId="62BBEC96" w14:textId="77777777" w:rsidR="00C00AE7" w:rsidRPr="0017095C" w:rsidRDefault="00C00AE7" w:rsidP="00C00AE7">
      <w:pPr>
        <w:pStyle w:val="Casehead2"/>
        <w:rPr>
          <w:rFonts w:eastAsia="Calibri"/>
          <w:lang w:val="en-CA"/>
        </w:rPr>
      </w:pPr>
      <w:r w:rsidRPr="0017095C">
        <w:rPr>
          <w:rFonts w:eastAsia="Calibri"/>
          <w:lang w:val="en-CA"/>
        </w:rPr>
        <w:t>Market and Foreign Exchange Risk</w:t>
      </w:r>
    </w:p>
    <w:p w14:paraId="5E701F17" w14:textId="77777777" w:rsidR="00C00AE7" w:rsidRPr="0017095C" w:rsidRDefault="00C00AE7" w:rsidP="00C00AE7">
      <w:pPr>
        <w:pStyle w:val="BodyTextMain"/>
        <w:rPr>
          <w:b/>
          <w:lang w:val="en-CA" w:eastAsia="zh-CN"/>
        </w:rPr>
      </w:pPr>
    </w:p>
    <w:p w14:paraId="0E65A514" w14:textId="5ECEB4E0" w:rsidR="00C00AE7" w:rsidRPr="0017095C" w:rsidRDefault="00C00AE7" w:rsidP="00C00AE7">
      <w:pPr>
        <w:pStyle w:val="BodyTextMain"/>
        <w:rPr>
          <w:rFonts w:eastAsia="SimSun"/>
          <w:szCs w:val="24"/>
          <w:lang w:val="en-CA"/>
        </w:rPr>
      </w:pPr>
      <w:r w:rsidRPr="0017095C">
        <w:rPr>
          <w:rFonts w:eastAsia="SimSun"/>
          <w:szCs w:val="24"/>
          <w:lang w:val="en-CA"/>
        </w:rPr>
        <w:t xml:space="preserve">The price of gold was affected by the international economic situation, and there was great uncertainty in the prediction of long-term trends and short-term fluctuations in the market price of gold products. </w:t>
      </w:r>
      <w:r w:rsidR="002F2F3F" w:rsidRPr="0017095C">
        <w:rPr>
          <w:rFonts w:eastAsia="SimSun"/>
          <w:szCs w:val="24"/>
          <w:lang w:val="en-CA"/>
        </w:rPr>
        <w:t>Between 2016 and 2019, g</w:t>
      </w:r>
      <w:r w:rsidRPr="0017095C">
        <w:rPr>
          <w:rFonts w:eastAsia="SimSun"/>
          <w:szCs w:val="24"/>
          <w:lang w:val="en-CA"/>
        </w:rPr>
        <w:t>old prices hovered around $1,250</w:t>
      </w:r>
      <w:r w:rsidR="002F2F3F" w:rsidRPr="0017095C">
        <w:rPr>
          <w:rFonts w:eastAsia="SimSun"/>
          <w:szCs w:val="24"/>
          <w:lang w:val="en-CA"/>
        </w:rPr>
        <w:t xml:space="preserve"> per ounce ($</w:t>
      </w:r>
      <w:r w:rsidR="00405BEB" w:rsidRPr="0017095C">
        <w:rPr>
          <w:rFonts w:eastAsia="SimSun"/>
          <w:szCs w:val="24"/>
          <w:lang w:val="en-CA"/>
        </w:rPr>
        <w:t>44</w:t>
      </w:r>
      <w:r w:rsidR="002F2F3F" w:rsidRPr="0017095C">
        <w:rPr>
          <w:rFonts w:eastAsia="SimSun"/>
          <w:szCs w:val="24"/>
          <w:lang w:val="en-CA"/>
        </w:rPr>
        <w:t xml:space="preserve"> per gram)</w:t>
      </w:r>
      <w:r w:rsidRPr="0017095C">
        <w:rPr>
          <w:rFonts w:eastAsia="SimSun"/>
          <w:szCs w:val="24"/>
          <w:lang w:val="en-CA"/>
        </w:rPr>
        <w:t xml:space="preserve"> but </w:t>
      </w:r>
      <w:r w:rsidR="002F2F3F" w:rsidRPr="0017095C">
        <w:rPr>
          <w:rFonts w:eastAsia="SimSun"/>
          <w:szCs w:val="24"/>
          <w:lang w:val="en-CA"/>
        </w:rPr>
        <w:t>seemed to</w:t>
      </w:r>
      <w:r w:rsidRPr="0017095C">
        <w:rPr>
          <w:rFonts w:eastAsia="SimSun"/>
          <w:szCs w:val="24"/>
          <w:lang w:val="en-CA"/>
        </w:rPr>
        <w:t xml:space="preserve"> be on an upward tr</w:t>
      </w:r>
      <w:r w:rsidR="002F2F3F" w:rsidRPr="0017095C">
        <w:rPr>
          <w:rFonts w:eastAsia="SimSun"/>
          <w:szCs w:val="24"/>
          <w:lang w:val="en-CA"/>
        </w:rPr>
        <w:t>end</w:t>
      </w:r>
      <w:r w:rsidRPr="0017095C">
        <w:rPr>
          <w:rFonts w:eastAsia="SimSun"/>
          <w:szCs w:val="24"/>
          <w:lang w:val="en-CA"/>
        </w:rPr>
        <w:t xml:space="preserve"> </w:t>
      </w:r>
      <w:r w:rsidR="002F2F3F" w:rsidRPr="0017095C">
        <w:rPr>
          <w:rFonts w:eastAsia="SimSun"/>
          <w:szCs w:val="24"/>
          <w:lang w:val="en-CA"/>
        </w:rPr>
        <w:t>starting in January 2019</w:t>
      </w:r>
      <w:r w:rsidRPr="0017095C">
        <w:rPr>
          <w:rFonts w:eastAsia="SimSun"/>
          <w:szCs w:val="24"/>
          <w:lang w:val="en-CA"/>
        </w:rPr>
        <w:t xml:space="preserve">, reaching a peak </w:t>
      </w:r>
      <w:r w:rsidR="002F2F3F" w:rsidRPr="0017095C">
        <w:rPr>
          <w:rFonts w:eastAsia="SimSun"/>
          <w:szCs w:val="24"/>
          <w:lang w:val="en-CA"/>
        </w:rPr>
        <w:t>of over</w:t>
      </w:r>
      <w:r w:rsidRPr="0017095C">
        <w:rPr>
          <w:rFonts w:eastAsia="SimSun"/>
          <w:szCs w:val="24"/>
          <w:lang w:val="en-CA"/>
        </w:rPr>
        <w:t xml:space="preserve"> $2,000</w:t>
      </w:r>
      <w:r w:rsidR="002F2F3F" w:rsidRPr="0017095C">
        <w:rPr>
          <w:rFonts w:eastAsia="SimSun"/>
          <w:szCs w:val="24"/>
          <w:lang w:val="en-CA"/>
        </w:rPr>
        <w:t xml:space="preserve"> per ounce ($</w:t>
      </w:r>
      <w:r w:rsidR="00405BEB" w:rsidRPr="0017095C">
        <w:rPr>
          <w:rFonts w:eastAsia="SimSun"/>
          <w:szCs w:val="24"/>
          <w:lang w:val="en-CA"/>
        </w:rPr>
        <w:t>7</w:t>
      </w:r>
      <w:r w:rsidR="002F2F3F" w:rsidRPr="0017095C">
        <w:rPr>
          <w:rFonts w:eastAsia="SimSun"/>
          <w:szCs w:val="24"/>
          <w:lang w:val="en-CA"/>
        </w:rPr>
        <w:t>0 per gram)</w:t>
      </w:r>
      <w:r w:rsidRPr="0017095C">
        <w:rPr>
          <w:rFonts w:eastAsia="SimSun"/>
          <w:szCs w:val="24"/>
          <w:lang w:val="en-CA"/>
        </w:rPr>
        <w:t xml:space="preserve"> </w:t>
      </w:r>
      <w:r w:rsidR="002F2F3F" w:rsidRPr="0017095C">
        <w:rPr>
          <w:rFonts w:eastAsia="SimSun"/>
          <w:szCs w:val="24"/>
          <w:lang w:val="en-CA"/>
        </w:rPr>
        <w:t xml:space="preserve">in August 2020, </w:t>
      </w:r>
      <w:r w:rsidRPr="0017095C">
        <w:rPr>
          <w:rFonts w:eastAsia="SimSun"/>
          <w:szCs w:val="24"/>
          <w:lang w:val="en-CA"/>
        </w:rPr>
        <w:t xml:space="preserve">before </w:t>
      </w:r>
      <w:r w:rsidR="002F2F3F" w:rsidRPr="0017095C">
        <w:rPr>
          <w:rFonts w:eastAsia="SimSun"/>
          <w:szCs w:val="24"/>
          <w:lang w:val="en-CA"/>
        </w:rPr>
        <w:t>dropping again late in the year</w:t>
      </w:r>
      <w:r w:rsidRPr="0017095C">
        <w:rPr>
          <w:rFonts w:eastAsia="SimSun"/>
          <w:szCs w:val="24"/>
          <w:lang w:val="en-CA"/>
        </w:rPr>
        <w:t xml:space="preserve">. </w:t>
      </w:r>
    </w:p>
    <w:p w14:paraId="6C7A9D12" w14:textId="77777777" w:rsidR="00C00AE7" w:rsidRPr="0017095C" w:rsidRDefault="00C00AE7" w:rsidP="00C00AE7">
      <w:pPr>
        <w:pStyle w:val="BodyTextMain"/>
        <w:rPr>
          <w:rFonts w:eastAsia="SimSun"/>
          <w:szCs w:val="24"/>
          <w:lang w:val="en-CA"/>
        </w:rPr>
      </w:pPr>
    </w:p>
    <w:p w14:paraId="36E8AD35" w14:textId="7F618896" w:rsidR="00C00AE7" w:rsidRPr="0017095C" w:rsidRDefault="002F2F3F" w:rsidP="00C00AE7">
      <w:pPr>
        <w:pStyle w:val="BodyTextMain"/>
        <w:rPr>
          <w:lang w:val="en-CA"/>
        </w:rPr>
      </w:pPr>
      <w:r w:rsidRPr="0017095C">
        <w:rPr>
          <w:rFonts w:eastAsia="SimSun"/>
          <w:szCs w:val="24"/>
          <w:lang w:val="en-CA"/>
        </w:rPr>
        <w:t xml:space="preserve">If </w:t>
      </w:r>
      <w:r w:rsidR="00C00AE7" w:rsidRPr="0017095C">
        <w:rPr>
          <w:rFonts w:eastAsia="SimSun"/>
          <w:szCs w:val="24"/>
          <w:lang w:val="en-CA"/>
        </w:rPr>
        <w:t xml:space="preserve">the price did not </w:t>
      </w:r>
      <w:r w:rsidRPr="0017095C">
        <w:rPr>
          <w:rFonts w:eastAsia="SimSun"/>
          <w:szCs w:val="24"/>
          <w:lang w:val="en-CA"/>
        </w:rPr>
        <w:t>move</w:t>
      </w:r>
      <w:r w:rsidR="00C00AE7" w:rsidRPr="0017095C">
        <w:rPr>
          <w:rFonts w:eastAsia="SimSun"/>
          <w:szCs w:val="24"/>
          <w:lang w:val="en-CA"/>
        </w:rPr>
        <w:t xml:space="preserve"> in the expected direction, </w:t>
      </w:r>
      <w:r w:rsidR="009C3E0D" w:rsidRPr="0017095C">
        <w:rPr>
          <w:rFonts w:eastAsia="SimSun"/>
          <w:szCs w:val="24"/>
          <w:lang w:val="en-CA"/>
        </w:rPr>
        <w:t>it could have strong adverse effect</w:t>
      </w:r>
      <w:r w:rsidR="00816BFC">
        <w:rPr>
          <w:rFonts w:eastAsia="SimSun"/>
          <w:szCs w:val="24"/>
          <w:lang w:val="en-CA"/>
        </w:rPr>
        <w:t>s</w:t>
      </w:r>
      <w:r w:rsidR="009C3E0D" w:rsidRPr="0017095C">
        <w:rPr>
          <w:rFonts w:eastAsia="SimSun"/>
          <w:szCs w:val="24"/>
          <w:lang w:val="en-CA"/>
        </w:rPr>
        <w:t xml:space="preserve"> on </w:t>
      </w:r>
      <w:r w:rsidR="00C00AE7" w:rsidRPr="0017095C">
        <w:rPr>
          <w:rFonts w:eastAsia="SimSun"/>
          <w:szCs w:val="24"/>
          <w:lang w:val="en-CA"/>
        </w:rPr>
        <w:t xml:space="preserve">the profitability of the Hope Bay projects, which would </w:t>
      </w:r>
      <w:r w:rsidR="009C3E0D" w:rsidRPr="0017095C">
        <w:rPr>
          <w:rFonts w:eastAsia="SimSun"/>
          <w:szCs w:val="24"/>
          <w:lang w:val="en-CA"/>
        </w:rPr>
        <w:t xml:space="preserve">in turn </w:t>
      </w:r>
      <w:r w:rsidR="00C00AE7" w:rsidRPr="0017095C">
        <w:rPr>
          <w:rFonts w:eastAsia="SimSun"/>
          <w:szCs w:val="24"/>
          <w:lang w:val="en-CA"/>
        </w:rPr>
        <w:t>affect the value of the</w:t>
      </w:r>
      <w:r w:rsidR="009C3E0D" w:rsidRPr="0017095C">
        <w:rPr>
          <w:rFonts w:eastAsia="SimSun"/>
          <w:szCs w:val="24"/>
          <w:lang w:val="en-CA"/>
        </w:rPr>
        <w:t xml:space="preserve"> TMAC</w:t>
      </w:r>
      <w:r w:rsidR="00C00AE7" w:rsidRPr="0017095C">
        <w:rPr>
          <w:rFonts w:eastAsia="SimSun"/>
          <w:szCs w:val="24"/>
          <w:lang w:val="en-CA"/>
        </w:rPr>
        <w:t xml:space="preserve"> acquisition. In addition, most of </w:t>
      </w:r>
      <w:r w:rsidR="00C00AE7" w:rsidRPr="0017095C">
        <w:rPr>
          <w:lang w:val="en-CA"/>
        </w:rPr>
        <w:t>TMAC</w:t>
      </w:r>
      <w:r w:rsidR="00C00AE7" w:rsidRPr="0017095C">
        <w:rPr>
          <w:rFonts w:eastAsia="SimSun"/>
          <w:szCs w:val="24"/>
          <w:lang w:val="en-CA" w:eastAsia="zh-CN"/>
        </w:rPr>
        <w:t>’</w:t>
      </w:r>
      <w:r w:rsidR="00C00AE7" w:rsidRPr="0017095C">
        <w:rPr>
          <w:rFonts w:eastAsia="SimSun"/>
          <w:szCs w:val="24"/>
          <w:lang w:val="en-CA"/>
        </w:rPr>
        <w:t xml:space="preserve">s revenue was denominated in US dollars, but </w:t>
      </w:r>
      <w:r w:rsidR="009C3E0D" w:rsidRPr="0017095C">
        <w:rPr>
          <w:rFonts w:eastAsia="SimSun"/>
          <w:szCs w:val="24"/>
          <w:lang w:val="en-CA"/>
        </w:rPr>
        <w:t>be</w:t>
      </w:r>
      <w:r w:rsidR="00716B73" w:rsidRPr="0017095C">
        <w:rPr>
          <w:rFonts w:eastAsia="SimSun"/>
          <w:szCs w:val="24"/>
          <w:lang w:val="en-CA"/>
        </w:rPr>
        <w:t>cause the project was</w:t>
      </w:r>
      <w:r w:rsidR="009C3E0D" w:rsidRPr="0017095C">
        <w:rPr>
          <w:rFonts w:eastAsia="SimSun"/>
          <w:szCs w:val="24"/>
          <w:lang w:val="en-CA"/>
        </w:rPr>
        <w:t xml:space="preserve"> located in Canada, most </w:t>
      </w:r>
      <w:r w:rsidR="00C00AE7" w:rsidRPr="0017095C">
        <w:rPr>
          <w:rFonts w:eastAsia="SimSun"/>
          <w:szCs w:val="24"/>
          <w:lang w:val="en-CA"/>
        </w:rPr>
        <w:t>operating costs and expenses w</w:t>
      </w:r>
      <w:r w:rsidR="009C3E0D" w:rsidRPr="0017095C">
        <w:rPr>
          <w:rFonts w:eastAsia="SimSun"/>
          <w:szCs w:val="24"/>
          <w:lang w:val="en-CA"/>
        </w:rPr>
        <w:t>ould be incurred</w:t>
      </w:r>
      <w:r w:rsidR="00C00AE7" w:rsidRPr="0017095C">
        <w:rPr>
          <w:rFonts w:eastAsia="SimSun"/>
          <w:szCs w:val="24"/>
          <w:lang w:val="en-CA"/>
        </w:rPr>
        <w:t xml:space="preserve"> in Canadian dollars, </w:t>
      </w:r>
      <w:r w:rsidR="009C3E0D" w:rsidRPr="0017095C">
        <w:rPr>
          <w:rFonts w:eastAsia="SimSun"/>
          <w:szCs w:val="24"/>
          <w:lang w:val="en-CA"/>
        </w:rPr>
        <w:t>which created</w:t>
      </w:r>
      <w:r w:rsidR="00C00AE7" w:rsidRPr="0017095C">
        <w:rPr>
          <w:rFonts w:eastAsia="SimSun"/>
          <w:szCs w:val="24"/>
          <w:lang w:val="en-CA"/>
        </w:rPr>
        <w:t xml:space="preserve"> a certain</w:t>
      </w:r>
      <w:r w:rsidR="009C3E0D" w:rsidRPr="0017095C">
        <w:rPr>
          <w:rFonts w:eastAsia="SimSun"/>
          <w:szCs w:val="24"/>
          <w:lang w:val="en-CA"/>
        </w:rPr>
        <w:t xml:space="preserve"> amount of</w:t>
      </w:r>
      <w:r w:rsidR="00C00AE7" w:rsidRPr="0017095C">
        <w:rPr>
          <w:rFonts w:eastAsia="SimSun"/>
          <w:szCs w:val="24"/>
          <w:lang w:val="en-CA"/>
        </w:rPr>
        <w:t xml:space="preserve"> foreign exchange risk.</w:t>
      </w:r>
    </w:p>
    <w:p w14:paraId="174992DD" w14:textId="77777777" w:rsidR="00C00AE7" w:rsidRPr="0017095C" w:rsidRDefault="00C00AE7" w:rsidP="00C00AE7">
      <w:pPr>
        <w:pStyle w:val="BodyTextMain"/>
        <w:rPr>
          <w:rFonts w:eastAsia="SimSun"/>
          <w:szCs w:val="24"/>
          <w:lang w:val="en-CA" w:eastAsia="zh-CN"/>
        </w:rPr>
      </w:pPr>
    </w:p>
    <w:p w14:paraId="1ADBD2D5" w14:textId="18AA1439" w:rsidR="00C00AE7" w:rsidRPr="0017095C" w:rsidRDefault="00C00AE7" w:rsidP="00C00AE7">
      <w:pPr>
        <w:pStyle w:val="BodyTextMain"/>
        <w:rPr>
          <w:rFonts w:eastAsia="SimSun"/>
          <w:szCs w:val="24"/>
          <w:lang w:val="en-CA"/>
        </w:rPr>
      </w:pPr>
      <w:r w:rsidRPr="0017095C">
        <w:rPr>
          <w:rFonts w:eastAsia="SimSun"/>
          <w:szCs w:val="24"/>
          <w:lang w:val="en-CA"/>
        </w:rPr>
        <w:t xml:space="preserve">Shandong Gold </w:t>
      </w:r>
      <w:r w:rsidR="009C3E0D" w:rsidRPr="0017095C">
        <w:rPr>
          <w:rFonts w:eastAsia="SimSun"/>
          <w:szCs w:val="24"/>
          <w:lang w:val="en-CA"/>
        </w:rPr>
        <w:t xml:space="preserve">had to consider all of these issues and make a decision. Was its </w:t>
      </w:r>
      <w:r w:rsidRPr="0017095C">
        <w:rPr>
          <w:rFonts w:eastAsia="SimSun"/>
          <w:szCs w:val="24"/>
          <w:lang w:val="en-CA"/>
        </w:rPr>
        <w:t xml:space="preserve">proposed acquisition of </w:t>
      </w:r>
      <w:r w:rsidRPr="0017095C">
        <w:rPr>
          <w:lang w:val="en-CA"/>
        </w:rPr>
        <w:t xml:space="preserve">TMAC </w:t>
      </w:r>
      <w:r w:rsidRPr="0017095C">
        <w:rPr>
          <w:rFonts w:eastAsia="SimSun"/>
          <w:szCs w:val="24"/>
          <w:lang w:val="en-CA"/>
        </w:rPr>
        <w:t>a wise choice?</w:t>
      </w:r>
      <w:r w:rsidR="00716B73" w:rsidRPr="0017095C">
        <w:rPr>
          <w:rFonts w:eastAsia="SimSun"/>
          <w:szCs w:val="24"/>
          <w:lang w:val="en-CA"/>
        </w:rPr>
        <w:t xml:space="preserve"> If it was, </w:t>
      </w:r>
      <w:r w:rsidR="00050E72" w:rsidRPr="0017095C">
        <w:rPr>
          <w:rFonts w:eastAsia="SimSun"/>
          <w:szCs w:val="24"/>
          <w:lang w:val="en-CA"/>
        </w:rPr>
        <w:t>were</w:t>
      </w:r>
      <w:r w:rsidR="00716B73" w:rsidRPr="0017095C">
        <w:rPr>
          <w:rFonts w:eastAsia="SimSun"/>
          <w:szCs w:val="24"/>
          <w:lang w:val="en-CA"/>
        </w:rPr>
        <w:t xml:space="preserve"> final government approvals</w:t>
      </w:r>
      <w:r w:rsidR="00050E72" w:rsidRPr="0017095C">
        <w:rPr>
          <w:rFonts w:eastAsia="SimSun"/>
          <w:szCs w:val="24"/>
          <w:lang w:val="en-CA"/>
        </w:rPr>
        <w:t xml:space="preserve"> likely to</w:t>
      </w:r>
      <w:r w:rsidR="00716B73" w:rsidRPr="0017095C">
        <w:rPr>
          <w:rFonts w:eastAsia="SimSun"/>
          <w:szCs w:val="24"/>
          <w:lang w:val="en-CA"/>
        </w:rPr>
        <w:t xml:space="preserve"> come through?</w:t>
      </w:r>
    </w:p>
    <w:p w14:paraId="60D1CAB7" w14:textId="77777777" w:rsidR="00C00AE7" w:rsidRPr="0017095C" w:rsidRDefault="00C00AE7">
      <w:pPr>
        <w:spacing w:after="200" w:line="276" w:lineRule="auto"/>
        <w:rPr>
          <w:rFonts w:eastAsia="SimSun"/>
          <w:color w:val="000000" w:themeColor="text1"/>
          <w:sz w:val="22"/>
          <w:szCs w:val="24"/>
          <w:lang w:val="en-CA"/>
        </w:rPr>
      </w:pPr>
      <w:r w:rsidRPr="0017095C">
        <w:rPr>
          <w:rFonts w:eastAsia="SimSun"/>
          <w:color w:val="000000" w:themeColor="text1"/>
          <w:szCs w:val="24"/>
          <w:lang w:val="en-CA"/>
        </w:rPr>
        <w:br w:type="page"/>
      </w:r>
    </w:p>
    <w:p w14:paraId="2EF6DD4B" w14:textId="45ACA9CA" w:rsidR="00CC1459" w:rsidRPr="0017095C" w:rsidRDefault="00CC1459" w:rsidP="00CC1459">
      <w:pPr>
        <w:pStyle w:val="ExhibitHeading"/>
        <w:rPr>
          <w:rFonts w:eastAsiaTheme="minorEastAsia"/>
          <w:color w:val="000000" w:themeColor="text1"/>
          <w:lang w:val="en-CA" w:eastAsia="zh-CN"/>
        </w:rPr>
      </w:pPr>
      <w:r w:rsidRPr="0017095C">
        <w:rPr>
          <w:color w:val="000000" w:themeColor="text1"/>
          <w:lang w:val="en-CA"/>
        </w:rPr>
        <w:lastRenderedPageBreak/>
        <w:t xml:space="preserve">EXHIBIT </w:t>
      </w:r>
      <w:r w:rsidR="00AC7323" w:rsidRPr="0017095C">
        <w:rPr>
          <w:color w:val="000000" w:themeColor="text1"/>
          <w:lang w:val="en-CA"/>
        </w:rPr>
        <w:t>1</w:t>
      </w:r>
      <w:r w:rsidRPr="0017095C">
        <w:rPr>
          <w:color w:val="000000" w:themeColor="text1"/>
          <w:lang w:val="en-CA"/>
        </w:rPr>
        <w:t>: HOPE BAY PROVEN</w:t>
      </w:r>
      <w:r w:rsidRPr="0017095C">
        <w:rPr>
          <w:rFonts w:eastAsiaTheme="minorEastAsia"/>
          <w:color w:val="000000" w:themeColor="text1"/>
          <w:lang w:val="en-CA" w:eastAsia="zh-CN"/>
        </w:rPr>
        <w:t xml:space="preserve"> AND </w:t>
      </w:r>
      <w:r w:rsidRPr="0017095C">
        <w:rPr>
          <w:color w:val="000000" w:themeColor="text1"/>
          <w:lang w:val="en-CA"/>
        </w:rPr>
        <w:t>PROBABLE MINERAL RESERVES</w:t>
      </w:r>
    </w:p>
    <w:p w14:paraId="4F944483" w14:textId="77777777" w:rsidR="00CC1459" w:rsidRPr="0017095C" w:rsidRDefault="00CC1459" w:rsidP="00CC1459">
      <w:pPr>
        <w:pStyle w:val="ExhibitHeading"/>
        <w:rPr>
          <w:rFonts w:eastAsiaTheme="minorEastAsia"/>
          <w:color w:val="000000" w:themeColor="text1"/>
          <w:lang w:val="en-CA" w:eastAsia="zh-CN"/>
        </w:rPr>
      </w:pPr>
    </w:p>
    <w:tbl>
      <w:tblPr>
        <w:tblStyle w:val="TableGrid"/>
        <w:tblW w:w="9535" w:type="dxa"/>
        <w:jc w:val="center"/>
        <w:tblCellMar>
          <w:top w:w="29" w:type="dxa"/>
          <w:bottom w:w="29" w:type="dxa"/>
        </w:tblCellMar>
        <w:tblLook w:val="04A0" w:firstRow="1" w:lastRow="0" w:firstColumn="1" w:lastColumn="0" w:noHBand="0" w:noVBand="1"/>
        <w:tblCaption w:val="Exhibit 1"/>
        <w:tblDescription w:val="Hope Bay proven and probably mineral reserves"/>
      </w:tblPr>
      <w:tblGrid>
        <w:gridCol w:w="2515"/>
        <w:gridCol w:w="1620"/>
        <w:gridCol w:w="3060"/>
        <w:gridCol w:w="2340"/>
      </w:tblGrid>
      <w:tr w:rsidR="00CC1459" w:rsidRPr="0017095C" w14:paraId="523CE3CD" w14:textId="77777777" w:rsidTr="00BC353D">
        <w:trPr>
          <w:tblHeader/>
          <w:jc w:val="center"/>
        </w:trPr>
        <w:tc>
          <w:tcPr>
            <w:tcW w:w="2515" w:type="dxa"/>
          </w:tcPr>
          <w:p w14:paraId="06152D43" w14:textId="259EFAD2" w:rsidR="00CC1459" w:rsidRPr="0017095C" w:rsidRDefault="00CC1459" w:rsidP="00B71486">
            <w:pPr>
              <w:pStyle w:val="Default"/>
              <w:jc w:val="center"/>
              <w:rPr>
                <w:rFonts w:ascii="Arial" w:hAnsi="Arial" w:cs="Arial" w:hint="default"/>
                <w:b/>
                <w:color w:val="000000" w:themeColor="text1"/>
                <w:sz w:val="20"/>
                <w:lang w:val="en-CA"/>
              </w:rPr>
            </w:pPr>
            <w:r w:rsidRPr="0017095C">
              <w:rPr>
                <w:rFonts w:ascii="Arial" w:hAnsi="Arial" w:cs="Arial" w:hint="default"/>
                <w:b/>
                <w:color w:val="000000" w:themeColor="text1"/>
                <w:sz w:val="20"/>
                <w:lang w:val="en-CA"/>
              </w:rPr>
              <w:t>Category</w:t>
            </w:r>
            <w:r w:rsidR="003619CC" w:rsidRPr="0017095C">
              <w:rPr>
                <w:rFonts w:ascii="Arial" w:hAnsi="Arial" w:cs="Arial" w:hint="default"/>
                <w:b/>
                <w:color w:val="000000" w:themeColor="text1"/>
                <w:sz w:val="20"/>
                <w:lang w:val="en-CA"/>
              </w:rPr>
              <w:t xml:space="preserve"> and </w:t>
            </w:r>
            <w:r w:rsidRPr="0017095C">
              <w:rPr>
                <w:rFonts w:ascii="Arial" w:hAnsi="Arial" w:cs="Arial" w:hint="default"/>
                <w:b/>
                <w:color w:val="000000" w:themeColor="text1"/>
                <w:sz w:val="20"/>
                <w:lang w:val="en-CA"/>
              </w:rPr>
              <w:t>Deposit</w:t>
            </w:r>
          </w:p>
        </w:tc>
        <w:tc>
          <w:tcPr>
            <w:tcW w:w="1620" w:type="dxa"/>
          </w:tcPr>
          <w:p w14:paraId="75760461" w14:textId="3AAB7099" w:rsidR="00CC1459" w:rsidRPr="0017095C" w:rsidRDefault="00CC1459" w:rsidP="00B71486">
            <w:pPr>
              <w:pStyle w:val="Default"/>
              <w:jc w:val="center"/>
              <w:rPr>
                <w:rFonts w:ascii="Arial" w:hAnsi="Arial" w:cs="Arial" w:hint="default"/>
                <w:b/>
                <w:color w:val="000000" w:themeColor="text1"/>
                <w:sz w:val="20"/>
                <w:lang w:val="en-CA"/>
              </w:rPr>
            </w:pPr>
            <w:r w:rsidRPr="0017095C">
              <w:rPr>
                <w:rFonts w:ascii="Arial" w:hAnsi="Arial" w:cs="Arial" w:hint="default"/>
                <w:b/>
                <w:color w:val="000000" w:themeColor="text1"/>
                <w:sz w:val="20"/>
                <w:lang w:val="en-CA"/>
              </w:rPr>
              <w:t xml:space="preserve">Tonnes </w:t>
            </w:r>
            <w:r w:rsidR="00405BEB" w:rsidRPr="0017095C">
              <w:rPr>
                <w:rFonts w:ascii="Arial" w:hAnsi="Arial" w:cs="Arial" w:hint="default"/>
                <w:b/>
                <w:color w:val="000000" w:themeColor="text1"/>
                <w:sz w:val="20"/>
                <w:lang w:val="en-CA"/>
              </w:rPr>
              <w:br/>
            </w:r>
            <w:r w:rsidRPr="0017095C">
              <w:rPr>
                <w:rFonts w:ascii="Arial" w:hAnsi="Arial" w:cs="Arial" w:hint="default"/>
                <w:b/>
                <w:color w:val="000000" w:themeColor="text1"/>
                <w:sz w:val="20"/>
                <w:lang w:val="en-CA"/>
              </w:rPr>
              <w:t>(</w:t>
            </w:r>
            <w:r w:rsidR="00405BEB" w:rsidRPr="0017095C">
              <w:rPr>
                <w:rFonts w:ascii="Arial" w:hAnsi="Arial" w:cs="Arial" w:hint="default"/>
                <w:b/>
                <w:color w:val="000000" w:themeColor="text1"/>
                <w:sz w:val="20"/>
                <w:lang w:val="en-CA"/>
              </w:rPr>
              <w:t xml:space="preserve">in </w:t>
            </w:r>
            <w:r w:rsidR="003619CC" w:rsidRPr="0017095C">
              <w:rPr>
                <w:rFonts w:ascii="Arial" w:hAnsi="Arial" w:cs="Arial" w:hint="default"/>
                <w:b/>
                <w:color w:val="000000" w:themeColor="text1"/>
                <w:sz w:val="20"/>
                <w:lang w:val="en-CA"/>
              </w:rPr>
              <w:t>T</w:t>
            </w:r>
            <w:r w:rsidR="00405BEB" w:rsidRPr="0017095C">
              <w:rPr>
                <w:rFonts w:ascii="Arial" w:hAnsi="Arial" w:cs="Arial" w:hint="default"/>
                <w:b/>
                <w:color w:val="000000" w:themeColor="text1"/>
                <w:sz w:val="20"/>
                <w:lang w:val="en-CA"/>
              </w:rPr>
              <w:t>housand</w:t>
            </w:r>
            <w:r w:rsidRPr="0017095C">
              <w:rPr>
                <w:rFonts w:ascii="Arial" w:hAnsi="Arial" w:cs="Arial" w:hint="default"/>
                <w:b/>
                <w:color w:val="000000" w:themeColor="text1"/>
                <w:sz w:val="20"/>
                <w:lang w:val="en-CA"/>
              </w:rPr>
              <w:t>)</w:t>
            </w:r>
          </w:p>
        </w:tc>
        <w:tc>
          <w:tcPr>
            <w:tcW w:w="3060" w:type="dxa"/>
          </w:tcPr>
          <w:p w14:paraId="4B930169" w14:textId="6F97DF55" w:rsidR="00CC1459" w:rsidRPr="0017095C" w:rsidRDefault="00CC1459" w:rsidP="00B71486">
            <w:pPr>
              <w:pStyle w:val="Default"/>
              <w:jc w:val="center"/>
              <w:rPr>
                <w:rFonts w:ascii="Arial" w:hAnsi="Arial" w:cs="Arial" w:hint="default"/>
                <w:b/>
                <w:color w:val="000000" w:themeColor="text1"/>
                <w:sz w:val="20"/>
                <w:lang w:val="en-CA"/>
              </w:rPr>
            </w:pPr>
            <w:r w:rsidRPr="0017095C">
              <w:rPr>
                <w:rFonts w:ascii="Arial" w:hAnsi="Arial" w:cs="Arial" w:hint="default"/>
                <w:b/>
                <w:color w:val="000000" w:themeColor="text1"/>
                <w:sz w:val="20"/>
                <w:lang w:val="en-CA"/>
              </w:rPr>
              <w:t xml:space="preserve">Grade </w:t>
            </w:r>
            <w:r w:rsidR="003619CC" w:rsidRPr="0017095C">
              <w:rPr>
                <w:rFonts w:ascii="Arial" w:hAnsi="Arial" w:cs="Arial" w:hint="default"/>
                <w:b/>
                <w:color w:val="000000" w:themeColor="text1"/>
                <w:sz w:val="20"/>
                <w:lang w:val="en-CA"/>
              </w:rPr>
              <w:br/>
            </w:r>
            <w:r w:rsidRPr="0017095C">
              <w:rPr>
                <w:rFonts w:ascii="Arial" w:hAnsi="Arial" w:cs="Arial" w:hint="default"/>
                <w:b/>
                <w:color w:val="000000" w:themeColor="text1"/>
                <w:sz w:val="20"/>
                <w:lang w:val="en-CA"/>
              </w:rPr>
              <w:t>(</w:t>
            </w:r>
            <w:r w:rsidR="003619CC" w:rsidRPr="0017095C">
              <w:rPr>
                <w:rFonts w:ascii="Arial" w:hAnsi="Arial" w:cs="Arial" w:hint="default"/>
                <w:b/>
                <w:color w:val="000000" w:themeColor="text1"/>
                <w:sz w:val="20"/>
                <w:lang w:val="en-CA"/>
              </w:rPr>
              <w:t>in Grams per Tonne of</w:t>
            </w:r>
            <w:r w:rsidRPr="0017095C">
              <w:rPr>
                <w:rFonts w:ascii="Arial" w:hAnsi="Arial" w:cs="Arial" w:hint="default"/>
                <w:b/>
                <w:color w:val="000000" w:themeColor="text1"/>
                <w:sz w:val="20"/>
                <w:lang w:val="en-CA"/>
              </w:rPr>
              <w:t xml:space="preserve"> </w:t>
            </w:r>
            <w:r w:rsidR="003619CC" w:rsidRPr="0017095C">
              <w:rPr>
                <w:rFonts w:ascii="Arial" w:hAnsi="Arial" w:cs="Arial" w:hint="default"/>
                <w:b/>
                <w:color w:val="000000" w:themeColor="text1"/>
                <w:sz w:val="20"/>
                <w:lang w:val="en-CA"/>
              </w:rPr>
              <w:t>Gold</w:t>
            </w:r>
            <w:r w:rsidRPr="0017095C">
              <w:rPr>
                <w:rFonts w:ascii="Arial" w:hAnsi="Arial" w:cs="Arial" w:hint="default"/>
                <w:b/>
                <w:color w:val="000000" w:themeColor="text1"/>
                <w:sz w:val="20"/>
                <w:lang w:val="en-CA"/>
              </w:rPr>
              <w:t>)</w:t>
            </w:r>
          </w:p>
        </w:tc>
        <w:tc>
          <w:tcPr>
            <w:tcW w:w="2340" w:type="dxa"/>
          </w:tcPr>
          <w:p w14:paraId="367986F4" w14:textId="533C13ED" w:rsidR="00405BEB" w:rsidRPr="0017095C" w:rsidRDefault="00CC1459" w:rsidP="00B71486">
            <w:pPr>
              <w:pStyle w:val="Default"/>
              <w:jc w:val="center"/>
              <w:rPr>
                <w:rFonts w:ascii="Arial" w:hAnsi="Arial" w:cs="Arial" w:hint="default"/>
                <w:b/>
                <w:color w:val="000000" w:themeColor="text1"/>
                <w:sz w:val="20"/>
                <w:lang w:val="en-CA"/>
              </w:rPr>
            </w:pPr>
            <w:r w:rsidRPr="0017095C">
              <w:rPr>
                <w:rFonts w:ascii="Arial" w:hAnsi="Arial" w:cs="Arial" w:hint="default"/>
                <w:b/>
                <w:color w:val="000000" w:themeColor="text1"/>
                <w:sz w:val="20"/>
                <w:lang w:val="en-CA"/>
              </w:rPr>
              <w:t>Contain</w:t>
            </w:r>
            <w:r w:rsidR="003619CC" w:rsidRPr="0017095C">
              <w:rPr>
                <w:rFonts w:ascii="Arial" w:hAnsi="Arial" w:cs="Arial" w:hint="default"/>
                <w:b/>
                <w:color w:val="000000" w:themeColor="text1"/>
                <w:sz w:val="20"/>
                <w:lang w:val="en-CA"/>
              </w:rPr>
              <w:t>ing</w:t>
            </w:r>
            <w:r w:rsidRPr="0017095C">
              <w:rPr>
                <w:rFonts w:ascii="Arial" w:hAnsi="Arial" w:cs="Arial" w:hint="default"/>
                <w:b/>
                <w:color w:val="000000" w:themeColor="text1"/>
                <w:sz w:val="20"/>
                <w:lang w:val="en-CA"/>
              </w:rPr>
              <w:t xml:space="preserve"> </w:t>
            </w:r>
            <w:r w:rsidR="003619CC" w:rsidRPr="0017095C">
              <w:rPr>
                <w:rFonts w:ascii="Arial" w:hAnsi="Arial" w:cs="Arial" w:hint="default"/>
                <w:b/>
                <w:color w:val="000000" w:themeColor="text1"/>
                <w:sz w:val="20"/>
                <w:lang w:val="en-CA"/>
              </w:rPr>
              <w:t>Gold</w:t>
            </w:r>
          </w:p>
          <w:p w14:paraId="61AA02DE" w14:textId="00CD8317" w:rsidR="00CC1459" w:rsidRPr="0017095C" w:rsidRDefault="00CC1459" w:rsidP="00B71486">
            <w:pPr>
              <w:pStyle w:val="Default"/>
              <w:jc w:val="center"/>
              <w:rPr>
                <w:rFonts w:ascii="Arial" w:hAnsi="Arial" w:cs="Arial" w:hint="default"/>
                <w:b/>
                <w:color w:val="000000" w:themeColor="text1"/>
                <w:sz w:val="20"/>
                <w:lang w:val="en-CA"/>
              </w:rPr>
            </w:pPr>
            <w:r w:rsidRPr="0017095C">
              <w:rPr>
                <w:rFonts w:ascii="Arial" w:hAnsi="Arial" w:cs="Arial" w:hint="default"/>
                <w:b/>
                <w:color w:val="000000" w:themeColor="text1"/>
                <w:sz w:val="20"/>
                <w:lang w:val="en-CA"/>
              </w:rPr>
              <w:t>(</w:t>
            </w:r>
            <w:r w:rsidR="00405BEB" w:rsidRPr="0017095C">
              <w:rPr>
                <w:rFonts w:ascii="Arial" w:hAnsi="Arial" w:cs="Arial" w:hint="default"/>
                <w:b/>
                <w:color w:val="000000" w:themeColor="text1"/>
                <w:sz w:val="20"/>
                <w:lang w:val="en-CA"/>
              </w:rPr>
              <w:t xml:space="preserve">in </w:t>
            </w:r>
            <w:r w:rsidR="003619CC" w:rsidRPr="0017095C">
              <w:rPr>
                <w:rFonts w:ascii="Arial" w:hAnsi="Arial" w:cs="Arial" w:hint="default"/>
                <w:b/>
                <w:color w:val="000000" w:themeColor="text1"/>
                <w:sz w:val="20"/>
                <w:lang w:val="en-CA"/>
              </w:rPr>
              <w:t>T</w:t>
            </w:r>
            <w:r w:rsidR="00405BEB" w:rsidRPr="0017095C">
              <w:rPr>
                <w:rFonts w:ascii="Arial" w:hAnsi="Arial" w:cs="Arial" w:hint="default"/>
                <w:b/>
                <w:color w:val="000000" w:themeColor="text1"/>
                <w:sz w:val="20"/>
                <w:lang w:val="en-CA"/>
              </w:rPr>
              <w:t xml:space="preserve">housand </w:t>
            </w:r>
            <w:r w:rsidR="003619CC" w:rsidRPr="0017095C">
              <w:rPr>
                <w:rFonts w:ascii="Arial" w:hAnsi="Arial" w:cs="Arial" w:hint="default"/>
                <w:b/>
                <w:color w:val="000000" w:themeColor="text1"/>
                <w:sz w:val="20"/>
                <w:lang w:val="en-CA"/>
              </w:rPr>
              <w:t>O</w:t>
            </w:r>
            <w:r w:rsidR="00405BEB" w:rsidRPr="0017095C">
              <w:rPr>
                <w:rFonts w:ascii="Arial" w:hAnsi="Arial" w:cs="Arial" w:hint="default"/>
                <w:b/>
                <w:color w:val="000000" w:themeColor="text1"/>
                <w:sz w:val="20"/>
                <w:lang w:val="en-CA"/>
              </w:rPr>
              <w:t>unces</w:t>
            </w:r>
            <w:r w:rsidRPr="0017095C">
              <w:rPr>
                <w:rFonts w:ascii="Arial" w:hAnsi="Arial" w:cs="Arial" w:hint="default"/>
                <w:b/>
                <w:color w:val="000000" w:themeColor="text1"/>
                <w:sz w:val="20"/>
                <w:lang w:val="en-CA"/>
              </w:rPr>
              <w:t>)</w:t>
            </w:r>
          </w:p>
        </w:tc>
      </w:tr>
      <w:tr w:rsidR="00CC1459" w:rsidRPr="0017095C" w14:paraId="44F3A39A" w14:textId="77777777" w:rsidTr="00BC353D">
        <w:trPr>
          <w:tblHeader/>
          <w:jc w:val="center"/>
        </w:trPr>
        <w:tc>
          <w:tcPr>
            <w:tcW w:w="2515" w:type="dxa"/>
          </w:tcPr>
          <w:p w14:paraId="04FC118F" w14:textId="26A20EF7" w:rsidR="00CC1459" w:rsidRPr="0017095C" w:rsidRDefault="00CC1459" w:rsidP="00792B9F">
            <w:pPr>
              <w:pStyle w:val="Default"/>
              <w:rPr>
                <w:rFonts w:ascii="Arial" w:hAnsi="Arial" w:cs="Arial" w:hint="default"/>
                <w:b/>
                <w:bCs/>
                <w:color w:val="000000" w:themeColor="text1"/>
                <w:sz w:val="20"/>
                <w:lang w:val="en-CA"/>
              </w:rPr>
            </w:pPr>
            <w:r w:rsidRPr="0017095C">
              <w:rPr>
                <w:rFonts w:ascii="Arial" w:hAnsi="Arial" w:cs="Arial" w:hint="default"/>
                <w:b/>
                <w:bCs/>
                <w:color w:val="000000" w:themeColor="text1"/>
                <w:sz w:val="20"/>
                <w:lang w:val="en-CA"/>
              </w:rPr>
              <w:t>P</w:t>
            </w:r>
            <w:r w:rsidR="00405BEB" w:rsidRPr="0017095C">
              <w:rPr>
                <w:rFonts w:ascii="Arial" w:hAnsi="Arial" w:cs="Arial" w:hint="default"/>
                <w:b/>
                <w:bCs/>
                <w:color w:val="000000" w:themeColor="text1"/>
                <w:sz w:val="20"/>
                <w:lang w:val="en-CA"/>
              </w:rPr>
              <w:t>roven:</w:t>
            </w:r>
          </w:p>
        </w:tc>
        <w:tc>
          <w:tcPr>
            <w:tcW w:w="1620" w:type="dxa"/>
          </w:tcPr>
          <w:p w14:paraId="553A4582" w14:textId="77777777" w:rsidR="00CC1459" w:rsidRPr="0017095C" w:rsidRDefault="00CC1459" w:rsidP="00792B9F">
            <w:pPr>
              <w:rPr>
                <w:color w:val="000000" w:themeColor="text1"/>
                <w:lang w:val="en-CA"/>
              </w:rPr>
            </w:pPr>
          </w:p>
        </w:tc>
        <w:tc>
          <w:tcPr>
            <w:tcW w:w="3060" w:type="dxa"/>
          </w:tcPr>
          <w:p w14:paraId="37896CA9" w14:textId="77777777" w:rsidR="00CC1459" w:rsidRPr="0017095C" w:rsidRDefault="00CC1459" w:rsidP="00792B9F">
            <w:pPr>
              <w:rPr>
                <w:color w:val="000000" w:themeColor="text1"/>
                <w:lang w:val="en-CA"/>
              </w:rPr>
            </w:pPr>
          </w:p>
        </w:tc>
        <w:tc>
          <w:tcPr>
            <w:tcW w:w="2340" w:type="dxa"/>
          </w:tcPr>
          <w:p w14:paraId="2E1A6078" w14:textId="77777777" w:rsidR="00CC1459" w:rsidRPr="0017095C" w:rsidRDefault="00CC1459" w:rsidP="00792B9F">
            <w:pPr>
              <w:rPr>
                <w:color w:val="000000" w:themeColor="text1"/>
                <w:lang w:val="en-CA"/>
              </w:rPr>
            </w:pPr>
          </w:p>
        </w:tc>
      </w:tr>
      <w:tr w:rsidR="00CC1459" w:rsidRPr="0017095C" w14:paraId="5D983D08" w14:textId="77777777" w:rsidTr="00BC353D">
        <w:trPr>
          <w:tblHeader/>
          <w:jc w:val="center"/>
        </w:trPr>
        <w:tc>
          <w:tcPr>
            <w:tcW w:w="2515" w:type="dxa"/>
          </w:tcPr>
          <w:p w14:paraId="51D813C6"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Stockpiles</w:t>
            </w:r>
          </w:p>
        </w:tc>
        <w:tc>
          <w:tcPr>
            <w:tcW w:w="1620" w:type="dxa"/>
          </w:tcPr>
          <w:p w14:paraId="697B820C"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99</w:t>
            </w:r>
          </w:p>
        </w:tc>
        <w:tc>
          <w:tcPr>
            <w:tcW w:w="3060" w:type="dxa"/>
          </w:tcPr>
          <w:p w14:paraId="4238EE83" w14:textId="77777777" w:rsidR="00CC1459" w:rsidRPr="0017095C" w:rsidRDefault="00CC1459" w:rsidP="00792B9F">
            <w:pPr>
              <w:jc w:val="center"/>
              <w:rPr>
                <w:rFonts w:ascii="Arial" w:eastAsia="KaiTi_GB2312" w:hAnsi="Arial" w:cs="Arial"/>
                <w:color w:val="000000" w:themeColor="text1"/>
                <w:lang w:val="en-CA"/>
              </w:rPr>
            </w:pPr>
            <w:r w:rsidRPr="0017095C">
              <w:rPr>
                <w:rFonts w:ascii="Arial" w:eastAsia="KaiTi_GB2312" w:hAnsi="Arial" w:cs="Arial"/>
                <w:color w:val="000000" w:themeColor="text1"/>
                <w:lang w:val="en-CA"/>
              </w:rPr>
              <w:t>4.1</w:t>
            </w:r>
          </w:p>
        </w:tc>
        <w:tc>
          <w:tcPr>
            <w:tcW w:w="2340" w:type="dxa"/>
          </w:tcPr>
          <w:p w14:paraId="1D22DD80" w14:textId="77777777" w:rsidR="00CC1459" w:rsidRPr="0017095C" w:rsidRDefault="00CC1459" w:rsidP="00792B9F">
            <w:pPr>
              <w:jc w:val="center"/>
              <w:rPr>
                <w:rFonts w:ascii="Arial" w:eastAsia="KaiTi_GB2312" w:hAnsi="Arial" w:cs="Arial"/>
                <w:color w:val="000000" w:themeColor="text1"/>
                <w:lang w:val="en-CA"/>
              </w:rPr>
            </w:pPr>
            <w:r w:rsidRPr="0017095C">
              <w:rPr>
                <w:rFonts w:ascii="Arial" w:eastAsia="KaiTi_GB2312" w:hAnsi="Arial" w:cs="Arial"/>
                <w:color w:val="000000" w:themeColor="text1"/>
                <w:lang w:val="en-CA"/>
              </w:rPr>
              <w:t>13</w:t>
            </w:r>
          </w:p>
        </w:tc>
      </w:tr>
      <w:tr w:rsidR="00CC1459" w:rsidRPr="0017095C" w14:paraId="1AFF32C7" w14:textId="77777777" w:rsidTr="00BC353D">
        <w:trPr>
          <w:tblHeader/>
          <w:jc w:val="center"/>
        </w:trPr>
        <w:tc>
          <w:tcPr>
            <w:tcW w:w="2515" w:type="dxa"/>
          </w:tcPr>
          <w:p w14:paraId="346A4B53"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Total Proven</w:t>
            </w:r>
          </w:p>
        </w:tc>
        <w:tc>
          <w:tcPr>
            <w:tcW w:w="1620" w:type="dxa"/>
          </w:tcPr>
          <w:p w14:paraId="6CD88CCF"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99</w:t>
            </w:r>
          </w:p>
        </w:tc>
        <w:tc>
          <w:tcPr>
            <w:tcW w:w="3060" w:type="dxa"/>
          </w:tcPr>
          <w:p w14:paraId="4A9EE359"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4.1</w:t>
            </w:r>
          </w:p>
        </w:tc>
        <w:tc>
          <w:tcPr>
            <w:tcW w:w="2340" w:type="dxa"/>
          </w:tcPr>
          <w:p w14:paraId="4C84BACD"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13</w:t>
            </w:r>
          </w:p>
        </w:tc>
      </w:tr>
      <w:tr w:rsidR="00CC1459" w:rsidRPr="0017095C" w14:paraId="4DB3C402" w14:textId="77777777" w:rsidTr="00BC353D">
        <w:trPr>
          <w:tblHeader/>
          <w:jc w:val="center"/>
        </w:trPr>
        <w:tc>
          <w:tcPr>
            <w:tcW w:w="2515" w:type="dxa"/>
          </w:tcPr>
          <w:p w14:paraId="4B4BA9C6" w14:textId="13371A01" w:rsidR="00CC1459" w:rsidRPr="0017095C" w:rsidRDefault="00CC1459" w:rsidP="00792B9F">
            <w:pPr>
              <w:pStyle w:val="Default"/>
              <w:rPr>
                <w:rFonts w:ascii="Arial" w:hAnsi="Arial" w:cs="Arial" w:hint="default"/>
                <w:b/>
                <w:bCs/>
                <w:color w:val="000000" w:themeColor="text1"/>
                <w:sz w:val="20"/>
                <w:lang w:val="en-CA"/>
              </w:rPr>
            </w:pPr>
            <w:r w:rsidRPr="0017095C">
              <w:rPr>
                <w:rFonts w:ascii="Arial" w:hAnsi="Arial" w:cs="Arial" w:hint="default"/>
                <w:b/>
                <w:bCs/>
                <w:color w:val="000000" w:themeColor="text1"/>
                <w:sz w:val="20"/>
                <w:lang w:val="en-CA"/>
              </w:rPr>
              <w:t>P</w:t>
            </w:r>
            <w:r w:rsidR="00405BEB" w:rsidRPr="0017095C">
              <w:rPr>
                <w:rFonts w:ascii="Arial" w:hAnsi="Arial" w:cs="Arial" w:hint="default"/>
                <w:b/>
                <w:bCs/>
                <w:color w:val="000000" w:themeColor="text1"/>
                <w:sz w:val="20"/>
                <w:lang w:val="en-CA"/>
              </w:rPr>
              <w:t>robable:</w:t>
            </w:r>
          </w:p>
        </w:tc>
        <w:tc>
          <w:tcPr>
            <w:tcW w:w="1620" w:type="dxa"/>
          </w:tcPr>
          <w:p w14:paraId="30BCF496" w14:textId="77777777" w:rsidR="00CC1459" w:rsidRPr="0017095C" w:rsidRDefault="00CC1459" w:rsidP="00792B9F">
            <w:pPr>
              <w:pStyle w:val="Default"/>
              <w:jc w:val="center"/>
              <w:rPr>
                <w:rFonts w:ascii="Arial" w:hAnsi="Arial" w:cs="Arial" w:hint="default"/>
                <w:color w:val="000000" w:themeColor="text1"/>
                <w:sz w:val="20"/>
                <w:lang w:val="en-CA"/>
              </w:rPr>
            </w:pPr>
          </w:p>
        </w:tc>
        <w:tc>
          <w:tcPr>
            <w:tcW w:w="3060" w:type="dxa"/>
          </w:tcPr>
          <w:p w14:paraId="5BFFE84C" w14:textId="77777777" w:rsidR="00CC1459" w:rsidRPr="0017095C" w:rsidRDefault="00CC1459" w:rsidP="00792B9F">
            <w:pPr>
              <w:pStyle w:val="Default"/>
              <w:jc w:val="center"/>
              <w:rPr>
                <w:rFonts w:ascii="Arial" w:hAnsi="Arial" w:cs="Arial" w:hint="default"/>
                <w:color w:val="000000" w:themeColor="text1"/>
                <w:sz w:val="20"/>
                <w:lang w:val="en-CA"/>
              </w:rPr>
            </w:pPr>
          </w:p>
        </w:tc>
        <w:tc>
          <w:tcPr>
            <w:tcW w:w="2340" w:type="dxa"/>
          </w:tcPr>
          <w:p w14:paraId="037F823B" w14:textId="77777777" w:rsidR="00CC1459" w:rsidRPr="0017095C" w:rsidRDefault="00CC1459" w:rsidP="00792B9F">
            <w:pPr>
              <w:pStyle w:val="Default"/>
              <w:jc w:val="center"/>
              <w:rPr>
                <w:rFonts w:ascii="Arial" w:hAnsi="Arial" w:cs="Arial" w:hint="default"/>
                <w:color w:val="000000" w:themeColor="text1"/>
                <w:sz w:val="20"/>
                <w:lang w:val="en-CA"/>
              </w:rPr>
            </w:pPr>
          </w:p>
        </w:tc>
      </w:tr>
      <w:tr w:rsidR="00CC1459" w:rsidRPr="0017095C" w14:paraId="6BF739D5" w14:textId="77777777" w:rsidTr="00BC353D">
        <w:trPr>
          <w:tblHeader/>
          <w:jc w:val="center"/>
        </w:trPr>
        <w:tc>
          <w:tcPr>
            <w:tcW w:w="2515" w:type="dxa"/>
          </w:tcPr>
          <w:p w14:paraId="047371DF"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Doris</w:t>
            </w:r>
          </w:p>
        </w:tc>
        <w:tc>
          <w:tcPr>
            <w:tcW w:w="1620" w:type="dxa"/>
          </w:tcPr>
          <w:p w14:paraId="5BE43620"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1,194</w:t>
            </w:r>
          </w:p>
        </w:tc>
        <w:tc>
          <w:tcPr>
            <w:tcW w:w="3060" w:type="dxa"/>
          </w:tcPr>
          <w:p w14:paraId="5CFD59B7"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8.4</w:t>
            </w:r>
          </w:p>
        </w:tc>
        <w:tc>
          <w:tcPr>
            <w:tcW w:w="2340" w:type="dxa"/>
          </w:tcPr>
          <w:p w14:paraId="7E67B77D"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321</w:t>
            </w:r>
          </w:p>
        </w:tc>
      </w:tr>
      <w:tr w:rsidR="00CC1459" w:rsidRPr="0017095C" w14:paraId="12CBCC04" w14:textId="77777777" w:rsidTr="00BC353D">
        <w:trPr>
          <w:tblHeader/>
          <w:jc w:val="center"/>
        </w:trPr>
        <w:tc>
          <w:tcPr>
            <w:tcW w:w="2515" w:type="dxa"/>
          </w:tcPr>
          <w:p w14:paraId="0672914D"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Madrid North UG</w:t>
            </w:r>
          </w:p>
        </w:tc>
        <w:tc>
          <w:tcPr>
            <w:tcW w:w="1620" w:type="dxa"/>
          </w:tcPr>
          <w:p w14:paraId="743CE041"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7,525</w:t>
            </w:r>
          </w:p>
        </w:tc>
        <w:tc>
          <w:tcPr>
            <w:tcW w:w="3060" w:type="dxa"/>
          </w:tcPr>
          <w:p w14:paraId="5E742109"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6.1</w:t>
            </w:r>
          </w:p>
        </w:tc>
        <w:tc>
          <w:tcPr>
            <w:tcW w:w="2340" w:type="dxa"/>
          </w:tcPr>
          <w:p w14:paraId="28244730"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1,466</w:t>
            </w:r>
          </w:p>
        </w:tc>
      </w:tr>
      <w:tr w:rsidR="00CC1459" w:rsidRPr="0017095C" w14:paraId="61F5AA8D" w14:textId="77777777" w:rsidTr="00BC353D">
        <w:trPr>
          <w:tblHeader/>
          <w:jc w:val="center"/>
        </w:trPr>
        <w:tc>
          <w:tcPr>
            <w:tcW w:w="2515" w:type="dxa"/>
          </w:tcPr>
          <w:p w14:paraId="2F5E652F" w14:textId="5D8EBFA1"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Mad</w:t>
            </w:r>
            <w:r w:rsidR="00405BEB" w:rsidRPr="0017095C">
              <w:rPr>
                <w:rFonts w:ascii="Arial" w:hAnsi="Arial" w:cs="Arial" w:hint="default"/>
                <w:color w:val="000000" w:themeColor="text1"/>
                <w:sz w:val="20"/>
                <w:lang w:val="en-CA"/>
              </w:rPr>
              <w:t>r</w:t>
            </w:r>
            <w:r w:rsidRPr="0017095C">
              <w:rPr>
                <w:rFonts w:ascii="Arial" w:hAnsi="Arial" w:cs="Arial" w:hint="default"/>
                <w:color w:val="000000" w:themeColor="text1"/>
                <w:sz w:val="20"/>
                <w:lang w:val="en-CA"/>
              </w:rPr>
              <w:t>id North Crown Pillar</w:t>
            </w:r>
          </w:p>
        </w:tc>
        <w:tc>
          <w:tcPr>
            <w:tcW w:w="1620" w:type="dxa"/>
          </w:tcPr>
          <w:p w14:paraId="535C8A99"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212</w:t>
            </w:r>
          </w:p>
        </w:tc>
        <w:tc>
          <w:tcPr>
            <w:tcW w:w="3060" w:type="dxa"/>
          </w:tcPr>
          <w:p w14:paraId="203DF736"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5.7</w:t>
            </w:r>
          </w:p>
        </w:tc>
        <w:tc>
          <w:tcPr>
            <w:tcW w:w="2340" w:type="dxa"/>
          </w:tcPr>
          <w:p w14:paraId="04418E1D"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39</w:t>
            </w:r>
          </w:p>
        </w:tc>
      </w:tr>
      <w:tr w:rsidR="00CC1459" w:rsidRPr="0017095C" w14:paraId="0F50F11F" w14:textId="77777777" w:rsidTr="00BC353D">
        <w:trPr>
          <w:tblHeader/>
          <w:jc w:val="center"/>
        </w:trPr>
        <w:tc>
          <w:tcPr>
            <w:tcW w:w="2515" w:type="dxa"/>
          </w:tcPr>
          <w:p w14:paraId="289CD005"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Suluk</w:t>
            </w:r>
          </w:p>
        </w:tc>
        <w:tc>
          <w:tcPr>
            <w:tcW w:w="1620" w:type="dxa"/>
          </w:tcPr>
          <w:p w14:paraId="22E51FC4"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3,703</w:t>
            </w:r>
          </w:p>
        </w:tc>
        <w:tc>
          <w:tcPr>
            <w:tcW w:w="3060" w:type="dxa"/>
          </w:tcPr>
          <w:p w14:paraId="4B0074C6"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5.8</w:t>
            </w:r>
          </w:p>
        </w:tc>
        <w:tc>
          <w:tcPr>
            <w:tcW w:w="2340" w:type="dxa"/>
          </w:tcPr>
          <w:p w14:paraId="6B8CB036"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695</w:t>
            </w:r>
          </w:p>
        </w:tc>
      </w:tr>
      <w:tr w:rsidR="00CC1459" w:rsidRPr="0017095C" w14:paraId="7ED139C3" w14:textId="77777777" w:rsidTr="00BC353D">
        <w:trPr>
          <w:tblHeader/>
          <w:jc w:val="center"/>
        </w:trPr>
        <w:tc>
          <w:tcPr>
            <w:tcW w:w="2515" w:type="dxa"/>
          </w:tcPr>
          <w:p w14:paraId="2F3EDC26"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Madrid South</w:t>
            </w:r>
          </w:p>
        </w:tc>
        <w:tc>
          <w:tcPr>
            <w:tcW w:w="1620" w:type="dxa"/>
          </w:tcPr>
          <w:p w14:paraId="199065E3"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842</w:t>
            </w:r>
          </w:p>
        </w:tc>
        <w:tc>
          <w:tcPr>
            <w:tcW w:w="3060" w:type="dxa"/>
          </w:tcPr>
          <w:p w14:paraId="53A18543"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9.1</w:t>
            </w:r>
          </w:p>
        </w:tc>
        <w:tc>
          <w:tcPr>
            <w:tcW w:w="2340" w:type="dxa"/>
          </w:tcPr>
          <w:p w14:paraId="76824656"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245</w:t>
            </w:r>
          </w:p>
        </w:tc>
      </w:tr>
      <w:tr w:rsidR="00CC1459" w:rsidRPr="0017095C" w14:paraId="7622A4AD" w14:textId="77777777" w:rsidTr="00BC353D">
        <w:trPr>
          <w:tblHeader/>
          <w:jc w:val="center"/>
        </w:trPr>
        <w:tc>
          <w:tcPr>
            <w:tcW w:w="2515" w:type="dxa"/>
          </w:tcPr>
          <w:p w14:paraId="3BA1FD07"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Boston</w:t>
            </w:r>
          </w:p>
        </w:tc>
        <w:tc>
          <w:tcPr>
            <w:tcW w:w="1620" w:type="dxa"/>
          </w:tcPr>
          <w:p w14:paraId="5074D3E1"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3,306</w:t>
            </w:r>
          </w:p>
        </w:tc>
        <w:tc>
          <w:tcPr>
            <w:tcW w:w="3060" w:type="dxa"/>
          </w:tcPr>
          <w:p w14:paraId="2CF12C84"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7.2</w:t>
            </w:r>
          </w:p>
        </w:tc>
        <w:tc>
          <w:tcPr>
            <w:tcW w:w="2340" w:type="dxa"/>
          </w:tcPr>
          <w:p w14:paraId="3B458C42"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766</w:t>
            </w:r>
          </w:p>
        </w:tc>
      </w:tr>
      <w:tr w:rsidR="00CC1459" w:rsidRPr="0017095C" w14:paraId="46A5CCDF" w14:textId="77777777" w:rsidTr="00BC353D">
        <w:trPr>
          <w:tblHeader/>
          <w:jc w:val="center"/>
        </w:trPr>
        <w:tc>
          <w:tcPr>
            <w:tcW w:w="2515" w:type="dxa"/>
          </w:tcPr>
          <w:p w14:paraId="2A1485D9" w14:textId="77777777" w:rsidR="00CC1459" w:rsidRPr="0017095C" w:rsidRDefault="00CC1459" w:rsidP="00792B9F">
            <w:pPr>
              <w:pStyle w:val="Default"/>
              <w:rPr>
                <w:rFonts w:ascii="Arial" w:hAnsi="Arial" w:cs="Arial" w:hint="default"/>
                <w:color w:val="000000" w:themeColor="text1"/>
                <w:sz w:val="20"/>
                <w:lang w:val="en-CA"/>
              </w:rPr>
            </w:pPr>
            <w:r w:rsidRPr="0017095C">
              <w:rPr>
                <w:rFonts w:ascii="Arial" w:hAnsi="Arial" w:cs="Arial" w:hint="default"/>
                <w:color w:val="000000" w:themeColor="text1"/>
                <w:sz w:val="20"/>
                <w:lang w:val="en-CA"/>
              </w:rPr>
              <w:t>Total Probable</w:t>
            </w:r>
          </w:p>
        </w:tc>
        <w:tc>
          <w:tcPr>
            <w:tcW w:w="1620" w:type="dxa"/>
          </w:tcPr>
          <w:p w14:paraId="705F9931"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16,782</w:t>
            </w:r>
          </w:p>
        </w:tc>
        <w:tc>
          <w:tcPr>
            <w:tcW w:w="3060" w:type="dxa"/>
          </w:tcPr>
          <w:p w14:paraId="1E84D1F5"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6.5</w:t>
            </w:r>
          </w:p>
        </w:tc>
        <w:tc>
          <w:tcPr>
            <w:tcW w:w="2340" w:type="dxa"/>
          </w:tcPr>
          <w:p w14:paraId="68775FDF" w14:textId="77777777" w:rsidR="00CC1459" w:rsidRPr="0017095C" w:rsidRDefault="00CC1459" w:rsidP="00792B9F">
            <w:pPr>
              <w:pStyle w:val="Default"/>
              <w:jc w:val="center"/>
              <w:rPr>
                <w:rFonts w:ascii="Arial" w:hAnsi="Arial" w:cs="Arial" w:hint="default"/>
                <w:color w:val="000000" w:themeColor="text1"/>
                <w:sz w:val="20"/>
                <w:lang w:val="en-CA"/>
              </w:rPr>
            </w:pPr>
            <w:r w:rsidRPr="0017095C">
              <w:rPr>
                <w:rFonts w:ascii="Arial" w:hAnsi="Arial" w:cs="Arial" w:hint="default"/>
                <w:color w:val="000000" w:themeColor="text1"/>
                <w:sz w:val="20"/>
                <w:lang w:val="en-CA"/>
              </w:rPr>
              <w:t>3,532</w:t>
            </w:r>
          </w:p>
        </w:tc>
      </w:tr>
    </w:tbl>
    <w:p w14:paraId="61B15F33" w14:textId="77777777" w:rsidR="00CC1459" w:rsidRPr="0017095C" w:rsidRDefault="00CC1459" w:rsidP="00CC1459">
      <w:pPr>
        <w:pStyle w:val="Footnote"/>
        <w:rPr>
          <w:color w:val="000000" w:themeColor="text1"/>
          <w:lang w:val="en-CA"/>
        </w:rPr>
      </w:pPr>
    </w:p>
    <w:p w14:paraId="6C9E1FB6" w14:textId="02D57AD4" w:rsidR="00CC1459" w:rsidRPr="0017095C" w:rsidRDefault="00CC1459" w:rsidP="00CC1459">
      <w:pPr>
        <w:pStyle w:val="Footnote"/>
        <w:rPr>
          <w:color w:val="000000" w:themeColor="text1"/>
          <w:lang w:val="en-CA"/>
        </w:rPr>
      </w:pPr>
      <w:r w:rsidRPr="0017095C">
        <w:rPr>
          <w:color w:val="000000" w:themeColor="text1"/>
          <w:lang w:val="en-CA"/>
        </w:rPr>
        <w:t xml:space="preserve">Source: </w:t>
      </w:r>
      <w:r w:rsidR="00F80143" w:rsidRPr="0017095C">
        <w:rPr>
          <w:color w:val="000000" w:themeColor="text1"/>
          <w:lang w:val="en-CA"/>
        </w:rPr>
        <w:t xml:space="preserve">Agnico Eagle, </w:t>
      </w:r>
      <w:r w:rsidR="00F80143" w:rsidRPr="0017095C">
        <w:rPr>
          <w:i/>
          <w:iCs/>
          <w:color w:val="000000" w:themeColor="text1"/>
          <w:lang w:val="en-CA"/>
        </w:rPr>
        <w:t>Proposed Acquisition of TMAC Resources Inc.</w:t>
      </w:r>
      <w:r w:rsidR="00E5238E" w:rsidRPr="0017095C">
        <w:rPr>
          <w:color w:val="000000" w:themeColor="text1"/>
          <w:lang w:val="en-CA"/>
        </w:rPr>
        <w:t>,</w:t>
      </w:r>
      <w:r w:rsidR="00F80143" w:rsidRPr="0017095C">
        <w:rPr>
          <w:color w:val="000000" w:themeColor="text1"/>
          <w:lang w:val="en-CA"/>
        </w:rPr>
        <w:t xml:space="preserve"> January 5, 2021, accessed April 20, 2021, https://s21.q4cdn.com/374334112/files/doc_presentations/2021/Proposed-Acquisition-of-TMAC-Resources-Inc-FInal.pdf</w:t>
      </w:r>
      <w:r w:rsidR="00E5238E" w:rsidRPr="0017095C">
        <w:rPr>
          <w:color w:val="000000" w:themeColor="text1"/>
          <w:lang w:val="en-CA"/>
        </w:rPr>
        <w:t>.</w:t>
      </w:r>
    </w:p>
    <w:p w14:paraId="3AB1251F" w14:textId="77777777" w:rsidR="00AC7323" w:rsidRPr="0017095C" w:rsidRDefault="00AC7323" w:rsidP="00CC1459">
      <w:pPr>
        <w:pStyle w:val="ExhibitHeading"/>
        <w:rPr>
          <w:lang w:val="en-CA"/>
        </w:rPr>
      </w:pPr>
    </w:p>
    <w:p w14:paraId="0190286A" w14:textId="77777777" w:rsidR="00AC7323" w:rsidRPr="0017095C" w:rsidRDefault="00AC7323" w:rsidP="00CC1459">
      <w:pPr>
        <w:pStyle w:val="ExhibitHeading"/>
        <w:rPr>
          <w:lang w:val="en-CA"/>
        </w:rPr>
      </w:pPr>
    </w:p>
    <w:p w14:paraId="755B60C5" w14:textId="52D5BF8D" w:rsidR="00CC1459" w:rsidRPr="0017095C" w:rsidRDefault="00CC1459" w:rsidP="00CC1459">
      <w:pPr>
        <w:pStyle w:val="ExhibitHeading"/>
        <w:rPr>
          <w:rFonts w:eastAsiaTheme="minorEastAsia"/>
          <w:lang w:val="en-CA" w:eastAsia="zh-CN"/>
        </w:rPr>
      </w:pPr>
      <w:r w:rsidRPr="0017095C">
        <w:rPr>
          <w:lang w:val="en-CA"/>
        </w:rPr>
        <w:t xml:space="preserve">EXHIBIT </w:t>
      </w:r>
      <w:r w:rsidR="00AC7323" w:rsidRPr="0017095C">
        <w:rPr>
          <w:lang w:val="en-CA"/>
        </w:rPr>
        <w:t>2</w:t>
      </w:r>
      <w:r w:rsidRPr="0017095C">
        <w:rPr>
          <w:lang w:val="en-CA"/>
        </w:rPr>
        <w:t>: TMAC RESOURCE</w:t>
      </w:r>
      <w:r w:rsidRPr="0017095C">
        <w:rPr>
          <w:rFonts w:eastAsiaTheme="minorEastAsia"/>
          <w:lang w:val="en-CA" w:eastAsia="zh-CN"/>
        </w:rPr>
        <w:t>s</w:t>
      </w:r>
      <w:r w:rsidRPr="0017095C">
        <w:rPr>
          <w:lang w:val="en-CA"/>
        </w:rPr>
        <w:t xml:space="preserve"> KEY OPERATING METRICS</w:t>
      </w:r>
    </w:p>
    <w:p w14:paraId="4D9C6A57" w14:textId="77777777" w:rsidR="00CC1459" w:rsidRPr="0017095C" w:rsidRDefault="00CC1459" w:rsidP="00CC1459">
      <w:pPr>
        <w:pStyle w:val="ExhibitHeading"/>
        <w:rPr>
          <w:rFonts w:eastAsiaTheme="minorEastAsia"/>
          <w:lang w:val="en-CA" w:eastAsia="zh-CN"/>
        </w:rPr>
      </w:pPr>
    </w:p>
    <w:tbl>
      <w:tblPr>
        <w:tblStyle w:val="TableGrid"/>
        <w:tblW w:w="9450" w:type="dxa"/>
        <w:jc w:val="center"/>
        <w:tblLayout w:type="fixed"/>
        <w:tblCellMar>
          <w:left w:w="29" w:type="dxa"/>
          <w:right w:w="29" w:type="dxa"/>
        </w:tblCellMar>
        <w:tblLook w:val="04A0" w:firstRow="1" w:lastRow="0" w:firstColumn="1" w:lastColumn="0" w:noHBand="0" w:noVBand="1"/>
        <w:tblCaption w:val="Exhibit 2"/>
        <w:tblDescription w:val="TMAC Resources key operating metrics"/>
      </w:tblPr>
      <w:tblGrid>
        <w:gridCol w:w="540"/>
        <w:gridCol w:w="1260"/>
        <w:gridCol w:w="720"/>
        <w:gridCol w:w="720"/>
        <w:gridCol w:w="720"/>
        <w:gridCol w:w="720"/>
        <w:gridCol w:w="720"/>
        <w:gridCol w:w="810"/>
        <w:gridCol w:w="810"/>
        <w:gridCol w:w="810"/>
        <w:gridCol w:w="810"/>
        <w:gridCol w:w="810"/>
      </w:tblGrid>
      <w:tr w:rsidR="004A72B8" w:rsidRPr="0017095C" w14:paraId="7945232F" w14:textId="77777777" w:rsidTr="00BC353D">
        <w:trPr>
          <w:tblHeader/>
          <w:jc w:val="center"/>
        </w:trPr>
        <w:tc>
          <w:tcPr>
            <w:tcW w:w="1800" w:type="dxa"/>
            <w:gridSpan w:val="2"/>
          </w:tcPr>
          <w:p w14:paraId="04A8605A" w14:textId="77777777" w:rsidR="00CC1459" w:rsidRPr="0017095C" w:rsidRDefault="00CC1459" w:rsidP="004A72B8">
            <w:pPr>
              <w:jc w:val="center"/>
              <w:rPr>
                <w:b/>
                <w:bCs/>
                <w:lang w:val="en-CA"/>
              </w:rPr>
            </w:pPr>
          </w:p>
        </w:tc>
        <w:tc>
          <w:tcPr>
            <w:tcW w:w="720" w:type="dxa"/>
          </w:tcPr>
          <w:p w14:paraId="4A8520E1" w14:textId="3B54E411"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Q4</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17</w:t>
            </w:r>
          </w:p>
        </w:tc>
        <w:tc>
          <w:tcPr>
            <w:tcW w:w="720" w:type="dxa"/>
          </w:tcPr>
          <w:p w14:paraId="704B3CD0" w14:textId="57B6B57B"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Q1</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18</w:t>
            </w:r>
          </w:p>
        </w:tc>
        <w:tc>
          <w:tcPr>
            <w:tcW w:w="720" w:type="dxa"/>
          </w:tcPr>
          <w:p w14:paraId="1168F90B" w14:textId="175D172A"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Q2</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18</w:t>
            </w:r>
          </w:p>
        </w:tc>
        <w:tc>
          <w:tcPr>
            <w:tcW w:w="720" w:type="dxa"/>
          </w:tcPr>
          <w:p w14:paraId="0326C9AE" w14:textId="694E53D0"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Q3</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18</w:t>
            </w:r>
          </w:p>
        </w:tc>
        <w:tc>
          <w:tcPr>
            <w:tcW w:w="720" w:type="dxa"/>
          </w:tcPr>
          <w:p w14:paraId="0213D1E9" w14:textId="7CF23D2F"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Q4</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18</w:t>
            </w:r>
          </w:p>
        </w:tc>
        <w:tc>
          <w:tcPr>
            <w:tcW w:w="810" w:type="dxa"/>
          </w:tcPr>
          <w:p w14:paraId="4D6885E1" w14:textId="7422201E"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Q1</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19</w:t>
            </w:r>
          </w:p>
        </w:tc>
        <w:tc>
          <w:tcPr>
            <w:tcW w:w="810" w:type="dxa"/>
          </w:tcPr>
          <w:p w14:paraId="3DE4D5FC" w14:textId="5C371C67"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Q2</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19</w:t>
            </w:r>
          </w:p>
        </w:tc>
        <w:tc>
          <w:tcPr>
            <w:tcW w:w="810" w:type="dxa"/>
          </w:tcPr>
          <w:p w14:paraId="0EF20129" w14:textId="49497ED9"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Q3</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19</w:t>
            </w:r>
          </w:p>
        </w:tc>
        <w:tc>
          <w:tcPr>
            <w:tcW w:w="810" w:type="dxa"/>
          </w:tcPr>
          <w:p w14:paraId="752348D9" w14:textId="23942619"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Q4</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19</w:t>
            </w:r>
          </w:p>
        </w:tc>
        <w:tc>
          <w:tcPr>
            <w:tcW w:w="810" w:type="dxa"/>
          </w:tcPr>
          <w:p w14:paraId="65AEAD8F" w14:textId="058649B4" w:rsidR="00CC1459" w:rsidRPr="0017095C" w:rsidRDefault="00CC1459" w:rsidP="004A72B8">
            <w:pPr>
              <w:pStyle w:val="Default"/>
              <w:jc w:val="center"/>
              <w:rPr>
                <w:rFonts w:ascii="Arial" w:hAnsi="Arial" w:cs="Arial" w:hint="default"/>
                <w:b/>
                <w:bCs/>
                <w:sz w:val="20"/>
                <w:lang w:val="en-CA"/>
              </w:rPr>
            </w:pPr>
            <w:r w:rsidRPr="0017095C">
              <w:rPr>
                <w:rFonts w:ascii="Arial" w:hAnsi="Arial" w:cs="Arial" w:hint="default"/>
                <w:b/>
                <w:bCs/>
                <w:sz w:val="20"/>
                <w:lang w:val="en-CA"/>
              </w:rPr>
              <w:t>Q1</w:t>
            </w:r>
            <w:r w:rsidR="004A72B8" w:rsidRPr="0017095C">
              <w:rPr>
                <w:rFonts w:ascii="Arial" w:hAnsi="Arial" w:cs="Arial" w:hint="default"/>
                <w:b/>
                <w:bCs/>
                <w:sz w:val="20"/>
                <w:lang w:val="en-CA"/>
              </w:rPr>
              <w:t xml:space="preserve"> 20</w:t>
            </w:r>
            <w:r w:rsidRPr="0017095C">
              <w:rPr>
                <w:rFonts w:ascii="Arial" w:hAnsi="Arial" w:cs="Arial" w:hint="default"/>
                <w:b/>
                <w:bCs/>
                <w:sz w:val="20"/>
                <w:lang w:val="en-CA"/>
              </w:rPr>
              <w:t>20</w:t>
            </w:r>
          </w:p>
        </w:tc>
      </w:tr>
      <w:tr w:rsidR="00B02617" w:rsidRPr="0017095C" w14:paraId="19C0EA0B" w14:textId="77777777" w:rsidTr="00BC353D">
        <w:trPr>
          <w:tblHeader/>
          <w:jc w:val="center"/>
        </w:trPr>
        <w:tc>
          <w:tcPr>
            <w:tcW w:w="540" w:type="dxa"/>
            <w:vMerge w:val="restart"/>
          </w:tcPr>
          <w:p w14:paraId="6C63B2EA" w14:textId="77777777" w:rsidR="00CC1459" w:rsidRPr="0017095C" w:rsidRDefault="00CC1459" w:rsidP="00792B9F">
            <w:pPr>
              <w:pStyle w:val="Default"/>
              <w:rPr>
                <w:rFonts w:ascii="Arial" w:hAnsi="Arial" w:cs="Arial" w:hint="default"/>
                <w:sz w:val="20"/>
                <w:lang w:val="en-CA"/>
              </w:rPr>
            </w:pPr>
          </w:p>
          <w:p w14:paraId="47D3AA20" w14:textId="77777777"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Plant</w:t>
            </w:r>
          </w:p>
        </w:tc>
        <w:tc>
          <w:tcPr>
            <w:tcW w:w="1260" w:type="dxa"/>
          </w:tcPr>
          <w:p w14:paraId="1E3275DA"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rPr>
              <w:t>Recovery</w:t>
            </w:r>
          </w:p>
          <w:p w14:paraId="10DFF913"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eastAsia="zh-CN"/>
              </w:rPr>
              <w:t>(</w:t>
            </w:r>
            <w:r w:rsidRPr="0017095C">
              <w:rPr>
                <w:rFonts w:ascii="Arial" w:hAnsi="Arial" w:cs="Arial" w:hint="default"/>
                <w:sz w:val="20"/>
                <w:lang w:val="en-CA"/>
              </w:rPr>
              <w:t>%</w:t>
            </w:r>
            <w:r w:rsidRPr="0017095C">
              <w:rPr>
                <w:rFonts w:ascii="Arial" w:hAnsi="Arial" w:cs="Arial" w:hint="default"/>
                <w:sz w:val="20"/>
                <w:lang w:val="en-CA" w:eastAsia="zh-CN"/>
              </w:rPr>
              <w:t>)</w:t>
            </w:r>
          </w:p>
        </w:tc>
        <w:tc>
          <w:tcPr>
            <w:tcW w:w="720" w:type="dxa"/>
          </w:tcPr>
          <w:p w14:paraId="7B630F50"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69</w:t>
            </w:r>
          </w:p>
        </w:tc>
        <w:tc>
          <w:tcPr>
            <w:tcW w:w="720" w:type="dxa"/>
          </w:tcPr>
          <w:p w14:paraId="224F5FD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71</w:t>
            </w:r>
          </w:p>
        </w:tc>
        <w:tc>
          <w:tcPr>
            <w:tcW w:w="720" w:type="dxa"/>
          </w:tcPr>
          <w:p w14:paraId="5A1D2EB2"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82</w:t>
            </w:r>
          </w:p>
        </w:tc>
        <w:tc>
          <w:tcPr>
            <w:tcW w:w="720" w:type="dxa"/>
          </w:tcPr>
          <w:p w14:paraId="2C955036"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80</w:t>
            </w:r>
          </w:p>
        </w:tc>
        <w:tc>
          <w:tcPr>
            <w:tcW w:w="720" w:type="dxa"/>
          </w:tcPr>
          <w:p w14:paraId="7732F08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82</w:t>
            </w:r>
          </w:p>
        </w:tc>
        <w:tc>
          <w:tcPr>
            <w:tcW w:w="810" w:type="dxa"/>
          </w:tcPr>
          <w:p w14:paraId="78421466"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84</w:t>
            </w:r>
          </w:p>
        </w:tc>
        <w:tc>
          <w:tcPr>
            <w:tcW w:w="810" w:type="dxa"/>
          </w:tcPr>
          <w:p w14:paraId="1A15977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80</w:t>
            </w:r>
          </w:p>
        </w:tc>
        <w:tc>
          <w:tcPr>
            <w:tcW w:w="810" w:type="dxa"/>
          </w:tcPr>
          <w:p w14:paraId="495FDD2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82</w:t>
            </w:r>
          </w:p>
        </w:tc>
        <w:tc>
          <w:tcPr>
            <w:tcW w:w="810" w:type="dxa"/>
          </w:tcPr>
          <w:p w14:paraId="7DB350B1"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82</w:t>
            </w:r>
          </w:p>
        </w:tc>
        <w:tc>
          <w:tcPr>
            <w:tcW w:w="810" w:type="dxa"/>
          </w:tcPr>
          <w:p w14:paraId="632B935B"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84</w:t>
            </w:r>
          </w:p>
        </w:tc>
      </w:tr>
      <w:tr w:rsidR="00B02617" w:rsidRPr="0017095C" w14:paraId="0472ECF3" w14:textId="77777777" w:rsidTr="00BC353D">
        <w:trPr>
          <w:tblHeader/>
          <w:jc w:val="center"/>
        </w:trPr>
        <w:tc>
          <w:tcPr>
            <w:tcW w:w="540" w:type="dxa"/>
            <w:vMerge/>
          </w:tcPr>
          <w:p w14:paraId="18DF75A0" w14:textId="77777777" w:rsidR="00CC1459" w:rsidRPr="0017095C" w:rsidRDefault="00CC1459" w:rsidP="00792B9F">
            <w:pPr>
              <w:pStyle w:val="Default"/>
              <w:rPr>
                <w:rFonts w:ascii="Arial" w:hAnsi="Arial" w:cs="Arial" w:hint="default"/>
                <w:sz w:val="20"/>
                <w:lang w:val="en-CA"/>
              </w:rPr>
            </w:pPr>
          </w:p>
        </w:tc>
        <w:tc>
          <w:tcPr>
            <w:tcW w:w="1260" w:type="dxa"/>
          </w:tcPr>
          <w:p w14:paraId="4FB0357E"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rPr>
              <w:t>Throughput</w:t>
            </w:r>
          </w:p>
          <w:p w14:paraId="36010FB8"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eastAsia="zh-CN"/>
              </w:rPr>
              <w:t>(</w:t>
            </w:r>
            <w:r w:rsidRPr="0017095C">
              <w:rPr>
                <w:rFonts w:ascii="Arial" w:hAnsi="Arial" w:cs="Arial" w:hint="default"/>
                <w:sz w:val="20"/>
                <w:lang w:val="en-CA"/>
              </w:rPr>
              <w:t>tpd</w:t>
            </w:r>
            <w:r w:rsidRPr="0017095C">
              <w:rPr>
                <w:rFonts w:ascii="Arial" w:hAnsi="Arial" w:cs="Arial" w:hint="default"/>
                <w:sz w:val="20"/>
                <w:lang w:val="en-CA" w:eastAsia="zh-CN"/>
              </w:rPr>
              <w:t>)</w:t>
            </w:r>
          </w:p>
        </w:tc>
        <w:tc>
          <w:tcPr>
            <w:tcW w:w="720" w:type="dxa"/>
          </w:tcPr>
          <w:p w14:paraId="61C4E3BA"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760</w:t>
            </w:r>
          </w:p>
        </w:tc>
        <w:tc>
          <w:tcPr>
            <w:tcW w:w="720" w:type="dxa"/>
          </w:tcPr>
          <w:p w14:paraId="5961474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930</w:t>
            </w:r>
          </w:p>
        </w:tc>
        <w:tc>
          <w:tcPr>
            <w:tcW w:w="720" w:type="dxa"/>
          </w:tcPr>
          <w:p w14:paraId="03F7B660"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970</w:t>
            </w:r>
          </w:p>
        </w:tc>
        <w:tc>
          <w:tcPr>
            <w:tcW w:w="720" w:type="dxa"/>
          </w:tcPr>
          <w:p w14:paraId="511C3CF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1,390</w:t>
            </w:r>
          </w:p>
        </w:tc>
        <w:tc>
          <w:tcPr>
            <w:tcW w:w="720" w:type="dxa"/>
          </w:tcPr>
          <w:p w14:paraId="435BC37F"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1,800</w:t>
            </w:r>
          </w:p>
        </w:tc>
        <w:tc>
          <w:tcPr>
            <w:tcW w:w="810" w:type="dxa"/>
          </w:tcPr>
          <w:p w14:paraId="3267AAF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1,610</w:t>
            </w:r>
          </w:p>
        </w:tc>
        <w:tc>
          <w:tcPr>
            <w:tcW w:w="810" w:type="dxa"/>
          </w:tcPr>
          <w:p w14:paraId="4E1698AD"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1,740</w:t>
            </w:r>
          </w:p>
        </w:tc>
        <w:tc>
          <w:tcPr>
            <w:tcW w:w="810" w:type="dxa"/>
          </w:tcPr>
          <w:p w14:paraId="53EC019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1,710</w:t>
            </w:r>
          </w:p>
        </w:tc>
        <w:tc>
          <w:tcPr>
            <w:tcW w:w="810" w:type="dxa"/>
          </w:tcPr>
          <w:p w14:paraId="20069291"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1,440</w:t>
            </w:r>
          </w:p>
        </w:tc>
        <w:tc>
          <w:tcPr>
            <w:tcW w:w="810" w:type="dxa"/>
          </w:tcPr>
          <w:p w14:paraId="373196C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1,110</w:t>
            </w:r>
          </w:p>
        </w:tc>
      </w:tr>
      <w:tr w:rsidR="00B02617" w:rsidRPr="0017095C" w14:paraId="27FC8249" w14:textId="77777777" w:rsidTr="00BC353D">
        <w:trPr>
          <w:tblHeader/>
          <w:jc w:val="center"/>
        </w:trPr>
        <w:tc>
          <w:tcPr>
            <w:tcW w:w="540" w:type="dxa"/>
            <w:vMerge/>
          </w:tcPr>
          <w:p w14:paraId="47F8DBC7" w14:textId="77777777" w:rsidR="00CC1459" w:rsidRPr="0017095C" w:rsidRDefault="00CC1459" w:rsidP="00792B9F">
            <w:pPr>
              <w:pStyle w:val="Default"/>
              <w:rPr>
                <w:rFonts w:ascii="Arial" w:hAnsi="Arial" w:cs="Arial" w:hint="default"/>
                <w:sz w:val="20"/>
                <w:lang w:val="en-CA"/>
              </w:rPr>
            </w:pPr>
          </w:p>
        </w:tc>
        <w:tc>
          <w:tcPr>
            <w:tcW w:w="1260" w:type="dxa"/>
          </w:tcPr>
          <w:p w14:paraId="31142F4B"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rPr>
              <w:t>Grade</w:t>
            </w:r>
          </w:p>
          <w:p w14:paraId="6E672D74"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eastAsia="zh-CN"/>
              </w:rPr>
              <w:t>(</w:t>
            </w:r>
            <w:r w:rsidRPr="0017095C">
              <w:rPr>
                <w:rFonts w:ascii="Arial" w:hAnsi="Arial" w:cs="Arial" w:hint="default"/>
                <w:sz w:val="20"/>
                <w:lang w:val="en-CA"/>
              </w:rPr>
              <w:t>g/t</w:t>
            </w:r>
            <w:r w:rsidRPr="0017095C">
              <w:rPr>
                <w:rFonts w:ascii="Arial" w:hAnsi="Arial" w:cs="Arial" w:hint="default"/>
                <w:sz w:val="20"/>
                <w:lang w:val="en-CA" w:eastAsia="zh-CN"/>
              </w:rPr>
              <w:t>)</w:t>
            </w:r>
          </w:p>
        </w:tc>
        <w:tc>
          <w:tcPr>
            <w:tcW w:w="720" w:type="dxa"/>
          </w:tcPr>
          <w:p w14:paraId="0747B9D9"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13.7</w:t>
            </w:r>
          </w:p>
        </w:tc>
        <w:tc>
          <w:tcPr>
            <w:tcW w:w="720" w:type="dxa"/>
          </w:tcPr>
          <w:p w14:paraId="65B1734D"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10.9</w:t>
            </w:r>
          </w:p>
        </w:tc>
        <w:tc>
          <w:tcPr>
            <w:tcW w:w="720" w:type="dxa"/>
          </w:tcPr>
          <w:p w14:paraId="63A13706"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10.0</w:t>
            </w:r>
          </w:p>
        </w:tc>
        <w:tc>
          <w:tcPr>
            <w:tcW w:w="720" w:type="dxa"/>
          </w:tcPr>
          <w:p w14:paraId="3AC8CA28"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10.1</w:t>
            </w:r>
          </w:p>
        </w:tc>
        <w:tc>
          <w:tcPr>
            <w:tcW w:w="720" w:type="dxa"/>
          </w:tcPr>
          <w:p w14:paraId="4400265D"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7.8</w:t>
            </w:r>
          </w:p>
        </w:tc>
        <w:tc>
          <w:tcPr>
            <w:tcW w:w="810" w:type="dxa"/>
          </w:tcPr>
          <w:p w14:paraId="54CCA2B6"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10.3</w:t>
            </w:r>
          </w:p>
        </w:tc>
        <w:tc>
          <w:tcPr>
            <w:tcW w:w="810" w:type="dxa"/>
          </w:tcPr>
          <w:p w14:paraId="498B13A8"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9.5</w:t>
            </w:r>
          </w:p>
        </w:tc>
        <w:tc>
          <w:tcPr>
            <w:tcW w:w="810" w:type="dxa"/>
          </w:tcPr>
          <w:p w14:paraId="777DF150"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8.8</w:t>
            </w:r>
          </w:p>
        </w:tc>
        <w:tc>
          <w:tcPr>
            <w:tcW w:w="810" w:type="dxa"/>
          </w:tcPr>
          <w:p w14:paraId="359F8FB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7.1</w:t>
            </w:r>
          </w:p>
        </w:tc>
        <w:tc>
          <w:tcPr>
            <w:tcW w:w="810" w:type="dxa"/>
          </w:tcPr>
          <w:p w14:paraId="4559FAEF"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11.9</w:t>
            </w:r>
          </w:p>
        </w:tc>
      </w:tr>
      <w:tr w:rsidR="00B02617" w:rsidRPr="0017095C" w14:paraId="080A3545" w14:textId="77777777" w:rsidTr="00BC353D">
        <w:trPr>
          <w:tblHeader/>
          <w:jc w:val="center"/>
        </w:trPr>
        <w:tc>
          <w:tcPr>
            <w:tcW w:w="540" w:type="dxa"/>
            <w:vMerge w:val="restart"/>
          </w:tcPr>
          <w:p w14:paraId="1D1EEDBC" w14:textId="77777777" w:rsidR="00CC1459" w:rsidRPr="0017095C" w:rsidRDefault="00CC1459" w:rsidP="00792B9F">
            <w:pPr>
              <w:pStyle w:val="Default"/>
              <w:rPr>
                <w:rFonts w:ascii="Arial" w:hAnsi="Arial" w:cs="Arial" w:hint="default"/>
                <w:sz w:val="20"/>
                <w:lang w:val="en-CA"/>
              </w:rPr>
            </w:pPr>
          </w:p>
          <w:p w14:paraId="4692F626" w14:textId="77777777"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Mine</w:t>
            </w:r>
          </w:p>
        </w:tc>
        <w:tc>
          <w:tcPr>
            <w:tcW w:w="1260" w:type="dxa"/>
          </w:tcPr>
          <w:p w14:paraId="0EF9FA22"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rPr>
              <w:t>Production</w:t>
            </w:r>
          </w:p>
          <w:p w14:paraId="26FD942A"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eastAsia="zh-CN"/>
              </w:rPr>
              <w:t>(</w:t>
            </w:r>
            <w:r w:rsidRPr="0017095C">
              <w:rPr>
                <w:rFonts w:ascii="Arial" w:hAnsi="Arial" w:cs="Arial" w:hint="default"/>
                <w:sz w:val="20"/>
                <w:lang w:val="en-CA"/>
              </w:rPr>
              <w:t>tpd</w:t>
            </w:r>
            <w:r w:rsidRPr="0017095C">
              <w:rPr>
                <w:rFonts w:ascii="Arial" w:hAnsi="Arial" w:cs="Arial" w:hint="default"/>
                <w:sz w:val="20"/>
                <w:lang w:val="en-CA" w:eastAsia="zh-CN"/>
              </w:rPr>
              <w:t>)</w:t>
            </w:r>
          </w:p>
        </w:tc>
        <w:tc>
          <w:tcPr>
            <w:tcW w:w="720" w:type="dxa"/>
          </w:tcPr>
          <w:p w14:paraId="6929D05E"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620</w:t>
            </w:r>
          </w:p>
        </w:tc>
        <w:tc>
          <w:tcPr>
            <w:tcW w:w="720" w:type="dxa"/>
          </w:tcPr>
          <w:p w14:paraId="042BA06F"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990</w:t>
            </w:r>
          </w:p>
        </w:tc>
        <w:tc>
          <w:tcPr>
            <w:tcW w:w="720" w:type="dxa"/>
          </w:tcPr>
          <w:p w14:paraId="18B68696"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790</w:t>
            </w:r>
          </w:p>
        </w:tc>
        <w:tc>
          <w:tcPr>
            <w:tcW w:w="720" w:type="dxa"/>
          </w:tcPr>
          <w:p w14:paraId="2D55EE2D"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1,130</w:t>
            </w:r>
          </w:p>
        </w:tc>
        <w:tc>
          <w:tcPr>
            <w:tcW w:w="720" w:type="dxa"/>
          </w:tcPr>
          <w:p w14:paraId="549F0B5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2,310</w:t>
            </w:r>
          </w:p>
        </w:tc>
        <w:tc>
          <w:tcPr>
            <w:tcW w:w="810" w:type="dxa"/>
          </w:tcPr>
          <w:p w14:paraId="7482DE0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1,600</w:t>
            </w:r>
          </w:p>
        </w:tc>
        <w:tc>
          <w:tcPr>
            <w:tcW w:w="810" w:type="dxa"/>
          </w:tcPr>
          <w:p w14:paraId="5B8C68B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1,160</w:t>
            </w:r>
          </w:p>
        </w:tc>
        <w:tc>
          <w:tcPr>
            <w:tcW w:w="810" w:type="dxa"/>
          </w:tcPr>
          <w:p w14:paraId="349A1AE9"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1,450</w:t>
            </w:r>
          </w:p>
        </w:tc>
        <w:tc>
          <w:tcPr>
            <w:tcW w:w="810" w:type="dxa"/>
          </w:tcPr>
          <w:p w14:paraId="17071BBD"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1,560</w:t>
            </w:r>
          </w:p>
        </w:tc>
        <w:tc>
          <w:tcPr>
            <w:tcW w:w="810" w:type="dxa"/>
          </w:tcPr>
          <w:p w14:paraId="06BFD2E4"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1,760</w:t>
            </w:r>
          </w:p>
        </w:tc>
      </w:tr>
      <w:tr w:rsidR="00B02617" w:rsidRPr="0017095C" w14:paraId="5356BCE9" w14:textId="77777777" w:rsidTr="00BC353D">
        <w:trPr>
          <w:tblHeader/>
          <w:jc w:val="center"/>
        </w:trPr>
        <w:tc>
          <w:tcPr>
            <w:tcW w:w="540" w:type="dxa"/>
            <w:vMerge/>
          </w:tcPr>
          <w:p w14:paraId="0AAA53A3" w14:textId="77777777" w:rsidR="00CC1459" w:rsidRPr="0017095C" w:rsidRDefault="00CC1459" w:rsidP="00792B9F">
            <w:pPr>
              <w:pStyle w:val="Default"/>
              <w:rPr>
                <w:rFonts w:ascii="Arial" w:hAnsi="Arial" w:cs="Arial" w:hint="default"/>
                <w:sz w:val="20"/>
                <w:lang w:val="en-CA"/>
              </w:rPr>
            </w:pPr>
          </w:p>
        </w:tc>
        <w:tc>
          <w:tcPr>
            <w:tcW w:w="1260" w:type="dxa"/>
          </w:tcPr>
          <w:p w14:paraId="43575733"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rPr>
              <w:t>Grade</w:t>
            </w:r>
          </w:p>
          <w:p w14:paraId="08B92835"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eastAsia="zh-CN"/>
              </w:rPr>
              <w:t>(</w:t>
            </w:r>
            <w:r w:rsidRPr="0017095C">
              <w:rPr>
                <w:rFonts w:ascii="Arial" w:hAnsi="Arial" w:cs="Arial" w:hint="default"/>
                <w:sz w:val="20"/>
                <w:lang w:val="en-CA"/>
              </w:rPr>
              <w:t>g/t</w:t>
            </w:r>
            <w:r w:rsidRPr="0017095C">
              <w:rPr>
                <w:rFonts w:ascii="Arial" w:hAnsi="Arial" w:cs="Arial" w:hint="default"/>
                <w:sz w:val="20"/>
                <w:lang w:val="en-CA" w:eastAsia="zh-CN"/>
              </w:rPr>
              <w:t>)</w:t>
            </w:r>
          </w:p>
        </w:tc>
        <w:tc>
          <w:tcPr>
            <w:tcW w:w="720" w:type="dxa"/>
          </w:tcPr>
          <w:p w14:paraId="4248233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9.1</w:t>
            </w:r>
          </w:p>
        </w:tc>
        <w:tc>
          <w:tcPr>
            <w:tcW w:w="720" w:type="dxa"/>
          </w:tcPr>
          <w:p w14:paraId="647BC40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8.1</w:t>
            </w:r>
          </w:p>
        </w:tc>
        <w:tc>
          <w:tcPr>
            <w:tcW w:w="720" w:type="dxa"/>
          </w:tcPr>
          <w:p w14:paraId="7B1C329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9.6</w:t>
            </w:r>
          </w:p>
        </w:tc>
        <w:tc>
          <w:tcPr>
            <w:tcW w:w="720" w:type="dxa"/>
          </w:tcPr>
          <w:p w14:paraId="03CD6981"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8.4</w:t>
            </w:r>
          </w:p>
        </w:tc>
        <w:tc>
          <w:tcPr>
            <w:tcW w:w="720" w:type="dxa"/>
          </w:tcPr>
          <w:p w14:paraId="7A55389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7.4</w:t>
            </w:r>
          </w:p>
        </w:tc>
        <w:tc>
          <w:tcPr>
            <w:tcW w:w="810" w:type="dxa"/>
          </w:tcPr>
          <w:p w14:paraId="326860E1"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10.2</w:t>
            </w:r>
          </w:p>
        </w:tc>
        <w:tc>
          <w:tcPr>
            <w:tcW w:w="810" w:type="dxa"/>
          </w:tcPr>
          <w:p w14:paraId="69596CC8"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11.4</w:t>
            </w:r>
          </w:p>
        </w:tc>
        <w:tc>
          <w:tcPr>
            <w:tcW w:w="810" w:type="dxa"/>
          </w:tcPr>
          <w:p w14:paraId="26AF14B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9.2</w:t>
            </w:r>
          </w:p>
        </w:tc>
        <w:tc>
          <w:tcPr>
            <w:tcW w:w="810" w:type="dxa"/>
          </w:tcPr>
          <w:p w14:paraId="25BA8514"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7.0</w:t>
            </w:r>
          </w:p>
        </w:tc>
        <w:tc>
          <w:tcPr>
            <w:tcW w:w="810" w:type="dxa"/>
          </w:tcPr>
          <w:p w14:paraId="7F90068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10.2</w:t>
            </w:r>
          </w:p>
        </w:tc>
      </w:tr>
      <w:tr w:rsidR="00B02617" w:rsidRPr="0017095C" w14:paraId="2340E451" w14:textId="77777777" w:rsidTr="00BC353D">
        <w:trPr>
          <w:tblHeader/>
          <w:jc w:val="center"/>
        </w:trPr>
        <w:tc>
          <w:tcPr>
            <w:tcW w:w="540" w:type="dxa"/>
            <w:vMerge/>
          </w:tcPr>
          <w:p w14:paraId="419A1115" w14:textId="77777777" w:rsidR="00CC1459" w:rsidRPr="0017095C" w:rsidRDefault="00CC1459" w:rsidP="00792B9F">
            <w:pPr>
              <w:pStyle w:val="Default"/>
              <w:rPr>
                <w:rFonts w:ascii="Arial" w:hAnsi="Arial" w:cs="Arial" w:hint="default"/>
                <w:sz w:val="20"/>
                <w:lang w:val="en-CA"/>
              </w:rPr>
            </w:pPr>
          </w:p>
        </w:tc>
        <w:tc>
          <w:tcPr>
            <w:tcW w:w="1260" w:type="dxa"/>
          </w:tcPr>
          <w:p w14:paraId="773412F0" w14:textId="77777777" w:rsidR="00CC1459" w:rsidRPr="0017095C" w:rsidRDefault="00CC1459" w:rsidP="00CC1459">
            <w:pPr>
              <w:pStyle w:val="Default"/>
              <w:rPr>
                <w:rFonts w:ascii="Arial" w:hAnsi="Arial" w:cs="Arial" w:hint="default"/>
                <w:sz w:val="20"/>
                <w:lang w:val="en-CA"/>
              </w:rPr>
            </w:pPr>
            <w:r w:rsidRPr="0017095C">
              <w:rPr>
                <w:rFonts w:ascii="Arial" w:hAnsi="Arial" w:cs="Arial" w:hint="default"/>
                <w:sz w:val="20"/>
                <w:lang w:val="en-CA"/>
              </w:rPr>
              <w:t>Develop</w:t>
            </w:r>
            <w:r w:rsidRPr="0017095C">
              <w:rPr>
                <w:rFonts w:ascii="Arial" w:hAnsi="Arial" w:cs="Arial" w:hint="default"/>
                <w:sz w:val="20"/>
                <w:lang w:val="en-CA" w:eastAsia="zh-CN"/>
              </w:rPr>
              <w:t>m</w:t>
            </w:r>
            <w:r w:rsidRPr="0017095C">
              <w:rPr>
                <w:rFonts w:ascii="Arial" w:hAnsi="Arial" w:cs="Arial" w:hint="default"/>
                <w:sz w:val="20"/>
                <w:lang w:val="en-CA"/>
              </w:rPr>
              <w:t>ent</w:t>
            </w:r>
          </w:p>
          <w:p w14:paraId="40AE595C" w14:textId="17CB8EDB" w:rsidR="00CC1459" w:rsidRPr="0017095C" w:rsidRDefault="00CC1459" w:rsidP="00CC1459">
            <w:pPr>
              <w:pStyle w:val="Default"/>
              <w:rPr>
                <w:rFonts w:ascii="Arial" w:hAnsi="Arial" w:cs="Arial" w:hint="default"/>
                <w:sz w:val="20"/>
                <w:lang w:val="en-CA" w:eastAsia="zh-CN"/>
              </w:rPr>
            </w:pPr>
            <w:r w:rsidRPr="0017095C">
              <w:rPr>
                <w:rFonts w:ascii="Arial" w:hAnsi="Arial" w:cs="Arial" w:hint="default"/>
                <w:sz w:val="20"/>
                <w:lang w:val="en-CA" w:eastAsia="zh-CN"/>
              </w:rPr>
              <w:t>(</w:t>
            </w:r>
            <w:r w:rsidRPr="0017095C">
              <w:rPr>
                <w:rFonts w:ascii="Arial" w:hAnsi="Arial" w:cs="Arial" w:hint="default"/>
                <w:sz w:val="20"/>
                <w:lang w:val="en-CA"/>
              </w:rPr>
              <w:t>m</w:t>
            </w:r>
            <w:r w:rsidRPr="0017095C">
              <w:rPr>
                <w:rFonts w:ascii="Arial" w:hAnsi="Arial" w:cs="Arial" w:hint="default"/>
                <w:sz w:val="20"/>
                <w:lang w:val="en-CA" w:eastAsia="zh-CN"/>
              </w:rPr>
              <w:t>)</w:t>
            </w:r>
          </w:p>
        </w:tc>
        <w:tc>
          <w:tcPr>
            <w:tcW w:w="720" w:type="dxa"/>
          </w:tcPr>
          <w:p w14:paraId="7BA6EFA4"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990</w:t>
            </w:r>
          </w:p>
        </w:tc>
        <w:tc>
          <w:tcPr>
            <w:tcW w:w="720" w:type="dxa"/>
          </w:tcPr>
          <w:p w14:paraId="4E4462E2"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1,370</w:t>
            </w:r>
          </w:p>
        </w:tc>
        <w:tc>
          <w:tcPr>
            <w:tcW w:w="720" w:type="dxa"/>
          </w:tcPr>
          <w:p w14:paraId="30925F21"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1,670</w:t>
            </w:r>
          </w:p>
        </w:tc>
        <w:tc>
          <w:tcPr>
            <w:tcW w:w="720" w:type="dxa"/>
          </w:tcPr>
          <w:p w14:paraId="7A58457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1,810</w:t>
            </w:r>
          </w:p>
        </w:tc>
        <w:tc>
          <w:tcPr>
            <w:tcW w:w="720" w:type="dxa"/>
          </w:tcPr>
          <w:p w14:paraId="276D9CDB"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1,620</w:t>
            </w:r>
          </w:p>
        </w:tc>
        <w:tc>
          <w:tcPr>
            <w:tcW w:w="810" w:type="dxa"/>
          </w:tcPr>
          <w:p w14:paraId="33274112"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1,660</w:t>
            </w:r>
          </w:p>
        </w:tc>
        <w:tc>
          <w:tcPr>
            <w:tcW w:w="810" w:type="dxa"/>
          </w:tcPr>
          <w:p w14:paraId="03F81C4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1,840</w:t>
            </w:r>
          </w:p>
        </w:tc>
        <w:tc>
          <w:tcPr>
            <w:tcW w:w="810" w:type="dxa"/>
          </w:tcPr>
          <w:p w14:paraId="6061368A"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2,140</w:t>
            </w:r>
          </w:p>
        </w:tc>
        <w:tc>
          <w:tcPr>
            <w:tcW w:w="810" w:type="dxa"/>
          </w:tcPr>
          <w:p w14:paraId="0C76442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2,080</w:t>
            </w:r>
          </w:p>
        </w:tc>
        <w:tc>
          <w:tcPr>
            <w:tcW w:w="810" w:type="dxa"/>
          </w:tcPr>
          <w:p w14:paraId="3021FF0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2,130</w:t>
            </w:r>
          </w:p>
        </w:tc>
      </w:tr>
      <w:tr w:rsidR="004A72B8" w:rsidRPr="0017095C" w14:paraId="6D98E7D0" w14:textId="77777777" w:rsidTr="00BC353D">
        <w:trPr>
          <w:tblHeader/>
          <w:jc w:val="center"/>
        </w:trPr>
        <w:tc>
          <w:tcPr>
            <w:tcW w:w="1800" w:type="dxa"/>
            <w:gridSpan w:val="2"/>
          </w:tcPr>
          <w:p w14:paraId="58E387B0" w14:textId="0441B623" w:rsidR="00CC1459" w:rsidRPr="0017095C" w:rsidRDefault="00CC1459">
            <w:pPr>
              <w:pStyle w:val="Default"/>
              <w:rPr>
                <w:rFonts w:ascii="Arial" w:hAnsi="Arial" w:cs="Arial" w:hint="default"/>
                <w:sz w:val="20"/>
                <w:lang w:val="en-CA" w:eastAsia="zh-CN"/>
              </w:rPr>
            </w:pPr>
            <w:r w:rsidRPr="0017095C">
              <w:rPr>
                <w:rFonts w:ascii="Arial" w:hAnsi="Arial" w:cs="Arial" w:hint="default"/>
                <w:sz w:val="20"/>
                <w:lang w:val="en-CA"/>
              </w:rPr>
              <w:t>Gold Production</w:t>
            </w:r>
            <w:r w:rsidR="00B02617" w:rsidRPr="0017095C">
              <w:rPr>
                <w:rFonts w:ascii="Arial" w:hAnsi="Arial" w:cs="Arial" w:hint="default"/>
                <w:sz w:val="20"/>
                <w:lang w:val="en-CA" w:eastAsia="zh-CN"/>
              </w:rPr>
              <w:t xml:space="preserve"> </w:t>
            </w:r>
            <w:r w:rsidRPr="0017095C">
              <w:rPr>
                <w:rFonts w:ascii="Arial" w:hAnsi="Arial" w:cs="Arial" w:hint="default"/>
                <w:sz w:val="20"/>
                <w:lang w:val="en-CA" w:eastAsia="zh-CN"/>
              </w:rPr>
              <w:t>(</w:t>
            </w:r>
            <w:r w:rsidRPr="0017095C">
              <w:rPr>
                <w:rFonts w:ascii="Arial" w:hAnsi="Arial" w:cs="Arial" w:hint="default"/>
                <w:sz w:val="20"/>
                <w:lang w:val="en-CA"/>
              </w:rPr>
              <w:t>oz</w:t>
            </w:r>
            <w:r w:rsidRPr="0017095C">
              <w:rPr>
                <w:rFonts w:ascii="Arial" w:hAnsi="Arial" w:cs="Arial" w:hint="default"/>
                <w:sz w:val="20"/>
                <w:lang w:val="en-CA" w:eastAsia="zh-CN"/>
              </w:rPr>
              <w:t>)</w:t>
            </w:r>
          </w:p>
        </w:tc>
        <w:tc>
          <w:tcPr>
            <w:tcW w:w="720" w:type="dxa"/>
          </w:tcPr>
          <w:p w14:paraId="2BD94BD2"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21,200</w:t>
            </w:r>
          </w:p>
        </w:tc>
        <w:tc>
          <w:tcPr>
            <w:tcW w:w="720" w:type="dxa"/>
          </w:tcPr>
          <w:p w14:paraId="4A3E8BCF"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20,650</w:t>
            </w:r>
          </w:p>
        </w:tc>
        <w:tc>
          <w:tcPr>
            <w:tcW w:w="720" w:type="dxa"/>
          </w:tcPr>
          <w:p w14:paraId="5C8659D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23,140</w:t>
            </w:r>
          </w:p>
        </w:tc>
        <w:tc>
          <w:tcPr>
            <w:tcW w:w="720" w:type="dxa"/>
          </w:tcPr>
          <w:p w14:paraId="29317E8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33,100</w:t>
            </w:r>
          </w:p>
        </w:tc>
        <w:tc>
          <w:tcPr>
            <w:tcW w:w="720" w:type="dxa"/>
          </w:tcPr>
          <w:p w14:paraId="6AD09AD9"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34,080</w:t>
            </w:r>
          </w:p>
        </w:tc>
        <w:tc>
          <w:tcPr>
            <w:tcW w:w="810" w:type="dxa"/>
          </w:tcPr>
          <w:p w14:paraId="5FD15670"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40,050</w:t>
            </w:r>
          </w:p>
        </w:tc>
        <w:tc>
          <w:tcPr>
            <w:tcW w:w="810" w:type="dxa"/>
          </w:tcPr>
          <w:p w14:paraId="7CEDFE32"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38,520</w:t>
            </w:r>
          </w:p>
        </w:tc>
        <w:tc>
          <w:tcPr>
            <w:tcW w:w="810" w:type="dxa"/>
          </w:tcPr>
          <w:p w14:paraId="513DB980"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36,290</w:t>
            </w:r>
          </w:p>
        </w:tc>
        <w:tc>
          <w:tcPr>
            <w:tcW w:w="810" w:type="dxa"/>
          </w:tcPr>
          <w:p w14:paraId="48024EB9"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24,650</w:t>
            </w:r>
          </w:p>
        </w:tc>
        <w:tc>
          <w:tcPr>
            <w:tcW w:w="810" w:type="dxa"/>
          </w:tcPr>
          <w:p w14:paraId="1B92E64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32,290</w:t>
            </w:r>
          </w:p>
        </w:tc>
      </w:tr>
      <w:tr w:rsidR="004A72B8" w:rsidRPr="0017095C" w14:paraId="63E2A0A6" w14:textId="77777777" w:rsidTr="00BC353D">
        <w:trPr>
          <w:tblHeader/>
          <w:jc w:val="center"/>
        </w:trPr>
        <w:tc>
          <w:tcPr>
            <w:tcW w:w="1800" w:type="dxa"/>
            <w:gridSpan w:val="2"/>
          </w:tcPr>
          <w:p w14:paraId="1E021558" w14:textId="77777777" w:rsidR="00CC1459" w:rsidRPr="0017095C" w:rsidRDefault="00CC1459" w:rsidP="00792B9F">
            <w:pPr>
              <w:pStyle w:val="Default"/>
              <w:rPr>
                <w:rFonts w:ascii="Arial" w:hAnsi="Arial" w:cs="Arial" w:hint="default"/>
                <w:sz w:val="20"/>
                <w:lang w:val="en-CA" w:eastAsia="zh-CN"/>
              </w:rPr>
            </w:pPr>
            <w:r w:rsidRPr="0017095C">
              <w:rPr>
                <w:rFonts w:ascii="Arial" w:hAnsi="Arial" w:cs="Arial" w:hint="default"/>
                <w:sz w:val="20"/>
                <w:lang w:val="en-CA"/>
              </w:rPr>
              <w:t xml:space="preserve">Gold Sold </w:t>
            </w:r>
            <w:r w:rsidRPr="0017095C">
              <w:rPr>
                <w:rFonts w:ascii="Arial" w:hAnsi="Arial" w:cs="Arial" w:hint="default"/>
                <w:sz w:val="20"/>
                <w:lang w:val="en-CA" w:eastAsia="zh-CN"/>
              </w:rPr>
              <w:t>(</w:t>
            </w:r>
            <w:r w:rsidRPr="0017095C">
              <w:rPr>
                <w:rFonts w:ascii="Arial" w:hAnsi="Arial" w:cs="Arial" w:hint="default"/>
                <w:sz w:val="20"/>
                <w:lang w:val="en-CA"/>
              </w:rPr>
              <w:t>oz</w:t>
            </w:r>
            <w:r w:rsidRPr="0017095C">
              <w:rPr>
                <w:rFonts w:ascii="Arial" w:hAnsi="Arial" w:cs="Arial" w:hint="default"/>
                <w:sz w:val="20"/>
                <w:lang w:val="en-CA" w:eastAsia="zh-CN"/>
              </w:rPr>
              <w:t>)</w:t>
            </w:r>
          </w:p>
        </w:tc>
        <w:tc>
          <w:tcPr>
            <w:tcW w:w="720" w:type="dxa"/>
          </w:tcPr>
          <w:p w14:paraId="50F9915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17,350</w:t>
            </w:r>
          </w:p>
        </w:tc>
        <w:tc>
          <w:tcPr>
            <w:tcW w:w="720" w:type="dxa"/>
          </w:tcPr>
          <w:p w14:paraId="114944D8"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19,540</w:t>
            </w:r>
          </w:p>
        </w:tc>
        <w:tc>
          <w:tcPr>
            <w:tcW w:w="720" w:type="dxa"/>
          </w:tcPr>
          <w:p w14:paraId="42E2D993"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25,760</w:t>
            </w:r>
          </w:p>
        </w:tc>
        <w:tc>
          <w:tcPr>
            <w:tcW w:w="720" w:type="dxa"/>
          </w:tcPr>
          <w:p w14:paraId="13C1C4B5"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32,140</w:t>
            </w:r>
          </w:p>
        </w:tc>
        <w:tc>
          <w:tcPr>
            <w:tcW w:w="720" w:type="dxa"/>
          </w:tcPr>
          <w:p w14:paraId="0BA4013D"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31,380</w:t>
            </w:r>
          </w:p>
        </w:tc>
        <w:tc>
          <w:tcPr>
            <w:tcW w:w="810" w:type="dxa"/>
          </w:tcPr>
          <w:p w14:paraId="2DD03E74"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39,200</w:t>
            </w:r>
          </w:p>
        </w:tc>
        <w:tc>
          <w:tcPr>
            <w:tcW w:w="810" w:type="dxa"/>
          </w:tcPr>
          <w:p w14:paraId="28F8B1F2"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37,730</w:t>
            </w:r>
          </w:p>
        </w:tc>
        <w:tc>
          <w:tcPr>
            <w:tcW w:w="810" w:type="dxa"/>
          </w:tcPr>
          <w:p w14:paraId="67CF6787"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37,580</w:t>
            </w:r>
          </w:p>
        </w:tc>
        <w:tc>
          <w:tcPr>
            <w:tcW w:w="810" w:type="dxa"/>
          </w:tcPr>
          <w:p w14:paraId="1AC3A559"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24,650</w:t>
            </w:r>
          </w:p>
        </w:tc>
        <w:tc>
          <w:tcPr>
            <w:tcW w:w="810" w:type="dxa"/>
          </w:tcPr>
          <w:p w14:paraId="5EAB121C" w14:textId="77777777" w:rsidR="00CC1459" w:rsidRPr="0017095C" w:rsidRDefault="00CC1459" w:rsidP="00B02617">
            <w:pPr>
              <w:pStyle w:val="Default"/>
              <w:jc w:val="center"/>
              <w:rPr>
                <w:rFonts w:ascii="Arial" w:hAnsi="Arial" w:cs="Arial" w:hint="default"/>
                <w:sz w:val="20"/>
                <w:lang w:val="en-CA"/>
              </w:rPr>
            </w:pPr>
            <w:r w:rsidRPr="0017095C">
              <w:rPr>
                <w:rFonts w:ascii="Arial" w:hAnsi="Arial" w:cs="Arial" w:hint="default"/>
                <w:sz w:val="20"/>
                <w:lang w:val="en-CA"/>
              </w:rPr>
              <w:t>27,710</w:t>
            </w:r>
          </w:p>
        </w:tc>
      </w:tr>
    </w:tbl>
    <w:p w14:paraId="5EBD6520" w14:textId="77777777" w:rsidR="00CC1459" w:rsidRPr="0017095C" w:rsidRDefault="00CC1459" w:rsidP="00CC1459">
      <w:pPr>
        <w:pStyle w:val="Footnote"/>
        <w:rPr>
          <w:lang w:val="en-CA"/>
        </w:rPr>
      </w:pPr>
    </w:p>
    <w:p w14:paraId="65CF6296" w14:textId="19E3142D" w:rsidR="00B02617" w:rsidRPr="0017095C" w:rsidRDefault="00B02617" w:rsidP="00CC1459">
      <w:pPr>
        <w:pStyle w:val="Footnote"/>
        <w:rPr>
          <w:lang w:val="en-CA"/>
        </w:rPr>
      </w:pPr>
      <w:r w:rsidRPr="0017095C">
        <w:rPr>
          <w:lang w:val="en-CA"/>
        </w:rPr>
        <w:t>Note:</w:t>
      </w:r>
      <w:r w:rsidR="004A72B8" w:rsidRPr="0017095C">
        <w:rPr>
          <w:lang w:val="en-CA"/>
        </w:rPr>
        <w:t xml:space="preserve"> Q = quarter; tpd = tonnes per day; g/t = grams per tonne; m = metre; oz = ounce; one ounce = 28.4 grams</w:t>
      </w:r>
    </w:p>
    <w:p w14:paraId="0839F067" w14:textId="1AD339DF" w:rsidR="00CC1459" w:rsidRPr="00BC353D" w:rsidRDefault="00CC1459" w:rsidP="00CC1459">
      <w:pPr>
        <w:pStyle w:val="Footnote"/>
        <w:rPr>
          <w:spacing w:val="-2"/>
          <w:lang w:val="en-CA"/>
        </w:rPr>
      </w:pPr>
      <w:r w:rsidRPr="00BC353D">
        <w:rPr>
          <w:spacing w:val="-2"/>
          <w:lang w:val="en-CA"/>
        </w:rPr>
        <w:t>Source:</w:t>
      </w:r>
      <w:r w:rsidR="00A54542" w:rsidRPr="00BC353D">
        <w:rPr>
          <w:spacing w:val="-2"/>
          <w:lang w:val="en-CA"/>
        </w:rPr>
        <w:t xml:space="preserve"> TMAC Resources, </w:t>
      </w:r>
      <w:r w:rsidR="00A54542" w:rsidRPr="00BC353D">
        <w:rPr>
          <w:i/>
          <w:iCs/>
          <w:spacing w:val="-2"/>
          <w:lang w:val="en-CA"/>
        </w:rPr>
        <w:t>Investor Presentation</w:t>
      </w:r>
      <w:r w:rsidR="00A54542" w:rsidRPr="00BC353D">
        <w:rPr>
          <w:spacing w:val="-2"/>
          <w:lang w:val="en-CA"/>
        </w:rPr>
        <w:t xml:space="preserve"> (January 2020), accessed April 20, 2021, https://s1.q4cdn.com/893791552/files/doc_presentations/2020/01/2020-01-TMAC-Investor-Presentation.pdf; “TMAC Announces Q1 2020 Operating Results,” </w:t>
      </w:r>
      <w:r w:rsidR="00A54542" w:rsidRPr="00BC353D">
        <w:rPr>
          <w:i/>
          <w:iCs/>
          <w:spacing w:val="-2"/>
          <w:lang w:val="en-CA"/>
        </w:rPr>
        <w:t>Financial Post</w:t>
      </w:r>
      <w:r w:rsidR="00A54542" w:rsidRPr="00BC353D">
        <w:rPr>
          <w:spacing w:val="-2"/>
          <w:lang w:val="en-CA"/>
        </w:rPr>
        <w:t xml:space="preserve">, May 12, 2020, accessed April 20, 2021, </w:t>
      </w:r>
      <w:r w:rsidR="00671C80" w:rsidRPr="00BC353D">
        <w:rPr>
          <w:spacing w:val="-2"/>
          <w:lang w:val="en-CA"/>
        </w:rPr>
        <w:t>https://financialpost.com/pmn/press-releases-pmn/business-wire-news-releases-pmn/tmac-announces-q1-2020-operating-results</w:t>
      </w:r>
      <w:r w:rsidR="00A54542" w:rsidRPr="00BC353D">
        <w:rPr>
          <w:spacing w:val="-2"/>
          <w:lang w:val="en-CA"/>
        </w:rPr>
        <w:t>.</w:t>
      </w:r>
    </w:p>
    <w:p w14:paraId="6B99FE73" w14:textId="77777777" w:rsidR="00CC1459" w:rsidRPr="0017095C" w:rsidRDefault="00CC1459" w:rsidP="00CC1459">
      <w:pPr>
        <w:rPr>
          <w:lang w:val="en-CA" w:eastAsia="zh-CN"/>
        </w:rPr>
      </w:pPr>
    </w:p>
    <w:p w14:paraId="0DC3728C" w14:textId="126B2062" w:rsidR="00CC1459" w:rsidRPr="0017095C" w:rsidRDefault="00CC1459" w:rsidP="00CC1459">
      <w:pPr>
        <w:rPr>
          <w:lang w:val="en-CA" w:eastAsia="zh-CN"/>
        </w:rPr>
      </w:pPr>
    </w:p>
    <w:p w14:paraId="32C61A15" w14:textId="74E36BBC" w:rsidR="00AC7323" w:rsidRPr="0017095C" w:rsidRDefault="00AC7323" w:rsidP="00CC1459">
      <w:pPr>
        <w:rPr>
          <w:lang w:val="en-CA" w:eastAsia="zh-CN"/>
        </w:rPr>
      </w:pPr>
    </w:p>
    <w:p w14:paraId="53A8F428" w14:textId="13AB977F" w:rsidR="00AC7323" w:rsidRPr="0017095C" w:rsidRDefault="00AC7323" w:rsidP="00CC1459">
      <w:pPr>
        <w:rPr>
          <w:lang w:val="en-CA" w:eastAsia="zh-CN"/>
        </w:rPr>
      </w:pPr>
    </w:p>
    <w:p w14:paraId="38DFAB5E" w14:textId="1AB22FAD" w:rsidR="00607FE4" w:rsidRDefault="00607FE4">
      <w:pPr>
        <w:spacing w:after="200" w:line="276" w:lineRule="auto"/>
        <w:rPr>
          <w:lang w:val="en-CA" w:eastAsia="zh-CN"/>
        </w:rPr>
      </w:pPr>
      <w:r>
        <w:rPr>
          <w:lang w:val="en-CA" w:eastAsia="zh-CN"/>
        </w:rPr>
        <w:br w:type="page"/>
      </w:r>
    </w:p>
    <w:p w14:paraId="1E0E2693" w14:textId="56DB546A" w:rsidR="00CC1459" w:rsidRPr="0017095C" w:rsidRDefault="00CC1459" w:rsidP="00CC1459">
      <w:pPr>
        <w:pStyle w:val="ExhibitHeading"/>
        <w:rPr>
          <w:rFonts w:eastAsiaTheme="minorEastAsia"/>
          <w:lang w:val="en-CA" w:eastAsia="zh-CN"/>
        </w:rPr>
      </w:pPr>
      <w:r w:rsidRPr="0017095C">
        <w:rPr>
          <w:lang w:val="en-CA"/>
        </w:rPr>
        <w:lastRenderedPageBreak/>
        <w:t xml:space="preserve">EXHIBIT </w:t>
      </w:r>
      <w:r w:rsidR="00AC7323" w:rsidRPr="0017095C">
        <w:rPr>
          <w:lang w:val="en-CA"/>
        </w:rPr>
        <w:t>3</w:t>
      </w:r>
      <w:r w:rsidRPr="0017095C">
        <w:rPr>
          <w:lang w:val="en-CA"/>
        </w:rPr>
        <w:t>: TMAC RESOURCES KEY FINANCIAL METRICS</w:t>
      </w:r>
    </w:p>
    <w:p w14:paraId="1FEA9458" w14:textId="77777777" w:rsidR="00CC1459" w:rsidRPr="0017095C" w:rsidRDefault="00CC1459" w:rsidP="00CC1459">
      <w:pPr>
        <w:pStyle w:val="ExhibitHeading"/>
        <w:rPr>
          <w:rFonts w:eastAsiaTheme="minorEastAsia"/>
          <w:lang w:val="en-CA" w:eastAsia="zh-CN"/>
        </w:rPr>
      </w:pPr>
    </w:p>
    <w:tbl>
      <w:tblPr>
        <w:tblStyle w:val="TableGrid"/>
        <w:tblW w:w="0" w:type="auto"/>
        <w:tblLook w:val="04A0" w:firstRow="1" w:lastRow="0" w:firstColumn="1" w:lastColumn="0" w:noHBand="0" w:noVBand="1"/>
        <w:tblCaption w:val="Exhibit 3"/>
        <w:tblDescription w:val="TMAC resources key financial metrics"/>
      </w:tblPr>
      <w:tblGrid>
        <w:gridCol w:w="4531"/>
        <w:gridCol w:w="1371"/>
        <w:gridCol w:w="1612"/>
        <w:gridCol w:w="1836"/>
      </w:tblGrid>
      <w:tr w:rsidR="00CC1459" w:rsidRPr="0017095C" w14:paraId="1510C5DD" w14:textId="77777777" w:rsidTr="00BC353D">
        <w:trPr>
          <w:tblHeader/>
        </w:trPr>
        <w:tc>
          <w:tcPr>
            <w:tcW w:w="4531" w:type="dxa"/>
          </w:tcPr>
          <w:p w14:paraId="0549BDA1" w14:textId="77777777" w:rsidR="00CC1459" w:rsidRPr="0017095C" w:rsidRDefault="00CC1459" w:rsidP="00792B9F">
            <w:pPr>
              <w:rPr>
                <w:b/>
                <w:lang w:val="en-CA"/>
              </w:rPr>
            </w:pPr>
            <w:bookmarkStart w:id="1" w:name="_GoBack"/>
          </w:p>
        </w:tc>
        <w:tc>
          <w:tcPr>
            <w:tcW w:w="1371" w:type="dxa"/>
          </w:tcPr>
          <w:p w14:paraId="78FC6BCD" w14:textId="77777777" w:rsidR="00CC1459" w:rsidRPr="0017095C" w:rsidRDefault="00CC1459" w:rsidP="00792B9F">
            <w:pPr>
              <w:pStyle w:val="NormalWeb"/>
              <w:spacing w:before="0" w:beforeAutospacing="0" w:after="0" w:afterAutospacing="0"/>
              <w:jc w:val="center"/>
              <w:rPr>
                <w:rFonts w:ascii="Arial" w:hAnsi="Arial" w:cs="Arial"/>
                <w:b/>
                <w:sz w:val="20"/>
                <w:szCs w:val="20"/>
                <w:lang w:val="en-CA"/>
              </w:rPr>
            </w:pPr>
            <w:r w:rsidRPr="0017095C">
              <w:rPr>
                <w:rFonts w:ascii="Arial" w:hAnsi="Arial" w:cs="Arial"/>
                <w:b/>
                <w:sz w:val="20"/>
                <w:szCs w:val="20"/>
                <w:lang w:val="en-CA"/>
              </w:rPr>
              <w:t>2018</w:t>
            </w:r>
          </w:p>
        </w:tc>
        <w:tc>
          <w:tcPr>
            <w:tcW w:w="1612" w:type="dxa"/>
          </w:tcPr>
          <w:p w14:paraId="06C09F06" w14:textId="77777777" w:rsidR="00CC1459" w:rsidRPr="0017095C" w:rsidRDefault="00CC1459" w:rsidP="00792B9F">
            <w:pPr>
              <w:pStyle w:val="NormalWeb"/>
              <w:spacing w:before="0" w:beforeAutospacing="0" w:after="0" w:afterAutospacing="0"/>
              <w:jc w:val="center"/>
              <w:rPr>
                <w:rFonts w:ascii="Arial" w:hAnsi="Arial" w:cs="Arial"/>
                <w:b/>
                <w:sz w:val="20"/>
                <w:szCs w:val="20"/>
                <w:lang w:val="en-CA"/>
              </w:rPr>
            </w:pPr>
            <w:r w:rsidRPr="0017095C">
              <w:rPr>
                <w:rFonts w:ascii="Arial" w:hAnsi="Arial" w:cs="Arial"/>
                <w:b/>
                <w:sz w:val="20"/>
                <w:szCs w:val="20"/>
                <w:lang w:val="en-CA"/>
              </w:rPr>
              <w:t>2019</w:t>
            </w:r>
          </w:p>
        </w:tc>
        <w:tc>
          <w:tcPr>
            <w:tcW w:w="1836" w:type="dxa"/>
          </w:tcPr>
          <w:p w14:paraId="26A14CEC" w14:textId="77777777" w:rsidR="00CC1459" w:rsidRPr="0017095C" w:rsidRDefault="00CC1459" w:rsidP="00792B9F">
            <w:pPr>
              <w:pStyle w:val="NormalWeb"/>
              <w:spacing w:before="0" w:beforeAutospacing="0" w:after="0" w:afterAutospacing="0"/>
              <w:jc w:val="center"/>
              <w:rPr>
                <w:rFonts w:ascii="Arial" w:hAnsi="Arial" w:cs="Arial"/>
                <w:b/>
                <w:sz w:val="20"/>
                <w:szCs w:val="20"/>
                <w:lang w:val="en-CA"/>
              </w:rPr>
            </w:pPr>
            <w:r w:rsidRPr="0017095C">
              <w:rPr>
                <w:rFonts w:ascii="Arial" w:hAnsi="Arial" w:cs="Arial"/>
                <w:b/>
                <w:sz w:val="20"/>
                <w:szCs w:val="20"/>
                <w:lang w:val="en-CA"/>
              </w:rPr>
              <w:t>Q1 2020</w:t>
            </w:r>
          </w:p>
        </w:tc>
      </w:tr>
      <w:tr w:rsidR="00CC1459" w:rsidRPr="0017095C" w14:paraId="191FF438" w14:textId="77777777" w:rsidTr="00BC353D">
        <w:trPr>
          <w:tblHeader/>
        </w:trPr>
        <w:tc>
          <w:tcPr>
            <w:tcW w:w="4531" w:type="dxa"/>
          </w:tcPr>
          <w:p w14:paraId="3F8377BE" w14:textId="3D87B816"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Gold </w:t>
            </w:r>
            <w:r w:rsidR="003619CC" w:rsidRPr="0017095C">
              <w:rPr>
                <w:rFonts w:ascii="Arial" w:hAnsi="Arial" w:cs="Arial" w:hint="default"/>
                <w:sz w:val="20"/>
                <w:lang w:val="en-CA"/>
              </w:rPr>
              <w:t>p</w:t>
            </w:r>
            <w:r w:rsidRPr="0017095C">
              <w:rPr>
                <w:rFonts w:ascii="Arial" w:hAnsi="Arial" w:cs="Arial" w:hint="default"/>
                <w:sz w:val="20"/>
                <w:lang w:val="en-CA"/>
              </w:rPr>
              <w:t>roduced (</w:t>
            </w:r>
            <w:r w:rsidR="003619CC" w:rsidRPr="0017095C">
              <w:rPr>
                <w:rFonts w:ascii="Arial" w:hAnsi="Arial" w:cs="Arial" w:hint="default"/>
                <w:sz w:val="20"/>
                <w:lang w:val="en-CA"/>
              </w:rPr>
              <w:t xml:space="preserve">in </w:t>
            </w:r>
            <w:r w:rsidRPr="0017095C">
              <w:rPr>
                <w:rFonts w:ascii="Arial" w:hAnsi="Arial" w:cs="Arial" w:hint="default"/>
                <w:sz w:val="20"/>
                <w:lang w:val="en-CA"/>
              </w:rPr>
              <w:t>ounces)</w:t>
            </w:r>
          </w:p>
        </w:tc>
        <w:tc>
          <w:tcPr>
            <w:tcW w:w="1371" w:type="dxa"/>
          </w:tcPr>
          <w:p w14:paraId="3195804D"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110,970</w:t>
            </w:r>
          </w:p>
        </w:tc>
        <w:tc>
          <w:tcPr>
            <w:tcW w:w="1612" w:type="dxa"/>
          </w:tcPr>
          <w:p w14:paraId="4F67E05D"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139,510</w:t>
            </w:r>
          </w:p>
        </w:tc>
        <w:tc>
          <w:tcPr>
            <w:tcW w:w="1836" w:type="dxa"/>
          </w:tcPr>
          <w:p w14:paraId="5F173A2F"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32,290</w:t>
            </w:r>
          </w:p>
        </w:tc>
      </w:tr>
      <w:tr w:rsidR="00CC1459" w:rsidRPr="0017095C" w14:paraId="163B44C5" w14:textId="77777777" w:rsidTr="00BC353D">
        <w:trPr>
          <w:tblHeader/>
        </w:trPr>
        <w:tc>
          <w:tcPr>
            <w:tcW w:w="4531" w:type="dxa"/>
          </w:tcPr>
          <w:p w14:paraId="79E8C555" w14:textId="1AAE075A"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Gold </w:t>
            </w:r>
            <w:r w:rsidR="003619CC" w:rsidRPr="0017095C">
              <w:rPr>
                <w:rFonts w:ascii="Arial" w:hAnsi="Arial" w:cs="Arial" w:hint="default"/>
                <w:sz w:val="20"/>
                <w:lang w:val="en-CA"/>
              </w:rPr>
              <w:t>s</w:t>
            </w:r>
            <w:r w:rsidRPr="0017095C">
              <w:rPr>
                <w:rFonts w:ascii="Arial" w:hAnsi="Arial" w:cs="Arial" w:hint="default"/>
                <w:sz w:val="20"/>
                <w:lang w:val="en-CA"/>
              </w:rPr>
              <w:t>old (</w:t>
            </w:r>
            <w:r w:rsidR="003619CC" w:rsidRPr="0017095C">
              <w:rPr>
                <w:rFonts w:ascii="Arial" w:hAnsi="Arial" w:cs="Arial" w:hint="default"/>
                <w:sz w:val="20"/>
                <w:lang w:val="en-CA"/>
              </w:rPr>
              <w:t xml:space="preserve">in </w:t>
            </w:r>
            <w:r w:rsidRPr="0017095C">
              <w:rPr>
                <w:rFonts w:ascii="Arial" w:hAnsi="Arial" w:cs="Arial" w:hint="default"/>
                <w:sz w:val="20"/>
                <w:lang w:val="en-CA"/>
              </w:rPr>
              <w:t>ounces)</w:t>
            </w:r>
          </w:p>
        </w:tc>
        <w:tc>
          <w:tcPr>
            <w:tcW w:w="1371" w:type="dxa"/>
          </w:tcPr>
          <w:p w14:paraId="71E74889"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108,820</w:t>
            </w:r>
          </w:p>
        </w:tc>
        <w:tc>
          <w:tcPr>
            <w:tcW w:w="1612" w:type="dxa"/>
          </w:tcPr>
          <w:p w14:paraId="50D696F2"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139,160</w:t>
            </w:r>
          </w:p>
        </w:tc>
        <w:tc>
          <w:tcPr>
            <w:tcW w:w="1836" w:type="dxa"/>
          </w:tcPr>
          <w:p w14:paraId="5369A066"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27,710</w:t>
            </w:r>
          </w:p>
        </w:tc>
      </w:tr>
      <w:tr w:rsidR="00CC1459" w:rsidRPr="0017095C" w14:paraId="02886B74" w14:textId="77777777" w:rsidTr="00BC353D">
        <w:trPr>
          <w:tblHeader/>
        </w:trPr>
        <w:tc>
          <w:tcPr>
            <w:tcW w:w="4531" w:type="dxa"/>
          </w:tcPr>
          <w:p w14:paraId="7AC9F9A0" w14:textId="215CB5A1"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Revenue (</w:t>
            </w:r>
            <w:r w:rsidR="003619CC" w:rsidRPr="0017095C">
              <w:rPr>
                <w:rFonts w:ascii="Arial" w:hAnsi="Arial" w:cs="Arial" w:hint="default"/>
                <w:sz w:val="20"/>
                <w:lang w:val="en-CA"/>
              </w:rPr>
              <w:t xml:space="preserve">in </w:t>
            </w:r>
            <w:r w:rsidRPr="0017095C">
              <w:rPr>
                <w:rFonts w:ascii="Arial" w:hAnsi="Arial" w:cs="Arial" w:hint="default"/>
                <w:sz w:val="20"/>
                <w:lang w:val="en-CA"/>
              </w:rPr>
              <w:t>C</w:t>
            </w:r>
            <w:r w:rsidR="003619CC" w:rsidRPr="0017095C">
              <w:rPr>
                <w:rFonts w:ascii="Arial" w:hAnsi="Arial" w:cs="Arial" w:hint="default"/>
                <w:sz w:val="20"/>
                <w:lang w:val="en-CA"/>
              </w:rPr>
              <w:t>A</w:t>
            </w:r>
            <w:r w:rsidRPr="0017095C">
              <w:rPr>
                <w:rFonts w:ascii="Arial" w:hAnsi="Arial" w:cs="Arial" w:hint="default"/>
                <w:sz w:val="20"/>
                <w:lang w:val="en-CA"/>
              </w:rPr>
              <w:t>$ million)</w:t>
            </w:r>
          </w:p>
        </w:tc>
        <w:tc>
          <w:tcPr>
            <w:tcW w:w="1371" w:type="dxa"/>
          </w:tcPr>
          <w:p w14:paraId="317A7AF1"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178.0</w:t>
            </w:r>
          </w:p>
        </w:tc>
        <w:tc>
          <w:tcPr>
            <w:tcW w:w="1612" w:type="dxa"/>
          </w:tcPr>
          <w:p w14:paraId="42CB474B"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254.8</w:t>
            </w:r>
          </w:p>
        </w:tc>
        <w:tc>
          <w:tcPr>
            <w:tcW w:w="1836" w:type="dxa"/>
          </w:tcPr>
          <w:p w14:paraId="0B7AD6A0"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59.4</w:t>
            </w:r>
          </w:p>
        </w:tc>
      </w:tr>
      <w:tr w:rsidR="00CC1459" w:rsidRPr="0017095C" w14:paraId="4F000111" w14:textId="77777777" w:rsidTr="00BC353D">
        <w:trPr>
          <w:tblHeader/>
        </w:trPr>
        <w:tc>
          <w:tcPr>
            <w:tcW w:w="4531" w:type="dxa"/>
          </w:tcPr>
          <w:p w14:paraId="468F04E0" w14:textId="3E489F8E"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Realized </w:t>
            </w:r>
            <w:r w:rsidR="003619CC" w:rsidRPr="0017095C">
              <w:rPr>
                <w:rFonts w:ascii="Arial" w:hAnsi="Arial" w:cs="Arial" w:hint="default"/>
                <w:sz w:val="20"/>
                <w:lang w:val="en-CA"/>
              </w:rPr>
              <w:t>g</w:t>
            </w:r>
            <w:r w:rsidRPr="0017095C">
              <w:rPr>
                <w:rFonts w:ascii="Arial" w:hAnsi="Arial" w:cs="Arial" w:hint="default"/>
                <w:sz w:val="20"/>
                <w:lang w:val="en-CA"/>
              </w:rPr>
              <w:t xml:space="preserve">old </w:t>
            </w:r>
            <w:r w:rsidR="003619CC" w:rsidRPr="0017095C">
              <w:rPr>
                <w:rFonts w:ascii="Arial" w:hAnsi="Arial" w:cs="Arial" w:hint="default"/>
                <w:sz w:val="20"/>
                <w:lang w:val="en-CA"/>
              </w:rPr>
              <w:t>p</w:t>
            </w:r>
            <w:r w:rsidRPr="0017095C">
              <w:rPr>
                <w:rFonts w:ascii="Arial" w:hAnsi="Arial" w:cs="Arial" w:hint="default"/>
                <w:sz w:val="20"/>
                <w:lang w:val="en-CA"/>
              </w:rPr>
              <w:t xml:space="preserve">rice </w:t>
            </w:r>
            <w:r w:rsidR="003619CC" w:rsidRPr="0017095C">
              <w:rPr>
                <w:rFonts w:ascii="Arial" w:hAnsi="Arial" w:cs="Arial" w:hint="default"/>
                <w:sz w:val="20"/>
                <w:lang w:val="en-CA"/>
              </w:rPr>
              <w:br/>
            </w:r>
            <w:r w:rsidRPr="0017095C">
              <w:rPr>
                <w:rFonts w:ascii="Arial" w:hAnsi="Arial" w:cs="Arial" w:hint="default"/>
                <w:sz w:val="20"/>
                <w:lang w:val="en-CA"/>
              </w:rPr>
              <w:t>(</w:t>
            </w:r>
            <w:r w:rsidR="003619CC" w:rsidRPr="0017095C">
              <w:rPr>
                <w:rFonts w:ascii="Arial" w:hAnsi="Arial" w:cs="Arial" w:hint="default"/>
                <w:sz w:val="20"/>
                <w:lang w:val="en-CA"/>
              </w:rPr>
              <w:t xml:space="preserve">in </w:t>
            </w:r>
            <w:r w:rsidRPr="0017095C">
              <w:rPr>
                <w:rFonts w:ascii="Arial" w:hAnsi="Arial" w:cs="Arial" w:hint="default"/>
                <w:sz w:val="20"/>
                <w:lang w:val="en-CA"/>
              </w:rPr>
              <w:t>C</w:t>
            </w:r>
            <w:r w:rsidR="003619CC" w:rsidRPr="0017095C">
              <w:rPr>
                <w:rFonts w:ascii="Arial" w:hAnsi="Arial" w:cs="Arial" w:hint="default"/>
                <w:sz w:val="20"/>
                <w:lang w:val="en-CA"/>
              </w:rPr>
              <w:t>A</w:t>
            </w:r>
            <w:r w:rsidRPr="0017095C">
              <w:rPr>
                <w:rFonts w:ascii="Arial" w:hAnsi="Arial" w:cs="Arial" w:hint="default"/>
                <w:sz w:val="20"/>
                <w:lang w:val="en-CA"/>
              </w:rPr>
              <w:t>$</w:t>
            </w:r>
            <w:r w:rsidR="003619CC" w:rsidRPr="0017095C">
              <w:rPr>
                <w:rFonts w:ascii="Arial" w:hAnsi="Arial" w:cs="Arial" w:hint="default"/>
                <w:sz w:val="20"/>
                <w:lang w:val="en-CA"/>
              </w:rPr>
              <w:t xml:space="preserve"> per </w:t>
            </w:r>
            <w:r w:rsidRPr="0017095C">
              <w:rPr>
                <w:rFonts w:ascii="Arial" w:hAnsi="Arial" w:cs="Arial" w:hint="default"/>
                <w:sz w:val="20"/>
                <w:lang w:val="en-CA"/>
              </w:rPr>
              <w:t>o</w:t>
            </w:r>
            <w:r w:rsidR="003619CC" w:rsidRPr="0017095C">
              <w:rPr>
                <w:rFonts w:ascii="Arial" w:hAnsi="Arial" w:cs="Arial" w:hint="default"/>
                <w:sz w:val="20"/>
                <w:lang w:val="en-CA"/>
              </w:rPr>
              <w:t xml:space="preserve">unce or </w:t>
            </w:r>
            <w:r w:rsidRPr="0017095C">
              <w:rPr>
                <w:rFonts w:ascii="Arial" w:hAnsi="Arial" w:cs="Arial" w:hint="default"/>
                <w:sz w:val="20"/>
                <w:lang w:val="en-CA"/>
              </w:rPr>
              <w:t>US$</w:t>
            </w:r>
            <w:r w:rsidR="003619CC" w:rsidRPr="0017095C">
              <w:rPr>
                <w:rFonts w:ascii="Arial" w:hAnsi="Arial" w:cs="Arial" w:hint="default"/>
                <w:sz w:val="20"/>
                <w:lang w:val="en-CA"/>
              </w:rPr>
              <w:t xml:space="preserve"> per ounce</w:t>
            </w:r>
            <w:r w:rsidRPr="0017095C">
              <w:rPr>
                <w:rFonts w:ascii="Arial" w:hAnsi="Arial" w:cs="Arial" w:hint="default"/>
                <w:sz w:val="20"/>
                <w:lang w:val="en-CA"/>
              </w:rPr>
              <w:t>)</w:t>
            </w:r>
          </w:p>
        </w:tc>
        <w:tc>
          <w:tcPr>
            <w:tcW w:w="1371" w:type="dxa"/>
          </w:tcPr>
          <w:p w14:paraId="77BAE701"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1,635/1,257</w:t>
            </w:r>
          </w:p>
        </w:tc>
        <w:tc>
          <w:tcPr>
            <w:tcW w:w="1612" w:type="dxa"/>
          </w:tcPr>
          <w:p w14:paraId="583D1C34"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1,831/1,381</w:t>
            </w:r>
          </w:p>
        </w:tc>
        <w:tc>
          <w:tcPr>
            <w:tcW w:w="1836" w:type="dxa"/>
          </w:tcPr>
          <w:p w14:paraId="3B6FE70F"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2,143/1,587</w:t>
            </w:r>
          </w:p>
        </w:tc>
      </w:tr>
      <w:tr w:rsidR="00CC1459" w:rsidRPr="0017095C" w14:paraId="0EA7E869" w14:textId="77777777" w:rsidTr="00BC353D">
        <w:trPr>
          <w:tblHeader/>
        </w:trPr>
        <w:tc>
          <w:tcPr>
            <w:tcW w:w="4531" w:type="dxa"/>
          </w:tcPr>
          <w:p w14:paraId="4E35C21D" w14:textId="4B2170F7"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Cash </w:t>
            </w:r>
            <w:r w:rsidR="003619CC" w:rsidRPr="0017095C">
              <w:rPr>
                <w:rFonts w:ascii="Arial" w:hAnsi="Arial" w:cs="Arial" w:hint="default"/>
                <w:sz w:val="20"/>
                <w:lang w:val="en-CA"/>
              </w:rPr>
              <w:t>c</w:t>
            </w:r>
            <w:r w:rsidRPr="0017095C">
              <w:rPr>
                <w:rFonts w:ascii="Arial" w:hAnsi="Arial" w:cs="Arial" w:hint="default"/>
                <w:sz w:val="20"/>
                <w:lang w:val="en-CA"/>
              </w:rPr>
              <w:t>osts (</w:t>
            </w:r>
            <w:r w:rsidR="003619CC" w:rsidRPr="0017095C">
              <w:rPr>
                <w:rFonts w:ascii="Arial" w:hAnsi="Arial" w:cs="Arial" w:hint="default"/>
                <w:sz w:val="20"/>
                <w:lang w:val="en-CA"/>
              </w:rPr>
              <w:t xml:space="preserve">in </w:t>
            </w:r>
            <w:r w:rsidRPr="0017095C">
              <w:rPr>
                <w:rFonts w:ascii="Arial" w:hAnsi="Arial" w:cs="Arial" w:hint="default"/>
                <w:sz w:val="20"/>
                <w:lang w:val="en-CA"/>
              </w:rPr>
              <w:t>US$</w:t>
            </w:r>
            <w:r w:rsidR="003619CC" w:rsidRPr="0017095C">
              <w:rPr>
                <w:rFonts w:ascii="Arial" w:hAnsi="Arial" w:cs="Arial" w:hint="default"/>
                <w:sz w:val="20"/>
                <w:lang w:val="en-CA"/>
              </w:rPr>
              <w:t xml:space="preserve"> per ounce</w:t>
            </w:r>
            <w:r w:rsidRPr="0017095C">
              <w:rPr>
                <w:rFonts w:ascii="Arial" w:hAnsi="Arial" w:cs="Arial" w:hint="default"/>
                <w:sz w:val="20"/>
                <w:lang w:val="en-CA"/>
              </w:rPr>
              <w:t>)</w:t>
            </w:r>
            <w:r w:rsidR="003619CC" w:rsidRPr="0017095C">
              <w:rPr>
                <w:rFonts w:ascii="Arial" w:hAnsi="Arial" w:cs="Arial" w:hint="default"/>
                <w:sz w:val="20"/>
                <w:lang w:val="en-CA"/>
              </w:rPr>
              <w:t>*</w:t>
            </w:r>
          </w:p>
        </w:tc>
        <w:tc>
          <w:tcPr>
            <w:tcW w:w="1371" w:type="dxa"/>
          </w:tcPr>
          <w:p w14:paraId="7F64C3AC"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868</w:t>
            </w:r>
          </w:p>
        </w:tc>
        <w:tc>
          <w:tcPr>
            <w:tcW w:w="1612" w:type="dxa"/>
          </w:tcPr>
          <w:p w14:paraId="57B3A853"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788</w:t>
            </w:r>
          </w:p>
        </w:tc>
        <w:tc>
          <w:tcPr>
            <w:tcW w:w="1836" w:type="dxa"/>
          </w:tcPr>
          <w:p w14:paraId="224D6852"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906</w:t>
            </w:r>
          </w:p>
        </w:tc>
      </w:tr>
      <w:tr w:rsidR="00CC1459" w:rsidRPr="0017095C" w14:paraId="1F1C1815" w14:textId="77777777" w:rsidTr="00BC353D">
        <w:trPr>
          <w:tblHeader/>
        </w:trPr>
        <w:tc>
          <w:tcPr>
            <w:tcW w:w="4531" w:type="dxa"/>
          </w:tcPr>
          <w:p w14:paraId="5A8BB6B8" w14:textId="3742467E"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A</w:t>
            </w:r>
            <w:r w:rsidR="00465CE1" w:rsidRPr="0017095C">
              <w:rPr>
                <w:rFonts w:ascii="Arial" w:hAnsi="Arial" w:cs="Arial" w:hint="default"/>
                <w:sz w:val="20"/>
                <w:lang w:val="en-CA"/>
              </w:rPr>
              <w:t>ll-in sustaining costs</w:t>
            </w:r>
            <w:r w:rsidRPr="0017095C">
              <w:rPr>
                <w:rFonts w:ascii="Arial" w:hAnsi="Arial" w:cs="Arial" w:hint="default"/>
                <w:sz w:val="20"/>
                <w:lang w:val="en-CA"/>
              </w:rPr>
              <w:t xml:space="preserve"> (</w:t>
            </w:r>
            <w:r w:rsidR="003619CC" w:rsidRPr="0017095C">
              <w:rPr>
                <w:rFonts w:ascii="Arial" w:hAnsi="Arial" w:cs="Arial" w:hint="default"/>
                <w:sz w:val="20"/>
                <w:lang w:val="en-CA"/>
              </w:rPr>
              <w:t xml:space="preserve">in </w:t>
            </w:r>
            <w:r w:rsidRPr="0017095C">
              <w:rPr>
                <w:rFonts w:ascii="Arial" w:hAnsi="Arial" w:cs="Arial" w:hint="default"/>
                <w:sz w:val="20"/>
                <w:lang w:val="en-CA"/>
              </w:rPr>
              <w:t>US$</w:t>
            </w:r>
            <w:r w:rsidR="003619CC" w:rsidRPr="0017095C">
              <w:rPr>
                <w:rFonts w:ascii="Arial" w:hAnsi="Arial" w:cs="Arial" w:hint="default"/>
                <w:sz w:val="20"/>
                <w:lang w:val="en-CA"/>
              </w:rPr>
              <w:t xml:space="preserve"> per ounce</w:t>
            </w:r>
            <w:r w:rsidRPr="0017095C">
              <w:rPr>
                <w:rFonts w:ascii="Arial" w:hAnsi="Arial" w:cs="Arial" w:hint="default"/>
                <w:sz w:val="20"/>
                <w:lang w:val="en-CA"/>
              </w:rPr>
              <w:t>)</w:t>
            </w:r>
            <w:r w:rsidR="003619CC" w:rsidRPr="0017095C">
              <w:rPr>
                <w:rFonts w:ascii="Arial" w:hAnsi="Arial" w:cs="Arial" w:hint="default"/>
                <w:sz w:val="20"/>
                <w:lang w:val="en-CA"/>
              </w:rPr>
              <w:t>**</w:t>
            </w:r>
          </w:p>
        </w:tc>
        <w:tc>
          <w:tcPr>
            <w:tcW w:w="1371" w:type="dxa"/>
          </w:tcPr>
          <w:p w14:paraId="3CEDA1FC"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1,291</w:t>
            </w:r>
          </w:p>
        </w:tc>
        <w:tc>
          <w:tcPr>
            <w:tcW w:w="1612" w:type="dxa"/>
          </w:tcPr>
          <w:p w14:paraId="036C2508"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1,186</w:t>
            </w:r>
          </w:p>
        </w:tc>
        <w:tc>
          <w:tcPr>
            <w:tcW w:w="1836" w:type="dxa"/>
          </w:tcPr>
          <w:p w14:paraId="66D54745"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1,317</w:t>
            </w:r>
          </w:p>
        </w:tc>
      </w:tr>
      <w:tr w:rsidR="00CC1459" w:rsidRPr="0017095C" w14:paraId="2D24CF9C" w14:textId="77777777" w:rsidTr="00BC353D">
        <w:trPr>
          <w:tblHeader/>
        </w:trPr>
        <w:tc>
          <w:tcPr>
            <w:tcW w:w="4531" w:type="dxa"/>
          </w:tcPr>
          <w:p w14:paraId="13D49454" w14:textId="69199929"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Sustaining capital (</w:t>
            </w:r>
            <w:r w:rsidR="003619CC" w:rsidRPr="0017095C">
              <w:rPr>
                <w:rFonts w:ascii="Arial" w:hAnsi="Arial" w:cs="Arial" w:hint="default"/>
                <w:sz w:val="20"/>
                <w:lang w:val="en-CA"/>
              </w:rPr>
              <w:t xml:space="preserve">in </w:t>
            </w:r>
            <w:r w:rsidRPr="0017095C">
              <w:rPr>
                <w:rFonts w:ascii="Arial" w:hAnsi="Arial" w:cs="Arial" w:hint="default"/>
                <w:sz w:val="20"/>
                <w:lang w:val="en-CA"/>
              </w:rPr>
              <w:t>US$</w:t>
            </w:r>
            <w:r w:rsidR="003619CC" w:rsidRPr="0017095C">
              <w:rPr>
                <w:rFonts w:ascii="Arial" w:hAnsi="Arial" w:cs="Arial" w:hint="default"/>
                <w:sz w:val="20"/>
                <w:lang w:val="en-CA"/>
              </w:rPr>
              <w:t xml:space="preserve"> per ounce</w:t>
            </w:r>
            <w:r w:rsidRPr="0017095C">
              <w:rPr>
                <w:rFonts w:ascii="Arial" w:hAnsi="Arial" w:cs="Arial" w:hint="default"/>
                <w:sz w:val="20"/>
                <w:lang w:val="en-CA"/>
              </w:rPr>
              <w:t>)</w:t>
            </w:r>
          </w:p>
        </w:tc>
        <w:tc>
          <w:tcPr>
            <w:tcW w:w="1371" w:type="dxa"/>
          </w:tcPr>
          <w:p w14:paraId="5D4B24EB"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296</w:t>
            </w:r>
          </w:p>
        </w:tc>
        <w:tc>
          <w:tcPr>
            <w:tcW w:w="1612" w:type="dxa"/>
          </w:tcPr>
          <w:p w14:paraId="26D43360"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301</w:t>
            </w:r>
          </w:p>
        </w:tc>
        <w:tc>
          <w:tcPr>
            <w:tcW w:w="1836" w:type="dxa"/>
          </w:tcPr>
          <w:p w14:paraId="35C3A1D9"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296</w:t>
            </w:r>
          </w:p>
        </w:tc>
      </w:tr>
      <w:tr w:rsidR="00CC1459" w:rsidRPr="0017095C" w14:paraId="4F37632D" w14:textId="77777777" w:rsidTr="00BC353D">
        <w:trPr>
          <w:tblHeader/>
        </w:trPr>
        <w:tc>
          <w:tcPr>
            <w:tcW w:w="4531" w:type="dxa"/>
          </w:tcPr>
          <w:p w14:paraId="783D5BF9" w14:textId="271E119E"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Cash </w:t>
            </w:r>
            <w:r w:rsidR="003619CC" w:rsidRPr="0017095C">
              <w:rPr>
                <w:rFonts w:ascii="Arial" w:hAnsi="Arial" w:cs="Arial" w:hint="default"/>
                <w:sz w:val="20"/>
                <w:lang w:val="en-CA"/>
              </w:rPr>
              <w:t>f</w:t>
            </w:r>
            <w:r w:rsidRPr="0017095C">
              <w:rPr>
                <w:rFonts w:ascii="Arial" w:hAnsi="Arial" w:cs="Arial" w:hint="default"/>
                <w:sz w:val="20"/>
                <w:lang w:val="en-CA"/>
              </w:rPr>
              <w:t xml:space="preserve">low from </w:t>
            </w:r>
            <w:r w:rsidR="003619CC" w:rsidRPr="0017095C">
              <w:rPr>
                <w:rFonts w:ascii="Arial" w:hAnsi="Arial" w:cs="Arial" w:hint="default"/>
                <w:sz w:val="20"/>
                <w:lang w:val="en-CA"/>
              </w:rPr>
              <w:t>o</w:t>
            </w:r>
            <w:r w:rsidRPr="0017095C">
              <w:rPr>
                <w:rFonts w:ascii="Arial" w:hAnsi="Arial" w:cs="Arial" w:hint="default"/>
                <w:sz w:val="20"/>
                <w:lang w:val="en-CA"/>
              </w:rPr>
              <w:t xml:space="preserve">perating </w:t>
            </w:r>
            <w:r w:rsidR="003619CC" w:rsidRPr="0017095C">
              <w:rPr>
                <w:rFonts w:ascii="Arial" w:hAnsi="Arial" w:cs="Arial" w:hint="default"/>
                <w:sz w:val="20"/>
                <w:lang w:val="en-CA"/>
              </w:rPr>
              <w:t>a</w:t>
            </w:r>
            <w:r w:rsidRPr="0017095C">
              <w:rPr>
                <w:rFonts w:ascii="Arial" w:hAnsi="Arial" w:cs="Arial" w:hint="default"/>
                <w:sz w:val="20"/>
                <w:lang w:val="en-CA"/>
              </w:rPr>
              <w:t>ctivity before</w:t>
            </w:r>
          </w:p>
          <w:p w14:paraId="64FE6A86" w14:textId="14D954A6" w:rsidR="00CC1459" w:rsidRPr="0017095C" w:rsidRDefault="003619CC" w:rsidP="00792B9F">
            <w:pPr>
              <w:pStyle w:val="Default"/>
              <w:rPr>
                <w:rFonts w:ascii="Arial" w:hAnsi="Arial" w:cs="Arial" w:hint="default"/>
                <w:sz w:val="20"/>
                <w:lang w:val="en-CA"/>
              </w:rPr>
            </w:pPr>
            <w:r w:rsidRPr="0017095C">
              <w:rPr>
                <w:rFonts w:ascii="Arial" w:hAnsi="Arial" w:cs="Arial" w:hint="default"/>
                <w:sz w:val="20"/>
                <w:lang w:val="en-CA"/>
              </w:rPr>
              <w:t>w</w:t>
            </w:r>
            <w:r w:rsidR="00CC1459" w:rsidRPr="0017095C">
              <w:rPr>
                <w:rFonts w:ascii="Arial" w:hAnsi="Arial" w:cs="Arial" w:hint="default"/>
                <w:sz w:val="20"/>
                <w:lang w:val="en-CA"/>
              </w:rPr>
              <w:t xml:space="preserve">orking </w:t>
            </w:r>
            <w:r w:rsidRPr="0017095C">
              <w:rPr>
                <w:rFonts w:ascii="Arial" w:hAnsi="Arial" w:cs="Arial" w:hint="default"/>
                <w:sz w:val="20"/>
                <w:lang w:val="en-CA"/>
              </w:rPr>
              <w:t>c</w:t>
            </w:r>
            <w:r w:rsidR="00CC1459" w:rsidRPr="0017095C">
              <w:rPr>
                <w:rFonts w:ascii="Arial" w:hAnsi="Arial" w:cs="Arial" w:hint="default"/>
                <w:sz w:val="20"/>
                <w:lang w:val="en-CA"/>
              </w:rPr>
              <w:t xml:space="preserve">ap </w:t>
            </w:r>
            <w:r w:rsidRPr="0017095C">
              <w:rPr>
                <w:rFonts w:ascii="Arial" w:hAnsi="Arial" w:cs="Arial" w:hint="default"/>
                <w:sz w:val="20"/>
                <w:lang w:val="en-CA"/>
              </w:rPr>
              <w:t>c</w:t>
            </w:r>
            <w:r w:rsidR="00CC1459" w:rsidRPr="0017095C">
              <w:rPr>
                <w:rFonts w:ascii="Arial" w:hAnsi="Arial" w:cs="Arial" w:hint="default"/>
                <w:sz w:val="20"/>
                <w:lang w:val="en-CA"/>
              </w:rPr>
              <w:t>hanges (</w:t>
            </w:r>
            <w:r w:rsidRPr="0017095C">
              <w:rPr>
                <w:rFonts w:ascii="Arial" w:hAnsi="Arial" w:cs="Arial" w:hint="default"/>
                <w:sz w:val="20"/>
                <w:lang w:val="en-CA"/>
              </w:rPr>
              <w:t xml:space="preserve">in </w:t>
            </w:r>
            <w:r w:rsidR="00CC1459" w:rsidRPr="0017095C">
              <w:rPr>
                <w:rFonts w:ascii="Arial" w:hAnsi="Arial" w:cs="Arial" w:hint="default"/>
                <w:sz w:val="20"/>
                <w:lang w:val="en-CA"/>
              </w:rPr>
              <w:t>C</w:t>
            </w:r>
            <w:r w:rsidRPr="0017095C">
              <w:rPr>
                <w:rFonts w:ascii="Arial" w:hAnsi="Arial" w:cs="Arial" w:hint="default"/>
                <w:sz w:val="20"/>
                <w:lang w:val="en-CA"/>
              </w:rPr>
              <w:t>A</w:t>
            </w:r>
            <w:r w:rsidR="00CC1459" w:rsidRPr="0017095C">
              <w:rPr>
                <w:rFonts w:ascii="Arial" w:hAnsi="Arial" w:cs="Arial" w:hint="default"/>
                <w:sz w:val="20"/>
                <w:lang w:val="en-CA"/>
              </w:rPr>
              <w:t>$ million)</w:t>
            </w:r>
          </w:p>
        </w:tc>
        <w:tc>
          <w:tcPr>
            <w:tcW w:w="1371" w:type="dxa"/>
          </w:tcPr>
          <w:p w14:paraId="0F497551"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24.2</w:t>
            </w:r>
          </w:p>
        </w:tc>
        <w:tc>
          <w:tcPr>
            <w:tcW w:w="1612" w:type="dxa"/>
          </w:tcPr>
          <w:p w14:paraId="102667B7"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79.0</w:t>
            </w:r>
          </w:p>
        </w:tc>
        <w:tc>
          <w:tcPr>
            <w:tcW w:w="1836" w:type="dxa"/>
          </w:tcPr>
          <w:p w14:paraId="2C658F4E"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18.7</w:t>
            </w:r>
          </w:p>
        </w:tc>
      </w:tr>
      <w:tr w:rsidR="00CC1459" w:rsidRPr="0017095C" w14:paraId="52A13321" w14:textId="77777777" w:rsidTr="00BC353D">
        <w:trPr>
          <w:tblHeader/>
        </w:trPr>
        <w:tc>
          <w:tcPr>
            <w:tcW w:w="4531" w:type="dxa"/>
          </w:tcPr>
          <w:p w14:paraId="1AE485E6" w14:textId="04971D67"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Cash </w:t>
            </w:r>
            <w:r w:rsidR="003619CC" w:rsidRPr="0017095C">
              <w:rPr>
                <w:rFonts w:ascii="Arial" w:hAnsi="Arial" w:cs="Arial" w:hint="default"/>
                <w:sz w:val="20"/>
                <w:lang w:val="en-CA"/>
              </w:rPr>
              <w:t>f</w:t>
            </w:r>
            <w:r w:rsidRPr="0017095C">
              <w:rPr>
                <w:rFonts w:ascii="Arial" w:hAnsi="Arial" w:cs="Arial" w:hint="default"/>
                <w:sz w:val="20"/>
                <w:lang w:val="en-CA"/>
              </w:rPr>
              <w:t xml:space="preserve">low from </w:t>
            </w:r>
            <w:r w:rsidR="003619CC" w:rsidRPr="0017095C">
              <w:rPr>
                <w:rFonts w:ascii="Arial" w:hAnsi="Arial" w:cs="Arial" w:hint="default"/>
                <w:sz w:val="20"/>
                <w:lang w:val="en-CA"/>
              </w:rPr>
              <w:t>o</w:t>
            </w:r>
            <w:r w:rsidRPr="0017095C">
              <w:rPr>
                <w:rFonts w:ascii="Arial" w:hAnsi="Arial" w:cs="Arial" w:hint="default"/>
                <w:sz w:val="20"/>
                <w:lang w:val="en-CA"/>
              </w:rPr>
              <w:t xml:space="preserve">perating </w:t>
            </w:r>
            <w:r w:rsidR="003619CC" w:rsidRPr="0017095C">
              <w:rPr>
                <w:rFonts w:ascii="Arial" w:hAnsi="Arial" w:cs="Arial" w:hint="default"/>
                <w:sz w:val="20"/>
                <w:lang w:val="en-CA"/>
              </w:rPr>
              <w:t>a</w:t>
            </w:r>
            <w:r w:rsidRPr="0017095C">
              <w:rPr>
                <w:rFonts w:ascii="Arial" w:hAnsi="Arial" w:cs="Arial" w:hint="default"/>
                <w:sz w:val="20"/>
                <w:lang w:val="en-CA"/>
              </w:rPr>
              <w:t>ctivity (</w:t>
            </w:r>
            <w:r w:rsidR="003619CC" w:rsidRPr="0017095C">
              <w:rPr>
                <w:rFonts w:ascii="Arial" w:hAnsi="Arial" w:cs="Arial" w:hint="default"/>
                <w:sz w:val="20"/>
                <w:lang w:val="en-CA"/>
              </w:rPr>
              <w:t xml:space="preserve">in </w:t>
            </w:r>
            <w:r w:rsidRPr="0017095C">
              <w:rPr>
                <w:rFonts w:ascii="Arial" w:hAnsi="Arial" w:cs="Arial" w:hint="default"/>
                <w:sz w:val="20"/>
                <w:lang w:val="en-CA"/>
              </w:rPr>
              <w:t>C</w:t>
            </w:r>
            <w:r w:rsidR="00465CE1" w:rsidRPr="0017095C">
              <w:rPr>
                <w:rFonts w:ascii="Arial" w:hAnsi="Arial" w:cs="Arial" w:hint="default"/>
                <w:sz w:val="20"/>
                <w:lang w:val="en-CA"/>
              </w:rPr>
              <w:t>A</w:t>
            </w:r>
            <w:r w:rsidRPr="0017095C">
              <w:rPr>
                <w:rFonts w:ascii="Arial" w:hAnsi="Arial" w:cs="Arial" w:hint="default"/>
                <w:sz w:val="20"/>
                <w:lang w:val="en-CA"/>
              </w:rPr>
              <w:t>$ million)</w:t>
            </w:r>
          </w:p>
        </w:tc>
        <w:tc>
          <w:tcPr>
            <w:tcW w:w="1371" w:type="dxa"/>
          </w:tcPr>
          <w:p w14:paraId="4BF18625"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21.6</w:t>
            </w:r>
          </w:p>
        </w:tc>
        <w:tc>
          <w:tcPr>
            <w:tcW w:w="1612" w:type="dxa"/>
          </w:tcPr>
          <w:p w14:paraId="0BB41F1F"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64.9</w:t>
            </w:r>
          </w:p>
        </w:tc>
        <w:tc>
          <w:tcPr>
            <w:tcW w:w="1836" w:type="dxa"/>
          </w:tcPr>
          <w:p w14:paraId="181AAE66"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16.7</w:t>
            </w:r>
          </w:p>
        </w:tc>
      </w:tr>
      <w:tr w:rsidR="00CC1459" w:rsidRPr="0017095C" w14:paraId="6155B42A" w14:textId="77777777" w:rsidTr="00BC353D">
        <w:trPr>
          <w:tblHeader/>
        </w:trPr>
        <w:tc>
          <w:tcPr>
            <w:tcW w:w="4531" w:type="dxa"/>
          </w:tcPr>
          <w:p w14:paraId="0D335C0C" w14:textId="46FD09E1"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Adjusted EBITDA (</w:t>
            </w:r>
            <w:r w:rsidR="003619CC" w:rsidRPr="0017095C">
              <w:rPr>
                <w:rFonts w:ascii="Arial" w:hAnsi="Arial" w:cs="Arial" w:hint="default"/>
                <w:sz w:val="20"/>
                <w:lang w:val="en-CA"/>
              </w:rPr>
              <w:t xml:space="preserve">in </w:t>
            </w:r>
            <w:r w:rsidRPr="0017095C">
              <w:rPr>
                <w:rFonts w:ascii="Arial" w:hAnsi="Arial" w:cs="Arial" w:hint="default"/>
                <w:sz w:val="20"/>
                <w:lang w:val="en-CA"/>
              </w:rPr>
              <w:t>C</w:t>
            </w:r>
            <w:r w:rsidR="003619CC" w:rsidRPr="0017095C">
              <w:rPr>
                <w:rFonts w:ascii="Arial" w:hAnsi="Arial" w:cs="Arial" w:hint="default"/>
                <w:sz w:val="20"/>
                <w:lang w:val="en-CA"/>
              </w:rPr>
              <w:t>A</w:t>
            </w:r>
            <w:r w:rsidRPr="0017095C">
              <w:rPr>
                <w:rFonts w:ascii="Arial" w:hAnsi="Arial" w:cs="Arial" w:hint="default"/>
                <w:sz w:val="20"/>
                <w:lang w:val="en-CA"/>
              </w:rPr>
              <w:t>$ million)</w:t>
            </w:r>
            <w:r w:rsidR="003619CC" w:rsidRPr="0017095C">
              <w:rPr>
                <w:rFonts w:ascii="Arial" w:hAnsi="Arial" w:cs="Arial" w:hint="default"/>
                <w:sz w:val="20"/>
                <w:lang w:val="en-CA"/>
              </w:rPr>
              <w:t>*</w:t>
            </w:r>
          </w:p>
        </w:tc>
        <w:tc>
          <w:tcPr>
            <w:tcW w:w="1371" w:type="dxa"/>
          </w:tcPr>
          <w:p w14:paraId="065EF0C9"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37.7</w:t>
            </w:r>
          </w:p>
        </w:tc>
        <w:tc>
          <w:tcPr>
            <w:tcW w:w="1612" w:type="dxa"/>
          </w:tcPr>
          <w:p w14:paraId="0347F9E2"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92.1</w:t>
            </w:r>
          </w:p>
        </w:tc>
        <w:tc>
          <w:tcPr>
            <w:tcW w:w="1836" w:type="dxa"/>
          </w:tcPr>
          <w:p w14:paraId="7B4A02AE"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21.6</w:t>
            </w:r>
          </w:p>
        </w:tc>
      </w:tr>
      <w:tr w:rsidR="00CC1459" w:rsidRPr="0017095C" w14:paraId="2F960252" w14:textId="77777777" w:rsidTr="00BC353D">
        <w:trPr>
          <w:tblHeader/>
        </w:trPr>
        <w:tc>
          <w:tcPr>
            <w:tcW w:w="4531" w:type="dxa"/>
          </w:tcPr>
          <w:p w14:paraId="2FED8FD7" w14:textId="26C54A5F"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Capital </w:t>
            </w:r>
            <w:r w:rsidR="003619CC" w:rsidRPr="0017095C">
              <w:rPr>
                <w:rFonts w:ascii="Arial" w:hAnsi="Arial" w:cs="Arial" w:hint="default"/>
                <w:sz w:val="20"/>
                <w:lang w:val="en-CA"/>
              </w:rPr>
              <w:t>e</w:t>
            </w:r>
            <w:r w:rsidRPr="0017095C">
              <w:rPr>
                <w:rFonts w:ascii="Arial" w:hAnsi="Arial" w:cs="Arial" w:hint="default"/>
                <w:sz w:val="20"/>
                <w:lang w:val="en-CA"/>
              </w:rPr>
              <w:t>xpenditures (</w:t>
            </w:r>
            <w:r w:rsidR="003619CC" w:rsidRPr="0017095C">
              <w:rPr>
                <w:rFonts w:ascii="Arial" w:hAnsi="Arial" w:cs="Arial" w:hint="default"/>
                <w:sz w:val="20"/>
                <w:lang w:val="en-CA"/>
              </w:rPr>
              <w:t xml:space="preserve">in </w:t>
            </w:r>
            <w:r w:rsidRPr="0017095C">
              <w:rPr>
                <w:rFonts w:ascii="Arial" w:hAnsi="Arial" w:cs="Arial" w:hint="default"/>
                <w:sz w:val="20"/>
                <w:lang w:val="en-CA"/>
              </w:rPr>
              <w:t>C</w:t>
            </w:r>
            <w:r w:rsidR="003619CC" w:rsidRPr="0017095C">
              <w:rPr>
                <w:rFonts w:ascii="Arial" w:hAnsi="Arial" w:cs="Arial" w:hint="default"/>
                <w:sz w:val="20"/>
                <w:lang w:val="en-CA"/>
              </w:rPr>
              <w:t>A</w:t>
            </w:r>
            <w:r w:rsidRPr="0017095C">
              <w:rPr>
                <w:rFonts w:ascii="Arial" w:hAnsi="Arial" w:cs="Arial" w:hint="default"/>
                <w:sz w:val="20"/>
                <w:lang w:val="en-CA"/>
              </w:rPr>
              <w:t>$ million)</w:t>
            </w:r>
          </w:p>
        </w:tc>
        <w:tc>
          <w:tcPr>
            <w:tcW w:w="1371" w:type="dxa"/>
          </w:tcPr>
          <w:p w14:paraId="47B40A1D"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86.9</w:t>
            </w:r>
          </w:p>
        </w:tc>
        <w:tc>
          <w:tcPr>
            <w:tcW w:w="1612" w:type="dxa"/>
          </w:tcPr>
          <w:p w14:paraId="60F4E0A9"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97.3</w:t>
            </w:r>
          </w:p>
        </w:tc>
        <w:tc>
          <w:tcPr>
            <w:tcW w:w="1836" w:type="dxa"/>
          </w:tcPr>
          <w:p w14:paraId="2D5BA357"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17.6</w:t>
            </w:r>
          </w:p>
        </w:tc>
      </w:tr>
      <w:tr w:rsidR="00CC1459" w:rsidRPr="0017095C" w14:paraId="019A00AD" w14:textId="77777777" w:rsidTr="00BC353D">
        <w:trPr>
          <w:tblHeader/>
        </w:trPr>
        <w:tc>
          <w:tcPr>
            <w:tcW w:w="4531" w:type="dxa"/>
          </w:tcPr>
          <w:p w14:paraId="28E3C2BB" w14:textId="7CAF0D73"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Ending </w:t>
            </w:r>
            <w:r w:rsidR="003619CC" w:rsidRPr="0017095C">
              <w:rPr>
                <w:rFonts w:ascii="Arial" w:hAnsi="Arial" w:cs="Arial" w:hint="default"/>
                <w:sz w:val="20"/>
                <w:lang w:val="en-CA"/>
              </w:rPr>
              <w:t>u</w:t>
            </w:r>
            <w:r w:rsidRPr="0017095C">
              <w:rPr>
                <w:rFonts w:ascii="Arial" w:hAnsi="Arial" w:cs="Arial" w:hint="default"/>
                <w:sz w:val="20"/>
                <w:lang w:val="en-CA"/>
              </w:rPr>
              <w:t>nrestricted</w:t>
            </w:r>
            <w:r w:rsidR="003619CC" w:rsidRPr="0017095C">
              <w:rPr>
                <w:rFonts w:ascii="Arial" w:hAnsi="Arial" w:cs="Arial" w:hint="default"/>
                <w:sz w:val="20"/>
                <w:lang w:val="en-CA"/>
              </w:rPr>
              <w:t xml:space="preserve"> cash balance</w:t>
            </w:r>
            <w:r w:rsidRPr="0017095C">
              <w:rPr>
                <w:rFonts w:ascii="Arial" w:hAnsi="Arial" w:cs="Arial" w:hint="default"/>
                <w:sz w:val="20"/>
                <w:lang w:val="en-CA"/>
              </w:rPr>
              <w:t>/</w:t>
            </w:r>
            <w:r w:rsidR="008450AF" w:rsidRPr="0017095C">
              <w:rPr>
                <w:rFonts w:ascii="Arial" w:hAnsi="Arial" w:cs="Arial" w:hint="default"/>
                <w:sz w:val="20"/>
                <w:lang w:val="en-CA"/>
              </w:rPr>
              <w:br/>
            </w:r>
            <w:r w:rsidRPr="0017095C">
              <w:rPr>
                <w:rFonts w:ascii="Arial" w:hAnsi="Arial" w:cs="Arial" w:hint="default"/>
                <w:sz w:val="20"/>
                <w:lang w:val="en-CA"/>
              </w:rPr>
              <w:t xml:space="preserve">Restricted </w:t>
            </w:r>
            <w:r w:rsidR="003619CC" w:rsidRPr="0017095C">
              <w:rPr>
                <w:rFonts w:ascii="Arial" w:hAnsi="Arial" w:cs="Arial" w:hint="default"/>
                <w:sz w:val="20"/>
                <w:lang w:val="en-CA"/>
              </w:rPr>
              <w:t>c</w:t>
            </w:r>
            <w:r w:rsidRPr="0017095C">
              <w:rPr>
                <w:rFonts w:ascii="Arial" w:hAnsi="Arial" w:cs="Arial" w:hint="default"/>
                <w:sz w:val="20"/>
                <w:lang w:val="en-CA"/>
              </w:rPr>
              <w:t xml:space="preserve">ash </w:t>
            </w:r>
            <w:r w:rsidR="003619CC" w:rsidRPr="0017095C">
              <w:rPr>
                <w:rFonts w:ascii="Arial" w:hAnsi="Arial" w:cs="Arial" w:hint="default"/>
                <w:sz w:val="20"/>
                <w:lang w:val="en-CA"/>
              </w:rPr>
              <w:t>b</w:t>
            </w:r>
            <w:r w:rsidRPr="0017095C">
              <w:rPr>
                <w:rFonts w:ascii="Arial" w:hAnsi="Arial" w:cs="Arial" w:hint="default"/>
                <w:sz w:val="20"/>
                <w:lang w:val="en-CA"/>
              </w:rPr>
              <w:t>alance (</w:t>
            </w:r>
            <w:r w:rsidR="003619CC" w:rsidRPr="0017095C">
              <w:rPr>
                <w:rFonts w:ascii="Arial" w:hAnsi="Arial" w:cs="Arial" w:hint="default"/>
                <w:sz w:val="20"/>
                <w:lang w:val="en-CA"/>
              </w:rPr>
              <w:t xml:space="preserve">in </w:t>
            </w:r>
            <w:r w:rsidRPr="0017095C">
              <w:rPr>
                <w:rFonts w:ascii="Arial" w:hAnsi="Arial" w:cs="Arial" w:hint="default"/>
                <w:sz w:val="20"/>
                <w:lang w:val="en-CA"/>
              </w:rPr>
              <w:t>C</w:t>
            </w:r>
            <w:r w:rsidR="003619CC" w:rsidRPr="0017095C">
              <w:rPr>
                <w:rFonts w:ascii="Arial" w:hAnsi="Arial" w:cs="Arial" w:hint="default"/>
                <w:sz w:val="20"/>
                <w:lang w:val="en-CA"/>
              </w:rPr>
              <w:t>A</w:t>
            </w:r>
            <w:r w:rsidRPr="0017095C">
              <w:rPr>
                <w:rFonts w:ascii="Arial" w:hAnsi="Arial" w:cs="Arial" w:hint="default"/>
                <w:sz w:val="20"/>
                <w:lang w:val="en-CA"/>
              </w:rPr>
              <w:t>$ million)</w:t>
            </w:r>
          </w:p>
        </w:tc>
        <w:tc>
          <w:tcPr>
            <w:tcW w:w="1371" w:type="dxa"/>
          </w:tcPr>
          <w:p w14:paraId="44B24997"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24.8/27.7</w:t>
            </w:r>
          </w:p>
        </w:tc>
        <w:tc>
          <w:tcPr>
            <w:tcW w:w="1612" w:type="dxa"/>
          </w:tcPr>
          <w:p w14:paraId="06BDEE8A"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20.7/29.4</w:t>
            </w:r>
          </w:p>
        </w:tc>
        <w:tc>
          <w:tcPr>
            <w:tcW w:w="1836" w:type="dxa"/>
          </w:tcPr>
          <w:p w14:paraId="3F74DEF4"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18.2/28.0</w:t>
            </w:r>
          </w:p>
        </w:tc>
      </w:tr>
      <w:tr w:rsidR="00CC1459" w:rsidRPr="0017095C" w14:paraId="5EA0E3CB" w14:textId="77777777" w:rsidTr="00BC353D">
        <w:trPr>
          <w:tblHeader/>
        </w:trPr>
        <w:tc>
          <w:tcPr>
            <w:tcW w:w="4531" w:type="dxa"/>
          </w:tcPr>
          <w:p w14:paraId="0C188BA6" w14:textId="1D7FEF96" w:rsidR="00CC1459" w:rsidRPr="0017095C" w:rsidRDefault="00CC1459" w:rsidP="00792B9F">
            <w:pPr>
              <w:pStyle w:val="Default"/>
              <w:rPr>
                <w:rFonts w:ascii="Arial" w:hAnsi="Arial" w:cs="Arial" w:hint="default"/>
                <w:sz w:val="20"/>
                <w:lang w:val="en-CA"/>
              </w:rPr>
            </w:pPr>
            <w:r w:rsidRPr="0017095C">
              <w:rPr>
                <w:rFonts w:ascii="Arial" w:hAnsi="Arial" w:cs="Arial" w:hint="default"/>
                <w:sz w:val="20"/>
                <w:lang w:val="en-CA"/>
              </w:rPr>
              <w:t xml:space="preserve">Principal </w:t>
            </w:r>
            <w:r w:rsidR="003619CC" w:rsidRPr="0017095C">
              <w:rPr>
                <w:rFonts w:ascii="Arial" w:hAnsi="Arial" w:cs="Arial" w:hint="default"/>
                <w:sz w:val="20"/>
                <w:lang w:val="en-CA"/>
              </w:rPr>
              <w:t>d</w:t>
            </w:r>
            <w:r w:rsidRPr="0017095C">
              <w:rPr>
                <w:rFonts w:ascii="Arial" w:hAnsi="Arial" w:cs="Arial" w:hint="default"/>
                <w:sz w:val="20"/>
                <w:lang w:val="en-CA"/>
              </w:rPr>
              <w:t>ebt (</w:t>
            </w:r>
            <w:r w:rsidR="003619CC" w:rsidRPr="0017095C">
              <w:rPr>
                <w:rFonts w:ascii="Arial" w:hAnsi="Arial" w:cs="Arial" w:hint="default"/>
                <w:sz w:val="20"/>
                <w:lang w:val="en-CA"/>
              </w:rPr>
              <w:t xml:space="preserve">in </w:t>
            </w:r>
            <w:r w:rsidRPr="0017095C">
              <w:rPr>
                <w:rFonts w:ascii="Arial" w:hAnsi="Arial" w:cs="Arial" w:hint="default"/>
                <w:sz w:val="20"/>
                <w:lang w:val="en-CA"/>
              </w:rPr>
              <w:t>US$ million)</w:t>
            </w:r>
          </w:p>
        </w:tc>
        <w:tc>
          <w:tcPr>
            <w:tcW w:w="1371" w:type="dxa"/>
          </w:tcPr>
          <w:p w14:paraId="24B20585"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125.8</w:t>
            </w:r>
          </w:p>
        </w:tc>
        <w:tc>
          <w:tcPr>
            <w:tcW w:w="1612" w:type="dxa"/>
          </w:tcPr>
          <w:p w14:paraId="5C8A96B8"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117.0</w:t>
            </w:r>
          </w:p>
        </w:tc>
        <w:tc>
          <w:tcPr>
            <w:tcW w:w="1836" w:type="dxa"/>
          </w:tcPr>
          <w:p w14:paraId="4BC4F968" w14:textId="77777777" w:rsidR="00CC1459" w:rsidRPr="0017095C" w:rsidRDefault="00CC1459" w:rsidP="00111DE6">
            <w:pPr>
              <w:pStyle w:val="NormalWeb"/>
              <w:spacing w:before="0" w:beforeAutospacing="0" w:after="0" w:afterAutospacing="0"/>
              <w:jc w:val="right"/>
              <w:rPr>
                <w:rFonts w:ascii="Arial" w:hAnsi="Arial" w:cs="Arial"/>
                <w:bCs/>
                <w:sz w:val="20"/>
                <w:szCs w:val="20"/>
                <w:lang w:val="en-CA"/>
              </w:rPr>
            </w:pPr>
            <w:r w:rsidRPr="0017095C">
              <w:rPr>
                <w:rFonts w:ascii="Arial" w:hAnsi="Arial" w:cs="Arial"/>
                <w:bCs/>
                <w:sz w:val="20"/>
                <w:szCs w:val="20"/>
                <w:lang w:val="en-CA"/>
              </w:rPr>
              <w:t>117.0</w:t>
            </w:r>
          </w:p>
        </w:tc>
      </w:tr>
      <w:bookmarkEnd w:id="1"/>
    </w:tbl>
    <w:p w14:paraId="30194C94" w14:textId="77777777" w:rsidR="00F32836" w:rsidRPr="0017095C" w:rsidRDefault="00F32836" w:rsidP="00CC1459">
      <w:pPr>
        <w:pStyle w:val="Footnote"/>
        <w:rPr>
          <w:color w:val="000000" w:themeColor="text1"/>
          <w:lang w:val="en-CA"/>
        </w:rPr>
      </w:pPr>
    </w:p>
    <w:p w14:paraId="48EEDE7E" w14:textId="2C075374" w:rsidR="003619CC" w:rsidRPr="0017095C" w:rsidRDefault="003619CC" w:rsidP="00CC1459">
      <w:pPr>
        <w:pStyle w:val="Footnote"/>
        <w:rPr>
          <w:color w:val="000000" w:themeColor="text1"/>
          <w:lang w:val="en-CA"/>
        </w:rPr>
      </w:pPr>
      <w:r w:rsidRPr="0017095C">
        <w:rPr>
          <w:color w:val="000000" w:themeColor="text1"/>
          <w:lang w:val="en-CA"/>
        </w:rPr>
        <w:t xml:space="preserve">Note: </w:t>
      </w:r>
      <w:r w:rsidRPr="0017095C">
        <w:rPr>
          <w:lang w:val="en-CA"/>
        </w:rPr>
        <w:t>*</w:t>
      </w:r>
      <w:r w:rsidR="00465CE1" w:rsidRPr="0017095C">
        <w:rPr>
          <w:lang w:val="en-CA"/>
        </w:rPr>
        <w:t>For more information, see</w:t>
      </w:r>
      <w:r w:rsidRPr="0017095C">
        <w:rPr>
          <w:lang w:val="en-CA"/>
        </w:rPr>
        <w:t xml:space="preserve"> non-IFRS measures section of th</w:t>
      </w:r>
      <w:r w:rsidRPr="0017095C">
        <w:rPr>
          <w:color w:val="000000" w:themeColor="text1"/>
          <w:lang w:val="en-CA"/>
        </w:rPr>
        <w:t xml:space="preserve">e </w:t>
      </w:r>
      <w:r w:rsidRPr="0017095C">
        <w:rPr>
          <w:rFonts w:eastAsiaTheme="minorEastAsia"/>
          <w:color w:val="000000" w:themeColor="text1"/>
          <w:lang w:val="en-CA" w:eastAsia="zh-CN"/>
        </w:rPr>
        <w:t>M</w:t>
      </w:r>
      <w:r w:rsidRPr="0017095C">
        <w:rPr>
          <w:color w:val="000000" w:themeColor="text1"/>
          <w:lang w:val="en-CA"/>
        </w:rPr>
        <w:t xml:space="preserve">anagement Discussion and Analysis </w:t>
      </w:r>
      <w:r w:rsidR="00465CE1" w:rsidRPr="0017095C">
        <w:rPr>
          <w:color w:val="000000" w:themeColor="text1"/>
          <w:lang w:val="en-CA"/>
        </w:rPr>
        <w:t>(see source)</w:t>
      </w:r>
      <w:r w:rsidRPr="0017095C">
        <w:rPr>
          <w:color w:val="000000" w:themeColor="text1"/>
          <w:lang w:val="en-CA"/>
        </w:rPr>
        <w:t>; **</w:t>
      </w:r>
      <w:r w:rsidR="00465CE1" w:rsidRPr="0017095C">
        <w:rPr>
          <w:color w:val="000000" w:themeColor="text1"/>
          <w:lang w:val="en-CA"/>
        </w:rPr>
        <w:t>c</w:t>
      </w:r>
      <w:r w:rsidRPr="0017095C">
        <w:rPr>
          <w:color w:val="000000" w:themeColor="text1"/>
          <w:lang w:val="en-CA"/>
        </w:rPr>
        <w:t xml:space="preserve">omputation of </w:t>
      </w:r>
      <w:r w:rsidR="00465CE1" w:rsidRPr="0017095C">
        <w:rPr>
          <w:color w:val="000000" w:themeColor="text1"/>
          <w:lang w:val="en-CA"/>
        </w:rPr>
        <w:t>all-in sustaining costs</w:t>
      </w:r>
      <w:r w:rsidRPr="0017095C">
        <w:rPr>
          <w:color w:val="000000" w:themeColor="text1"/>
          <w:lang w:val="en-CA"/>
        </w:rPr>
        <w:t xml:space="preserve"> in accordance with the World Gold Council guidelines</w:t>
      </w:r>
      <w:r w:rsidR="00465CE1" w:rsidRPr="0017095C">
        <w:rPr>
          <w:color w:val="000000" w:themeColor="text1"/>
          <w:lang w:val="en-CA"/>
        </w:rPr>
        <w:t xml:space="preserve"> (see source)</w:t>
      </w:r>
      <w:r w:rsidR="00B02617" w:rsidRPr="0017095C">
        <w:rPr>
          <w:color w:val="000000" w:themeColor="text1"/>
          <w:lang w:val="en-CA"/>
        </w:rPr>
        <w:t>; 1 ounce = 28.4 grams; EBITDA = earnings before interest, taxes, depreciation, and amortization</w:t>
      </w:r>
    </w:p>
    <w:p w14:paraId="2021AC73" w14:textId="5A47EE7C" w:rsidR="00CC1459" w:rsidRPr="0017095C" w:rsidRDefault="00CC1459" w:rsidP="00F32836">
      <w:pPr>
        <w:pStyle w:val="Footnote"/>
        <w:rPr>
          <w:rFonts w:eastAsiaTheme="minorEastAsia"/>
          <w:color w:val="000000" w:themeColor="text1"/>
          <w:lang w:val="en-CA" w:eastAsia="zh-CN"/>
        </w:rPr>
      </w:pPr>
      <w:r w:rsidRPr="0017095C">
        <w:rPr>
          <w:color w:val="000000" w:themeColor="text1"/>
          <w:lang w:val="en-CA"/>
        </w:rPr>
        <w:t xml:space="preserve">Source: </w:t>
      </w:r>
      <w:r w:rsidR="00082A17" w:rsidRPr="0017095C">
        <w:rPr>
          <w:color w:val="000000" w:themeColor="text1"/>
          <w:lang w:val="en-CA"/>
        </w:rPr>
        <w:t xml:space="preserve">TMAC Resources, </w:t>
      </w:r>
      <w:r w:rsidR="00082A17" w:rsidRPr="0017095C">
        <w:rPr>
          <w:i/>
          <w:iCs/>
          <w:color w:val="000000" w:themeColor="text1"/>
          <w:lang w:val="en-CA"/>
        </w:rPr>
        <w:t>Investor Presentation</w:t>
      </w:r>
      <w:r w:rsidR="00082A17" w:rsidRPr="0017095C">
        <w:rPr>
          <w:color w:val="000000" w:themeColor="text1"/>
          <w:lang w:val="en-CA"/>
        </w:rPr>
        <w:t xml:space="preserve"> (June 2020), accessed April 20, 2021, https://s1.q4cdn.com/893791552/files/doc_presentations/2020/06/2020-06-TMAC-Investor-Presentation.pdf.</w:t>
      </w:r>
    </w:p>
    <w:p w14:paraId="065A59E4" w14:textId="7A83C0F9" w:rsidR="00B159FA" w:rsidRPr="0017095C" w:rsidRDefault="00B159FA" w:rsidP="00F32836">
      <w:pPr>
        <w:pStyle w:val="ExhibitHeading"/>
        <w:jc w:val="left"/>
        <w:rPr>
          <w:rFonts w:eastAsiaTheme="minorEastAsia"/>
          <w:color w:val="000000" w:themeColor="text1"/>
          <w:sz w:val="16"/>
          <w:szCs w:val="16"/>
          <w:lang w:val="en-CA" w:eastAsia="zh-CN"/>
        </w:rPr>
      </w:pPr>
    </w:p>
    <w:p w14:paraId="2B8F1AE3" w14:textId="77777777" w:rsidR="00F32836" w:rsidRPr="0017095C" w:rsidRDefault="00F32836" w:rsidP="00F32836">
      <w:pPr>
        <w:pStyle w:val="ExhibitHeading"/>
        <w:jc w:val="left"/>
        <w:rPr>
          <w:rFonts w:eastAsiaTheme="minorEastAsia"/>
          <w:color w:val="000000" w:themeColor="text1"/>
          <w:sz w:val="16"/>
          <w:szCs w:val="16"/>
          <w:lang w:val="en-CA" w:eastAsia="zh-CN"/>
        </w:rPr>
      </w:pPr>
    </w:p>
    <w:p w14:paraId="5FD0F087" w14:textId="1494EFC1" w:rsidR="00CC1459" w:rsidRPr="0017095C" w:rsidRDefault="00CC1459" w:rsidP="00CC1459">
      <w:pPr>
        <w:pStyle w:val="ExhibitHeading"/>
        <w:rPr>
          <w:rFonts w:eastAsiaTheme="minorEastAsia"/>
          <w:lang w:val="en-CA" w:eastAsia="zh-CN"/>
        </w:rPr>
      </w:pPr>
      <w:r w:rsidRPr="0017095C">
        <w:rPr>
          <w:lang w:val="en-CA"/>
        </w:rPr>
        <w:t xml:space="preserve">EXHIBIT </w:t>
      </w:r>
      <w:r w:rsidR="00AC7323" w:rsidRPr="0017095C">
        <w:rPr>
          <w:lang w:val="en-CA"/>
        </w:rPr>
        <w:t>4</w:t>
      </w:r>
      <w:r w:rsidRPr="0017095C">
        <w:rPr>
          <w:lang w:val="en-CA"/>
        </w:rPr>
        <w:t>: TMAC RESOURCE</w:t>
      </w:r>
      <w:r w:rsidRPr="0017095C">
        <w:rPr>
          <w:rFonts w:eastAsiaTheme="minorEastAsia"/>
          <w:lang w:val="en-CA" w:eastAsia="zh-CN"/>
        </w:rPr>
        <w:t>s</w:t>
      </w:r>
      <w:r w:rsidRPr="0017095C">
        <w:rPr>
          <w:lang w:val="en-CA"/>
        </w:rPr>
        <w:t xml:space="preserve"> HISTORY AND CAPITAL STRUCTURE</w:t>
      </w:r>
    </w:p>
    <w:p w14:paraId="6DDA1E95" w14:textId="30BE7763" w:rsidR="00CC1459" w:rsidRPr="0017095C" w:rsidRDefault="00CC1459" w:rsidP="00F32836">
      <w:pPr>
        <w:rPr>
          <w:rFonts w:eastAsiaTheme="minorEastAsia"/>
          <w:sz w:val="16"/>
          <w:szCs w:val="16"/>
          <w:lang w:val="en-CA" w:eastAsia="zh-CN"/>
        </w:rPr>
      </w:pPr>
    </w:p>
    <w:tbl>
      <w:tblPr>
        <w:tblStyle w:val="TableGrid"/>
        <w:tblW w:w="0" w:type="auto"/>
        <w:jc w:val="center"/>
        <w:tblLook w:val="04A0" w:firstRow="1" w:lastRow="0" w:firstColumn="1" w:lastColumn="0" w:noHBand="0" w:noVBand="1"/>
        <w:tblCaption w:val="Exhibit 4"/>
        <w:tblDescription w:val="TMAC resources history and capital structure"/>
      </w:tblPr>
      <w:tblGrid>
        <w:gridCol w:w="1980"/>
        <w:gridCol w:w="3118"/>
      </w:tblGrid>
      <w:tr w:rsidR="00E15A26" w:rsidRPr="0017095C" w14:paraId="6152B176" w14:textId="77777777" w:rsidTr="00BC353D">
        <w:trPr>
          <w:tblHeader/>
          <w:jc w:val="center"/>
        </w:trPr>
        <w:tc>
          <w:tcPr>
            <w:tcW w:w="1980" w:type="dxa"/>
          </w:tcPr>
          <w:p w14:paraId="00A294CE" w14:textId="435ECE95"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2015–2016</w:t>
            </w:r>
          </w:p>
        </w:tc>
        <w:tc>
          <w:tcPr>
            <w:tcW w:w="3118" w:type="dxa"/>
          </w:tcPr>
          <w:p w14:paraId="78334107" w14:textId="51153ED6"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Exploration and development</w:t>
            </w:r>
          </w:p>
        </w:tc>
      </w:tr>
      <w:tr w:rsidR="00E15A26" w:rsidRPr="0017095C" w14:paraId="57E4BC60" w14:textId="77777777" w:rsidTr="00BC353D">
        <w:trPr>
          <w:tblHeader/>
          <w:jc w:val="center"/>
        </w:trPr>
        <w:tc>
          <w:tcPr>
            <w:tcW w:w="1980" w:type="dxa"/>
          </w:tcPr>
          <w:p w14:paraId="3C6EF447" w14:textId="63AC0A10"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Feb. 2017</w:t>
            </w:r>
          </w:p>
        </w:tc>
        <w:tc>
          <w:tcPr>
            <w:tcW w:w="3118" w:type="dxa"/>
          </w:tcPr>
          <w:p w14:paraId="079E1DAA" w14:textId="0BC0F3AF"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First gold poured</w:t>
            </w:r>
          </w:p>
        </w:tc>
      </w:tr>
      <w:tr w:rsidR="00E15A26" w:rsidRPr="0017095C" w14:paraId="4DE95B79" w14:textId="77777777" w:rsidTr="00BC353D">
        <w:trPr>
          <w:tblHeader/>
          <w:jc w:val="center"/>
        </w:trPr>
        <w:tc>
          <w:tcPr>
            <w:tcW w:w="1980" w:type="dxa"/>
          </w:tcPr>
          <w:p w14:paraId="7D1BA2DC" w14:textId="6E403AA4"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July 2017</w:t>
            </w:r>
          </w:p>
        </w:tc>
        <w:tc>
          <w:tcPr>
            <w:tcW w:w="3118" w:type="dxa"/>
          </w:tcPr>
          <w:p w14:paraId="2843D905" w14:textId="35CB361A"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Plant issues announced</w:t>
            </w:r>
          </w:p>
        </w:tc>
      </w:tr>
      <w:tr w:rsidR="00E15A26" w:rsidRPr="0017095C" w14:paraId="025770FA" w14:textId="77777777" w:rsidTr="00BC353D">
        <w:trPr>
          <w:tblHeader/>
          <w:jc w:val="center"/>
        </w:trPr>
        <w:tc>
          <w:tcPr>
            <w:tcW w:w="1980" w:type="dxa"/>
          </w:tcPr>
          <w:p w14:paraId="0C6715D0" w14:textId="68EB76B3"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Nov–Dec. 2017</w:t>
            </w:r>
          </w:p>
        </w:tc>
        <w:tc>
          <w:tcPr>
            <w:tcW w:w="3118" w:type="dxa"/>
          </w:tcPr>
          <w:p w14:paraId="69BC92C5" w14:textId="1FA11BEA" w:rsidR="00E15A26" w:rsidRPr="0017095C" w:rsidRDefault="00E15A26" w:rsidP="00196AC9">
            <w:pPr>
              <w:pStyle w:val="BodyTextMain"/>
              <w:rPr>
                <w:rFonts w:eastAsiaTheme="minorEastAsia"/>
                <w:sz w:val="20"/>
                <w:szCs w:val="20"/>
                <w:lang w:val="en-CA"/>
              </w:rPr>
            </w:pPr>
            <w:r w:rsidRPr="0017095C">
              <w:rPr>
                <w:rFonts w:ascii="Arial" w:eastAsiaTheme="minorEastAsia" w:hAnsi="Arial" w:cs="Arial"/>
                <w:sz w:val="20"/>
                <w:szCs w:val="20"/>
                <w:lang w:val="en-CA"/>
              </w:rPr>
              <w:t>CEO retires/president retires</w:t>
            </w:r>
          </w:p>
        </w:tc>
      </w:tr>
      <w:tr w:rsidR="00E15A26" w:rsidRPr="0017095C" w14:paraId="3A0F4630" w14:textId="77777777" w:rsidTr="00BC353D">
        <w:trPr>
          <w:tblHeader/>
          <w:jc w:val="center"/>
        </w:trPr>
        <w:tc>
          <w:tcPr>
            <w:tcW w:w="1980" w:type="dxa"/>
          </w:tcPr>
          <w:p w14:paraId="6F95DF63" w14:textId="58FED5D9"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Feb. 2018</w:t>
            </w:r>
          </w:p>
        </w:tc>
        <w:tc>
          <w:tcPr>
            <w:tcW w:w="3118" w:type="dxa"/>
          </w:tcPr>
          <w:p w14:paraId="63A7DE7D" w14:textId="0FAE8101"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Jason Neal becomes CEO</w:t>
            </w:r>
          </w:p>
        </w:tc>
      </w:tr>
      <w:tr w:rsidR="00E15A26" w:rsidRPr="0017095C" w14:paraId="16092188" w14:textId="77777777" w:rsidTr="00BC353D">
        <w:trPr>
          <w:tblHeader/>
          <w:jc w:val="center"/>
        </w:trPr>
        <w:tc>
          <w:tcPr>
            <w:tcW w:w="1980" w:type="dxa"/>
          </w:tcPr>
          <w:p w14:paraId="7704850A" w14:textId="47DBB24F"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Aug. 2019</w:t>
            </w:r>
          </w:p>
        </w:tc>
        <w:tc>
          <w:tcPr>
            <w:tcW w:w="3118" w:type="dxa"/>
          </w:tcPr>
          <w:p w14:paraId="0370B62A" w14:textId="563D8C3D"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Maverix Royalty Amendment</w:t>
            </w:r>
          </w:p>
        </w:tc>
      </w:tr>
      <w:tr w:rsidR="00E15A26" w:rsidRPr="0017095C" w14:paraId="34D5B853" w14:textId="77777777" w:rsidTr="00BC353D">
        <w:trPr>
          <w:tblHeader/>
          <w:jc w:val="center"/>
        </w:trPr>
        <w:tc>
          <w:tcPr>
            <w:tcW w:w="1980" w:type="dxa"/>
          </w:tcPr>
          <w:p w14:paraId="775821B0" w14:textId="0D4CDEC8"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Dec. 2019</w:t>
            </w:r>
          </w:p>
        </w:tc>
        <w:tc>
          <w:tcPr>
            <w:tcW w:w="3118" w:type="dxa"/>
          </w:tcPr>
          <w:p w14:paraId="0B11617D" w14:textId="43AFB5A6"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Terry MacGibbon’s retirement</w:t>
            </w:r>
          </w:p>
        </w:tc>
      </w:tr>
      <w:tr w:rsidR="00E15A26" w:rsidRPr="0017095C" w14:paraId="4037F0B1" w14:textId="77777777" w:rsidTr="00BC353D">
        <w:trPr>
          <w:tblHeader/>
          <w:jc w:val="center"/>
        </w:trPr>
        <w:tc>
          <w:tcPr>
            <w:tcW w:w="1980" w:type="dxa"/>
          </w:tcPr>
          <w:p w14:paraId="060D1FAC" w14:textId="7E6FFE43"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Jan. 2020</w:t>
            </w:r>
          </w:p>
        </w:tc>
        <w:tc>
          <w:tcPr>
            <w:tcW w:w="3118" w:type="dxa"/>
          </w:tcPr>
          <w:p w14:paraId="4084C2F4" w14:textId="5079DAB5"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Strategic process launched</w:t>
            </w:r>
          </w:p>
        </w:tc>
      </w:tr>
      <w:tr w:rsidR="00E15A26" w:rsidRPr="0017095C" w14:paraId="3D9F6F96" w14:textId="77777777" w:rsidTr="00BC353D">
        <w:trPr>
          <w:tblHeader/>
          <w:jc w:val="center"/>
        </w:trPr>
        <w:tc>
          <w:tcPr>
            <w:tcW w:w="1980" w:type="dxa"/>
          </w:tcPr>
          <w:p w14:paraId="5D520168" w14:textId="3D2F6E6E" w:rsidR="00E15A26" w:rsidRPr="0017095C" w:rsidRDefault="00E15A26" w:rsidP="00F32836">
            <w:pPr>
              <w:pStyle w:val="BodyTextMain"/>
              <w:rPr>
                <w:rFonts w:eastAsiaTheme="minorEastAsia"/>
                <w:sz w:val="20"/>
                <w:szCs w:val="20"/>
                <w:lang w:val="en-CA"/>
              </w:rPr>
            </w:pPr>
            <w:r w:rsidRPr="0017095C">
              <w:rPr>
                <w:rFonts w:ascii="Arial" w:eastAsiaTheme="minorEastAsia" w:hAnsi="Arial" w:cs="Arial"/>
                <w:sz w:val="20"/>
                <w:szCs w:val="20"/>
                <w:lang w:val="en-CA"/>
              </w:rPr>
              <w:t>May 2020</w:t>
            </w:r>
          </w:p>
        </w:tc>
        <w:tc>
          <w:tcPr>
            <w:tcW w:w="3118" w:type="dxa"/>
          </w:tcPr>
          <w:p w14:paraId="2E0CD6F6" w14:textId="1EFECC20" w:rsidR="00E15A26" w:rsidRPr="0017095C" w:rsidRDefault="00E15A26" w:rsidP="00F32836">
            <w:pPr>
              <w:pStyle w:val="BodyTextMain"/>
              <w:rPr>
                <w:rFonts w:eastAsiaTheme="minorEastAsia"/>
                <w:sz w:val="20"/>
                <w:szCs w:val="20"/>
                <w:lang w:val="en-CA" w:eastAsia="zh-CN"/>
              </w:rPr>
            </w:pPr>
            <w:r w:rsidRPr="0017095C">
              <w:rPr>
                <w:rFonts w:ascii="Arial" w:eastAsiaTheme="minorEastAsia" w:hAnsi="Arial" w:cs="Arial"/>
                <w:sz w:val="20"/>
                <w:szCs w:val="20"/>
                <w:lang w:val="en-CA"/>
              </w:rPr>
              <w:t>SD Gold transaction</w:t>
            </w:r>
          </w:p>
        </w:tc>
      </w:tr>
    </w:tbl>
    <w:p w14:paraId="04470957" w14:textId="77777777" w:rsidR="00CC1459" w:rsidRPr="0017095C" w:rsidRDefault="00CC1459" w:rsidP="00F32836">
      <w:pPr>
        <w:pStyle w:val="CaseTitle"/>
        <w:spacing w:after="0" w:line="240" w:lineRule="auto"/>
        <w:rPr>
          <w:rFonts w:eastAsiaTheme="minorEastAsia"/>
          <w:sz w:val="18"/>
          <w:szCs w:val="18"/>
          <w:lang w:val="en-CA" w:eastAsia="zh-CN"/>
        </w:rPr>
      </w:pPr>
    </w:p>
    <w:tbl>
      <w:tblPr>
        <w:tblStyle w:val="TableGrid"/>
        <w:tblW w:w="9294" w:type="dxa"/>
        <w:jc w:val="center"/>
        <w:tblCellMar>
          <w:top w:w="58" w:type="dxa"/>
          <w:left w:w="29" w:type="dxa"/>
          <w:bottom w:w="58" w:type="dxa"/>
          <w:right w:w="29" w:type="dxa"/>
        </w:tblCellMar>
        <w:tblLook w:val="04A0" w:firstRow="1" w:lastRow="0" w:firstColumn="1" w:lastColumn="0" w:noHBand="0" w:noVBand="1"/>
        <w:tblCaption w:val="Exhibit 4"/>
        <w:tblDescription w:val="TMAC resources history and capital structure"/>
      </w:tblPr>
      <w:tblGrid>
        <w:gridCol w:w="2245"/>
        <w:gridCol w:w="1800"/>
        <w:gridCol w:w="2880"/>
        <w:gridCol w:w="1162"/>
        <w:gridCol w:w="1207"/>
      </w:tblGrid>
      <w:tr w:rsidR="00296E4A" w:rsidRPr="0017095C" w14:paraId="3D425CE0" w14:textId="77777777" w:rsidTr="00BC353D">
        <w:trPr>
          <w:trHeight w:val="162"/>
          <w:tblHeader/>
          <w:jc w:val="center"/>
        </w:trPr>
        <w:tc>
          <w:tcPr>
            <w:tcW w:w="2245" w:type="dxa"/>
          </w:tcPr>
          <w:p w14:paraId="63D420DB" w14:textId="77777777" w:rsidR="00CC1459" w:rsidRPr="0017095C" w:rsidRDefault="00CC1459" w:rsidP="00B71486">
            <w:pPr>
              <w:pStyle w:val="NormalWeb"/>
              <w:spacing w:before="0" w:beforeAutospacing="0" w:after="0" w:afterAutospacing="0"/>
              <w:jc w:val="center"/>
              <w:rPr>
                <w:rFonts w:ascii="Arial" w:hAnsi="Arial" w:cs="Arial"/>
                <w:b/>
                <w:color w:val="000000" w:themeColor="text1"/>
                <w:sz w:val="20"/>
                <w:szCs w:val="20"/>
                <w:lang w:val="en-CA"/>
              </w:rPr>
            </w:pPr>
            <w:r w:rsidRPr="0017095C">
              <w:rPr>
                <w:rFonts w:ascii="Arial" w:hAnsi="Arial" w:cs="Arial"/>
                <w:b/>
                <w:color w:val="000000" w:themeColor="text1"/>
                <w:sz w:val="20"/>
                <w:szCs w:val="20"/>
                <w:lang w:val="en-CA"/>
              </w:rPr>
              <w:t>Type</w:t>
            </w:r>
          </w:p>
        </w:tc>
        <w:tc>
          <w:tcPr>
            <w:tcW w:w="1800" w:type="dxa"/>
          </w:tcPr>
          <w:p w14:paraId="735E4D7F" w14:textId="77777777" w:rsidR="003619CC" w:rsidRPr="0017095C" w:rsidRDefault="00CC1459" w:rsidP="00B71486">
            <w:pPr>
              <w:pStyle w:val="NormalWeb"/>
              <w:spacing w:before="0" w:beforeAutospacing="0" w:after="0" w:afterAutospacing="0"/>
              <w:jc w:val="center"/>
              <w:rPr>
                <w:rFonts w:ascii="Arial" w:hAnsi="Arial" w:cs="Arial"/>
                <w:b/>
                <w:color w:val="000000" w:themeColor="text1"/>
                <w:sz w:val="20"/>
                <w:szCs w:val="20"/>
                <w:lang w:val="en-CA"/>
              </w:rPr>
            </w:pPr>
            <w:r w:rsidRPr="0017095C">
              <w:rPr>
                <w:rFonts w:ascii="Arial" w:hAnsi="Arial" w:cs="Arial"/>
                <w:b/>
                <w:color w:val="000000" w:themeColor="text1"/>
                <w:sz w:val="20"/>
                <w:szCs w:val="20"/>
                <w:lang w:val="en-CA"/>
              </w:rPr>
              <w:t>Quantity</w:t>
            </w:r>
          </w:p>
          <w:p w14:paraId="5BFD4C98" w14:textId="1146156B" w:rsidR="00CC1459" w:rsidRPr="0017095C" w:rsidRDefault="003619CC" w:rsidP="00B71486">
            <w:pPr>
              <w:pStyle w:val="NormalWeb"/>
              <w:spacing w:before="0" w:beforeAutospacing="0" w:after="0" w:afterAutospacing="0"/>
              <w:jc w:val="center"/>
              <w:rPr>
                <w:rFonts w:ascii="Arial" w:eastAsiaTheme="minorEastAsia" w:hAnsi="Arial" w:cs="Arial"/>
                <w:b/>
                <w:color w:val="000000" w:themeColor="text1"/>
                <w:sz w:val="20"/>
                <w:szCs w:val="20"/>
                <w:lang w:val="en-CA" w:eastAsia="zh-CN"/>
              </w:rPr>
            </w:pPr>
            <w:r w:rsidRPr="0017095C">
              <w:rPr>
                <w:rFonts w:ascii="Arial" w:hAnsi="Arial" w:cs="Arial"/>
                <w:b/>
                <w:color w:val="000000" w:themeColor="text1"/>
                <w:sz w:val="20"/>
                <w:szCs w:val="20"/>
                <w:lang w:val="en-CA"/>
              </w:rPr>
              <w:t>(</w:t>
            </w:r>
            <w:r w:rsidR="002F40DE" w:rsidRPr="0017095C">
              <w:rPr>
                <w:rFonts w:ascii="Arial" w:hAnsi="Arial" w:cs="Arial"/>
                <w:b/>
                <w:color w:val="000000" w:themeColor="text1"/>
                <w:sz w:val="20"/>
                <w:szCs w:val="20"/>
                <w:lang w:val="en-CA"/>
              </w:rPr>
              <w:t>on</w:t>
            </w:r>
            <w:r w:rsidRPr="0017095C">
              <w:rPr>
                <w:rFonts w:ascii="Arial" w:hAnsi="Arial" w:cs="Arial"/>
                <w:b/>
                <w:color w:val="000000" w:themeColor="text1"/>
                <w:sz w:val="20"/>
                <w:szCs w:val="20"/>
                <w:lang w:val="en-CA"/>
              </w:rPr>
              <w:t xml:space="preserve"> June 11, 2020)</w:t>
            </w:r>
          </w:p>
        </w:tc>
        <w:tc>
          <w:tcPr>
            <w:tcW w:w="2880" w:type="dxa"/>
          </w:tcPr>
          <w:p w14:paraId="1F7057A9" w14:textId="284431B1" w:rsidR="00CC1459" w:rsidRPr="0017095C" w:rsidRDefault="00CC1459" w:rsidP="00B71486">
            <w:pPr>
              <w:pStyle w:val="NormalWeb"/>
              <w:spacing w:before="0" w:beforeAutospacing="0" w:after="0" w:afterAutospacing="0"/>
              <w:jc w:val="center"/>
              <w:rPr>
                <w:rFonts w:ascii="Arial" w:hAnsi="Arial" w:cs="Arial"/>
                <w:b/>
                <w:color w:val="000000" w:themeColor="text1"/>
                <w:sz w:val="20"/>
                <w:szCs w:val="20"/>
                <w:lang w:val="en-CA"/>
              </w:rPr>
            </w:pPr>
            <w:r w:rsidRPr="0017095C">
              <w:rPr>
                <w:rFonts w:ascii="Arial" w:eastAsiaTheme="minorEastAsia" w:hAnsi="Arial" w:cs="Arial"/>
                <w:b/>
                <w:color w:val="000000" w:themeColor="text1"/>
                <w:sz w:val="20"/>
                <w:szCs w:val="20"/>
                <w:lang w:val="en-CA" w:eastAsia="zh-CN"/>
              </w:rPr>
              <w:t>S</w:t>
            </w:r>
            <w:r w:rsidRPr="0017095C">
              <w:rPr>
                <w:rFonts w:ascii="Arial" w:hAnsi="Arial" w:cs="Arial"/>
                <w:b/>
                <w:color w:val="000000" w:themeColor="text1"/>
                <w:sz w:val="20"/>
                <w:szCs w:val="20"/>
                <w:lang w:val="en-CA"/>
              </w:rPr>
              <w:t>hareholder</w:t>
            </w:r>
            <w:r w:rsidR="00582B5C" w:rsidRPr="0017095C">
              <w:rPr>
                <w:rFonts w:ascii="Arial" w:hAnsi="Arial" w:cs="Arial"/>
                <w:b/>
                <w:color w:val="000000" w:themeColor="text1"/>
                <w:sz w:val="20"/>
                <w:szCs w:val="20"/>
                <w:lang w:val="en-CA"/>
              </w:rPr>
              <w:t xml:space="preserve"> (</w:t>
            </w:r>
            <w:r w:rsidR="00E358EC" w:rsidRPr="0017095C">
              <w:rPr>
                <w:rFonts w:ascii="Arial" w:hAnsi="Arial" w:cs="Arial"/>
                <w:b/>
                <w:color w:val="000000" w:themeColor="text1"/>
                <w:sz w:val="20"/>
                <w:szCs w:val="20"/>
                <w:lang w:val="en-CA"/>
              </w:rPr>
              <w:t>on</w:t>
            </w:r>
            <w:r w:rsidR="00582B5C" w:rsidRPr="0017095C">
              <w:rPr>
                <w:rFonts w:ascii="Arial" w:hAnsi="Arial" w:cs="Arial"/>
                <w:b/>
                <w:color w:val="000000" w:themeColor="text1"/>
                <w:sz w:val="20"/>
                <w:szCs w:val="20"/>
                <w:lang w:val="en-CA"/>
              </w:rPr>
              <w:t xml:space="preserve"> November 5, 2020)</w:t>
            </w:r>
          </w:p>
        </w:tc>
        <w:tc>
          <w:tcPr>
            <w:tcW w:w="1162" w:type="dxa"/>
          </w:tcPr>
          <w:p w14:paraId="33DFAC36" w14:textId="77777777" w:rsidR="00CC1459" w:rsidRPr="0017095C" w:rsidRDefault="00CC1459" w:rsidP="00B71486">
            <w:pPr>
              <w:pStyle w:val="NormalWeb"/>
              <w:spacing w:before="0" w:beforeAutospacing="0" w:after="0" w:afterAutospacing="0"/>
              <w:jc w:val="center"/>
              <w:rPr>
                <w:rFonts w:ascii="Arial" w:hAnsi="Arial" w:cs="Arial"/>
                <w:b/>
                <w:color w:val="000000" w:themeColor="text1"/>
                <w:sz w:val="20"/>
                <w:szCs w:val="20"/>
                <w:lang w:val="en-CA"/>
              </w:rPr>
            </w:pPr>
            <w:r w:rsidRPr="0017095C">
              <w:rPr>
                <w:rFonts w:ascii="Arial" w:eastAsiaTheme="minorEastAsia" w:hAnsi="Arial" w:cs="Arial"/>
                <w:b/>
                <w:color w:val="000000" w:themeColor="text1"/>
                <w:sz w:val="20"/>
                <w:szCs w:val="20"/>
                <w:lang w:val="en-CA" w:eastAsia="zh-CN"/>
              </w:rPr>
              <w:t>S</w:t>
            </w:r>
            <w:r w:rsidRPr="0017095C">
              <w:rPr>
                <w:rFonts w:ascii="Arial" w:hAnsi="Arial" w:cs="Arial"/>
                <w:b/>
                <w:color w:val="000000" w:themeColor="text1"/>
                <w:sz w:val="20"/>
                <w:szCs w:val="20"/>
                <w:lang w:val="en-CA"/>
              </w:rPr>
              <w:t xml:space="preserve">hare </w:t>
            </w:r>
            <w:r w:rsidRPr="0017095C">
              <w:rPr>
                <w:rFonts w:ascii="Arial" w:eastAsiaTheme="minorEastAsia" w:hAnsi="Arial" w:cs="Arial"/>
                <w:b/>
                <w:color w:val="000000" w:themeColor="text1"/>
                <w:sz w:val="20"/>
                <w:szCs w:val="20"/>
                <w:lang w:val="en-CA" w:eastAsia="zh-CN"/>
              </w:rPr>
              <w:t>O</w:t>
            </w:r>
            <w:r w:rsidRPr="0017095C">
              <w:rPr>
                <w:rFonts w:ascii="Arial" w:hAnsi="Arial" w:cs="Arial"/>
                <w:b/>
                <w:color w:val="000000" w:themeColor="text1"/>
                <w:sz w:val="20"/>
                <w:szCs w:val="20"/>
                <w:lang w:val="en-CA"/>
              </w:rPr>
              <w:t>wnership</w:t>
            </w:r>
          </w:p>
        </w:tc>
        <w:tc>
          <w:tcPr>
            <w:tcW w:w="1207" w:type="dxa"/>
          </w:tcPr>
          <w:p w14:paraId="26DE67D7" w14:textId="77777777" w:rsidR="00CC1459" w:rsidRPr="0017095C" w:rsidRDefault="00CC1459" w:rsidP="00B71486">
            <w:pPr>
              <w:pStyle w:val="NormalWeb"/>
              <w:spacing w:before="0" w:beforeAutospacing="0" w:after="0" w:afterAutospacing="0"/>
              <w:jc w:val="center"/>
              <w:rPr>
                <w:rFonts w:ascii="Arial" w:hAnsi="Arial" w:cs="Arial"/>
                <w:b/>
                <w:color w:val="000000" w:themeColor="text1"/>
                <w:sz w:val="20"/>
                <w:szCs w:val="20"/>
                <w:lang w:val="en-CA"/>
              </w:rPr>
            </w:pPr>
            <w:r w:rsidRPr="0017095C">
              <w:rPr>
                <w:rFonts w:ascii="Arial" w:eastAsiaTheme="minorEastAsia" w:hAnsi="Arial" w:cs="Arial"/>
                <w:b/>
                <w:color w:val="000000" w:themeColor="text1"/>
                <w:sz w:val="20"/>
                <w:szCs w:val="20"/>
                <w:lang w:val="en-CA" w:eastAsia="zh-CN"/>
              </w:rPr>
              <w:t>P</w:t>
            </w:r>
            <w:r w:rsidRPr="0017095C">
              <w:rPr>
                <w:rFonts w:ascii="Arial" w:hAnsi="Arial" w:cs="Arial"/>
                <w:b/>
                <w:color w:val="000000" w:themeColor="text1"/>
                <w:sz w:val="20"/>
                <w:szCs w:val="20"/>
                <w:lang w:val="en-CA"/>
              </w:rPr>
              <w:t xml:space="preserve">ercentage </w:t>
            </w:r>
            <w:r w:rsidRPr="0017095C">
              <w:rPr>
                <w:rFonts w:ascii="Arial" w:eastAsiaTheme="minorEastAsia" w:hAnsi="Arial" w:cs="Arial"/>
                <w:b/>
                <w:color w:val="000000" w:themeColor="text1"/>
                <w:sz w:val="20"/>
                <w:szCs w:val="20"/>
                <w:lang w:val="en-CA" w:eastAsia="zh-CN"/>
              </w:rPr>
              <w:t>O</w:t>
            </w:r>
            <w:r w:rsidRPr="0017095C">
              <w:rPr>
                <w:rFonts w:ascii="Arial" w:hAnsi="Arial" w:cs="Arial"/>
                <w:b/>
                <w:color w:val="000000" w:themeColor="text1"/>
                <w:sz w:val="20"/>
                <w:szCs w:val="20"/>
                <w:lang w:val="en-CA"/>
              </w:rPr>
              <w:t>wnership</w:t>
            </w:r>
          </w:p>
        </w:tc>
      </w:tr>
      <w:tr w:rsidR="002F40DE" w:rsidRPr="0017095C" w14:paraId="21BE002C" w14:textId="77777777" w:rsidTr="00BC353D">
        <w:trPr>
          <w:trHeight w:val="138"/>
          <w:tblHeader/>
          <w:jc w:val="center"/>
        </w:trPr>
        <w:tc>
          <w:tcPr>
            <w:tcW w:w="2245" w:type="dxa"/>
          </w:tcPr>
          <w:p w14:paraId="35F1D8F0" w14:textId="77777777" w:rsidR="00CC1459" w:rsidRPr="0017095C" w:rsidRDefault="00CC1459" w:rsidP="00792B9F">
            <w:pPr>
              <w:pStyle w:val="NormalWeb"/>
              <w:spacing w:before="0" w:beforeAutospacing="0" w:after="0" w:afterAutospacing="0"/>
              <w:rPr>
                <w:rFonts w:ascii="Arial" w:hAnsi="Arial" w:cs="Arial"/>
                <w:color w:val="000000" w:themeColor="text1"/>
                <w:sz w:val="20"/>
                <w:szCs w:val="20"/>
                <w:lang w:val="en-CA"/>
              </w:rPr>
            </w:pPr>
            <w:r w:rsidRPr="0017095C">
              <w:rPr>
                <w:rFonts w:ascii="Arial" w:hAnsi="Arial" w:cs="Arial"/>
                <w:color w:val="000000" w:themeColor="text1"/>
                <w:sz w:val="20"/>
                <w:szCs w:val="20"/>
                <w:lang w:val="en-CA"/>
              </w:rPr>
              <w:t>Common Shares</w:t>
            </w:r>
          </w:p>
        </w:tc>
        <w:tc>
          <w:tcPr>
            <w:tcW w:w="1800" w:type="dxa"/>
          </w:tcPr>
          <w:p w14:paraId="1A1C47AE" w14:textId="77777777" w:rsidR="00CC1459" w:rsidRPr="0017095C" w:rsidRDefault="00CC1459" w:rsidP="00792B9F">
            <w:pPr>
              <w:pStyle w:val="NormalWeb"/>
              <w:spacing w:before="0" w:beforeAutospacing="0" w:after="0" w:afterAutospacing="0"/>
              <w:jc w:val="center"/>
              <w:rPr>
                <w:rFonts w:ascii="Arial" w:hAnsi="Arial" w:cs="Arial"/>
                <w:color w:val="000000" w:themeColor="text1"/>
                <w:sz w:val="20"/>
                <w:szCs w:val="20"/>
                <w:lang w:val="en-CA"/>
              </w:rPr>
            </w:pPr>
            <w:r w:rsidRPr="0017095C">
              <w:rPr>
                <w:rFonts w:ascii="Arial" w:hAnsi="Arial" w:cs="Arial"/>
                <w:color w:val="000000" w:themeColor="text1"/>
                <w:sz w:val="20"/>
                <w:szCs w:val="20"/>
                <w:lang w:val="en-CA"/>
              </w:rPr>
              <w:t>130,223,709</w:t>
            </w:r>
          </w:p>
        </w:tc>
        <w:tc>
          <w:tcPr>
            <w:tcW w:w="2880" w:type="dxa"/>
          </w:tcPr>
          <w:p w14:paraId="16399C57" w14:textId="48B07626" w:rsidR="00CC1459" w:rsidRPr="0017095C" w:rsidRDefault="00CC1459">
            <w:pPr>
              <w:pStyle w:val="NormalWeb"/>
              <w:spacing w:before="0" w:beforeAutospacing="0" w:after="0" w:afterAutospacing="0"/>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Resource Capital</w:t>
            </w:r>
            <w:r w:rsidR="008450AF" w:rsidRPr="0017095C">
              <w:rPr>
                <w:rFonts w:ascii="Arial" w:eastAsiaTheme="minorEastAsia" w:hAnsi="Arial" w:cs="Arial"/>
                <w:color w:val="000000" w:themeColor="text1"/>
                <w:sz w:val="20"/>
                <w:szCs w:val="20"/>
                <w:lang w:val="en-CA" w:eastAsia="zh-CN"/>
              </w:rPr>
              <w:t xml:space="preserve"> </w:t>
            </w:r>
            <w:r w:rsidRPr="0017095C">
              <w:rPr>
                <w:rFonts w:ascii="Arial" w:eastAsiaTheme="minorEastAsia" w:hAnsi="Arial" w:cs="Arial"/>
                <w:color w:val="000000" w:themeColor="text1"/>
                <w:sz w:val="20"/>
                <w:szCs w:val="20"/>
                <w:lang w:val="en-CA" w:eastAsia="zh-CN"/>
              </w:rPr>
              <w:t>Funds</w:t>
            </w:r>
          </w:p>
        </w:tc>
        <w:tc>
          <w:tcPr>
            <w:tcW w:w="1162" w:type="dxa"/>
          </w:tcPr>
          <w:p w14:paraId="3B2F7D16" w14:textId="77777777" w:rsidR="00CC1459" w:rsidRPr="0017095C" w:rsidRDefault="00CC1459"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35.9 million</w:t>
            </w:r>
          </w:p>
        </w:tc>
        <w:tc>
          <w:tcPr>
            <w:tcW w:w="1207" w:type="dxa"/>
          </w:tcPr>
          <w:p w14:paraId="27DE99C6" w14:textId="77777777" w:rsidR="00CC1459" w:rsidRPr="0017095C" w:rsidRDefault="00CC1459"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27.6%</w:t>
            </w:r>
          </w:p>
        </w:tc>
      </w:tr>
      <w:tr w:rsidR="002F40DE" w:rsidRPr="0017095C" w14:paraId="23B63EA7" w14:textId="77777777" w:rsidTr="00BC353D">
        <w:trPr>
          <w:trHeight w:val="68"/>
          <w:tblHeader/>
          <w:jc w:val="center"/>
        </w:trPr>
        <w:tc>
          <w:tcPr>
            <w:tcW w:w="2245" w:type="dxa"/>
          </w:tcPr>
          <w:p w14:paraId="11195727" w14:textId="77777777" w:rsidR="00CC1459" w:rsidRPr="0017095C" w:rsidRDefault="00CC1459" w:rsidP="00792B9F">
            <w:pPr>
              <w:pStyle w:val="NormalWeb"/>
              <w:spacing w:before="0" w:beforeAutospacing="0" w:after="0" w:afterAutospacing="0"/>
              <w:rPr>
                <w:rFonts w:ascii="Arial" w:hAnsi="Arial" w:cs="Arial"/>
                <w:color w:val="000000" w:themeColor="text1"/>
                <w:sz w:val="20"/>
                <w:szCs w:val="20"/>
                <w:lang w:val="en-CA"/>
              </w:rPr>
            </w:pPr>
            <w:r w:rsidRPr="0017095C">
              <w:rPr>
                <w:rFonts w:ascii="Arial" w:hAnsi="Arial" w:cs="Arial"/>
                <w:color w:val="000000" w:themeColor="text1"/>
                <w:sz w:val="20"/>
                <w:szCs w:val="20"/>
                <w:lang w:val="en-CA"/>
              </w:rPr>
              <w:t>Options</w:t>
            </w:r>
          </w:p>
        </w:tc>
        <w:tc>
          <w:tcPr>
            <w:tcW w:w="1800" w:type="dxa"/>
          </w:tcPr>
          <w:p w14:paraId="14312B5E" w14:textId="77777777" w:rsidR="00CC1459" w:rsidRPr="0017095C" w:rsidRDefault="00CC1459" w:rsidP="00792B9F">
            <w:pPr>
              <w:pStyle w:val="NormalWeb"/>
              <w:spacing w:before="0" w:beforeAutospacing="0" w:after="0" w:afterAutospacing="0"/>
              <w:jc w:val="center"/>
              <w:rPr>
                <w:rFonts w:ascii="Arial" w:hAnsi="Arial" w:cs="Arial"/>
                <w:color w:val="000000" w:themeColor="text1"/>
                <w:sz w:val="20"/>
                <w:szCs w:val="20"/>
                <w:lang w:val="en-CA"/>
              </w:rPr>
            </w:pPr>
            <w:r w:rsidRPr="0017095C">
              <w:rPr>
                <w:rFonts w:ascii="Arial" w:hAnsi="Arial" w:cs="Arial"/>
                <w:color w:val="000000" w:themeColor="text1"/>
                <w:sz w:val="20"/>
                <w:szCs w:val="20"/>
                <w:lang w:val="en-CA"/>
              </w:rPr>
              <w:t>2,781,065</w:t>
            </w:r>
          </w:p>
        </w:tc>
        <w:tc>
          <w:tcPr>
            <w:tcW w:w="2880" w:type="dxa"/>
          </w:tcPr>
          <w:p w14:paraId="3D597177" w14:textId="7178D4D0" w:rsidR="00CC1459" w:rsidRPr="0017095C" w:rsidRDefault="00CC1459" w:rsidP="00792B9F">
            <w:pPr>
              <w:pStyle w:val="NormalWeb"/>
              <w:spacing w:before="0" w:beforeAutospacing="0" w:after="0" w:afterAutospacing="0"/>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Newmont</w:t>
            </w:r>
            <w:r w:rsidR="008450AF" w:rsidRPr="0017095C">
              <w:rPr>
                <w:rFonts w:ascii="Arial" w:eastAsiaTheme="minorEastAsia" w:hAnsi="Arial" w:cs="Arial"/>
                <w:color w:val="000000" w:themeColor="text1"/>
                <w:sz w:val="20"/>
                <w:szCs w:val="20"/>
                <w:lang w:val="en-CA" w:eastAsia="zh-CN"/>
              </w:rPr>
              <w:t xml:space="preserve"> Corporation</w:t>
            </w:r>
          </w:p>
        </w:tc>
        <w:tc>
          <w:tcPr>
            <w:tcW w:w="1162" w:type="dxa"/>
          </w:tcPr>
          <w:p w14:paraId="2B62C48A" w14:textId="77777777" w:rsidR="00CC1459" w:rsidRPr="0017095C" w:rsidRDefault="00CC1459"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32.2 million</w:t>
            </w:r>
          </w:p>
        </w:tc>
        <w:tc>
          <w:tcPr>
            <w:tcW w:w="1207" w:type="dxa"/>
          </w:tcPr>
          <w:p w14:paraId="071AA19A" w14:textId="77777777" w:rsidR="00CC1459" w:rsidRPr="0017095C" w:rsidRDefault="00CC1459"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24.8%</w:t>
            </w:r>
          </w:p>
        </w:tc>
      </w:tr>
      <w:tr w:rsidR="00296E4A" w:rsidRPr="0017095C" w14:paraId="051773B4" w14:textId="77777777" w:rsidTr="00BC353D">
        <w:trPr>
          <w:trHeight w:val="68"/>
          <w:tblHeader/>
          <w:jc w:val="center"/>
        </w:trPr>
        <w:tc>
          <w:tcPr>
            <w:tcW w:w="2245" w:type="dxa"/>
          </w:tcPr>
          <w:p w14:paraId="11284760" w14:textId="7D13A779" w:rsidR="00296E4A" w:rsidRPr="0017095C" w:rsidRDefault="00296E4A" w:rsidP="00792B9F">
            <w:pPr>
              <w:pStyle w:val="NormalWeb"/>
              <w:spacing w:before="0" w:beforeAutospacing="0" w:after="0" w:afterAutospacing="0"/>
              <w:rPr>
                <w:rFonts w:ascii="Arial" w:hAnsi="Arial" w:cs="Arial"/>
                <w:color w:val="000000" w:themeColor="text1"/>
                <w:sz w:val="20"/>
                <w:szCs w:val="20"/>
                <w:lang w:val="en-CA"/>
              </w:rPr>
            </w:pPr>
            <w:r w:rsidRPr="0017095C">
              <w:rPr>
                <w:rFonts w:ascii="Arial" w:hAnsi="Arial" w:cs="Arial"/>
                <w:color w:val="000000" w:themeColor="text1"/>
                <w:sz w:val="20"/>
                <w:szCs w:val="20"/>
                <w:lang w:val="en-CA"/>
              </w:rPr>
              <w:t>Restricted Share Rights</w:t>
            </w:r>
          </w:p>
        </w:tc>
        <w:tc>
          <w:tcPr>
            <w:tcW w:w="1800" w:type="dxa"/>
          </w:tcPr>
          <w:p w14:paraId="5146EF10" w14:textId="09A726AC" w:rsidR="00296E4A" w:rsidRPr="0017095C" w:rsidRDefault="00296E4A" w:rsidP="00792B9F">
            <w:pPr>
              <w:pStyle w:val="NormalWeb"/>
              <w:spacing w:before="0" w:beforeAutospacing="0" w:after="0" w:afterAutospacing="0"/>
              <w:jc w:val="center"/>
              <w:rPr>
                <w:rFonts w:ascii="Arial" w:hAnsi="Arial" w:cs="Arial"/>
                <w:color w:val="000000" w:themeColor="text1"/>
                <w:sz w:val="20"/>
                <w:szCs w:val="20"/>
                <w:lang w:val="en-CA"/>
              </w:rPr>
            </w:pPr>
            <w:r w:rsidRPr="0017095C">
              <w:rPr>
                <w:rFonts w:ascii="Arial" w:hAnsi="Arial" w:cs="Arial"/>
                <w:color w:val="000000" w:themeColor="text1"/>
                <w:sz w:val="20"/>
                <w:szCs w:val="20"/>
                <w:lang w:val="en-CA"/>
              </w:rPr>
              <w:t>1,236,029</w:t>
            </w:r>
          </w:p>
        </w:tc>
        <w:tc>
          <w:tcPr>
            <w:tcW w:w="2880" w:type="dxa"/>
          </w:tcPr>
          <w:p w14:paraId="294E13B4" w14:textId="3EA9F6E4" w:rsidR="00296E4A" w:rsidRPr="0017095C" w:rsidRDefault="00296E4A" w:rsidP="00792B9F">
            <w:pPr>
              <w:pStyle w:val="NormalWeb"/>
              <w:spacing w:before="0" w:beforeAutospacing="0" w:after="0" w:afterAutospacing="0"/>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 xml:space="preserve">Shandong Gold </w:t>
            </w:r>
            <w:r w:rsidR="002F40DE" w:rsidRPr="0017095C">
              <w:rPr>
                <w:rFonts w:ascii="Arial" w:eastAsiaTheme="minorEastAsia" w:hAnsi="Arial" w:cs="Arial"/>
                <w:color w:val="000000" w:themeColor="text1"/>
                <w:sz w:val="20"/>
                <w:szCs w:val="20"/>
                <w:lang w:val="en-CA" w:eastAsia="zh-CN"/>
              </w:rPr>
              <w:t>Group Co. Ltd.</w:t>
            </w:r>
          </w:p>
        </w:tc>
        <w:tc>
          <w:tcPr>
            <w:tcW w:w="1162" w:type="dxa"/>
          </w:tcPr>
          <w:p w14:paraId="3356A088" w14:textId="58E9657F" w:rsidR="00296E4A" w:rsidRPr="0017095C" w:rsidRDefault="00296E4A"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12.0 million</w:t>
            </w:r>
          </w:p>
        </w:tc>
        <w:tc>
          <w:tcPr>
            <w:tcW w:w="1207" w:type="dxa"/>
          </w:tcPr>
          <w:p w14:paraId="1D594777" w14:textId="3CE34B29" w:rsidR="00296E4A" w:rsidRPr="0017095C" w:rsidRDefault="00296E4A"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9.2%</w:t>
            </w:r>
          </w:p>
        </w:tc>
      </w:tr>
      <w:tr w:rsidR="00296E4A" w:rsidRPr="0017095C" w14:paraId="4F3DFD3A" w14:textId="77777777" w:rsidTr="00BC353D">
        <w:trPr>
          <w:trHeight w:val="68"/>
          <w:tblHeader/>
          <w:jc w:val="center"/>
        </w:trPr>
        <w:tc>
          <w:tcPr>
            <w:tcW w:w="2245" w:type="dxa"/>
          </w:tcPr>
          <w:p w14:paraId="0539C40B" w14:textId="28C38A76" w:rsidR="00296E4A" w:rsidRPr="0017095C" w:rsidRDefault="00296E4A" w:rsidP="00792B9F">
            <w:pPr>
              <w:pStyle w:val="NormalWeb"/>
              <w:spacing w:before="0" w:beforeAutospacing="0" w:after="0" w:afterAutospacing="0"/>
              <w:rPr>
                <w:rFonts w:ascii="Arial" w:hAnsi="Arial" w:cs="Arial"/>
                <w:color w:val="000000" w:themeColor="text1"/>
                <w:sz w:val="20"/>
                <w:szCs w:val="20"/>
                <w:lang w:val="en-CA"/>
              </w:rPr>
            </w:pPr>
            <w:r w:rsidRPr="0017095C">
              <w:rPr>
                <w:rFonts w:ascii="Arial" w:hAnsi="Arial" w:cs="Arial"/>
                <w:color w:val="000000" w:themeColor="text1"/>
                <w:sz w:val="20"/>
                <w:szCs w:val="20"/>
                <w:lang w:val="en-CA"/>
              </w:rPr>
              <w:t>Warrants</w:t>
            </w:r>
          </w:p>
        </w:tc>
        <w:tc>
          <w:tcPr>
            <w:tcW w:w="1800" w:type="dxa"/>
          </w:tcPr>
          <w:p w14:paraId="142289CE" w14:textId="08A156D2" w:rsidR="00296E4A" w:rsidRPr="0017095C" w:rsidRDefault="00296E4A" w:rsidP="00792B9F">
            <w:pPr>
              <w:pStyle w:val="NormalWeb"/>
              <w:spacing w:before="0" w:beforeAutospacing="0" w:after="0" w:afterAutospacing="0"/>
              <w:jc w:val="center"/>
              <w:rPr>
                <w:rFonts w:ascii="Arial" w:hAnsi="Arial" w:cs="Arial"/>
                <w:color w:val="000000" w:themeColor="text1"/>
                <w:sz w:val="20"/>
                <w:szCs w:val="20"/>
                <w:lang w:val="en-CA"/>
              </w:rPr>
            </w:pPr>
            <w:r w:rsidRPr="0017095C">
              <w:rPr>
                <w:rFonts w:ascii="Arial" w:hAnsi="Arial" w:cs="Arial"/>
                <w:color w:val="000000" w:themeColor="text1"/>
                <w:sz w:val="20"/>
                <w:szCs w:val="20"/>
                <w:lang w:val="en-CA"/>
              </w:rPr>
              <w:t>2,333,834</w:t>
            </w:r>
          </w:p>
        </w:tc>
        <w:tc>
          <w:tcPr>
            <w:tcW w:w="2880" w:type="dxa"/>
          </w:tcPr>
          <w:p w14:paraId="0C0D5E77" w14:textId="0CC6440E" w:rsidR="00296E4A" w:rsidRPr="0017095C" w:rsidRDefault="00296E4A" w:rsidP="00792B9F">
            <w:pPr>
              <w:pStyle w:val="NormalWeb"/>
              <w:spacing w:before="0" w:beforeAutospacing="0" w:after="0" w:afterAutospacing="0"/>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Directors and Officers*</w:t>
            </w:r>
          </w:p>
        </w:tc>
        <w:tc>
          <w:tcPr>
            <w:tcW w:w="1162" w:type="dxa"/>
          </w:tcPr>
          <w:p w14:paraId="77EDBF65" w14:textId="21085839" w:rsidR="00296E4A" w:rsidRPr="0017095C" w:rsidRDefault="00296E4A"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1.1 million</w:t>
            </w:r>
          </w:p>
        </w:tc>
        <w:tc>
          <w:tcPr>
            <w:tcW w:w="1207" w:type="dxa"/>
          </w:tcPr>
          <w:p w14:paraId="76D4729E" w14:textId="0AA8685D" w:rsidR="00296E4A" w:rsidRPr="0017095C" w:rsidRDefault="00296E4A" w:rsidP="00792B9F">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0.8%</w:t>
            </w:r>
          </w:p>
        </w:tc>
      </w:tr>
      <w:tr w:rsidR="00296E4A" w:rsidRPr="0017095C" w14:paraId="7732782E" w14:textId="77777777" w:rsidTr="00BC353D">
        <w:trPr>
          <w:trHeight w:val="68"/>
          <w:tblHeader/>
          <w:jc w:val="center"/>
        </w:trPr>
        <w:tc>
          <w:tcPr>
            <w:tcW w:w="2245" w:type="dxa"/>
          </w:tcPr>
          <w:p w14:paraId="120930C5" w14:textId="0BFFE097" w:rsidR="00296E4A" w:rsidRPr="0017095C" w:rsidRDefault="00296E4A" w:rsidP="00296E4A">
            <w:pPr>
              <w:pStyle w:val="NormalWeb"/>
              <w:spacing w:before="0" w:beforeAutospacing="0" w:after="0" w:afterAutospacing="0"/>
              <w:rPr>
                <w:rFonts w:ascii="Arial" w:hAnsi="Arial" w:cs="Arial"/>
                <w:color w:val="000000" w:themeColor="text1"/>
                <w:sz w:val="20"/>
                <w:szCs w:val="20"/>
                <w:lang w:val="en-CA"/>
              </w:rPr>
            </w:pPr>
            <w:r w:rsidRPr="0017095C">
              <w:rPr>
                <w:rFonts w:ascii="Arial" w:hAnsi="Arial" w:cs="Arial"/>
                <w:color w:val="000000" w:themeColor="text1"/>
                <w:sz w:val="20"/>
                <w:szCs w:val="20"/>
                <w:lang w:val="en-CA"/>
              </w:rPr>
              <w:t>Fully Diluted Shares</w:t>
            </w:r>
          </w:p>
        </w:tc>
        <w:tc>
          <w:tcPr>
            <w:tcW w:w="1800" w:type="dxa"/>
          </w:tcPr>
          <w:p w14:paraId="05A0BBA1" w14:textId="4D7E43D4" w:rsidR="00296E4A" w:rsidRPr="0017095C" w:rsidRDefault="00296E4A" w:rsidP="00296E4A">
            <w:pPr>
              <w:pStyle w:val="NormalWeb"/>
              <w:spacing w:before="0" w:beforeAutospacing="0" w:after="0" w:afterAutospacing="0"/>
              <w:jc w:val="center"/>
              <w:rPr>
                <w:rFonts w:ascii="Arial" w:hAnsi="Arial" w:cs="Arial"/>
                <w:color w:val="000000" w:themeColor="text1"/>
                <w:sz w:val="20"/>
                <w:szCs w:val="20"/>
                <w:lang w:val="en-CA"/>
              </w:rPr>
            </w:pPr>
            <w:r w:rsidRPr="0017095C">
              <w:rPr>
                <w:rFonts w:ascii="Arial" w:hAnsi="Arial" w:cs="Arial"/>
                <w:color w:val="000000" w:themeColor="text1"/>
                <w:sz w:val="20"/>
                <w:szCs w:val="20"/>
                <w:lang w:val="en-CA"/>
              </w:rPr>
              <w:t>136,574,637</w:t>
            </w:r>
          </w:p>
        </w:tc>
        <w:tc>
          <w:tcPr>
            <w:tcW w:w="2880" w:type="dxa"/>
          </w:tcPr>
          <w:p w14:paraId="024ABC99" w14:textId="3558791D" w:rsidR="00296E4A" w:rsidRPr="0017095C" w:rsidRDefault="00296E4A" w:rsidP="00296E4A">
            <w:pPr>
              <w:pStyle w:val="NormalWeb"/>
              <w:spacing w:before="0" w:beforeAutospacing="0" w:after="0" w:afterAutospacing="0"/>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KIA (Inuit Landowner)</w:t>
            </w:r>
          </w:p>
        </w:tc>
        <w:tc>
          <w:tcPr>
            <w:tcW w:w="1162" w:type="dxa"/>
          </w:tcPr>
          <w:p w14:paraId="0831FA66" w14:textId="33E7DB9B" w:rsidR="00296E4A" w:rsidRPr="0017095C" w:rsidRDefault="00296E4A" w:rsidP="00296E4A">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1.0 million</w:t>
            </w:r>
          </w:p>
        </w:tc>
        <w:tc>
          <w:tcPr>
            <w:tcW w:w="1207" w:type="dxa"/>
          </w:tcPr>
          <w:p w14:paraId="005FD31C" w14:textId="3B59B1CF" w:rsidR="00296E4A" w:rsidRPr="0017095C" w:rsidRDefault="00296E4A" w:rsidP="00296E4A">
            <w:pPr>
              <w:pStyle w:val="NormalWeb"/>
              <w:spacing w:before="0" w:beforeAutospacing="0" w:after="0" w:afterAutospacing="0"/>
              <w:jc w:val="center"/>
              <w:rPr>
                <w:rFonts w:ascii="Arial" w:eastAsiaTheme="minorEastAsia" w:hAnsi="Arial" w:cs="Arial"/>
                <w:color w:val="000000" w:themeColor="text1"/>
                <w:sz w:val="20"/>
                <w:szCs w:val="20"/>
                <w:lang w:val="en-CA" w:eastAsia="zh-CN"/>
              </w:rPr>
            </w:pPr>
            <w:r w:rsidRPr="0017095C">
              <w:rPr>
                <w:rFonts w:ascii="Arial" w:eastAsiaTheme="minorEastAsia" w:hAnsi="Arial" w:cs="Arial"/>
                <w:color w:val="000000" w:themeColor="text1"/>
                <w:sz w:val="20"/>
                <w:szCs w:val="20"/>
                <w:lang w:val="en-CA" w:eastAsia="zh-CN"/>
              </w:rPr>
              <w:t>0.8%</w:t>
            </w:r>
          </w:p>
        </w:tc>
      </w:tr>
    </w:tbl>
    <w:p w14:paraId="5388C045" w14:textId="77777777" w:rsidR="00196AC9" w:rsidRPr="0017095C" w:rsidRDefault="00196AC9" w:rsidP="00CC1459">
      <w:pPr>
        <w:pStyle w:val="Footnote"/>
        <w:rPr>
          <w:lang w:val="en-CA"/>
        </w:rPr>
      </w:pPr>
    </w:p>
    <w:p w14:paraId="783C09DD" w14:textId="48F3D7E2" w:rsidR="003619CC" w:rsidRPr="0017095C" w:rsidRDefault="003619CC" w:rsidP="00CC1459">
      <w:pPr>
        <w:pStyle w:val="Footnote"/>
        <w:rPr>
          <w:lang w:val="en-CA"/>
        </w:rPr>
      </w:pPr>
      <w:r w:rsidRPr="0017095C">
        <w:rPr>
          <w:lang w:val="en-CA"/>
        </w:rPr>
        <w:t xml:space="preserve">Note: </w:t>
      </w:r>
      <w:r w:rsidR="00775F47" w:rsidRPr="0017095C">
        <w:rPr>
          <w:lang w:val="en-CA"/>
        </w:rPr>
        <w:t>*Common shares only</w:t>
      </w:r>
      <w:r w:rsidR="002F40DE" w:rsidRPr="0017095C">
        <w:rPr>
          <w:lang w:val="en-CA"/>
        </w:rPr>
        <w:t>,</w:t>
      </w:r>
      <w:r w:rsidR="00775F47" w:rsidRPr="0017095C">
        <w:rPr>
          <w:lang w:val="en-CA"/>
        </w:rPr>
        <w:t xml:space="preserve"> excludes rights and options</w:t>
      </w:r>
      <w:r w:rsidR="00607FE4">
        <w:rPr>
          <w:lang w:val="en-CA"/>
        </w:rPr>
        <w:t>.</w:t>
      </w:r>
    </w:p>
    <w:p w14:paraId="2342D6FF" w14:textId="6ECB6A8B" w:rsidR="00CC1459" w:rsidRPr="0017095C" w:rsidRDefault="00CC1459" w:rsidP="00CC1459">
      <w:pPr>
        <w:pStyle w:val="Footnote"/>
        <w:rPr>
          <w:spacing w:val="-2"/>
          <w:lang w:val="en-CA"/>
        </w:rPr>
      </w:pPr>
      <w:r w:rsidRPr="0017095C">
        <w:rPr>
          <w:spacing w:val="-2"/>
          <w:lang w:val="en-CA"/>
        </w:rPr>
        <w:t xml:space="preserve">Source: </w:t>
      </w:r>
      <w:r w:rsidR="008C3762" w:rsidRPr="0017095C">
        <w:rPr>
          <w:spacing w:val="-2"/>
          <w:lang w:val="en-CA"/>
        </w:rPr>
        <w:t xml:space="preserve">“TMAC Resources Inc., </w:t>
      </w:r>
      <w:r w:rsidR="008C3762" w:rsidRPr="0017095C">
        <w:rPr>
          <w:i/>
          <w:iCs/>
          <w:spacing w:val="-2"/>
          <w:lang w:val="en-CA"/>
        </w:rPr>
        <w:t>Management’s Discussion and Analysis</w:t>
      </w:r>
      <w:r w:rsidR="008C3762" w:rsidRPr="0017095C">
        <w:rPr>
          <w:spacing w:val="-2"/>
          <w:lang w:val="en-CA"/>
        </w:rPr>
        <w:t xml:space="preserve"> (March 31, 2020),</w:t>
      </w:r>
      <w:r w:rsidR="008C3762" w:rsidRPr="0017095C" w:rsidDel="008C3762">
        <w:rPr>
          <w:spacing w:val="-2"/>
          <w:lang w:val="en-CA"/>
        </w:rPr>
        <w:t xml:space="preserve"> </w:t>
      </w:r>
      <w:r w:rsidR="00231655" w:rsidRPr="0017095C">
        <w:rPr>
          <w:spacing w:val="-2"/>
          <w:lang w:val="en-CA"/>
        </w:rPr>
        <w:t xml:space="preserve">accessed April 20, 2021, </w:t>
      </w:r>
      <w:r w:rsidR="00D90F67" w:rsidRPr="0017095C">
        <w:rPr>
          <w:spacing w:val="-2"/>
          <w:lang w:val="en-CA"/>
        </w:rPr>
        <w:t>https://s1.q4cdn.com/893791552/files/doc_financials/2020/q1/TMAC-MDA-Q1-2020_Filing-copy.pdf</w:t>
      </w:r>
      <w:r w:rsidR="008C3762" w:rsidRPr="0017095C">
        <w:rPr>
          <w:spacing w:val="-2"/>
          <w:lang w:val="en-CA"/>
        </w:rPr>
        <w:t xml:space="preserve">; TMAC Resources, </w:t>
      </w:r>
      <w:r w:rsidR="008C3762" w:rsidRPr="0017095C">
        <w:rPr>
          <w:i/>
          <w:iCs/>
          <w:spacing w:val="-2"/>
          <w:lang w:val="en-CA"/>
        </w:rPr>
        <w:t>Investor Presentation</w:t>
      </w:r>
      <w:r w:rsidR="008C3762" w:rsidRPr="0017095C">
        <w:rPr>
          <w:spacing w:val="-2"/>
          <w:lang w:val="en-CA"/>
        </w:rPr>
        <w:t xml:space="preserve"> (November 2020),</w:t>
      </w:r>
      <w:r w:rsidR="00D90F67" w:rsidRPr="0017095C">
        <w:rPr>
          <w:spacing w:val="-2"/>
          <w:lang w:val="en-CA"/>
        </w:rPr>
        <w:t xml:space="preserve"> </w:t>
      </w:r>
      <w:r w:rsidR="00231655" w:rsidRPr="0017095C">
        <w:rPr>
          <w:spacing w:val="-2"/>
          <w:lang w:val="en-CA"/>
        </w:rPr>
        <w:t xml:space="preserve">accessed April 20, 2021, </w:t>
      </w:r>
      <w:r w:rsidR="00D90F67" w:rsidRPr="0017095C">
        <w:rPr>
          <w:spacing w:val="-2"/>
          <w:lang w:val="en-CA"/>
        </w:rPr>
        <w:t>https://s1.q4cdn.com/893791552/files/doc_downloads/2020/11/2020-11-TMAC-Investor-Presentation.pdf</w:t>
      </w:r>
      <w:r w:rsidR="00F5640B" w:rsidRPr="0017095C">
        <w:rPr>
          <w:spacing w:val="-2"/>
          <w:lang w:val="en-CA"/>
        </w:rPr>
        <w:t xml:space="preserve">; </w:t>
      </w:r>
      <w:r w:rsidR="005353F4" w:rsidRPr="0017095C">
        <w:rPr>
          <w:spacing w:val="-2"/>
          <w:lang w:val="en-CA"/>
        </w:rPr>
        <w:t xml:space="preserve">TMAC Resources, </w:t>
      </w:r>
      <w:r w:rsidR="005353F4" w:rsidRPr="0017095C">
        <w:rPr>
          <w:i/>
          <w:iCs/>
          <w:spacing w:val="-2"/>
          <w:lang w:val="en-CA"/>
        </w:rPr>
        <w:t>Investor Presentation</w:t>
      </w:r>
      <w:r w:rsidR="005353F4" w:rsidRPr="0017095C">
        <w:rPr>
          <w:spacing w:val="-2"/>
          <w:lang w:val="en-CA"/>
        </w:rPr>
        <w:t xml:space="preserve"> (November 2020), accessed April 20, 2021, https://s1.q4cdn.com/893791552/files/doc_downloads/2020/11/2020-11-TMAC-Investor-Presentation.pdf</w:t>
      </w:r>
      <w:r w:rsidR="00F5640B" w:rsidRPr="0017095C">
        <w:rPr>
          <w:spacing w:val="-2"/>
          <w:lang w:val="en-CA"/>
        </w:rPr>
        <w:t>.</w:t>
      </w:r>
    </w:p>
    <w:p w14:paraId="437B04D4" w14:textId="109B0799" w:rsidR="00C00AE7" w:rsidRPr="0017095C" w:rsidRDefault="00C00AE7" w:rsidP="00C00AE7">
      <w:pPr>
        <w:pStyle w:val="Casehead1"/>
        <w:rPr>
          <w:lang w:val="en-CA"/>
        </w:rPr>
      </w:pPr>
      <w:r w:rsidRPr="0017095C">
        <w:rPr>
          <w:lang w:val="en-CA"/>
        </w:rPr>
        <w:lastRenderedPageBreak/>
        <w:t>Endnotes</w:t>
      </w:r>
    </w:p>
    <w:sectPr w:rsidR="00C00AE7" w:rsidRPr="0017095C"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A15B6" w16cex:dateUtc="2021-03-28T00:36:00Z"/>
  <w16cex:commentExtensible w16cex:durableId="2427E478" w16cex:dateUtc="2021-04-19T15:14:00Z"/>
  <w16cex:commentExtensible w16cex:durableId="240DF007" w16cex:dateUtc="2021-03-30T22:44:00Z"/>
  <w16cex:commentExtensible w16cex:durableId="240C2DB4" w16cex:dateUtc="2021-03-29T14:43:00Z"/>
  <w16cex:commentExtensible w16cex:durableId="241EEEE5" w16cex:dateUtc="2021-04-12T20:08:00Z"/>
  <w16cex:commentExtensible w16cex:durableId="240C30B2" w16cex:dateUtc="2021-03-29T14:55:00Z"/>
  <w16cex:commentExtensible w16cex:durableId="240C34DE" w16cex:dateUtc="2021-03-29T15:13:00Z"/>
  <w16cex:commentExtensible w16cex:durableId="240C3A02" w16cex:dateUtc="2021-03-29T15:35:00Z"/>
  <w16cex:commentExtensible w16cex:durableId="2427E757" w16cex:dateUtc="2021-04-19T15:26:00Z"/>
  <w16cex:commentExtensible w16cex:durableId="240C470A" w16cex:dateUtc="2021-03-29T16:31:00Z"/>
  <w16cex:commentExtensible w16cex:durableId="240C665F" w16cex:dateUtc="2021-03-29T18:44:00Z"/>
  <w16cex:commentExtensible w16cex:durableId="240C6B69" w16cex:dateUtc="2021-03-29T19:06:00Z"/>
  <w16cex:commentExtensible w16cex:durableId="240C6CAE" w16cex:dateUtc="2021-03-29T19:11:00Z"/>
  <w16cex:commentExtensible w16cex:durableId="2427EBD4" w16cex:dateUtc="2021-04-19T15:45:00Z"/>
  <w16cex:commentExtensible w16cex:durableId="2427E939" w16cex:dateUtc="2021-04-19T15:34:00Z"/>
  <w16cex:commentExtensible w16cex:durableId="240C72E9" w16cex:dateUtc="2021-03-29T19:38:00Z"/>
  <w16cex:commentExtensible w16cex:durableId="240C769C" w16cex:dateUtc="2021-03-29T19:54:00Z"/>
  <w16cex:commentExtensible w16cex:durableId="2427F056" w16cex:dateUtc="2021-04-19T16:04:00Z"/>
  <w16cex:commentExtensible w16cex:durableId="240E0041" w16cex:dateUtc="2021-03-30T23:53:00Z"/>
  <w16cex:commentExtensible w16cex:durableId="240EC1F9" w16cex:dateUtc="2021-03-31T13:40:00Z"/>
  <w16cex:commentExtensible w16cex:durableId="240C881D" w16cex:dateUtc="2021-03-29T21:08:00Z"/>
  <w16cex:commentExtensible w16cex:durableId="240EC53D" w16cex:dateUtc="2021-03-31T13:54:00Z"/>
  <w16cex:commentExtensible w16cex:durableId="241EF2E7" w16cex:dateUtc="2021-04-12T20:25:00Z"/>
  <w16cex:commentExtensible w16cex:durableId="240C9160" w16cex:dateUtc="2021-03-29T21:48:00Z"/>
  <w16cex:commentExtensible w16cex:durableId="240C9167" w16cex:dateUtc="2021-03-29T21:48:00Z"/>
  <w16cex:commentExtensible w16cex:durableId="240C9173" w16cex:dateUtc="2021-03-29T21:48:00Z"/>
  <w16cex:commentExtensible w16cex:durableId="24219997" w16cex:dateUtc="2021-04-14T20:40:00Z"/>
  <w16cex:commentExtensible w16cex:durableId="240ED117" w16cex:dateUtc="2021-03-31T14: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C0DC0" w14:textId="77777777" w:rsidR="00BB6764" w:rsidRDefault="00BB6764" w:rsidP="00D75295">
      <w:r>
        <w:separator/>
      </w:r>
    </w:p>
  </w:endnote>
  <w:endnote w:type="continuationSeparator" w:id="0">
    <w:p w14:paraId="61473AE1" w14:textId="77777777" w:rsidR="00BB6764" w:rsidRDefault="00BB6764" w:rsidP="00D75295">
      <w:r>
        <w:continuationSeparator/>
      </w:r>
    </w:p>
  </w:endnote>
  <w:endnote w:id="1">
    <w:p w14:paraId="4A7D7E13" w14:textId="77777777" w:rsidR="00BB6764" w:rsidRPr="00607FE4" w:rsidRDefault="00BB6764" w:rsidP="007F4A6F">
      <w:pPr>
        <w:pStyle w:val="Footnote"/>
        <w:rPr>
          <w:sz w:val="16"/>
          <w:szCs w:val="16"/>
          <w:lang w:val="en-CA"/>
        </w:rPr>
      </w:pPr>
      <w:r w:rsidRPr="00607FE4">
        <w:rPr>
          <w:rStyle w:val="EndnoteReference"/>
          <w:sz w:val="16"/>
          <w:szCs w:val="16"/>
        </w:rPr>
        <w:endnoteRef/>
      </w:r>
      <w:r w:rsidRPr="00607FE4">
        <w:rPr>
          <w:sz w:val="16"/>
          <w:szCs w:val="16"/>
        </w:rPr>
        <w:t xml:space="preserve"> </w:t>
      </w:r>
      <w:r w:rsidRPr="00607FE4">
        <w:rPr>
          <w:sz w:val="16"/>
          <w:szCs w:val="16"/>
          <w:lang w:val="en-CA"/>
        </w:rPr>
        <w:t>All currency amounts are in CA$ unless otherwise specified.</w:t>
      </w:r>
    </w:p>
  </w:endnote>
  <w:endnote w:id="2">
    <w:p w14:paraId="22BF0A92" w14:textId="02B8937D" w:rsidR="00BB6764" w:rsidRPr="00607FE4" w:rsidRDefault="00BB6764" w:rsidP="007F4A6F">
      <w:pPr>
        <w:pStyle w:val="Footnote"/>
        <w:rPr>
          <w:sz w:val="16"/>
          <w:szCs w:val="16"/>
          <w:lang w:val="en-CA"/>
        </w:rPr>
      </w:pPr>
      <w:r w:rsidRPr="00607FE4">
        <w:rPr>
          <w:rStyle w:val="EndnoteReference"/>
          <w:sz w:val="16"/>
          <w:szCs w:val="16"/>
        </w:rPr>
        <w:endnoteRef/>
      </w:r>
      <w:r w:rsidRPr="00607FE4">
        <w:rPr>
          <w:sz w:val="16"/>
          <w:szCs w:val="16"/>
        </w:rPr>
        <w:t xml:space="preserve"> “TMAC Resources Launches Strategic Review,” </w:t>
      </w:r>
      <w:r w:rsidRPr="00607FE4">
        <w:rPr>
          <w:iCs/>
          <w:sz w:val="16"/>
          <w:szCs w:val="16"/>
        </w:rPr>
        <w:t>MINING.com</w:t>
      </w:r>
      <w:r w:rsidRPr="00607FE4">
        <w:rPr>
          <w:sz w:val="16"/>
          <w:szCs w:val="16"/>
        </w:rPr>
        <w:t>, January 20, 2020, accessed April 20, 2021, https://www.mining.com/tmac-resources-launches-strategic-review.</w:t>
      </w:r>
    </w:p>
  </w:endnote>
  <w:endnote w:id="3">
    <w:p w14:paraId="4F70F8DD" w14:textId="267F326E"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sz w:val="16"/>
          <w:szCs w:val="16"/>
        </w:rPr>
        <w:t xml:space="preserve"> Zhu Zhenxin, “[Heavyweight] ‘One Belt, One Road’ Progress Is Sorted Out [in Chinese],” Macro Livelihood, February 17, 2017, </w:t>
      </w:r>
      <w:r w:rsidRPr="00607FE4">
        <w:rPr>
          <w:color w:val="000000" w:themeColor="text1"/>
          <w:sz w:val="16"/>
          <w:szCs w:val="16"/>
        </w:rPr>
        <w:t>accessed May 8, 2020, www.sinotf.com/GB/News/1003/2017-02-17/xMMDAwMDIyMDgxMQ.html.</w:t>
      </w:r>
    </w:p>
  </w:endnote>
  <w:endnote w:id="4">
    <w:p w14:paraId="3C082182" w14:textId="2212B6C2" w:rsidR="00BB6764" w:rsidRPr="00607FE4" w:rsidRDefault="00BB6764" w:rsidP="007F4A6F">
      <w:pPr>
        <w:pStyle w:val="Footnote"/>
        <w:rPr>
          <w:sz w:val="16"/>
          <w:szCs w:val="16"/>
        </w:rPr>
      </w:pPr>
      <w:r w:rsidRPr="00607FE4">
        <w:rPr>
          <w:rStyle w:val="EndnoteReference"/>
          <w:sz w:val="16"/>
          <w:szCs w:val="16"/>
        </w:rPr>
        <w:endnoteRef/>
      </w:r>
      <w:r w:rsidRPr="00607FE4">
        <w:rPr>
          <w:sz w:val="16"/>
          <w:szCs w:val="16"/>
        </w:rPr>
        <w:t xml:space="preserve"> “China Has Signed 197 ‘Belt and Road’ Cooperation Documents with 137 Countries and 30 International Organizations [in Chinese],” Xinhua, November 15, 2019, www.gov.cn/xinwen/2019-11/15/content_5452490.htm.</w:t>
      </w:r>
    </w:p>
  </w:endnote>
  <w:endnote w:id="5">
    <w:p w14:paraId="1EFA4F4C" w14:textId="78BE6220" w:rsidR="00BB6764" w:rsidRPr="00607FE4" w:rsidRDefault="00BB6764" w:rsidP="007F4A6F">
      <w:pPr>
        <w:pStyle w:val="Footnote"/>
        <w:rPr>
          <w:color w:val="000000" w:themeColor="text1"/>
          <w:sz w:val="16"/>
          <w:szCs w:val="16"/>
        </w:rPr>
      </w:pPr>
      <w:r w:rsidRPr="00607FE4">
        <w:rPr>
          <w:sz w:val="16"/>
          <w:szCs w:val="16"/>
          <w:vertAlign w:val="superscript"/>
        </w:rPr>
        <w:endnoteRef/>
      </w:r>
      <w:r w:rsidRPr="00607FE4">
        <w:rPr>
          <w:sz w:val="16"/>
          <w:szCs w:val="16"/>
        </w:rPr>
        <w:t xml:space="preserve"> “Company Profile [in Chinese],” Shandong Gold Group Co. Ltd., </w:t>
      </w:r>
      <w:r w:rsidRPr="00607FE4">
        <w:rPr>
          <w:color w:val="000000" w:themeColor="text1"/>
          <w:sz w:val="16"/>
          <w:szCs w:val="16"/>
        </w:rPr>
        <w:t>www.accessed May 8, 2020, www.sd-gold.com/intro/1.html.</w:t>
      </w:r>
    </w:p>
  </w:endnote>
  <w:endnote w:id="6">
    <w:p w14:paraId="03C0CCA3" w14:textId="75906F36"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“Li Guohong, Chairman of Shandong Gold: Bravely Break into the World’s Top Ten to Maintain the Pace of Internationalization</w:t>
      </w:r>
      <w:r w:rsidRPr="00607FE4">
        <w:rPr>
          <w:sz w:val="16"/>
          <w:szCs w:val="16"/>
        </w:rPr>
        <w:t xml:space="preserve"> [in Chinese]</w:t>
      </w:r>
      <w:r w:rsidRPr="00607FE4">
        <w:rPr>
          <w:color w:val="000000" w:themeColor="text1"/>
          <w:sz w:val="16"/>
          <w:szCs w:val="16"/>
        </w:rPr>
        <w:t>,” Sina Securities Times, August 15, 2019, accessed May 8, 2020, http://finance.sina.com.cn/roll/2019-08-15/doc-ihytcitm9253019.shtml.</w:t>
      </w:r>
    </w:p>
  </w:endnote>
  <w:endnote w:id="7">
    <w:p w14:paraId="16773B45" w14:textId="6D78EEF7" w:rsidR="00BB6764" w:rsidRPr="00607FE4" w:rsidRDefault="00BB6764" w:rsidP="007F4A6F">
      <w:pPr>
        <w:pStyle w:val="Footnote"/>
        <w:rPr>
          <w:color w:val="000000" w:themeColor="text1"/>
          <w:spacing w:val="-8"/>
          <w:kern w:val="17"/>
          <w:sz w:val="16"/>
          <w:szCs w:val="16"/>
        </w:rPr>
      </w:pPr>
      <w:r w:rsidRPr="00607FE4">
        <w:rPr>
          <w:rStyle w:val="EndnoteReference"/>
          <w:spacing w:val="-8"/>
          <w:kern w:val="17"/>
          <w:sz w:val="16"/>
          <w:szCs w:val="16"/>
        </w:rPr>
        <w:endnoteRef/>
      </w:r>
      <w:r w:rsidRPr="00607FE4">
        <w:rPr>
          <w:color w:val="000000" w:themeColor="text1"/>
          <w:spacing w:val="-8"/>
          <w:kern w:val="17"/>
          <w:sz w:val="16"/>
          <w:szCs w:val="16"/>
        </w:rPr>
        <w:t xml:space="preserve"> “‘One Belt One Road’ and Gold Enterprises ‘Go Global</w:t>
      </w:r>
      <w:r w:rsidRPr="00607FE4">
        <w:rPr>
          <w:spacing w:val="-8"/>
          <w:kern w:val="17"/>
          <w:sz w:val="16"/>
          <w:szCs w:val="16"/>
        </w:rPr>
        <w:t xml:space="preserve"> [in Chinese]</w:t>
      </w:r>
      <w:r w:rsidRPr="00607FE4">
        <w:rPr>
          <w:color w:val="000000" w:themeColor="text1"/>
          <w:spacing w:val="-8"/>
          <w:kern w:val="17"/>
          <w:sz w:val="16"/>
          <w:szCs w:val="16"/>
        </w:rPr>
        <w:t>,’” Shandong Committee of the Chinese People’s Political Consultative Conference, December 18, 2017,</w:t>
      </w:r>
      <w:r w:rsidRPr="00607FE4" w:rsidDel="00FE7811">
        <w:rPr>
          <w:color w:val="000000" w:themeColor="text1"/>
          <w:spacing w:val="-8"/>
          <w:kern w:val="17"/>
          <w:sz w:val="16"/>
          <w:szCs w:val="16"/>
        </w:rPr>
        <w:t xml:space="preserve"> </w:t>
      </w:r>
      <w:r w:rsidRPr="00607FE4">
        <w:rPr>
          <w:color w:val="000000" w:themeColor="text1"/>
          <w:spacing w:val="-8"/>
          <w:kern w:val="17"/>
          <w:sz w:val="16"/>
          <w:szCs w:val="16"/>
        </w:rPr>
        <w:t>www.sdzx.gov.cn/articles/ch00027/201712/f0e6cec7-93c1-459a-a6b4-f7898e3b8836.shtml.</w:t>
      </w:r>
    </w:p>
  </w:endnote>
  <w:endnote w:id="8">
    <w:p w14:paraId="7729866D" w14:textId="3AC7605C" w:rsidR="00BB6764" w:rsidRPr="00607FE4" w:rsidRDefault="00BB6764" w:rsidP="007F4A6F">
      <w:pPr>
        <w:pStyle w:val="Footnote"/>
        <w:rPr>
          <w:color w:val="000000" w:themeColor="text1"/>
          <w:spacing w:val="-6"/>
          <w:kern w:val="17"/>
          <w:sz w:val="16"/>
          <w:szCs w:val="16"/>
        </w:rPr>
      </w:pPr>
      <w:r w:rsidRPr="00607FE4">
        <w:rPr>
          <w:rStyle w:val="EndnoteReference"/>
          <w:spacing w:val="-6"/>
          <w:kern w:val="17"/>
          <w:sz w:val="16"/>
          <w:szCs w:val="16"/>
        </w:rPr>
        <w:endnoteRef/>
      </w:r>
      <w:r w:rsidRPr="00607FE4">
        <w:rPr>
          <w:color w:val="000000" w:themeColor="text1"/>
          <w:spacing w:val="-6"/>
          <w:kern w:val="17"/>
          <w:sz w:val="16"/>
          <w:szCs w:val="16"/>
        </w:rPr>
        <w:t xml:space="preserve"> “Canada a Global Leader in Mining Exploration, Innovation and Diversity: PwC Report,” PricewaterhouseCoopers, accessed May 8, 2020, www.pwc.com/ca/en/media/release/canada-a-global-leader-mining-exploration-innovation-diversity-pwc-report.html.</w:t>
      </w:r>
    </w:p>
  </w:endnote>
  <w:endnote w:id="9">
    <w:p w14:paraId="0124BF5C" w14:textId="73E1C1B3" w:rsidR="00BB6764" w:rsidRPr="00607FE4" w:rsidRDefault="00BB6764" w:rsidP="007F4A6F">
      <w:pPr>
        <w:pStyle w:val="Footnote"/>
        <w:rPr>
          <w:sz w:val="16"/>
          <w:szCs w:val="16"/>
        </w:rPr>
      </w:pPr>
      <w:r w:rsidRPr="00607FE4">
        <w:rPr>
          <w:rStyle w:val="EndnoteReference"/>
          <w:sz w:val="16"/>
          <w:szCs w:val="16"/>
        </w:rPr>
        <w:endnoteRef/>
      </w:r>
      <w:r w:rsidRPr="00607FE4">
        <w:rPr>
          <w:color w:val="000000" w:themeColor="text1"/>
          <w:sz w:val="16"/>
          <w:szCs w:val="16"/>
        </w:rPr>
        <w:t xml:space="preserve"> “Minerals and the Economy,” Government of Canada, accessed May 8, 2020, www.nrcan.gc.ca/our-natural-resources/minerals-mining/minerals-and-economy/20529.</w:t>
      </w:r>
    </w:p>
  </w:endnote>
  <w:endnote w:id="10">
    <w:p w14:paraId="79CDD5EE" w14:textId="72154122"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“Li Guohong, Chairman of Shandong Gold: Bravely Break into the World’s Top Ten to Maintain the Pace of Internationalization,” op. cit.</w:t>
      </w:r>
    </w:p>
  </w:endnote>
  <w:endnote w:id="11">
    <w:p w14:paraId="6894FD6D" w14:textId="5DAE920C"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Barrick, accessed May 8, 2020, www.barrick.com/English/home/default.aspx. </w:t>
      </w:r>
    </w:p>
  </w:endnote>
  <w:endnote w:id="12">
    <w:p w14:paraId="36CB2E9E" w14:textId="0D25CDB9"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“Register Now,” Prospectors &amp; Developers Association of Canada, accessed May 8, 2020, www.pdac.ca/convention.</w:t>
      </w:r>
    </w:p>
  </w:endnote>
  <w:endnote w:id="13">
    <w:p w14:paraId="2BC82C15" w14:textId="4654D084"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“Canada: Mining Laws and Regulations 2021,” International Comparative Legal Guides, accessed May 8, 2020, https://iclg.com/practice-areas/mining-laws-and-regulations/canada.</w:t>
      </w:r>
    </w:p>
  </w:endnote>
  <w:endnote w:id="14">
    <w:p w14:paraId="394FDC73" w14:textId="2436B6D8"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The right of prospecting refers to the right to prospect for mineral resources within the area specified in the prospecting license obtained according to law. Mining rights refer to the right to mine mineral resources and obtain the mineral products mined within the scope and period stipulated in the legally obtained mining license. “Right of Prospecting,” International Comparative Legal Guides, accessed March 30, 2021, https://iclg.com/practice-areas/mining-laws-and-regulations/canada.</w:t>
      </w:r>
    </w:p>
  </w:endnote>
  <w:endnote w:id="15">
    <w:p w14:paraId="47C8F1CE" w14:textId="5FFCFD3B"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A mining lease is a way to obtain mining rights. The Canadian model is to sign a development agreement (mining lease) between the approved gold mining company and the government. The content of the agreement </w:t>
      </w:r>
      <w:r w:rsidRPr="00607FE4">
        <w:rPr>
          <w:sz w:val="16"/>
          <w:szCs w:val="16"/>
        </w:rPr>
        <w:t xml:space="preserve">is mainly concerned with </w:t>
      </w:r>
      <w:r w:rsidRPr="00607FE4">
        <w:rPr>
          <w:color w:val="000000" w:themeColor="text1"/>
          <w:sz w:val="16"/>
          <w:szCs w:val="16"/>
        </w:rPr>
        <w:t>how long the government allows mining rights holders to mine in this place, the area in square kilomet</w:t>
      </w:r>
      <w:r w:rsidRPr="00607FE4">
        <w:rPr>
          <w:sz w:val="16"/>
          <w:szCs w:val="16"/>
        </w:rPr>
        <w:t xml:space="preserve">res, the depth, the </w:t>
      </w:r>
      <w:r w:rsidRPr="00607FE4">
        <w:rPr>
          <w:color w:val="000000" w:themeColor="text1"/>
          <w:sz w:val="16"/>
          <w:szCs w:val="16"/>
        </w:rPr>
        <w:t>royalty fee paid to the government, and so on. Generally, the mining period is related to the mineral reserves and resources. “Canada: Mining Laws and Regulations 2021,” op. cit.</w:t>
      </w:r>
    </w:p>
  </w:endnote>
  <w:endnote w:id="16">
    <w:p w14:paraId="02F1575D" w14:textId="5A20EC3A"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“Canada: Mining Laws and Regulations 2021,” op. cit.</w:t>
      </w:r>
    </w:p>
  </w:endnote>
  <w:endnote w:id="17">
    <w:p w14:paraId="7FB130FF" w14:textId="38F2190C" w:rsidR="00BB6764" w:rsidRPr="00607FE4" w:rsidRDefault="00BB6764" w:rsidP="007F4A6F">
      <w:pPr>
        <w:pStyle w:val="Footnote"/>
        <w:rPr>
          <w:color w:val="000000" w:themeColor="text1"/>
          <w:spacing w:val="-4"/>
          <w:kern w:val="17"/>
          <w:sz w:val="16"/>
          <w:szCs w:val="16"/>
        </w:rPr>
      </w:pPr>
      <w:r w:rsidRPr="00607FE4">
        <w:rPr>
          <w:rStyle w:val="EndnoteReference"/>
          <w:spacing w:val="-4"/>
          <w:kern w:val="17"/>
          <w:sz w:val="16"/>
          <w:szCs w:val="16"/>
        </w:rPr>
        <w:endnoteRef/>
      </w:r>
      <w:r w:rsidRPr="00607FE4">
        <w:rPr>
          <w:color w:val="000000" w:themeColor="text1"/>
          <w:spacing w:val="-4"/>
          <w:kern w:val="17"/>
          <w:sz w:val="16"/>
          <w:szCs w:val="16"/>
        </w:rPr>
        <w:t xml:space="preserve"> According to Canada’s mining laws and regulations, the review threshold was $428 million (in 2020) in asset value for direct investments by WTO investors that were state-owned enterprises; Adam Kalbfleisch, Kyle Donnelly and Alysha Pannu, “Competition Act and Investment Canada Act Review Thresholds Lowered for 2021,” BennettJones, accessed March 30, 2021, www.bennettjones.com/Blogs-Section/Competition-Act-and-Investment-Canada-Act-Review-Thresholds-Lowered-for-2021.</w:t>
      </w:r>
    </w:p>
  </w:endnote>
  <w:endnote w:id="18">
    <w:p w14:paraId="31376476" w14:textId="5EBA0ABE" w:rsidR="00BB6764" w:rsidRPr="00607FE4" w:rsidRDefault="00BB6764" w:rsidP="007F4A6F">
      <w:pPr>
        <w:pStyle w:val="Footnote"/>
        <w:rPr>
          <w:sz w:val="16"/>
          <w:szCs w:val="16"/>
          <w:lang w:val="en-CA"/>
        </w:rPr>
      </w:pPr>
      <w:r w:rsidRPr="00607FE4">
        <w:rPr>
          <w:rStyle w:val="EndnoteReference"/>
          <w:sz w:val="16"/>
          <w:szCs w:val="16"/>
        </w:rPr>
        <w:endnoteRef/>
      </w:r>
      <w:r w:rsidRPr="00607FE4">
        <w:rPr>
          <w:sz w:val="16"/>
          <w:szCs w:val="16"/>
        </w:rPr>
        <w:t xml:space="preserve"> Jane George, “Western Nunavut Gold Mine Project Gets Review Board’s Final Approval,” Nunatsiaq News, November 13, 2018, accessed March 30, 2021, https://nunatsiaq.com/stories/article/65674western_nunavut_gold_mine_project_gets_review_boards_final_nod</w:t>
      </w:r>
      <w:r w:rsidRPr="00607FE4">
        <w:rPr>
          <w:sz w:val="16"/>
          <w:szCs w:val="16"/>
          <w:lang w:val="en-CA"/>
        </w:rPr>
        <w:t>.</w:t>
      </w:r>
    </w:p>
  </w:endnote>
  <w:endnote w:id="19">
    <w:p w14:paraId="4BB198E8" w14:textId="3AB7A219"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“About Us,” TMAC Resources, accessed May 8, 2020, www.tmacresources.com/Home/default.aspx. </w:t>
      </w:r>
    </w:p>
  </w:endnote>
  <w:endnote w:id="20">
    <w:p w14:paraId="7743C6D5" w14:textId="43B534D7"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TMAC Resources, </w:t>
      </w:r>
      <w:r w:rsidRPr="00607FE4">
        <w:rPr>
          <w:i/>
          <w:iCs/>
          <w:color w:val="000000" w:themeColor="text1"/>
          <w:sz w:val="16"/>
          <w:szCs w:val="16"/>
        </w:rPr>
        <w:t>NI 43-101 Technical Report on the Hope Bay Property, Nunavut, Canada</w:t>
      </w:r>
      <w:r w:rsidRPr="00607FE4">
        <w:rPr>
          <w:color w:val="000000" w:themeColor="text1"/>
          <w:sz w:val="16"/>
          <w:szCs w:val="16"/>
        </w:rPr>
        <w:t xml:space="preserve"> (2020), accessed May 8, 2020, https://s1.q4cdn.com/893791552/files/doc_downloads/2020/04/TMAC-NI-43-101-Final-Report.pdf.</w:t>
      </w:r>
    </w:p>
  </w:endnote>
  <w:endnote w:id="21">
    <w:p w14:paraId="3FE43F16" w14:textId="3C135E83" w:rsidR="00BB6764" w:rsidRPr="00607FE4" w:rsidRDefault="00BB6764" w:rsidP="00FD56A9">
      <w:pPr>
        <w:pStyle w:val="Footnote"/>
        <w:rPr>
          <w:sz w:val="16"/>
          <w:szCs w:val="16"/>
          <w:lang w:val="en-CA"/>
        </w:rPr>
      </w:pPr>
      <w:r w:rsidRPr="00607FE4">
        <w:rPr>
          <w:rStyle w:val="EndnoteReference"/>
          <w:sz w:val="16"/>
          <w:szCs w:val="16"/>
        </w:rPr>
        <w:endnoteRef/>
      </w:r>
      <w:r w:rsidRPr="00607FE4">
        <w:rPr>
          <w:sz w:val="16"/>
          <w:szCs w:val="16"/>
        </w:rPr>
        <w:t xml:space="preserve"> “TMAC Resources Launches Strategic Review,” </w:t>
      </w:r>
      <w:r w:rsidRPr="00607FE4">
        <w:rPr>
          <w:iCs/>
          <w:sz w:val="16"/>
          <w:szCs w:val="16"/>
        </w:rPr>
        <w:t>MINING.com</w:t>
      </w:r>
      <w:r w:rsidRPr="00607FE4">
        <w:rPr>
          <w:sz w:val="16"/>
          <w:szCs w:val="16"/>
        </w:rPr>
        <w:t>, op. cit.</w:t>
      </w:r>
    </w:p>
  </w:endnote>
  <w:endnote w:id="22">
    <w:p w14:paraId="628DB736" w14:textId="05AE86A8" w:rsidR="00BB6764" w:rsidRPr="00607FE4" w:rsidRDefault="00BB6764" w:rsidP="00111DE6">
      <w:pPr>
        <w:pStyle w:val="Footnote"/>
        <w:rPr>
          <w:sz w:val="16"/>
          <w:szCs w:val="16"/>
          <w:lang w:val="en-CA"/>
        </w:rPr>
      </w:pPr>
      <w:r w:rsidRPr="00607FE4">
        <w:rPr>
          <w:rStyle w:val="EndnoteReference"/>
          <w:sz w:val="16"/>
          <w:szCs w:val="16"/>
        </w:rPr>
        <w:endnoteRef/>
      </w:r>
      <w:r w:rsidRPr="00607FE4">
        <w:rPr>
          <w:sz w:val="16"/>
          <w:szCs w:val="16"/>
        </w:rPr>
        <w:t xml:space="preserve"> </w:t>
      </w:r>
      <w:r w:rsidRPr="00607FE4">
        <w:rPr>
          <w:sz w:val="16"/>
          <w:szCs w:val="16"/>
          <w:lang w:val="en-CA"/>
        </w:rPr>
        <w:t xml:space="preserve">Shandong Gold Mining Co., Ltd., </w:t>
      </w:r>
      <w:r w:rsidRPr="00607FE4">
        <w:rPr>
          <w:i/>
          <w:sz w:val="16"/>
          <w:szCs w:val="16"/>
          <w:lang w:val="en-CA"/>
        </w:rPr>
        <w:t>Shandong Gold Mining Co., Ltd. 2020 Third Quarterly Report</w:t>
      </w:r>
      <w:r w:rsidRPr="00607FE4">
        <w:rPr>
          <w:sz w:val="16"/>
          <w:szCs w:val="16"/>
          <w:lang w:val="en-CA"/>
        </w:rPr>
        <w:t>, 2020, accessed May 6, 2021, http://en.sdhjgf.com.cn/upload/file/2020/12/22/6a04e5c9591d485f8626a8f3f4e2d47d.pdf.</w:t>
      </w:r>
    </w:p>
  </w:endnote>
  <w:endnote w:id="23">
    <w:p w14:paraId="0325F7BB" w14:textId="77777777" w:rsidR="00BB6764" w:rsidRPr="00607FE4" w:rsidRDefault="00BB6764" w:rsidP="007F4A6F">
      <w:pPr>
        <w:pStyle w:val="Footnote"/>
        <w:rPr>
          <w:sz w:val="16"/>
          <w:szCs w:val="16"/>
          <w:lang w:val="en-CA"/>
        </w:rPr>
      </w:pPr>
      <w:r w:rsidRPr="00607FE4">
        <w:rPr>
          <w:rStyle w:val="EndnoteReference"/>
          <w:sz w:val="16"/>
          <w:szCs w:val="16"/>
        </w:rPr>
        <w:endnoteRef/>
      </w:r>
      <w:r w:rsidRPr="00607FE4">
        <w:rPr>
          <w:sz w:val="16"/>
          <w:szCs w:val="16"/>
        </w:rPr>
        <w:t xml:space="preserve"> Jason Neal, </w:t>
      </w:r>
      <w:r w:rsidRPr="00607FE4">
        <w:rPr>
          <w:sz w:val="16"/>
          <w:szCs w:val="16"/>
          <w:lang w:val="en-CA"/>
        </w:rPr>
        <w:t>“</w:t>
      </w:r>
      <w:r w:rsidRPr="00607FE4">
        <w:rPr>
          <w:sz w:val="16"/>
          <w:szCs w:val="16"/>
        </w:rPr>
        <w:t>TMAC Resources Revises Credit Facility with Sprott Private Resource Lending,</w:t>
      </w:r>
      <w:r w:rsidRPr="00607FE4">
        <w:rPr>
          <w:sz w:val="16"/>
          <w:szCs w:val="16"/>
          <w:lang w:val="en-CA"/>
        </w:rPr>
        <w:t>”</w:t>
      </w:r>
      <w:r w:rsidRPr="00607FE4">
        <w:rPr>
          <w:sz w:val="16"/>
          <w:szCs w:val="16"/>
        </w:rPr>
        <w:t xml:space="preserve"> Junior Mining Network, accessed March 30, 2021, www.juniorminingnetwork.com/junior-miner-news/press-releases/1727-tsx/tmr/34341-tmac-resources-revises-credit-facility-with-sprott-private-resource-lending.html</w:t>
      </w:r>
      <w:r w:rsidRPr="00607FE4">
        <w:rPr>
          <w:sz w:val="16"/>
          <w:szCs w:val="16"/>
          <w:lang w:val="en-CA"/>
        </w:rPr>
        <w:t>.</w:t>
      </w:r>
    </w:p>
  </w:endnote>
  <w:endnote w:id="24">
    <w:p w14:paraId="1101656B" w14:textId="1E5E080C" w:rsidR="00BB6764" w:rsidRPr="00607FE4" w:rsidRDefault="00BB6764" w:rsidP="000A32F0">
      <w:pPr>
        <w:pStyle w:val="Footnote"/>
        <w:rPr>
          <w:spacing w:val="-6"/>
          <w:kern w:val="17"/>
          <w:sz w:val="16"/>
          <w:szCs w:val="16"/>
          <w:lang w:val="en-CA"/>
        </w:rPr>
      </w:pPr>
      <w:r w:rsidRPr="00607FE4">
        <w:rPr>
          <w:rStyle w:val="EndnoteReference"/>
          <w:spacing w:val="-6"/>
          <w:kern w:val="17"/>
          <w:sz w:val="16"/>
          <w:szCs w:val="16"/>
        </w:rPr>
        <w:endnoteRef/>
      </w:r>
      <w:r w:rsidRPr="00607FE4">
        <w:rPr>
          <w:spacing w:val="-6"/>
          <w:kern w:val="17"/>
          <w:sz w:val="16"/>
          <w:szCs w:val="16"/>
        </w:rPr>
        <w:t xml:space="preserve"> </w:t>
      </w:r>
      <w:r w:rsidRPr="00607FE4">
        <w:rPr>
          <w:spacing w:val="-6"/>
          <w:kern w:val="17"/>
          <w:sz w:val="16"/>
          <w:szCs w:val="16"/>
          <w:lang w:val="en-CA"/>
        </w:rPr>
        <w:t xml:space="preserve">“TMAC Provides Transaction Update and Notice to Shareholders,” </w:t>
      </w:r>
      <w:r w:rsidRPr="00607FE4">
        <w:rPr>
          <w:i/>
          <w:iCs/>
          <w:spacing w:val="-6"/>
          <w:kern w:val="17"/>
          <w:sz w:val="16"/>
          <w:szCs w:val="16"/>
          <w:lang w:val="en-CA"/>
        </w:rPr>
        <w:t>businesswire</w:t>
      </w:r>
      <w:r w:rsidRPr="00607FE4">
        <w:rPr>
          <w:spacing w:val="-6"/>
          <w:kern w:val="17"/>
          <w:sz w:val="16"/>
          <w:szCs w:val="16"/>
          <w:lang w:val="en-CA"/>
        </w:rPr>
        <w:t>, January 8, 2021,</w:t>
      </w:r>
      <w:r w:rsidRPr="00607FE4">
        <w:rPr>
          <w:spacing w:val="-6"/>
          <w:kern w:val="17"/>
          <w:sz w:val="16"/>
          <w:szCs w:val="16"/>
        </w:rPr>
        <w:t xml:space="preserve"> accessed April 20, 2021, </w:t>
      </w:r>
      <w:r w:rsidRPr="00607FE4">
        <w:rPr>
          <w:spacing w:val="-6"/>
          <w:kern w:val="17"/>
          <w:sz w:val="16"/>
          <w:szCs w:val="16"/>
          <w:lang w:val="en-CA"/>
        </w:rPr>
        <w:t>https://www.businesswire.com/news/home/20210108005107/en/TMAC-Provides-Transaction-Update-and-Notice-to-Shareholders.</w:t>
      </w:r>
    </w:p>
  </w:endnote>
  <w:endnote w:id="25">
    <w:p w14:paraId="6769AF9A" w14:textId="18676D3C" w:rsidR="00BB6764" w:rsidRPr="00607FE4" w:rsidRDefault="00BB6764" w:rsidP="008D4B50">
      <w:pPr>
        <w:pStyle w:val="Footnote"/>
        <w:rPr>
          <w:sz w:val="16"/>
          <w:szCs w:val="16"/>
          <w:lang w:val="en-CA"/>
        </w:rPr>
      </w:pPr>
      <w:r w:rsidRPr="00607FE4">
        <w:rPr>
          <w:rStyle w:val="EndnoteReference"/>
          <w:sz w:val="16"/>
          <w:szCs w:val="16"/>
        </w:rPr>
        <w:endnoteRef/>
      </w:r>
      <w:r w:rsidRPr="00607FE4">
        <w:rPr>
          <w:sz w:val="16"/>
          <w:szCs w:val="16"/>
        </w:rPr>
        <w:t xml:space="preserve"> </w:t>
      </w:r>
      <w:r w:rsidRPr="00607FE4">
        <w:rPr>
          <w:sz w:val="16"/>
          <w:szCs w:val="16"/>
          <w:lang w:val="en-CA"/>
        </w:rPr>
        <w:t xml:space="preserve">TMAC Resources, </w:t>
      </w:r>
      <w:r w:rsidRPr="00607FE4">
        <w:rPr>
          <w:i/>
          <w:iCs/>
          <w:sz w:val="16"/>
          <w:szCs w:val="16"/>
          <w:lang w:val="en-CA"/>
        </w:rPr>
        <w:t>TMAC Resources, KIA and NTI Sign Landmark Land Tenure Agreements for the Hope Bay Belt, Nunavut</w:t>
      </w:r>
      <w:r w:rsidRPr="00607FE4">
        <w:rPr>
          <w:sz w:val="16"/>
          <w:szCs w:val="16"/>
          <w:lang w:val="en-CA"/>
        </w:rPr>
        <w:t>, accessed April 20, 2021,</w:t>
      </w:r>
      <w:r w:rsidRPr="00607FE4">
        <w:rPr>
          <w:sz w:val="16"/>
          <w:szCs w:val="16"/>
        </w:rPr>
        <w:t xml:space="preserve"> </w:t>
      </w:r>
      <w:r w:rsidRPr="00607FE4">
        <w:rPr>
          <w:sz w:val="16"/>
          <w:szCs w:val="16"/>
          <w:lang w:val="en-CA"/>
        </w:rPr>
        <w:t>http://s1.q4cdn.com/893791552/files/doc_news/2015/TMAC-Resources-KIA-and-NTI-Sign-Landmark-Land-Tenure-Agreements-for-the-Hope-Bay-Belt-Nunavut.pdf</w:t>
      </w:r>
    </w:p>
  </w:endnote>
  <w:endnote w:id="26">
    <w:p w14:paraId="03D78435" w14:textId="4E1DA194" w:rsidR="00BB6764" w:rsidRPr="00607FE4" w:rsidRDefault="00BB6764" w:rsidP="002952BE">
      <w:pPr>
        <w:pStyle w:val="Footnote"/>
        <w:rPr>
          <w:sz w:val="16"/>
          <w:szCs w:val="16"/>
          <w:lang w:val="en-CA"/>
        </w:rPr>
      </w:pPr>
      <w:r w:rsidRPr="00607FE4">
        <w:rPr>
          <w:rStyle w:val="EndnoteReference"/>
          <w:sz w:val="16"/>
          <w:szCs w:val="16"/>
        </w:rPr>
        <w:endnoteRef/>
      </w:r>
      <w:r w:rsidRPr="00607FE4">
        <w:rPr>
          <w:sz w:val="16"/>
          <w:szCs w:val="16"/>
        </w:rPr>
        <w:t xml:space="preserve"> “TMAC Resources Launches Strategic Review,” </w:t>
      </w:r>
      <w:r w:rsidRPr="00607FE4">
        <w:rPr>
          <w:iCs/>
          <w:sz w:val="16"/>
          <w:szCs w:val="16"/>
        </w:rPr>
        <w:t>MINING.com</w:t>
      </w:r>
      <w:r w:rsidRPr="00607FE4">
        <w:rPr>
          <w:sz w:val="16"/>
          <w:szCs w:val="16"/>
        </w:rPr>
        <w:t>, op. cit.</w:t>
      </w:r>
    </w:p>
  </w:endnote>
  <w:endnote w:id="27">
    <w:p w14:paraId="7E2FCF50" w14:textId="6C104C8D" w:rsidR="00BB6764" w:rsidRPr="00607FE4" w:rsidRDefault="00BB6764" w:rsidP="007F4A6F">
      <w:pPr>
        <w:pStyle w:val="Footnote"/>
        <w:rPr>
          <w:sz w:val="16"/>
          <w:szCs w:val="16"/>
        </w:rPr>
      </w:pPr>
      <w:r w:rsidRPr="00607FE4">
        <w:rPr>
          <w:rStyle w:val="EndnoteReference"/>
          <w:sz w:val="16"/>
          <w:szCs w:val="16"/>
        </w:rPr>
        <w:endnoteRef/>
      </w:r>
      <w:r w:rsidRPr="00607FE4">
        <w:rPr>
          <w:sz w:val="16"/>
          <w:szCs w:val="16"/>
        </w:rPr>
        <w:t xml:space="preserve"> Marieke Walsh, Sean Silcoff, and Michelle Carbert, “Canada Tightens Foreign Investment Scrutiny, Citing Economic Impact of COVID-19,” </w:t>
      </w:r>
      <w:r w:rsidRPr="00607FE4">
        <w:rPr>
          <w:i/>
          <w:iCs/>
          <w:sz w:val="16"/>
          <w:szCs w:val="16"/>
        </w:rPr>
        <w:t>The Globe and Mail</w:t>
      </w:r>
      <w:r w:rsidRPr="00607FE4">
        <w:rPr>
          <w:sz w:val="16"/>
          <w:szCs w:val="16"/>
        </w:rPr>
        <w:t>, April 19, 2020, accessed February 10, 2021, www.theglobeandmail.com/canada/article-canada-tightens-foreign-investment-scrutiny-citing-economic-impact-of.</w:t>
      </w:r>
    </w:p>
  </w:endnote>
  <w:endnote w:id="28">
    <w:p w14:paraId="0B312CAC" w14:textId="7F4D68F2" w:rsidR="00BB6764" w:rsidRPr="00607FE4" w:rsidRDefault="00BB6764" w:rsidP="007F4A6F">
      <w:pPr>
        <w:pStyle w:val="Footnote"/>
        <w:rPr>
          <w:color w:val="000000" w:themeColor="text1"/>
          <w:sz w:val="16"/>
          <w:szCs w:val="16"/>
        </w:rPr>
      </w:pPr>
      <w:r w:rsidRPr="00607FE4">
        <w:rPr>
          <w:rStyle w:val="EndnoteReference"/>
          <w:sz w:val="16"/>
          <w:szCs w:val="16"/>
        </w:rPr>
        <w:endnoteRef/>
      </w:r>
      <w:r w:rsidRPr="00607FE4">
        <w:rPr>
          <w:color w:val="000000" w:themeColor="text1"/>
          <w:sz w:val="16"/>
          <w:szCs w:val="16"/>
        </w:rPr>
        <w:t xml:space="preserve"> “Canada: Mining Laws and Regulations 2021,” op. cit.</w:t>
      </w:r>
    </w:p>
  </w:endnote>
  <w:endnote w:id="29">
    <w:p w14:paraId="3651ABBA" w14:textId="0125DA07" w:rsidR="00BB6764" w:rsidRPr="00607FE4" w:rsidRDefault="00BB6764" w:rsidP="006E0640">
      <w:pPr>
        <w:pStyle w:val="Footnote"/>
        <w:rPr>
          <w:sz w:val="16"/>
          <w:szCs w:val="16"/>
          <w:lang w:val="en-CA"/>
        </w:rPr>
      </w:pPr>
      <w:r w:rsidRPr="00607FE4">
        <w:rPr>
          <w:rStyle w:val="EndnoteReference"/>
          <w:sz w:val="16"/>
          <w:szCs w:val="16"/>
        </w:rPr>
        <w:endnoteRef/>
      </w:r>
      <w:r w:rsidRPr="00607FE4">
        <w:rPr>
          <w:sz w:val="16"/>
          <w:szCs w:val="16"/>
        </w:rPr>
        <w:t xml:space="preserve"> “Appendix B” in U.S. Congress, Office of Technology Assessment, </w:t>
      </w:r>
      <w:r w:rsidRPr="00607FE4">
        <w:rPr>
          <w:i/>
          <w:iCs/>
          <w:sz w:val="16"/>
          <w:szCs w:val="16"/>
        </w:rPr>
        <w:t>Polar Prospects: A Minerals Treaty for Antarctica,</w:t>
      </w:r>
      <w:r w:rsidRPr="00607FE4">
        <w:rPr>
          <w:sz w:val="16"/>
          <w:szCs w:val="16"/>
        </w:rPr>
        <w:t xml:space="preserve"> OTA-O-428 (Washington, DC: U.S. Government Printing Office, September 1989), accessed April 20, 2021,</w:t>
      </w:r>
      <w:r w:rsidRPr="00607FE4">
        <w:rPr>
          <w:i/>
          <w:iCs/>
          <w:sz w:val="16"/>
          <w:szCs w:val="16"/>
        </w:rPr>
        <w:t xml:space="preserve"> </w:t>
      </w:r>
      <w:r w:rsidRPr="00607FE4">
        <w:rPr>
          <w:sz w:val="16"/>
          <w:szCs w:val="16"/>
          <w:lang w:val="en-CA"/>
        </w:rPr>
        <w:t>https://www.princeton.edu/~ota/disk1/1989/8926/892609.pdf.</w:t>
      </w:r>
    </w:p>
  </w:endnote>
  <w:endnote w:id="30">
    <w:p w14:paraId="0A462B1F" w14:textId="30E82EF3" w:rsidR="00BB6764" w:rsidRPr="00607FE4" w:rsidRDefault="00BB6764" w:rsidP="006E0640">
      <w:pPr>
        <w:pStyle w:val="Footnote"/>
        <w:rPr>
          <w:sz w:val="16"/>
          <w:szCs w:val="16"/>
          <w:lang w:val="en-CA"/>
        </w:rPr>
      </w:pPr>
      <w:r w:rsidRPr="00607FE4">
        <w:rPr>
          <w:rStyle w:val="EndnoteReference"/>
          <w:sz w:val="16"/>
          <w:szCs w:val="16"/>
        </w:rPr>
        <w:endnoteRef/>
      </w:r>
      <w:r w:rsidRPr="00607FE4">
        <w:rPr>
          <w:sz w:val="16"/>
          <w:szCs w:val="16"/>
        </w:rPr>
        <w:t xml:space="preserve"> “Cultural Differences: Chinese vs Western Work Culture,” </w:t>
      </w:r>
      <w:r w:rsidRPr="00607FE4">
        <w:rPr>
          <w:i/>
          <w:iCs/>
          <w:sz w:val="16"/>
          <w:szCs w:val="16"/>
        </w:rPr>
        <w:t>Diary of a Mad Chaos</w:t>
      </w:r>
      <w:r w:rsidRPr="00607FE4">
        <w:rPr>
          <w:sz w:val="16"/>
          <w:szCs w:val="16"/>
        </w:rPr>
        <w:t>, November 15, 2017, accessed April 20, 2021,</w:t>
      </w:r>
      <w:r w:rsidRPr="00607FE4">
        <w:rPr>
          <w:i/>
          <w:iCs/>
          <w:sz w:val="16"/>
          <w:szCs w:val="16"/>
        </w:rPr>
        <w:t xml:space="preserve"> </w:t>
      </w:r>
      <w:r w:rsidRPr="00607FE4">
        <w:rPr>
          <w:sz w:val="16"/>
          <w:szCs w:val="16"/>
        </w:rPr>
        <w:t>https://www.eleninovski.com/2017/11/cultural-differences-chinese-vs-western-work-culture/.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0AA04" w14:textId="77777777" w:rsidR="00BB6764" w:rsidRDefault="00BB6764" w:rsidP="00D75295">
      <w:r>
        <w:separator/>
      </w:r>
    </w:p>
  </w:footnote>
  <w:footnote w:type="continuationSeparator" w:id="0">
    <w:p w14:paraId="081EED5A" w14:textId="77777777" w:rsidR="00BB6764" w:rsidRDefault="00BB676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E3EEFE9" w:rsidR="00BB6764" w:rsidRPr="00C92CC4" w:rsidRDefault="00BB676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r>
    <w:r w:rsidR="00BC353D">
      <w:rPr>
        <w:rFonts w:ascii="Arial" w:hAnsi="Arial"/>
        <w:b/>
      </w:rPr>
      <w:t>9B21M059</w:t>
    </w:r>
  </w:p>
  <w:p w14:paraId="2B53C0A0" w14:textId="77777777" w:rsidR="00BB6764" w:rsidRDefault="00BB6764" w:rsidP="00D13667">
    <w:pPr>
      <w:pStyle w:val="Header"/>
      <w:tabs>
        <w:tab w:val="clear" w:pos="4680"/>
      </w:tabs>
      <w:rPr>
        <w:sz w:val="18"/>
        <w:szCs w:val="18"/>
      </w:rPr>
    </w:pPr>
  </w:p>
  <w:p w14:paraId="47119730" w14:textId="77777777" w:rsidR="00BB6764" w:rsidRPr="00C92CC4" w:rsidRDefault="00BB676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6EF7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783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0642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BEF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E859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E837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001E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C277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24D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68A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93F2B"/>
    <w:multiLevelType w:val="hybridMultilevel"/>
    <w:tmpl w:val="7046C3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240EFA"/>
    <w:multiLevelType w:val="hybridMultilevel"/>
    <w:tmpl w:val="604483A0"/>
    <w:lvl w:ilvl="0" w:tplc="A322D83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85E27AB"/>
    <w:multiLevelType w:val="hybridMultilevel"/>
    <w:tmpl w:val="FFB6A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B9B6351"/>
    <w:multiLevelType w:val="hybridMultilevel"/>
    <w:tmpl w:val="AAD0641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D330823"/>
    <w:multiLevelType w:val="hybridMultilevel"/>
    <w:tmpl w:val="D4545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04C581C"/>
    <w:multiLevelType w:val="hybridMultilevel"/>
    <w:tmpl w:val="F6FA86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11BA3480"/>
    <w:multiLevelType w:val="hybridMultilevel"/>
    <w:tmpl w:val="9C8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9B0B38"/>
    <w:multiLevelType w:val="hybridMultilevel"/>
    <w:tmpl w:val="41EA3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87876E0"/>
    <w:multiLevelType w:val="hybridMultilevel"/>
    <w:tmpl w:val="01C4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26ADA"/>
    <w:multiLevelType w:val="hybridMultilevel"/>
    <w:tmpl w:val="E502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A142E"/>
    <w:multiLevelType w:val="hybridMultilevel"/>
    <w:tmpl w:val="DB8C148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BAE692A"/>
    <w:multiLevelType w:val="hybridMultilevel"/>
    <w:tmpl w:val="54E8C816"/>
    <w:lvl w:ilvl="0" w:tplc="A9E8D808">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48378F"/>
    <w:multiLevelType w:val="hybridMultilevel"/>
    <w:tmpl w:val="5F54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D26DE"/>
    <w:multiLevelType w:val="hybridMultilevel"/>
    <w:tmpl w:val="AF2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5F067C"/>
    <w:multiLevelType w:val="hybridMultilevel"/>
    <w:tmpl w:val="D49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0F5091"/>
    <w:multiLevelType w:val="hybridMultilevel"/>
    <w:tmpl w:val="2B10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095328"/>
    <w:multiLevelType w:val="hybridMultilevel"/>
    <w:tmpl w:val="92C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147A2A"/>
    <w:multiLevelType w:val="hybridMultilevel"/>
    <w:tmpl w:val="769224E2"/>
    <w:lvl w:ilvl="0" w:tplc="A546DC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F53F20"/>
    <w:multiLevelType w:val="hybridMultilevel"/>
    <w:tmpl w:val="507C233E"/>
    <w:lvl w:ilvl="0" w:tplc="7AB61A78">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656C15"/>
    <w:multiLevelType w:val="hybridMultilevel"/>
    <w:tmpl w:val="B428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740B6C"/>
    <w:multiLevelType w:val="hybridMultilevel"/>
    <w:tmpl w:val="6CCEA318"/>
    <w:lvl w:ilvl="0" w:tplc="32D80F12">
      <w:start w:val="1"/>
      <w:numFmt w:val="decimal"/>
      <w:lvlText w:val="%1)"/>
      <w:lvlJc w:val="left"/>
      <w:pPr>
        <w:ind w:left="644" w:hanging="360"/>
      </w:pPr>
      <w:rPr>
        <w:rFonts w:hint="default"/>
        <w:u w:val="none"/>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C05AB"/>
    <w:multiLevelType w:val="hybridMultilevel"/>
    <w:tmpl w:val="0E4246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DC7323A"/>
    <w:multiLevelType w:val="hybridMultilevel"/>
    <w:tmpl w:val="1CBA936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3F83B23"/>
    <w:multiLevelType w:val="hybridMultilevel"/>
    <w:tmpl w:val="DC100A54"/>
    <w:lvl w:ilvl="0" w:tplc="F238E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E67036"/>
    <w:multiLevelType w:val="hybridMultilevel"/>
    <w:tmpl w:val="FD5E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B129DA"/>
    <w:multiLevelType w:val="hybridMultilevel"/>
    <w:tmpl w:val="A32A0AD0"/>
    <w:lvl w:ilvl="0" w:tplc="7B7EF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34"/>
  </w:num>
  <w:num w:numId="3">
    <w:abstractNumId w:val="30"/>
  </w:num>
  <w:num w:numId="4">
    <w:abstractNumId w:val="45"/>
  </w:num>
  <w:num w:numId="5">
    <w:abstractNumId w:val="31"/>
  </w:num>
  <w:num w:numId="6">
    <w:abstractNumId w:val="38"/>
  </w:num>
  <w:num w:numId="7">
    <w:abstractNumId w:val="18"/>
  </w:num>
  <w:num w:numId="8">
    <w:abstractNumId w:val="47"/>
  </w:num>
  <w:num w:numId="9">
    <w:abstractNumId w:val="39"/>
  </w:num>
  <w:num w:numId="10">
    <w:abstractNumId w:val="24"/>
  </w:num>
  <w:num w:numId="11">
    <w:abstractNumId w:val="36"/>
  </w:num>
  <w:num w:numId="12">
    <w:abstractNumId w:val="37"/>
  </w:num>
  <w:num w:numId="13">
    <w:abstractNumId w:val="22"/>
  </w:num>
  <w:num w:numId="14">
    <w:abstractNumId w:val="10"/>
  </w:num>
  <w:num w:numId="15">
    <w:abstractNumId w:val="19"/>
  </w:num>
  <w:num w:numId="16">
    <w:abstractNumId w:val="26"/>
  </w:num>
  <w:num w:numId="17">
    <w:abstractNumId w:val="16"/>
  </w:num>
  <w:num w:numId="18">
    <w:abstractNumId w:val="28"/>
  </w:num>
  <w:num w:numId="19">
    <w:abstractNumId w:val="25"/>
  </w:num>
  <w:num w:numId="20">
    <w:abstractNumId w:val="43"/>
  </w:num>
  <w:num w:numId="21">
    <w:abstractNumId w:val="33"/>
  </w:num>
  <w:num w:numId="22">
    <w:abstractNumId w:val="20"/>
  </w:num>
  <w:num w:numId="23">
    <w:abstractNumId w:val="27"/>
  </w:num>
  <w:num w:numId="24">
    <w:abstractNumId w:val="23"/>
  </w:num>
  <w:num w:numId="25">
    <w:abstractNumId w:val="12"/>
  </w:num>
  <w:num w:numId="26">
    <w:abstractNumId w:val="21"/>
  </w:num>
  <w:num w:numId="27">
    <w:abstractNumId w:val="32"/>
  </w:num>
  <w:num w:numId="28">
    <w:abstractNumId w:val="42"/>
  </w:num>
  <w:num w:numId="29">
    <w:abstractNumId w:val="14"/>
  </w:num>
  <w:num w:numId="30">
    <w:abstractNumId w:val="40"/>
  </w:num>
  <w:num w:numId="31">
    <w:abstractNumId w:val="35"/>
  </w:num>
  <w:num w:numId="32">
    <w:abstractNumId w:val="44"/>
  </w:num>
  <w:num w:numId="33">
    <w:abstractNumId w:val="17"/>
  </w:num>
  <w:num w:numId="34">
    <w:abstractNumId w:val="13"/>
  </w:num>
  <w:num w:numId="35">
    <w:abstractNumId w:val="41"/>
  </w:num>
  <w:num w:numId="36">
    <w:abstractNumId w:val="15"/>
  </w:num>
  <w:num w:numId="37">
    <w:abstractNumId w:val="29"/>
  </w:num>
  <w:num w:numId="38">
    <w:abstractNumId w:val="11"/>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08D7"/>
    <w:rsid w:val="00013360"/>
    <w:rsid w:val="00016759"/>
    <w:rsid w:val="000216CE"/>
    <w:rsid w:val="00024ED4"/>
    <w:rsid w:val="00025DC7"/>
    <w:rsid w:val="00030029"/>
    <w:rsid w:val="000345E1"/>
    <w:rsid w:val="00035F09"/>
    <w:rsid w:val="00044ECC"/>
    <w:rsid w:val="00050E72"/>
    <w:rsid w:val="000531D3"/>
    <w:rsid w:val="0005646B"/>
    <w:rsid w:val="000615D1"/>
    <w:rsid w:val="0008102D"/>
    <w:rsid w:val="00082A17"/>
    <w:rsid w:val="00086B26"/>
    <w:rsid w:val="00087A1E"/>
    <w:rsid w:val="00093D97"/>
    <w:rsid w:val="00094C0E"/>
    <w:rsid w:val="000A146D"/>
    <w:rsid w:val="000A32F0"/>
    <w:rsid w:val="000A506E"/>
    <w:rsid w:val="000C5A93"/>
    <w:rsid w:val="000D28D7"/>
    <w:rsid w:val="000D2A2F"/>
    <w:rsid w:val="000D54CF"/>
    <w:rsid w:val="000D7091"/>
    <w:rsid w:val="000F0C22"/>
    <w:rsid w:val="000F140E"/>
    <w:rsid w:val="000F19D2"/>
    <w:rsid w:val="000F6B09"/>
    <w:rsid w:val="000F6FDC"/>
    <w:rsid w:val="001018C0"/>
    <w:rsid w:val="00101938"/>
    <w:rsid w:val="00104567"/>
    <w:rsid w:val="00104916"/>
    <w:rsid w:val="00104AA7"/>
    <w:rsid w:val="001057C6"/>
    <w:rsid w:val="00111DE6"/>
    <w:rsid w:val="00112919"/>
    <w:rsid w:val="00116609"/>
    <w:rsid w:val="0012732D"/>
    <w:rsid w:val="00143F25"/>
    <w:rsid w:val="0014481D"/>
    <w:rsid w:val="0014713A"/>
    <w:rsid w:val="00147EBB"/>
    <w:rsid w:val="00152682"/>
    <w:rsid w:val="00154FC9"/>
    <w:rsid w:val="00155035"/>
    <w:rsid w:val="0017095C"/>
    <w:rsid w:val="00173CB0"/>
    <w:rsid w:val="00186E8F"/>
    <w:rsid w:val="001901C0"/>
    <w:rsid w:val="001903D5"/>
    <w:rsid w:val="0019241A"/>
    <w:rsid w:val="00192A18"/>
    <w:rsid w:val="00196AC9"/>
    <w:rsid w:val="001A22D1"/>
    <w:rsid w:val="001A56C8"/>
    <w:rsid w:val="001A752D"/>
    <w:rsid w:val="001A757E"/>
    <w:rsid w:val="001B5032"/>
    <w:rsid w:val="001B534E"/>
    <w:rsid w:val="001C64F6"/>
    <w:rsid w:val="001C7777"/>
    <w:rsid w:val="001D344B"/>
    <w:rsid w:val="001E10C0"/>
    <w:rsid w:val="001E364F"/>
    <w:rsid w:val="001E39E7"/>
    <w:rsid w:val="001F4222"/>
    <w:rsid w:val="00203AA1"/>
    <w:rsid w:val="00207993"/>
    <w:rsid w:val="00213E98"/>
    <w:rsid w:val="00225AD4"/>
    <w:rsid w:val="00230150"/>
    <w:rsid w:val="0023081A"/>
    <w:rsid w:val="00231655"/>
    <w:rsid w:val="00233111"/>
    <w:rsid w:val="0024579C"/>
    <w:rsid w:val="00265FA8"/>
    <w:rsid w:val="0026743C"/>
    <w:rsid w:val="00272D20"/>
    <w:rsid w:val="002952BE"/>
    <w:rsid w:val="00296E4A"/>
    <w:rsid w:val="00297BA7"/>
    <w:rsid w:val="002A370F"/>
    <w:rsid w:val="002B40FF"/>
    <w:rsid w:val="002B4996"/>
    <w:rsid w:val="002B5E7A"/>
    <w:rsid w:val="002B6AAF"/>
    <w:rsid w:val="002C3428"/>
    <w:rsid w:val="002C4E29"/>
    <w:rsid w:val="002D33DD"/>
    <w:rsid w:val="002D426C"/>
    <w:rsid w:val="002F2687"/>
    <w:rsid w:val="002F2F3F"/>
    <w:rsid w:val="002F40DE"/>
    <w:rsid w:val="002F460C"/>
    <w:rsid w:val="002F48D6"/>
    <w:rsid w:val="002F7E00"/>
    <w:rsid w:val="00304FA9"/>
    <w:rsid w:val="003103DE"/>
    <w:rsid w:val="003136CA"/>
    <w:rsid w:val="00317391"/>
    <w:rsid w:val="00326216"/>
    <w:rsid w:val="00327780"/>
    <w:rsid w:val="00336580"/>
    <w:rsid w:val="00343045"/>
    <w:rsid w:val="00344907"/>
    <w:rsid w:val="0035020B"/>
    <w:rsid w:val="00354899"/>
    <w:rsid w:val="00355FD6"/>
    <w:rsid w:val="003619CC"/>
    <w:rsid w:val="00364A5C"/>
    <w:rsid w:val="00373FB1"/>
    <w:rsid w:val="003744BB"/>
    <w:rsid w:val="003809C2"/>
    <w:rsid w:val="00396C76"/>
    <w:rsid w:val="003A2116"/>
    <w:rsid w:val="003A5366"/>
    <w:rsid w:val="003B2871"/>
    <w:rsid w:val="003B30D8"/>
    <w:rsid w:val="003B7EF2"/>
    <w:rsid w:val="003C00CA"/>
    <w:rsid w:val="003C1FBE"/>
    <w:rsid w:val="003C3FA4"/>
    <w:rsid w:val="003D0BA1"/>
    <w:rsid w:val="003D62C5"/>
    <w:rsid w:val="003F2B0C"/>
    <w:rsid w:val="00400D62"/>
    <w:rsid w:val="00405BEB"/>
    <w:rsid w:val="004105B2"/>
    <w:rsid w:val="0041145A"/>
    <w:rsid w:val="00412900"/>
    <w:rsid w:val="00417A86"/>
    <w:rsid w:val="004221E4"/>
    <w:rsid w:val="00422804"/>
    <w:rsid w:val="004273F8"/>
    <w:rsid w:val="004318AB"/>
    <w:rsid w:val="004355A3"/>
    <w:rsid w:val="00446546"/>
    <w:rsid w:val="00451A5D"/>
    <w:rsid w:val="00452769"/>
    <w:rsid w:val="00452BAF"/>
    <w:rsid w:val="00453D82"/>
    <w:rsid w:val="00454FA7"/>
    <w:rsid w:val="00462981"/>
    <w:rsid w:val="00465348"/>
    <w:rsid w:val="00465CE1"/>
    <w:rsid w:val="00483399"/>
    <w:rsid w:val="00497348"/>
    <w:rsid w:val="004979A5"/>
    <w:rsid w:val="004A25E0"/>
    <w:rsid w:val="004A72B8"/>
    <w:rsid w:val="004B1CCB"/>
    <w:rsid w:val="004B5A87"/>
    <w:rsid w:val="004B632F"/>
    <w:rsid w:val="004D3C83"/>
    <w:rsid w:val="004D3FB1"/>
    <w:rsid w:val="004D4CC7"/>
    <w:rsid w:val="004D6F21"/>
    <w:rsid w:val="004D73A5"/>
    <w:rsid w:val="005160F1"/>
    <w:rsid w:val="005249EB"/>
    <w:rsid w:val="00524F2F"/>
    <w:rsid w:val="00527E5C"/>
    <w:rsid w:val="00532CF5"/>
    <w:rsid w:val="005353F4"/>
    <w:rsid w:val="00551715"/>
    <w:rsid w:val="005528CB"/>
    <w:rsid w:val="0055679B"/>
    <w:rsid w:val="00566771"/>
    <w:rsid w:val="00573378"/>
    <w:rsid w:val="00581E2E"/>
    <w:rsid w:val="00582B5C"/>
    <w:rsid w:val="00583630"/>
    <w:rsid w:val="00584141"/>
    <w:rsid w:val="00584F15"/>
    <w:rsid w:val="00591DC5"/>
    <w:rsid w:val="00593D76"/>
    <w:rsid w:val="0059514B"/>
    <w:rsid w:val="005A1B0F"/>
    <w:rsid w:val="005B4CE6"/>
    <w:rsid w:val="005B4FC7"/>
    <w:rsid w:val="005B5EB2"/>
    <w:rsid w:val="005B5EFE"/>
    <w:rsid w:val="005B5F14"/>
    <w:rsid w:val="005C4994"/>
    <w:rsid w:val="005D74A1"/>
    <w:rsid w:val="005D770F"/>
    <w:rsid w:val="005E5AEF"/>
    <w:rsid w:val="005F14C5"/>
    <w:rsid w:val="005F29C9"/>
    <w:rsid w:val="00605BC4"/>
    <w:rsid w:val="00607FE4"/>
    <w:rsid w:val="006163F7"/>
    <w:rsid w:val="006177CC"/>
    <w:rsid w:val="00620FBA"/>
    <w:rsid w:val="00627C63"/>
    <w:rsid w:val="0063350B"/>
    <w:rsid w:val="0065158E"/>
    <w:rsid w:val="00652606"/>
    <w:rsid w:val="00653E1E"/>
    <w:rsid w:val="006666BA"/>
    <w:rsid w:val="006672BB"/>
    <w:rsid w:val="00671C80"/>
    <w:rsid w:val="00687C1F"/>
    <w:rsid w:val="006946EE"/>
    <w:rsid w:val="006A58A9"/>
    <w:rsid w:val="006A599F"/>
    <w:rsid w:val="006A606D"/>
    <w:rsid w:val="006C0371"/>
    <w:rsid w:val="006C08B6"/>
    <w:rsid w:val="006C0B1A"/>
    <w:rsid w:val="006C6065"/>
    <w:rsid w:val="006C7F9F"/>
    <w:rsid w:val="006E0640"/>
    <w:rsid w:val="006E150D"/>
    <w:rsid w:val="006E2F6D"/>
    <w:rsid w:val="006E58F6"/>
    <w:rsid w:val="006E77E1"/>
    <w:rsid w:val="006F131D"/>
    <w:rsid w:val="00702922"/>
    <w:rsid w:val="00710FFD"/>
    <w:rsid w:val="00711642"/>
    <w:rsid w:val="00716B73"/>
    <w:rsid w:val="00745D9C"/>
    <w:rsid w:val="007507C6"/>
    <w:rsid w:val="00751E0B"/>
    <w:rsid w:val="00752BCD"/>
    <w:rsid w:val="00763C8A"/>
    <w:rsid w:val="00766DA1"/>
    <w:rsid w:val="007674A6"/>
    <w:rsid w:val="00767CD3"/>
    <w:rsid w:val="0077480A"/>
    <w:rsid w:val="00775F47"/>
    <w:rsid w:val="00780D94"/>
    <w:rsid w:val="007826F0"/>
    <w:rsid w:val="00782A64"/>
    <w:rsid w:val="007866A6"/>
    <w:rsid w:val="0079172F"/>
    <w:rsid w:val="00792B9F"/>
    <w:rsid w:val="007A0BF5"/>
    <w:rsid w:val="007A130D"/>
    <w:rsid w:val="007A47C4"/>
    <w:rsid w:val="007B4F00"/>
    <w:rsid w:val="007C0823"/>
    <w:rsid w:val="007D1A2D"/>
    <w:rsid w:val="007D32E6"/>
    <w:rsid w:val="007D4102"/>
    <w:rsid w:val="007E54A7"/>
    <w:rsid w:val="007F43B7"/>
    <w:rsid w:val="007F4A6F"/>
    <w:rsid w:val="00805E79"/>
    <w:rsid w:val="00807066"/>
    <w:rsid w:val="00816BFC"/>
    <w:rsid w:val="00816C22"/>
    <w:rsid w:val="00820105"/>
    <w:rsid w:val="00821FFC"/>
    <w:rsid w:val="008271CA"/>
    <w:rsid w:val="008450AF"/>
    <w:rsid w:val="008467D5"/>
    <w:rsid w:val="008504E6"/>
    <w:rsid w:val="00851980"/>
    <w:rsid w:val="00863C10"/>
    <w:rsid w:val="0087074E"/>
    <w:rsid w:val="00881AB6"/>
    <w:rsid w:val="00885E9D"/>
    <w:rsid w:val="00886D5D"/>
    <w:rsid w:val="008A0767"/>
    <w:rsid w:val="008A1771"/>
    <w:rsid w:val="008A4DC4"/>
    <w:rsid w:val="008B3A5F"/>
    <w:rsid w:val="008B438C"/>
    <w:rsid w:val="008C3762"/>
    <w:rsid w:val="008D06CA"/>
    <w:rsid w:val="008D3A46"/>
    <w:rsid w:val="008D4B50"/>
    <w:rsid w:val="008F17EF"/>
    <w:rsid w:val="008F2385"/>
    <w:rsid w:val="008F5E2F"/>
    <w:rsid w:val="008F6C54"/>
    <w:rsid w:val="00904220"/>
    <w:rsid w:val="009067A4"/>
    <w:rsid w:val="0091049E"/>
    <w:rsid w:val="009267FB"/>
    <w:rsid w:val="00930885"/>
    <w:rsid w:val="00933D68"/>
    <w:rsid w:val="009340DB"/>
    <w:rsid w:val="0094618C"/>
    <w:rsid w:val="0095684B"/>
    <w:rsid w:val="00962C74"/>
    <w:rsid w:val="00962E8A"/>
    <w:rsid w:val="009661DA"/>
    <w:rsid w:val="0096731E"/>
    <w:rsid w:val="00972498"/>
    <w:rsid w:val="0097481F"/>
    <w:rsid w:val="00974CC6"/>
    <w:rsid w:val="00976AD4"/>
    <w:rsid w:val="00995547"/>
    <w:rsid w:val="009A312F"/>
    <w:rsid w:val="009A5348"/>
    <w:rsid w:val="009B0AB7"/>
    <w:rsid w:val="009B7021"/>
    <w:rsid w:val="009C3E0D"/>
    <w:rsid w:val="009C76D5"/>
    <w:rsid w:val="009E1122"/>
    <w:rsid w:val="009F7AA4"/>
    <w:rsid w:val="00A0610F"/>
    <w:rsid w:val="00A10AD7"/>
    <w:rsid w:val="00A14F17"/>
    <w:rsid w:val="00A22F60"/>
    <w:rsid w:val="00A27D5E"/>
    <w:rsid w:val="00A323B0"/>
    <w:rsid w:val="00A35D84"/>
    <w:rsid w:val="00A37AE9"/>
    <w:rsid w:val="00A54542"/>
    <w:rsid w:val="00A555B3"/>
    <w:rsid w:val="00A559DB"/>
    <w:rsid w:val="00A569EA"/>
    <w:rsid w:val="00A63703"/>
    <w:rsid w:val="00A676A0"/>
    <w:rsid w:val="00A83B9A"/>
    <w:rsid w:val="00A855EA"/>
    <w:rsid w:val="00A921E7"/>
    <w:rsid w:val="00AA02AB"/>
    <w:rsid w:val="00AA13A1"/>
    <w:rsid w:val="00AC22E7"/>
    <w:rsid w:val="00AC3626"/>
    <w:rsid w:val="00AC4585"/>
    <w:rsid w:val="00AC7323"/>
    <w:rsid w:val="00AE0FE5"/>
    <w:rsid w:val="00AF2E76"/>
    <w:rsid w:val="00AF35FC"/>
    <w:rsid w:val="00AF5556"/>
    <w:rsid w:val="00B011E8"/>
    <w:rsid w:val="00B02617"/>
    <w:rsid w:val="00B03639"/>
    <w:rsid w:val="00B04C22"/>
    <w:rsid w:val="00B0652A"/>
    <w:rsid w:val="00B159FA"/>
    <w:rsid w:val="00B17606"/>
    <w:rsid w:val="00B22F55"/>
    <w:rsid w:val="00B26AA3"/>
    <w:rsid w:val="00B35D12"/>
    <w:rsid w:val="00B40937"/>
    <w:rsid w:val="00B423EF"/>
    <w:rsid w:val="00B448BA"/>
    <w:rsid w:val="00B453DE"/>
    <w:rsid w:val="00B60BD4"/>
    <w:rsid w:val="00B62497"/>
    <w:rsid w:val="00B71486"/>
    <w:rsid w:val="00B72597"/>
    <w:rsid w:val="00B8700A"/>
    <w:rsid w:val="00B87DC0"/>
    <w:rsid w:val="00B901F9"/>
    <w:rsid w:val="00B953CB"/>
    <w:rsid w:val="00B978B0"/>
    <w:rsid w:val="00BB158A"/>
    <w:rsid w:val="00BB6764"/>
    <w:rsid w:val="00BB76DF"/>
    <w:rsid w:val="00BC353D"/>
    <w:rsid w:val="00BC4D98"/>
    <w:rsid w:val="00BD6EFB"/>
    <w:rsid w:val="00BE3DF5"/>
    <w:rsid w:val="00BF2E10"/>
    <w:rsid w:val="00BF5172"/>
    <w:rsid w:val="00BF5EAB"/>
    <w:rsid w:val="00C00AE7"/>
    <w:rsid w:val="00C02410"/>
    <w:rsid w:val="00C1584D"/>
    <w:rsid w:val="00C15BE2"/>
    <w:rsid w:val="00C20689"/>
    <w:rsid w:val="00C34460"/>
    <w:rsid w:val="00C3447F"/>
    <w:rsid w:val="00C35031"/>
    <w:rsid w:val="00C40519"/>
    <w:rsid w:val="00C44714"/>
    <w:rsid w:val="00C5038D"/>
    <w:rsid w:val="00C60B4E"/>
    <w:rsid w:val="00C67102"/>
    <w:rsid w:val="00C81491"/>
    <w:rsid w:val="00C81676"/>
    <w:rsid w:val="00C85C5D"/>
    <w:rsid w:val="00C86F54"/>
    <w:rsid w:val="00C92CC4"/>
    <w:rsid w:val="00CA0AFB"/>
    <w:rsid w:val="00CA2CE1"/>
    <w:rsid w:val="00CA3976"/>
    <w:rsid w:val="00CA50E3"/>
    <w:rsid w:val="00CA60AE"/>
    <w:rsid w:val="00CA757B"/>
    <w:rsid w:val="00CB3284"/>
    <w:rsid w:val="00CC1459"/>
    <w:rsid w:val="00CC1787"/>
    <w:rsid w:val="00CC182C"/>
    <w:rsid w:val="00CC1AD9"/>
    <w:rsid w:val="00CD0824"/>
    <w:rsid w:val="00CD2908"/>
    <w:rsid w:val="00CE28D5"/>
    <w:rsid w:val="00CE5EEF"/>
    <w:rsid w:val="00CF224D"/>
    <w:rsid w:val="00D03A82"/>
    <w:rsid w:val="00D134B9"/>
    <w:rsid w:val="00D13667"/>
    <w:rsid w:val="00D13D4E"/>
    <w:rsid w:val="00D15344"/>
    <w:rsid w:val="00D23F57"/>
    <w:rsid w:val="00D31BEC"/>
    <w:rsid w:val="00D34708"/>
    <w:rsid w:val="00D40FCD"/>
    <w:rsid w:val="00D43176"/>
    <w:rsid w:val="00D44C2A"/>
    <w:rsid w:val="00D63150"/>
    <w:rsid w:val="00D636BA"/>
    <w:rsid w:val="00D64A32"/>
    <w:rsid w:val="00D64EFC"/>
    <w:rsid w:val="00D7344D"/>
    <w:rsid w:val="00D75295"/>
    <w:rsid w:val="00D76CE9"/>
    <w:rsid w:val="00D90F67"/>
    <w:rsid w:val="00D94F0B"/>
    <w:rsid w:val="00D97F12"/>
    <w:rsid w:val="00DA6095"/>
    <w:rsid w:val="00DB42E7"/>
    <w:rsid w:val="00DB4603"/>
    <w:rsid w:val="00DC09D8"/>
    <w:rsid w:val="00DD0340"/>
    <w:rsid w:val="00DE01A6"/>
    <w:rsid w:val="00DE05A0"/>
    <w:rsid w:val="00DE453C"/>
    <w:rsid w:val="00DE7A98"/>
    <w:rsid w:val="00DF29F1"/>
    <w:rsid w:val="00DF32C2"/>
    <w:rsid w:val="00DF3802"/>
    <w:rsid w:val="00E12748"/>
    <w:rsid w:val="00E15A26"/>
    <w:rsid w:val="00E17357"/>
    <w:rsid w:val="00E316D8"/>
    <w:rsid w:val="00E358EC"/>
    <w:rsid w:val="00E418E9"/>
    <w:rsid w:val="00E471A7"/>
    <w:rsid w:val="00E5238E"/>
    <w:rsid w:val="00E547BA"/>
    <w:rsid w:val="00E6173A"/>
    <w:rsid w:val="00E635CF"/>
    <w:rsid w:val="00E8669F"/>
    <w:rsid w:val="00E973C8"/>
    <w:rsid w:val="00EA2CF2"/>
    <w:rsid w:val="00EB1E3B"/>
    <w:rsid w:val="00EC4543"/>
    <w:rsid w:val="00EC6178"/>
    <w:rsid w:val="00EC6E0A"/>
    <w:rsid w:val="00EC729D"/>
    <w:rsid w:val="00ED4E18"/>
    <w:rsid w:val="00ED548B"/>
    <w:rsid w:val="00ED7922"/>
    <w:rsid w:val="00EE02C4"/>
    <w:rsid w:val="00EE1F37"/>
    <w:rsid w:val="00EE5C6A"/>
    <w:rsid w:val="00EF08C6"/>
    <w:rsid w:val="00F0159C"/>
    <w:rsid w:val="00F06F2B"/>
    <w:rsid w:val="00F105B7"/>
    <w:rsid w:val="00F13220"/>
    <w:rsid w:val="00F17A21"/>
    <w:rsid w:val="00F3224D"/>
    <w:rsid w:val="00F32836"/>
    <w:rsid w:val="00F32D56"/>
    <w:rsid w:val="00F36FC2"/>
    <w:rsid w:val="00F37B27"/>
    <w:rsid w:val="00F4439C"/>
    <w:rsid w:val="00F46556"/>
    <w:rsid w:val="00F50A69"/>
    <w:rsid w:val="00F50E91"/>
    <w:rsid w:val="00F51309"/>
    <w:rsid w:val="00F532F1"/>
    <w:rsid w:val="00F55DEF"/>
    <w:rsid w:val="00F5640B"/>
    <w:rsid w:val="00F56799"/>
    <w:rsid w:val="00F57D29"/>
    <w:rsid w:val="00F60786"/>
    <w:rsid w:val="00F60F98"/>
    <w:rsid w:val="00F61DA2"/>
    <w:rsid w:val="00F6690C"/>
    <w:rsid w:val="00F80143"/>
    <w:rsid w:val="00F855B8"/>
    <w:rsid w:val="00F91BC7"/>
    <w:rsid w:val="00F93A18"/>
    <w:rsid w:val="00F9507B"/>
    <w:rsid w:val="00F96201"/>
    <w:rsid w:val="00FA1BBC"/>
    <w:rsid w:val="00FA43FA"/>
    <w:rsid w:val="00FB45F4"/>
    <w:rsid w:val="00FC4A8B"/>
    <w:rsid w:val="00FD0B18"/>
    <w:rsid w:val="00FD2FAD"/>
    <w:rsid w:val="00FD56A9"/>
    <w:rsid w:val="00FE344B"/>
    <w:rsid w:val="00FE714F"/>
    <w:rsid w:val="00FF3A31"/>
    <w:rsid w:val="00FF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uiPriority w:val="99"/>
    <w:qForma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qFormat/>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igh-light-bg">
    <w:name w:val="high-light-bg"/>
    <w:basedOn w:val="DefaultParagraphFont"/>
    <w:rsid w:val="00C00AE7"/>
  </w:style>
  <w:style w:type="paragraph" w:customStyle="1" w:styleId="ordinary-output">
    <w:name w:val="ordinary-output"/>
    <w:basedOn w:val="Normal"/>
    <w:rsid w:val="00C00AE7"/>
    <w:pPr>
      <w:spacing w:before="100" w:beforeAutospacing="1" w:after="100" w:afterAutospacing="1"/>
    </w:pPr>
    <w:rPr>
      <w:rFonts w:ascii="SimSun" w:eastAsia="SimSun" w:hAnsi="SimSun" w:cs="SimSun"/>
      <w:sz w:val="24"/>
      <w:szCs w:val="24"/>
      <w:lang w:eastAsia="zh-CN"/>
    </w:rPr>
  </w:style>
  <w:style w:type="character" w:customStyle="1" w:styleId="UnresolvedMention1">
    <w:name w:val="Unresolved Mention1"/>
    <w:basedOn w:val="DefaultParagraphFont"/>
    <w:uiPriority w:val="99"/>
    <w:semiHidden/>
    <w:unhideWhenUsed/>
    <w:rsid w:val="00C00AE7"/>
    <w:rPr>
      <w:color w:val="605E5C"/>
      <w:shd w:val="clear" w:color="auto" w:fill="E1DFDD"/>
    </w:rPr>
  </w:style>
  <w:style w:type="paragraph" w:styleId="Date">
    <w:name w:val="Date"/>
    <w:basedOn w:val="Normal"/>
    <w:next w:val="Normal"/>
    <w:link w:val="DateChar"/>
    <w:uiPriority w:val="99"/>
    <w:semiHidden/>
    <w:unhideWhenUsed/>
    <w:rsid w:val="00962C74"/>
  </w:style>
  <w:style w:type="character" w:customStyle="1" w:styleId="DateChar">
    <w:name w:val="Date Char"/>
    <w:basedOn w:val="DefaultParagraphFont"/>
    <w:link w:val="Date"/>
    <w:uiPriority w:val="99"/>
    <w:semiHidden/>
    <w:rsid w:val="00962C7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1F015-2218-4E88-AA15-1DE24A5F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4787</Words>
  <Characters>27287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9B21M059</dc:title>
  <dc:subject/>
  <dc:creator>smuir</dc:creator>
  <cp:keywords/>
  <cp:lastModifiedBy>Product Coordinator</cp:lastModifiedBy>
  <cp:revision>3</cp:revision>
  <cp:lastPrinted>2015-03-04T20:34:00Z</cp:lastPrinted>
  <dcterms:created xsi:type="dcterms:W3CDTF">2021-05-31T13:17:00Z</dcterms:created>
  <dcterms:modified xsi:type="dcterms:W3CDTF">2021-05-31T13:29:00Z</dcterms:modified>
</cp:coreProperties>
</file>