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C8377" w14:textId="77777777" w:rsidR="00B23BAA" w:rsidRDefault="00B23BAA" w:rsidP="00B23BAA">
      <w:pPr>
        <w:pBdr>
          <w:bottom w:val="single" w:sz="18" w:space="1" w:color="auto"/>
        </w:pBdr>
        <w:tabs>
          <w:tab w:val="left" w:pos="-1440"/>
          <w:tab w:val="left" w:pos="-720"/>
          <w:tab w:val="left" w:pos="1"/>
        </w:tabs>
        <w:jc w:val="both"/>
        <w:rPr>
          <w:rFonts w:ascii="Arial" w:hAnsi="Arial"/>
          <w:b/>
          <w:sz w:val="24"/>
        </w:rPr>
      </w:pPr>
      <w:bookmarkStart w:id="0" w:name="_GoBack"/>
      <w:r w:rsidRPr="00A569EA">
        <w:rPr>
          <w:rFonts w:ascii="Arial" w:hAnsi="Arial"/>
          <w:b/>
          <w:noProof/>
          <w:sz w:val="24"/>
          <w:lang w:val="en-CA" w:eastAsia="en-CA"/>
        </w:rPr>
        <w:drawing>
          <wp:inline distT="0" distB="0" distL="0" distR="0" wp14:anchorId="2D892C74" wp14:editId="397CD2B3">
            <wp:extent cx="2613804" cy="551245"/>
            <wp:effectExtent l="0" t="0" r="0" b="1270"/>
            <wp:docPr id="3" name="Picture 3"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2DC6E89" w14:textId="571B79C7" w:rsidR="00B23BAA" w:rsidRDefault="00B23BAA" w:rsidP="00B23BAA">
      <w:pPr>
        <w:pStyle w:val="ProductNumber"/>
      </w:pPr>
      <w:r>
        <w:t>9B21M060</w:t>
      </w:r>
    </w:p>
    <w:p w14:paraId="4E057522" w14:textId="7A113CB1" w:rsidR="00D75295" w:rsidRPr="00F83849" w:rsidRDefault="00D75295" w:rsidP="00D75295">
      <w:pPr>
        <w:jc w:val="right"/>
        <w:rPr>
          <w:rFonts w:ascii="Arial" w:hAnsi="Arial"/>
          <w:b/>
        </w:rPr>
      </w:pPr>
    </w:p>
    <w:p w14:paraId="02524312" w14:textId="77777777" w:rsidR="001901C0" w:rsidRPr="00F83849" w:rsidRDefault="001901C0" w:rsidP="00D75295">
      <w:pPr>
        <w:jc w:val="right"/>
        <w:rPr>
          <w:rFonts w:ascii="Arial" w:hAnsi="Arial"/>
          <w:b/>
        </w:rPr>
      </w:pPr>
    </w:p>
    <w:bookmarkEnd w:id="0"/>
    <w:p w14:paraId="2F03D26A" w14:textId="71415EB4" w:rsidR="00013360" w:rsidRPr="00F83849" w:rsidRDefault="00AB2AEF" w:rsidP="00013360">
      <w:pPr>
        <w:pStyle w:val="CaseTitle"/>
        <w:spacing w:after="0" w:line="240" w:lineRule="auto"/>
        <w:rPr>
          <w:sz w:val="20"/>
          <w:szCs w:val="20"/>
        </w:rPr>
      </w:pPr>
      <w:r w:rsidRPr="00F83849">
        <w:rPr>
          <w:lang w:val="en-CA"/>
        </w:rPr>
        <w:t>JPMorgan Chase</w:t>
      </w:r>
      <w:r w:rsidR="00165B95" w:rsidRPr="00F83849">
        <w:rPr>
          <w:lang w:val="en-CA"/>
        </w:rPr>
        <w:t xml:space="preserve"> &amp; co.:</w:t>
      </w:r>
      <w:r w:rsidRPr="00F83849">
        <w:rPr>
          <w:lang w:val="en-CA"/>
        </w:rPr>
        <w:t xml:space="preserve"> Open Banking</w:t>
      </w:r>
      <w:r w:rsidR="007007A5">
        <w:rPr>
          <w:rStyle w:val="EndnoteReference"/>
          <w:lang w:val="en-CA"/>
        </w:rPr>
        <w:endnoteReference w:id="1"/>
      </w:r>
    </w:p>
    <w:p w14:paraId="40ABF6FD" w14:textId="77777777" w:rsidR="00CA3976" w:rsidRPr="00F83849" w:rsidRDefault="00CA3976" w:rsidP="00013360">
      <w:pPr>
        <w:pStyle w:val="CaseTitle"/>
        <w:spacing w:after="0" w:line="240" w:lineRule="auto"/>
        <w:rPr>
          <w:sz w:val="20"/>
          <w:szCs w:val="20"/>
        </w:rPr>
      </w:pPr>
    </w:p>
    <w:p w14:paraId="202F1085" w14:textId="77777777" w:rsidR="00013360" w:rsidRPr="00F83849" w:rsidRDefault="00013360" w:rsidP="00013360">
      <w:pPr>
        <w:pStyle w:val="CaseTitle"/>
        <w:spacing w:after="0" w:line="240" w:lineRule="auto"/>
        <w:rPr>
          <w:sz w:val="20"/>
          <w:szCs w:val="20"/>
        </w:rPr>
      </w:pPr>
    </w:p>
    <w:p w14:paraId="58B0C73F" w14:textId="6BF4F20C" w:rsidR="00086B26" w:rsidRPr="00F83849" w:rsidRDefault="00AB2AEF" w:rsidP="00086B26">
      <w:pPr>
        <w:pStyle w:val="StyleCopyrightStatementAfter0ptBottomSinglesolidline1"/>
        <w:rPr>
          <w:lang w:val="en-GB"/>
        </w:rPr>
      </w:pPr>
      <w:r w:rsidRPr="00F83849">
        <w:rPr>
          <w:lang w:val="en-CA"/>
        </w:rPr>
        <w:t>Jashan Puniya and Robert D. Austin</w:t>
      </w:r>
      <w:r w:rsidR="00ED7922" w:rsidRPr="00F83849">
        <w:rPr>
          <w:rFonts w:cs="Arial"/>
          <w:szCs w:val="16"/>
          <w:lang w:val="en-CA"/>
        </w:rPr>
        <w:t xml:space="preserve"> </w:t>
      </w:r>
      <w:r w:rsidR="00086B26" w:rsidRPr="00F83849">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F83849" w:rsidRDefault="00086B26" w:rsidP="00086B26">
      <w:pPr>
        <w:pStyle w:val="StyleCopyrightStatementAfter0ptBottomSinglesolidline1"/>
        <w:rPr>
          <w:lang w:val="en-GB"/>
        </w:rPr>
      </w:pPr>
    </w:p>
    <w:p w14:paraId="030E3F1F" w14:textId="77777777" w:rsidR="00B23BAA" w:rsidRPr="00A323B0" w:rsidRDefault="00B23BAA" w:rsidP="00B23BAA">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54983A17" w14:textId="77777777" w:rsidR="00B23BAA" w:rsidRPr="00A323B0" w:rsidRDefault="00B23BAA" w:rsidP="00B23BAA">
      <w:pPr>
        <w:pStyle w:val="StyleStyleCopyrightStatementAfter0ptBottomSinglesolid"/>
        <w:rPr>
          <w:rFonts w:cs="Arial"/>
          <w:szCs w:val="16"/>
        </w:rPr>
      </w:pPr>
    </w:p>
    <w:p w14:paraId="3922E14F" w14:textId="6696A2C5" w:rsidR="00751E0B" w:rsidRPr="00704BD2" w:rsidRDefault="00B23BAA" w:rsidP="00B23BAA">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 xml:space="preserve">Version: </w:t>
      </w:r>
      <w:r>
        <w:rPr>
          <w:rFonts w:cs="Arial"/>
          <w:iCs w:val="0"/>
          <w:color w:val="auto"/>
          <w:szCs w:val="16"/>
        </w:rPr>
        <w:t>2021-05-25</w:t>
      </w:r>
    </w:p>
    <w:p w14:paraId="0A2A54E4" w14:textId="77777777" w:rsidR="00751E0B" w:rsidRPr="00704BD2" w:rsidRDefault="00751E0B" w:rsidP="00751E0B">
      <w:pPr>
        <w:pStyle w:val="StyleCopyrightStatementAfter0ptBottomSinglesolidline1"/>
        <w:rPr>
          <w:rFonts w:ascii="Times New Roman" w:hAnsi="Times New Roman"/>
          <w:i w:val="0"/>
          <w:sz w:val="20"/>
          <w:lang w:val="en-GB"/>
        </w:rPr>
      </w:pPr>
    </w:p>
    <w:p w14:paraId="2C183161" w14:textId="04942EF4" w:rsidR="00B87DC0" w:rsidRPr="00704BD2" w:rsidRDefault="00B87DC0" w:rsidP="002B40FF">
      <w:pPr>
        <w:pStyle w:val="Casehead1"/>
        <w:rPr>
          <w:lang w:val="en-GB"/>
        </w:rPr>
      </w:pPr>
    </w:p>
    <w:p w14:paraId="4DA13AD8" w14:textId="03F9BC36" w:rsidR="00AB2AEF" w:rsidRPr="00704BD2" w:rsidRDefault="00AB2AEF" w:rsidP="00AB2AEF">
      <w:pPr>
        <w:pStyle w:val="BodyTextMain"/>
        <w:rPr>
          <w:rFonts w:eastAsia="Calibri"/>
          <w:lang w:val="en-GB"/>
        </w:rPr>
      </w:pPr>
      <w:r w:rsidRPr="00704BD2">
        <w:rPr>
          <w:rFonts w:eastAsia="Calibri"/>
          <w:lang w:val="en-GB"/>
        </w:rPr>
        <w:t>In late 2020, observers following the open banking activities of JPMorgan Chase</w:t>
      </w:r>
      <w:r w:rsidR="00165B95" w:rsidRPr="00704BD2">
        <w:rPr>
          <w:rFonts w:eastAsia="Calibri"/>
          <w:lang w:val="en-GB"/>
        </w:rPr>
        <w:t xml:space="preserve"> &amp; Co.</w:t>
      </w:r>
      <w:r w:rsidRPr="00704BD2">
        <w:rPr>
          <w:rFonts w:eastAsia="Calibri"/>
          <w:lang w:val="en-GB"/>
        </w:rPr>
        <w:t xml:space="preserve"> (JPMC) might have felt confused.</w:t>
      </w:r>
      <w:r w:rsidR="00BA250F" w:rsidRPr="00704BD2">
        <w:rPr>
          <w:rFonts w:eastAsia="Calibri"/>
          <w:lang w:val="en-GB"/>
        </w:rPr>
        <w:t xml:space="preserve"> </w:t>
      </w:r>
      <w:r w:rsidRPr="00704BD2">
        <w:rPr>
          <w:rFonts w:eastAsia="Calibri"/>
          <w:lang w:val="en-GB"/>
        </w:rPr>
        <w:t xml:space="preserve">On the one hand, JPMC seemed to be embracing open banking. The company had hired Sairam Rangachari in 2017 to be </w:t>
      </w:r>
      <w:r w:rsidR="00BA250F" w:rsidRPr="00704BD2">
        <w:rPr>
          <w:rFonts w:eastAsia="Calibri"/>
          <w:lang w:val="en-GB"/>
        </w:rPr>
        <w:t>its</w:t>
      </w:r>
      <w:r w:rsidRPr="00704BD2">
        <w:rPr>
          <w:rFonts w:eastAsia="Calibri"/>
          <w:lang w:val="en-GB"/>
        </w:rPr>
        <w:t xml:space="preserve"> </w:t>
      </w:r>
      <w:r w:rsidR="00BA250F" w:rsidRPr="00704BD2">
        <w:rPr>
          <w:rFonts w:eastAsia="Calibri"/>
          <w:lang w:val="en-GB"/>
        </w:rPr>
        <w:t>g</w:t>
      </w:r>
      <w:r w:rsidRPr="00704BD2">
        <w:rPr>
          <w:rFonts w:eastAsia="Calibri"/>
          <w:lang w:val="en-GB"/>
        </w:rPr>
        <w:t xml:space="preserve">lobal </w:t>
      </w:r>
      <w:r w:rsidR="00BA250F" w:rsidRPr="00704BD2">
        <w:rPr>
          <w:rFonts w:eastAsia="Calibri"/>
          <w:lang w:val="en-GB"/>
        </w:rPr>
        <w:t>h</w:t>
      </w:r>
      <w:r w:rsidRPr="00704BD2">
        <w:rPr>
          <w:rFonts w:eastAsia="Calibri"/>
          <w:lang w:val="en-GB"/>
        </w:rPr>
        <w:t>ead of Open Banking</w:t>
      </w:r>
      <w:r w:rsidR="00BA250F" w:rsidRPr="00704BD2">
        <w:rPr>
          <w:rFonts w:eastAsia="Calibri"/>
          <w:lang w:val="en-GB"/>
        </w:rPr>
        <w:t>, Treasury Services</w:t>
      </w:r>
      <w:r w:rsidRPr="00704BD2">
        <w:rPr>
          <w:rFonts w:eastAsia="Calibri"/>
          <w:lang w:val="en-GB"/>
        </w:rPr>
        <w:t xml:space="preserve"> </w:t>
      </w:r>
      <w:r w:rsidR="00BA250F" w:rsidRPr="00704BD2">
        <w:rPr>
          <w:rFonts w:eastAsia="Calibri"/>
          <w:lang w:val="en-GB"/>
        </w:rPr>
        <w:t>and</w:t>
      </w:r>
      <w:r w:rsidRPr="00704BD2">
        <w:rPr>
          <w:rFonts w:eastAsia="Calibri"/>
          <w:lang w:val="en-GB"/>
        </w:rPr>
        <w:t xml:space="preserve"> </w:t>
      </w:r>
      <w:r w:rsidR="00BA250F" w:rsidRPr="00704BD2">
        <w:rPr>
          <w:rFonts w:eastAsia="Calibri"/>
          <w:lang w:val="en-GB"/>
        </w:rPr>
        <w:t>head of its application programming interface (</w:t>
      </w:r>
      <w:r w:rsidRPr="00704BD2">
        <w:rPr>
          <w:rFonts w:eastAsia="Calibri"/>
          <w:lang w:val="en-GB"/>
        </w:rPr>
        <w:t>API</w:t>
      </w:r>
      <w:r w:rsidR="00BA250F" w:rsidRPr="00704BD2">
        <w:rPr>
          <w:rFonts w:eastAsia="Calibri"/>
          <w:lang w:val="en-GB"/>
        </w:rPr>
        <w:t>)</w:t>
      </w:r>
      <w:r w:rsidRPr="00704BD2">
        <w:rPr>
          <w:rFonts w:eastAsia="Calibri"/>
          <w:lang w:val="en-GB"/>
        </w:rPr>
        <w:t xml:space="preserve"> </w:t>
      </w:r>
      <w:r w:rsidR="00BA250F" w:rsidRPr="00704BD2">
        <w:rPr>
          <w:rFonts w:eastAsia="Calibri"/>
          <w:lang w:val="en-GB"/>
        </w:rPr>
        <w:t>s</w:t>
      </w:r>
      <w:r w:rsidRPr="00704BD2">
        <w:rPr>
          <w:rFonts w:eastAsia="Calibri"/>
          <w:lang w:val="en-GB"/>
        </w:rPr>
        <w:t>trategy. He launched JPMC</w:t>
      </w:r>
      <w:r w:rsidR="00F9003E" w:rsidRPr="00704BD2">
        <w:rPr>
          <w:rFonts w:eastAsia="Calibri"/>
          <w:lang w:val="en-GB"/>
        </w:rPr>
        <w:t>’s</w:t>
      </w:r>
      <w:r w:rsidRPr="00704BD2">
        <w:rPr>
          <w:rFonts w:eastAsia="Calibri"/>
          <w:lang w:val="en-GB"/>
        </w:rPr>
        <w:t xml:space="preserve"> </w:t>
      </w:r>
      <w:r w:rsidR="00F9003E" w:rsidRPr="00704BD2">
        <w:rPr>
          <w:rFonts w:eastAsia="Calibri"/>
          <w:lang w:val="en-GB"/>
        </w:rPr>
        <w:t>o</w:t>
      </w:r>
      <w:r w:rsidRPr="00704BD2">
        <w:rPr>
          <w:rFonts w:eastAsia="Calibri"/>
          <w:lang w:val="en-GB"/>
        </w:rPr>
        <w:t xml:space="preserve">pen </w:t>
      </w:r>
      <w:r w:rsidR="00F9003E" w:rsidRPr="00704BD2">
        <w:rPr>
          <w:rFonts w:eastAsia="Calibri"/>
          <w:lang w:val="en-GB"/>
        </w:rPr>
        <w:t>b</w:t>
      </w:r>
      <w:r w:rsidRPr="00704BD2">
        <w:rPr>
          <w:rFonts w:eastAsia="Calibri"/>
          <w:lang w:val="en-GB"/>
        </w:rPr>
        <w:t xml:space="preserve">anking initiative in 2018, and by mid-2019 the company had released more than two dozen APIs for </w:t>
      </w:r>
      <w:r w:rsidR="00BA250F" w:rsidRPr="00704BD2">
        <w:rPr>
          <w:rFonts w:eastAsia="Calibri"/>
          <w:lang w:val="en-GB"/>
        </w:rPr>
        <w:t>its</w:t>
      </w:r>
      <w:r w:rsidRPr="00704BD2">
        <w:rPr>
          <w:rFonts w:eastAsia="Calibri"/>
          <w:lang w:val="en-GB"/>
        </w:rPr>
        <w:t xml:space="preserve"> Corporate Treasury customers.</w:t>
      </w:r>
      <w:r w:rsidRPr="00704BD2">
        <w:rPr>
          <w:rFonts w:eastAsia="Calibri"/>
          <w:vertAlign w:val="superscript"/>
          <w:lang w:val="en-GB"/>
        </w:rPr>
        <w:endnoteReference w:id="2"/>
      </w:r>
      <w:r w:rsidRPr="00704BD2">
        <w:rPr>
          <w:rFonts w:eastAsia="Calibri"/>
          <w:lang w:val="en-GB"/>
        </w:rPr>
        <w:t xml:space="preserve"> In September of 2020, an entire downloadable section of the JPMC website was prominently titled “The Open Banking Transformation.”</w:t>
      </w:r>
      <w:r w:rsidRPr="00704BD2">
        <w:rPr>
          <w:rFonts w:eastAsia="Calibri"/>
          <w:vertAlign w:val="superscript"/>
          <w:lang w:val="en-GB"/>
        </w:rPr>
        <w:endnoteReference w:id="3"/>
      </w:r>
    </w:p>
    <w:p w14:paraId="3E56970B" w14:textId="77777777" w:rsidR="00AB2AEF" w:rsidRPr="00704BD2" w:rsidRDefault="00AB2AEF" w:rsidP="00AB2AEF">
      <w:pPr>
        <w:pStyle w:val="BodyTextMain"/>
        <w:rPr>
          <w:rFonts w:eastAsia="Calibri"/>
          <w:lang w:val="en-GB"/>
        </w:rPr>
      </w:pPr>
    </w:p>
    <w:p w14:paraId="3D5B4942" w14:textId="46537ECA" w:rsidR="00AB2AEF" w:rsidRPr="00B23BAA" w:rsidRDefault="00AB2AEF" w:rsidP="00AB2AEF">
      <w:pPr>
        <w:pStyle w:val="BodyTextMain"/>
        <w:rPr>
          <w:rFonts w:eastAsia="Calibri"/>
          <w:spacing w:val="-2"/>
          <w:lang w:val="en-GB"/>
        </w:rPr>
      </w:pPr>
      <w:r w:rsidRPr="00B23BAA">
        <w:rPr>
          <w:rFonts w:eastAsia="Calibri"/>
          <w:spacing w:val="-2"/>
          <w:lang w:val="en-GB"/>
        </w:rPr>
        <w:t>On the other hand, JPMC</w:t>
      </w:r>
      <w:r w:rsidR="00F9003E" w:rsidRPr="00B23BAA">
        <w:rPr>
          <w:rFonts w:eastAsia="Calibri"/>
          <w:spacing w:val="-2"/>
          <w:lang w:val="en-GB"/>
        </w:rPr>
        <w:t xml:space="preserve"> and Wells Fargo</w:t>
      </w:r>
      <w:r w:rsidRPr="00B23BAA">
        <w:rPr>
          <w:rFonts w:eastAsia="Calibri"/>
          <w:spacing w:val="-2"/>
          <w:lang w:val="en-GB"/>
        </w:rPr>
        <w:t>, another banking giant, were known in 2020 as leaders of the resistance to open banking.</w:t>
      </w:r>
      <w:r w:rsidRPr="00B23BAA">
        <w:rPr>
          <w:rFonts w:eastAsia="Calibri"/>
          <w:spacing w:val="-2"/>
          <w:vertAlign w:val="superscript"/>
          <w:lang w:val="en-GB"/>
        </w:rPr>
        <w:endnoteReference w:id="4"/>
      </w:r>
      <w:r w:rsidRPr="00B23BAA">
        <w:rPr>
          <w:rFonts w:eastAsia="Calibri"/>
          <w:spacing w:val="-2"/>
          <w:lang w:val="en-GB"/>
        </w:rPr>
        <w:t xml:space="preserve"> At issue</w:t>
      </w:r>
      <w:r w:rsidR="00F9003E" w:rsidRPr="00B23BAA">
        <w:rPr>
          <w:rFonts w:eastAsia="Calibri"/>
          <w:spacing w:val="-2"/>
          <w:lang w:val="en-GB"/>
        </w:rPr>
        <w:sym w:font="Symbol" w:char="F0BE"/>
      </w:r>
      <w:r w:rsidRPr="00B23BAA">
        <w:rPr>
          <w:rFonts w:eastAsia="Calibri"/>
          <w:spacing w:val="-2"/>
          <w:lang w:val="en-GB"/>
        </w:rPr>
        <w:t>the crux of open banking disputes</w:t>
      </w:r>
      <w:r w:rsidR="00F9003E" w:rsidRPr="00B23BAA">
        <w:rPr>
          <w:rFonts w:eastAsia="Calibri"/>
          <w:spacing w:val="-2"/>
          <w:lang w:val="en-GB"/>
        </w:rPr>
        <w:sym w:font="Symbol" w:char="F0BE"/>
      </w:r>
      <w:r w:rsidRPr="00B23BAA">
        <w:rPr>
          <w:rFonts w:eastAsia="Calibri"/>
          <w:spacing w:val="-2"/>
          <w:lang w:val="en-GB"/>
        </w:rPr>
        <w:t>was whether</w:t>
      </w:r>
      <w:r w:rsidR="00F9003E" w:rsidRPr="00B23BAA">
        <w:rPr>
          <w:rFonts w:eastAsia="Calibri"/>
          <w:spacing w:val="-2"/>
          <w:lang w:val="en-GB"/>
        </w:rPr>
        <w:t>,</w:t>
      </w:r>
      <w:r w:rsidRPr="00B23BAA">
        <w:rPr>
          <w:rFonts w:eastAsia="Calibri"/>
          <w:spacing w:val="-2"/>
          <w:lang w:val="en-GB"/>
        </w:rPr>
        <w:t xml:space="preserve"> and how</w:t>
      </w:r>
      <w:r w:rsidR="00F9003E" w:rsidRPr="00B23BAA">
        <w:rPr>
          <w:rFonts w:eastAsia="Calibri"/>
          <w:spacing w:val="-2"/>
          <w:lang w:val="en-GB"/>
        </w:rPr>
        <w:t>,</w:t>
      </w:r>
      <w:r w:rsidRPr="00B23BAA">
        <w:rPr>
          <w:rFonts w:eastAsia="Calibri"/>
          <w:spacing w:val="-2"/>
          <w:lang w:val="en-GB"/>
        </w:rPr>
        <w:t xml:space="preserve"> large institutions </w:t>
      </w:r>
      <w:r w:rsidR="00F9003E" w:rsidRPr="00B23BAA">
        <w:rPr>
          <w:rFonts w:eastAsia="Calibri"/>
          <w:spacing w:val="-2"/>
          <w:lang w:val="en-GB"/>
        </w:rPr>
        <w:t>such as</w:t>
      </w:r>
      <w:r w:rsidRPr="00B23BAA">
        <w:rPr>
          <w:rFonts w:eastAsia="Calibri"/>
          <w:spacing w:val="-2"/>
          <w:lang w:val="en-GB"/>
        </w:rPr>
        <w:t xml:space="preserve"> JPMC would allow the consumer data housed within their computer systems to be accessed by third-party firms, many of them start-ups </w:t>
      </w:r>
      <w:r w:rsidR="00825AF0" w:rsidRPr="00B23BAA">
        <w:rPr>
          <w:rFonts w:eastAsia="Calibri"/>
          <w:spacing w:val="-2"/>
          <w:lang w:val="en-GB"/>
        </w:rPr>
        <w:t>that</w:t>
      </w:r>
      <w:r w:rsidRPr="00B23BAA">
        <w:rPr>
          <w:rFonts w:eastAsia="Calibri"/>
          <w:spacing w:val="-2"/>
          <w:lang w:val="en-GB"/>
        </w:rPr>
        <w:t xml:space="preserve"> wanted to use the data to provide new financial services</w:t>
      </w:r>
      <w:r w:rsidR="00725625" w:rsidRPr="00B23BAA">
        <w:rPr>
          <w:rFonts w:eastAsia="Calibri"/>
          <w:spacing w:val="-2"/>
          <w:lang w:val="en-GB"/>
        </w:rPr>
        <w:sym w:font="Symbol" w:char="F0BE"/>
      </w:r>
      <w:r w:rsidR="00825AF0" w:rsidRPr="00B23BAA">
        <w:rPr>
          <w:rFonts w:eastAsia="Calibri"/>
          <w:spacing w:val="-2"/>
          <w:lang w:val="en-GB"/>
        </w:rPr>
        <w:t xml:space="preserve"> </w:t>
      </w:r>
      <w:r w:rsidR="00FB2C4F" w:rsidRPr="00B23BAA">
        <w:rPr>
          <w:rFonts w:eastAsia="Calibri"/>
          <w:spacing w:val="-2"/>
          <w:lang w:val="en-GB"/>
        </w:rPr>
        <w:t>financial</w:t>
      </w:r>
      <w:r w:rsidR="00825AF0" w:rsidRPr="00B23BAA">
        <w:rPr>
          <w:rFonts w:eastAsia="Calibri"/>
          <w:spacing w:val="-2"/>
          <w:lang w:val="en-GB"/>
        </w:rPr>
        <w:t xml:space="preserve"> technology companies (</w:t>
      </w:r>
      <w:r w:rsidR="00F9003E" w:rsidRPr="00B23BAA">
        <w:rPr>
          <w:rFonts w:eastAsia="Calibri"/>
          <w:spacing w:val="-2"/>
          <w:lang w:val="en-GB"/>
        </w:rPr>
        <w:t>f</w:t>
      </w:r>
      <w:r w:rsidRPr="00B23BAA">
        <w:rPr>
          <w:rFonts w:eastAsia="Calibri"/>
          <w:spacing w:val="-2"/>
          <w:lang w:val="en-GB"/>
        </w:rPr>
        <w:t>intechs</w:t>
      </w:r>
      <w:r w:rsidR="00825AF0" w:rsidRPr="00B23BAA">
        <w:rPr>
          <w:rFonts w:eastAsia="Calibri"/>
          <w:spacing w:val="-2"/>
          <w:lang w:val="en-GB"/>
        </w:rPr>
        <w:t xml:space="preserve">). </w:t>
      </w:r>
      <w:r w:rsidRPr="00B23BAA">
        <w:rPr>
          <w:rFonts w:eastAsia="Calibri"/>
          <w:spacing w:val="-2"/>
          <w:lang w:val="en-GB"/>
        </w:rPr>
        <w:t xml:space="preserve">US law made it clear that consumers owned their own financial data, including their data </w:t>
      </w:r>
      <w:r w:rsidR="00F9003E" w:rsidRPr="00B23BAA">
        <w:rPr>
          <w:rFonts w:eastAsia="Calibri"/>
          <w:spacing w:val="-2"/>
          <w:lang w:val="en-GB"/>
        </w:rPr>
        <w:t xml:space="preserve">housed </w:t>
      </w:r>
      <w:r w:rsidRPr="00B23BAA">
        <w:rPr>
          <w:rFonts w:eastAsia="Calibri"/>
          <w:spacing w:val="-2"/>
          <w:lang w:val="en-GB"/>
        </w:rPr>
        <w:t>inside bank systems. Consumers had the legal right, then, to authorize third parties to access their data resid</w:t>
      </w:r>
      <w:r w:rsidR="005117A2" w:rsidRPr="00B23BAA">
        <w:rPr>
          <w:rFonts w:eastAsia="Calibri"/>
          <w:spacing w:val="-2"/>
          <w:lang w:val="en-GB"/>
        </w:rPr>
        <w:t>ing</w:t>
      </w:r>
      <w:r w:rsidRPr="00B23BAA">
        <w:rPr>
          <w:rFonts w:eastAsia="Calibri"/>
          <w:spacing w:val="-2"/>
          <w:lang w:val="en-GB"/>
        </w:rPr>
        <w:t xml:space="preserve"> inside bank systems. And many consumers who wanted to use leading-edge, app</w:t>
      </w:r>
      <w:r w:rsidR="0024265A" w:rsidRPr="00B23BAA">
        <w:rPr>
          <w:rFonts w:eastAsia="Calibri"/>
          <w:spacing w:val="-2"/>
          <w:lang w:val="en-GB"/>
        </w:rPr>
        <w:t>lication (app)</w:t>
      </w:r>
      <w:r w:rsidRPr="00B23BAA">
        <w:rPr>
          <w:rFonts w:eastAsia="Calibri"/>
          <w:spacing w:val="-2"/>
          <w:lang w:val="en-GB"/>
        </w:rPr>
        <w:t xml:space="preserve">-based financial services did just that, agreeing in writing to let </w:t>
      </w:r>
      <w:r w:rsidR="00F9003E" w:rsidRPr="00B23BAA">
        <w:rPr>
          <w:rFonts w:eastAsia="Calibri"/>
          <w:spacing w:val="-2"/>
          <w:lang w:val="en-GB"/>
        </w:rPr>
        <w:t>f</w:t>
      </w:r>
      <w:r w:rsidRPr="00B23BAA">
        <w:rPr>
          <w:rFonts w:eastAsia="Calibri"/>
          <w:spacing w:val="-2"/>
          <w:lang w:val="en-GB"/>
        </w:rPr>
        <w:t xml:space="preserve">intechs access their banking data, often by sharing their bank login credentials with the </w:t>
      </w:r>
      <w:r w:rsidR="005117A2" w:rsidRPr="00B23BAA">
        <w:rPr>
          <w:rFonts w:eastAsia="Calibri"/>
          <w:spacing w:val="-2"/>
          <w:lang w:val="en-GB"/>
        </w:rPr>
        <w:t>f</w:t>
      </w:r>
      <w:r w:rsidRPr="00B23BAA">
        <w:rPr>
          <w:rFonts w:eastAsia="Calibri"/>
          <w:spacing w:val="-2"/>
          <w:lang w:val="en-GB"/>
        </w:rPr>
        <w:t>intechs. But some banks, JPMC included, wanted to set terms for permitting this kind of access and sometimes actively obstructed it.</w:t>
      </w:r>
      <w:r w:rsidRPr="00B23BAA">
        <w:rPr>
          <w:rFonts w:eastAsia="Calibri"/>
          <w:spacing w:val="-2"/>
          <w:vertAlign w:val="superscript"/>
          <w:lang w:val="en-GB"/>
        </w:rPr>
        <w:endnoteReference w:id="5"/>
      </w:r>
    </w:p>
    <w:p w14:paraId="41D340A4" w14:textId="77777777" w:rsidR="00AB2AEF" w:rsidRPr="00704BD2" w:rsidRDefault="00AB2AEF" w:rsidP="00AB2AEF">
      <w:pPr>
        <w:pStyle w:val="BodyTextMain"/>
        <w:rPr>
          <w:rFonts w:eastAsia="Calibri"/>
          <w:lang w:val="en-GB"/>
        </w:rPr>
      </w:pPr>
    </w:p>
    <w:p w14:paraId="72164C2E" w14:textId="138FCDEA" w:rsidR="00AB2AEF" w:rsidRPr="00704BD2" w:rsidRDefault="005117A2" w:rsidP="00AB2AEF">
      <w:pPr>
        <w:pStyle w:val="BodyTextMain"/>
        <w:rPr>
          <w:rFonts w:eastAsia="Calibri"/>
          <w:lang w:val="en-GB"/>
        </w:rPr>
      </w:pPr>
      <w:r w:rsidRPr="00704BD2">
        <w:rPr>
          <w:rFonts w:eastAsia="Calibri"/>
          <w:lang w:val="en-GB"/>
        </w:rPr>
        <w:t>I</w:t>
      </w:r>
      <w:r w:rsidR="00AB2AEF" w:rsidRPr="00704BD2">
        <w:rPr>
          <w:rFonts w:eastAsia="Calibri"/>
          <w:lang w:val="en-GB"/>
        </w:rPr>
        <w:t xml:space="preserve">n 2015, </w:t>
      </w:r>
      <w:r w:rsidRPr="00704BD2">
        <w:rPr>
          <w:rFonts w:eastAsia="Calibri"/>
          <w:lang w:val="en-GB"/>
        </w:rPr>
        <w:t xml:space="preserve">for example, </w:t>
      </w:r>
      <w:r w:rsidR="00AB2AEF" w:rsidRPr="00704BD2">
        <w:rPr>
          <w:rFonts w:eastAsia="Calibri"/>
          <w:lang w:val="en-GB"/>
        </w:rPr>
        <w:t>JPMC blocked access by Mint, an online financial management service owned by Intuit</w:t>
      </w:r>
      <w:r w:rsidRPr="00704BD2">
        <w:rPr>
          <w:rFonts w:eastAsia="Calibri"/>
          <w:lang w:val="en-GB"/>
        </w:rPr>
        <w:t xml:space="preserve"> Inc.</w:t>
      </w:r>
      <w:r w:rsidR="00AB2AEF" w:rsidRPr="00704BD2">
        <w:rPr>
          <w:rFonts w:eastAsia="Calibri"/>
          <w:lang w:val="en-GB"/>
        </w:rPr>
        <w:t>, prohibiting Mint users from accessing their Chase bank accounts through the Mint software. This caused significant dissatisfaction among some Chase customers.</w:t>
      </w:r>
      <w:r w:rsidR="00AB2AEF" w:rsidRPr="00704BD2">
        <w:rPr>
          <w:rFonts w:eastAsia="Calibri"/>
          <w:vertAlign w:val="superscript"/>
          <w:lang w:val="en-GB"/>
        </w:rPr>
        <w:endnoteReference w:id="6"/>
      </w:r>
      <w:r w:rsidR="00AB2AEF" w:rsidRPr="00704BD2">
        <w:rPr>
          <w:rFonts w:eastAsia="Calibri"/>
          <w:lang w:val="en-GB"/>
        </w:rPr>
        <w:t xml:space="preserve"> When JPMC</w:t>
      </w:r>
      <w:r w:rsidR="00725625" w:rsidRPr="00704BD2">
        <w:rPr>
          <w:rFonts w:eastAsia="Calibri"/>
          <w:lang w:val="en-GB"/>
        </w:rPr>
        <w:t>’s</w:t>
      </w:r>
      <w:r w:rsidR="00AB2AEF" w:rsidRPr="00704BD2">
        <w:rPr>
          <w:rFonts w:eastAsia="Calibri"/>
          <w:lang w:val="en-GB"/>
        </w:rPr>
        <w:t xml:space="preserve"> </w:t>
      </w:r>
      <w:r w:rsidR="00725625" w:rsidRPr="00704BD2">
        <w:rPr>
          <w:rFonts w:eastAsia="Calibri"/>
          <w:lang w:val="en-GB"/>
        </w:rPr>
        <w:t>chief executive officer (</w:t>
      </w:r>
      <w:r w:rsidR="00AB2AEF" w:rsidRPr="00704BD2">
        <w:rPr>
          <w:rFonts w:eastAsia="Calibri"/>
          <w:lang w:val="en-GB"/>
        </w:rPr>
        <w:t>CEO</w:t>
      </w:r>
      <w:r w:rsidR="00725625" w:rsidRPr="00704BD2">
        <w:rPr>
          <w:rFonts w:eastAsia="Calibri"/>
          <w:lang w:val="en-GB"/>
        </w:rPr>
        <w:t>),</w:t>
      </w:r>
      <w:r w:rsidR="00AB2AEF" w:rsidRPr="00704BD2">
        <w:rPr>
          <w:rFonts w:eastAsia="Calibri"/>
          <w:lang w:val="en-GB"/>
        </w:rPr>
        <w:t xml:space="preserve"> Jamie Dimon</w:t>
      </w:r>
      <w:r w:rsidR="00725625" w:rsidRPr="00704BD2">
        <w:rPr>
          <w:rFonts w:eastAsia="Calibri"/>
          <w:lang w:val="en-GB"/>
        </w:rPr>
        <w:t>,</w:t>
      </w:r>
      <w:r w:rsidR="00AB2AEF" w:rsidRPr="00704BD2">
        <w:rPr>
          <w:rFonts w:eastAsia="Calibri"/>
          <w:lang w:val="en-GB"/>
        </w:rPr>
        <w:t xml:space="preserve"> met that year with the head of the Consumer Financial Protection Bureau (CFPB), he defended the company’s actions by citing cybersecurity and consumer privacy risks.</w:t>
      </w:r>
      <w:r w:rsidR="00AB2AEF" w:rsidRPr="00704BD2">
        <w:rPr>
          <w:rFonts w:eastAsia="Calibri"/>
          <w:vertAlign w:val="superscript"/>
          <w:lang w:val="en-GB"/>
        </w:rPr>
        <w:endnoteReference w:id="7"/>
      </w:r>
      <w:r w:rsidR="00AB2AEF" w:rsidRPr="00704BD2">
        <w:rPr>
          <w:rFonts w:eastAsia="Calibri"/>
          <w:lang w:val="en-GB"/>
        </w:rPr>
        <w:t xml:space="preserve"> Mint and other </w:t>
      </w:r>
      <w:r w:rsidR="00F9003E" w:rsidRPr="00704BD2">
        <w:rPr>
          <w:rFonts w:eastAsia="Calibri"/>
          <w:lang w:val="en-GB"/>
        </w:rPr>
        <w:t>f</w:t>
      </w:r>
      <w:r w:rsidR="00AB2AEF" w:rsidRPr="00704BD2">
        <w:rPr>
          <w:rFonts w:eastAsia="Calibri"/>
          <w:lang w:val="en-GB"/>
        </w:rPr>
        <w:t>intechs dismissed such explanations; they saw the bank’s actions as attempts to limit competition.</w:t>
      </w:r>
      <w:r w:rsidR="00AB2AEF" w:rsidRPr="00704BD2">
        <w:rPr>
          <w:rFonts w:eastAsia="Calibri"/>
          <w:vertAlign w:val="superscript"/>
          <w:lang w:val="en-GB"/>
        </w:rPr>
        <w:endnoteReference w:id="8"/>
      </w:r>
      <w:r w:rsidR="00AB2AEF" w:rsidRPr="00704BD2">
        <w:rPr>
          <w:rFonts w:eastAsia="Calibri"/>
          <w:lang w:val="en-GB"/>
        </w:rPr>
        <w:t xml:space="preserve"> Indeed, some pundits suggested that the banks had good reason to worry. The swarm of agile, innovative </w:t>
      </w:r>
      <w:r w:rsidR="00F9003E" w:rsidRPr="00704BD2">
        <w:rPr>
          <w:rFonts w:eastAsia="Calibri"/>
          <w:lang w:val="en-GB"/>
        </w:rPr>
        <w:t>f</w:t>
      </w:r>
      <w:r w:rsidR="00AB2AEF" w:rsidRPr="00704BD2">
        <w:rPr>
          <w:rFonts w:eastAsia="Calibri"/>
          <w:lang w:val="en-GB"/>
        </w:rPr>
        <w:t xml:space="preserve">intechs building new services on top of </w:t>
      </w:r>
      <w:r w:rsidR="00725625" w:rsidRPr="00704BD2">
        <w:rPr>
          <w:rFonts w:eastAsia="Calibri"/>
          <w:lang w:val="en-GB"/>
        </w:rPr>
        <w:t xml:space="preserve">the </w:t>
      </w:r>
      <w:r w:rsidR="00AB2AEF" w:rsidRPr="00704BD2">
        <w:rPr>
          <w:rFonts w:eastAsia="Calibri"/>
          <w:lang w:val="en-GB"/>
        </w:rPr>
        <w:t>operational frameworks maintained by traditional banks put the latter at risk of becoming custodians of the industry’s “dumb pipes.”</w:t>
      </w:r>
      <w:r w:rsidR="00AB2AEF" w:rsidRPr="00704BD2">
        <w:rPr>
          <w:rFonts w:eastAsia="Calibri"/>
          <w:vertAlign w:val="superscript"/>
          <w:lang w:val="en-GB"/>
        </w:rPr>
        <w:endnoteReference w:id="9"/>
      </w:r>
    </w:p>
    <w:p w14:paraId="6A5CDAEA" w14:textId="77777777" w:rsidR="00AB2AEF" w:rsidRPr="00704BD2" w:rsidRDefault="00AB2AEF" w:rsidP="00AB2AEF">
      <w:pPr>
        <w:pStyle w:val="BodyTextMain"/>
        <w:rPr>
          <w:rFonts w:eastAsia="Calibri"/>
          <w:lang w:val="en-GB"/>
        </w:rPr>
      </w:pPr>
    </w:p>
    <w:p w14:paraId="5C756D6E" w14:textId="555D847D" w:rsidR="00AB2AEF" w:rsidRPr="00FE4E54" w:rsidRDefault="008277A2" w:rsidP="00AB2AEF">
      <w:pPr>
        <w:pStyle w:val="BodyTextMain"/>
        <w:rPr>
          <w:rFonts w:eastAsia="Calibri"/>
          <w:spacing w:val="-4"/>
          <w:lang w:val="en-GB"/>
        </w:rPr>
      </w:pPr>
      <w:r w:rsidRPr="00FE4E54">
        <w:rPr>
          <w:rFonts w:eastAsia="Calibri"/>
          <w:spacing w:val="-4"/>
          <w:lang w:val="en-GB"/>
        </w:rPr>
        <w:t>However, t</w:t>
      </w:r>
      <w:r w:rsidR="00AB2AEF" w:rsidRPr="00FE4E54">
        <w:rPr>
          <w:rFonts w:eastAsia="Calibri"/>
          <w:spacing w:val="-4"/>
          <w:lang w:val="en-GB"/>
        </w:rPr>
        <w:t xml:space="preserve">here was also evidence that concerns </w:t>
      </w:r>
      <w:r w:rsidR="004D57AF" w:rsidRPr="00FE4E54">
        <w:rPr>
          <w:rFonts w:eastAsia="Calibri"/>
          <w:spacing w:val="-4"/>
          <w:lang w:val="en-GB"/>
        </w:rPr>
        <w:t xml:space="preserve">such as </w:t>
      </w:r>
      <w:r w:rsidR="00AB2AEF" w:rsidRPr="00FE4E54">
        <w:rPr>
          <w:rFonts w:eastAsia="Calibri"/>
          <w:spacing w:val="-4"/>
          <w:lang w:val="en-GB"/>
        </w:rPr>
        <w:t xml:space="preserve">those raised by Dimon might be justified. In August of the same year, </w:t>
      </w:r>
      <w:r w:rsidR="00847D15" w:rsidRPr="00FE4E54">
        <w:rPr>
          <w:rFonts w:eastAsia="Calibri"/>
          <w:spacing w:val="-4"/>
          <w:lang w:val="en-GB"/>
        </w:rPr>
        <w:t>t</w:t>
      </w:r>
      <w:r w:rsidR="00AB2AEF" w:rsidRPr="00FE4E54">
        <w:rPr>
          <w:rFonts w:eastAsia="Calibri"/>
          <w:spacing w:val="-4"/>
          <w:lang w:val="en-GB"/>
        </w:rPr>
        <w:t xml:space="preserve">he </w:t>
      </w:r>
      <w:r w:rsidR="00AB2AEF" w:rsidRPr="00FE4E54">
        <w:rPr>
          <w:rFonts w:eastAsia="Calibri"/>
          <w:i/>
          <w:iCs/>
          <w:spacing w:val="-4"/>
          <w:lang w:val="en-GB"/>
        </w:rPr>
        <w:t>Wall Street Journal</w:t>
      </w:r>
      <w:r w:rsidR="00AB2AEF" w:rsidRPr="00FE4E54">
        <w:rPr>
          <w:rFonts w:eastAsia="Calibri"/>
          <w:spacing w:val="-4"/>
          <w:lang w:val="en-GB"/>
        </w:rPr>
        <w:t xml:space="preserve"> revealed that data aggregation service Yodlee</w:t>
      </w:r>
      <w:r w:rsidR="005117A2" w:rsidRPr="00FE4E54">
        <w:rPr>
          <w:rFonts w:eastAsia="Calibri"/>
          <w:spacing w:val="-4"/>
          <w:lang w:val="en-GB"/>
        </w:rPr>
        <w:t>, Inc. (Yodlee)</w:t>
      </w:r>
      <w:r w:rsidR="00AB2AEF" w:rsidRPr="00FE4E54">
        <w:rPr>
          <w:rFonts w:eastAsia="Calibri"/>
          <w:spacing w:val="-4"/>
          <w:lang w:val="en-GB"/>
        </w:rPr>
        <w:t xml:space="preserve"> was selling transaction data to hedge funds looking for a trading edge.</w:t>
      </w:r>
      <w:r w:rsidR="00AB2AEF" w:rsidRPr="00FE4E54">
        <w:rPr>
          <w:rFonts w:eastAsia="Calibri"/>
          <w:spacing w:val="-4"/>
          <w:vertAlign w:val="superscript"/>
          <w:lang w:val="en-GB"/>
        </w:rPr>
        <w:endnoteReference w:id="10"/>
      </w:r>
      <w:r w:rsidR="00AB2AEF" w:rsidRPr="00FE4E54">
        <w:rPr>
          <w:rFonts w:eastAsia="Calibri"/>
          <w:spacing w:val="-4"/>
          <w:lang w:val="en-GB"/>
        </w:rPr>
        <w:t xml:space="preserve"> Although Yodlee claimed the data was anonymized </w:t>
      </w:r>
      <w:r w:rsidR="00AB2AEF" w:rsidRPr="00FE4E54">
        <w:rPr>
          <w:rFonts w:eastAsia="Calibri"/>
          <w:spacing w:val="-4"/>
          <w:lang w:val="en-GB"/>
        </w:rPr>
        <w:lastRenderedPageBreak/>
        <w:t>and could not be used to identify individuals, researchers from M</w:t>
      </w:r>
      <w:r w:rsidR="004D57AF" w:rsidRPr="00FE4E54">
        <w:rPr>
          <w:rFonts w:eastAsia="Calibri"/>
          <w:spacing w:val="-4"/>
          <w:lang w:val="en-GB"/>
        </w:rPr>
        <w:t xml:space="preserve">assachusetts </w:t>
      </w:r>
      <w:r w:rsidR="00AB2AEF" w:rsidRPr="00FE4E54">
        <w:rPr>
          <w:rFonts w:eastAsia="Calibri"/>
          <w:spacing w:val="-4"/>
          <w:lang w:val="en-GB"/>
        </w:rPr>
        <w:t>I</w:t>
      </w:r>
      <w:r w:rsidR="004D57AF" w:rsidRPr="00FE4E54">
        <w:rPr>
          <w:rFonts w:eastAsia="Calibri"/>
          <w:spacing w:val="-4"/>
          <w:lang w:val="en-GB"/>
        </w:rPr>
        <w:t xml:space="preserve">nstitute of </w:t>
      </w:r>
      <w:r w:rsidR="00AB2AEF" w:rsidRPr="00FE4E54">
        <w:rPr>
          <w:rFonts w:eastAsia="Calibri"/>
          <w:spacing w:val="-4"/>
          <w:lang w:val="en-GB"/>
        </w:rPr>
        <w:t>T</w:t>
      </w:r>
      <w:r w:rsidR="004D57AF" w:rsidRPr="00FE4E54">
        <w:rPr>
          <w:rFonts w:eastAsia="Calibri"/>
          <w:spacing w:val="-4"/>
          <w:lang w:val="en-GB"/>
        </w:rPr>
        <w:t>echnology</w:t>
      </w:r>
      <w:r w:rsidR="00AB2AEF" w:rsidRPr="00FE4E54">
        <w:rPr>
          <w:rFonts w:eastAsia="Calibri"/>
          <w:spacing w:val="-4"/>
          <w:lang w:val="en-GB"/>
        </w:rPr>
        <w:t xml:space="preserve"> showed “they could unmask roughly 90</w:t>
      </w:r>
      <w:r w:rsidR="004D57AF" w:rsidRPr="00FE4E54">
        <w:rPr>
          <w:rFonts w:eastAsia="Calibri"/>
          <w:spacing w:val="-4"/>
          <w:lang w:val="en-GB"/>
        </w:rPr>
        <w:t xml:space="preserve"> per cent</w:t>
      </w:r>
      <w:r w:rsidR="00AB2AEF" w:rsidRPr="00FE4E54">
        <w:rPr>
          <w:rFonts w:eastAsia="Calibri"/>
          <w:spacing w:val="-4"/>
          <w:lang w:val="en-GB"/>
        </w:rPr>
        <w:t xml:space="preserve"> of people in a data[set].”</w:t>
      </w:r>
      <w:r w:rsidR="00AB2AEF" w:rsidRPr="00FE4E54">
        <w:rPr>
          <w:rFonts w:eastAsia="Calibri"/>
          <w:spacing w:val="-4"/>
          <w:vertAlign w:val="superscript"/>
          <w:lang w:val="en-GB"/>
        </w:rPr>
        <w:endnoteReference w:id="11"/>
      </w:r>
      <w:r w:rsidR="00AB2AEF" w:rsidRPr="00FE4E54">
        <w:rPr>
          <w:rFonts w:eastAsia="Calibri"/>
          <w:spacing w:val="-4"/>
          <w:lang w:val="en-GB"/>
        </w:rPr>
        <w:t xml:space="preserve"> Similar concerns persisted and had become heightened in 2020. “Consumers don’t actually read privacy policies,” argued Christina Tetr</w:t>
      </w:r>
      <w:r w:rsidR="009409DB" w:rsidRPr="00FE4E54">
        <w:rPr>
          <w:rFonts w:eastAsia="Calibri"/>
          <w:spacing w:val="-4"/>
          <w:lang w:val="en-GB"/>
        </w:rPr>
        <w:t>e</w:t>
      </w:r>
      <w:r w:rsidR="00AB2AEF" w:rsidRPr="00FE4E54">
        <w:rPr>
          <w:rFonts w:eastAsia="Calibri"/>
          <w:spacing w:val="-4"/>
          <w:lang w:val="en-GB"/>
        </w:rPr>
        <w:t xml:space="preserve">ault of </w:t>
      </w:r>
      <w:r w:rsidR="00AB2AEF" w:rsidRPr="00FE4E54">
        <w:rPr>
          <w:rFonts w:eastAsia="Calibri"/>
          <w:iCs/>
          <w:spacing w:val="-4"/>
          <w:lang w:val="en-GB"/>
        </w:rPr>
        <w:t>Consumer Reports</w:t>
      </w:r>
      <w:r w:rsidR="009409DB" w:rsidRPr="00FE4E54">
        <w:rPr>
          <w:rFonts w:eastAsia="Calibri"/>
          <w:iCs/>
          <w:spacing w:val="-4"/>
          <w:lang w:val="en-GB"/>
        </w:rPr>
        <w:t>, Inc</w:t>
      </w:r>
      <w:r w:rsidR="00AB2AEF" w:rsidRPr="00FE4E54">
        <w:rPr>
          <w:rFonts w:eastAsia="Calibri"/>
          <w:spacing w:val="-4"/>
          <w:lang w:val="en-GB"/>
        </w:rPr>
        <w:t>. She cited the example of a policy at a financial institution that conveyed to the company the right to access health information from consumers’ mobile phone apps. Most consumers okayed such policies, Tetr</w:t>
      </w:r>
      <w:r w:rsidR="009409DB" w:rsidRPr="00FE4E54">
        <w:rPr>
          <w:rFonts w:eastAsia="Calibri"/>
          <w:spacing w:val="-4"/>
          <w:lang w:val="en-GB"/>
        </w:rPr>
        <w:t>e</w:t>
      </w:r>
      <w:r w:rsidR="00AB2AEF" w:rsidRPr="00FE4E54">
        <w:rPr>
          <w:rFonts w:eastAsia="Calibri"/>
          <w:spacing w:val="-4"/>
          <w:lang w:val="en-GB"/>
        </w:rPr>
        <w:t>ault suggested, without reading the fine print. As a result, third parties too often achieved access to consumer data that Tetr</w:t>
      </w:r>
      <w:r w:rsidR="009409DB" w:rsidRPr="00FE4E54">
        <w:rPr>
          <w:rFonts w:eastAsia="Calibri"/>
          <w:spacing w:val="-4"/>
          <w:lang w:val="en-GB"/>
        </w:rPr>
        <w:t>e</w:t>
      </w:r>
      <w:r w:rsidR="00AB2AEF" w:rsidRPr="00FE4E54">
        <w:rPr>
          <w:rFonts w:eastAsia="Calibri"/>
          <w:spacing w:val="-4"/>
          <w:lang w:val="en-GB"/>
        </w:rPr>
        <w:t>ault characterized</w:t>
      </w:r>
      <w:r w:rsidR="009409DB" w:rsidRPr="00FE4E54">
        <w:rPr>
          <w:rFonts w:eastAsia="Calibri"/>
          <w:spacing w:val="-4"/>
          <w:lang w:val="en-GB"/>
        </w:rPr>
        <w:t xml:space="preserve"> as</w:t>
      </w:r>
      <w:r w:rsidR="00AB2AEF" w:rsidRPr="00FE4E54">
        <w:rPr>
          <w:rFonts w:eastAsia="Calibri"/>
          <w:spacing w:val="-4"/>
          <w:lang w:val="en-GB"/>
        </w:rPr>
        <w:t xml:space="preserve"> “way outside reasonable expectations.”</w:t>
      </w:r>
      <w:r w:rsidR="00AB2AEF" w:rsidRPr="00FE4E54">
        <w:rPr>
          <w:rFonts w:eastAsia="Calibri"/>
          <w:spacing w:val="-4"/>
          <w:vertAlign w:val="superscript"/>
          <w:lang w:val="en-GB"/>
        </w:rPr>
        <w:endnoteReference w:id="12"/>
      </w:r>
    </w:p>
    <w:p w14:paraId="4ECE5B22" w14:textId="77777777" w:rsidR="00AB2AEF" w:rsidRPr="00704BD2" w:rsidRDefault="00AB2AEF" w:rsidP="00AB2AEF">
      <w:pPr>
        <w:pStyle w:val="BodyTextMain"/>
        <w:rPr>
          <w:rFonts w:eastAsia="Calibri"/>
          <w:lang w:val="en-GB"/>
        </w:rPr>
      </w:pPr>
    </w:p>
    <w:p w14:paraId="1FF40462" w14:textId="0E4531BD" w:rsidR="00AB2AEF" w:rsidRPr="00704BD2" w:rsidRDefault="00AB2AEF" w:rsidP="00AB2AEF">
      <w:pPr>
        <w:pStyle w:val="BodyTextMain"/>
        <w:rPr>
          <w:rFonts w:eastAsia="Calibri"/>
          <w:lang w:val="en-GB"/>
        </w:rPr>
      </w:pPr>
      <w:r w:rsidRPr="00704BD2">
        <w:rPr>
          <w:rFonts w:eastAsia="Calibri"/>
          <w:lang w:val="en-GB"/>
        </w:rPr>
        <w:t>“The consumer has already decided</w:t>
      </w:r>
      <w:r w:rsidR="00C07465" w:rsidRPr="00704BD2">
        <w:rPr>
          <w:rFonts w:eastAsia="Calibri"/>
          <w:lang w:val="en-GB"/>
        </w:rPr>
        <w:t>,</w:t>
      </w:r>
      <w:r w:rsidRPr="00704BD2">
        <w:rPr>
          <w:rFonts w:eastAsia="Calibri"/>
          <w:lang w:val="en-GB"/>
        </w:rPr>
        <w:t>” countered John Pitts, a</w:t>
      </w:r>
      <w:r w:rsidR="00C07465" w:rsidRPr="00704BD2">
        <w:rPr>
          <w:rFonts w:eastAsia="Calibri"/>
          <w:lang w:val="en-GB"/>
        </w:rPr>
        <w:t>n</w:t>
      </w:r>
      <w:r w:rsidRPr="00704BD2">
        <w:rPr>
          <w:rFonts w:eastAsia="Calibri"/>
          <w:lang w:val="en-GB"/>
        </w:rPr>
        <w:t xml:space="preserve"> executive at the </w:t>
      </w:r>
      <w:r w:rsidR="009409DB" w:rsidRPr="00704BD2">
        <w:rPr>
          <w:rFonts w:eastAsia="Calibri"/>
          <w:lang w:val="en-GB"/>
        </w:rPr>
        <w:t>f</w:t>
      </w:r>
      <w:r w:rsidRPr="00704BD2">
        <w:rPr>
          <w:rFonts w:eastAsia="Calibri"/>
          <w:lang w:val="en-GB"/>
        </w:rPr>
        <w:t>intech Plaid</w:t>
      </w:r>
      <w:r w:rsidR="009409DB" w:rsidRPr="00704BD2">
        <w:rPr>
          <w:rFonts w:eastAsia="Calibri"/>
          <w:lang w:val="en-GB"/>
        </w:rPr>
        <w:t xml:space="preserve"> Inc</w:t>
      </w:r>
      <w:r w:rsidRPr="00704BD2">
        <w:rPr>
          <w:rFonts w:eastAsia="Calibri"/>
          <w:lang w:val="en-GB"/>
        </w:rPr>
        <w:t>.</w:t>
      </w:r>
      <w:r w:rsidR="00C07F1E" w:rsidRPr="00704BD2">
        <w:rPr>
          <w:rFonts w:eastAsia="Calibri"/>
          <w:lang w:val="en-GB"/>
        </w:rPr>
        <w:t xml:space="preserve"> (Plaid).</w:t>
      </w:r>
      <w:r w:rsidRPr="00704BD2">
        <w:rPr>
          <w:rFonts w:eastAsia="Calibri"/>
          <w:lang w:val="en-GB"/>
        </w:rPr>
        <w:t xml:space="preserve"> </w:t>
      </w:r>
      <w:r w:rsidR="00C07465" w:rsidRPr="00704BD2">
        <w:rPr>
          <w:rFonts w:eastAsia="Calibri"/>
          <w:lang w:val="en-GB"/>
        </w:rPr>
        <w:t xml:space="preserve">He explained, </w:t>
      </w:r>
      <w:r w:rsidRPr="00704BD2">
        <w:rPr>
          <w:rFonts w:eastAsia="Calibri"/>
          <w:lang w:val="en-GB"/>
        </w:rPr>
        <w:t xml:space="preserve">“They have already voted with their thumbs that [the service </w:t>
      </w:r>
      <w:r w:rsidR="005117A2" w:rsidRPr="00704BD2">
        <w:rPr>
          <w:rFonts w:eastAsia="Calibri"/>
          <w:lang w:val="en-GB"/>
        </w:rPr>
        <w:t>f</w:t>
      </w:r>
      <w:r w:rsidRPr="00704BD2">
        <w:rPr>
          <w:rFonts w:eastAsia="Calibri"/>
          <w:lang w:val="en-GB"/>
        </w:rPr>
        <w:t>intechs can provide] is something they want.” Others argued that uses of data criticized by consumer advocates were the key to services consumers wanted and intended to agree to. For example, Jason Gross, CEO and co-founder of Petal</w:t>
      </w:r>
      <w:r w:rsidR="009409DB" w:rsidRPr="00704BD2">
        <w:rPr>
          <w:rFonts w:eastAsia="Calibri"/>
          <w:lang w:val="en-GB"/>
        </w:rPr>
        <w:t xml:space="preserve"> Card, Inc.</w:t>
      </w:r>
      <w:r w:rsidRPr="00704BD2">
        <w:rPr>
          <w:rFonts w:eastAsia="Calibri"/>
          <w:lang w:val="en-GB"/>
        </w:rPr>
        <w:t>, which described itself as “a credit card company started by people who were sick of credit card companies,” said his company’s access to consumer data</w:t>
      </w:r>
      <w:r w:rsidR="00C07465" w:rsidRPr="00704BD2">
        <w:rPr>
          <w:rFonts w:eastAsia="Calibri"/>
          <w:lang w:val="en-GB"/>
        </w:rPr>
        <w:sym w:font="Symbol" w:char="F0BE"/>
      </w:r>
      <w:r w:rsidRPr="00704BD2">
        <w:rPr>
          <w:rFonts w:eastAsia="Calibri"/>
          <w:lang w:val="en-GB"/>
        </w:rPr>
        <w:t>which critics considered intrusive</w:t>
      </w:r>
      <w:r w:rsidR="00C07465" w:rsidRPr="00704BD2">
        <w:rPr>
          <w:rFonts w:eastAsia="Calibri"/>
          <w:lang w:val="en-GB"/>
        </w:rPr>
        <w:sym w:font="Symbol" w:char="F0BE"/>
      </w:r>
      <w:r w:rsidRPr="00704BD2">
        <w:rPr>
          <w:rFonts w:eastAsia="Calibri"/>
          <w:lang w:val="en-GB"/>
        </w:rPr>
        <w:t>allowed the company to keep better track of borrower activity, thereby allowing the company to provide credit at a lower rate than would be possible by relying on traditional credit reporting.</w:t>
      </w:r>
      <w:r w:rsidRPr="00704BD2">
        <w:rPr>
          <w:rFonts w:eastAsia="Calibri"/>
          <w:vertAlign w:val="superscript"/>
          <w:lang w:val="en-GB"/>
        </w:rPr>
        <w:endnoteReference w:id="13"/>
      </w:r>
    </w:p>
    <w:p w14:paraId="076E1EE5" w14:textId="77777777" w:rsidR="00AB2AEF" w:rsidRPr="00704BD2" w:rsidRDefault="00AB2AEF" w:rsidP="00AB2AEF">
      <w:pPr>
        <w:pStyle w:val="BodyTextMain"/>
        <w:rPr>
          <w:rFonts w:eastAsia="Calibri"/>
          <w:lang w:val="en-GB"/>
        </w:rPr>
      </w:pPr>
    </w:p>
    <w:p w14:paraId="6F58DAE5" w14:textId="267D001D" w:rsidR="00AB2AEF" w:rsidRPr="00704BD2" w:rsidRDefault="00C07465" w:rsidP="00AB2AEF">
      <w:pPr>
        <w:pStyle w:val="BodyTextMain"/>
        <w:rPr>
          <w:rFonts w:eastAsia="Calibri"/>
          <w:lang w:val="en-GB"/>
        </w:rPr>
      </w:pPr>
      <w:r w:rsidRPr="00704BD2">
        <w:rPr>
          <w:rFonts w:eastAsia="Calibri"/>
          <w:lang w:val="en-GB"/>
        </w:rPr>
        <w:t>A</w:t>
      </w:r>
      <w:r w:rsidR="00AB2AEF" w:rsidRPr="00704BD2">
        <w:rPr>
          <w:rFonts w:eastAsia="Calibri"/>
          <w:lang w:val="en-GB"/>
        </w:rPr>
        <w:t xml:space="preserve">s for cybersecurity breaches, </w:t>
      </w:r>
      <w:r w:rsidR="005117A2" w:rsidRPr="00704BD2">
        <w:rPr>
          <w:rFonts w:eastAsia="Calibri"/>
          <w:lang w:val="en-GB"/>
        </w:rPr>
        <w:t>f</w:t>
      </w:r>
      <w:r w:rsidR="00AB2AEF" w:rsidRPr="00704BD2">
        <w:rPr>
          <w:rFonts w:eastAsia="Calibri"/>
          <w:lang w:val="en-GB"/>
        </w:rPr>
        <w:t>intechs argued that they</w:t>
      </w:r>
      <w:r w:rsidRPr="00704BD2">
        <w:rPr>
          <w:rFonts w:eastAsia="Calibri"/>
          <w:lang w:val="en-GB"/>
        </w:rPr>
        <w:t>,</w:t>
      </w:r>
      <w:r w:rsidR="00AB2AEF" w:rsidRPr="00704BD2">
        <w:rPr>
          <w:rFonts w:eastAsia="Calibri"/>
          <w:lang w:val="en-GB"/>
        </w:rPr>
        <w:t xml:space="preserve"> too</w:t>
      </w:r>
      <w:r w:rsidRPr="00704BD2">
        <w:rPr>
          <w:rFonts w:eastAsia="Calibri"/>
          <w:lang w:val="en-GB"/>
        </w:rPr>
        <w:t>,</w:t>
      </w:r>
      <w:r w:rsidR="00AB2AEF" w:rsidRPr="00704BD2">
        <w:rPr>
          <w:rFonts w:eastAsia="Calibri"/>
          <w:lang w:val="en-GB"/>
        </w:rPr>
        <w:t xml:space="preserve"> could be good at protecting a customer’s data. </w:t>
      </w:r>
      <w:r w:rsidR="00203A9D" w:rsidRPr="00704BD2">
        <w:rPr>
          <w:rFonts w:eastAsia="Calibri"/>
          <w:lang w:val="en-GB"/>
        </w:rPr>
        <w:t>Some pointed out that fintechs</w:t>
      </w:r>
      <w:r w:rsidR="00AB2AEF" w:rsidRPr="00704BD2">
        <w:rPr>
          <w:rFonts w:eastAsia="Calibri"/>
          <w:lang w:val="en-GB"/>
        </w:rPr>
        <w:t xml:space="preserve"> had never experienced a breach of the magnitude of </w:t>
      </w:r>
      <w:r w:rsidRPr="00704BD2">
        <w:rPr>
          <w:rFonts w:eastAsia="Calibri"/>
          <w:lang w:val="en-GB"/>
        </w:rPr>
        <w:t>the</w:t>
      </w:r>
      <w:r w:rsidR="00AB2AEF" w:rsidRPr="00704BD2">
        <w:rPr>
          <w:rFonts w:eastAsia="Calibri"/>
          <w:lang w:val="en-GB"/>
        </w:rPr>
        <w:t xml:space="preserve"> 2014 JPMC breach, in which thieves stole data on millions of customers.</w:t>
      </w:r>
      <w:r w:rsidR="00AB2AEF" w:rsidRPr="00704BD2">
        <w:rPr>
          <w:rFonts w:eastAsia="Calibri"/>
          <w:vertAlign w:val="superscript"/>
          <w:lang w:val="en-GB"/>
        </w:rPr>
        <w:endnoteReference w:id="14"/>
      </w:r>
    </w:p>
    <w:p w14:paraId="7990F23D" w14:textId="77777777" w:rsidR="00AB2AEF" w:rsidRPr="00704BD2" w:rsidRDefault="00AB2AEF" w:rsidP="00AB2AEF">
      <w:pPr>
        <w:pStyle w:val="BodyTextMain"/>
        <w:rPr>
          <w:rFonts w:eastAsia="Calibri"/>
          <w:lang w:val="en-GB"/>
        </w:rPr>
      </w:pPr>
    </w:p>
    <w:p w14:paraId="3ED28558" w14:textId="7ED2064E" w:rsidR="00AB2AEF" w:rsidRPr="00704BD2" w:rsidRDefault="00AB2AEF" w:rsidP="00AB2AEF">
      <w:pPr>
        <w:pStyle w:val="BodyTextMain"/>
        <w:rPr>
          <w:rFonts w:eastAsia="Calibri"/>
          <w:lang w:val="en-GB"/>
        </w:rPr>
      </w:pPr>
      <w:r w:rsidRPr="00704BD2">
        <w:rPr>
          <w:rFonts w:eastAsia="Calibri"/>
          <w:lang w:val="en-GB"/>
        </w:rPr>
        <w:t>Clearly</w:t>
      </w:r>
      <w:r w:rsidR="00203A9D" w:rsidRPr="00704BD2">
        <w:rPr>
          <w:rFonts w:eastAsia="Calibri"/>
          <w:lang w:val="en-GB"/>
        </w:rPr>
        <w:t>,</w:t>
      </w:r>
      <w:r w:rsidRPr="00704BD2">
        <w:rPr>
          <w:rFonts w:eastAsia="Calibri"/>
          <w:lang w:val="en-GB"/>
        </w:rPr>
        <w:t xml:space="preserve"> open banking presented JPMC with big questions. What should </w:t>
      </w:r>
      <w:r w:rsidR="00203A9D" w:rsidRPr="00704BD2">
        <w:rPr>
          <w:rFonts w:eastAsia="Calibri"/>
          <w:lang w:val="en-GB"/>
        </w:rPr>
        <w:t>its</w:t>
      </w:r>
      <w:r w:rsidRPr="00704BD2">
        <w:rPr>
          <w:rFonts w:eastAsia="Calibri"/>
          <w:lang w:val="en-GB"/>
        </w:rPr>
        <w:t xml:space="preserve"> approach</w:t>
      </w:r>
      <w:r w:rsidR="00B455C6" w:rsidRPr="00704BD2">
        <w:rPr>
          <w:rFonts w:eastAsia="Calibri"/>
          <w:lang w:val="en-GB"/>
        </w:rPr>
        <w:t xml:space="preserve"> be</w:t>
      </w:r>
      <w:r w:rsidRPr="00704BD2">
        <w:rPr>
          <w:rFonts w:eastAsia="Calibri"/>
          <w:lang w:val="en-GB"/>
        </w:rPr>
        <w:t xml:space="preserve"> to it? If consumers wanted </w:t>
      </w:r>
      <w:r w:rsidR="00203A9D" w:rsidRPr="00704BD2">
        <w:rPr>
          <w:rFonts w:eastAsia="Calibri"/>
          <w:lang w:val="en-GB"/>
        </w:rPr>
        <w:t>open banking</w:t>
      </w:r>
      <w:r w:rsidRPr="00704BD2">
        <w:rPr>
          <w:rFonts w:eastAsia="Calibri"/>
          <w:lang w:val="en-GB"/>
        </w:rPr>
        <w:t xml:space="preserve"> and other banks went along, it might be impossible to resist. And yet the path to open banking seemed fraught with risk. Could liability for </w:t>
      </w:r>
      <w:r w:rsidR="005117A2" w:rsidRPr="00704BD2">
        <w:rPr>
          <w:rFonts w:eastAsia="Calibri"/>
          <w:lang w:val="en-GB"/>
        </w:rPr>
        <w:t>f</w:t>
      </w:r>
      <w:r w:rsidRPr="00704BD2">
        <w:rPr>
          <w:rFonts w:eastAsia="Calibri"/>
          <w:lang w:val="en-GB"/>
        </w:rPr>
        <w:t>intech misbehavio</w:t>
      </w:r>
      <w:r w:rsidR="005117A2" w:rsidRPr="00704BD2">
        <w:rPr>
          <w:rFonts w:eastAsia="Calibri"/>
          <w:lang w:val="en-GB"/>
        </w:rPr>
        <w:t>u</w:t>
      </w:r>
      <w:r w:rsidRPr="00704BD2">
        <w:rPr>
          <w:rFonts w:eastAsia="Calibri"/>
          <w:lang w:val="en-GB"/>
        </w:rPr>
        <w:t>r or mistake rebound on JPMC? Or might open banking represent new and significant opportunities for banks? In either case, how should an established bank like JPMC proceed?</w:t>
      </w:r>
    </w:p>
    <w:p w14:paraId="2D524814" w14:textId="48AA02D3" w:rsidR="00AB2AEF" w:rsidRPr="00704BD2" w:rsidRDefault="00AB2AEF" w:rsidP="00AB2AEF">
      <w:pPr>
        <w:pStyle w:val="BodyTextMain"/>
        <w:rPr>
          <w:rFonts w:eastAsia="Calibri"/>
          <w:u w:val="single"/>
          <w:lang w:val="en-GB"/>
        </w:rPr>
      </w:pPr>
    </w:p>
    <w:p w14:paraId="3D3B2B73" w14:textId="77777777" w:rsidR="00AB2AEF" w:rsidRPr="00704BD2" w:rsidRDefault="00AB2AEF" w:rsidP="00AB2AEF">
      <w:pPr>
        <w:pStyle w:val="BodyTextMain"/>
        <w:rPr>
          <w:rFonts w:eastAsia="Calibri"/>
          <w:u w:val="single"/>
          <w:lang w:val="en-GB"/>
        </w:rPr>
      </w:pPr>
    </w:p>
    <w:p w14:paraId="48A3E934" w14:textId="77777777" w:rsidR="00AB2AEF" w:rsidRPr="00704BD2" w:rsidRDefault="00AB2AEF" w:rsidP="00AB2AEF">
      <w:pPr>
        <w:pStyle w:val="Casehead1"/>
        <w:rPr>
          <w:rFonts w:eastAsia="Calibri"/>
          <w:lang w:val="en-GB"/>
        </w:rPr>
      </w:pPr>
      <w:r w:rsidRPr="00704BD2">
        <w:rPr>
          <w:rFonts w:eastAsia="Calibri"/>
          <w:lang w:val="en-GB"/>
        </w:rPr>
        <w:t>The Retail Banking Industry</w:t>
      </w:r>
    </w:p>
    <w:p w14:paraId="41BD5615" w14:textId="77777777" w:rsidR="00AB2AEF" w:rsidRPr="00704BD2" w:rsidRDefault="00AB2AEF" w:rsidP="00AB2AEF">
      <w:pPr>
        <w:pStyle w:val="BodyTextMain"/>
        <w:rPr>
          <w:rFonts w:eastAsia="Calibri"/>
          <w:lang w:val="en-GB"/>
        </w:rPr>
      </w:pPr>
    </w:p>
    <w:p w14:paraId="533643BC" w14:textId="30F7C999" w:rsidR="00AB2AEF" w:rsidRPr="00704BD2" w:rsidRDefault="00AB2AEF" w:rsidP="00AB2AEF">
      <w:pPr>
        <w:pStyle w:val="BodyTextMain"/>
        <w:rPr>
          <w:rFonts w:eastAsia="Calibri"/>
          <w:lang w:val="en-GB"/>
        </w:rPr>
      </w:pPr>
      <w:r w:rsidRPr="00704BD2">
        <w:rPr>
          <w:rFonts w:eastAsia="Calibri"/>
          <w:lang w:val="en-GB"/>
        </w:rPr>
        <w:t>Retail banking (also known as consumer banking or personal banking) provided financial services to the general public</w:t>
      </w:r>
      <w:r w:rsidR="00203A9D" w:rsidRPr="00704BD2">
        <w:rPr>
          <w:rFonts w:eastAsia="Calibri"/>
          <w:lang w:val="en-GB"/>
        </w:rPr>
        <w:t>,</w:t>
      </w:r>
      <w:r w:rsidRPr="00704BD2">
        <w:rPr>
          <w:rFonts w:eastAsia="Calibri"/>
          <w:lang w:val="en-GB"/>
        </w:rPr>
        <w:t xml:space="preserve"> </w:t>
      </w:r>
      <w:r w:rsidR="00203A9D" w:rsidRPr="00704BD2">
        <w:rPr>
          <w:rFonts w:eastAsia="Calibri"/>
          <w:lang w:val="en-GB"/>
        </w:rPr>
        <w:t>as opposed to</w:t>
      </w:r>
      <w:r w:rsidRPr="00704BD2">
        <w:rPr>
          <w:rFonts w:eastAsia="Calibri"/>
          <w:lang w:val="en-GB"/>
        </w:rPr>
        <w:t xml:space="preserve"> companies or organizations. These financial services included, but were not limited to, che</w:t>
      </w:r>
      <w:r w:rsidR="00203A9D" w:rsidRPr="00704BD2">
        <w:rPr>
          <w:rFonts w:eastAsia="Calibri"/>
          <w:lang w:val="en-GB"/>
        </w:rPr>
        <w:t>quing</w:t>
      </w:r>
      <w:r w:rsidRPr="00704BD2">
        <w:rPr>
          <w:rFonts w:eastAsia="Calibri"/>
          <w:lang w:val="en-GB"/>
        </w:rPr>
        <w:t xml:space="preserve">/savings accounts, mortgages, debit/credit cards, loans, </w:t>
      </w:r>
      <w:r w:rsidR="00203A9D" w:rsidRPr="00704BD2">
        <w:rPr>
          <w:rFonts w:eastAsia="Calibri"/>
          <w:lang w:val="en-GB"/>
        </w:rPr>
        <w:t>automated teller machines,</w:t>
      </w:r>
      <w:r w:rsidRPr="00704BD2">
        <w:rPr>
          <w:rFonts w:eastAsia="Calibri"/>
          <w:lang w:val="en-GB"/>
        </w:rPr>
        <w:t xml:space="preserve"> and retirement accounts. Banks cross-sold other financial products to their retail banking customers, </w:t>
      </w:r>
      <w:r w:rsidR="00054C44" w:rsidRPr="00704BD2">
        <w:rPr>
          <w:rFonts w:eastAsia="Calibri"/>
          <w:lang w:val="en-GB"/>
        </w:rPr>
        <w:t xml:space="preserve">providing </w:t>
      </w:r>
      <w:r w:rsidRPr="00704BD2">
        <w:rPr>
          <w:rFonts w:eastAsia="Calibri"/>
          <w:lang w:val="en-GB"/>
        </w:rPr>
        <w:t xml:space="preserve">services </w:t>
      </w:r>
      <w:r w:rsidR="00203A9D" w:rsidRPr="00704BD2">
        <w:rPr>
          <w:rFonts w:eastAsia="Calibri"/>
          <w:lang w:val="en-GB"/>
        </w:rPr>
        <w:t>such as</w:t>
      </w:r>
      <w:r w:rsidRPr="00704BD2">
        <w:rPr>
          <w:rFonts w:eastAsia="Calibri"/>
          <w:lang w:val="en-GB"/>
        </w:rPr>
        <w:t xml:space="preserve"> wealth management and investment advice.</w:t>
      </w:r>
      <w:r w:rsidRPr="00704BD2">
        <w:rPr>
          <w:rFonts w:eastAsia="Calibri"/>
          <w:vertAlign w:val="superscript"/>
          <w:lang w:val="en-GB"/>
        </w:rPr>
        <w:endnoteReference w:id="15"/>
      </w:r>
    </w:p>
    <w:p w14:paraId="3178C808" w14:textId="77777777" w:rsidR="00AB2AEF" w:rsidRPr="00704BD2" w:rsidRDefault="00AB2AEF" w:rsidP="00AB2AEF">
      <w:pPr>
        <w:pStyle w:val="BodyTextMain"/>
        <w:rPr>
          <w:rFonts w:eastAsia="Calibri"/>
          <w:lang w:val="en-GB"/>
        </w:rPr>
      </w:pPr>
    </w:p>
    <w:p w14:paraId="63D166F3" w14:textId="3D88F1E8" w:rsidR="00AB2AEF" w:rsidRPr="00704BD2" w:rsidRDefault="00AB2AEF" w:rsidP="00AB2AEF">
      <w:pPr>
        <w:pStyle w:val="BodyTextMain"/>
        <w:rPr>
          <w:rFonts w:eastAsia="Calibri"/>
          <w:lang w:val="en-GB"/>
        </w:rPr>
      </w:pPr>
      <w:r w:rsidRPr="00704BD2">
        <w:rPr>
          <w:rFonts w:eastAsia="Calibri"/>
          <w:lang w:val="en-GB"/>
        </w:rPr>
        <w:t>According to the Federal Deposit Insurance Corp</w:t>
      </w:r>
      <w:r w:rsidR="00203A9D" w:rsidRPr="00704BD2">
        <w:rPr>
          <w:rFonts w:eastAsia="Calibri"/>
          <w:lang w:val="en-GB"/>
        </w:rPr>
        <w:t>oration</w:t>
      </w:r>
      <w:r w:rsidRPr="00704BD2">
        <w:rPr>
          <w:rFonts w:eastAsia="Calibri"/>
          <w:lang w:val="en-GB"/>
        </w:rPr>
        <w:t xml:space="preserve">, banking generated </w:t>
      </w:r>
      <w:r w:rsidR="00054C44" w:rsidRPr="00704BD2">
        <w:rPr>
          <w:rFonts w:eastAsia="Calibri"/>
          <w:lang w:val="en-GB"/>
        </w:rPr>
        <w:t>US</w:t>
      </w:r>
      <w:r w:rsidRPr="00704BD2">
        <w:rPr>
          <w:rFonts w:eastAsia="Calibri"/>
          <w:lang w:val="en-GB"/>
        </w:rPr>
        <w:t>$233 billion</w:t>
      </w:r>
      <w:r w:rsidR="00054C44" w:rsidRPr="00704BD2">
        <w:rPr>
          <w:rStyle w:val="EndnoteReference"/>
          <w:rFonts w:eastAsia="Calibri"/>
          <w:lang w:val="en-GB"/>
        </w:rPr>
        <w:endnoteReference w:id="16"/>
      </w:r>
      <w:r w:rsidRPr="00704BD2">
        <w:rPr>
          <w:rFonts w:eastAsia="Calibri"/>
          <w:lang w:val="en-GB"/>
        </w:rPr>
        <w:t xml:space="preserve"> in net income during 2019, the industry’s second most profitable year ever.</w:t>
      </w:r>
      <w:r w:rsidRPr="00704BD2">
        <w:rPr>
          <w:rFonts w:eastAsia="Calibri"/>
          <w:vertAlign w:val="superscript"/>
          <w:lang w:val="en-GB"/>
        </w:rPr>
        <w:endnoteReference w:id="17"/>
      </w:r>
      <w:r w:rsidRPr="00704BD2">
        <w:rPr>
          <w:rFonts w:eastAsia="Calibri"/>
          <w:lang w:val="en-GB"/>
        </w:rPr>
        <w:t xml:space="preserve"> The industry was highly consolidated, dominated by a few key players. It was difficult for new firms to enter the market; high fixed costs and stringent regulations presented high barriers to entry.</w:t>
      </w:r>
      <w:r w:rsidRPr="00704BD2">
        <w:rPr>
          <w:rFonts w:eastAsia="Calibri"/>
          <w:vertAlign w:val="superscript"/>
          <w:lang w:val="en-GB"/>
        </w:rPr>
        <w:endnoteReference w:id="18"/>
      </w:r>
      <w:r w:rsidRPr="00704BD2">
        <w:rPr>
          <w:rFonts w:eastAsia="Calibri"/>
          <w:lang w:val="en-GB"/>
        </w:rPr>
        <w:t xml:space="preserve"> Compliance with regulations and banking legalities weighed disproportionately on smaller firms, which had to dedicate proportionally greater resources towards compliance relative to large firms.</w:t>
      </w:r>
      <w:r w:rsidRPr="00704BD2">
        <w:rPr>
          <w:rFonts w:eastAsia="Calibri"/>
          <w:vertAlign w:val="superscript"/>
          <w:lang w:val="en-GB"/>
        </w:rPr>
        <w:endnoteReference w:id="19"/>
      </w:r>
      <w:r w:rsidRPr="00704BD2">
        <w:rPr>
          <w:rFonts w:eastAsia="Calibri"/>
          <w:lang w:val="en-GB"/>
        </w:rPr>
        <w:t xml:space="preserve"> Switching banks entailed high switching costs, so consumers rarely did it.</w:t>
      </w:r>
      <w:r w:rsidRPr="00704BD2">
        <w:rPr>
          <w:rFonts w:eastAsia="Calibri"/>
          <w:vertAlign w:val="superscript"/>
          <w:lang w:val="en-GB"/>
        </w:rPr>
        <w:endnoteReference w:id="20"/>
      </w:r>
      <w:r w:rsidRPr="00704BD2">
        <w:rPr>
          <w:rFonts w:eastAsia="Calibri"/>
          <w:lang w:val="en-GB"/>
        </w:rPr>
        <w:t xml:space="preserve"> These factors combin</w:t>
      </w:r>
      <w:r w:rsidR="00BE5976" w:rsidRPr="00704BD2">
        <w:rPr>
          <w:rFonts w:eastAsia="Calibri"/>
          <w:lang w:val="en-GB"/>
        </w:rPr>
        <w:t>ed</w:t>
      </w:r>
      <w:r w:rsidRPr="00704BD2">
        <w:rPr>
          <w:rFonts w:eastAsia="Calibri"/>
          <w:lang w:val="en-GB"/>
        </w:rPr>
        <w:t xml:space="preserve"> meant </w:t>
      </w:r>
      <w:r w:rsidR="00054C44" w:rsidRPr="00704BD2">
        <w:rPr>
          <w:rFonts w:eastAsia="Calibri"/>
          <w:lang w:val="en-GB"/>
        </w:rPr>
        <w:t xml:space="preserve">that </w:t>
      </w:r>
      <w:r w:rsidRPr="00704BD2">
        <w:rPr>
          <w:rFonts w:eastAsia="Calibri"/>
          <w:lang w:val="en-GB"/>
        </w:rPr>
        <w:t xml:space="preserve">banks had </w:t>
      </w:r>
      <w:r w:rsidR="00F81E21">
        <w:rPr>
          <w:rFonts w:eastAsia="Calibri"/>
          <w:lang w:val="en-GB"/>
        </w:rPr>
        <w:t>become</w:t>
      </w:r>
      <w:r w:rsidRPr="00704BD2">
        <w:rPr>
          <w:rFonts w:eastAsia="Calibri"/>
          <w:lang w:val="en-GB"/>
        </w:rPr>
        <w:t xml:space="preserve"> used to not having to compete fiercely for the bulk of their customers.</w:t>
      </w:r>
    </w:p>
    <w:p w14:paraId="409174AC" w14:textId="77777777" w:rsidR="00AB2AEF" w:rsidRPr="00704BD2" w:rsidRDefault="00AB2AEF" w:rsidP="00AB2AEF">
      <w:pPr>
        <w:pStyle w:val="BodyTextMain"/>
        <w:rPr>
          <w:rFonts w:eastAsia="Calibri"/>
          <w:lang w:val="en-GB"/>
        </w:rPr>
      </w:pPr>
    </w:p>
    <w:p w14:paraId="73676871" w14:textId="566249CC" w:rsidR="00AB2AEF" w:rsidRPr="00704BD2" w:rsidRDefault="00AB2AEF" w:rsidP="00AB2AEF">
      <w:pPr>
        <w:pStyle w:val="BodyTextMain"/>
        <w:rPr>
          <w:rFonts w:eastAsia="Calibri"/>
          <w:lang w:val="en-GB"/>
        </w:rPr>
      </w:pPr>
      <w:r w:rsidRPr="00704BD2">
        <w:rPr>
          <w:rFonts w:eastAsia="Calibri"/>
          <w:lang w:val="en-GB"/>
        </w:rPr>
        <w:t>Retail banks generated income through loans, a system known as fractional reserve banking. Banks stored cash deposits from clients and use</w:t>
      </w:r>
      <w:r w:rsidR="00054C44" w:rsidRPr="00704BD2">
        <w:rPr>
          <w:rFonts w:eastAsia="Calibri"/>
          <w:lang w:val="en-GB"/>
        </w:rPr>
        <w:t>d</w:t>
      </w:r>
      <w:r w:rsidRPr="00704BD2">
        <w:rPr>
          <w:rFonts w:eastAsia="Calibri"/>
          <w:lang w:val="en-GB"/>
        </w:rPr>
        <w:t xml:space="preserve"> the deposits to make loans. The Federal Reserve required a certain percentage of deposits to be kept on hand; such “reserve requirements” were a safety measure to ensure that requests for withdrawals would not exceed deposits at any point in time. Banks charged interest on </w:t>
      </w:r>
      <w:r w:rsidRPr="00704BD2">
        <w:rPr>
          <w:rFonts w:eastAsia="Calibri"/>
          <w:lang w:val="en-GB"/>
        </w:rPr>
        <w:lastRenderedPageBreak/>
        <w:t>loans at a higher rate than the rate they paid to customer</w:t>
      </w:r>
      <w:r w:rsidR="00054C44" w:rsidRPr="00704BD2">
        <w:rPr>
          <w:rFonts w:eastAsia="Calibri"/>
          <w:lang w:val="en-GB"/>
        </w:rPr>
        <w:t>s</w:t>
      </w:r>
      <w:r w:rsidRPr="00704BD2">
        <w:rPr>
          <w:rFonts w:eastAsia="Calibri"/>
          <w:lang w:val="en-GB"/>
        </w:rPr>
        <w:t xml:space="preserve"> on their deposits. The differential between the two interest rates was how a bank generated income.</w:t>
      </w:r>
      <w:r w:rsidRPr="00704BD2">
        <w:rPr>
          <w:rFonts w:eastAsia="Calibri"/>
          <w:vertAlign w:val="superscript"/>
          <w:lang w:val="en-GB"/>
        </w:rPr>
        <w:endnoteReference w:id="21"/>
      </w:r>
      <w:r w:rsidRPr="00704BD2">
        <w:rPr>
          <w:rFonts w:eastAsia="Calibri"/>
          <w:lang w:val="en-GB"/>
        </w:rPr>
        <w:t xml:space="preserve"> Thus, profitability in retail banks was highly subject to economic conditions; lower interest rates compressed margins. </w:t>
      </w:r>
    </w:p>
    <w:p w14:paraId="52CDF767" w14:textId="77777777" w:rsidR="00AB2AEF" w:rsidRPr="00704BD2" w:rsidRDefault="00AB2AEF" w:rsidP="00AB2AEF">
      <w:pPr>
        <w:pStyle w:val="BodyTextMain"/>
        <w:rPr>
          <w:rFonts w:eastAsia="Calibri"/>
          <w:lang w:val="en-GB"/>
        </w:rPr>
      </w:pPr>
    </w:p>
    <w:p w14:paraId="611EB408" w14:textId="738F30A9" w:rsidR="00AB2AEF" w:rsidRPr="00704BD2" w:rsidRDefault="00AB2AEF" w:rsidP="00AB2AEF">
      <w:pPr>
        <w:pStyle w:val="BodyTextMain"/>
        <w:rPr>
          <w:rFonts w:eastAsia="Calibri"/>
          <w:lang w:val="en-GB"/>
        </w:rPr>
      </w:pPr>
      <w:r w:rsidRPr="00704BD2">
        <w:rPr>
          <w:rFonts w:eastAsia="Calibri"/>
          <w:lang w:val="en-GB"/>
        </w:rPr>
        <w:t>In 2020, after years of low interest rates, business conditions had turned against banks. Annual revenue growth had slowed.</w:t>
      </w:r>
      <w:r w:rsidRPr="00704BD2">
        <w:rPr>
          <w:rFonts w:eastAsia="Calibri"/>
          <w:vertAlign w:val="superscript"/>
          <w:lang w:val="en-GB"/>
        </w:rPr>
        <w:endnoteReference w:id="22"/>
      </w:r>
      <w:r w:rsidRPr="00704BD2">
        <w:rPr>
          <w:rFonts w:eastAsia="Calibri"/>
          <w:lang w:val="en-GB"/>
        </w:rPr>
        <w:t xml:space="preserve"> Banks looked to cost-cutting and innovation to maintain profit margins. One potential avenue to both was online banking</w:t>
      </w:r>
      <w:r w:rsidR="0024265A" w:rsidRPr="00704BD2">
        <w:rPr>
          <w:rFonts w:eastAsia="Calibri"/>
          <w:lang w:val="en-GB"/>
        </w:rPr>
        <w:sym w:font="Symbol" w:char="F0BE"/>
      </w:r>
      <w:r w:rsidRPr="00704BD2">
        <w:rPr>
          <w:rFonts w:eastAsia="Calibri"/>
          <w:lang w:val="en-GB"/>
        </w:rPr>
        <w:t>providing services through the Internet and mobile apps, which reduced the need for customers to travel to physical bank branches</w:t>
      </w:r>
      <w:r w:rsidR="000F5BB8">
        <w:rPr>
          <w:rFonts w:eastAsia="Calibri"/>
          <w:lang w:val="en-GB"/>
        </w:rPr>
        <w:t>,</w:t>
      </w:r>
      <w:r w:rsidRPr="00704BD2">
        <w:rPr>
          <w:rFonts w:eastAsia="Calibri"/>
          <w:lang w:val="en-GB"/>
        </w:rPr>
        <w:t xml:space="preserve"> and </w:t>
      </w:r>
      <w:r w:rsidR="0024265A" w:rsidRPr="00704BD2">
        <w:rPr>
          <w:rFonts w:eastAsia="Calibri"/>
          <w:lang w:val="en-GB"/>
        </w:rPr>
        <w:t xml:space="preserve">that </w:t>
      </w:r>
      <w:r w:rsidRPr="00704BD2">
        <w:rPr>
          <w:rFonts w:eastAsia="Calibri"/>
          <w:lang w:val="en-GB"/>
        </w:rPr>
        <w:t xml:space="preserve">suggested possibilities for new consumer services. While this avenue promised increased convenience and satisfaction for customers, it also placed banks in closer competition with nimbler </w:t>
      </w:r>
      <w:r w:rsidR="005117A2" w:rsidRPr="00704BD2">
        <w:rPr>
          <w:rFonts w:eastAsia="Calibri"/>
          <w:lang w:val="en-GB"/>
        </w:rPr>
        <w:t>f</w:t>
      </w:r>
      <w:r w:rsidRPr="00704BD2">
        <w:rPr>
          <w:rFonts w:eastAsia="Calibri"/>
          <w:lang w:val="en-GB"/>
        </w:rPr>
        <w:t>intech companies, who aspired to provide the same and additional services with more ease and often at lower prices.</w:t>
      </w:r>
      <w:r w:rsidRPr="00704BD2">
        <w:rPr>
          <w:rFonts w:eastAsia="Calibri"/>
          <w:vertAlign w:val="superscript"/>
          <w:lang w:val="en-GB"/>
        </w:rPr>
        <w:endnoteReference w:id="23"/>
      </w:r>
    </w:p>
    <w:p w14:paraId="041F9FD3" w14:textId="77777777" w:rsidR="00AB2AEF" w:rsidRPr="00704BD2" w:rsidRDefault="00AB2AEF" w:rsidP="00AB2AEF">
      <w:pPr>
        <w:pStyle w:val="BodyTextMain"/>
        <w:rPr>
          <w:rFonts w:eastAsia="Calibri"/>
          <w:lang w:val="en-GB"/>
        </w:rPr>
      </w:pPr>
    </w:p>
    <w:p w14:paraId="71ED6FD8" w14:textId="2B8EEF52" w:rsidR="00AB2AEF" w:rsidRPr="00B23BAA" w:rsidRDefault="00AB2AEF" w:rsidP="00AB2AEF">
      <w:pPr>
        <w:pStyle w:val="BodyTextMain"/>
        <w:rPr>
          <w:rFonts w:eastAsia="Calibri"/>
          <w:spacing w:val="-2"/>
          <w:lang w:val="en-GB"/>
        </w:rPr>
      </w:pPr>
      <w:r w:rsidRPr="00B23BAA">
        <w:rPr>
          <w:rFonts w:eastAsia="Calibri"/>
          <w:spacing w:val="-2"/>
          <w:lang w:val="en-GB"/>
        </w:rPr>
        <w:t>Banks cross-sold investment products, asset/wealth management</w:t>
      </w:r>
      <w:r w:rsidR="002A67D0" w:rsidRPr="00B23BAA">
        <w:rPr>
          <w:rFonts w:eastAsia="Calibri"/>
          <w:spacing w:val="-2"/>
          <w:lang w:val="en-GB"/>
        </w:rPr>
        <w:t xml:space="preserve"> services</w:t>
      </w:r>
      <w:r w:rsidRPr="00B23BAA">
        <w:rPr>
          <w:rFonts w:eastAsia="Calibri"/>
          <w:spacing w:val="-2"/>
          <w:lang w:val="en-GB"/>
        </w:rPr>
        <w:t xml:space="preserve">, and payment solutions to generate additional revenues, but many of these products were also prone to disruption and margin compression. With the rise of low-cost passive investments like </w:t>
      </w:r>
      <w:r w:rsidR="0024265A" w:rsidRPr="00B23BAA">
        <w:rPr>
          <w:rFonts w:eastAsia="Calibri"/>
          <w:spacing w:val="-2"/>
          <w:lang w:val="en-GB"/>
        </w:rPr>
        <w:t>e</w:t>
      </w:r>
      <w:r w:rsidRPr="00B23BAA">
        <w:rPr>
          <w:rFonts w:eastAsia="Calibri"/>
          <w:spacing w:val="-2"/>
          <w:lang w:val="en-GB"/>
        </w:rPr>
        <w:t>xchange</w:t>
      </w:r>
      <w:r w:rsidR="0024265A" w:rsidRPr="00B23BAA">
        <w:rPr>
          <w:rFonts w:eastAsia="Calibri"/>
          <w:spacing w:val="-2"/>
          <w:lang w:val="en-GB"/>
        </w:rPr>
        <w:t>-t</w:t>
      </w:r>
      <w:r w:rsidRPr="00B23BAA">
        <w:rPr>
          <w:rFonts w:eastAsia="Calibri"/>
          <w:spacing w:val="-2"/>
          <w:lang w:val="en-GB"/>
        </w:rPr>
        <w:t xml:space="preserve">raded </w:t>
      </w:r>
      <w:r w:rsidR="0024265A" w:rsidRPr="00B23BAA">
        <w:rPr>
          <w:rFonts w:eastAsia="Calibri"/>
          <w:spacing w:val="-2"/>
          <w:lang w:val="en-GB"/>
        </w:rPr>
        <w:t>f</w:t>
      </w:r>
      <w:r w:rsidRPr="00B23BAA">
        <w:rPr>
          <w:rFonts w:eastAsia="Calibri"/>
          <w:spacing w:val="-2"/>
          <w:lang w:val="en-GB"/>
        </w:rPr>
        <w:t xml:space="preserve">unds, banks were forced to reduce fees for managing their investment funds. Fintech companies also pushed into these spaces. Robo-advisors, which provided automated, sometimes </w:t>
      </w:r>
      <w:r w:rsidR="0024265A" w:rsidRPr="00B23BAA">
        <w:rPr>
          <w:rFonts w:eastAsia="Calibri"/>
          <w:spacing w:val="-2"/>
          <w:lang w:val="en-GB"/>
        </w:rPr>
        <w:t>artificial intelligence (</w:t>
      </w:r>
      <w:r w:rsidRPr="00B23BAA">
        <w:rPr>
          <w:rFonts w:eastAsia="Calibri"/>
          <w:spacing w:val="-2"/>
          <w:lang w:val="en-GB"/>
        </w:rPr>
        <w:t>AI</w:t>
      </w:r>
      <w:r w:rsidR="0024265A" w:rsidRPr="00B23BAA">
        <w:rPr>
          <w:rFonts w:eastAsia="Calibri"/>
          <w:spacing w:val="-2"/>
          <w:lang w:val="en-GB"/>
        </w:rPr>
        <w:t>)</w:t>
      </w:r>
      <w:r w:rsidRPr="00B23BAA">
        <w:rPr>
          <w:rFonts w:eastAsia="Calibri"/>
          <w:spacing w:val="-2"/>
          <w:lang w:val="en-GB"/>
        </w:rPr>
        <w:t>-powered advice, eliminat</w:t>
      </w:r>
      <w:r w:rsidR="0024265A" w:rsidRPr="00B23BAA">
        <w:rPr>
          <w:rFonts w:eastAsia="Calibri"/>
          <w:spacing w:val="-2"/>
          <w:lang w:val="en-GB"/>
        </w:rPr>
        <w:t>ed</w:t>
      </w:r>
      <w:r w:rsidRPr="00B23BAA">
        <w:rPr>
          <w:rFonts w:eastAsia="Calibri"/>
          <w:spacing w:val="-2"/>
          <w:lang w:val="en-GB"/>
        </w:rPr>
        <w:t xml:space="preserve"> the need for human intervention and investment advice that banks (and others) had historically provided. </w:t>
      </w:r>
      <w:r w:rsidR="00922B1F" w:rsidRPr="00B23BAA">
        <w:rPr>
          <w:rFonts w:eastAsia="Calibri"/>
          <w:spacing w:val="-2"/>
          <w:lang w:val="en-GB"/>
        </w:rPr>
        <w:t>C</w:t>
      </w:r>
      <w:r w:rsidRPr="00B23BAA">
        <w:rPr>
          <w:rFonts w:eastAsia="Calibri"/>
          <w:spacing w:val="-2"/>
          <w:lang w:val="en-GB"/>
        </w:rPr>
        <w:t xml:space="preserve">ommon in many </w:t>
      </w:r>
      <w:r w:rsidR="005117A2" w:rsidRPr="00B23BAA">
        <w:rPr>
          <w:rFonts w:eastAsia="Calibri"/>
          <w:spacing w:val="-2"/>
          <w:lang w:val="en-GB"/>
        </w:rPr>
        <w:t>f</w:t>
      </w:r>
      <w:r w:rsidRPr="00B23BAA">
        <w:rPr>
          <w:rFonts w:eastAsia="Calibri"/>
          <w:spacing w:val="-2"/>
          <w:lang w:val="en-GB"/>
        </w:rPr>
        <w:t>intech offerings w</w:t>
      </w:r>
      <w:r w:rsidR="00922B1F" w:rsidRPr="00B23BAA">
        <w:rPr>
          <w:rFonts w:eastAsia="Calibri"/>
          <w:spacing w:val="-2"/>
          <w:lang w:val="en-GB"/>
        </w:rPr>
        <w:t>ere</w:t>
      </w:r>
      <w:r w:rsidRPr="00B23BAA">
        <w:rPr>
          <w:rFonts w:eastAsia="Calibri"/>
          <w:spacing w:val="-2"/>
          <w:lang w:val="en-GB"/>
        </w:rPr>
        <w:t xml:space="preserve"> optimized</w:t>
      </w:r>
      <w:r w:rsidR="00922B1F" w:rsidRPr="00B23BAA">
        <w:rPr>
          <w:rFonts w:eastAsia="Calibri"/>
          <w:spacing w:val="-2"/>
          <w:lang w:val="en-GB"/>
        </w:rPr>
        <w:t xml:space="preserve">, </w:t>
      </w:r>
      <w:r w:rsidRPr="00B23BAA">
        <w:rPr>
          <w:rFonts w:eastAsia="Calibri"/>
          <w:spacing w:val="-2"/>
          <w:lang w:val="en-GB"/>
        </w:rPr>
        <w:t>passive strategies that were inexpensive and had low balance requirements in comparison with banking services, and that, consequently,</w:t>
      </w:r>
      <w:r w:rsidR="00720159" w:rsidRPr="00B23BAA">
        <w:rPr>
          <w:rFonts w:eastAsia="Calibri"/>
          <w:spacing w:val="-2"/>
          <w:lang w:val="en-GB"/>
        </w:rPr>
        <w:t xml:space="preserve"> meant fintechs</w:t>
      </w:r>
      <w:r w:rsidRPr="00B23BAA">
        <w:rPr>
          <w:rFonts w:eastAsia="Calibri"/>
          <w:spacing w:val="-2"/>
          <w:lang w:val="en-GB"/>
        </w:rPr>
        <w:t xml:space="preserve"> could offer prices for equivalent financial services at discounts as great as 70</w:t>
      </w:r>
      <w:r w:rsidR="0024265A" w:rsidRPr="00B23BAA">
        <w:rPr>
          <w:rFonts w:eastAsia="Calibri"/>
          <w:spacing w:val="-2"/>
          <w:lang w:val="en-GB"/>
        </w:rPr>
        <w:t xml:space="preserve"> per cent</w:t>
      </w:r>
      <w:r w:rsidRPr="00B23BAA">
        <w:rPr>
          <w:rFonts w:eastAsia="Calibri"/>
          <w:spacing w:val="-2"/>
          <w:lang w:val="en-GB"/>
        </w:rPr>
        <w:t>.</w:t>
      </w:r>
      <w:r w:rsidRPr="00B23BAA">
        <w:rPr>
          <w:rFonts w:eastAsia="Calibri"/>
          <w:spacing w:val="-2"/>
          <w:vertAlign w:val="superscript"/>
          <w:lang w:val="en-GB"/>
        </w:rPr>
        <w:endnoteReference w:id="24"/>
      </w:r>
      <w:r w:rsidRPr="00B23BAA">
        <w:rPr>
          <w:rFonts w:eastAsia="Calibri"/>
          <w:spacing w:val="-2"/>
          <w:lang w:val="en-GB"/>
        </w:rPr>
        <w:t xml:space="preserve"> Against this backdrop of growing competition for banks, the rise of open banking seemed likely to make the competition even more intense.</w:t>
      </w:r>
    </w:p>
    <w:p w14:paraId="3CE8A29C" w14:textId="4C430E62" w:rsidR="00AB2AEF" w:rsidRPr="00704BD2" w:rsidRDefault="00AB2AEF" w:rsidP="00AB2AEF">
      <w:pPr>
        <w:pStyle w:val="BodyTextMain"/>
        <w:rPr>
          <w:rFonts w:eastAsia="Calibri"/>
          <w:lang w:val="en-GB"/>
        </w:rPr>
      </w:pPr>
    </w:p>
    <w:p w14:paraId="438BB04D" w14:textId="77777777" w:rsidR="00AB2AEF" w:rsidRPr="00704BD2" w:rsidRDefault="00AB2AEF" w:rsidP="00AB2AEF">
      <w:pPr>
        <w:pStyle w:val="BodyTextMain"/>
        <w:rPr>
          <w:rFonts w:eastAsia="Calibri"/>
          <w:lang w:val="en-GB"/>
        </w:rPr>
      </w:pPr>
    </w:p>
    <w:p w14:paraId="43B31F4D" w14:textId="32ADCC80" w:rsidR="00AB2AEF" w:rsidRPr="00704BD2" w:rsidRDefault="00AB2AEF" w:rsidP="00AB2AEF">
      <w:pPr>
        <w:pStyle w:val="Casehead1"/>
        <w:rPr>
          <w:rFonts w:eastAsia="Calibri"/>
          <w:lang w:val="en-GB"/>
        </w:rPr>
      </w:pPr>
      <w:r w:rsidRPr="00704BD2">
        <w:rPr>
          <w:rFonts w:eastAsia="Calibri"/>
          <w:lang w:val="en-GB"/>
        </w:rPr>
        <w:t>JPMorgan Chase</w:t>
      </w:r>
      <w:r w:rsidR="009E63C4" w:rsidRPr="00704BD2">
        <w:rPr>
          <w:rFonts w:eastAsia="Calibri"/>
          <w:lang w:val="en-GB"/>
        </w:rPr>
        <w:t xml:space="preserve"> &amp; CO.</w:t>
      </w:r>
    </w:p>
    <w:p w14:paraId="095D3B00" w14:textId="77777777" w:rsidR="00AB2AEF" w:rsidRPr="00704BD2" w:rsidRDefault="00AB2AEF" w:rsidP="00AB2AEF">
      <w:pPr>
        <w:pStyle w:val="BodyTextMain"/>
        <w:rPr>
          <w:rFonts w:eastAsia="Calibri"/>
          <w:lang w:val="en-GB"/>
        </w:rPr>
      </w:pPr>
    </w:p>
    <w:p w14:paraId="49C4A4A3" w14:textId="7E3086F3" w:rsidR="00AB2AEF" w:rsidRPr="00704BD2" w:rsidRDefault="00AB2AEF" w:rsidP="00AB2AEF">
      <w:pPr>
        <w:pStyle w:val="BodyTextMain"/>
        <w:rPr>
          <w:rFonts w:eastAsia="Calibri"/>
          <w:lang w:val="en-GB"/>
        </w:rPr>
      </w:pPr>
      <w:r w:rsidRPr="00704BD2">
        <w:rPr>
          <w:rFonts w:eastAsia="Calibri"/>
          <w:lang w:val="en-GB"/>
        </w:rPr>
        <w:t>JPMC was an American financial services company offering a multitude of services in retail banking, investment banking, asset management, and wealth management. It was ranked by S&amp;P Global as the largest bank in the United States</w:t>
      </w:r>
      <w:r w:rsidR="009E63C4" w:rsidRPr="00704BD2">
        <w:rPr>
          <w:rFonts w:eastAsia="Calibri"/>
          <w:lang w:val="en-GB"/>
        </w:rPr>
        <w:t xml:space="preserve"> in 2019</w:t>
      </w:r>
      <w:r w:rsidRPr="00704BD2">
        <w:rPr>
          <w:rFonts w:eastAsia="Calibri"/>
          <w:lang w:val="en-GB"/>
        </w:rPr>
        <w:t xml:space="preserve"> and the 6th largest bank in the world by total assets.</w:t>
      </w:r>
      <w:r w:rsidRPr="00704BD2">
        <w:rPr>
          <w:rFonts w:eastAsia="Calibri"/>
          <w:vertAlign w:val="superscript"/>
          <w:lang w:val="en-GB"/>
        </w:rPr>
        <w:endnoteReference w:id="25"/>
      </w:r>
    </w:p>
    <w:p w14:paraId="04753AFB" w14:textId="77777777" w:rsidR="00AB2AEF" w:rsidRPr="00704BD2" w:rsidRDefault="00AB2AEF" w:rsidP="00AB2AEF">
      <w:pPr>
        <w:pStyle w:val="BodyTextMain"/>
        <w:rPr>
          <w:rFonts w:eastAsia="Calibri"/>
          <w:lang w:val="en-GB"/>
        </w:rPr>
      </w:pPr>
    </w:p>
    <w:p w14:paraId="17ECEEFD" w14:textId="1B3274C3" w:rsidR="00AB2AEF" w:rsidRPr="00704BD2" w:rsidRDefault="00AB2AEF" w:rsidP="00AB2AEF">
      <w:pPr>
        <w:pStyle w:val="BodyTextMain"/>
        <w:rPr>
          <w:rFonts w:eastAsia="Calibri"/>
          <w:lang w:val="en-GB"/>
        </w:rPr>
      </w:pPr>
      <w:r w:rsidRPr="00704BD2">
        <w:rPr>
          <w:rFonts w:eastAsia="Calibri"/>
          <w:lang w:val="en-GB"/>
        </w:rPr>
        <w:t>Like other banks in the current unfavourable business conditions, JPMC turned to technology and innovation to maintain growth. The company had spent billions on technology in recent years.</w:t>
      </w:r>
      <w:r w:rsidRPr="00704BD2">
        <w:rPr>
          <w:rFonts w:eastAsia="Calibri"/>
          <w:vertAlign w:val="superscript"/>
          <w:lang w:val="en-GB"/>
        </w:rPr>
        <w:endnoteReference w:id="26"/>
      </w:r>
      <w:r w:rsidRPr="00704BD2">
        <w:rPr>
          <w:rFonts w:eastAsia="Calibri"/>
          <w:lang w:val="en-GB"/>
        </w:rPr>
        <w:t xml:space="preserve"> </w:t>
      </w:r>
      <w:r w:rsidR="0034490D" w:rsidRPr="00704BD2">
        <w:rPr>
          <w:rFonts w:eastAsia="Calibri"/>
          <w:lang w:val="en-GB"/>
        </w:rPr>
        <w:t>It</w:t>
      </w:r>
      <w:r w:rsidRPr="00704BD2">
        <w:rPr>
          <w:rFonts w:eastAsia="Calibri"/>
          <w:lang w:val="en-GB"/>
        </w:rPr>
        <w:t xml:space="preserve"> had more than 40,000 technologists working in the bank, human capital that was dedicated to programming, system engineering, app design, and other such functions. JPMC also possessed 31 data cent</w:t>
      </w:r>
      <w:r w:rsidR="0034490D" w:rsidRPr="00704BD2">
        <w:rPr>
          <w:rFonts w:eastAsia="Calibri"/>
          <w:lang w:val="en-GB"/>
        </w:rPr>
        <w:t>r</w:t>
      </w:r>
      <w:r w:rsidRPr="00704BD2">
        <w:rPr>
          <w:rFonts w:eastAsia="Calibri"/>
          <w:lang w:val="en-GB"/>
        </w:rPr>
        <w:t>es, 67,000 physical servers, 27,920 databases, and a global network dedicated to serving clients.</w:t>
      </w:r>
      <w:r w:rsidRPr="00704BD2">
        <w:rPr>
          <w:rFonts w:eastAsia="Calibri"/>
          <w:vertAlign w:val="superscript"/>
          <w:lang w:val="en-GB"/>
        </w:rPr>
        <w:endnoteReference w:id="27"/>
      </w:r>
    </w:p>
    <w:p w14:paraId="44F34D09" w14:textId="77777777" w:rsidR="00AB2AEF" w:rsidRPr="00704BD2" w:rsidRDefault="00AB2AEF" w:rsidP="00AB2AEF">
      <w:pPr>
        <w:pStyle w:val="BodyTextMain"/>
        <w:rPr>
          <w:rFonts w:eastAsia="Calibri"/>
          <w:lang w:val="en-GB"/>
        </w:rPr>
      </w:pPr>
    </w:p>
    <w:p w14:paraId="7799175B" w14:textId="0AD5B599" w:rsidR="00AB2AEF" w:rsidRPr="00704BD2" w:rsidRDefault="00AB2AEF" w:rsidP="00AB2AEF">
      <w:pPr>
        <w:pStyle w:val="BodyTextMain"/>
        <w:rPr>
          <w:rFonts w:eastAsia="Calibri"/>
          <w:lang w:val="en-GB"/>
        </w:rPr>
      </w:pPr>
      <w:r w:rsidRPr="00704BD2">
        <w:rPr>
          <w:rFonts w:eastAsia="Calibri"/>
          <w:lang w:val="en-GB"/>
        </w:rPr>
        <w:t>JPMC had a dedicated digital group “focused on product and platform design and innovation.”</w:t>
      </w:r>
      <w:r w:rsidRPr="00704BD2">
        <w:rPr>
          <w:rFonts w:eastAsia="Calibri"/>
          <w:vertAlign w:val="superscript"/>
          <w:lang w:val="en-GB"/>
        </w:rPr>
        <w:endnoteReference w:id="28"/>
      </w:r>
      <w:r w:rsidRPr="00704BD2">
        <w:rPr>
          <w:rFonts w:eastAsia="Calibri"/>
          <w:lang w:val="en-GB"/>
        </w:rPr>
        <w:t xml:space="preserve"> The group worked on various initiatives, one of which was the consumer digital </w:t>
      </w:r>
      <w:r w:rsidR="0034490D" w:rsidRPr="00704BD2">
        <w:rPr>
          <w:rFonts w:eastAsia="Calibri"/>
          <w:lang w:val="en-GB"/>
        </w:rPr>
        <w:t>initiative</w:t>
      </w:r>
      <w:r w:rsidRPr="00704BD2">
        <w:rPr>
          <w:rFonts w:eastAsia="Calibri"/>
          <w:lang w:val="en-GB"/>
        </w:rPr>
        <w:t xml:space="preserve">. </w:t>
      </w:r>
      <w:r w:rsidR="00221C46" w:rsidRPr="00704BD2">
        <w:rPr>
          <w:rFonts w:eastAsia="Calibri"/>
          <w:lang w:val="en-GB"/>
        </w:rPr>
        <w:t xml:space="preserve">Members of this group </w:t>
      </w:r>
      <w:r w:rsidRPr="00704BD2">
        <w:rPr>
          <w:rFonts w:eastAsia="Calibri"/>
          <w:lang w:val="en-GB"/>
        </w:rPr>
        <w:t>worked on adding new functionalities to the company’s mobile app, and redesigned the website for a more personalized and simpler user experience. JPM</w:t>
      </w:r>
      <w:r w:rsidR="0034490D" w:rsidRPr="00704BD2">
        <w:rPr>
          <w:rFonts w:eastAsia="Calibri"/>
          <w:lang w:val="en-GB"/>
        </w:rPr>
        <w:t>C</w:t>
      </w:r>
      <w:r w:rsidRPr="00704BD2">
        <w:rPr>
          <w:rFonts w:eastAsia="Calibri"/>
          <w:lang w:val="en-GB"/>
        </w:rPr>
        <w:t xml:space="preserve"> had over 20 million active Chase Mobile customers, and had experienced a general shift</w:t>
      </w:r>
      <w:r w:rsidR="00720159" w:rsidRPr="00704BD2">
        <w:rPr>
          <w:rFonts w:eastAsia="Calibri"/>
          <w:lang w:val="en-GB"/>
        </w:rPr>
        <w:t xml:space="preserve"> of its customers</w:t>
      </w:r>
      <w:r w:rsidRPr="00704BD2">
        <w:rPr>
          <w:rFonts w:eastAsia="Calibri"/>
          <w:lang w:val="en-GB"/>
        </w:rPr>
        <w:t xml:space="preserve"> toward online and mobile banking.</w:t>
      </w:r>
      <w:r w:rsidR="00004B19" w:rsidRPr="00704BD2">
        <w:rPr>
          <w:rFonts w:eastAsia="Calibri"/>
          <w:vertAlign w:val="superscript"/>
          <w:lang w:val="en-GB"/>
        </w:rPr>
        <w:endnoteReference w:id="29"/>
      </w:r>
    </w:p>
    <w:p w14:paraId="4721E7C8" w14:textId="44DF1C60" w:rsidR="00AB2AEF" w:rsidRPr="00704BD2" w:rsidRDefault="00AB2AEF" w:rsidP="00AB2AEF">
      <w:pPr>
        <w:pStyle w:val="BodyTextMain"/>
        <w:rPr>
          <w:rFonts w:eastAsia="Calibri"/>
          <w:lang w:val="en-GB"/>
        </w:rPr>
      </w:pPr>
    </w:p>
    <w:p w14:paraId="3E505B01" w14:textId="77777777" w:rsidR="00AB2AEF" w:rsidRPr="00704BD2" w:rsidRDefault="00AB2AEF" w:rsidP="00AB2AEF">
      <w:pPr>
        <w:pStyle w:val="BodyTextMain"/>
        <w:rPr>
          <w:rFonts w:eastAsia="Calibri"/>
          <w:lang w:val="en-GB"/>
        </w:rPr>
      </w:pPr>
    </w:p>
    <w:p w14:paraId="7AC5C8E2" w14:textId="03E43BF5" w:rsidR="00AB2AEF" w:rsidRPr="00704BD2" w:rsidRDefault="00AB2AEF" w:rsidP="00AB2AEF">
      <w:pPr>
        <w:pStyle w:val="Casehead1"/>
        <w:rPr>
          <w:rFonts w:eastAsia="Calibri"/>
          <w:lang w:val="en-GB"/>
        </w:rPr>
      </w:pPr>
      <w:r w:rsidRPr="00704BD2">
        <w:rPr>
          <w:rFonts w:eastAsia="Calibri"/>
          <w:lang w:val="en-GB"/>
        </w:rPr>
        <w:t>The Emerging Fin</w:t>
      </w:r>
      <w:r w:rsidR="00DF4556">
        <w:rPr>
          <w:rFonts w:eastAsia="Calibri"/>
          <w:lang w:val="en-GB"/>
        </w:rPr>
        <w:t xml:space="preserve">ancial </w:t>
      </w:r>
      <w:r w:rsidRPr="00704BD2">
        <w:rPr>
          <w:rFonts w:eastAsia="Calibri"/>
          <w:lang w:val="en-GB"/>
        </w:rPr>
        <w:t>tech</w:t>
      </w:r>
      <w:r w:rsidR="00DF4556">
        <w:rPr>
          <w:rFonts w:eastAsia="Calibri"/>
          <w:lang w:val="en-GB"/>
        </w:rPr>
        <w:t>nology companie</w:t>
      </w:r>
      <w:r w:rsidRPr="00704BD2">
        <w:rPr>
          <w:rFonts w:eastAsia="Calibri"/>
          <w:lang w:val="en-GB"/>
        </w:rPr>
        <w:t>s</w:t>
      </w:r>
      <w:r w:rsidR="00DF4556">
        <w:rPr>
          <w:rFonts w:eastAsia="Calibri"/>
          <w:lang w:val="en-GB"/>
        </w:rPr>
        <w:t xml:space="preserve"> </w:t>
      </w:r>
    </w:p>
    <w:p w14:paraId="7F792D90" w14:textId="77777777" w:rsidR="00AB2AEF" w:rsidRPr="00704BD2" w:rsidRDefault="00AB2AEF" w:rsidP="00AB2AEF">
      <w:pPr>
        <w:pStyle w:val="BodyTextMain"/>
        <w:rPr>
          <w:rFonts w:eastAsia="Calibri"/>
          <w:lang w:val="en-GB"/>
        </w:rPr>
      </w:pPr>
    </w:p>
    <w:p w14:paraId="10B86F27" w14:textId="5849EDC6" w:rsidR="00AB2AEF" w:rsidRPr="00704BD2" w:rsidRDefault="00AB2AEF" w:rsidP="00AB2AEF">
      <w:pPr>
        <w:pStyle w:val="BodyTextMain"/>
        <w:rPr>
          <w:rFonts w:eastAsia="Calibri"/>
          <w:lang w:val="en-GB"/>
        </w:rPr>
      </w:pPr>
      <w:r w:rsidRPr="00704BD2">
        <w:rPr>
          <w:rFonts w:eastAsia="Calibri"/>
          <w:lang w:val="en-GB"/>
        </w:rPr>
        <w:t xml:space="preserve">Investments in new </w:t>
      </w:r>
      <w:r w:rsidR="005117A2" w:rsidRPr="00704BD2">
        <w:rPr>
          <w:rFonts w:eastAsia="Calibri"/>
          <w:lang w:val="en-GB"/>
        </w:rPr>
        <w:t>f</w:t>
      </w:r>
      <w:r w:rsidRPr="00704BD2">
        <w:rPr>
          <w:rFonts w:eastAsia="Calibri"/>
          <w:lang w:val="en-GB"/>
        </w:rPr>
        <w:t xml:space="preserve">intechs had been growing considerably since the 2008 financial crisis. The disaffection and reduced consumer confidence in large financial institutions that resulted from the 2008 crisis opened doors for new entrants who aimed </w:t>
      </w:r>
      <w:r w:rsidR="0006468D" w:rsidRPr="00704BD2">
        <w:rPr>
          <w:rFonts w:eastAsia="Calibri"/>
          <w:lang w:val="en-GB"/>
        </w:rPr>
        <w:t xml:space="preserve">to </w:t>
      </w:r>
      <w:r w:rsidRPr="00704BD2">
        <w:rPr>
          <w:rFonts w:eastAsia="Calibri"/>
          <w:lang w:val="en-GB"/>
        </w:rPr>
        <w:t xml:space="preserve">provide financial services at lower price points and with greater convenience. In 2015, the value of global </w:t>
      </w:r>
      <w:r w:rsidR="005117A2" w:rsidRPr="00704BD2">
        <w:rPr>
          <w:rFonts w:eastAsia="Calibri"/>
          <w:lang w:val="en-GB"/>
        </w:rPr>
        <w:t>f</w:t>
      </w:r>
      <w:r w:rsidRPr="00704BD2">
        <w:rPr>
          <w:rFonts w:eastAsia="Calibri"/>
          <w:lang w:val="en-GB"/>
        </w:rPr>
        <w:t>intech investments spiked by 75</w:t>
      </w:r>
      <w:r w:rsidR="0034490D" w:rsidRPr="00704BD2">
        <w:rPr>
          <w:rFonts w:eastAsia="Calibri"/>
          <w:lang w:val="en-GB"/>
        </w:rPr>
        <w:t xml:space="preserve"> per cent</w:t>
      </w:r>
      <w:r w:rsidRPr="00704BD2">
        <w:rPr>
          <w:rFonts w:eastAsia="Calibri"/>
          <w:lang w:val="en-GB"/>
        </w:rPr>
        <w:t xml:space="preserve"> to $22.3 billion,</w:t>
      </w:r>
      <w:r w:rsidRPr="00704BD2">
        <w:rPr>
          <w:rFonts w:eastAsia="Calibri"/>
          <w:vertAlign w:val="superscript"/>
          <w:lang w:val="en-GB"/>
        </w:rPr>
        <w:endnoteReference w:id="30"/>
      </w:r>
      <w:r w:rsidRPr="00704BD2">
        <w:rPr>
          <w:rFonts w:eastAsia="Calibri"/>
          <w:lang w:val="en-GB"/>
        </w:rPr>
        <w:t xml:space="preserve"> and </w:t>
      </w:r>
      <w:r w:rsidRPr="00704BD2">
        <w:rPr>
          <w:rFonts w:eastAsia="Calibri"/>
          <w:lang w:val="en-GB"/>
        </w:rPr>
        <w:lastRenderedPageBreak/>
        <w:t>by 2018</w:t>
      </w:r>
      <w:r w:rsidR="00105E70">
        <w:rPr>
          <w:rFonts w:eastAsia="Calibri"/>
          <w:lang w:val="en-GB"/>
        </w:rPr>
        <w:t>,</w:t>
      </w:r>
      <w:r w:rsidRPr="00704BD2">
        <w:rPr>
          <w:rFonts w:eastAsia="Calibri"/>
          <w:lang w:val="en-GB"/>
        </w:rPr>
        <w:t xml:space="preserve"> annual investments had reached $31 billion.</w:t>
      </w:r>
      <w:r w:rsidRPr="00704BD2">
        <w:rPr>
          <w:rFonts w:eastAsia="Calibri"/>
          <w:vertAlign w:val="superscript"/>
          <w:lang w:val="en-GB"/>
        </w:rPr>
        <w:endnoteReference w:id="31"/>
      </w:r>
      <w:r w:rsidRPr="00704BD2">
        <w:rPr>
          <w:rFonts w:eastAsia="Calibri"/>
          <w:lang w:val="en-GB"/>
        </w:rPr>
        <w:t xml:space="preserve"> From 2010</w:t>
      </w:r>
      <w:r w:rsidR="0034490D" w:rsidRPr="00704BD2">
        <w:rPr>
          <w:rFonts w:eastAsia="Calibri"/>
          <w:lang w:val="en-GB"/>
        </w:rPr>
        <w:t xml:space="preserve"> to </w:t>
      </w:r>
      <w:r w:rsidRPr="00704BD2">
        <w:rPr>
          <w:rFonts w:eastAsia="Calibri"/>
          <w:lang w:val="en-GB"/>
        </w:rPr>
        <w:t>2015, more than $50 billion had been invested in almost 2</w:t>
      </w:r>
      <w:r w:rsidR="0034490D" w:rsidRPr="00704BD2">
        <w:rPr>
          <w:rFonts w:eastAsia="Calibri"/>
          <w:lang w:val="en-GB"/>
        </w:rPr>
        <w:t>,</w:t>
      </w:r>
      <w:r w:rsidRPr="00704BD2">
        <w:rPr>
          <w:rFonts w:eastAsia="Calibri"/>
          <w:lang w:val="en-GB"/>
        </w:rPr>
        <w:t>500 companies.</w:t>
      </w:r>
      <w:r w:rsidRPr="00704BD2">
        <w:rPr>
          <w:rFonts w:eastAsia="Calibri"/>
          <w:vertAlign w:val="superscript"/>
          <w:lang w:val="en-GB"/>
        </w:rPr>
        <w:endnoteReference w:id="32"/>
      </w:r>
    </w:p>
    <w:p w14:paraId="378178A6" w14:textId="77777777" w:rsidR="00AB2AEF" w:rsidRPr="00704BD2" w:rsidRDefault="00AB2AEF" w:rsidP="00AB2AEF">
      <w:pPr>
        <w:pStyle w:val="BodyTextMain"/>
        <w:rPr>
          <w:rFonts w:eastAsia="Calibri"/>
          <w:lang w:val="en-GB"/>
        </w:rPr>
      </w:pPr>
    </w:p>
    <w:p w14:paraId="0E8CF81F" w14:textId="6C7CB2C2" w:rsidR="00AB2AEF" w:rsidRPr="00704BD2" w:rsidRDefault="00AB2AEF" w:rsidP="00AB2AEF">
      <w:pPr>
        <w:pStyle w:val="BodyTextMain"/>
        <w:rPr>
          <w:rFonts w:eastAsia="Calibri"/>
          <w:lang w:val="en-GB"/>
        </w:rPr>
      </w:pPr>
      <w:r w:rsidRPr="00704BD2">
        <w:rPr>
          <w:rFonts w:eastAsia="Calibri"/>
          <w:lang w:val="en-GB"/>
        </w:rPr>
        <w:t xml:space="preserve">The services that </w:t>
      </w:r>
      <w:r w:rsidR="005117A2" w:rsidRPr="00704BD2">
        <w:rPr>
          <w:rFonts w:eastAsia="Calibri"/>
          <w:lang w:val="en-GB"/>
        </w:rPr>
        <w:t>f</w:t>
      </w:r>
      <w:r w:rsidRPr="00704BD2">
        <w:rPr>
          <w:rFonts w:eastAsia="Calibri"/>
          <w:lang w:val="en-GB"/>
        </w:rPr>
        <w:t xml:space="preserve">intech companies provided were varied and often served specific niches as opposed to offering a full suite of solutions. Acorn, for instance, was software that rounded up a client’s purchase to the nearest dollar, </w:t>
      </w:r>
      <w:r w:rsidR="0066383D" w:rsidRPr="00704BD2">
        <w:rPr>
          <w:rFonts w:eastAsia="Calibri"/>
          <w:lang w:val="en-GB"/>
        </w:rPr>
        <w:t xml:space="preserve">and then </w:t>
      </w:r>
      <w:r w:rsidRPr="00704BD2">
        <w:rPr>
          <w:rFonts w:eastAsia="Calibri"/>
          <w:lang w:val="en-GB"/>
        </w:rPr>
        <w:t>took that extra change and put it into an investment account.</w:t>
      </w:r>
      <w:r w:rsidRPr="00704BD2">
        <w:rPr>
          <w:rFonts w:eastAsia="Calibri"/>
          <w:vertAlign w:val="superscript"/>
          <w:lang w:val="en-GB"/>
        </w:rPr>
        <w:endnoteReference w:id="33"/>
      </w:r>
      <w:r w:rsidRPr="00704BD2">
        <w:rPr>
          <w:rFonts w:eastAsia="Calibri"/>
          <w:lang w:val="en-GB"/>
        </w:rPr>
        <w:t xml:space="preserve"> S</w:t>
      </w:r>
      <w:r w:rsidR="00736BFA" w:rsidRPr="00704BD2">
        <w:rPr>
          <w:rFonts w:eastAsia="Calibri"/>
          <w:lang w:val="en-GB"/>
        </w:rPr>
        <w:t>ervices s</w:t>
      </w:r>
      <w:r w:rsidRPr="00704BD2">
        <w:rPr>
          <w:rFonts w:eastAsia="Calibri"/>
          <w:lang w:val="en-GB"/>
        </w:rPr>
        <w:t>uch a</w:t>
      </w:r>
      <w:r w:rsidR="00736BFA" w:rsidRPr="00704BD2">
        <w:rPr>
          <w:rFonts w:eastAsia="Calibri"/>
          <w:lang w:val="en-GB"/>
        </w:rPr>
        <w:t>s</w:t>
      </w:r>
      <w:r w:rsidRPr="00704BD2">
        <w:rPr>
          <w:rFonts w:eastAsia="Calibri"/>
          <w:lang w:val="en-GB"/>
        </w:rPr>
        <w:t xml:space="preserve"> </w:t>
      </w:r>
      <w:r w:rsidR="00736BFA" w:rsidRPr="00704BD2">
        <w:rPr>
          <w:rFonts w:eastAsia="Calibri"/>
          <w:lang w:val="en-GB"/>
        </w:rPr>
        <w:t>this</w:t>
      </w:r>
      <w:r w:rsidRPr="00704BD2">
        <w:rPr>
          <w:rFonts w:eastAsia="Calibri"/>
          <w:lang w:val="en-GB"/>
        </w:rPr>
        <w:t xml:space="preserve"> hardly threatened to replace banking entirely. But they did interfere with banks’ efforts to cross-sell other services, such as in-house financial advisors. And the collective efforts of companies, each targeting individual niches, could, of course, threaten existing or potential bank revenue sources. The nature of the threat to banks, then, was not that they would be replaced completely, but that the influx of smaller, more nimble firms might hive off</w:t>
      </w:r>
      <w:r w:rsidR="005F4AD4" w:rsidRPr="00704BD2">
        <w:rPr>
          <w:rFonts w:eastAsia="Calibri"/>
          <w:lang w:val="en-GB"/>
        </w:rPr>
        <w:t>,</w:t>
      </w:r>
      <w:r w:rsidRPr="00704BD2">
        <w:rPr>
          <w:rFonts w:eastAsia="Calibri"/>
          <w:lang w:val="en-GB"/>
        </w:rPr>
        <w:t xml:space="preserve"> bit by bit</w:t>
      </w:r>
      <w:r w:rsidR="005F4AD4" w:rsidRPr="00704BD2">
        <w:rPr>
          <w:rFonts w:eastAsia="Calibri"/>
          <w:lang w:val="en-GB"/>
        </w:rPr>
        <w:t>,</w:t>
      </w:r>
      <w:r w:rsidRPr="00704BD2">
        <w:rPr>
          <w:rFonts w:eastAsia="Calibri"/>
          <w:lang w:val="en-GB"/>
        </w:rPr>
        <w:t xml:space="preserve"> a </w:t>
      </w:r>
      <w:r w:rsidR="005F4AD4" w:rsidRPr="00704BD2">
        <w:rPr>
          <w:rFonts w:eastAsia="Calibri"/>
          <w:lang w:val="en-GB"/>
        </w:rPr>
        <w:t>great deal</w:t>
      </w:r>
      <w:r w:rsidRPr="00704BD2">
        <w:rPr>
          <w:rFonts w:eastAsia="Calibri"/>
          <w:lang w:val="en-GB"/>
        </w:rPr>
        <w:t xml:space="preserve"> of </w:t>
      </w:r>
      <w:r w:rsidR="005F4AD4" w:rsidRPr="00704BD2">
        <w:rPr>
          <w:rFonts w:eastAsia="Calibri"/>
          <w:lang w:val="en-GB"/>
        </w:rPr>
        <w:t xml:space="preserve">the </w:t>
      </w:r>
      <w:r w:rsidRPr="00704BD2">
        <w:rPr>
          <w:rFonts w:eastAsia="Calibri"/>
          <w:lang w:val="en-GB"/>
        </w:rPr>
        <w:t>revenue that banks wanted for themselves.</w:t>
      </w:r>
    </w:p>
    <w:p w14:paraId="4445FFBE" w14:textId="77777777" w:rsidR="00AB2AEF" w:rsidRPr="00704BD2" w:rsidRDefault="00AB2AEF" w:rsidP="00AB2AEF">
      <w:pPr>
        <w:pStyle w:val="BodyTextMain"/>
        <w:rPr>
          <w:rFonts w:eastAsia="Calibri"/>
          <w:lang w:val="en-GB"/>
        </w:rPr>
      </w:pPr>
    </w:p>
    <w:p w14:paraId="511785A4" w14:textId="1899169A" w:rsidR="00AB2AEF" w:rsidRPr="00704BD2" w:rsidRDefault="00AB2AEF" w:rsidP="00AB2AEF">
      <w:pPr>
        <w:pStyle w:val="BodyTextMain"/>
        <w:rPr>
          <w:rFonts w:eastAsia="Calibri"/>
          <w:lang w:val="en-GB"/>
        </w:rPr>
      </w:pPr>
      <w:r w:rsidRPr="00704BD2">
        <w:rPr>
          <w:rFonts w:eastAsia="Calibri"/>
          <w:lang w:val="en-GB"/>
        </w:rPr>
        <w:t xml:space="preserve">Uptake of </w:t>
      </w:r>
      <w:r w:rsidR="005117A2" w:rsidRPr="00704BD2">
        <w:rPr>
          <w:rFonts w:eastAsia="Calibri"/>
          <w:lang w:val="en-GB"/>
        </w:rPr>
        <w:t>f</w:t>
      </w:r>
      <w:r w:rsidRPr="00704BD2">
        <w:rPr>
          <w:rFonts w:eastAsia="Calibri"/>
          <w:lang w:val="en-GB"/>
        </w:rPr>
        <w:t xml:space="preserve">intech services was growing. Fintech usage was most prevalent among young, high-income customers. A 2015 EY </w:t>
      </w:r>
      <w:r w:rsidR="005F4AD4" w:rsidRPr="00704BD2">
        <w:rPr>
          <w:rFonts w:eastAsia="Calibri"/>
          <w:lang w:val="en-GB"/>
        </w:rPr>
        <w:t xml:space="preserve">Global Financial Services Institute </w:t>
      </w:r>
      <w:r w:rsidRPr="00704BD2">
        <w:rPr>
          <w:rFonts w:eastAsia="Calibri"/>
          <w:lang w:val="en-GB"/>
        </w:rPr>
        <w:t xml:space="preserve">report on </w:t>
      </w:r>
      <w:r w:rsidR="005117A2" w:rsidRPr="00704BD2">
        <w:rPr>
          <w:rFonts w:eastAsia="Calibri"/>
          <w:lang w:val="en-GB"/>
        </w:rPr>
        <w:t>f</w:t>
      </w:r>
      <w:r w:rsidRPr="00704BD2">
        <w:rPr>
          <w:rFonts w:eastAsia="Calibri"/>
          <w:lang w:val="en-GB"/>
        </w:rPr>
        <w:t>intech adoption stated</w:t>
      </w:r>
      <w:r w:rsidR="005F4AD4" w:rsidRPr="00704BD2">
        <w:rPr>
          <w:rFonts w:eastAsia="Calibri"/>
          <w:lang w:val="en-GB"/>
        </w:rPr>
        <w:t xml:space="preserve"> that</w:t>
      </w:r>
      <w:r w:rsidRPr="00704BD2">
        <w:rPr>
          <w:rFonts w:eastAsia="Calibri"/>
          <w:lang w:val="en-GB"/>
        </w:rPr>
        <w:t xml:space="preserve"> “one in every four respondents aged 25 to 34 has used at least two </w:t>
      </w:r>
      <w:r w:rsidR="005117A2" w:rsidRPr="00704BD2">
        <w:rPr>
          <w:rFonts w:eastAsia="Calibri"/>
          <w:lang w:val="en-GB"/>
        </w:rPr>
        <w:t>f</w:t>
      </w:r>
      <w:r w:rsidRPr="00704BD2">
        <w:rPr>
          <w:rFonts w:eastAsia="Calibri"/>
          <w:lang w:val="en-GB"/>
        </w:rPr>
        <w:t>intech products in the last six months.”</w:t>
      </w:r>
      <w:r w:rsidRPr="00704BD2">
        <w:rPr>
          <w:rFonts w:eastAsia="Calibri"/>
          <w:vertAlign w:val="superscript"/>
          <w:lang w:val="en-GB"/>
        </w:rPr>
        <w:endnoteReference w:id="34"/>
      </w:r>
      <w:r w:rsidRPr="00704BD2">
        <w:rPr>
          <w:rFonts w:eastAsia="Calibri"/>
          <w:lang w:val="en-GB"/>
        </w:rPr>
        <w:t xml:space="preserve"> Adoption had a clear correlation with income, growing steadily as income moved higher and reach</w:t>
      </w:r>
      <w:r w:rsidR="005F4AD4" w:rsidRPr="00704BD2">
        <w:rPr>
          <w:rFonts w:eastAsia="Calibri"/>
          <w:lang w:val="en-GB"/>
        </w:rPr>
        <w:t>ing</w:t>
      </w:r>
      <w:r w:rsidRPr="00704BD2">
        <w:rPr>
          <w:rFonts w:eastAsia="Calibri"/>
          <w:lang w:val="en-GB"/>
        </w:rPr>
        <w:t xml:space="preserve"> “44</w:t>
      </w:r>
      <w:r w:rsidR="0066383D" w:rsidRPr="00704BD2">
        <w:rPr>
          <w:rFonts w:eastAsia="Calibri"/>
          <w:lang w:val="en-GB"/>
        </w:rPr>
        <w:t xml:space="preserve"> per cent</w:t>
      </w:r>
      <w:r w:rsidRPr="00704BD2">
        <w:rPr>
          <w:rFonts w:eastAsia="Calibri"/>
          <w:lang w:val="en-GB"/>
        </w:rPr>
        <w:t xml:space="preserve"> for those with incomes above $150,000</w:t>
      </w:r>
      <w:r w:rsidR="00A8231E" w:rsidRPr="00704BD2">
        <w:rPr>
          <w:rFonts w:eastAsia="Calibri"/>
          <w:lang w:val="en-GB"/>
        </w:rPr>
        <w:t>.</w:t>
      </w:r>
      <w:r w:rsidRPr="00704BD2">
        <w:rPr>
          <w:rFonts w:eastAsia="Calibri"/>
          <w:lang w:val="en-GB"/>
        </w:rPr>
        <w:t>”</w:t>
      </w:r>
      <w:r w:rsidRPr="00704BD2">
        <w:rPr>
          <w:rFonts w:eastAsia="Calibri"/>
          <w:vertAlign w:val="superscript"/>
          <w:lang w:val="en-GB"/>
        </w:rPr>
        <w:endnoteReference w:id="35"/>
      </w:r>
      <w:r w:rsidRPr="00704BD2">
        <w:rPr>
          <w:rFonts w:eastAsia="Calibri"/>
          <w:lang w:val="en-GB"/>
        </w:rPr>
        <w:t xml:space="preserve"> These were high</w:t>
      </w:r>
      <w:r w:rsidR="005F4AD4" w:rsidRPr="00704BD2">
        <w:rPr>
          <w:rFonts w:eastAsia="Calibri"/>
          <w:lang w:val="en-GB"/>
        </w:rPr>
        <w:t>-</w:t>
      </w:r>
      <w:r w:rsidRPr="00704BD2">
        <w:rPr>
          <w:rFonts w:eastAsia="Calibri"/>
          <w:lang w:val="en-GB"/>
        </w:rPr>
        <w:t xml:space="preserve">value customers that incumbent banks </w:t>
      </w:r>
      <w:r w:rsidR="00A8231E" w:rsidRPr="00704BD2">
        <w:rPr>
          <w:rFonts w:eastAsia="Calibri"/>
          <w:lang w:val="en-GB"/>
        </w:rPr>
        <w:t xml:space="preserve">were </w:t>
      </w:r>
      <w:r w:rsidRPr="00704BD2">
        <w:rPr>
          <w:rFonts w:eastAsia="Calibri"/>
          <w:lang w:val="en-GB"/>
        </w:rPr>
        <w:t>increasingly los</w:t>
      </w:r>
      <w:r w:rsidR="00A8231E" w:rsidRPr="00704BD2">
        <w:rPr>
          <w:rFonts w:eastAsia="Calibri"/>
          <w:lang w:val="en-GB"/>
        </w:rPr>
        <w:t>ing</w:t>
      </w:r>
      <w:r w:rsidRPr="00704BD2">
        <w:rPr>
          <w:rFonts w:eastAsia="Calibri"/>
          <w:lang w:val="en-GB"/>
        </w:rPr>
        <w:t xml:space="preserve"> to these new entrants (see Exhibits 1, 2, 3</w:t>
      </w:r>
      <w:r w:rsidR="007D34B0" w:rsidRPr="00704BD2">
        <w:rPr>
          <w:rFonts w:eastAsia="Calibri"/>
          <w:lang w:val="en-GB"/>
        </w:rPr>
        <w:t xml:space="preserve">, and </w:t>
      </w:r>
      <w:r w:rsidR="00004B19">
        <w:rPr>
          <w:rFonts w:eastAsia="Calibri"/>
          <w:lang w:val="en-GB"/>
        </w:rPr>
        <w:t>4</w:t>
      </w:r>
      <w:r w:rsidRPr="00704BD2">
        <w:rPr>
          <w:rFonts w:eastAsia="Calibri"/>
          <w:lang w:val="en-GB"/>
        </w:rPr>
        <w:t xml:space="preserve"> for data on </w:t>
      </w:r>
      <w:r w:rsidR="005117A2" w:rsidRPr="00704BD2">
        <w:rPr>
          <w:rFonts w:eastAsia="Calibri"/>
          <w:lang w:val="en-GB"/>
        </w:rPr>
        <w:t>f</w:t>
      </w:r>
      <w:r w:rsidRPr="00704BD2">
        <w:rPr>
          <w:rFonts w:eastAsia="Calibri"/>
          <w:lang w:val="en-GB"/>
        </w:rPr>
        <w:t xml:space="preserve">intech adoption). </w:t>
      </w:r>
    </w:p>
    <w:p w14:paraId="0E6ED041" w14:textId="4C70F0C4" w:rsidR="00AB2AEF" w:rsidRPr="00704BD2" w:rsidRDefault="00AB2AEF" w:rsidP="00AB2AEF">
      <w:pPr>
        <w:pStyle w:val="BodyTextMain"/>
        <w:rPr>
          <w:rFonts w:eastAsia="Calibri"/>
          <w:lang w:val="en-GB"/>
        </w:rPr>
      </w:pPr>
    </w:p>
    <w:p w14:paraId="23D179C1" w14:textId="77777777" w:rsidR="00AB2AEF" w:rsidRPr="00704BD2" w:rsidRDefault="00AB2AEF" w:rsidP="00AB2AEF">
      <w:pPr>
        <w:pStyle w:val="BodyTextMain"/>
        <w:rPr>
          <w:rFonts w:eastAsia="Calibri"/>
          <w:lang w:val="en-GB"/>
        </w:rPr>
      </w:pPr>
    </w:p>
    <w:p w14:paraId="4C3801C3" w14:textId="5A953B3F" w:rsidR="00AB2AEF" w:rsidRPr="00704BD2" w:rsidRDefault="00AB2AEF" w:rsidP="00AB2AEF">
      <w:pPr>
        <w:pStyle w:val="Casehead1"/>
        <w:rPr>
          <w:rFonts w:eastAsia="Calibri"/>
          <w:lang w:val="en-GB"/>
        </w:rPr>
      </w:pPr>
      <w:r w:rsidRPr="00704BD2">
        <w:rPr>
          <w:rFonts w:eastAsia="Calibri"/>
          <w:lang w:val="en-GB"/>
        </w:rPr>
        <w:t>Open Banking</w:t>
      </w:r>
      <w:r w:rsidR="005F4AD4" w:rsidRPr="00704BD2">
        <w:rPr>
          <w:rFonts w:eastAsia="Calibri"/>
          <w:lang w:val="en-GB"/>
        </w:rPr>
        <w:sym w:font="Symbol" w:char="F0BE"/>
      </w:r>
      <w:r w:rsidRPr="00704BD2">
        <w:rPr>
          <w:rFonts w:eastAsia="Calibri"/>
          <w:lang w:val="en-GB"/>
        </w:rPr>
        <w:t>The Idea and the Reality</w:t>
      </w:r>
    </w:p>
    <w:p w14:paraId="35586321" w14:textId="77777777" w:rsidR="00AB2AEF" w:rsidRPr="00704BD2" w:rsidRDefault="00AB2AEF" w:rsidP="00AB2AEF">
      <w:pPr>
        <w:pStyle w:val="BodyTextMain"/>
        <w:rPr>
          <w:rFonts w:eastAsia="Calibri"/>
          <w:lang w:val="en-GB"/>
        </w:rPr>
      </w:pPr>
    </w:p>
    <w:p w14:paraId="1BA87FDE" w14:textId="45605835" w:rsidR="00AB2AEF" w:rsidRPr="00704BD2" w:rsidRDefault="00AB2AEF" w:rsidP="00AB2AEF">
      <w:pPr>
        <w:pStyle w:val="BodyTextMain"/>
        <w:rPr>
          <w:rFonts w:eastAsia="Calibri"/>
          <w:lang w:val="en-GB"/>
        </w:rPr>
      </w:pPr>
      <w:r w:rsidRPr="00704BD2">
        <w:rPr>
          <w:rFonts w:eastAsia="Calibri"/>
          <w:lang w:val="en-GB"/>
        </w:rPr>
        <w:t xml:space="preserve">Open banking </w:t>
      </w:r>
      <w:r w:rsidR="00791973" w:rsidRPr="00704BD2">
        <w:rPr>
          <w:rFonts w:eastAsia="Calibri"/>
          <w:lang w:val="en-GB"/>
        </w:rPr>
        <w:t xml:space="preserve">reflected </w:t>
      </w:r>
      <w:r w:rsidRPr="00704BD2">
        <w:rPr>
          <w:rFonts w:eastAsia="Calibri"/>
          <w:lang w:val="en-GB"/>
        </w:rPr>
        <w:t xml:space="preserve">the idea that consumers would benefit if, at their discretion, </w:t>
      </w:r>
      <w:r w:rsidR="00791973" w:rsidRPr="00704BD2">
        <w:rPr>
          <w:rFonts w:eastAsia="Calibri"/>
          <w:lang w:val="en-GB"/>
        </w:rPr>
        <w:t xml:space="preserve">they </w:t>
      </w:r>
      <w:r w:rsidR="00B3047C" w:rsidRPr="00704BD2">
        <w:rPr>
          <w:rFonts w:eastAsia="Calibri"/>
          <w:lang w:val="en-GB"/>
        </w:rPr>
        <w:t xml:space="preserve">could </w:t>
      </w:r>
      <w:r w:rsidR="00791973" w:rsidRPr="00704BD2">
        <w:rPr>
          <w:rFonts w:eastAsia="Calibri"/>
          <w:lang w:val="en-GB"/>
        </w:rPr>
        <w:t>grant</w:t>
      </w:r>
      <w:r w:rsidR="00791973" w:rsidRPr="00704BD2" w:rsidDel="003324DB">
        <w:rPr>
          <w:rFonts w:eastAsia="Calibri"/>
          <w:lang w:val="en-GB"/>
        </w:rPr>
        <w:t xml:space="preserve"> </w:t>
      </w:r>
      <w:r w:rsidR="00A8231E" w:rsidRPr="00704BD2">
        <w:rPr>
          <w:rFonts w:eastAsia="Calibri"/>
          <w:lang w:val="en-GB"/>
        </w:rPr>
        <w:t xml:space="preserve">third-party service providers </w:t>
      </w:r>
      <w:r w:rsidRPr="00704BD2">
        <w:rPr>
          <w:rFonts w:eastAsia="Calibri"/>
          <w:lang w:val="en-GB"/>
        </w:rPr>
        <w:t xml:space="preserve">access to their banking data. </w:t>
      </w:r>
      <w:r w:rsidR="00791973" w:rsidRPr="00704BD2">
        <w:rPr>
          <w:rFonts w:eastAsia="Calibri"/>
          <w:lang w:val="en-GB"/>
        </w:rPr>
        <w:t>C</w:t>
      </w:r>
      <w:r w:rsidRPr="00704BD2">
        <w:rPr>
          <w:rFonts w:eastAsia="Calibri"/>
          <w:lang w:val="en-GB"/>
        </w:rPr>
        <w:t>onsumers shar</w:t>
      </w:r>
      <w:r w:rsidR="00791973" w:rsidRPr="00704BD2">
        <w:rPr>
          <w:rFonts w:eastAsia="Calibri"/>
          <w:lang w:val="en-GB"/>
        </w:rPr>
        <w:t>ing</w:t>
      </w:r>
      <w:r w:rsidRPr="00704BD2">
        <w:rPr>
          <w:rFonts w:eastAsia="Calibri"/>
          <w:lang w:val="en-GB"/>
        </w:rPr>
        <w:t xml:space="preserve"> their data</w:t>
      </w:r>
      <w:r w:rsidR="00BE24B4" w:rsidRPr="00704BD2">
        <w:rPr>
          <w:rFonts w:eastAsia="Calibri"/>
          <w:lang w:val="en-GB"/>
        </w:rPr>
        <w:t xml:space="preserve"> at will</w:t>
      </w:r>
      <w:r w:rsidRPr="00704BD2">
        <w:rPr>
          <w:rFonts w:eastAsia="Calibri"/>
          <w:lang w:val="en-GB"/>
        </w:rPr>
        <w:t xml:space="preserve"> with </w:t>
      </w:r>
      <w:r w:rsidR="00791973" w:rsidRPr="00704BD2">
        <w:rPr>
          <w:rFonts w:eastAsia="Calibri"/>
          <w:lang w:val="en-GB"/>
        </w:rPr>
        <w:t>the</w:t>
      </w:r>
      <w:r w:rsidRPr="00704BD2">
        <w:rPr>
          <w:rFonts w:eastAsia="Calibri"/>
          <w:lang w:val="en-GB"/>
        </w:rPr>
        <w:t xml:space="preserve"> financial services </w:t>
      </w:r>
      <w:r w:rsidR="00791973" w:rsidRPr="00704BD2">
        <w:rPr>
          <w:rFonts w:eastAsia="Calibri"/>
          <w:lang w:val="en-GB"/>
        </w:rPr>
        <w:t xml:space="preserve">providers </w:t>
      </w:r>
      <w:r w:rsidRPr="00704BD2">
        <w:rPr>
          <w:rFonts w:eastAsia="Calibri"/>
          <w:lang w:val="en-GB"/>
        </w:rPr>
        <w:t>of their choice would increase competition in the financial services industries, which would in turn stimulate innovation and lower prices. It could also allow the creation of new value for consumers aris</w:t>
      </w:r>
      <w:r w:rsidR="00BE24B4" w:rsidRPr="00704BD2">
        <w:rPr>
          <w:rFonts w:eastAsia="Calibri"/>
          <w:lang w:val="en-GB"/>
        </w:rPr>
        <w:t>ing</w:t>
      </w:r>
      <w:r w:rsidRPr="00704BD2">
        <w:rPr>
          <w:rFonts w:eastAsia="Calibri"/>
          <w:lang w:val="en-GB"/>
        </w:rPr>
        <w:t xml:space="preserve"> from </w:t>
      </w:r>
      <w:r w:rsidR="003324DB" w:rsidRPr="00704BD2">
        <w:rPr>
          <w:rFonts w:eastAsia="Calibri"/>
          <w:lang w:val="en-GB"/>
        </w:rPr>
        <w:t xml:space="preserve">both </w:t>
      </w:r>
      <w:r w:rsidR="00BE24B4" w:rsidRPr="00704BD2">
        <w:rPr>
          <w:rFonts w:eastAsia="Calibri"/>
          <w:lang w:val="en-GB"/>
        </w:rPr>
        <w:t xml:space="preserve">the </w:t>
      </w:r>
      <w:r w:rsidRPr="00704BD2">
        <w:rPr>
          <w:rFonts w:eastAsia="Calibri"/>
          <w:lang w:val="en-GB"/>
        </w:rPr>
        <w:t xml:space="preserve">integration of services and </w:t>
      </w:r>
      <w:r w:rsidR="00BE24B4" w:rsidRPr="00704BD2">
        <w:rPr>
          <w:rFonts w:eastAsia="Calibri"/>
          <w:lang w:val="en-GB"/>
        </w:rPr>
        <w:t xml:space="preserve">data </w:t>
      </w:r>
      <w:r w:rsidRPr="00704BD2">
        <w:rPr>
          <w:rFonts w:eastAsia="Calibri"/>
          <w:lang w:val="en-GB"/>
        </w:rPr>
        <w:t>aggregation from different sources.</w:t>
      </w:r>
      <w:r w:rsidRPr="00704BD2">
        <w:rPr>
          <w:rFonts w:eastAsia="Calibri"/>
          <w:vertAlign w:val="superscript"/>
          <w:lang w:val="en-GB"/>
        </w:rPr>
        <w:endnoteReference w:id="36"/>
      </w:r>
    </w:p>
    <w:p w14:paraId="148A18F8" w14:textId="77777777" w:rsidR="00AB2AEF" w:rsidRPr="00704BD2" w:rsidRDefault="00AB2AEF" w:rsidP="00AB2AEF">
      <w:pPr>
        <w:pStyle w:val="BodyTextMain"/>
        <w:rPr>
          <w:rFonts w:eastAsia="Calibri"/>
          <w:lang w:val="en-GB"/>
        </w:rPr>
      </w:pPr>
    </w:p>
    <w:p w14:paraId="2A3E1BF3" w14:textId="06E29FD6" w:rsidR="00AB2AEF" w:rsidRPr="00704BD2" w:rsidRDefault="00AB2AEF" w:rsidP="00AB2AEF">
      <w:pPr>
        <w:pStyle w:val="BodyTextMain"/>
        <w:rPr>
          <w:rFonts w:eastAsia="Calibri"/>
          <w:lang w:val="en-GB"/>
        </w:rPr>
      </w:pPr>
      <w:r w:rsidRPr="00704BD2">
        <w:rPr>
          <w:rFonts w:eastAsia="Calibri"/>
          <w:lang w:val="en-GB"/>
        </w:rPr>
        <w:t>That banks should be legally obliged to turn over their customers</w:t>
      </w:r>
      <w:r w:rsidR="000B1640" w:rsidRPr="00704BD2">
        <w:rPr>
          <w:rFonts w:eastAsia="Calibri"/>
          <w:lang w:val="en-GB"/>
        </w:rPr>
        <w:t>’</w:t>
      </w:r>
      <w:r w:rsidRPr="00704BD2">
        <w:rPr>
          <w:rFonts w:eastAsia="Calibri"/>
          <w:lang w:val="en-GB"/>
        </w:rPr>
        <w:t xml:space="preserve"> data to third parties when consumers authorized it seemed like a reasonable expectation to many consumers and policy makers. The data did, after all, belong to the consumer. </w:t>
      </w:r>
      <w:r w:rsidR="000B57FF">
        <w:rPr>
          <w:rFonts w:eastAsia="Calibri"/>
          <w:lang w:val="en-GB"/>
        </w:rPr>
        <w:t>For</w:t>
      </w:r>
      <w:r w:rsidRPr="00704BD2">
        <w:rPr>
          <w:rFonts w:eastAsia="Calibri"/>
          <w:lang w:val="en-GB"/>
        </w:rPr>
        <w:t xml:space="preserve"> the banks, though, this meant they had to turn over data that would help others compete against them. Needless to say, this idea was challenging for many banks. In addition, the matter was not as simple as it seemed. Intermingled with consumer data was often other information that the banks considered proprietary, such </w:t>
      </w:r>
      <w:r w:rsidR="00A83C8D" w:rsidRPr="00704BD2">
        <w:rPr>
          <w:rFonts w:eastAsia="Calibri"/>
          <w:lang w:val="en-GB"/>
        </w:rPr>
        <w:t xml:space="preserve">as </w:t>
      </w:r>
      <w:r w:rsidRPr="00704BD2">
        <w:rPr>
          <w:rFonts w:eastAsia="Calibri"/>
          <w:lang w:val="en-GB"/>
        </w:rPr>
        <w:t xml:space="preserve">fee levels and </w:t>
      </w:r>
      <w:r w:rsidR="00A83C8D" w:rsidRPr="00704BD2">
        <w:rPr>
          <w:rFonts w:eastAsia="Calibri"/>
          <w:lang w:val="en-GB"/>
        </w:rPr>
        <w:t xml:space="preserve">the </w:t>
      </w:r>
      <w:r w:rsidRPr="00704BD2">
        <w:rPr>
          <w:rFonts w:eastAsia="Calibri"/>
          <w:lang w:val="en-GB"/>
        </w:rPr>
        <w:t>pricing of transactions or accounts.</w:t>
      </w:r>
      <w:r w:rsidRPr="00704BD2">
        <w:rPr>
          <w:rFonts w:eastAsia="Calibri"/>
          <w:vertAlign w:val="superscript"/>
          <w:lang w:val="en-GB"/>
        </w:rPr>
        <w:endnoteReference w:id="37"/>
      </w:r>
    </w:p>
    <w:p w14:paraId="14AFD22A" w14:textId="77777777" w:rsidR="00AB2AEF" w:rsidRPr="00704BD2" w:rsidRDefault="00AB2AEF" w:rsidP="00AB2AEF">
      <w:pPr>
        <w:pStyle w:val="BodyTextMain"/>
        <w:rPr>
          <w:rFonts w:eastAsia="Calibri"/>
          <w:lang w:val="en-GB"/>
        </w:rPr>
      </w:pPr>
    </w:p>
    <w:p w14:paraId="2BC30AE0" w14:textId="1C24B442" w:rsidR="00AB2AEF" w:rsidRPr="00704BD2" w:rsidRDefault="00AB2AEF" w:rsidP="00AB2AEF">
      <w:pPr>
        <w:pStyle w:val="BodyTextMain"/>
        <w:rPr>
          <w:rFonts w:eastAsia="Calibri"/>
          <w:lang w:val="en-GB"/>
        </w:rPr>
      </w:pPr>
      <w:r w:rsidRPr="00704BD2">
        <w:rPr>
          <w:rFonts w:eastAsia="Calibri"/>
          <w:lang w:val="en-GB"/>
        </w:rPr>
        <w:t xml:space="preserve">There could be little doubt that open banking represented a paradigm shift in the financial ecosystem. Prior to open banking, financial data was siloed, kept in a walled garden that belonged to incumbent banks. This privileged position shielded banks from disruptive start-ups, as </w:t>
      </w:r>
      <w:r w:rsidR="00A83C8D" w:rsidRPr="00704BD2">
        <w:rPr>
          <w:rFonts w:eastAsia="Calibri"/>
          <w:lang w:val="en-GB"/>
        </w:rPr>
        <w:t xml:space="preserve">the </w:t>
      </w:r>
      <w:r w:rsidRPr="00704BD2">
        <w:rPr>
          <w:rFonts w:eastAsia="Calibri"/>
          <w:lang w:val="en-GB"/>
        </w:rPr>
        <w:t xml:space="preserve">financial services </w:t>
      </w:r>
      <w:r w:rsidR="00A83C8D" w:rsidRPr="00704BD2">
        <w:rPr>
          <w:rFonts w:eastAsia="Calibri"/>
          <w:lang w:val="en-GB"/>
        </w:rPr>
        <w:t xml:space="preserve">of these start-ups </w:t>
      </w:r>
      <w:r w:rsidRPr="00704BD2">
        <w:rPr>
          <w:rFonts w:eastAsia="Calibri"/>
          <w:lang w:val="en-GB"/>
        </w:rPr>
        <w:t>could not be rendered without access to the clients’ accounts. However, as the push for open banking continued, it became an undeniable reality for banks to reckon with.</w:t>
      </w:r>
    </w:p>
    <w:p w14:paraId="7CED450F" w14:textId="77777777" w:rsidR="00AB2AEF" w:rsidRPr="00704BD2" w:rsidRDefault="00AB2AEF" w:rsidP="00AB2AEF">
      <w:pPr>
        <w:pStyle w:val="BodyTextMain"/>
        <w:rPr>
          <w:rFonts w:eastAsia="Calibri"/>
          <w:lang w:val="en-GB"/>
        </w:rPr>
      </w:pPr>
    </w:p>
    <w:p w14:paraId="748505CB" w14:textId="135BD6F5" w:rsidR="00AB2AEF" w:rsidRPr="00704BD2" w:rsidRDefault="00AB2AEF" w:rsidP="00AB2AEF">
      <w:pPr>
        <w:pStyle w:val="BodyTextMain"/>
        <w:rPr>
          <w:rFonts w:eastAsia="Calibri"/>
          <w:lang w:val="en-GB"/>
        </w:rPr>
      </w:pPr>
      <w:r w:rsidRPr="00704BD2">
        <w:rPr>
          <w:rFonts w:eastAsia="Calibri"/>
          <w:lang w:val="en-GB"/>
        </w:rPr>
        <w:t>Outside</w:t>
      </w:r>
      <w:r w:rsidR="00C94528" w:rsidRPr="00704BD2">
        <w:rPr>
          <w:rFonts w:eastAsia="Calibri"/>
          <w:lang w:val="en-GB"/>
        </w:rPr>
        <w:t xml:space="preserve"> of</w:t>
      </w:r>
      <w:r w:rsidRPr="00704BD2">
        <w:rPr>
          <w:rFonts w:eastAsia="Calibri"/>
          <w:lang w:val="en-GB"/>
        </w:rPr>
        <w:t xml:space="preserve"> the U</w:t>
      </w:r>
      <w:r w:rsidR="00C94528" w:rsidRPr="00704BD2">
        <w:rPr>
          <w:rFonts w:eastAsia="Calibri"/>
          <w:lang w:val="en-GB"/>
        </w:rPr>
        <w:t xml:space="preserve">nited </w:t>
      </w:r>
      <w:r w:rsidRPr="00704BD2">
        <w:rPr>
          <w:rFonts w:eastAsia="Calibri"/>
          <w:lang w:val="en-GB"/>
        </w:rPr>
        <w:t>S</w:t>
      </w:r>
      <w:r w:rsidR="00C94528" w:rsidRPr="00704BD2">
        <w:rPr>
          <w:rFonts w:eastAsia="Calibri"/>
          <w:lang w:val="en-GB"/>
        </w:rPr>
        <w:t>tates</w:t>
      </w:r>
      <w:r w:rsidRPr="00704BD2">
        <w:rPr>
          <w:rFonts w:eastAsia="Calibri"/>
          <w:lang w:val="en-GB"/>
        </w:rPr>
        <w:t xml:space="preserve">, </w:t>
      </w:r>
      <w:r w:rsidR="00A83C8D" w:rsidRPr="00704BD2">
        <w:rPr>
          <w:rFonts w:eastAsia="Calibri"/>
          <w:lang w:val="en-GB"/>
        </w:rPr>
        <w:t xml:space="preserve">open banking had been enacted formally </w:t>
      </w:r>
      <w:r w:rsidRPr="00704BD2">
        <w:rPr>
          <w:rFonts w:eastAsia="Calibri"/>
          <w:lang w:val="en-GB"/>
        </w:rPr>
        <w:t>in Europe, the U</w:t>
      </w:r>
      <w:r w:rsidR="00C94528" w:rsidRPr="00704BD2">
        <w:rPr>
          <w:rFonts w:eastAsia="Calibri"/>
          <w:lang w:val="en-GB"/>
        </w:rPr>
        <w:t xml:space="preserve">nited </w:t>
      </w:r>
      <w:r w:rsidRPr="00704BD2">
        <w:rPr>
          <w:rFonts w:eastAsia="Calibri"/>
          <w:lang w:val="en-GB"/>
        </w:rPr>
        <w:t>K</w:t>
      </w:r>
      <w:r w:rsidR="00C94528" w:rsidRPr="00704BD2">
        <w:rPr>
          <w:rFonts w:eastAsia="Calibri"/>
          <w:lang w:val="en-GB"/>
        </w:rPr>
        <w:t>ingdom</w:t>
      </w:r>
      <w:r w:rsidRPr="00704BD2">
        <w:rPr>
          <w:rFonts w:eastAsia="Calibri"/>
          <w:lang w:val="en-GB"/>
        </w:rPr>
        <w:t>, Australia</w:t>
      </w:r>
      <w:r w:rsidR="00C94528" w:rsidRPr="00704BD2">
        <w:rPr>
          <w:rFonts w:eastAsia="Calibri"/>
          <w:lang w:val="en-GB"/>
        </w:rPr>
        <w:t>,</w:t>
      </w:r>
      <w:r w:rsidRPr="00704BD2">
        <w:rPr>
          <w:rFonts w:eastAsia="Calibri"/>
          <w:lang w:val="en-GB"/>
        </w:rPr>
        <w:t xml:space="preserve"> and elsewhere through regulatory regimes, with the stated intention of increasing competition in financial services in ways that would benefit consumers.</w:t>
      </w:r>
      <w:r w:rsidRPr="00704BD2">
        <w:rPr>
          <w:rFonts w:eastAsia="Calibri"/>
          <w:vertAlign w:val="superscript"/>
          <w:lang w:val="en-GB"/>
        </w:rPr>
        <w:endnoteReference w:id="38"/>
      </w:r>
      <w:r w:rsidRPr="00704BD2">
        <w:rPr>
          <w:rFonts w:eastAsia="Calibri"/>
          <w:lang w:val="en-GB"/>
        </w:rPr>
        <w:t xml:space="preserve"> For example, in August 2016, the U</w:t>
      </w:r>
      <w:r w:rsidR="00A83C8D" w:rsidRPr="00704BD2">
        <w:rPr>
          <w:rFonts w:eastAsia="Calibri"/>
          <w:lang w:val="en-GB"/>
        </w:rPr>
        <w:t xml:space="preserve">nited </w:t>
      </w:r>
      <w:r w:rsidRPr="00704BD2">
        <w:rPr>
          <w:rFonts w:eastAsia="Calibri"/>
          <w:lang w:val="en-GB"/>
        </w:rPr>
        <w:t>K</w:t>
      </w:r>
      <w:r w:rsidR="00A83C8D" w:rsidRPr="00704BD2">
        <w:rPr>
          <w:rFonts w:eastAsia="Calibri"/>
          <w:lang w:val="en-GB"/>
        </w:rPr>
        <w:t>ingdom’s</w:t>
      </w:r>
      <w:r w:rsidRPr="00704BD2">
        <w:rPr>
          <w:rFonts w:eastAsia="Calibri"/>
          <w:lang w:val="en-GB"/>
        </w:rPr>
        <w:t xml:space="preserve"> Competition and Markets Authority issued a broad ruling that forced the U</w:t>
      </w:r>
      <w:r w:rsidR="00A83C8D" w:rsidRPr="00704BD2">
        <w:rPr>
          <w:rFonts w:eastAsia="Calibri"/>
          <w:lang w:val="en-GB"/>
        </w:rPr>
        <w:t xml:space="preserve">nited </w:t>
      </w:r>
      <w:r w:rsidRPr="00704BD2">
        <w:rPr>
          <w:rFonts w:eastAsia="Calibri"/>
          <w:lang w:val="en-GB"/>
        </w:rPr>
        <w:t>K</w:t>
      </w:r>
      <w:r w:rsidR="00A83C8D" w:rsidRPr="00704BD2">
        <w:rPr>
          <w:rFonts w:eastAsia="Calibri"/>
          <w:lang w:val="en-GB"/>
        </w:rPr>
        <w:t>ingdom</w:t>
      </w:r>
      <w:r w:rsidRPr="00704BD2">
        <w:rPr>
          <w:rFonts w:eastAsia="Calibri"/>
          <w:lang w:val="en-GB"/>
        </w:rPr>
        <w:t>’s nine largest banks to share their data in a standardi</w:t>
      </w:r>
      <w:r w:rsidR="009508F5" w:rsidRPr="00704BD2">
        <w:rPr>
          <w:rFonts w:eastAsia="Calibri"/>
          <w:lang w:val="en-GB"/>
        </w:rPr>
        <w:t>zed</w:t>
      </w:r>
      <w:r w:rsidRPr="00704BD2">
        <w:rPr>
          <w:rFonts w:eastAsia="Calibri"/>
          <w:lang w:val="en-GB"/>
        </w:rPr>
        <w:t xml:space="preserve"> form.</w:t>
      </w:r>
      <w:r w:rsidRPr="00704BD2">
        <w:rPr>
          <w:rFonts w:eastAsia="Calibri"/>
          <w:vertAlign w:val="superscript"/>
          <w:lang w:val="en-GB"/>
        </w:rPr>
        <w:endnoteReference w:id="39"/>
      </w:r>
      <w:r w:rsidRPr="00704BD2">
        <w:rPr>
          <w:rFonts w:eastAsia="Calibri"/>
          <w:lang w:val="en-GB"/>
        </w:rPr>
        <w:t xml:space="preserve"> In Europe and elsewhere, this consumer information issue was framed in terms of “data portability,” the idea that consumers should be able to take their data anywhere they chose, like</w:t>
      </w:r>
      <w:r w:rsidR="00B3047C" w:rsidRPr="00704BD2">
        <w:rPr>
          <w:rFonts w:eastAsia="Calibri"/>
          <w:lang w:val="en-GB"/>
        </w:rPr>
        <w:t xml:space="preserve"> it was</w:t>
      </w:r>
      <w:r w:rsidRPr="00704BD2">
        <w:rPr>
          <w:rFonts w:eastAsia="Calibri"/>
          <w:lang w:val="en-GB"/>
        </w:rPr>
        <w:t xml:space="preserve"> personal property.</w:t>
      </w:r>
      <w:r w:rsidRPr="00704BD2">
        <w:rPr>
          <w:rFonts w:eastAsia="Calibri"/>
          <w:vertAlign w:val="superscript"/>
          <w:lang w:val="en-GB"/>
        </w:rPr>
        <w:endnoteReference w:id="40"/>
      </w:r>
    </w:p>
    <w:p w14:paraId="2E3C3575" w14:textId="51CEB767" w:rsidR="00AB2AEF" w:rsidRPr="00704BD2" w:rsidRDefault="00AB2AEF" w:rsidP="00AB2AEF">
      <w:pPr>
        <w:pStyle w:val="BodyTextMain"/>
        <w:rPr>
          <w:rFonts w:eastAsia="Calibri"/>
          <w:lang w:val="en-GB"/>
        </w:rPr>
      </w:pPr>
      <w:r w:rsidRPr="00704BD2">
        <w:rPr>
          <w:rFonts w:eastAsia="Calibri"/>
          <w:lang w:val="en-GB"/>
        </w:rPr>
        <w:lastRenderedPageBreak/>
        <w:t>In the U</w:t>
      </w:r>
      <w:r w:rsidR="009508F5" w:rsidRPr="00704BD2">
        <w:rPr>
          <w:rFonts w:eastAsia="Calibri"/>
          <w:lang w:val="en-GB"/>
        </w:rPr>
        <w:t xml:space="preserve">nited </w:t>
      </w:r>
      <w:r w:rsidRPr="00704BD2">
        <w:rPr>
          <w:rFonts w:eastAsia="Calibri"/>
          <w:lang w:val="en-GB"/>
        </w:rPr>
        <w:t>S</w:t>
      </w:r>
      <w:r w:rsidR="009508F5" w:rsidRPr="00704BD2">
        <w:rPr>
          <w:rFonts w:eastAsia="Calibri"/>
          <w:lang w:val="en-GB"/>
        </w:rPr>
        <w:t>tates</w:t>
      </w:r>
      <w:r w:rsidRPr="00704BD2">
        <w:rPr>
          <w:rFonts w:eastAsia="Calibri"/>
          <w:lang w:val="en-GB"/>
        </w:rPr>
        <w:t>, policy makers were less inclined to influence markets through regulation and tended to rely instead on competition to enact changes to benefit consumers. The move to open banking in the U</w:t>
      </w:r>
      <w:r w:rsidR="009508F5" w:rsidRPr="00704BD2">
        <w:rPr>
          <w:rFonts w:eastAsia="Calibri"/>
          <w:lang w:val="en-GB"/>
        </w:rPr>
        <w:t xml:space="preserve">nited </w:t>
      </w:r>
      <w:r w:rsidRPr="00704BD2">
        <w:rPr>
          <w:rFonts w:eastAsia="Calibri"/>
          <w:lang w:val="en-GB"/>
        </w:rPr>
        <w:t>S</w:t>
      </w:r>
      <w:r w:rsidR="009508F5" w:rsidRPr="00704BD2">
        <w:rPr>
          <w:rFonts w:eastAsia="Calibri"/>
          <w:lang w:val="en-GB"/>
        </w:rPr>
        <w:t>tates</w:t>
      </w:r>
      <w:r w:rsidRPr="00704BD2">
        <w:rPr>
          <w:rFonts w:eastAsia="Calibri"/>
          <w:lang w:val="en-GB"/>
        </w:rPr>
        <w:t xml:space="preserve">, then, was more </w:t>
      </w:r>
      <w:r w:rsidRPr="00704BD2">
        <w:rPr>
          <w:rFonts w:eastAsia="Calibri"/>
          <w:i/>
          <w:iCs/>
          <w:lang w:val="en-GB"/>
        </w:rPr>
        <w:t>ad hoc</w:t>
      </w:r>
      <w:r w:rsidRPr="00704BD2">
        <w:rPr>
          <w:rFonts w:eastAsia="Calibri"/>
          <w:lang w:val="en-GB"/>
        </w:rPr>
        <w:t xml:space="preserve"> than in other countries.</w:t>
      </w:r>
      <w:r w:rsidRPr="00704BD2">
        <w:rPr>
          <w:rFonts w:eastAsia="Calibri"/>
          <w:vertAlign w:val="superscript"/>
          <w:lang w:val="en-GB"/>
        </w:rPr>
        <w:endnoteReference w:id="41"/>
      </w:r>
      <w:r w:rsidRPr="00704BD2">
        <w:rPr>
          <w:rFonts w:eastAsia="Calibri"/>
          <w:lang w:val="en-GB"/>
        </w:rPr>
        <w:t xml:space="preserve"> Even so, open banking had many advocates pushing for its implementation, and banking regulations trended toward open information. The 2010 </w:t>
      </w:r>
      <w:r w:rsidRPr="00704BD2">
        <w:rPr>
          <w:rFonts w:eastAsia="Calibri"/>
          <w:i/>
          <w:lang w:val="en-GB"/>
        </w:rPr>
        <w:t xml:space="preserve">Dodd-Frank </w:t>
      </w:r>
      <w:r w:rsidR="009508F5" w:rsidRPr="00704BD2">
        <w:rPr>
          <w:rFonts w:eastAsia="Calibri"/>
          <w:i/>
          <w:lang w:val="en-GB"/>
        </w:rPr>
        <w:t>Wall Street Reform and Consumer Protection A</w:t>
      </w:r>
      <w:r w:rsidRPr="00704BD2">
        <w:rPr>
          <w:rFonts w:eastAsia="Calibri"/>
          <w:i/>
          <w:lang w:val="en-GB"/>
        </w:rPr>
        <w:t xml:space="preserve">ct </w:t>
      </w:r>
      <w:r w:rsidRPr="00704BD2">
        <w:rPr>
          <w:rFonts w:eastAsia="Calibri"/>
          <w:lang w:val="en-GB"/>
        </w:rPr>
        <w:t>had a section on consumers’ right to information, which stated that consumer transaction data should be made available in an “electronic form usable by consumers” upon request.</w:t>
      </w:r>
      <w:r w:rsidRPr="00704BD2">
        <w:rPr>
          <w:rFonts w:eastAsia="Calibri"/>
          <w:vertAlign w:val="superscript"/>
          <w:lang w:val="en-GB"/>
        </w:rPr>
        <w:endnoteReference w:id="42"/>
      </w:r>
      <w:r w:rsidRPr="00704BD2">
        <w:rPr>
          <w:rFonts w:eastAsia="Calibri"/>
          <w:lang w:val="en-GB"/>
        </w:rPr>
        <w:t xml:space="preserve"> Remarks by Richard Cordray, director of the CFPB, in a 2016 CFPB hearing illustrated the increasing degree of enthusiasm for the open banking ideal in the U</w:t>
      </w:r>
      <w:r w:rsidR="009508F5" w:rsidRPr="00704BD2">
        <w:rPr>
          <w:rFonts w:eastAsia="Calibri"/>
          <w:lang w:val="en-GB"/>
        </w:rPr>
        <w:t xml:space="preserve">nited </w:t>
      </w:r>
      <w:r w:rsidRPr="00704BD2">
        <w:rPr>
          <w:rFonts w:eastAsia="Calibri"/>
          <w:lang w:val="en-GB"/>
        </w:rPr>
        <w:t>S</w:t>
      </w:r>
      <w:r w:rsidR="009508F5" w:rsidRPr="00704BD2">
        <w:rPr>
          <w:rFonts w:eastAsia="Calibri"/>
          <w:lang w:val="en-GB"/>
        </w:rPr>
        <w:t>tates</w:t>
      </w:r>
      <w:r w:rsidRPr="00704BD2">
        <w:rPr>
          <w:rFonts w:eastAsia="Calibri"/>
          <w:lang w:val="en-GB"/>
        </w:rPr>
        <w:t>:</w:t>
      </w:r>
    </w:p>
    <w:p w14:paraId="71A1B8B0" w14:textId="77777777" w:rsidR="00AB2AEF" w:rsidRPr="00704BD2" w:rsidRDefault="00AB2AEF" w:rsidP="00AB2AEF">
      <w:pPr>
        <w:pStyle w:val="BodyTextMain"/>
        <w:rPr>
          <w:rFonts w:eastAsia="Calibri"/>
          <w:lang w:val="en-GB"/>
        </w:rPr>
      </w:pPr>
    </w:p>
    <w:p w14:paraId="56DB94F5" w14:textId="74A94E36" w:rsidR="00AB2AEF" w:rsidRPr="00704BD2" w:rsidRDefault="00AB2AEF" w:rsidP="00AB2AEF">
      <w:pPr>
        <w:pStyle w:val="BodyTextMain"/>
        <w:ind w:left="720"/>
        <w:rPr>
          <w:rFonts w:eastAsia="Calibri"/>
          <w:lang w:val="en-GB"/>
        </w:rPr>
      </w:pPr>
      <w:r w:rsidRPr="00704BD2">
        <w:rPr>
          <w:rFonts w:eastAsia="Calibri"/>
          <w:lang w:val="en-GB"/>
        </w:rPr>
        <w:t>Impeding access to digital financial records not only blocks innovation from new entrants, it also reduces the incentives for financial institutions to innovate. Without new companies introducing consumer-friendly products or services into the market, established companies are likely to feel less pressure to compete in this manner. And authorizing access to their financial records can make it easier for consumers to shop for an alternative provider with more favorable pricing, given the consumer’s usage patterns. To be clear, it is unacceptable for financial institutions to block access to consumer information as a means of gaining a competitive advantage in the marketplace.</w:t>
      </w:r>
      <w:r w:rsidRPr="00704BD2">
        <w:rPr>
          <w:rFonts w:eastAsia="Calibri"/>
          <w:vertAlign w:val="superscript"/>
          <w:lang w:val="en-GB"/>
        </w:rPr>
        <w:endnoteReference w:id="43"/>
      </w:r>
    </w:p>
    <w:p w14:paraId="35632F8C" w14:textId="77777777" w:rsidR="00AB2AEF" w:rsidRPr="00704BD2" w:rsidRDefault="00AB2AEF" w:rsidP="00AB2AEF">
      <w:pPr>
        <w:pStyle w:val="BodyTextMain"/>
        <w:rPr>
          <w:rFonts w:eastAsia="Calibri"/>
          <w:lang w:val="en-GB"/>
        </w:rPr>
      </w:pPr>
    </w:p>
    <w:p w14:paraId="40EE5179" w14:textId="1E2A7038" w:rsidR="00AB2AEF" w:rsidRPr="00704BD2" w:rsidRDefault="00AB2AEF" w:rsidP="00AB2AEF">
      <w:pPr>
        <w:pStyle w:val="BodyTextMain"/>
        <w:rPr>
          <w:rFonts w:eastAsia="Calibri"/>
          <w:b/>
          <w:bCs/>
          <w:lang w:val="en-GB"/>
        </w:rPr>
      </w:pPr>
      <w:r w:rsidRPr="00704BD2">
        <w:rPr>
          <w:rFonts w:eastAsia="Calibri"/>
          <w:lang w:val="en-GB"/>
        </w:rPr>
        <w:t>The CFPB also announced inquiries into how financial data was shared and what technological developments could be used to advance it going forward.</w:t>
      </w:r>
      <w:r w:rsidRPr="00704BD2">
        <w:rPr>
          <w:rFonts w:eastAsia="Calibri"/>
          <w:vertAlign w:val="superscript"/>
          <w:lang w:val="en-GB"/>
        </w:rPr>
        <w:endnoteReference w:id="44"/>
      </w:r>
      <w:r w:rsidRPr="00704BD2">
        <w:rPr>
          <w:rFonts w:eastAsia="Calibri"/>
          <w:lang w:val="en-GB"/>
        </w:rPr>
        <w:t xml:space="preserve"> </w:t>
      </w:r>
    </w:p>
    <w:p w14:paraId="11B859F7" w14:textId="3923E36E" w:rsidR="00AB2AEF" w:rsidRPr="00704BD2" w:rsidRDefault="00AB2AEF" w:rsidP="00AB2AEF">
      <w:pPr>
        <w:pStyle w:val="BodyTextMain"/>
        <w:rPr>
          <w:rFonts w:eastAsia="Calibri"/>
          <w:lang w:val="en-GB"/>
        </w:rPr>
      </w:pPr>
    </w:p>
    <w:p w14:paraId="30D8B712" w14:textId="77777777" w:rsidR="00AB2AEF" w:rsidRPr="00704BD2" w:rsidRDefault="00AB2AEF" w:rsidP="00AB2AEF">
      <w:pPr>
        <w:pStyle w:val="BodyTextMain"/>
        <w:rPr>
          <w:rFonts w:eastAsia="Calibri"/>
          <w:lang w:val="en-GB"/>
        </w:rPr>
      </w:pPr>
    </w:p>
    <w:p w14:paraId="68600563" w14:textId="77777777" w:rsidR="00AB2AEF" w:rsidRPr="00704BD2" w:rsidRDefault="00AB2AEF" w:rsidP="00AB2AEF">
      <w:pPr>
        <w:pStyle w:val="Casehead1"/>
        <w:rPr>
          <w:rFonts w:eastAsia="Calibri"/>
          <w:lang w:val="en-GB"/>
        </w:rPr>
      </w:pPr>
      <w:r w:rsidRPr="00704BD2">
        <w:rPr>
          <w:rFonts w:eastAsia="Calibri"/>
          <w:lang w:val="en-GB"/>
        </w:rPr>
        <w:t>The Practicalities of Data Access</w:t>
      </w:r>
    </w:p>
    <w:p w14:paraId="216FBE8A" w14:textId="77777777" w:rsidR="00AB2AEF" w:rsidRPr="00704BD2" w:rsidRDefault="00AB2AEF" w:rsidP="00AB2AEF">
      <w:pPr>
        <w:pStyle w:val="BodyTextMain"/>
        <w:rPr>
          <w:rFonts w:eastAsia="Calibri"/>
          <w:lang w:val="en-GB"/>
        </w:rPr>
      </w:pPr>
    </w:p>
    <w:p w14:paraId="46BB8AB2" w14:textId="3F1A82D3" w:rsidR="00AB2AEF" w:rsidRPr="00704BD2" w:rsidRDefault="009508F5" w:rsidP="00AB2AEF">
      <w:pPr>
        <w:pStyle w:val="BodyTextMain"/>
        <w:rPr>
          <w:rFonts w:eastAsia="Calibri"/>
          <w:lang w:val="en-GB"/>
        </w:rPr>
      </w:pPr>
      <w:r w:rsidRPr="00704BD2">
        <w:rPr>
          <w:rFonts w:eastAsia="Calibri"/>
          <w:lang w:val="en-GB"/>
        </w:rPr>
        <w:t>The s</w:t>
      </w:r>
      <w:r w:rsidR="00AB2AEF" w:rsidRPr="00704BD2">
        <w:rPr>
          <w:rFonts w:eastAsia="Calibri"/>
          <w:lang w:val="en-GB"/>
        </w:rPr>
        <w:t>haring of data for open banking was accomplished in two main ways</w:t>
      </w:r>
      <w:r w:rsidR="00C50770">
        <w:rPr>
          <w:rFonts w:eastAsia="Calibri"/>
          <w:lang w:val="en-GB"/>
        </w:rPr>
        <w:t>—</w:t>
      </w:r>
      <w:r w:rsidR="00AB2AEF" w:rsidRPr="00704BD2">
        <w:rPr>
          <w:rFonts w:eastAsia="Calibri"/>
          <w:lang w:val="en-GB"/>
        </w:rPr>
        <w:t>one that was in many ways problematic but did not require the co</w:t>
      </w:r>
      <w:r w:rsidRPr="00704BD2">
        <w:rPr>
          <w:rFonts w:eastAsia="Calibri"/>
          <w:lang w:val="en-GB"/>
        </w:rPr>
        <w:t>-</w:t>
      </w:r>
      <w:r w:rsidR="00AB2AEF" w:rsidRPr="00704BD2">
        <w:rPr>
          <w:rFonts w:eastAsia="Calibri"/>
          <w:lang w:val="en-GB"/>
        </w:rPr>
        <w:t xml:space="preserve">operation of an established bank, and another that was more reliable and secure but did require </w:t>
      </w:r>
      <w:r w:rsidRPr="00704BD2">
        <w:rPr>
          <w:rFonts w:eastAsia="Calibri"/>
          <w:lang w:val="en-GB"/>
        </w:rPr>
        <w:t xml:space="preserve">the </w:t>
      </w:r>
      <w:r w:rsidR="00AB2AEF" w:rsidRPr="00704BD2">
        <w:rPr>
          <w:rFonts w:eastAsia="Calibri"/>
          <w:lang w:val="en-GB"/>
        </w:rPr>
        <w:t>bank</w:t>
      </w:r>
      <w:r w:rsidRPr="00704BD2">
        <w:rPr>
          <w:rFonts w:eastAsia="Calibri"/>
          <w:lang w:val="en-GB"/>
        </w:rPr>
        <w:t>’s</w:t>
      </w:r>
      <w:r w:rsidR="00AB2AEF" w:rsidRPr="00704BD2">
        <w:rPr>
          <w:rFonts w:eastAsia="Calibri"/>
          <w:lang w:val="en-GB"/>
        </w:rPr>
        <w:t xml:space="preserve"> co</w:t>
      </w:r>
      <w:r w:rsidRPr="00704BD2">
        <w:rPr>
          <w:rFonts w:eastAsia="Calibri"/>
          <w:lang w:val="en-GB"/>
        </w:rPr>
        <w:t>-</w:t>
      </w:r>
      <w:r w:rsidR="00AB2AEF" w:rsidRPr="00704BD2">
        <w:rPr>
          <w:rFonts w:eastAsia="Calibri"/>
          <w:lang w:val="en-GB"/>
        </w:rPr>
        <w:t>operation.</w:t>
      </w:r>
    </w:p>
    <w:p w14:paraId="76AA5985" w14:textId="77777777" w:rsidR="00AB2AEF" w:rsidRPr="00704BD2" w:rsidRDefault="00AB2AEF" w:rsidP="00AB2AEF">
      <w:pPr>
        <w:pStyle w:val="BodyTextMain"/>
        <w:rPr>
          <w:rFonts w:eastAsia="Calibri"/>
          <w:lang w:val="en-GB"/>
        </w:rPr>
      </w:pPr>
    </w:p>
    <w:p w14:paraId="23C49F70" w14:textId="74D6C622" w:rsidR="00AB2AEF" w:rsidRPr="00704BD2" w:rsidRDefault="00AB2AEF" w:rsidP="00AB2AEF">
      <w:pPr>
        <w:pStyle w:val="BodyTextMain"/>
        <w:rPr>
          <w:rFonts w:eastAsia="Calibri"/>
          <w:lang w:val="en-GB"/>
        </w:rPr>
      </w:pPr>
      <w:r w:rsidRPr="00704BD2">
        <w:rPr>
          <w:rFonts w:eastAsia="Calibri"/>
          <w:lang w:val="en-GB"/>
        </w:rPr>
        <w:t>The first way, known as “credentialed access,” was more widely and colloquially called “screen scraping.” In screen scraping, consumers shared usernames and passwords with third</w:t>
      </w:r>
      <w:r w:rsidR="00532E6A" w:rsidRPr="00704BD2">
        <w:rPr>
          <w:rFonts w:eastAsia="Calibri"/>
          <w:lang w:val="en-GB"/>
        </w:rPr>
        <w:t>-</w:t>
      </w:r>
      <w:r w:rsidRPr="00704BD2">
        <w:rPr>
          <w:rFonts w:eastAsia="Calibri"/>
          <w:lang w:val="en-GB"/>
        </w:rPr>
        <w:t>party service providers who used these credentials for automated logins as if they were the consumer. Once the</w:t>
      </w:r>
      <w:r w:rsidR="00532E6A" w:rsidRPr="00704BD2">
        <w:rPr>
          <w:rFonts w:eastAsia="Calibri"/>
          <w:lang w:val="en-GB"/>
        </w:rPr>
        <w:t xml:space="preserve"> third parties</w:t>
      </w:r>
      <w:r w:rsidRPr="00704BD2">
        <w:rPr>
          <w:rFonts w:eastAsia="Calibri"/>
          <w:lang w:val="en-GB"/>
        </w:rPr>
        <w:t xml:space="preserve"> had access, the</w:t>
      </w:r>
      <w:r w:rsidR="00532E6A" w:rsidRPr="00704BD2">
        <w:rPr>
          <w:rFonts w:eastAsia="Calibri"/>
          <w:lang w:val="en-GB"/>
        </w:rPr>
        <w:t>ir</w:t>
      </w:r>
      <w:r w:rsidRPr="00704BD2">
        <w:rPr>
          <w:rFonts w:eastAsia="Calibri"/>
          <w:lang w:val="en-GB"/>
        </w:rPr>
        <w:t xml:space="preserve"> automated routines read the HTML used </w:t>
      </w:r>
      <w:r w:rsidR="00CC4FDF" w:rsidRPr="00704BD2">
        <w:rPr>
          <w:rFonts w:eastAsia="Calibri"/>
          <w:lang w:val="en-GB"/>
        </w:rPr>
        <w:t>on</w:t>
      </w:r>
      <w:r w:rsidRPr="00704BD2">
        <w:rPr>
          <w:rFonts w:eastAsia="Calibri"/>
          <w:lang w:val="en-GB"/>
        </w:rPr>
        <w:t xml:space="preserve"> the bank website to reverse out sought</w:t>
      </w:r>
      <w:r w:rsidR="00532E6A" w:rsidRPr="00704BD2">
        <w:rPr>
          <w:rFonts w:eastAsia="Calibri"/>
          <w:lang w:val="en-GB"/>
        </w:rPr>
        <w:t>-</w:t>
      </w:r>
      <w:r w:rsidRPr="00704BD2">
        <w:rPr>
          <w:rFonts w:eastAsia="Calibri"/>
          <w:lang w:val="en-GB"/>
        </w:rPr>
        <w:t>after consumer data, such as account balances</w:t>
      </w:r>
      <w:r w:rsidR="00532E6A" w:rsidRPr="00704BD2">
        <w:rPr>
          <w:rFonts w:eastAsia="Calibri"/>
          <w:lang w:val="en-GB"/>
        </w:rPr>
        <w:sym w:font="Symbol" w:char="F0BE"/>
      </w:r>
      <w:r w:rsidRPr="00704BD2">
        <w:rPr>
          <w:rFonts w:eastAsia="Calibri"/>
          <w:lang w:val="en-GB"/>
        </w:rPr>
        <w:t xml:space="preserve">literally “scraping” data from </w:t>
      </w:r>
      <w:r w:rsidR="00532E6A" w:rsidRPr="00704BD2">
        <w:rPr>
          <w:rFonts w:eastAsia="Calibri"/>
          <w:lang w:val="en-GB"/>
        </w:rPr>
        <w:t xml:space="preserve">the </w:t>
      </w:r>
      <w:r w:rsidRPr="00704BD2">
        <w:rPr>
          <w:rFonts w:eastAsia="Calibri"/>
          <w:lang w:val="en-GB"/>
        </w:rPr>
        <w:t>screens where the</w:t>
      </w:r>
      <w:r w:rsidR="00532E6A" w:rsidRPr="00704BD2">
        <w:rPr>
          <w:rFonts w:eastAsia="Calibri"/>
          <w:lang w:val="en-GB"/>
        </w:rPr>
        <w:t xml:space="preserve"> data</w:t>
      </w:r>
      <w:r w:rsidRPr="00704BD2">
        <w:rPr>
          <w:rFonts w:eastAsia="Calibri"/>
          <w:lang w:val="en-GB"/>
        </w:rPr>
        <w:t xml:space="preserve"> w</w:t>
      </w:r>
      <w:r w:rsidR="00532E6A" w:rsidRPr="00704BD2">
        <w:rPr>
          <w:rFonts w:eastAsia="Calibri"/>
          <w:lang w:val="en-GB"/>
        </w:rPr>
        <w:t>as</w:t>
      </w:r>
      <w:r w:rsidRPr="00704BD2">
        <w:rPr>
          <w:rFonts w:eastAsia="Calibri"/>
          <w:lang w:val="en-GB"/>
        </w:rPr>
        <w:t xml:space="preserve"> displayed.</w:t>
      </w:r>
      <w:r w:rsidRPr="00704BD2">
        <w:rPr>
          <w:rFonts w:eastAsia="Calibri"/>
          <w:vertAlign w:val="superscript"/>
          <w:lang w:val="en-GB"/>
        </w:rPr>
        <w:endnoteReference w:id="45"/>
      </w:r>
    </w:p>
    <w:p w14:paraId="2E2B2AB9" w14:textId="77777777" w:rsidR="00AB2AEF" w:rsidRPr="00704BD2" w:rsidRDefault="00AB2AEF" w:rsidP="00AB2AEF">
      <w:pPr>
        <w:pStyle w:val="BodyTextMain"/>
        <w:rPr>
          <w:rFonts w:eastAsia="Calibri"/>
          <w:lang w:val="en-GB"/>
        </w:rPr>
      </w:pPr>
    </w:p>
    <w:p w14:paraId="49255E2F" w14:textId="5CDAFC95" w:rsidR="00AB2AEF" w:rsidRPr="00704BD2" w:rsidRDefault="00EB1A9C" w:rsidP="00AB2AEF">
      <w:pPr>
        <w:pStyle w:val="BodyTextMain"/>
        <w:rPr>
          <w:rFonts w:eastAsia="Calibri"/>
          <w:lang w:val="en-GB"/>
        </w:rPr>
      </w:pPr>
      <w:r w:rsidRPr="00704BD2">
        <w:rPr>
          <w:rFonts w:eastAsia="Calibri"/>
          <w:lang w:val="en-GB"/>
        </w:rPr>
        <w:t>Screen scraping presented</w:t>
      </w:r>
      <w:r w:rsidR="00AB2AEF" w:rsidRPr="00704BD2">
        <w:rPr>
          <w:rFonts w:eastAsia="Calibri"/>
          <w:lang w:val="en-GB"/>
        </w:rPr>
        <w:t xml:space="preserve"> several potential problems. Lila Fakhraie, </w:t>
      </w:r>
      <w:r w:rsidR="004F3980" w:rsidRPr="00704BD2">
        <w:rPr>
          <w:rFonts w:eastAsia="Calibri"/>
          <w:lang w:val="en-GB"/>
        </w:rPr>
        <w:t>senior vice-president</w:t>
      </w:r>
      <w:r w:rsidR="00AB2AEF" w:rsidRPr="00704BD2">
        <w:rPr>
          <w:rFonts w:eastAsia="Calibri"/>
          <w:lang w:val="en-GB"/>
        </w:rPr>
        <w:t xml:space="preserve"> </w:t>
      </w:r>
      <w:r w:rsidR="004F3980" w:rsidRPr="00704BD2">
        <w:rPr>
          <w:rFonts w:eastAsia="Calibri"/>
          <w:lang w:val="en-GB"/>
        </w:rPr>
        <w:t>of</w:t>
      </w:r>
      <w:r w:rsidR="00AB2AEF" w:rsidRPr="00704BD2">
        <w:rPr>
          <w:rFonts w:eastAsia="Calibri"/>
          <w:lang w:val="en-GB"/>
        </w:rPr>
        <w:t xml:space="preserve"> Digital Banking at Wells Fargo, described one of these with </w:t>
      </w:r>
      <w:r w:rsidR="004F3980" w:rsidRPr="00704BD2">
        <w:rPr>
          <w:rFonts w:eastAsia="Calibri"/>
          <w:lang w:val="en-GB"/>
        </w:rPr>
        <w:t>the following</w:t>
      </w:r>
      <w:r w:rsidR="00AB2AEF" w:rsidRPr="00704BD2">
        <w:rPr>
          <w:rFonts w:eastAsia="Calibri"/>
          <w:lang w:val="en-GB"/>
        </w:rPr>
        <w:t xml:space="preserve"> analogy: “It’s like giving your house key to a painter and saying ‘Just paint that one wall. That’s all I want’</w:t>
      </w:r>
      <w:r w:rsidR="004F3980" w:rsidRPr="00704BD2">
        <w:rPr>
          <w:rFonts w:eastAsia="Calibri"/>
          <w:lang w:val="en-GB"/>
        </w:rPr>
        <w:t xml:space="preserve"> . . .</w:t>
      </w:r>
      <w:r w:rsidR="00AB2AEF" w:rsidRPr="00704BD2">
        <w:rPr>
          <w:rFonts w:eastAsia="Calibri"/>
          <w:lang w:val="en-GB"/>
        </w:rPr>
        <w:t xml:space="preserve"> </w:t>
      </w:r>
      <w:r w:rsidR="004F3980" w:rsidRPr="00704BD2">
        <w:rPr>
          <w:rFonts w:eastAsia="Calibri"/>
          <w:lang w:val="en-GB"/>
        </w:rPr>
        <w:t>a</w:t>
      </w:r>
      <w:r w:rsidR="00AB2AEF" w:rsidRPr="00704BD2">
        <w:rPr>
          <w:rFonts w:eastAsia="Calibri"/>
          <w:lang w:val="en-GB"/>
        </w:rPr>
        <w:t xml:space="preserve">nd now the house painter has your key forever. They come and go as they please and take things if they want.” Also, the sharing of data via screen scraping </w:t>
      </w:r>
      <w:r w:rsidR="00CC4FDF" w:rsidRPr="00704BD2">
        <w:rPr>
          <w:rFonts w:eastAsia="Calibri"/>
          <w:lang w:val="en-GB"/>
        </w:rPr>
        <w:t>was</w:t>
      </w:r>
      <w:r w:rsidR="00AB2AEF" w:rsidRPr="00704BD2">
        <w:rPr>
          <w:rFonts w:eastAsia="Calibri"/>
          <w:lang w:val="en-GB"/>
        </w:rPr>
        <w:t xml:space="preserve"> all-or-nothing</w:t>
      </w:r>
      <w:r w:rsidR="004F3980" w:rsidRPr="00704BD2">
        <w:rPr>
          <w:rFonts w:eastAsia="Calibri"/>
          <w:lang w:val="en-GB"/>
        </w:rPr>
        <w:t>:</w:t>
      </w:r>
      <w:r w:rsidR="00AB2AEF" w:rsidRPr="00704BD2">
        <w:rPr>
          <w:rFonts w:eastAsia="Calibri"/>
          <w:lang w:val="en-GB"/>
        </w:rPr>
        <w:t xml:space="preserve"> once in, the third party </w:t>
      </w:r>
      <w:r w:rsidR="00B57490" w:rsidRPr="00704BD2">
        <w:rPr>
          <w:rFonts w:eastAsia="Calibri"/>
          <w:lang w:val="en-GB"/>
        </w:rPr>
        <w:t xml:space="preserve">had </w:t>
      </w:r>
      <w:r w:rsidR="00AB2AEF" w:rsidRPr="00704BD2">
        <w:rPr>
          <w:rFonts w:eastAsia="Calibri"/>
          <w:lang w:val="en-GB"/>
        </w:rPr>
        <w:t xml:space="preserve">access </w:t>
      </w:r>
      <w:r w:rsidR="00B57490" w:rsidRPr="00704BD2">
        <w:rPr>
          <w:rFonts w:eastAsia="Calibri"/>
          <w:lang w:val="en-GB"/>
        </w:rPr>
        <w:t xml:space="preserve">to </w:t>
      </w:r>
      <w:r w:rsidR="00AB2AEF" w:rsidRPr="00704BD2">
        <w:rPr>
          <w:rFonts w:eastAsia="Calibri"/>
          <w:lang w:val="en-GB"/>
        </w:rPr>
        <w:t xml:space="preserve">any information that </w:t>
      </w:r>
      <w:r w:rsidR="00CC4FDF" w:rsidRPr="00704BD2">
        <w:rPr>
          <w:rFonts w:eastAsia="Calibri"/>
          <w:lang w:val="en-GB"/>
        </w:rPr>
        <w:t>was</w:t>
      </w:r>
      <w:r w:rsidR="00AB2AEF" w:rsidRPr="00704BD2">
        <w:rPr>
          <w:rFonts w:eastAsia="Calibri"/>
          <w:lang w:val="en-GB"/>
        </w:rPr>
        <w:t xml:space="preserve"> there and </w:t>
      </w:r>
      <w:r w:rsidR="00B57490" w:rsidRPr="00704BD2">
        <w:rPr>
          <w:rFonts w:eastAsia="Calibri"/>
          <w:lang w:val="en-GB"/>
        </w:rPr>
        <w:t xml:space="preserve">could </w:t>
      </w:r>
      <w:r w:rsidR="00AB2AEF" w:rsidRPr="00704BD2">
        <w:rPr>
          <w:rFonts w:eastAsia="Calibri"/>
          <w:lang w:val="en-GB"/>
        </w:rPr>
        <w:t>do with it what they w</w:t>
      </w:r>
      <w:r w:rsidR="00CC4FDF" w:rsidRPr="00704BD2">
        <w:rPr>
          <w:rFonts w:eastAsia="Calibri"/>
          <w:lang w:val="en-GB"/>
        </w:rPr>
        <w:t>anted</w:t>
      </w:r>
      <w:r w:rsidR="00AB2AEF" w:rsidRPr="00704BD2">
        <w:rPr>
          <w:rFonts w:eastAsia="Calibri"/>
          <w:lang w:val="en-GB"/>
        </w:rPr>
        <w:t xml:space="preserve">. There </w:t>
      </w:r>
      <w:r w:rsidR="00CC4FDF" w:rsidRPr="00704BD2">
        <w:rPr>
          <w:rFonts w:eastAsia="Calibri"/>
          <w:lang w:val="en-GB"/>
        </w:rPr>
        <w:t>was</w:t>
      </w:r>
      <w:r w:rsidR="00AB2AEF" w:rsidRPr="00704BD2">
        <w:rPr>
          <w:rFonts w:eastAsia="Calibri"/>
          <w:lang w:val="en-GB"/>
        </w:rPr>
        <w:t xml:space="preserve"> no way to provide only limited access to certain information.</w:t>
      </w:r>
      <w:r w:rsidR="00AB2AEF" w:rsidRPr="00704BD2">
        <w:rPr>
          <w:rFonts w:eastAsia="Calibri"/>
          <w:vertAlign w:val="superscript"/>
          <w:lang w:val="en-GB"/>
        </w:rPr>
        <w:endnoteReference w:id="46"/>
      </w:r>
      <w:r w:rsidR="00AB2AEF" w:rsidRPr="00704BD2">
        <w:rPr>
          <w:rFonts w:eastAsia="Calibri"/>
          <w:lang w:val="en-GB"/>
        </w:rPr>
        <w:t xml:space="preserve"> The process was also error</w:t>
      </w:r>
      <w:r w:rsidR="004F3980" w:rsidRPr="00704BD2">
        <w:rPr>
          <w:rFonts w:eastAsia="Calibri"/>
          <w:lang w:val="en-GB"/>
        </w:rPr>
        <w:t>-</w:t>
      </w:r>
      <w:r w:rsidR="00AB2AEF" w:rsidRPr="00704BD2">
        <w:rPr>
          <w:rFonts w:eastAsia="Calibri"/>
          <w:lang w:val="en-GB"/>
        </w:rPr>
        <w:t>prone. Changes in the layout of the bank’s web page could cause screen scraping to pick up the wrong information.</w:t>
      </w:r>
      <w:r w:rsidR="00AB2AEF" w:rsidRPr="00704BD2">
        <w:rPr>
          <w:rFonts w:eastAsia="Calibri"/>
          <w:vertAlign w:val="superscript"/>
          <w:lang w:val="en-GB"/>
        </w:rPr>
        <w:endnoteReference w:id="47"/>
      </w:r>
      <w:r w:rsidR="00AB2AEF" w:rsidRPr="00704BD2">
        <w:rPr>
          <w:rFonts w:eastAsia="Calibri"/>
          <w:lang w:val="en-GB"/>
        </w:rPr>
        <w:t xml:space="preserve"> </w:t>
      </w:r>
    </w:p>
    <w:p w14:paraId="6FA14EA7" w14:textId="77777777" w:rsidR="00AB2AEF" w:rsidRPr="00704BD2" w:rsidRDefault="00AB2AEF" w:rsidP="00AB2AEF">
      <w:pPr>
        <w:pStyle w:val="BodyTextMain"/>
        <w:rPr>
          <w:rFonts w:eastAsia="Calibri"/>
          <w:lang w:val="en-GB"/>
        </w:rPr>
      </w:pPr>
    </w:p>
    <w:p w14:paraId="399B0A64" w14:textId="2F99F624" w:rsidR="00AB2AEF" w:rsidRPr="00704BD2" w:rsidRDefault="00AB2AEF" w:rsidP="00AB2AEF">
      <w:pPr>
        <w:pStyle w:val="BodyTextMain"/>
        <w:rPr>
          <w:rFonts w:eastAsia="Calibri"/>
          <w:lang w:val="en-GB"/>
        </w:rPr>
      </w:pPr>
      <w:r w:rsidRPr="00704BD2">
        <w:rPr>
          <w:rFonts w:eastAsia="Calibri"/>
          <w:lang w:val="en-GB"/>
        </w:rPr>
        <w:t xml:space="preserve">The sole advantage of screen scraping was that it did not require </w:t>
      </w:r>
      <w:r w:rsidR="004F3980" w:rsidRPr="00704BD2">
        <w:rPr>
          <w:rFonts w:eastAsia="Calibri"/>
          <w:lang w:val="en-GB"/>
        </w:rPr>
        <w:t xml:space="preserve">permission from </w:t>
      </w:r>
      <w:r w:rsidRPr="00704BD2">
        <w:rPr>
          <w:rFonts w:eastAsia="Calibri"/>
          <w:lang w:val="en-GB"/>
        </w:rPr>
        <w:t>the banks, nor did it require a third-party firm to reach a formal agreement with a bank. Not surprisingly, banks disapproved of the practice, largely for this exact reason. They worried</w:t>
      </w:r>
      <w:r w:rsidR="004F3980" w:rsidRPr="00704BD2">
        <w:rPr>
          <w:rFonts w:eastAsia="Calibri"/>
          <w:lang w:val="en-GB"/>
        </w:rPr>
        <w:t>,</w:t>
      </w:r>
      <w:r w:rsidRPr="00704BD2">
        <w:rPr>
          <w:rFonts w:eastAsia="Calibri"/>
          <w:lang w:val="en-GB"/>
        </w:rPr>
        <w:t xml:space="preserve"> too</w:t>
      </w:r>
      <w:r w:rsidR="004F3980" w:rsidRPr="00704BD2">
        <w:rPr>
          <w:rFonts w:eastAsia="Calibri"/>
          <w:lang w:val="en-GB"/>
        </w:rPr>
        <w:t>,</w:t>
      </w:r>
      <w:r w:rsidRPr="00704BD2">
        <w:rPr>
          <w:rFonts w:eastAsia="Calibri"/>
          <w:lang w:val="en-GB"/>
        </w:rPr>
        <w:t xml:space="preserve"> that the risks to consumers entailed in screen scraping might rebound on </w:t>
      </w:r>
      <w:r w:rsidR="004F3980" w:rsidRPr="00704BD2">
        <w:rPr>
          <w:rFonts w:eastAsia="Calibri"/>
          <w:lang w:val="en-GB"/>
        </w:rPr>
        <w:t>them</w:t>
      </w:r>
      <w:r w:rsidRPr="00704BD2">
        <w:rPr>
          <w:rFonts w:eastAsia="Calibri"/>
          <w:lang w:val="en-GB"/>
        </w:rPr>
        <w:t>.</w:t>
      </w:r>
      <w:r w:rsidRPr="00704BD2">
        <w:rPr>
          <w:rFonts w:eastAsia="Calibri"/>
          <w:vertAlign w:val="superscript"/>
          <w:lang w:val="en-GB"/>
        </w:rPr>
        <w:endnoteReference w:id="48"/>
      </w:r>
      <w:r w:rsidRPr="00704BD2">
        <w:rPr>
          <w:rFonts w:eastAsia="Calibri"/>
          <w:lang w:val="en-GB"/>
        </w:rPr>
        <w:t xml:space="preserve"> Some </w:t>
      </w:r>
      <w:r w:rsidR="00DF25F6" w:rsidRPr="00704BD2">
        <w:rPr>
          <w:rFonts w:eastAsia="Calibri"/>
          <w:lang w:val="en-GB"/>
        </w:rPr>
        <w:t xml:space="preserve">banks </w:t>
      </w:r>
      <w:r w:rsidRPr="00704BD2">
        <w:rPr>
          <w:rFonts w:eastAsia="Calibri"/>
          <w:lang w:val="en-GB"/>
        </w:rPr>
        <w:t>took specific steps to thwart screen scraping, for example</w:t>
      </w:r>
      <w:r w:rsidR="00DF25F6" w:rsidRPr="00704BD2">
        <w:rPr>
          <w:rFonts w:eastAsia="Calibri"/>
          <w:lang w:val="en-GB"/>
        </w:rPr>
        <w:t xml:space="preserve"> by</w:t>
      </w:r>
      <w:r w:rsidRPr="00704BD2">
        <w:rPr>
          <w:rFonts w:eastAsia="Calibri"/>
          <w:lang w:val="en-GB"/>
        </w:rPr>
        <w:t xml:space="preserve"> slightly altering website screen layouts on a regular basis to cause third parties to pick up wrong numbers.</w:t>
      </w:r>
      <w:r w:rsidRPr="00704BD2">
        <w:rPr>
          <w:rFonts w:eastAsia="Calibri"/>
          <w:vertAlign w:val="superscript"/>
          <w:lang w:val="en-GB"/>
        </w:rPr>
        <w:endnoteReference w:id="49"/>
      </w:r>
      <w:r w:rsidRPr="00704BD2">
        <w:rPr>
          <w:rFonts w:eastAsia="Calibri"/>
          <w:lang w:val="en-GB"/>
        </w:rPr>
        <w:t xml:space="preserve"> When screen scraping routines failed and </w:t>
      </w:r>
      <w:r w:rsidR="00DF25F6" w:rsidRPr="00704BD2">
        <w:rPr>
          <w:rFonts w:eastAsia="Calibri"/>
          <w:lang w:val="en-GB"/>
        </w:rPr>
        <w:t xml:space="preserve">were </w:t>
      </w:r>
      <w:r w:rsidRPr="00704BD2">
        <w:rPr>
          <w:rFonts w:eastAsia="Calibri"/>
          <w:lang w:val="en-GB"/>
        </w:rPr>
        <w:t xml:space="preserve">then tried again repeatedly, </w:t>
      </w:r>
      <w:r w:rsidR="00874D24" w:rsidRPr="00704BD2">
        <w:rPr>
          <w:rFonts w:eastAsia="Calibri"/>
          <w:lang w:val="en-GB"/>
        </w:rPr>
        <w:t>account lockouts</w:t>
      </w:r>
      <w:r w:rsidRPr="00704BD2">
        <w:rPr>
          <w:rFonts w:eastAsia="Calibri"/>
          <w:lang w:val="en-GB"/>
        </w:rPr>
        <w:t xml:space="preserve"> could </w:t>
      </w:r>
      <w:r w:rsidR="00874D24" w:rsidRPr="00704BD2">
        <w:rPr>
          <w:rFonts w:eastAsia="Calibri"/>
          <w:lang w:val="en-GB"/>
        </w:rPr>
        <w:t xml:space="preserve">be </w:t>
      </w:r>
      <w:r w:rsidRPr="00704BD2">
        <w:rPr>
          <w:rFonts w:eastAsia="Calibri"/>
          <w:lang w:val="en-GB"/>
        </w:rPr>
        <w:t>inadvertently trigger</w:t>
      </w:r>
      <w:r w:rsidR="00874D24" w:rsidRPr="00704BD2">
        <w:rPr>
          <w:rFonts w:eastAsia="Calibri"/>
          <w:lang w:val="en-GB"/>
        </w:rPr>
        <w:t>ed</w:t>
      </w:r>
      <w:r w:rsidRPr="00704BD2">
        <w:rPr>
          <w:rFonts w:eastAsia="Calibri"/>
          <w:lang w:val="en-GB"/>
        </w:rPr>
        <w:t>, requiring user</w:t>
      </w:r>
      <w:r w:rsidR="00DF25F6" w:rsidRPr="00704BD2">
        <w:rPr>
          <w:rFonts w:eastAsia="Calibri"/>
          <w:lang w:val="en-GB"/>
        </w:rPr>
        <w:t>s</w:t>
      </w:r>
      <w:r w:rsidRPr="00704BD2">
        <w:rPr>
          <w:rFonts w:eastAsia="Calibri"/>
          <w:lang w:val="en-GB"/>
        </w:rPr>
        <w:t xml:space="preserve"> to unlock their bank accounts and replace and re-input </w:t>
      </w:r>
      <w:r w:rsidRPr="00704BD2">
        <w:rPr>
          <w:rFonts w:eastAsia="Calibri"/>
          <w:lang w:val="en-GB"/>
        </w:rPr>
        <w:lastRenderedPageBreak/>
        <w:t>banking passwords. Such breakdowns generated hassles</w:t>
      </w:r>
      <w:r w:rsidR="00B57490" w:rsidRPr="00704BD2">
        <w:rPr>
          <w:rFonts w:eastAsia="Calibri"/>
          <w:lang w:val="en-GB"/>
        </w:rPr>
        <w:t xml:space="preserve"> for customers</w:t>
      </w:r>
      <w:r w:rsidRPr="00704BD2">
        <w:rPr>
          <w:rFonts w:eastAsia="Calibri"/>
          <w:lang w:val="en-GB"/>
        </w:rPr>
        <w:t xml:space="preserve"> and prevented third-party firms </w:t>
      </w:r>
      <w:r w:rsidR="00DF25F6" w:rsidRPr="00704BD2">
        <w:rPr>
          <w:rFonts w:eastAsia="Calibri"/>
          <w:lang w:val="en-GB"/>
        </w:rPr>
        <w:t>f</w:t>
      </w:r>
      <w:r w:rsidRPr="00704BD2">
        <w:rPr>
          <w:rFonts w:eastAsia="Calibri"/>
          <w:lang w:val="en-GB"/>
        </w:rPr>
        <w:t>rom deliver</w:t>
      </w:r>
      <w:r w:rsidR="00DF25F6" w:rsidRPr="00704BD2">
        <w:rPr>
          <w:rFonts w:eastAsia="Calibri"/>
          <w:lang w:val="en-GB"/>
        </w:rPr>
        <w:t>ing</w:t>
      </w:r>
      <w:r w:rsidRPr="00704BD2">
        <w:rPr>
          <w:rFonts w:eastAsia="Calibri"/>
          <w:lang w:val="en-GB"/>
        </w:rPr>
        <w:t xml:space="preserve"> their services.</w:t>
      </w:r>
      <w:r w:rsidRPr="00704BD2">
        <w:rPr>
          <w:rFonts w:eastAsia="Calibri"/>
          <w:vertAlign w:val="superscript"/>
          <w:lang w:val="en-GB"/>
        </w:rPr>
        <w:endnoteReference w:id="50"/>
      </w:r>
    </w:p>
    <w:p w14:paraId="50161EB9" w14:textId="77777777" w:rsidR="00DF25F6" w:rsidRPr="00704BD2" w:rsidRDefault="00DF25F6" w:rsidP="00AB2AEF">
      <w:pPr>
        <w:pStyle w:val="BodyTextMain"/>
        <w:rPr>
          <w:rFonts w:eastAsia="Calibri"/>
          <w:lang w:val="en-GB"/>
        </w:rPr>
      </w:pPr>
    </w:p>
    <w:p w14:paraId="0BEA6597" w14:textId="08CB52BE" w:rsidR="00AB2AEF" w:rsidRPr="00704BD2" w:rsidRDefault="00AB2AEF" w:rsidP="00AB2AEF">
      <w:pPr>
        <w:pStyle w:val="BodyTextMain"/>
        <w:rPr>
          <w:rFonts w:eastAsia="Calibri"/>
          <w:lang w:val="en-GB"/>
        </w:rPr>
      </w:pPr>
      <w:r w:rsidRPr="00704BD2">
        <w:rPr>
          <w:rFonts w:eastAsia="Calibri"/>
          <w:lang w:val="en-GB"/>
        </w:rPr>
        <w:t>The second and superior approach to data sharing was via APIs</w:t>
      </w:r>
      <w:r w:rsidR="00874D24" w:rsidRPr="00704BD2">
        <w:rPr>
          <w:rFonts w:eastAsia="Calibri"/>
          <w:lang w:val="en-GB"/>
        </w:rPr>
        <w:t>,</w:t>
      </w:r>
      <w:r w:rsidRPr="00704BD2">
        <w:rPr>
          <w:rFonts w:eastAsia="Calibri"/>
          <w:lang w:val="en-GB"/>
        </w:rPr>
        <w:t xml:space="preserve"> </w:t>
      </w:r>
      <w:r w:rsidR="00874D24" w:rsidRPr="00704BD2">
        <w:rPr>
          <w:rFonts w:eastAsia="Calibri"/>
          <w:lang w:val="en-GB"/>
        </w:rPr>
        <w:t>which</w:t>
      </w:r>
      <w:r w:rsidRPr="00704BD2">
        <w:rPr>
          <w:rFonts w:eastAsia="Calibri"/>
          <w:lang w:val="en-GB"/>
        </w:rPr>
        <w:t xml:space="preserve"> were software programs that acted as </w:t>
      </w:r>
      <w:r w:rsidR="00874D24" w:rsidRPr="00704BD2">
        <w:rPr>
          <w:rFonts w:eastAsia="Calibri"/>
          <w:lang w:val="en-GB"/>
        </w:rPr>
        <w:t xml:space="preserve">a </w:t>
      </w:r>
      <w:r w:rsidRPr="00704BD2">
        <w:rPr>
          <w:rFonts w:eastAsia="Calibri"/>
          <w:lang w:val="en-GB"/>
        </w:rPr>
        <w:t xml:space="preserve">bridge between bank and third-party systems, providing a direct connection to banking data. APIs could be designed to allow </w:t>
      </w:r>
      <w:r w:rsidR="004D3B73" w:rsidRPr="00704BD2">
        <w:rPr>
          <w:rFonts w:eastAsia="Calibri"/>
          <w:lang w:val="en-GB"/>
        </w:rPr>
        <w:t xml:space="preserve">a third party </w:t>
      </w:r>
      <w:r w:rsidRPr="00704BD2">
        <w:rPr>
          <w:rFonts w:eastAsia="Calibri"/>
          <w:lang w:val="en-GB"/>
        </w:rPr>
        <w:t xml:space="preserve">access to </w:t>
      </w:r>
      <w:r w:rsidR="004D3B73" w:rsidRPr="00704BD2">
        <w:rPr>
          <w:rFonts w:eastAsia="Calibri"/>
          <w:lang w:val="en-GB"/>
        </w:rPr>
        <w:t xml:space="preserve">only </w:t>
      </w:r>
      <w:r w:rsidRPr="00704BD2">
        <w:rPr>
          <w:rFonts w:eastAsia="Calibri"/>
          <w:lang w:val="en-GB"/>
        </w:rPr>
        <w:t xml:space="preserve">specific information, </w:t>
      </w:r>
      <w:r w:rsidR="004D3B73" w:rsidRPr="00704BD2">
        <w:rPr>
          <w:rFonts w:eastAsia="Calibri"/>
          <w:lang w:val="en-GB"/>
        </w:rPr>
        <w:t>that is,</w:t>
      </w:r>
      <w:r w:rsidRPr="00704BD2">
        <w:rPr>
          <w:rFonts w:eastAsia="Calibri"/>
          <w:lang w:val="en-GB"/>
        </w:rPr>
        <w:t xml:space="preserve"> what a customer had agreed to </w:t>
      </w:r>
      <w:r w:rsidR="004D3B73" w:rsidRPr="00704BD2">
        <w:rPr>
          <w:rFonts w:eastAsia="Calibri"/>
          <w:lang w:val="en-GB"/>
        </w:rPr>
        <w:t>and</w:t>
      </w:r>
      <w:r w:rsidRPr="00704BD2">
        <w:rPr>
          <w:rFonts w:eastAsia="Calibri"/>
          <w:lang w:val="en-GB"/>
        </w:rPr>
        <w:t xml:space="preserve"> nothing else (see Exhibit </w:t>
      </w:r>
      <w:r w:rsidR="00004B19">
        <w:rPr>
          <w:rFonts w:eastAsia="Calibri"/>
          <w:lang w:val="en-GB"/>
        </w:rPr>
        <w:t>5</w:t>
      </w:r>
      <w:r w:rsidRPr="00704BD2">
        <w:rPr>
          <w:rFonts w:eastAsia="Calibri"/>
          <w:lang w:val="en-GB"/>
        </w:rPr>
        <w:t>).</w:t>
      </w:r>
    </w:p>
    <w:p w14:paraId="0813ABBC" w14:textId="77777777" w:rsidR="00AB2AEF" w:rsidRPr="00704BD2" w:rsidRDefault="00AB2AEF" w:rsidP="00AB2AEF">
      <w:pPr>
        <w:pStyle w:val="BodyTextMain"/>
        <w:rPr>
          <w:rFonts w:eastAsia="Calibri"/>
          <w:lang w:val="en-GB"/>
        </w:rPr>
      </w:pPr>
    </w:p>
    <w:p w14:paraId="3A47FB5E" w14:textId="788289FF" w:rsidR="00AB2AEF" w:rsidRPr="00704BD2" w:rsidRDefault="00AB2AEF" w:rsidP="00AB2AEF">
      <w:pPr>
        <w:pStyle w:val="BodyTextMain"/>
        <w:rPr>
          <w:rFonts w:eastAsia="Calibri"/>
          <w:lang w:val="en-GB"/>
        </w:rPr>
      </w:pPr>
      <w:r w:rsidRPr="00704BD2">
        <w:rPr>
          <w:rFonts w:eastAsia="Calibri"/>
          <w:lang w:val="en-GB"/>
        </w:rPr>
        <w:t xml:space="preserve">The only problem with APIs, from the perspective of </w:t>
      </w:r>
      <w:r w:rsidR="004D3B73" w:rsidRPr="00704BD2">
        <w:rPr>
          <w:rFonts w:eastAsia="Calibri"/>
          <w:lang w:val="en-GB"/>
        </w:rPr>
        <w:t>f</w:t>
      </w:r>
      <w:r w:rsidRPr="00704BD2">
        <w:rPr>
          <w:rFonts w:eastAsia="Calibri"/>
          <w:lang w:val="en-GB"/>
        </w:rPr>
        <w:t>intechs, was that they required an agreement with and co</w:t>
      </w:r>
      <w:r w:rsidR="004D3B73" w:rsidRPr="00704BD2">
        <w:rPr>
          <w:rFonts w:eastAsia="Calibri"/>
          <w:lang w:val="en-GB"/>
        </w:rPr>
        <w:t>-</w:t>
      </w:r>
      <w:r w:rsidRPr="00704BD2">
        <w:rPr>
          <w:rFonts w:eastAsia="Calibri"/>
          <w:lang w:val="en-GB"/>
        </w:rPr>
        <w:t>operation from banks. In negotiations to reach agreement</w:t>
      </w:r>
      <w:r w:rsidR="004D3B73" w:rsidRPr="00704BD2">
        <w:rPr>
          <w:rFonts w:eastAsia="Calibri"/>
          <w:lang w:val="en-GB"/>
        </w:rPr>
        <w:t>s</w:t>
      </w:r>
      <w:r w:rsidRPr="00704BD2">
        <w:rPr>
          <w:rFonts w:eastAsia="Calibri"/>
          <w:lang w:val="en-GB"/>
        </w:rPr>
        <w:t xml:space="preserve"> with smaller </w:t>
      </w:r>
      <w:r w:rsidR="004D3B73" w:rsidRPr="00704BD2">
        <w:rPr>
          <w:rFonts w:eastAsia="Calibri"/>
          <w:lang w:val="en-GB"/>
        </w:rPr>
        <w:t>f</w:t>
      </w:r>
      <w:r w:rsidRPr="00704BD2">
        <w:rPr>
          <w:rFonts w:eastAsia="Calibri"/>
          <w:lang w:val="en-GB"/>
        </w:rPr>
        <w:t xml:space="preserve">intechs, established banks had a huge leverage advantage. In effect, using APIs ceded control from </w:t>
      </w:r>
      <w:r w:rsidR="004D3B73" w:rsidRPr="00704BD2">
        <w:rPr>
          <w:rFonts w:eastAsia="Calibri"/>
          <w:lang w:val="en-GB"/>
        </w:rPr>
        <w:t>f</w:t>
      </w:r>
      <w:r w:rsidRPr="00704BD2">
        <w:rPr>
          <w:rFonts w:eastAsia="Calibri"/>
          <w:lang w:val="en-GB"/>
        </w:rPr>
        <w:t>intechs to banks. In addition, getting APIs designed, built, and installed took time. Bank</w:t>
      </w:r>
      <w:r w:rsidR="0038531E" w:rsidRPr="00704BD2">
        <w:rPr>
          <w:rFonts w:eastAsia="Calibri"/>
          <w:lang w:val="en-GB"/>
        </w:rPr>
        <w:t>s’</w:t>
      </w:r>
      <w:r w:rsidRPr="00704BD2">
        <w:rPr>
          <w:rFonts w:eastAsia="Calibri"/>
          <w:lang w:val="en-GB"/>
        </w:rPr>
        <w:t xml:space="preserve"> timelines for developing APIs were often slower than </w:t>
      </w:r>
      <w:r w:rsidR="0038531E" w:rsidRPr="00704BD2">
        <w:rPr>
          <w:rFonts w:eastAsia="Calibri"/>
          <w:lang w:val="en-GB"/>
        </w:rPr>
        <w:t xml:space="preserve">what was </w:t>
      </w:r>
      <w:r w:rsidRPr="00704BD2">
        <w:rPr>
          <w:rFonts w:eastAsia="Calibri"/>
          <w:lang w:val="en-GB"/>
        </w:rPr>
        <w:t>ideal for start-ups.</w:t>
      </w:r>
    </w:p>
    <w:p w14:paraId="768310C0" w14:textId="77777777" w:rsidR="00AB2AEF" w:rsidRPr="00704BD2" w:rsidRDefault="00AB2AEF" w:rsidP="00AB2AEF">
      <w:pPr>
        <w:pStyle w:val="BodyTextMain"/>
        <w:rPr>
          <w:rFonts w:eastAsia="Calibri"/>
          <w:lang w:val="en-GB"/>
        </w:rPr>
      </w:pPr>
    </w:p>
    <w:p w14:paraId="1D267A28" w14:textId="77777777" w:rsidR="00AB2AEF" w:rsidRPr="00704BD2" w:rsidRDefault="00AB2AEF" w:rsidP="00AB2AEF">
      <w:pPr>
        <w:pStyle w:val="BodyTextMain"/>
        <w:rPr>
          <w:rFonts w:eastAsia="Calibri"/>
          <w:lang w:val="en-GB"/>
        </w:rPr>
      </w:pPr>
    </w:p>
    <w:p w14:paraId="6829134A" w14:textId="77777777" w:rsidR="00AB2AEF" w:rsidRPr="00704BD2" w:rsidRDefault="00AB2AEF" w:rsidP="00ED4D68">
      <w:pPr>
        <w:pStyle w:val="Casehead1"/>
        <w:rPr>
          <w:rFonts w:eastAsia="Calibri"/>
          <w:lang w:val="en-GB"/>
        </w:rPr>
      </w:pPr>
      <w:r w:rsidRPr="00704BD2">
        <w:rPr>
          <w:rFonts w:eastAsia="Calibri"/>
          <w:lang w:val="en-GB"/>
        </w:rPr>
        <w:t>JPMC Open Banking Activities</w:t>
      </w:r>
    </w:p>
    <w:p w14:paraId="7C605D01" w14:textId="77777777" w:rsidR="00AB2AEF" w:rsidRPr="00704BD2" w:rsidRDefault="00AB2AEF" w:rsidP="00AB2AEF">
      <w:pPr>
        <w:pStyle w:val="BodyTextMain"/>
        <w:rPr>
          <w:rFonts w:eastAsia="Calibri"/>
          <w:lang w:val="en-GB"/>
        </w:rPr>
      </w:pPr>
    </w:p>
    <w:p w14:paraId="0AD5F805" w14:textId="1791ACD6" w:rsidR="00AB2AEF" w:rsidRPr="00704BD2" w:rsidRDefault="00AB2AEF" w:rsidP="00AB2AEF">
      <w:pPr>
        <w:pStyle w:val="BodyTextMain"/>
        <w:rPr>
          <w:rFonts w:eastAsia="Calibri"/>
          <w:lang w:val="en-GB"/>
        </w:rPr>
      </w:pPr>
      <w:r w:rsidRPr="00704BD2">
        <w:rPr>
          <w:rFonts w:eastAsia="Calibri"/>
          <w:lang w:val="en-GB"/>
        </w:rPr>
        <w:t xml:space="preserve">JPMC was on record </w:t>
      </w:r>
      <w:r w:rsidR="0038531E" w:rsidRPr="00704BD2">
        <w:rPr>
          <w:rFonts w:eastAsia="Calibri"/>
          <w:lang w:val="en-GB"/>
        </w:rPr>
        <w:t xml:space="preserve">expressing </w:t>
      </w:r>
      <w:r w:rsidRPr="00704BD2">
        <w:rPr>
          <w:rFonts w:eastAsia="Calibri"/>
          <w:lang w:val="en-GB"/>
        </w:rPr>
        <w:t>many reservations regarding the sharing of financial data with third</w:t>
      </w:r>
      <w:r w:rsidR="00A55FE0" w:rsidRPr="00704BD2">
        <w:rPr>
          <w:rFonts w:eastAsia="Calibri"/>
          <w:lang w:val="en-GB"/>
        </w:rPr>
        <w:t>-</w:t>
      </w:r>
      <w:r w:rsidRPr="00704BD2">
        <w:rPr>
          <w:rFonts w:eastAsia="Calibri"/>
          <w:lang w:val="en-GB"/>
        </w:rPr>
        <w:t>party service providers. In his 2015 shareholder letter, Dimon asserted that “</w:t>
      </w:r>
      <w:r w:rsidR="0038531E" w:rsidRPr="00704BD2">
        <w:rPr>
          <w:rFonts w:eastAsia="Calibri"/>
          <w:lang w:val="en-GB"/>
        </w:rPr>
        <w:t>f</w:t>
      </w:r>
      <w:r w:rsidRPr="00704BD2">
        <w:rPr>
          <w:rFonts w:eastAsia="Calibri"/>
          <w:lang w:val="en-GB"/>
        </w:rPr>
        <w:t>ar more information is taken than the third party needs in order to do its job”</w:t>
      </w:r>
      <w:r w:rsidRPr="00704BD2">
        <w:rPr>
          <w:rFonts w:eastAsia="Calibri"/>
          <w:vertAlign w:val="superscript"/>
          <w:lang w:val="en-GB"/>
        </w:rPr>
        <w:endnoteReference w:id="51"/>
      </w:r>
      <w:r w:rsidRPr="00704BD2">
        <w:rPr>
          <w:rFonts w:eastAsia="Calibri"/>
          <w:lang w:val="en-GB"/>
        </w:rPr>
        <w:t xml:space="preserve"> and that “</w:t>
      </w:r>
      <w:r w:rsidR="00A55FE0" w:rsidRPr="00704BD2">
        <w:rPr>
          <w:rFonts w:eastAsia="Calibri"/>
          <w:lang w:val="en-GB"/>
        </w:rPr>
        <w:t>m</w:t>
      </w:r>
      <w:r w:rsidRPr="00704BD2">
        <w:rPr>
          <w:rFonts w:eastAsia="Calibri"/>
          <w:lang w:val="en-GB"/>
        </w:rPr>
        <w:t>any third parties sell or trade information in a way customers may not understand, and the third parties, quite often, are doing it for their own economic benefit</w:t>
      </w:r>
      <w:r w:rsidR="00A55FE0" w:rsidRPr="00704BD2">
        <w:rPr>
          <w:rFonts w:eastAsia="Calibri"/>
          <w:lang w:val="en-GB"/>
        </w:rPr>
        <w:sym w:font="Symbol" w:char="F0BE"/>
      </w:r>
      <w:r w:rsidRPr="00704BD2">
        <w:rPr>
          <w:rFonts w:eastAsia="Calibri"/>
          <w:lang w:val="en-GB"/>
        </w:rPr>
        <w:t>not for the customer’s benefit.”</w:t>
      </w:r>
      <w:r w:rsidRPr="00704BD2">
        <w:rPr>
          <w:rFonts w:eastAsia="Calibri"/>
          <w:vertAlign w:val="superscript"/>
          <w:lang w:val="en-GB"/>
        </w:rPr>
        <w:endnoteReference w:id="52"/>
      </w:r>
      <w:r w:rsidRPr="00704BD2">
        <w:rPr>
          <w:rFonts w:eastAsia="Calibri"/>
          <w:lang w:val="en-GB"/>
        </w:rPr>
        <w:t xml:space="preserve"> The letter condemned the sharing of bank login credentials to enable screen scraping, insisting that customers</w:t>
      </w:r>
      <w:r w:rsidR="00A55FE0" w:rsidRPr="00704BD2">
        <w:rPr>
          <w:rFonts w:eastAsia="Calibri"/>
          <w:lang w:val="en-GB"/>
        </w:rPr>
        <w:sym w:font="Symbol" w:char="F0BE"/>
      </w:r>
      <w:r w:rsidR="00A55FE0" w:rsidRPr="00704BD2">
        <w:rPr>
          <w:rFonts w:eastAsia="Calibri"/>
          <w:lang w:val="en-GB"/>
        </w:rPr>
        <w:t>not the bank</w:t>
      </w:r>
      <w:r w:rsidR="00A55FE0" w:rsidRPr="00704BD2">
        <w:rPr>
          <w:rFonts w:eastAsia="Calibri"/>
          <w:lang w:val="en-GB"/>
        </w:rPr>
        <w:sym w:font="Symbol" w:char="F0BE"/>
      </w:r>
      <w:r w:rsidRPr="00704BD2">
        <w:rPr>
          <w:rFonts w:eastAsia="Calibri"/>
          <w:lang w:val="en-GB"/>
        </w:rPr>
        <w:t xml:space="preserve">would be responsible if money was stolen from consumer accounts as a result of this kind of activity. </w:t>
      </w:r>
    </w:p>
    <w:p w14:paraId="0F10BFC2" w14:textId="77777777" w:rsidR="00AB2AEF" w:rsidRPr="00704BD2" w:rsidRDefault="00AB2AEF" w:rsidP="00AB2AEF">
      <w:pPr>
        <w:pStyle w:val="BodyTextMain"/>
        <w:rPr>
          <w:rFonts w:eastAsia="Calibri"/>
          <w:lang w:val="en-GB"/>
        </w:rPr>
      </w:pPr>
    </w:p>
    <w:p w14:paraId="4D988E24" w14:textId="2E3510B7" w:rsidR="00AB2AEF" w:rsidRPr="00704BD2" w:rsidRDefault="00AB2AEF" w:rsidP="00AB2AEF">
      <w:pPr>
        <w:pStyle w:val="BodyTextMain"/>
        <w:rPr>
          <w:rFonts w:eastAsia="Calibri"/>
          <w:lang w:val="en-GB"/>
        </w:rPr>
      </w:pPr>
      <w:r w:rsidRPr="00704BD2">
        <w:rPr>
          <w:rFonts w:eastAsia="Calibri"/>
          <w:lang w:val="en-GB"/>
        </w:rPr>
        <w:t xml:space="preserve">Fintechs vigorously rebutted these charges. Mint, Acorn, Plaid, </w:t>
      </w:r>
      <w:r w:rsidR="00A55FE0" w:rsidRPr="00704BD2">
        <w:rPr>
          <w:rFonts w:eastAsia="Calibri"/>
          <w:lang w:val="en-GB"/>
        </w:rPr>
        <w:t xml:space="preserve">Penny (a personal finance app), </w:t>
      </w:r>
      <w:r w:rsidRPr="00704BD2">
        <w:rPr>
          <w:rFonts w:eastAsia="Calibri"/>
          <w:lang w:val="en-GB"/>
        </w:rPr>
        <w:t xml:space="preserve">and others insisted </w:t>
      </w:r>
      <w:r w:rsidR="00A55FE0" w:rsidRPr="00704BD2">
        <w:rPr>
          <w:rFonts w:eastAsia="Calibri"/>
          <w:lang w:val="en-GB"/>
        </w:rPr>
        <w:t xml:space="preserve">that </w:t>
      </w:r>
      <w:r w:rsidRPr="00704BD2">
        <w:rPr>
          <w:rFonts w:eastAsia="Calibri"/>
          <w:lang w:val="en-GB"/>
        </w:rPr>
        <w:t xml:space="preserve">they did not take any more data than they needed, and that they took good care of the data consumers authorized them to access. Critics of JPMC argued that the company was using data concerns as </w:t>
      </w:r>
      <w:r w:rsidR="00A55FE0" w:rsidRPr="00704BD2">
        <w:rPr>
          <w:rFonts w:eastAsia="Calibri"/>
          <w:lang w:val="en-GB"/>
        </w:rPr>
        <w:t xml:space="preserve">a </w:t>
      </w:r>
      <w:r w:rsidRPr="00704BD2">
        <w:rPr>
          <w:rFonts w:eastAsia="Calibri"/>
          <w:lang w:val="en-GB"/>
        </w:rPr>
        <w:t xml:space="preserve">cover, and that the bank was more concerned with how </w:t>
      </w:r>
      <w:r w:rsidR="00A55FE0" w:rsidRPr="00704BD2">
        <w:rPr>
          <w:rFonts w:eastAsia="Calibri"/>
          <w:lang w:val="en-GB"/>
        </w:rPr>
        <w:t>f</w:t>
      </w:r>
      <w:r w:rsidRPr="00704BD2">
        <w:rPr>
          <w:rFonts w:eastAsia="Calibri"/>
          <w:lang w:val="en-GB"/>
        </w:rPr>
        <w:t>intechs might threaten the bank’s bottom line than with customer data security and privacy.</w:t>
      </w:r>
      <w:r w:rsidRPr="00704BD2">
        <w:rPr>
          <w:rFonts w:eastAsia="Calibri"/>
          <w:vertAlign w:val="superscript"/>
          <w:lang w:val="en-GB"/>
        </w:rPr>
        <w:endnoteReference w:id="53"/>
      </w:r>
      <w:r w:rsidRPr="00704BD2">
        <w:rPr>
          <w:rFonts w:eastAsia="Calibri"/>
          <w:lang w:val="en-GB"/>
        </w:rPr>
        <w:t xml:space="preserve"> A 2016 </w:t>
      </w:r>
      <w:r w:rsidR="0038531E" w:rsidRPr="00704BD2">
        <w:rPr>
          <w:rFonts w:eastAsia="Calibri"/>
          <w:lang w:val="en-GB"/>
        </w:rPr>
        <w:t xml:space="preserve">article in </w:t>
      </w:r>
      <w:r w:rsidR="0014399E" w:rsidRPr="00B140D4">
        <w:rPr>
          <w:rFonts w:eastAsia="Calibri"/>
          <w:lang w:val="en-GB"/>
        </w:rPr>
        <w:t>t</w:t>
      </w:r>
      <w:r w:rsidR="0038531E" w:rsidRPr="00704BD2">
        <w:rPr>
          <w:rFonts w:eastAsia="Calibri"/>
          <w:lang w:val="en-GB"/>
        </w:rPr>
        <w:t>he</w:t>
      </w:r>
      <w:r w:rsidR="0038531E" w:rsidRPr="00704BD2">
        <w:rPr>
          <w:rFonts w:eastAsia="Calibri"/>
          <w:i/>
          <w:lang w:val="en-GB"/>
        </w:rPr>
        <w:t xml:space="preserve"> </w:t>
      </w:r>
      <w:r w:rsidRPr="00704BD2">
        <w:rPr>
          <w:rFonts w:eastAsia="Calibri"/>
          <w:i/>
          <w:iCs/>
          <w:lang w:val="en-GB"/>
        </w:rPr>
        <w:t>New York Times</w:t>
      </w:r>
      <w:r w:rsidRPr="00704BD2">
        <w:rPr>
          <w:rFonts w:eastAsia="Calibri"/>
          <w:lang w:val="en-GB"/>
        </w:rPr>
        <w:t xml:space="preserve"> appeared to support this argument when it quoted an unnamed JPMC official expressing as an ideal that “the bank will invent services that are good enough to keep every customer inside its firewalls.”</w:t>
      </w:r>
      <w:r w:rsidRPr="00704BD2">
        <w:rPr>
          <w:rFonts w:eastAsia="Calibri"/>
          <w:vertAlign w:val="superscript"/>
          <w:lang w:val="en-GB"/>
        </w:rPr>
        <w:endnoteReference w:id="54"/>
      </w:r>
    </w:p>
    <w:p w14:paraId="5EEA48A1" w14:textId="77777777" w:rsidR="00AB2AEF" w:rsidRPr="00704BD2" w:rsidRDefault="00AB2AEF" w:rsidP="00AB2AEF">
      <w:pPr>
        <w:pStyle w:val="BodyTextMain"/>
        <w:rPr>
          <w:rFonts w:eastAsia="Calibri"/>
          <w:lang w:val="en-GB"/>
        </w:rPr>
      </w:pPr>
    </w:p>
    <w:p w14:paraId="7091C900" w14:textId="72ECEA1A" w:rsidR="00AB2AEF" w:rsidRPr="00704BD2" w:rsidRDefault="00AB2AEF" w:rsidP="00AB2AEF">
      <w:pPr>
        <w:pStyle w:val="BodyTextMain"/>
        <w:rPr>
          <w:rFonts w:eastAsia="Calibri"/>
          <w:lang w:val="en-GB"/>
        </w:rPr>
      </w:pPr>
      <w:r w:rsidRPr="00704BD2">
        <w:rPr>
          <w:rFonts w:eastAsia="Calibri"/>
          <w:lang w:val="en-GB"/>
        </w:rPr>
        <w:t>Since 2017, JPMC had pursued a strategy of resisting uncontrolled third-party access (e.g., via screen scraping), while also inviting third parties to establish individual, formal agreements with the bank.</w:t>
      </w:r>
      <w:r w:rsidRPr="00704BD2">
        <w:rPr>
          <w:rFonts w:eastAsia="Calibri"/>
          <w:vertAlign w:val="superscript"/>
          <w:lang w:val="en-GB"/>
        </w:rPr>
        <w:endnoteReference w:id="55"/>
      </w:r>
      <w:r w:rsidRPr="00704BD2">
        <w:rPr>
          <w:rFonts w:eastAsia="Calibri"/>
          <w:lang w:val="en-GB"/>
        </w:rPr>
        <w:t xml:space="preserve"> For example, in the aftermath of the 2015 dispute with Mint, JPMC </w:t>
      </w:r>
      <w:r w:rsidR="004D6995" w:rsidRPr="00704BD2">
        <w:rPr>
          <w:rFonts w:eastAsia="Calibri"/>
          <w:lang w:val="en-GB"/>
        </w:rPr>
        <w:t>undertook</w:t>
      </w:r>
      <w:r w:rsidRPr="00704BD2">
        <w:rPr>
          <w:rFonts w:eastAsia="Calibri"/>
          <w:lang w:val="en-GB"/>
        </w:rPr>
        <w:t xml:space="preserve"> a deal </w:t>
      </w:r>
      <w:r w:rsidR="004D6995" w:rsidRPr="00704BD2">
        <w:rPr>
          <w:rFonts w:eastAsia="Calibri"/>
          <w:lang w:val="en-GB"/>
        </w:rPr>
        <w:t xml:space="preserve">in 2017 </w:t>
      </w:r>
      <w:r w:rsidRPr="00704BD2">
        <w:rPr>
          <w:rFonts w:eastAsia="Calibri"/>
          <w:lang w:val="en-GB"/>
        </w:rPr>
        <w:t>with Intuit</w:t>
      </w:r>
      <w:r w:rsidR="005117A2" w:rsidRPr="00704BD2">
        <w:rPr>
          <w:rFonts w:eastAsia="Calibri"/>
          <w:lang w:val="en-GB"/>
        </w:rPr>
        <w:t xml:space="preserve"> Inc.</w:t>
      </w:r>
      <w:r w:rsidRPr="00704BD2">
        <w:rPr>
          <w:rFonts w:eastAsia="Calibri"/>
          <w:lang w:val="en-GB"/>
        </w:rPr>
        <w:t>, Mint’s parent company.</w:t>
      </w:r>
      <w:r w:rsidRPr="00704BD2">
        <w:rPr>
          <w:rFonts w:eastAsia="Calibri"/>
          <w:vertAlign w:val="superscript"/>
          <w:lang w:val="en-GB"/>
        </w:rPr>
        <w:endnoteReference w:id="56"/>
      </w:r>
      <w:r w:rsidRPr="00704BD2">
        <w:rPr>
          <w:rFonts w:eastAsia="Calibri"/>
          <w:lang w:val="en-GB"/>
        </w:rPr>
        <w:t xml:space="preserve"> In early 2020, JPMC told fintechs that they would have to abide by the bank’s access rules and APIs or be blocked.</w:t>
      </w:r>
      <w:r w:rsidRPr="00704BD2">
        <w:rPr>
          <w:rFonts w:eastAsia="Calibri"/>
          <w:vertAlign w:val="superscript"/>
          <w:lang w:val="en-GB"/>
        </w:rPr>
        <w:endnoteReference w:id="57"/>
      </w:r>
      <w:r w:rsidRPr="00704BD2">
        <w:rPr>
          <w:rFonts w:eastAsia="Calibri"/>
          <w:lang w:val="en-GB"/>
        </w:rPr>
        <w:t xml:space="preserve"> This helped </w:t>
      </w:r>
      <w:r w:rsidR="004D6995" w:rsidRPr="00704BD2">
        <w:rPr>
          <w:rFonts w:eastAsia="Calibri"/>
          <w:lang w:val="en-GB"/>
        </w:rPr>
        <w:t>the bank</w:t>
      </w:r>
      <w:r w:rsidRPr="00704BD2">
        <w:rPr>
          <w:rFonts w:eastAsia="Calibri"/>
          <w:lang w:val="en-GB"/>
        </w:rPr>
        <w:t xml:space="preserve"> reach agreements with </w:t>
      </w:r>
      <w:r w:rsidR="004D6995" w:rsidRPr="00704BD2">
        <w:rPr>
          <w:rFonts w:eastAsia="Calibri"/>
          <w:lang w:val="en-GB"/>
        </w:rPr>
        <w:t>f</w:t>
      </w:r>
      <w:r w:rsidRPr="00704BD2">
        <w:rPr>
          <w:rFonts w:eastAsia="Calibri"/>
          <w:lang w:val="en-GB"/>
        </w:rPr>
        <w:t>intechs that covered 95 per</w:t>
      </w:r>
      <w:r w:rsidR="004D6995" w:rsidRPr="00704BD2">
        <w:rPr>
          <w:rFonts w:eastAsia="Calibri"/>
          <w:lang w:val="en-GB"/>
        </w:rPr>
        <w:t xml:space="preserve"> </w:t>
      </w:r>
      <w:r w:rsidRPr="00704BD2">
        <w:rPr>
          <w:rFonts w:eastAsia="Calibri"/>
          <w:lang w:val="en-GB"/>
        </w:rPr>
        <w:t>cent of</w:t>
      </w:r>
      <w:r w:rsidR="004D6995" w:rsidRPr="00704BD2">
        <w:rPr>
          <w:rFonts w:eastAsia="Calibri"/>
          <w:lang w:val="en-GB"/>
        </w:rPr>
        <w:t xml:space="preserve"> the</w:t>
      </w:r>
      <w:r w:rsidRPr="00704BD2">
        <w:rPr>
          <w:rFonts w:eastAsia="Calibri"/>
          <w:lang w:val="en-GB"/>
        </w:rPr>
        <w:t xml:space="preserve"> customer data traffic coming into the bank.</w:t>
      </w:r>
      <w:r w:rsidRPr="00704BD2">
        <w:rPr>
          <w:rFonts w:eastAsia="Calibri"/>
          <w:vertAlign w:val="superscript"/>
          <w:lang w:val="en-GB"/>
        </w:rPr>
        <w:endnoteReference w:id="58"/>
      </w:r>
      <w:r w:rsidRPr="00704BD2">
        <w:rPr>
          <w:rFonts w:eastAsia="Calibri"/>
          <w:lang w:val="en-GB"/>
        </w:rPr>
        <w:t xml:space="preserve"> Contracts that JPMC had executed on an individual basis with third parties included</w:t>
      </w:r>
      <w:r w:rsidR="004D6995" w:rsidRPr="00704BD2">
        <w:rPr>
          <w:rFonts w:eastAsia="Calibri"/>
          <w:lang w:val="en-GB"/>
        </w:rPr>
        <w:t xml:space="preserve"> the following</w:t>
      </w:r>
      <w:r w:rsidRPr="00704BD2">
        <w:rPr>
          <w:rFonts w:eastAsia="Calibri"/>
          <w:lang w:val="en-GB"/>
        </w:rPr>
        <w:t>:</w:t>
      </w:r>
    </w:p>
    <w:p w14:paraId="2D25BB01" w14:textId="77777777" w:rsidR="00AB2AEF" w:rsidRPr="00704BD2" w:rsidRDefault="00AB2AEF" w:rsidP="00AB2AEF">
      <w:pPr>
        <w:pStyle w:val="BodyTextMain"/>
        <w:rPr>
          <w:rFonts w:eastAsia="Calibri"/>
          <w:lang w:val="en-GB"/>
        </w:rPr>
      </w:pPr>
    </w:p>
    <w:p w14:paraId="23D9019C" w14:textId="0B189D3E" w:rsidR="00AB2AEF" w:rsidRPr="00704BD2" w:rsidRDefault="00881FFD" w:rsidP="00AB2AEF">
      <w:pPr>
        <w:pStyle w:val="BodyTextMain"/>
        <w:numPr>
          <w:ilvl w:val="0"/>
          <w:numId w:val="14"/>
        </w:numPr>
        <w:rPr>
          <w:rFonts w:eastAsia="Calibri"/>
          <w:lang w:val="en-GB"/>
        </w:rPr>
      </w:pPr>
      <w:r w:rsidRPr="00704BD2">
        <w:rPr>
          <w:rFonts w:eastAsia="Calibri"/>
          <w:lang w:val="en-GB"/>
        </w:rPr>
        <w:t>A stipulation that s</w:t>
      </w:r>
      <w:r w:rsidR="00AB2AEF" w:rsidRPr="00704BD2">
        <w:rPr>
          <w:rFonts w:eastAsia="Calibri"/>
          <w:lang w:val="en-GB"/>
        </w:rPr>
        <w:t xml:space="preserve">ecure access through APIs </w:t>
      </w:r>
      <w:r w:rsidR="00AD11FD" w:rsidRPr="00704BD2">
        <w:rPr>
          <w:rFonts w:eastAsia="Calibri"/>
          <w:lang w:val="en-GB"/>
        </w:rPr>
        <w:t xml:space="preserve">would be through the </w:t>
      </w:r>
      <w:r w:rsidR="00AB2AEF" w:rsidRPr="00704BD2">
        <w:rPr>
          <w:rFonts w:eastAsia="Calibri"/>
          <w:lang w:val="en-GB"/>
        </w:rPr>
        <w:t>us</w:t>
      </w:r>
      <w:r w:rsidR="00AD11FD" w:rsidRPr="00704BD2">
        <w:rPr>
          <w:rFonts w:eastAsia="Calibri"/>
          <w:lang w:val="en-GB"/>
        </w:rPr>
        <w:t>e of</w:t>
      </w:r>
      <w:r w:rsidR="00AB2AEF" w:rsidRPr="00704BD2">
        <w:rPr>
          <w:rFonts w:eastAsia="Calibri"/>
          <w:lang w:val="en-GB"/>
        </w:rPr>
        <w:t xml:space="preserve"> secure tokens rather than customer login credentials</w:t>
      </w:r>
    </w:p>
    <w:p w14:paraId="571F73D8" w14:textId="52A10BD6" w:rsidR="00AB2AEF" w:rsidRPr="00704BD2" w:rsidRDefault="00881FFD" w:rsidP="00AB2AEF">
      <w:pPr>
        <w:pStyle w:val="BodyTextMain"/>
        <w:numPr>
          <w:ilvl w:val="0"/>
          <w:numId w:val="14"/>
        </w:numPr>
        <w:rPr>
          <w:rFonts w:eastAsia="Calibri"/>
          <w:lang w:val="en-GB"/>
        </w:rPr>
      </w:pPr>
      <w:r w:rsidRPr="00704BD2">
        <w:rPr>
          <w:rFonts w:eastAsia="Calibri"/>
          <w:lang w:val="en-GB"/>
        </w:rPr>
        <w:t>A c</w:t>
      </w:r>
      <w:r w:rsidR="00AB2AEF" w:rsidRPr="00704BD2">
        <w:rPr>
          <w:rFonts w:eastAsia="Calibri"/>
          <w:lang w:val="en-GB"/>
        </w:rPr>
        <w:t>lear designation of what information the third party c</w:t>
      </w:r>
      <w:r w:rsidRPr="00704BD2">
        <w:rPr>
          <w:rFonts w:eastAsia="Calibri"/>
          <w:lang w:val="en-GB"/>
        </w:rPr>
        <w:t>ould</w:t>
      </w:r>
      <w:r w:rsidR="00AB2AEF" w:rsidRPr="00704BD2">
        <w:rPr>
          <w:rFonts w:eastAsia="Calibri"/>
          <w:lang w:val="en-GB"/>
        </w:rPr>
        <w:t xml:space="preserve"> access </w:t>
      </w:r>
    </w:p>
    <w:p w14:paraId="6CAC0BD2" w14:textId="1E51DA0A" w:rsidR="00AB2AEF" w:rsidRPr="00704BD2" w:rsidRDefault="00881FFD" w:rsidP="00AB2AEF">
      <w:pPr>
        <w:pStyle w:val="BodyTextMain"/>
        <w:numPr>
          <w:ilvl w:val="0"/>
          <w:numId w:val="14"/>
        </w:numPr>
        <w:rPr>
          <w:rFonts w:eastAsia="Calibri"/>
          <w:lang w:val="en-GB"/>
        </w:rPr>
      </w:pPr>
      <w:r w:rsidRPr="00704BD2">
        <w:rPr>
          <w:rFonts w:eastAsia="Calibri"/>
          <w:lang w:val="en-GB"/>
        </w:rPr>
        <w:t>A c</w:t>
      </w:r>
      <w:r w:rsidR="00AB2AEF" w:rsidRPr="00704BD2">
        <w:rPr>
          <w:rFonts w:eastAsia="Calibri"/>
          <w:lang w:val="en-GB"/>
        </w:rPr>
        <w:t>lear assignment of responsibility to third parties for any risks they introduced into the process</w:t>
      </w:r>
    </w:p>
    <w:p w14:paraId="1F4E55C7" w14:textId="45266A47" w:rsidR="00AB2AEF" w:rsidRPr="00704BD2" w:rsidRDefault="00AB2AEF" w:rsidP="00AB2AEF">
      <w:pPr>
        <w:pStyle w:val="BodyTextMain"/>
        <w:numPr>
          <w:ilvl w:val="0"/>
          <w:numId w:val="14"/>
        </w:numPr>
        <w:rPr>
          <w:rFonts w:eastAsia="Calibri"/>
          <w:lang w:val="en-GB"/>
        </w:rPr>
      </w:pPr>
      <w:r w:rsidRPr="00704BD2">
        <w:rPr>
          <w:rFonts w:eastAsia="Calibri"/>
          <w:lang w:val="en-GB"/>
        </w:rPr>
        <w:t>A requirement for insurance and indemnification against losses by third parties</w:t>
      </w:r>
    </w:p>
    <w:p w14:paraId="1B3D68B8" w14:textId="3A146705" w:rsidR="00AB2AEF" w:rsidRPr="00704BD2" w:rsidRDefault="00AB2AEF" w:rsidP="00AB2AEF">
      <w:pPr>
        <w:pStyle w:val="BodyTextMain"/>
        <w:numPr>
          <w:ilvl w:val="0"/>
          <w:numId w:val="14"/>
        </w:numPr>
        <w:rPr>
          <w:rFonts w:eastAsia="Calibri"/>
          <w:lang w:val="en-GB"/>
        </w:rPr>
      </w:pPr>
      <w:r w:rsidRPr="00704BD2">
        <w:rPr>
          <w:rFonts w:eastAsia="Calibri"/>
          <w:lang w:val="en-GB"/>
        </w:rPr>
        <w:t xml:space="preserve">A requirement that </w:t>
      </w:r>
      <w:r w:rsidR="00881FFD" w:rsidRPr="00704BD2">
        <w:rPr>
          <w:rFonts w:eastAsia="Calibri"/>
          <w:lang w:val="en-GB"/>
        </w:rPr>
        <w:t xml:space="preserve">other companies </w:t>
      </w:r>
      <w:r w:rsidRPr="00704BD2">
        <w:rPr>
          <w:rFonts w:eastAsia="Calibri"/>
          <w:lang w:val="en-GB"/>
        </w:rPr>
        <w:t xml:space="preserve">the third party </w:t>
      </w:r>
      <w:r w:rsidR="00881FFD" w:rsidRPr="00704BD2">
        <w:rPr>
          <w:rFonts w:eastAsia="Calibri"/>
          <w:lang w:val="en-GB"/>
        </w:rPr>
        <w:t>worked with would have</w:t>
      </w:r>
      <w:r w:rsidRPr="00704BD2">
        <w:rPr>
          <w:rFonts w:eastAsia="Calibri"/>
          <w:lang w:val="en-GB"/>
        </w:rPr>
        <w:t xml:space="preserve"> to abide by JPMC security standards</w:t>
      </w:r>
      <w:r w:rsidRPr="00704BD2">
        <w:rPr>
          <w:rFonts w:eastAsia="Calibri"/>
          <w:vertAlign w:val="superscript"/>
          <w:lang w:val="en-GB"/>
        </w:rPr>
        <w:endnoteReference w:id="59"/>
      </w:r>
      <w:r w:rsidRPr="00704BD2">
        <w:rPr>
          <w:rFonts w:eastAsia="Calibri"/>
          <w:lang w:val="en-GB"/>
        </w:rPr>
        <w:t xml:space="preserve"> </w:t>
      </w:r>
    </w:p>
    <w:p w14:paraId="2C4374AE" w14:textId="77777777" w:rsidR="00AB2AEF" w:rsidRPr="00704BD2" w:rsidRDefault="00AB2AEF" w:rsidP="00AB2AEF">
      <w:pPr>
        <w:pStyle w:val="BodyTextMain"/>
        <w:rPr>
          <w:rFonts w:eastAsia="Calibri"/>
          <w:lang w:val="en-GB"/>
        </w:rPr>
      </w:pPr>
    </w:p>
    <w:p w14:paraId="1DE721E1" w14:textId="534CB82D" w:rsidR="00AB2AEF" w:rsidRPr="00704BD2" w:rsidRDefault="00AB2AEF" w:rsidP="00AB2AEF">
      <w:pPr>
        <w:pStyle w:val="BodyTextMain"/>
        <w:rPr>
          <w:rFonts w:eastAsia="Calibri"/>
          <w:lang w:val="en-GB"/>
        </w:rPr>
      </w:pPr>
      <w:r w:rsidRPr="00704BD2">
        <w:rPr>
          <w:rFonts w:eastAsia="Calibri"/>
          <w:lang w:val="en-GB"/>
        </w:rPr>
        <w:lastRenderedPageBreak/>
        <w:t>The JPMC approach had allowed the bank to create a service for consumers called AccountSafe, which provided a dashboard to show customers which third parties had access to which data via APIs, a</w:t>
      </w:r>
      <w:r w:rsidR="00AD11FD" w:rsidRPr="00704BD2">
        <w:rPr>
          <w:rFonts w:eastAsia="Calibri"/>
          <w:lang w:val="en-GB"/>
        </w:rPr>
        <w:t>s well as</w:t>
      </w:r>
      <w:r w:rsidRPr="00704BD2">
        <w:rPr>
          <w:rFonts w:eastAsia="Calibri"/>
          <w:lang w:val="en-GB"/>
        </w:rPr>
        <w:t xml:space="preserve"> allow</w:t>
      </w:r>
      <w:r w:rsidR="00AD11FD" w:rsidRPr="00704BD2">
        <w:rPr>
          <w:rFonts w:eastAsia="Calibri"/>
          <w:lang w:val="en-GB"/>
        </w:rPr>
        <w:t>ing</w:t>
      </w:r>
      <w:r w:rsidRPr="00704BD2">
        <w:rPr>
          <w:rFonts w:eastAsia="Calibri"/>
          <w:lang w:val="en-GB"/>
        </w:rPr>
        <w:t xml:space="preserve"> </w:t>
      </w:r>
      <w:r w:rsidR="00AD11FD" w:rsidRPr="00704BD2">
        <w:rPr>
          <w:rFonts w:eastAsia="Calibri"/>
          <w:lang w:val="en-GB"/>
        </w:rPr>
        <w:t>customers</w:t>
      </w:r>
      <w:r w:rsidRPr="00704BD2">
        <w:rPr>
          <w:rFonts w:eastAsia="Calibri"/>
          <w:lang w:val="en-GB"/>
        </w:rPr>
        <w:t xml:space="preserve"> t</w:t>
      </w:r>
      <w:r w:rsidR="00AD11FD" w:rsidRPr="00704BD2">
        <w:rPr>
          <w:rFonts w:eastAsia="Calibri"/>
          <w:lang w:val="en-GB"/>
        </w:rPr>
        <w:t>o</w:t>
      </w:r>
      <w:r w:rsidRPr="00704BD2">
        <w:rPr>
          <w:rFonts w:eastAsia="Calibri"/>
          <w:lang w:val="en-GB"/>
        </w:rPr>
        <w:t xml:space="preserve"> adjust that access if they wished.</w:t>
      </w:r>
      <w:r w:rsidRPr="00704BD2">
        <w:rPr>
          <w:rFonts w:eastAsia="Calibri"/>
          <w:vertAlign w:val="superscript"/>
          <w:lang w:val="en-GB"/>
        </w:rPr>
        <w:endnoteReference w:id="60"/>
      </w:r>
    </w:p>
    <w:p w14:paraId="170ABE03" w14:textId="77777777" w:rsidR="00AD11FD" w:rsidRPr="00704BD2" w:rsidRDefault="00AD11FD" w:rsidP="00AB2AEF">
      <w:pPr>
        <w:pStyle w:val="BodyTextMain"/>
        <w:rPr>
          <w:rFonts w:eastAsia="Calibri"/>
          <w:lang w:val="en-GB"/>
        </w:rPr>
      </w:pPr>
    </w:p>
    <w:p w14:paraId="470B6FB5" w14:textId="7D1270E5" w:rsidR="00AB2AEF" w:rsidRPr="00704BD2" w:rsidRDefault="00AB2AEF" w:rsidP="00AB2AEF">
      <w:pPr>
        <w:pStyle w:val="BodyTextMain"/>
        <w:rPr>
          <w:rFonts w:eastAsia="Calibri"/>
          <w:lang w:val="en-GB"/>
        </w:rPr>
      </w:pPr>
      <w:r w:rsidRPr="00704BD2">
        <w:rPr>
          <w:rFonts w:eastAsia="Calibri"/>
          <w:lang w:val="en-GB"/>
        </w:rPr>
        <w:t xml:space="preserve">Although these agreements seemed to have brought some order to the banking and </w:t>
      </w:r>
      <w:r w:rsidR="00AD11FD" w:rsidRPr="00704BD2">
        <w:rPr>
          <w:rFonts w:eastAsia="Calibri"/>
          <w:lang w:val="en-GB"/>
        </w:rPr>
        <w:t>f</w:t>
      </w:r>
      <w:r w:rsidRPr="00704BD2">
        <w:rPr>
          <w:rFonts w:eastAsia="Calibri"/>
          <w:lang w:val="en-GB"/>
        </w:rPr>
        <w:t xml:space="preserve">intech ecosystem, the </w:t>
      </w:r>
      <w:r w:rsidR="00AD11FD" w:rsidRPr="00704BD2">
        <w:rPr>
          <w:rFonts w:eastAsia="Calibri"/>
          <w:lang w:val="en-GB"/>
        </w:rPr>
        <w:t>f</w:t>
      </w:r>
      <w:r w:rsidRPr="00704BD2">
        <w:rPr>
          <w:rFonts w:eastAsia="Calibri"/>
          <w:lang w:val="en-GB"/>
        </w:rPr>
        <w:t xml:space="preserve">intechs were not entirely happy with such arrangements. Plaid’s Pitts noted that if every major bank did its own bilateral deals with </w:t>
      </w:r>
      <w:r w:rsidR="00AD11FD" w:rsidRPr="00704BD2">
        <w:rPr>
          <w:rFonts w:eastAsia="Calibri"/>
          <w:lang w:val="en-GB"/>
        </w:rPr>
        <w:t>f</w:t>
      </w:r>
      <w:r w:rsidRPr="00704BD2">
        <w:rPr>
          <w:rFonts w:eastAsia="Calibri"/>
          <w:lang w:val="en-GB"/>
        </w:rPr>
        <w:t xml:space="preserve">intechs, </w:t>
      </w:r>
      <w:r w:rsidR="00AD11FD" w:rsidRPr="00704BD2">
        <w:rPr>
          <w:rFonts w:eastAsia="Calibri"/>
          <w:lang w:val="en-GB"/>
        </w:rPr>
        <w:t>it</w:t>
      </w:r>
      <w:r w:rsidRPr="00704BD2">
        <w:rPr>
          <w:rFonts w:eastAsia="Calibri"/>
          <w:lang w:val="en-GB"/>
        </w:rPr>
        <w:t xml:space="preserve"> created the potential for more than 10,000 sets of individual agreements. Moreover, each agreement could vary in its specific terms.</w:t>
      </w:r>
      <w:r w:rsidRPr="00704BD2">
        <w:rPr>
          <w:rFonts w:eastAsia="Calibri"/>
          <w:vertAlign w:val="superscript"/>
          <w:lang w:val="en-GB"/>
        </w:rPr>
        <w:endnoteReference w:id="61"/>
      </w:r>
    </w:p>
    <w:p w14:paraId="1A00FBBE" w14:textId="77777777" w:rsidR="00AB2AEF" w:rsidRPr="00704BD2" w:rsidRDefault="00AB2AEF" w:rsidP="00AB2AEF">
      <w:pPr>
        <w:pStyle w:val="BodyTextMain"/>
        <w:rPr>
          <w:rFonts w:eastAsia="Calibri"/>
          <w:lang w:val="en-GB"/>
        </w:rPr>
      </w:pPr>
    </w:p>
    <w:p w14:paraId="1CC94AB9" w14:textId="5EF2AEAA" w:rsidR="00AB2AEF" w:rsidRPr="00704BD2" w:rsidRDefault="00AB2AEF" w:rsidP="00AB2AEF">
      <w:pPr>
        <w:pStyle w:val="BodyTextMain"/>
        <w:rPr>
          <w:rFonts w:eastAsia="Calibri"/>
          <w:lang w:val="en-GB"/>
        </w:rPr>
      </w:pPr>
      <w:r w:rsidRPr="00704BD2">
        <w:rPr>
          <w:rFonts w:eastAsia="Calibri"/>
          <w:lang w:val="en-GB"/>
        </w:rPr>
        <w:t>The Clearing House</w:t>
      </w:r>
      <w:r w:rsidR="00AD11FD" w:rsidRPr="00704BD2">
        <w:rPr>
          <w:rFonts w:eastAsia="Calibri"/>
          <w:lang w:val="en-GB"/>
        </w:rPr>
        <w:t xml:space="preserve"> Payments Company L.L.C.</w:t>
      </w:r>
      <w:r w:rsidRPr="00704BD2">
        <w:rPr>
          <w:rFonts w:eastAsia="Calibri"/>
          <w:lang w:val="en-GB"/>
        </w:rPr>
        <w:t>, a New York-based standard</w:t>
      </w:r>
      <w:r w:rsidR="00AD11FD" w:rsidRPr="00704BD2">
        <w:rPr>
          <w:rFonts w:eastAsia="Calibri"/>
          <w:lang w:val="en-GB"/>
        </w:rPr>
        <w:t>s</w:t>
      </w:r>
      <w:r w:rsidRPr="00704BD2">
        <w:rPr>
          <w:rFonts w:eastAsia="Calibri"/>
          <w:lang w:val="en-GB"/>
        </w:rPr>
        <w:t xml:space="preserve"> setting group, had published a model agreement institutions could use that was consistent with CFPB guidelines on data access, to reduce the contractual complexity that would arise from thousands of bilateral agreements. Adoption of the agreement, however, </w:t>
      </w:r>
      <w:r w:rsidR="00AD11FD" w:rsidRPr="00704BD2">
        <w:rPr>
          <w:rFonts w:eastAsia="Calibri"/>
          <w:lang w:val="en-GB"/>
        </w:rPr>
        <w:t xml:space="preserve">was </w:t>
      </w:r>
      <w:r w:rsidRPr="00704BD2">
        <w:rPr>
          <w:rFonts w:eastAsia="Calibri"/>
          <w:lang w:val="en-GB"/>
        </w:rPr>
        <w:t>voluntary.</w:t>
      </w:r>
      <w:r w:rsidRPr="00704BD2">
        <w:rPr>
          <w:rFonts w:eastAsia="Calibri"/>
          <w:vertAlign w:val="superscript"/>
          <w:lang w:val="en-GB"/>
        </w:rPr>
        <w:endnoteReference w:id="62"/>
      </w:r>
    </w:p>
    <w:p w14:paraId="0262C4A1" w14:textId="77777777" w:rsidR="00AB2AEF" w:rsidRPr="00704BD2" w:rsidRDefault="00AB2AEF" w:rsidP="00AB2AEF">
      <w:pPr>
        <w:pStyle w:val="BodyTextMain"/>
        <w:rPr>
          <w:rFonts w:eastAsia="Calibri"/>
          <w:lang w:val="en-GB"/>
        </w:rPr>
      </w:pPr>
    </w:p>
    <w:p w14:paraId="7144581F" w14:textId="41428791" w:rsidR="00AB2AEF" w:rsidRPr="00704BD2" w:rsidRDefault="00AB2AEF" w:rsidP="00AB2AEF">
      <w:pPr>
        <w:pStyle w:val="BodyTextMain"/>
        <w:rPr>
          <w:rFonts w:eastAsia="Calibri"/>
          <w:lang w:val="en-GB"/>
        </w:rPr>
      </w:pPr>
      <w:r w:rsidRPr="00704BD2">
        <w:rPr>
          <w:rFonts w:eastAsia="Calibri"/>
          <w:lang w:val="en-GB"/>
        </w:rPr>
        <w:t>A non-profit group called Financial Data Exchange</w:t>
      </w:r>
      <w:r w:rsidR="00AD11FD" w:rsidRPr="00704BD2">
        <w:rPr>
          <w:rFonts w:eastAsia="Calibri"/>
          <w:lang w:val="en-GB"/>
        </w:rPr>
        <w:t>,</w:t>
      </w:r>
      <w:r w:rsidRPr="00704BD2">
        <w:rPr>
          <w:rFonts w:eastAsia="Calibri"/>
          <w:lang w:val="en-GB"/>
        </w:rPr>
        <w:t xml:space="preserve"> </w:t>
      </w:r>
      <w:r w:rsidR="00AD11FD" w:rsidRPr="00704BD2">
        <w:rPr>
          <w:rFonts w:eastAsia="Calibri"/>
          <w:lang w:val="en-GB"/>
        </w:rPr>
        <w:t>which</w:t>
      </w:r>
      <w:r w:rsidRPr="00704BD2">
        <w:rPr>
          <w:rFonts w:eastAsia="Calibri"/>
          <w:lang w:val="en-GB"/>
        </w:rPr>
        <w:t xml:space="preserve"> included representatives of banks and </w:t>
      </w:r>
      <w:r w:rsidR="00AD11FD" w:rsidRPr="00704BD2">
        <w:rPr>
          <w:rFonts w:eastAsia="Calibri"/>
          <w:lang w:val="en-GB"/>
        </w:rPr>
        <w:t>f</w:t>
      </w:r>
      <w:r w:rsidRPr="00704BD2">
        <w:rPr>
          <w:rFonts w:eastAsia="Calibri"/>
          <w:lang w:val="en-GB"/>
        </w:rPr>
        <w:t>intechs</w:t>
      </w:r>
      <w:r w:rsidR="00AD11FD" w:rsidRPr="00704BD2">
        <w:rPr>
          <w:rFonts w:eastAsia="Calibri"/>
          <w:lang w:val="en-GB"/>
        </w:rPr>
        <w:t>,</w:t>
      </w:r>
      <w:r w:rsidRPr="00704BD2">
        <w:rPr>
          <w:rFonts w:eastAsia="Calibri"/>
          <w:lang w:val="en-GB"/>
        </w:rPr>
        <w:t xml:space="preserve"> had proposed and was developing a set of standard APIs. The idea w</w:t>
      </w:r>
      <w:r w:rsidR="00AD11FD" w:rsidRPr="00704BD2">
        <w:rPr>
          <w:rFonts w:eastAsia="Calibri"/>
          <w:lang w:val="en-GB"/>
        </w:rPr>
        <w:t>as</w:t>
      </w:r>
      <w:r w:rsidRPr="00704BD2">
        <w:rPr>
          <w:rFonts w:eastAsia="Calibri"/>
          <w:lang w:val="en-GB"/>
        </w:rPr>
        <w:t xml:space="preserve"> to replace the huge variety of APIs that corresponded to bilateral agreements with a much smaller set of APIs used for data access and sharing</w:t>
      </w:r>
      <w:r w:rsidR="00AD11FD" w:rsidRPr="00704BD2">
        <w:rPr>
          <w:rFonts w:eastAsia="Calibri"/>
          <w:lang w:val="en-GB"/>
        </w:rPr>
        <w:t>,</w:t>
      </w:r>
      <w:r w:rsidRPr="00704BD2">
        <w:rPr>
          <w:rFonts w:eastAsia="Calibri"/>
          <w:lang w:val="en-GB"/>
        </w:rPr>
        <w:t xml:space="preserve"> industry</w:t>
      </w:r>
      <w:r w:rsidR="00AD11FD" w:rsidRPr="00704BD2">
        <w:rPr>
          <w:rFonts w:eastAsia="Calibri"/>
          <w:lang w:val="en-GB"/>
        </w:rPr>
        <w:t>-</w:t>
      </w:r>
      <w:r w:rsidRPr="00704BD2">
        <w:rPr>
          <w:rFonts w:eastAsia="Calibri"/>
          <w:lang w:val="en-GB"/>
        </w:rPr>
        <w:t xml:space="preserve">wide. In early 2020, </w:t>
      </w:r>
      <w:r w:rsidR="00FD0DAD" w:rsidRPr="00704BD2">
        <w:rPr>
          <w:rFonts w:eastAsia="Calibri"/>
          <w:lang w:val="en-GB"/>
        </w:rPr>
        <w:t xml:space="preserve">FMR LLC, the parent company of </w:t>
      </w:r>
      <w:r w:rsidRPr="00704BD2">
        <w:rPr>
          <w:rFonts w:eastAsia="Calibri"/>
          <w:lang w:val="en-GB"/>
        </w:rPr>
        <w:t>Fidelity Investment</w:t>
      </w:r>
      <w:r w:rsidR="00AD11FD" w:rsidRPr="00704BD2">
        <w:rPr>
          <w:rFonts w:eastAsia="Calibri"/>
          <w:lang w:val="en-GB"/>
        </w:rPr>
        <w:t>s</w:t>
      </w:r>
      <w:r w:rsidR="00FD0DAD" w:rsidRPr="00704BD2">
        <w:rPr>
          <w:rFonts w:eastAsia="Calibri"/>
          <w:lang w:val="en-GB"/>
        </w:rPr>
        <w:t>,</w:t>
      </w:r>
      <w:r w:rsidRPr="00704BD2">
        <w:rPr>
          <w:rFonts w:eastAsia="Calibri"/>
          <w:lang w:val="en-GB"/>
        </w:rPr>
        <w:t xml:space="preserve"> </w:t>
      </w:r>
      <w:r w:rsidR="00FD0DAD" w:rsidRPr="00704BD2">
        <w:rPr>
          <w:rFonts w:eastAsia="Calibri"/>
          <w:lang w:val="en-GB"/>
        </w:rPr>
        <w:t>created</w:t>
      </w:r>
      <w:r w:rsidRPr="00704BD2">
        <w:rPr>
          <w:rFonts w:eastAsia="Calibri"/>
          <w:lang w:val="en-GB"/>
        </w:rPr>
        <w:t xml:space="preserve"> </w:t>
      </w:r>
      <w:r w:rsidR="00FD0DAD" w:rsidRPr="00704BD2">
        <w:rPr>
          <w:rFonts w:eastAsia="Calibri"/>
          <w:lang w:val="en-GB"/>
        </w:rPr>
        <w:t xml:space="preserve">the spinoff </w:t>
      </w:r>
      <w:r w:rsidRPr="00704BD2">
        <w:rPr>
          <w:rFonts w:eastAsia="Calibri"/>
          <w:lang w:val="en-GB"/>
        </w:rPr>
        <w:t>Akoya, a company jointly owned by Fidelity</w:t>
      </w:r>
      <w:r w:rsidR="00FD0DAD" w:rsidRPr="00704BD2">
        <w:rPr>
          <w:rFonts w:eastAsia="Calibri"/>
          <w:lang w:val="en-GB"/>
        </w:rPr>
        <w:t xml:space="preserve"> Investments</w:t>
      </w:r>
      <w:r w:rsidRPr="00704BD2">
        <w:rPr>
          <w:rFonts w:eastAsia="Calibri"/>
          <w:lang w:val="en-GB"/>
        </w:rPr>
        <w:t>, The Clearing House</w:t>
      </w:r>
      <w:r w:rsidR="00AD11FD" w:rsidRPr="00704BD2">
        <w:rPr>
          <w:rFonts w:eastAsia="Calibri"/>
          <w:lang w:val="en-GB"/>
        </w:rPr>
        <w:t xml:space="preserve"> Payments Company L.L.C.</w:t>
      </w:r>
      <w:r w:rsidRPr="00704BD2">
        <w:rPr>
          <w:rFonts w:eastAsia="Calibri"/>
          <w:lang w:val="en-GB"/>
        </w:rPr>
        <w:t>, and 11 member banks, with a mission to provide just such a set of standardized APIs.</w:t>
      </w:r>
      <w:r w:rsidRPr="00704BD2">
        <w:rPr>
          <w:rFonts w:eastAsia="Calibri"/>
          <w:vertAlign w:val="superscript"/>
          <w:lang w:val="en-GB"/>
        </w:rPr>
        <w:endnoteReference w:id="63"/>
      </w:r>
    </w:p>
    <w:p w14:paraId="731C17CF" w14:textId="77777777" w:rsidR="00AB2AEF" w:rsidRPr="00704BD2" w:rsidRDefault="00AB2AEF" w:rsidP="00AB2AEF">
      <w:pPr>
        <w:pStyle w:val="BodyTextMain"/>
        <w:rPr>
          <w:rFonts w:eastAsia="Calibri"/>
          <w:lang w:val="en-GB"/>
        </w:rPr>
      </w:pPr>
    </w:p>
    <w:p w14:paraId="65F590F3" w14:textId="3F829C41" w:rsidR="00AB2AEF" w:rsidRPr="00704BD2" w:rsidRDefault="00AB2AEF" w:rsidP="00AB2AEF">
      <w:pPr>
        <w:pStyle w:val="BodyTextMain"/>
        <w:rPr>
          <w:rFonts w:eastAsia="Calibri"/>
          <w:lang w:val="en-GB"/>
        </w:rPr>
      </w:pPr>
      <w:r w:rsidRPr="00704BD2">
        <w:rPr>
          <w:rFonts w:eastAsia="Calibri"/>
          <w:lang w:val="en-GB"/>
        </w:rPr>
        <w:t>Use of the resulting standard APIs and agreements</w:t>
      </w:r>
      <w:r w:rsidR="0077156E" w:rsidRPr="00704BD2">
        <w:rPr>
          <w:rFonts w:eastAsia="Calibri"/>
          <w:lang w:val="en-GB"/>
        </w:rPr>
        <w:t>, however,</w:t>
      </w:r>
      <w:r w:rsidRPr="00704BD2">
        <w:rPr>
          <w:rFonts w:eastAsia="Calibri"/>
          <w:lang w:val="en-GB"/>
        </w:rPr>
        <w:t xml:space="preserve"> remained voluntary. The banks generally opposed regulatory influence that might move the industry toward mandatory use of standardized APIs. There was one exception to banks’ </w:t>
      </w:r>
      <w:r w:rsidR="00CA2C1D" w:rsidRPr="00704BD2">
        <w:rPr>
          <w:rFonts w:eastAsia="Calibri"/>
          <w:lang w:val="en-GB"/>
        </w:rPr>
        <w:t>resistance</w:t>
      </w:r>
      <w:r w:rsidRPr="00704BD2">
        <w:rPr>
          <w:rFonts w:eastAsia="Calibri"/>
          <w:lang w:val="en-GB"/>
        </w:rPr>
        <w:t xml:space="preserve"> </w:t>
      </w:r>
      <w:r w:rsidR="00CA2C1D" w:rsidRPr="00704BD2">
        <w:rPr>
          <w:rFonts w:eastAsia="Calibri"/>
          <w:lang w:val="en-GB"/>
        </w:rPr>
        <w:t>to</w:t>
      </w:r>
      <w:r w:rsidRPr="00704BD2">
        <w:rPr>
          <w:rFonts w:eastAsia="Calibri"/>
          <w:lang w:val="en-GB"/>
        </w:rPr>
        <w:t xml:space="preserve"> regulatory requirements within the banking and </w:t>
      </w:r>
      <w:r w:rsidR="0077156E" w:rsidRPr="00704BD2">
        <w:rPr>
          <w:rFonts w:eastAsia="Calibri"/>
          <w:lang w:val="en-GB"/>
        </w:rPr>
        <w:t>f</w:t>
      </w:r>
      <w:r w:rsidRPr="00704BD2">
        <w:rPr>
          <w:rFonts w:eastAsia="Calibri"/>
          <w:lang w:val="en-GB"/>
        </w:rPr>
        <w:t xml:space="preserve">intech ecosystem: </w:t>
      </w:r>
      <w:r w:rsidR="00CA2C1D" w:rsidRPr="00704BD2">
        <w:rPr>
          <w:rFonts w:eastAsia="Calibri"/>
          <w:lang w:val="en-GB"/>
        </w:rPr>
        <w:t>t</w:t>
      </w:r>
      <w:r w:rsidRPr="00704BD2">
        <w:rPr>
          <w:rFonts w:eastAsia="Calibri"/>
          <w:lang w:val="en-GB"/>
        </w:rPr>
        <w:t xml:space="preserve">he banks expressed great enthusiasm for </w:t>
      </w:r>
      <w:r w:rsidR="00D17B67" w:rsidRPr="00704BD2">
        <w:rPr>
          <w:rFonts w:eastAsia="Calibri"/>
          <w:lang w:val="en-GB"/>
        </w:rPr>
        <w:t xml:space="preserve">the </w:t>
      </w:r>
      <w:r w:rsidRPr="00704BD2">
        <w:rPr>
          <w:rFonts w:eastAsia="Calibri"/>
          <w:lang w:val="en-GB"/>
        </w:rPr>
        <w:t>regulati</w:t>
      </w:r>
      <w:r w:rsidR="00D17B67" w:rsidRPr="00704BD2">
        <w:rPr>
          <w:rFonts w:eastAsia="Calibri"/>
          <w:lang w:val="en-GB"/>
        </w:rPr>
        <w:t>on</w:t>
      </w:r>
      <w:r w:rsidRPr="00704BD2">
        <w:rPr>
          <w:rFonts w:eastAsia="Calibri"/>
          <w:lang w:val="en-GB"/>
        </w:rPr>
        <w:t xml:space="preserve"> </w:t>
      </w:r>
      <w:r w:rsidR="00D17B67" w:rsidRPr="00704BD2">
        <w:rPr>
          <w:rFonts w:eastAsia="Calibri"/>
          <w:lang w:val="en-GB"/>
        </w:rPr>
        <w:t>of f</w:t>
      </w:r>
      <w:r w:rsidRPr="00704BD2">
        <w:rPr>
          <w:rFonts w:eastAsia="Calibri"/>
          <w:lang w:val="en-GB"/>
        </w:rPr>
        <w:t>intech companies</w:t>
      </w:r>
      <w:r w:rsidR="00D17B67" w:rsidRPr="00704BD2">
        <w:rPr>
          <w:rFonts w:eastAsia="Calibri"/>
          <w:lang w:val="en-GB"/>
        </w:rPr>
        <w:sym w:font="Symbol" w:char="F0BE"/>
      </w:r>
      <w:r w:rsidRPr="00704BD2">
        <w:rPr>
          <w:rFonts w:eastAsia="Calibri"/>
          <w:lang w:val="en-GB"/>
        </w:rPr>
        <w:t>for pulling them under the CFPB’s oversight.</w:t>
      </w:r>
      <w:r w:rsidRPr="00704BD2">
        <w:rPr>
          <w:rFonts w:eastAsia="Calibri"/>
          <w:vertAlign w:val="superscript"/>
          <w:lang w:val="en-GB"/>
        </w:rPr>
        <w:endnoteReference w:id="64"/>
      </w:r>
      <w:r w:rsidRPr="00704BD2">
        <w:rPr>
          <w:rFonts w:eastAsia="Calibri"/>
          <w:lang w:val="en-GB"/>
        </w:rPr>
        <w:t xml:space="preserve"> </w:t>
      </w:r>
    </w:p>
    <w:p w14:paraId="18C6A581" w14:textId="17CA619A" w:rsidR="00AB2AEF" w:rsidRPr="00704BD2" w:rsidRDefault="00AB2AEF" w:rsidP="00AB2AEF">
      <w:pPr>
        <w:pStyle w:val="BodyTextMain"/>
        <w:rPr>
          <w:rFonts w:eastAsia="Calibri"/>
          <w:lang w:val="en-GB"/>
        </w:rPr>
      </w:pPr>
    </w:p>
    <w:p w14:paraId="4A0F1F18" w14:textId="77777777" w:rsidR="00AB2AEF" w:rsidRPr="00704BD2" w:rsidRDefault="00AB2AEF" w:rsidP="00AB2AEF">
      <w:pPr>
        <w:pStyle w:val="BodyTextMain"/>
        <w:rPr>
          <w:rFonts w:eastAsia="Calibri"/>
          <w:lang w:val="en-GB"/>
        </w:rPr>
      </w:pPr>
    </w:p>
    <w:p w14:paraId="17C7F692" w14:textId="77777777" w:rsidR="00AB2AEF" w:rsidRPr="00704BD2" w:rsidRDefault="00AB2AEF" w:rsidP="00AB2AEF">
      <w:pPr>
        <w:pStyle w:val="Casehead1"/>
        <w:rPr>
          <w:rFonts w:eastAsia="Calibri"/>
          <w:lang w:val="en-GB"/>
        </w:rPr>
      </w:pPr>
      <w:r w:rsidRPr="00704BD2">
        <w:rPr>
          <w:rFonts w:eastAsia="Calibri"/>
          <w:lang w:val="en-GB"/>
        </w:rPr>
        <w:t>The Rise of Financial Data Aggregators</w:t>
      </w:r>
    </w:p>
    <w:p w14:paraId="546202BF" w14:textId="77777777" w:rsidR="00AB2AEF" w:rsidRPr="00704BD2" w:rsidRDefault="00AB2AEF" w:rsidP="00AB2AEF">
      <w:pPr>
        <w:pStyle w:val="BodyTextMain"/>
        <w:rPr>
          <w:rFonts w:eastAsia="Calibri"/>
          <w:lang w:val="en-GB"/>
        </w:rPr>
      </w:pPr>
    </w:p>
    <w:p w14:paraId="6D4AF50F" w14:textId="4FCDA934" w:rsidR="00AB2AEF" w:rsidRPr="00704BD2" w:rsidRDefault="00AB2AEF" w:rsidP="00AB2AEF">
      <w:pPr>
        <w:pStyle w:val="BodyTextMain"/>
        <w:rPr>
          <w:rFonts w:eastAsia="Calibri"/>
          <w:lang w:val="en-GB"/>
        </w:rPr>
      </w:pPr>
      <w:r w:rsidRPr="00704BD2">
        <w:rPr>
          <w:rFonts w:eastAsia="Calibri"/>
          <w:lang w:val="en-GB"/>
        </w:rPr>
        <w:t xml:space="preserve">Financial </w:t>
      </w:r>
      <w:r w:rsidR="00E669C9" w:rsidRPr="00704BD2">
        <w:rPr>
          <w:rFonts w:eastAsia="Calibri"/>
          <w:lang w:val="en-GB"/>
        </w:rPr>
        <w:t>d</w:t>
      </w:r>
      <w:r w:rsidRPr="00704BD2">
        <w:rPr>
          <w:rFonts w:eastAsia="Calibri"/>
          <w:lang w:val="en-GB"/>
        </w:rPr>
        <w:t xml:space="preserve">ata </w:t>
      </w:r>
      <w:r w:rsidR="00E669C9" w:rsidRPr="00704BD2">
        <w:rPr>
          <w:rFonts w:eastAsia="Calibri"/>
          <w:lang w:val="en-GB"/>
        </w:rPr>
        <w:t>a</w:t>
      </w:r>
      <w:r w:rsidRPr="00704BD2">
        <w:rPr>
          <w:rFonts w:eastAsia="Calibri"/>
          <w:lang w:val="en-GB"/>
        </w:rPr>
        <w:t xml:space="preserve">ggregators were a particular type of fintech player gaining greater influence in the open banking arena. Companies </w:t>
      </w:r>
      <w:r w:rsidR="00E669C9" w:rsidRPr="00704BD2">
        <w:rPr>
          <w:rFonts w:eastAsia="Calibri"/>
          <w:lang w:val="en-GB"/>
        </w:rPr>
        <w:t>such as</w:t>
      </w:r>
      <w:r w:rsidRPr="00704BD2">
        <w:rPr>
          <w:rFonts w:eastAsia="Calibri"/>
          <w:lang w:val="en-GB"/>
        </w:rPr>
        <w:t xml:space="preserve"> Finicity, Fiserv</w:t>
      </w:r>
      <w:r w:rsidR="00E669C9" w:rsidRPr="00704BD2">
        <w:rPr>
          <w:rFonts w:eastAsia="Calibri"/>
          <w:lang w:val="en-GB"/>
        </w:rPr>
        <w:t xml:space="preserve"> Inc.</w:t>
      </w:r>
      <w:r w:rsidRPr="00704BD2">
        <w:rPr>
          <w:rFonts w:eastAsia="Calibri"/>
          <w:lang w:val="en-GB"/>
        </w:rPr>
        <w:t>, Mint, MX</w:t>
      </w:r>
      <w:r w:rsidR="00E669C9" w:rsidRPr="00704BD2">
        <w:rPr>
          <w:rFonts w:eastAsia="Calibri"/>
          <w:lang w:val="en-GB"/>
        </w:rPr>
        <w:t xml:space="preserve"> Technologies Inc.</w:t>
      </w:r>
      <w:r w:rsidRPr="00704BD2">
        <w:rPr>
          <w:rFonts w:eastAsia="Calibri"/>
          <w:lang w:val="en-GB"/>
        </w:rPr>
        <w:t xml:space="preserve">, Plaid, Yodlee, and YNAB helped solve the problem many fintechs and other third-party companies </w:t>
      </w:r>
      <w:r w:rsidR="00DC34B5" w:rsidRPr="00704BD2">
        <w:rPr>
          <w:rFonts w:eastAsia="Calibri"/>
          <w:lang w:val="en-GB"/>
        </w:rPr>
        <w:t>faced</w:t>
      </w:r>
      <w:r w:rsidRPr="00704BD2">
        <w:rPr>
          <w:rFonts w:eastAsia="Calibri"/>
          <w:lang w:val="en-GB"/>
        </w:rPr>
        <w:t xml:space="preserve"> in maintaining access to banking information across multiple financial institutions (including investment firms and other non-banks). Aggregators positioned themselves between the institutions that contained consumer information and</w:t>
      </w:r>
      <w:r w:rsidR="00666615" w:rsidRPr="00704BD2">
        <w:rPr>
          <w:rFonts w:eastAsia="Calibri"/>
          <w:lang w:val="en-GB"/>
        </w:rPr>
        <w:t xml:space="preserve"> the</w:t>
      </w:r>
      <w:r w:rsidRPr="00704BD2">
        <w:rPr>
          <w:rFonts w:eastAsia="Calibri"/>
          <w:lang w:val="en-GB"/>
        </w:rPr>
        <w:t xml:space="preserve"> third parties who wanted one-stop access to it. They simplified access to consumer data for third parties by providing a single portal via which they could access consumer data</w:t>
      </w:r>
      <w:r w:rsidR="00666615" w:rsidRPr="00704BD2">
        <w:rPr>
          <w:rFonts w:eastAsia="Calibri"/>
          <w:lang w:val="en-GB"/>
        </w:rPr>
        <w:t>,</w:t>
      </w:r>
      <w:r w:rsidRPr="00704BD2">
        <w:rPr>
          <w:rFonts w:eastAsia="Calibri"/>
          <w:lang w:val="en-GB"/>
        </w:rPr>
        <w:t xml:space="preserve"> regardless of its source.</w:t>
      </w:r>
      <w:r w:rsidRPr="00704BD2">
        <w:rPr>
          <w:rFonts w:eastAsia="Calibri"/>
          <w:vertAlign w:val="superscript"/>
          <w:lang w:val="en-GB"/>
        </w:rPr>
        <w:endnoteReference w:id="65"/>
      </w:r>
      <w:r w:rsidRPr="00704BD2">
        <w:rPr>
          <w:rFonts w:eastAsia="Calibri"/>
          <w:lang w:val="en-GB"/>
        </w:rPr>
        <w:t xml:space="preserve"> </w:t>
      </w:r>
    </w:p>
    <w:p w14:paraId="3C89DE3C" w14:textId="77777777" w:rsidR="00AB2AEF" w:rsidRPr="00704BD2" w:rsidRDefault="00AB2AEF" w:rsidP="00AB2AEF">
      <w:pPr>
        <w:pStyle w:val="BodyTextMain"/>
        <w:rPr>
          <w:rFonts w:eastAsia="Calibri"/>
          <w:lang w:val="en-GB"/>
        </w:rPr>
      </w:pPr>
    </w:p>
    <w:p w14:paraId="6FA83F3A" w14:textId="0F07A7AB" w:rsidR="00AB2AEF" w:rsidRPr="00704BD2" w:rsidRDefault="00CA2C1D" w:rsidP="00AB2AEF">
      <w:pPr>
        <w:pStyle w:val="BodyTextMain"/>
        <w:rPr>
          <w:rFonts w:eastAsia="Calibri"/>
          <w:lang w:val="en-GB"/>
        </w:rPr>
      </w:pPr>
      <w:r w:rsidRPr="00704BD2">
        <w:rPr>
          <w:rFonts w:eastAsia="Calibri"/>
          <w:lang w:val="en-GB"/>
        </w:rPr>
        <w:t>Initially</w:t>
      </w:r>
      <w:r w:rsidR="00666615" w:rsidRPr="00704BD2">
        <w:rPr>
          <w:rFonts w:eastAsia="Calibri"/>
          <w:lang w:val="en-GB"/>
        </w:rPr>
        <w:t>,</w:t>
      </w:r>
      <w:r w:rsidR="00AB2AEF" w:rsidRPr="00704BD2">
        <w:rPr>
          <w:rFonts w:eastAsia="Calibri"/>
          <w:lang w:val="en-GB"/>
        </w:rPr>
        <w:t xml:space="preserve"> aggregators </w:t>
      </w:r>
      <w:r w:rsidR="00666615" w:rsidRPr="00704BD2">
        <w:rPr>
          <w:rFonts w:eastAsia="Calibri"/>
          <w:lang w:val="en-GB"/>
        </w:rPr>
        <w:t xml:space="preserve">had </w:t>
      </w:r>
      <w:r w:rsidR="00AB2AEF" w:rsidRPr="00704BD2">
        <w:rPr>
          <w:rFonts w:eastAsia="Calibri"/>
          <w:lang w:val="en-GB"/>
        </w:rPr>
        <w:t>compiled their information via screen scraping. But as they acquired more and more traffic</w:t>
      </w:r>
      <w:r w:rsidR="00666615" w:rsidRPr="00704BD2">
        <w:rPr>
          <w:rFonts w:eastAsia="Calibri"/>
          <w:lang w:val="en-GB"/>
        </w:rPr>
        <w:sym w:font="Symbol" w:char="F0BE"/>
      </w:r>
      <w:r w:rsidR="00AB2AEF" w:rsidRPr="00704BD2">
        <w:rPr>
          <w:rFonts w:eastAsia="Calibri"/>
          <w:lang w:val="en-GB"/>
        </w:rPr>
        <w:t>and with that, influence and respect</w:t>
      </w:r>
      <w:r w:rsidR="00666615" w:rsidRPr="00704BD2">
        <w:rPr>
          <w:rFonts w:eastAsia="Calibri"/>
          <w:lang w:val="en-GB"/>
        </w:rPr>
        <w:sym w:font="Symbol" w:char="F0BE"/>
      </w:r>
      <w:r w:rsidR="00AB2AEF" w:rsidRPr="00704BD2">
        <w:rPr>
          <w:rFonts w:eastAsia="Calibri"/>
          <w:lang w:val="en-GB"/>
        </w:rPr>
        <w:t xml:space="preserve">they were able to </w:t>
      </w:r>
      <w:r w:rsidR="00666615" w:rsidRPr="00704BD2">
        <w:rPr>
          <w:rFonts w:eastAsia="Calibri"/>
          <w:lang w:val="en-GB"/>
        </w:rPr>
        <w:t xml:space="preserve">conduct </w:t>
      </w:r>
      <w:r w:rsidR="00AB2AEF" w:rsidRPr="00704BD2">
        <w:rPr>
          <w:rFonts w:eastAsia="Calibri"/>
          <w:lang w:val="en-GB"/>
        </w:rPr>
        <w:t>deals with many banks to get more direct access, via APIs.</w:t>
      </w:r>
      <w:r w:rsidR="00AB2AEF" w:rsidRPr="00704BD2">
        <w:rPr>
          <w:rFonts w:eastAsia="Calibri"/>
          <w:vertAlign w:val="superscript"/>
          <w:lang w:val="en-GB"/>
        </w:rPr>
        <w:endnoteReference w:id="66"/>
      </w:r>
      <w:r w:rsidR="00AB2AEF" w:rsidRPr="00704BD2">
        <w:rPr>
          <w:rFonts w:eastAsia="Calibri"/>
          <w:lang w:val="en-GB"/>
        </w:rPr>
        <w:t xml:space="preserve"> </w:t>
      </w:r>
      <w:r w:rsidR="00E669C9" w:rsidRPr="00704BD2">
        <w:rPr>
          <w:rFonts w:eastAsia="Calibri"/>
          <w:lang w:val="en-GB"/>
        </w:rPr>
        <w:t>I</w:t>
      </w:r>
      <w:r w:rsidR="00AB2AEF" w:rsidRPr="00704BD2">
        <w:rPr>
          <w:rFonts w:eastAsia="Calibri"/>
          <w:lang w:val="en-GB"/>
        </w:rPr>
        <w:t>n 2020, it was</w:t>
      </w:r>
      <w:r w:rsidR="00E669C9" w:rsidRPr="00704BD2">
        <w:rPr>
          <w:rFonts w:eastAsia="Calibri"/>
          <w:lang w:val="en-GB"/>
        </w:rPr>
        <w:t xml:space="preserve"> increasingly</w:t>
      </w:r>
      <w:r w:rsidR="00AB2AEF" w:rsidRPr="00704BD2">
        <w:rPr>
          <w:rFonts w:eastAsia="Calibri"/>
          <w:lang w:val="en-GB"/>
        </w:rPr>
        <w:t xml:space="preserve"> clear that aggregators were here </w:t>
      </w:r>
      <w:r w:rsidR="00666615" w:rsidRPr="00704BD2">
        <w:rPr>
          <w:rFonts w:eastAsia="Calibri"/>
          <w:lang w:val="en-GB"/>
        </w:rPr>
        <w:t xml:space="preserve">to </w:t>
      </w:r>
      <w:r w:rsidR="00AB2AEF" w:rsidRPr="00704BD2">
        <w:rPr>
          <w:rFonts w:eastAsia="Calibri"/>
          <w:lang w:val="en-GB"/>
        </w:rPr>
        <w:t>stay, destined to be a factor in open banking competition.</w:t>
      </w:r>
      <w:r w:rsidR="00AB2AEF" w:rsidRPr="00704BD2">
        <w:rPr>
          <w:rFonts w:eastAsia="Calibri"/>
          <w:vertAlign w:val="superscript"/>
          <w:lang w:val="en-GB"/>
        </w:rPr>
        <w:endnoteReference w:id="67"/>
      </w:r>
      <w:r w:rsidR="00AB2AEF" w:rsidRPr="00704BD2">
        <w:rPr>
          <w:rFonts w:eastAsia="Calibri"/>
          <w:lang w:val="en-GB"/>
        </w:rPr>
        <w:t xml:space="preserve"> </w:t>
      </w:r>
    </w:p>
    <w:p w14:paraId="1FD96DC8" w14:textId="77777777" w:rsidR="00AB2AEF" w:rsidRPr="00704BD2" w:rsidRDefault="00AB2AEF" w:rsidP="00AB2AEF">
      <w:pPr>
        <w:pStyle w:val="BodyTextMain"/>
        <w:rPr>
          <w:rFonts w:eastAsia="Calibri"/>
          <w:lang w:val="en-GB"/>
        </w:rPr>
      </w:pPr>
    </w:p>
    <w:p w14:paraId="248E7ACD" w14:textId="77777777" w:rsidR="00AB2AEF" w:rsidRPr="00704BD2" w:rsidRDefault="00AB2AEF" w:rsidP="00AB2AEF">
      <w:pPr>
        <w:pStyle w:val="BodyTextMain"/>
        <w:rPr>
          <w:rFonts w:eastAsia="Calibri"/>
          <w:lang w:val="en-GB"/>
        </w:rPr>
      </w:pPr>
    </w:p>
    <w:p w14:paraId="0909BF27" w14:textId="77777777" w:rsidR="00AB2AEF" w:rsidRPr="00704BD2" w:rsidRDefault="00AB2AEF" w:rsidP="00FE4E54">
      <w:pPr>
        <w:pStyle w:val="Casehead1"/>
        <w:keepNext/>
        <w:rPr>
          <w:rFonts w:eastAsia="Calibri"/>
          <w:lang w:val="en-GB"/>
        </w:rPr>
      </w:pPr>
      <w:r w:rsidRPr="00704BD2">
        <w:rPr>
          <w:rFonts w:eastAsia="Calibri"/>
          <w:lang w:val="en-GB"/>
        </w:rPr>
        <w:lastRenderedPageBreak/>
        <w:t>What to Do</w:t>
      </w:r>
    </w:p>
    <w:p w14:paraId="2BF33C60" w14:textId="77777777" w:rsidR="00AB2AEF" w:rsidRPr="00704BD2" w:rsidRDefault="00AB2AEF" w:rsidP="00FE4E54">
      <w:pPr>
        <w:pStyle w:val="BodyTextMain"/>
        <w:keepNext/>
        <w:rPr>
          <w:rFonts w:eastAsia="Calibri"/>
          <w:lang w:val="en-GB"/>
        </w:rPr>
      </w:pPr>
    </w:p>
    <w:p w14:paraId="55F6E2E1" w14:textId="2D4560FB" w:rsidR="00AB2AEF" w:rsidRPr="00704BD2" w:rsidRDefault="00AB2AEF" w:rsidP="00FE4E54">
      <w:pPr>
        <w:pStyle w:val="BodyTextMain"/>
        <w:keepNext/>
        <w:rPr>
          <w:rFonts w:eastAsia="Calibri"/>
          <w:lang w:val="en-GB"/>
        </w:rPr>
      </w:pPr>
      <w:r w:rsidRPr="00704BD2">
        <w:rPr>
          <w:rFonts w:eastAsia="Calibri"/>
          <w:lang w:val="en-GB"/>
        </w:rPr>
        <w:t xml:space="preserve">Open banking clearly represented an opportunity to provide more personalized customer experiences. But it also required a break from banking’s traditionally vertically integrated model, which was inflexible in rapidly addressing consumer needs. What stance </w:t>
      </w:r>
      <w:r w:rsidR="00C37E27" w:rsidRPr="00704BD2">
        <w:rPr>
          <w:rFonts w:eastAsia="Calibri"/>
          <w:lang w:val="en-GB"/>
        </w:rPr>
        <w:t>should</w:t>
      </w:r>
      <w:r w:rsidRPr="00704BD2">
        <w:rPr>
          <w:rFonts w:eastAsia="Calibri"/>
          <w:lang w:val="en-GB"/>
        </w:rPr>
        <w:t xml:space="preserve"> a bank like JPMC </w:t>
      </w:r>
      <w:r w:rsidR="00C37E27" w:rsidRPr="00704BD2">
        <w:rPr>
          <w:rFonts w:eastAsia="Calibri"/>
          <w:lang w:val="en-GB"/>
        </w:rPr>
        <w:t>take</w:t>
      </w:r>
      <w:r w:rsidRPr="00704BD2">
        <w:rPr>
          <w:rFonts w:eastAsia="Calibri"/>
          <w:lang w:val="en-GB"/>
        </w:rPr>
        <w:t xml:space="preserve">? </w:t>
      </w:r>
    </w:p>
    <w:p w14:paraId="59ED1AD0" w14:textId="77777777" w:rsidR="00ED4D68" w:rsidRPr="00704BD2" w:rsidRDefault="00ED4D68" w:rsidP="00AB2AEF">
      <w:pPr>
        <w:pStyle w:val="BodyTextMain"/>
        <w:rPr>
          <w:rFonts w:eastAsia="Calibri"/>
          <w:lang w:val="en-GB"/>
        </w:rPr>
      </w:pPr>
    </w:p>
    <w:p w14:paraId="7B6AB5EA" w14:textId="44CF162B" w:rsidR="00AB2AEF" w:rsidRPr="00704BD2" w:rsidRDefault="00AB2AEF" w:rsidP="00AB2AEF">
      <w:pPr>
        <w:pStyle w:val="BodyTextMain"/>
        <w:rPr>
          <w:rFonts w:eastAsia="Calibri"/>
          <w:lang w:val="en-GB"/>
        </w:rPr>
      </w:pPr>
      <w:r w:rsidRPr="00704BD2">
        <w:rPr>
          <w:rFonts w:eastAsia="Calibri"/>
          <w:lang w:val="en-GB"/>
        </w:rPr>
        <w:t>Giant tech platforms, such as Apple</w:t>
      </w:r>
      <w:r w:rsidR="00CA2C1D" w:rsidRPr="00704BD2">
        <w:rPr>
          <w:rFonts w:eastAsia="Calibri"/>
          <w:lang w:val="en-GB"/>
        </w:rPr>
        <w:t xml:space="preserve"> Inc.</w:t>
      </w:r>
      <w:r w:rsidRPr="00704BD2">
        <w:rPr>
          <w:rFonts w:eastAsia="Calibri"/>
          <w:lang w:val="en-GB"/>
        </w:rPr>
        <w:t>, Amazon</w:t>
      </w:r>
      <w:r w:rsidR="00CA2C1D" w:rsidRPr="00704BD2">
        <w:rPr>
          <w:rFonts w:eastAsia="Calibri"/>
          <w:lang w:val="en-GB"/>
        </w:rPr>
        <w:t>.com Inc.</w:t>
      </w:r>
      <w:r w:rsidRPr="00704BD2">
        <w:rPr>
          <w:rFonts w:eastAsia="Calibri"/>
          <w:lang w:val="en-GB"/>
        </w:rPr>
        <w:t xml:space="preserve">, and Google, </w:t>
      </w:r>
      <w:r w:rsidR="00CA2C1D" w:rsidRPr="00704BD2">
        <w:rPr>
          <w:rFonts w:eastAsia="Calibri"/>
          <w:lang w:val="en-GB"/>
        </w:rPr>
        <w:t xml:space="preserve">were </w:t>
      </w:r>
      <w:r w:rsidRPr="00704BD2">
        <w:rPr>
          <w:rFonts w:eastAsia="Calibri"/>
          <w:lang w:val="en-GB"/>
        </w:rPr>
        <w:t>ventur</w:t>
      </w:r>
      <w:r w:rsidR="00CA2C1D" w:rsidRPr="00704BD2">
        <w:rPr>
          <w:rFonts w:eastAsia="Calibri"/>
          <w:lang w:val="en-GB"/>
        </w:rPr>
        <w:t>ing</w:t>
      </w:r>
      <w:r w:rsidRPr="00704BD2">
        <w:rPr>
          <w:rFonts w:eastAsia="Calibri"/>
          <w:lang w:val="en-GB"/>
        </w:rPr>
        <w:t xml:space="preserve"> increasingly into banking-related activities. Apple</w:t>
      </w:r>
      <w:r w:rsidR="00CA2C1D" w:rsidRPr="00704BD2">
        <w:rPr>
          <w:rFonts w:eastAsia="Calibri"/>
          <w:lang w:val="en-GB"/>
        </w:rPr>
        <w:t xml:space="preserve"> Inc., for instance,</w:t>
      </w:r>
      <w:r w:rsidRPr="00704BD2">
        <w:rPr>
          <w:rFonts w:eastAsia="Calibri"/>
          <w:lang w:val="en-GB"/>
        </w:rPr>
        <w:t xml:space="preserve"> had teamed </w:t>
      </w:r>
      <w:r w:rsidR="00CA2C1D" w:rsidRPr="00704BD2">
        <w:rPr>
          <w:rFonts w:eastAsia="Calibri"/>
          <w:lang w:val="en-GB"/>
        </w:rPr>
        <w:t xml:space="preserve">up </w:t>
      </w:r>
      <w:r w:rsidRPr="00704BD2">
        <w:rPr>
          <w:rFonts w:eastAsia="Calibri"/>
          <w:lang w:val="en-GB"/>
        </w:rPr>
        <w:t>with Goldman Sachs</w:t>
      </w:r>
      <w:r w:rsidR="00CA2C1D" w:rsidRPr="00704BD2">
        <w:rPr>
          <w:rFonts w:eastAsia="Calibri"/>
          <w:lang w:val="en-GB"/>
        </w:rPr>
        <w:t xml:space="preserve"> </w:t>
      </w:r>
      <w:r w:rsidRPr="00704BD2">
        <w:rPr>
          <w:rFonts w:eastAsia="Calibri"/>
          <w:lang w:val="en-GB"/>
        </w:rPr>
        <w:t>to launch a low</w:t>
      </w:r>
      <w:r w:rsidR="00CA2C1D" w:rsidRPr="00704BD2">
        <w:rPr>
          <w:rFonts w:eastAsia="Calibri"/>
          <w:lang w:val="en-GB"/>
        </w:rPr>
        <w:t>-</w:t>
      </w:r>
      <w:r w:rsidRPr="00704BD2">
        <w:rPr>
          <w:rFonts w:eastAsia="Calibri"/>
          <w:lang w:val="en-GB"/>
        </w:rPr>
        <w:t>interest</w:t>
      </w:r>
      <w:r w:rsidR="00CA2C1D" w:rsidRPr="00704BD2">
        <w:rPr>
          <w:rFonts w:eastAsia="Calibri"/>
          <w:lang w:val="en-GB"/>
        </w:rPr>
        <w:t>-</w:t>
      </w:r>
      <w:r w:rsidRPr="00704BD2">
        <w:rPr>
          <w:rFonts w:eastAsia="Calibri"/>
          <w:lang w:val="en-GB"/>
        </w:rPr>
        <w:t xml:space="preserve">rate credit card (“the most successful credit card launch in history,” according </w:t>
      </w:r>
      <w:r w:rsidR="00CA2C1D" w:rsidRPr="00704BD2">
        <w:rPr>
          <w:rFonts w:eastAsia="Calibri"/>
          <w:lang w:val="en-GB"/>
        </w:rPr>
        <w:t>to</w:t>
      </w:r>
      <w:r w:rsidRPr="00704BD2">
        <w:rPr>
          <w:rFonts w:eastAsia="Calibri"/>
          <w:lang w:val="en-GB"/>
        </w:rPr>
        <w:t xml:space="preserve"> Goldman Sachs</w:t>
      </w:r>
      <w:r w:rsidR="00CA2C1D" w:rsidRPr="00704BD2">
        <w:rPr>
          <w:rFonts w:eastAsia="Calibri"/>
          <w:lang w:val="en-GB"/>
        </w:rPr>
        <w:t>’</w:t>
      </w:r>
      <w:r w:rsidRPr="00704BD2">
        <w:rPr>
          <w:rFonts w:eastAsia="Calibri"/>
          <w:lang w:val="en-GB"/>
        </w:rPr>
        <w:t xml:space="preserve"> CEO).</w:t>
      </w:r>
      <w:r w:rsidRPr="00704BD2">
        <w:rPr>
          <w:rFonts w:eastAsia="Calibri"/>
          <w:vertAlign w:val="superscript"/>
          <w:lang w:val="en-GB"/>
        </w:rPr>
        <w:endnoteReference w:id="68"/>
      </w:r>
      <w:r w:rsidRPr="00704BD2">
        <w:rPr>
          <w:rFonts w:eastAsia="Calibri"/>
          <w:lang w:val="en-GB"/>
        </w:rPr>
        <w:t xml:space="preserve"> As of the middle of 2019, Amazon</w:t>
      </w:r>
      <w:r w:rsidR="00CF6B41" w:rsidRPr="00704BD2">
        <w:rPr>
          <w:rFonts w:eastAsia="Calibri"/>
          <w:lang w:val="en-GB"/>
        </w:rPr>
        <w:t>.com Inc.</w:t>
      </w:r>
      <w:r w:rsidRPr="00704BD2">
        <w:rPr>
          <w:rFonts w:eastAsia="Calibri"/>
          <w:lang w:val="en-GB"/>
        </w:rPr>
        <w:t xml:space="preserve"> had loaned more than $3 billion to merchants</w:t>
      </w:r>
      <w:r w:rsidR="00CF6B41" w:rsidRPr="00704BD2">
        <w:rPr>
          <w:rFonts w:eastAsia="Calibri"/>
          <w:lang w:val="en-GB"/>
        </w:rPr>
        <w:t>,</w:t>
      </w:r>
      <w:r w:rsidRPr="00704BD2">
        <w:rPr>
          <w:rFonts w:eastAsia="Calibri"/>
          <w:vertAlign w:val="superscript"/>
          <w:lang w:val="en-GB"/>
        </w:rPr>
        <w:endnoteReference w:id="69"/>
      </w:r>
      <w:r w:rsidRPr="00704BD2">
        <w:rPr>
          <w:rFonts w:eastAsia="Calibri"/>
          <w:lang w:val="en-GB"/>
        </w:rPr>
        <w:t xml:space="preserve"> and </w:t>
      </w:r>
      <w:r w:rsidR="00CF6B41" w:rsidRPr="00704BD2">
        <w:rPr>
          <w:rFonts w:eastAsia="Calibri"/>
          <w:lang w:val="en-GB"/>
        </w:rPr>
        <w:t>its</w:t>
      </w:r>
      <w:r w:rsidRPr="00704BD2">
        <w:rPr>
          <w:rFonts w:eastAsia="Calibri"/>
          <w:lang w:val="en-GB"/>
        </w:rPr>
        <w:t xml:space="preserve"> web services infrastructure powered the back offices of celebrated challenger banks and provided cutting-edge solutions in areas </w:t>
      </w:r>
      <w:r w:rsidR="00CF6B41" w:rsidRPr="00704BD2">
        <w:rPr>
          <w:rFonts w:eastAsia="Calibri"/>
          <w:lang w:val="en-GB"/>
        </w:rPr>
        <w:t>such as</w:t>
      </w:r>
      <w:r w:rsidRPr="00704BD2">
        <w:rPr>
          <w:rFonts w:eastAsia="Calibri"/>
          <w:lang w:val="en-GB"/>
        </w:rPr>
        <w:t xml:space="preserve"> capital markets and insurance.</w:t>
      </w:r>
      <w:r w:rsidR="00970619" w:rsidRPr="00704BD2" w:rsidDel="00970619">
        <w:rPr>
          <w:rFonts w:eastAsia="Calibri"/>
          <w:vertAlign w:val="superscript"/>
          <w:lang w:val="en-GB"/>
        </w:rPr>
        <w:t xml:space="preserve"> </w:t>
      </w:r>
      <w:r w:rsidRPr="00704BD2">
        <w:rPr>
          <w:rFonts w:eastAsia="Calibri"/>
          <w:lang w:val="en-GB"/>
        </w:rPr>
        <w:t>Google had announced that it would launch digital bank accounts in 2021.</w:t>
      </w:r>
      <w:r w:rsidRPr="00704BD2">
        <w:rPr>
          <w:rFonts w:eastAsia="Calibri"/>
          <w:vertAlign w:val="superscript"/>
          <w:lang w:val="en-GB"/>
        </w:rPr>
        <w:endnoteReference w:id="70"/>
      </w:r>
      <w:r w:rsidRPr="00704BD2">
        <w:rPr>
          <w:rFonts w:eastAsia="Calibri"/>
          <w:lang w:val="en-GB"/>
        </w:rPr>
        <w:t xml:space="preserve"> An extreme possible endpoint of such developments could be seen in the example of China’s WeChat; WeChat had become the financial services provider preferred by many Chinese consumers mainly because of its convenient integration with the many aspects of their </w:t>
      </w:r>
      <w:r w:rsidR="009914E3" w:rsidRPr="00704BD2">
        <w:rPr>
          <w:rFonts w:eastAsia="Calibri"/>
          <w:lang w:val="en-GB"/>
        </w:rPr>
        <w:t xml:space="preserve">daily </w:t>
      </w:r>
      <w:r w:rsidRPr="00704BD2">
        <w:rPr>
          <w:rFonts w:eastAsia="Calibri"/>
          <w:lang w:val="en-GB"/>
        </w:rPr>
        <w:t>lives though a single app</w:t>
      </w:r>
      <w:r w:rsidR="009914E3" w:rsidRPr="00704BD2">
        <w:rPr>
          <w:rFonts w:eastAsia="Calibri"/>
          <w:lang w:val="en-GB"/>
        </w:rPr>
        <w:t xml:space="preserve"> (the WeChat app)</w:t>
      </w:r>
      <w:r w:rsidRPr="00704BD2">
        <w:rPr>
          <w:rFonts w:eastAsia="Calibri"/>
          <w:lang w:val="en-GB"/>
        </w:rPr>
        <w:t>.</w:t>
      </w:r>
      <w:r w:rsidR="009914E3" w:rsidRPr="00704BD2">
        <w:rPr>
          <w:rStyle w:val="EndnoteReference"/>
          <w:rFonts w:eastAsia="Calibri"/>
          <w:lang w:val="en-GB"/>
        </w:rPr>
        <w:endnoteReference w:id="71"/>
      </w:r>
      <w:r w:rsidRPr="00704BD2">
        <w:rPr>
          <w:rFonts w:eastAsia="Calibri"/>
          <w:lang w:val="en-GB"/>
        </w:rPr>
        <w:t xml:space="preserve"> </w:t>
      </w:r>
    </w:p>
    <w:p w14:paraId="6B262E82" w14:textId="77777777" w:rsidR="00AB2AEF" w:rsidRPr="00704BD2" w:rsidRDefault="00AB2AEF" w:rsidP="00AB2AEF">
      <w:pPr>
        <w:pStyle w:val="BodyTextMain"/>
        <w:rPr>
          <w:rFonts w:eastAsia="Calibri"/>
          <w:lang w:val="en-GB"/>
        </w:rPr>
      </w:pPr>
    </w:p>
    <w:p w14:paraId="47D1CC97" w14:textId="2C73AB9F" w:rsidR="00AB2AEF" w:rsidRPr="00704BD2" w:rsidRDefault="00AB2AEF" w:rsidP="00AB2AEF">
      <w:pPr>
        <w:pStyle w:val="BodyTextMain"/>
        <w:rPr>
          <w:rFonts w:eastAsia="Calibri"/>
          <w:lang w:val="en-GB"/>
        </w:rPr>
      </w:pPr>
      <w:r w:rsidRPr="00704BD2">
        <w:rPr>
          <w:rFonts w:eastAsia="Calibri"/>
          <w:lang w:val="en-GB"/>
        </w:rPr>
        <w:t>According to research by Professor Pinar Ozcan of Oxford University’s Sa</w:t>
      </w:r>
      <w:r w:rsidR="009914E3" w:rsidRPr="00704BD2">
        <w:rPr>
          <w:lang w:val="en-GB"/>
        </w:rPr>
        <w:t>ï</w:t>
      </w:r>
      <w:r w:rsidRPr="00704BD2">
        <w:rPr>
          <w:rFonts w:eastAsia="Calibri"/>
          <w:lang w:val="en-GB"/>
        </w:rPr>
        <w:t>d Business School, banks had fumbled the mobile payments business to tech platforms (Apple Pay, Amazon Pay, Google Pay) by engaging in “turf wars” with the ecosystem partners they needed to co</w:t>
      </w:r>
      <w:r w:rsidR="009914E3" w:rsidRPr="00704BD2">
        <w:rPr>
          <w:rFonts w:eastAsia="Calibri"/>
          <w:lang w:val="en-GB"/>
        </w:rPr>
        <w:t>-</w:t>
      </w:r>
      <w:r w:rsidRPr="00704BD2">
        <w:rPr>
          <w:rFonts w:eastAsia="Calibri"/>
          <w:lang w:val="en-GB"/>
        </w:rPr>
        <w:t>operate with to deliver mobile payment services, such as telecom</w:t>
      </w:r>
      <w:r w:rsidR="004A360A" w:rsidRPr="00704BD2">
        <w:rPr>
          <w:rFonts w:eastAsia="Calibri"/>
          <w:lang w:val="en-GB"/>
        </w:rPr>
        <w:t>munication</w:t>
      </w:r>
      <w:r w:rsidRPr="00704BD2">
        <w:rPr>
          <w:rFonts w:eastAsia="Calibri"/>
          <w:lang w:val="en-GB"/>
        </w:rPr>
        <w:t xml:space="preserve">s companies and mobile handset makers. Everyone wanted to “own” the customer, everyone wanted to be in charge, and no one could agree on security standards. To prevent something similar from happening with open banking, </w:t>
      </w:r>
      <w:r w:rsidR="009914E3" w:rsidRPr="00704BD2">
        <w:rPr>
          <w:rFonts w:eastAsia="Calibri"/>
          <w:lang w:val="en-GB"/>
        </w:rPr>
        <w:t xml:space="preserve">Ozcan </w:t>
      </w:r>
      <w:r w:rsidRPr="00704BD2">
        <w:rPr>
          <w:rFonts w:eastAsia="Calibri"/>
          <w:lang w:val="en-GB"/>
        </w:rPr>
        <w:t>suggested</w:t>
      </w:r>
      <w:r w:rsidR="004A360A" w:rsidRPr="00704BD2">
        <w:rPr>
          <w:rFonts w:eastAsia="Calibri"/>
          <w:lang w:val="en-GB"/>
        </w:rPr>
        <w:t xml:space="preserve"> that</w:t>
      </w:r>
      <w:r w:rsidRPr="00704BD2">
        <w:rPr>
          <w:rFonts w:eastAsia="Calibri"/>
          <w:lang w:val="en-GB"/>
        </w:rPr>
        <w:t xml:space="preserve"> banks had to get over some of their more controlling reflexes.</w:t>
      </w:r>
      <w:r w:rsidR="00004B19" w:rsidRPr="00704BD2">
        <w:rPr>
          <w:rFonts w:eastAsia="Calibri"/>
          <w:vertAlign w:val="superscript"/>
          <w:lang w:val="en-GB"/>
        </w:rPr>
        <w:endnoteReference w:id="72"/>
      </w:r>
      <w:r w:rsidRPr="00704BD2">
        <w:rPr>
          <w:rFonts w:eastAsia="Calibri"/>
          <w:lang w:val="en-GB"/>
        </w:rPr>
        <w:t xml:space="preserve"> Might banks be able to counter tech company incursions into their markets by engaging in enlightened partnership? Might partnering with third parties to build open banking ecosystems be a route that banks could take to achieve a foothold in the platform economy? </w:t>
      </w:r>
    </w:p>
    <w:p w14:paraId="6BDD634D" w14:textId="77777777" w:rsidR="00AB2AEF" w:rsidRPr="00704BD2" w:rsidRDefault="00AB2AEF" w:rsidP="00AB2AEF">
      <w:pPr>
        <w:pStyle w:val="BodyTextMain"/>
        <w:rPr>
          <w:rFonts w:eastAsia="Calibri"/>
          <w:lang w:val="en-GB"/>
        </w:rPr>
      </w:pPr>
    </w:p>
    <w:p w14:paraId="43DA07FA" w14:textId="7E972446" w:rsidR="00AB2AEF" w:rsidRPr="00704BD2" w:rsidRDefault="00AB2AEF" w:rsidP="00AB2AEF">
      <w:pPr>
        <w:pStyle w:val="BodyTextMain"/>
        <w:rPr>
          <w:rFonts w:eastAsia="Calibri"/>
          <w:lang w:val="en-GB"/>
        </w:rPr>
      </w:pPr>
      <w:r w:rsidRPr="00704BD2">
        <w:rPr>
          <w:rFonts w:eastAsia="Calibri"/>
          <w:lang w:val="en-GB"/>
        </w:rPr>
        <w:t>Co</w:t>
      </w:r>
      <w:r w:rsidR="009914E3" w:rsidRPr="00704BD2">
        <w:rPr>
          <w:rFonts w:eastAsia="Calibri"/>
          <w:lang w:val="en-GB"/>
        </w:rPr>
        <w:t>-</w:t>
      </w:r>
      <w:r w:rsidRPr="00704BD2">
        <w:rPr>
          <w:rFonts w:eastAsia="Calibri"/>
          <w:lang w:val="en-GB"/>
        </w:rPr>
        <w:t xml:space="preserve">operating with </w:t>
      </w:r>
      <w:proofErr w:type="spellStart"/>
      <w:r w:rsidR="009914E3" w:rsidRPr="00704BD2">
        <w:rPr>
          <w:rFonts w:eastAsia="Calibri"/>
          <w:lang w:val="en-GB"/>
        </w:rPr>
        <w:t>f</w:t>
      </w:r>
      <w:r w:rsidRPr="00704BD2">
        <w:rPr>
          <w:rFonts w:eastAsia="Calibri"/>
          <w:lang w:val="en-GB"/>
        </w:rPr>
        <w:t>intechs</w:t>
      </w:r>
      <w:proofErr w:type="spellEnd"/>
      <w:r w:rsidRPr="00704BD2">
        <w:rPr>
          <w:rFonts w:eastAsia="Calibri"/>
          <w:lang w:val="en-GB"/>
        </w:rPr>
        <w:t xml:space="preserve"> building on top of </w:t>
      </w:r>
      <w:r w:rsidR="00891F9E" w:rsidRPr="00704BD2">
        <w:rPr>
          <w:rFonts w:eastAsia="Calibri"/>
          <w:lang w:val="en-GB"/>
        </w:rPr>
        <w:t xml:space="preserve">the </w:t>
      </w:r>
      <w:r w:rsidRPr="00704BD2">
        <w:rPr>
          <w:rFonts w:eastAsia="Calibri"/>
          <w:lang w:val="en-GB"/>
        </w:rPr>
        <w:t>traditional banking framework could potentially create a much more valuable ecosystem for customers. But it might also threaten the bank financially, at least in the short</w:t>
      </w:r>
      <w:r w:rsidR="00891F9E" w:rsidRPr="00704BD2">
        <w:rPr>
          <w:rFonts w:eastAsia="Calibri"/>
          <w:lang w:val="en-GB"/>
        </w:rPr>
        <w:t xml:space="preserve"> </w:t>
      </w:r>
      <w:r w:rsidRPr="00704BD2">
        <w:rPr>
          <w:rFonts w:eastAsia="Calibri"/>
          <w:lang w:val="en-GB"/>
        </w:rPr>
        <w:t xml:space="preserve">term, cutting into its market share and financial returns. And there were </w:t>
      </w:r>
      <w:r w:rsidR="00891F9E" w:rsidRPr="00704BD2">
        <w:rPr>
          <w:rFonts w:eastAsia="Calibri"/>
          <w:lang w:val="en-GB"/>
        </w:rPr>
        <w:t>(</w:t>
      </w:r>
      <w:r w:rsidRPr="00704BD2">
        <w:rPr>
          <w:rFonts w:eastAsia="Calibri"/>
          <w:lang w:val="en-GB"/>
        </w:rPr>
        <w:t>always</w:t>
      </w:r>
      <w:r w:rsidR="00891F9E" w:rsidRPr="00704BD2">
        <w:rPr>
          <w:rFonts w:eastAsia="Calibri"/>
          <w:lang w:val="en-GB"/>
        </w:rPr>
        <w:t>)</w:t>
      </w:r>
      <w:r w:rsidRPr="00704BD2">
        <w:rPr>
          <w:rFonts w:eastAsia="Calibri"/>
          <w:lang w:val="en-GB"/>
        </w:rPr>
        <w:t xml:space="preserve"> the matters of security and privacy</w:t>
      </w:r>
      <w:r w:rsidR="004A360A" w:rsidRPr="00704BD2">
        <w:rPr>
          <w:rFonts w:eastAsia="Calibri"/>
          <w:lang w:val="en-GB"/>
        </w:rPr>
        <w:t xml:space="preserve"> to consider</w:t>
      </w:r>
      <w:r w:rsidRPr="00704BD2">
        <w:rPr>
          <w:rFonts w:eastAsia="Calibri"/>
          <w:lang w:val="en-GB"/>
        </w:rPr>
        <w:t>. Could both objectives be realized</w:t>
      </w:r>
      <w:r w:rsidR="00891F9E" w:rsidRPr="00704BD2">
        <w:rPr>
          <w:rFonts w:eastAsia="Calibri"/>
          <w:lang w:val="en-GB"/>
        </w:rPr>
        <w:sym w:font="Symbol" w:char="F0BE"/>
      </w:r>
      <w:r w:rsidR="00891F9E" w:rsidRPr="00704BD2">
        <w:rPr>
          <w:rFonts w:eastAsia="Calibri"/>
          <w:lang w:val="en-GB"/>
        </w:rPr>
        <w:t>h</w:t>
      </w:r>
      <w:r w:rsidRPr="00704BD2">
        <w:rPr>
          <w:rFonts w:eastAsia="Calibri"/>
          <w:lang w:val="en-GB"/>
        </w:rPr>
        <w:t xml:space="preserve">igher value for customers and </w:t>
      </w:r>
      <w:r w:rsidR="00891F9E" w:rsidRPr="00704BD2">
        <w:rPr>
          <w:rFonts w:eastAsia="Calibri"/>
          <w:lang w:val="en-GB"/>
        </w:rPr>
        <w:t xml:space="preserve">the </w:t>
      </w:r>
      <w:r w:rsidRPr="00704BD2">
        <w:rPr>
          <w:rFonts w:eastAsia="Calibri"/>
          <w:lang w:val="en-GB"/>
        </w:rPr>
        <w:t>preservation of JPMC’s business success?</w:t>
      </w:r>
    </w:p>
    <w:p w14:paraId="3DC3EFCF" w14:textId="77777777" w:rsidR="00AB2AEF" w:rsidRPr="00704BD2" w:rsidRDefault="00AB2AEF">
      <w:pPr>
        <w:spacing w:after="200" w:line="276" w:lineRule="auto"/>
        <w:rPr>
          <w:sz w:val="22"/>
          <w:szCs w:val="22"/>
          <w:lang w:val="en-GB"/>
        </w:rPr>
      </w:pPr>
      <w:r w:rsidRPr="00704BD2">
        <w:rPr>
          <w:lang w:val="en-GB"/>
        </w:rPr>
        <w:br w:type="page"/>
      </w:r>
    </w:p>
    <w:p w14:paraId="0DC06C8A" w14:textId="735C8E3B" w:rsidR="007D1AB3" w:rsidRDefault="007D1AB3" w:rsidP="007D1AB3">
      <w:pPr>
        <w:pStyle w:val="ExhibitHeading"/>
        <w:rPr>
          <w:lang w:val="en-GB"/>
        </w:rPr>
      </w:pPr>
      <w:r w:rsidRPr="00704BD2">
        <w:rPr>
          <w:lang w:val="en-GB"/>
        </w:rPr>
        <w:lastRenderedPageBreak/>
        <w:t xml:space="preserve">EXHIBIT 1: </w:t>
      </w:r>
      <w:bookmarkStart w:id="1" w:name="_Hlk72819637"/>
      <w:r w:rsidRPr="00704BD2">
        <w:rPr>
          <w:lang w:val="en-GB"/>
        </w:rPr>
        <w:t>SELECT REASONS FOR USING INCUMBENT FINANCIAL INSTITUTIONS, 2017</w:t>
      </w:r>
      <w:r w:rsidR="00ED2725" w:rsidRPr="00704BD2">
        <w:rPr>
          <w:lang w:val="en-GB"/>
        </w:rPr>
        <w:sym w:font="Symbol" w:char="F02D"/>
      </w:r>
      <w:r w:rsidRPr="00704BD2">
        <w:rPr>
          <w:lang w:val="en-GB"/>
        </w:rPr>
        <w:t>2019</w:t>
      </w:r>
      <w:bookmarkEnd w:id="1"/>
    </w:p>
    <w:p w14:paraId="40C96F6F" w14:textId="0AC4D4DD" w:rsidR="00B414DA" w:rsidRDefault="00B414DA" w:rsidP="007D1AB3">
      <w:pPr>
        <w:pStyle w:val="ExhibitHeading"/>
        <w:rPr>
          <w:lang w:val="en-GB"/>
        </w:rPr>
      </w:pPr>
    </w:p>
    <w:p w14:paraId="3C26C61A" w14:textId="47924E0D" w:rsidR="00B414DA" w:rsidRPr="00704BD2" w:rsidRDefault="00B414DA" w:rsidP="007D1AB3">
      <w:pPr>
        <w:pStyle w:val="ExhibitHeading"/>
        <w:rPr>
          <w:lang w:val="en-GB"/>
        </w:rPr>
      </w:pPr>
      <w:r>
        <w:rPr>
          <w:noProof/>
        </w:rPr>
        <w:drawing>
          <wp:inline distT="0" distB="0" distL="0" distR="0" wp14:anchorId="52C92AF4" wp14:editId="718FF9D6">
            <wp:extent cx="5886450" cy="3714750"/>
            <wp:effectExtent l="0" t="0" r="0" b="0"/>
            <wp:docPr id="7" name="Picture 7" descr="SELECT REASONS FOR USING INCUMBENT FINANCIAL INSTITUTIONS, 2017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6450" cy="3714750"/>
                    </a:xfrm>
                    <a:prstGeom prst="rect">
                      <a:avLst/>
                    </a:prstGeom>
                  </pic:spPr>
                </pic:pic>
              </a:graphicData>
            </a:graphic>
          </wp:inline>
        </w:drawing>
      </w:r>
    </w:p>
    <w:p w14:paraId="3B5CB469" w14:textId="77777777" w:rsidR="00A9289F" w:rsidRPr="00704BD2" w:rsidRDefault="00A9289F" w:rsidP="00A9289F">
      <w:pPr>
        <w:pStyle w:val="Footnote"/>
        <w:rPr>
          <w:lang w:val="en-GB"/>
        </w:rPr>
      </w:pPr>
    </w:p>
    <w:p w14:paraId="079D158C" w14:textId="6DAE772D" w:rsidR="00A9289F" w:rsidRPr="00B414DA" w:rsidRDefault="00A9289F" w:rsidP="00A9289F">
      <w:pPr>
        <w:pStyle w:val="Footnote"/>
        <w:rPr>
          <w:spacing w:val="-4"/>
          <w:lang w:val="en-GB"/>
        </w:rPr>
      </w:pPr>
      <w:r w:rsidRPr="00B414DA">
        <w:rPr>
          <w:spacing w:val="-4"/>
          <w:lang w:val="en-GB"/>
        </w:rPr>
        <w:t xml:space="preserve">Source: Adapted from </w:t>
      </w:r>
      <w:r w:rsidR="00FB3A5D" w:rsidRPr="00B414DA">
        <w:rPr>
          <w:spacing w:val="-4"/>
          <w:lang w:val="en-GB"/>
        </w:rPr>
        <w:t>EY</w:t>
      </w:r>
      <w:r w:rsidR="00B140D4" w:rsidRPr="00B414DA">
        <w:rPr>
          <w:spacing w:val="-4"/>
          <w:lang w:val="en-GB"/>
        </w:rPr>
        <w:t xml:space="preserve"> [Ernst &amp; Young]</w:t>
      </w:r>
      <w:r w:rsidRPr="00B414DA">
        <w:rPr>
          <w:spacing w:val="-4"/>
          <w:lang w:val="en-GB"/>
        </w:rPr>
        <w:t xml:space="preserve">, </w:t>
      </w:r>
      <w:r w:rsidRPr="00B414DA">
        <w:rPr>
          <w:i/>
          <w:spacing w:val="-4"/>
          <w:lang w:val="en-GB"/>
        </w:rPr>
        <w:t>Global Fintech Adoption Index 2019</w:t>
      </w:r>
      <w:r w:rsidR="00ED2725" w:rsidRPr="00B414DA">
        <w:rPr>
          <w:spacing w:val="-4"/>
          <w:lang w:val="en-GB"/>
        </w:rPr>
        <w:t>,</w:t>
      </w:r>
      <w:r w:rsidRPr="00B414DA">
        <w:rPr>
          <w:spacing w:val="-4"/>
          <w:lang w:val="en-GB"/>
        </w:rPr>
        <w:t xml:space="preserve"> 2019</w:t>
      </w:r>
      <w:r w:rsidR="00ED2725" w:rsidRPr="00B414DA">
        <w:rPr>
          <w:spacing w:val="-4"/>
          <w:lang w:val="en-GB"/>
        </w:rPr>
        <w:t>,</w:t>
      </w:r>
      <w:r w:rsidRPr="00B414DA">
        <w:rPr>
          <w:spacing w:val="-4"/>
          <w:lang w:val="en-GB"/>
        </w:rPr>
        <w:t xml:space="preserve"> </w:t>
      </w:r>
      <w:r w:rsidR="00ED2725" w:rsidRPr="00B414DA">
        <w:rPr>
          <w:spacing w:val="-4"/>
          <w:lang w:val="en-GB"/>
        </w:rPr>
        <w:t>a</w:t>
      </w:r>
      <w:r w:rsidRPr="00B414DA">
        <w:rPr>
          <w:spacing w:val="-4"/>
          <w:lang w:val="en-GB"/>
        </w:rPr>
        <w:t>ccessed September 23, 2020</w:t>
      </w:r>
      <w:r w:rsidR="00ED2725" w:rsidRPr="00B414DA">
        <w:rPr>
          <w:spacing w:val="-4"/>
          <w:lang w:val="en-GB"/>
        </w:rPr>
        <w:t>,</w:t>
      </w:r>
      <w:r w:rsidRPr="00B414DA">
        <w:rPr>
          <w:spacing w:val="-4"/>
          <w:lang w:val="en-GB"/>
        </w:rPr>
        <w:t xml:space="preserve"> </w:t>
      </w:r>
      <w:hyperlink r:id="rId10" w:history="1">
        <w:r w:rsidRPr="00B414DA">
          <w:rPr>
            <w:rStyle w:val="Hyperlink"/>
            <w:color w:val="auto"/>
            <w:spacing w:val="-4"/>
            <w:u w:val="none"/>
            <w:lang w:val="en-GB"/>
          </w:rPr>
          <w:t>https://assets.ey.com/content/dam/ey-sites/ey-com/en_gl/topics/banking-and-capital-markets/ey-global-fintech-adoption-index.pdf</w:t>
        </w:r>
      </w:hyperlink>
      <w:r w:rsidRPr="00B414DA">
        <w:rPr>
          <w:rStyle w:val="Hyperlink"/>
          <w:color w:val="auto"/>
          <w:spacing w:val="-4"/>
          <w:u w:val="none"/>
          <w:lang w:val="en-GB"/>
        </w:rPr>
        <w:t>.</w:t>
      </w:r>
    </w:p>
    <w:p w14:paraId="06113437" w14:textId="77777777" w:rsidR="00A9289F" w:rsidRPr="00704BD2" w:rsidRDefault="00A9289F">
      <w:pPr>
        <w:spacing w:after="200" w:line="276" w:lineRule="auto"/>
        <w:rPr>
          <w:lang w:val="en-GB"/>
        </w:rPr>
      </w:pPr>
      <w:r w:rsidRPr="00704BD2">
        <w:rPr>
          <w:lang w:val="en-GB"/>
        </w:rPr>
        <w:br w:type="page"/>
      </w:r>
    </w:p>
    <w:p w14:paraId="44F4E0C4" w14:textId="222CD64F" w:rsidR="00A9289F" w:rsidRDefault="00A9289F" w:rsidP="00A9289F">
      <w:pPr>
        <w:pStyle w:val="ExhibitHeading"/>
        <w:rPr>
          <w:lang w:val="en-GB"/>
        </w:rPr>
      </w:pPr>
      <w:r w:rsidRPr="00704BD2">
        <w:rPr>
          <w:lang w:val="en-GB"/>
        </w:rPr>
        <w:lastRenderedPageBreak/>
        <w:t xml:space="preserve">EXHIBIT 2: </w:t>
      </w:r>
      <w:r w:rsidR="007D34B0" w:rsidRPr="00704BD2">
        <w:rPr>
          <w:lang w:val="en-GB"/>
        </w:rPr>
        <w:t>P</w:t>
      </w:r>
      <w:r w:rsidRPr="00704BD2">
        <w:rPr>
          <w:lang w:val="en-GB"/>
        </w:rPr>
        <w:t xml:space="preserve">REFERENCES </w:t>
      </w:r>
      <w:r w:rsidR="007D34B0" w:rsidRPr="00704BD2">
        <w:rPr>
          <w:lang w:val="en-GB"/>
        </w:rPr>
        <w:t xml:space="preserve">For </w:t>
      </w:r>
      <w:r w:rsidRPr="00704BD2">
        <w:rPr>
          <w:lang w:val="en-GB"/>
        </w:rPr>
        <w:t>SHARING BANKING DATA, BY FINTECH ADOPTERS AND NON-ADOPTERS</w:t>
      </w:r>
    </w:p>
    <w:p w14:paraId="2D264DCC" w14:textId="640FC252" w:rsidR="00B23BAA" w:rsidRDefault="00B23BAA" w:rsidP="00A9289F">
      <w:pPr>
        <w:pStyle w:val="ExhibitHeading"/>
        <w:rPr>
          <w:lang w:val="en-GB"/>
        </w:rPr>
      </w:pPr>
    </w:p>
    <w:p w14:paraId="4B9E9DDA" w14:textId="7B46D161" w:rsidR="00B414DA" w:rsidRDefault="00B414DA" w:rsidP="00A9289F">
      <w:pPr>
        <w:pStyle w:val="ExhibitHeading"/>
        <w:rPr>
          <w:lang w:val="en-GB"/>
        </w:rPr>
      </w:pPr>
      <w:r>
        <w:rPr>
          <w:noProof/>
        </w:rPr>
        <w:drawing>
          <wp:inline distT="0" distB="0" distL="0" distR="0" wp14:anchorId="66DB7012" wp14:editId="769F0F4E">
            <wp:extent cx="5762625" cy="3486150"/>
            <wp:effectExtent l="0" t="0" r="9525" b="0"/>
            <wp:docPr id="1" name="Picture 1" descr="PREFERENCES FOR SHARING BANKING DATA, BY FINTECH ADOPTERS AND NON-ADOP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2625" cy="3486150"/>
                    </a:xfrm>
                    <a:prstGeom prst="rect">
                      <a:avLst/>
                    </a:prstGeom>
                  </pic:spPr>
                </pic:pic>
              </a:graphicData>
            </a:graphic>
          </wp:inline>
        </w:drawing>
      </w:r>
    </w:p>
    <w:p w14:paraId="1398A4AC" w14:textId="77777777" w:rsidR="00B414DA" w:rsidRDefault="00B414DA" w:rsidP="00A9289F">
      <w:pPr>
        <w:pStyle w:val="Footnote"/>
        <w:rPr>
          <w:rStyle w:val="Hyperlink"/>
          <w:color w:val="auto"/>
          <w:u w:val="none"/>
          <w:lang w:val="en-GB"/>
        </w:rPr>
      </w:pPr>
    </w:p>
    <w:p w14:paraId="5FCF95EE" w14:textId="3B930E4E" w:rsidR="00906663" w:rsidRDefault="00906663" w:rsidP="00A9289F">
      <w:pPr>
        <w:pStyle w:val="Footnote"/>
        <w:rPr>
          <w:lang w:val="en-GB"/>
        </w:rPr>
      </w:pPr>
      <w:r>
        <w:rPr>
          <w:rStyle w:val="Hyperlink"/>
          <w:color w:val="auto"/>
          <w:u w:val="none"/>
          <w:lang w:val="en-GB"/>
        </w:rPr>
        <w:t xml:space="preserve">Note: </w:t>
      </w:r>
      <w:r w:rsidRPr="0051014E">
        <w:rPr>
          <w:lang w:val="en-GB"/>
        </w:rPr>
        <w:t>The bars in this chart show the percentage of respondents who either ‘agree’ or ‘strongly agree’ that they would be comfortable if their main bank securely shared their financial data with other organizations.</w:t>
      </w:r>
    </w:p>
    <w:p w14:paraId="202833CF" w14:textId="77777777" w:rsidR="00906663" w:rsidRPr="00B414DA" w:rsidRDefault="00A9289F" w:rsidP="00A9289F">
      <w:pPr>
        <w:pStyle w:val="Footnote"/>
        <w:rPr>
          <w:rStyle w:val="Hyperlink"/>
          <w:color w:val="auto"/>
          <w:spacing w:val="-4"/>
          <w:u w:val="none"/>
          <w:lang w:val="en-GB"/>
        </w:rPr>
      </w:pPr>
      <w:r w:rsidRPr="00B414DA">
        <w:rPr>
          <w:spacing w:val="-4"/>
          <w:lang w:val="en-GB"/>
        </w:rPr>
        <w:t xml:space="preserve">Source: </w:t>
      </w:r>
      <w:r w:rsidR="00364118" w:rsidRPr="00B414DA">
        <w:rPr>
          <w:spacing w:val="-4"/>
          <w:lang w:val="en-GB"/>
        </w:rPr>
        <w:t>EY</w:t>
      </w:r>
      <w:r w:rsidR="00B140D4" w:rsidRPr="00B414DA">
        <w:rPr>
          <w:spacing w:val="-4"/>
          <w:lang w:val="en-GB"/>
        </w:rPr>
        <w:t xml:space="preserve"> [Ernst &amp; Young]</w:t>
      </w:r>
      <w:r w:rsidR="00364118" w:rsidRPr="00B414DA">
        <w:rPr>
          <w:spacing w:val="-4"/>
          <w:lang w:val="en-GB"/>
        </w:rPr>
        <w:t>,</w:t>
      </w:r>
      <w:r w:rsidRPr="00B414DA">
        <w:rPr>
          <w:spacing w:val="-4"/>
          <w:lang w:val="en-GB"/>
        </w:rPr>
        <w:t xml:space="preserve"> </w:t>
      </w:r>
      <w:r w:rsidRPr="00B414DA">
        <w:rPr>
          <w:i/>
          <w:spacing w:val="-4"/>
          <w:lang w:val="en-GB"/>
        </w:rPr>
        <w:t>Global Fintech Adoption Index 2019</w:t>
      </w:r>
      <w:r w:rsidR="00364118" w:rsidRPr="00B414DA">
        <w:rPr>
          <w:spacing w:val="-4"/>
          <w:lang w:val="en-GB"/>
        </w:rPr>
        <w:t>,</w:t>
      </w:r>
      <w:r w:rsidRPr="00B414DA">
        <w:rPr>
          <w:spacing w:val="-4"/>
          <w:lang w:val="en-GB"/>
        </w:rPr>
        <w:t xml:space="preserve"> 2019</w:t>
      </w:r>
      <w:r w:rsidR="00364118" w:rsidRPr="00B414DA">
        <w:rPr>
          <w:spacing w:val="-4"/>
          <w:lang w:val="en-GB"/>
        </w:rPr>
        <w:t>,</w:t>
      </w:r>
      <w:r w:rsidRPr="00B414DA">
        <w:rPr>
          <w:spacing w:val="-4"/>
          <w:lang w:val="en-GB"/>
        </w:rPr>
        <w:t xml:space="preserve"> </w:t>
      </w:r>
      <w:r w:rsidR="00364118" w:rsidRPr="00B414DA">
        <w:rPr>
          <w:spacing w:val="-4"/>
          <w:lang w:val="en-GB"/>
        </w:rPr>
        <w:t>a</w:t>
      </w:r>
      <w:r w:rsidRPr="00B414DA">
        <w:rPr>
          <w:spacing w:val="-4"/>
          <w:lang w:val="en-GB"/>
        </w:rPr>
        <w:t>ccessed September 23, 2020</w:t>
      </w:r>
      <w:r w:rsidR="00364118" w:rsidRPr="00B414DA">
        <w:rPr>
          <w:spacing w:val="-4"/>
          <w:lang w:val="en-GB"/>
        </w:rPr>
        <w:t>,</w:t>
      </w:r>
      <w:r w:rsidRPr="00B414DA">
        <w:rPr>
          <w:spacing w:val="-4"/>
          <w:lang w:val="en-GB"/>
        </w:rPr>
        <w:t xml:space="preserve"> </w:t>
      </w:r>
      <w:hyperlink r:id="rId12" w:history="1">
        <w:r w:rsidRPr="00B414DA">
          <w:rPr>
            <w:rStyle w:val="Hyperlink"/>
            <w:color w:val="auto"/>
            <w:spacing w:val="-4"/>
            <w:u w:val="none"/>
            <w:lang w:val="en-GB"/>
          </w:rPr>
          <w:t>https://assets.ey.com/content/dam/ey-sites/ey-com/en_gl/topics/banking-and-capital-markets/ey-global-fintech-adoption-index.pdf</w:t>
        </w:r>
      </w:hyperlink>
      <w:r w:rsidRPr="00B414DA">
        <w:rPr>
          <w:rStyle w:val="Hyperlink"/>
          <w:color w:val="auto"/>
          <w:spacing w:val="-4"/>
          <w:u w:val="none"/>
          <w:lang w:val="en-GB"/>
        </w:rPr>
        <w:t>.</w:t>
      </w:r>
      <w:r w:rsidR="007D34B0" w:rsidRPr="00B414DA">
        <w:rPr>
          <w:rStyle w:val="Hyperlink"/>
          <w:color w:val="auto"/>
          <w:spacing w:val="-4"/>
          <w:u w:val="none"/>
          <w:lang w:val="en-GB"/>
        </w:rPr>
        <w:t xml:space="preserve"> </w:t>
      </w:r>
    </w:p>
    <w:p w14:paraId="494CA583" w14:textId="6EE53265" w:rsidR="00A9289F" w:rsidRPr="00704BD2" w:rsidRDefault="00A9289F" w:rsidP="00A9289F">
      <w:pPr>
        <w:pStyle w:val="Footnote"/>
        <w:rPr>
          <w:rStyle w:val="Hyperlink"/>
          <w:color w:val="auto"/>
          <w:u w:val="none"/>
          <w:lang w:val="en-GB"/>
        </w:rPr>
      </w:pPr>
    </w:p>
    <w:p w14:paraId="75A37B02" w14:textId="78FF9D97" w:rsidR="00A9289F" w:rsidRPr="00704BD2" w:rsidRDefault="00A9289F" w:rsidP="00A9289F">
      <w:pPr>
        <w:pStyle w:val="Footnote"/>
        <w:rPr>
          <w:lang w:val="en-GB"/>
        </w:rPr>
      </w:pPr>
    </w:p>
    <w:p w14:paraId="380C9675" w14:textId="77777777" w:rsidR="00FB462B" w:rsidRDefault="00FB462B">
      <w:pPr>
        <w:spacing w:after="200" w:line="276" w:lineRule="auto"/>
        <w:rPr>
          <w:rFonts w:ascii="Arial" w:hAnsi="Arial" w:cs="Arial"/>
          <w:b/>
          <w:caps/>
          <w:lang w:val="en-GB"/>
        </w:rPr>
      </w:pPr>
      <w:r>
        <w:rPr>
          <w:lang w:val="en-GB"/>
        </w:rPr>
        <w:br w:type="page"/>
      </w:r>
    </w:p>
    <w:p w14:paraId="014D9322" w14:textId="69CB51C3" w:rsidR="00A9289F" w:rsidRPr="00704BD2" w:rsidRDefault="00A9289F" w:rsidP="00A9289F">
      <w:pPr>
        <w:pStyle w:val="ExhibitHeading"/>
        <w:rPr>
          <w:lang w:val="en-GB"/>
        </w:rPr>
      </w:pPr>
      <w:r w:rsidRPr="00704BD2">
        <w:rPr>
          <w:lang w:val="en-GB"/>
        </w:rPr>
        <w:lastRenderedPageBreak/>
        <w:t>EXHIBIT 3: COMPARISON OF FINTECH CATEGORIES, RANKED BY ADOPTION RATE FROM 2015 TO 2019</w:t>
      </w:r>
    </w:p>
    <w:p w14:paraId="0E6572FC" w14:textId="77777777" w:rsidR="00A9289F" w:rsidRPr="00704BD2" w:rsidRDefault="00A9289F" w:rsidP="00A9289F">
      <w:pPr>
        <w:pStyle w:val="Footnote"/>
        <w:rPr>
          <w:lang w:val="en-GB"/>
        </w:rPr>
      </w:pPr>
    </w:p>
    <w:tbl>
      <w:tblPr>
        <w:tblStyle w:val="TableGrid"/>
        <w:tblW w:w="9350" w:type="dxa"/>
        <w:tblLook w:val="04A0" w:firstRow="1" w:lastRow="0" w:firstColumn="1" w:lastColumn="0" w:noHBand="0" w:noVBand="1"/>
        <w:tblCaption w:val="EXHIBIT 3"/>
        <w:tblDescription w:val="COMPARISON OF FINTECH CATEGORIES, RANKED BY ADOPTION RATE FROM 2015 TO 2019"/>
      </w:tblPr>
      <w:tblGrid>
        <w:gridCol w:w="1922"/>
        <w:gridCol w:w="927"/>
        <w:gridCol w:w="2366"/>
        <w:gridCol w:w="1080"/>
        <w:gridCol w:w="2072"/>
        <w:gridCol w:w="983"/>
      </w:tblGrid>
      <w:tr w:rsidR="00A9289F" w:rsidRPr="00F83849" w14:paraId="760E9CA5" w14:textId="77777777" w:rsidTr="00B414DA">
        <w:trPr>
          <w:trHeight w:val="70"/>
          <w:tblHeader/>
        </w:trPr>
        <w:tc>
          <w:tcPr>
            <w:tcW w:w="2849" w:type="dxa"/>
            <w:gridSpan w:val="2"/>
            <w:noWrap/>
            <w:hideMark/>
          </w:tcPr>
          <w:p w14:paraId="613032BC" w14:textId="77777777" w:rsidR="00A9289F" w:rsidRPr="00704BD2" w:rsidRDefault="00A9289F" w:rsidP="00A9289F">
            <w:pPr>
              <w:jc w:val="center"/>
              <w:rPr>
                <w:rFonts w:ascii="Arial" w:hAnsi="Arial" w:cs="Arial"/>
                <w:b/>
                <w:bCs/>
                <w:sz w:val="18"/>
                <w:szCs w:val="18"/>
                <w:lang w:val="en-GB"/>
              </w:rPr>
            </w:pPr>
            <w:r w:rsidRPr="00704BD2">
              <w:rPr>
                <w:rFonts w:ascii="Arial" w:hAnsi="Arial" w:cs="Arial"/>
                <w:b/>
                <w:bCs/>
                <w:sz w:val="18"/>
                <w:szCs w:val="18"/>
                <w:lang w:val="en-GB"/>
              </w:rPr>
              <w:t>2015</w:t>
            </w:r>
          </w:p>
        </w:tc>
        <w:tc>
          <w:tcPr>
            <w:tcW w:w="3446" w:type="dxa"/>
            <w:gridSpan w:val="2"/>
            <w:noWrap/>
            <w:hideMark/>
          </w:tcPr>
          <w:p w14:paraId="11174AAA" w14:textId="77777777" w:rsidR="00A9289F" w:rsidRPr="00704BD2" w:rsidRDefault="00A9289F" w:rsidP="00A9289F">
            <w:pPr>
              <w:jc w:val="center"/>
              <w:rPr>
                <w:rFonts w:ascii="Arial" w:hAnsi="Arial" w:cs="Arial"/>
                <w:b/>
                <w:bCs/>
                <w:sz w:val="18"/>
                <w:szCs w:val="18"/>
                <w:lang w:val="en-GB"/>
              </w:rPr>
            </w:pPr>
            <w:r w:rsidRPr="00704BD2">
              <w:rPr>
                <w:rFonts w:ascii="Arial" w:hAnsi="Arial" w:cs="Arial"/>
                <w:b/>
                <w:bCs/>
                <w:sz w:val="18"/>
                <w:szCs w:val="18"/>
                <w:lang w:val="en-GB"/>
              </w:rPr>
              <w:t>2017</w:t>
            </w:r>
          </w:p>
        </w:tc>
        <w:tc>
          <w:tcPr>
            <w:tcW w:w="3055" w:type="dxa"/>
            <w:gridSpan w:val="2"/>
            <w:noWrap/>
            <w:hideMark/>
          </w:tcPr>
          <w:p w14:paraId="4598129B" w14:textId="77777777" w:rsidR="00A9289F" w:rsidRPr="00704BD2" w:rsidRDefault="00A9289F" w:rsidP="00A9289F">
            <w:pPr>
              <w:jc w:val="center"/>
              <w:rPr>
                <w:rFonts w:ascii="Arial" w:hAnsi="Arial" w:cs="Arial"/>
                <w:b/>
                <w:bCs/>
                <w:sz w:val="18"/>
                <w:szCs w:val="18"/>
                <w:lang w:val="en-GB"/>
              </w:rPr>
            </w:pPr>
            <w:r w:rsidRPr="00704BD2">
              <w:rPr>
                <w:rFonts w:ascii="Arial" w:hAnsi="Arial" w:cs="Arial"/>
                <w:b/>
                <w:bCs/>
                <w:sz w:val="18"/>
                <w:szCs w:val="18"/>
                <w:lang w:val="en-GB"/>
              </w:rPr>
              <w:t>2019</w:t>
            </w:r>
          </w:p>
        </w:tc>
      </w:tr>
      <w:tr w:rsidR="00A9289F" w:rsidRPr="00F83849" w14:paraId="5D62EE2B" w14:textId="77777777" w:rsidTr="00B414DA">
        <w:trPr>
          <w:trHeight w:val="330"/>
          <w:tblHeader/>
        </w:trPr>
        <w:tc>
          <w:tcPr>
            <w:tcW w:w="1923" w:type="dxa"/>
            <w:noWrap/>
            <w:hideMark/>
          </w:tcPr>
          <w:p w14:paraId="299C6C11" w14:textId="77777777" w:rsidR="00A9289F" w:rsidRPr="00704BD2" w:rsidRDefault="00A9289F" w:rsidP="00A9289F">
            <w:pPr>
              <w:jc w:val="center"/>
              <w:rPr>
                <w:rFonts w:ascii="Arial" w:hAnsi="Arial" w:cs="Arial"/>
                <w:sz w:val="18"/>
                <w:szCs w:val="18"/>
                <w:lang w:val="en-GB"/>
              </w:rPr>
            </w:pPr>
            <w:r w:rsidRPr="00704BD2">
              <w:rPr>
                <w:rFonts w:ascii="Arial" w:hAnsi="Arial" w:cs="Arial"/>
                <w:sz w:val="18"/>
                <w:szCs w:val="18"/>
                <w:lang w:val="en-GB"/>
              </w:rPr>
              <w:t>Category</w:t>
            </w:r>
          </w:p>
        </w:tc>
        <w:tc>
          <w:tcPr>
            <w:tcW w:w="926" w:type="dxa"/>
            <w:noWrap/>
            <w:hideMark/>
          </w:tcPr>
          <w:p w14:paraId="70EA810B" w14:textId="701F5636" w:rsidR="00A9289F" w:rsidRPr="00704BD2" w:rsidRDefault="00A9289F" w:rsidP="00685BD5">
            <w:pPr>
              <w:jc w:val="center"/>
              <w:rPr>
                <w:rFonts w:ascii="Arial" w:hAnsi="Arial" w:cs="Arial"/>
                <w:sz w:val="18"/>
                <w:szCs w:val="18"/>
                <w:lang w:val="en-GB"/>
              </w:rPr>
            </w:pPr>
            <w:r w:rsidRPr="00704BD2">
              <w:rPr>
                <w:rFonts w:ascii="Arial" w:hAnsi="Arial" w:cs="Arial"/>
                <w:sz w:val="18"/>
                <w:szCs w:val="18"/>
                <w:lang w:val="en-GB"/>
              </w:rPr>
              <w:t xml:space="preserve">Adoption </w:t>
            </w:r>
            <w:r w:rsidR="0027669F" w:rsidRPr="00704BD2">
              <w:rPr>
                <w:rFonts w:ascii="Arial" w:hAnsi="Arial" w:cs="Arial"/>
                <w:sz w:val="18"/>
                <w:szCs w:val="18"/>
                <w:lang w:val="en-GB"/>
              </w:rPr>
              <w:t>R</w:t>
            </w:r>
            <w:r w:rsidRPr="00704BD2">
              <w:rPr>
                <w:rFonts w:ascii="Arial" w:hAnsi="Arial" w:cs="Arial"/>
                <w:sz w:val="18"/>
                <w:szCs w:val="18"/>
                <w:lang w:val="en-GB"/>
              </w:rPr>
              <w:t>ate</w:t>
            </w:r>
          </w:p>
        </w:tc>
        <w:tc>
          <w:tcPr>
            <w:tcW w:w="2366" w:type="dxa"/>
            <w:noWrap/>
            <w:hideMark/>
          </w:tcPr>
          <w:p w14:paraId="6F657E07" w14:textId="77777777" w:rsidR="00A9289F" w:rsidRPr="00704BD2" w:rsidRDefault="00A9289F" w:rsidP="00A9289F">
            <w:pPr>
              <w:jc w:val="center"/>
              <w:rPr>
                <w:rFonts w:ascii="Arial" w:hAnsi="Arial" w:cs="Arial"/>
                <w:sz w:val="18"/>
                <w:szCs w:val="18"/>
                <w:lang w:val="en-GB"/>
              </w:rPr>
            </w:pPr>
            <w:r w:rsidRPr="00704BD2">
              <w:rPr>
                <w:rFonts w:ascii="Arial" w:hAnsi="Arial" w:cs="Arial"/>
                <w:sz w:val="18"/>
                <w:szCs w:val="18"/>
                <w:lang w:val="en-GB"/>
              </w:rPr>
              <w:t>Category</w:t>
            </w:r>
          </w:p>
        </w:tc>
        <w:tc>
          <w:tcPr>
            <w:tcW w:w="1080" w:type="dxa"/>
            <w:noWrap/>
            <w:hideMark/>
          </w:tcPr>
          <w:p w14:paraId="23A0B646" w14:textId="7D3B52AB" w:rsidR="00A9289F" w:rsidRPr="00704BD2" w:rsidRDefault="00A9289F" w:rsidP="00685BD5">
            <w:pPr>
              <w:jc w:val="center"/>
              <w:rPr>
                <w:rFonts w:ascii="Arial" w:hAnsi="Arial" w:cs="Arial"/>
                <w:sz w:val="18"/>
                <w:szCs w:val="18"/>
                <w:lang w:val="en-GB"/>
              </w:rPr>
            </w:pPr>
            <w:r w:rsidRPr="00704BD2">
              <w:rPr>
                <w:rFonts w:ascii="Arial" w:hAnsi="Arial" w:cs="Arial"/>
                <w:sz w:val="18"/>
                <w:szCs w:val="18"/>
                <w:lang w:val="en-GB"/>
              </w:rPr>
              <w:t xml:space="preserve">Adoption </w:t>
            </w:r>
            <w:r w:rsidR="0027669F" w:rsidRPr="00704BD2">
              <w:rPr>
                <w:rFonts w:ascii="Arial" w:hAnsi="Arial" w:cs="Arial"/>
                <w:sz w:val="18"/>
                <w:szCs w:val="18"/>
                <w:lang w:val="en-GB"/>
              </w:rPr>
              <w:t>R</w:t>
            </w:r>
            <w:r w:rsidRPr="00704BD2">
              <w:rPr>
                <w:rFonts w:ascii="Arial" w:hAnsi="Arial" w:cs="Arial"/>
                <w:sz w:val="18"/>
                <w:szCs w:val="18"/>
                <w:lang w:val="en-GB"/>
              </w:rPr>
              <w:t>ate</w:t>
            </w:r>
          </w:p>
        </w:tc>
        <w:tc>
          <w:tcPr>
            <w:tcW w:w="2072" w:type="dxa"/>
            <w:noWrap/>
            <w:hideMark/>
          </w:tcPr>
          <w:p w14:paraId="677D6C46" w14:textId="77777777" w:rsidR="00A9289F" w:rsidRPr="00704BD2" w:rsidRDefault="00A9289F" w:rsidP="00A9289F">
            <w:pPr>
              <w:jc w:val="center"/>
              <w:rPr>
                <w:rFonts w:ascii="Arial" w:hAnsi="Arial" w:cs="Arial"/>
                <w:sz w:val="18"/>
                <w:szCs w:val="18"/>
                <w:lang w:val="en-GB"/>
              </w:rPr>
            </w:pPr>
            <w:r w:rsidRPr="00704BD2">
              <w:rPr>
                <w:rFonts w:ascii="Arial" w:hAnsi="Arial" w:cs="Arial"/>
                <w:sz w:val="18"/>
                <w:szCs w:val="18"/>
                <w:lang w:val="en-GB"/>
              </w:rPr>
              <w:t>Category</w:t>
            </w:r>
          </w:p>
        </w:tc>
        <w:tc>
          <w:tcPr>
            <w:tcW w:w="983" w:type="dxa"/>
            <w:noWrap/>
            <w:hideMark/>
          </w:tcPr>
          <w:p w14:paraId="51AFB942" w14:textId="67DF7077" w:rsidR="00A9289F" w:rsidRPr="00704BD2" w:rsidRDefault="00A9289F" w:rsidP="00685BD5">
            <w:pPr>
              <w:jc w:val="center"/>
              <w:rPr>
                <w:rFonts w:ascii="Arial" w:hAnsi="Arial" w:cs="Arial"/>
                <w:sz w:val="18"/>
                <w:szCs w:val="18"/>
                <w:lang w:val="en-GB"/>
              </w:rPr>
            </w:pPr>
            <w:r w:rsidRPr="00704BD2">
              <w:rPr>
                <w:rFonts w:ascii="Arial" w:hAnsi="Arial" w:cs="Arial"/>
                <w:sz w:val="18"/>
                <w:szCs w:val="18"/>
                <w:lang w:val="en-GB"/>
              </w:rPr>
              <w:t xml:space="preserve">Adoption </w:t>
            </w:r>
            <w:r w:rsidR="0027669F" w:rsidRPr="00704BD2">
              <w:rPr>
                <w:rFonts w:ascii="Arial" w:hAnsi="Arial" w:cs="Arial"/>
                <w:sz w:val="18"/>
                <w:szCs w:val="18"/>
                <w:lang w:val="en-GB"/>
              </w:rPr>
              <w:t>R</w:t>
            </w:r>
            <w:r w:rsidRPr="00704BD2">
              <w:rPr>
                <w:rFonts w:ascii="Arial" w:hAnsi="Arial" w:cs="Arial"/>
                <w:sz w:val="18"/>
                <w:szCs w:val="18"/>
                <w:lang w:val="en-GB"/>
              </w:rPr>
              <w:t>ate</w:t>
            </w:r>
          </w:p>
        </w:tc>
      </w:tr>
      <w:tr w:rsidR="00A9289F" w:rsidRPr="00F83849" w14:paraId="3FB0B651" w14:textId="77777777" w:rsidTr="00B414DA">
        <w:trPr>
          <w:trHeight w:val="450"/>
          <w:tblHeader/>
        </w:trPr>
        <w:tc>
          <w:tcPr>
            <w:tcW w:w="1923" w:type="dxa"/>
            <w:noWrap/>
            <w:hideMark/>
          </w:tcPr>
          <w:p w14:paraId="70C17616" w14:textId="77777777" w:rsidR="00A9289F" w:rsidRPr="00704BD2" w:rsidRDefault="00A9289F" w:rsidP="00A9289F">
            <w:pPr>
              <w:rPr>
                <w:rFonts w:ascii="Arial" w:hAnsi="Arial" w:cs="Arial"/>
                <w:sz w:val="18"/>
                <w:szCs w:val="18"/>
                <w:lang w:val="en-GB"/>
              </w:rPr>
            </w:pPr>
            <w:r w:rsidRPr="00704BD2">
              <w:rPr>
                <w:rFonts w:ascii="Arial" w:hAnsi="Arial" w:cs="Arial"/>
                <w:b/>
                <w:bCs/>
                <w:sz w:val="18"/>
                <w:szCs w:val="18"/>
                <w:lang w:val="en-GB"/>
              </w:rPr>
              <w:t xml:space="preserve">1. </w:t>
            </w:r>
            <w:r w:rsidRPr="00704BD2">
              <w:rPr>
                <w:rFonts w:ascii="Arial" w:hAnsi="Arial" w:cs="Arial"/>
                <w:sz w:val="18"/>
                <w:szCs w:val="18"/>
                <w:lang w:val="en-GB"/>
              </w:rPr>
              <w:t>Money Transfers/</w:t>
            </w:r>
          </w:p>
          <w:p w14:paraId="3757D59E" w14:textId="1A23F6D8" w:rsidR="00A9289F" w:rsidRPr="00704BD2" w:rsidRDefault="00A9289F" w:rsidP="00A9289F">
            <w:pPr>
              <w:rPr>
                <w:rFonts w:ascii="Arial" w:hAnsi="Arial" w:cs="Arial"/>
                <w:sz w:val="18"/>
                <w:szCs w:val="18"/>
                <w:lang w:val="en-GB"/>
              </w:rPr>
            </w:pPr>
            <w:r w:rsidRPr="00704BD2">
              <w:rPr>
                <w:rFonts w:ascii="Arial" w:hAnsi="Arial" w:cs="Arial"/>
                <w:sz w:val="18"/>
                <w:szCs w:val="18"/>
                <w:lang w:val="en-GB"/>
              </w:rPr>
              <w:t>Payments</w:t>
            </w:r>
          </w:p>
        </w:tc>
        <w:tc>
          <w:tcPr>
            <w:tcW w:w="926" w:type="dxa"/>
            <w:noWrap/>
            <w:hideMark/>
          </w:tcPr>
          <w:p w14:paraId="3FAADAC0" w14:textId="77777777" w:rsidR="00A9289F" w:rsidRPr="00704BD2" w:rsidRDefault="00A9289F" w:rsidP="00A9289F">
            <w:pPr>
              <w:jc w:val="center"/>
              <w:rPr>
                <w:rFonts w:ascii="Arial" w:hAnsi="Arial" w:cs="Arial"/>
                <w:sz w:val="18"/>
                <w:szCs w:val="18"/>
                <w:lang w:val="en-GB"/>
              </w:rPr>
            </w:pPr>
            <w:r w:rsidRPr="00704BD2">
              <w:rPr>
                <w:rFonts w:ascii="Arial" w:hAnsi="Arial" w:cs="Arial"/>
                <w:sz w:val="18"/>
                <w:szCs w:val="18"/>
                <w:lang w:val="en-GB"/>
              </w:rPr>
              <w:t>18%</w:t>
            </w:r>
          </w:p>
        </w:tc>
        <w:tc>
          <w:tcPr>
            <w:tcW w:w="2366" w:type="dxa"/>
            <w:noWrap/>
            <w:hideMark/>
          </w:tcPr>
          <w:p w14:paraId="1896D51D" w14:textId="77777777" w:rsidR="00A9289F" w:rsidRPr="00704BD2" w:rsidRDefault="00A9289F" w:rsidP="00A9289F">
            <w:pPr>
              <w:rPr>
                <w:rFonts w:ascii="Arial" w:hAnsi="Arial" w:cs="Arial"/>
                <w:sz w:val="18"/>
                <w:szCs w:val="18"/>
                <w:lang w:val="en-GB"/>
              </w:rPr>
            </w:pPr>
            <w:r w:rsidRPr="00704BD2">
              <w:rPr>
                <w:rFonts w:ascii="Arial" w:hAnsi="Arial" w:cs="Arial"/>
                <w:b/>
                <w:bCs/>
                <w:sz w:val="18"/>
                <w:szCs w:val="18"/>
                <w:lang w:val="en-GB"/>
              </w:rPr>
              <w:t xml:space="preserve">1. </w:t>
            </w:r>
            <w:r w:rsidRPr="00704BD2">
              <w:rPr>
                <w:rFonts w:ascii="Arial" w:hAnsi="Arial" w:cs="Arial"/>
                <w:sz w:val="18"/>
                <w:szCs w:val="18"/>
                <w:lang w:val="en-GB"/>
              </w:rPr>
              <w:t>Money Transfers/Payments</w:t>
            </w:r>
          </w:p>
        </w:tc>
        <w:tc>
          <w:tcPr>
            <w:tcW w:w="1080" w:type="dxa"/>
            <w:noWrap/>
            <w:hideMark/>
          </w:tcPr>
          <w:p w14:paraId="6D7A7972" w14:textId="77777777" w:rsidR="00A9289F" w:rsidRPr="00704BD2" w:rsidRDefault="00A9289F" w:rsidP="00A9289F">
            <w:pPr>
              <w:jc w:val="center"/>
              <w:rPr>
                <w:rFonts w:ascii="Arial" w:hAnsi="Arial" w:cs="Arial"/>
                <w:sz w:val="18"/>
                <w:szCs w:val="18"/>
                <w:lang w:val="en-GB"/>
              </w:rPr>
            </w:pPr>
            <w:r w:rsidRPr="00704BD2">
              <w:rPr>
                <w:rFonts w:ascii="Arial" w:hAnsi="Arial" w:cs="Arial"/>
                <w:sz w:val="18"/>
                <w:szCs w:val="18"/>
                <w:lang w:val="en-GB"/>
              </w:rPr>
              <w:t>50%</w:t>
            </w:r>
          </w:p>
        </w:tc>
        <w:tc>
          <w:tcPr>
            <w:tcW w:w="2072" w:type="dxa"/>
            <w:noWrap/>
            <w:hideMark/>
          </w:tcPr>
          <w:p w14:paraId="0E92084C" w14:textId="77777777" w:rsidR="00A9289F" w:rsidRPr="00704BD2" w:rsidRDefault="00A9289F" w:rsidP="00A9289F">
            <w:pPr>
              <w:rPr>
                <w:rFonts w:ascii="Arial" w:hAnsi="Arial" w:cs="Arial"/>
                <w:sz w:val="18"/>
                <w:szCs w:val="18"/>
                <w:lang w:val="en-GB"/>
              </w:rPr>
            </w:pPr>
            <w:r w:rsidRPr="00704BD2">
              <w:rPr>
                <w:rFonts w:ascii="Arial" w:hAnsi="Arial" w:cs="Arial"/>
                <w:b/>
                <w:bCs/>
                <w:sz w:val="18"/>
                <w:szCs w:val="18"/>
                <w:lang w:val="en-GB"/>
              </w:rPr>
              <w:t xml:space="preserve">1. </w:t>
            </w:r>
            <w:r w:rsidRPr="00704BD2">
              <w:rPr>
                <w:rFonts w:ascii="Arial" w:hAnsi="Arial" w:cs="Arial"/>
                <w:sz w:val="18"/>
                <w:szCs w:val="18"/>
                <w:lang w:val="en-GB"/>
              </w:rPr>
              <w:t>Money Transfers/Payments</w:t>
            </w:r>
          </w:p>
        </w:tc>
        <w:tc>
          <w:tcPr>
            <w:tcW w:w="983" w:type="dxa"/>
            <w:noWrap/>
            <w:hideMark/>
          </w:tcPr>
          <w:p w14:paraId="13550515" w14:textId="77777777" w:rsidR="00A9289F" w:rsidRPr="00704BD2" w:rsidRDefault="00A9289F" w:rsidP="00A9289F">
            <w:pPr>
              <w:jc w:val="center"/>
              <w:rPr>
                <w:rFonts w:ascii="Arial" w:hAnsi="Arial" w:cs="Arial"/>
                <w:sz w:val="18"/>
                <w:szCs w:val="18"/>
                <w:lang w:val="en-GB"/>
              </w:rPr>
            </w:pPr>
            <w:r w:rsidRPr="00704BD2">
              <w:rPr>
                <w:rFonts w:ascii="Arial" w:hAnsi="Arial" w:cs="Arial"/>
                <w:sz w:val="18"/>
                <w:szCs w:val="18"/>
                <w:lang w:val="en-GB"/>
              </w:rPr>
              <w:t>75%</w:t>
            </w:r>
          </w:p>
        </w:tc>
      </w:tr>
      <w:tr w:rsidR="00A9289F" w:rsidRPr="00F83849" w14:paraId="46B3E14A" w14:textId="77777777" w:rsidTr="00B414DA">
        <w:trPr>
          <w:trHeight w:val="450"/>
          <w:tblHeader/>
        </w:trPr>
        <w:tc>
          <w:tcPr>
            <w:tcW w:w="1923" w:type="dxa"/>
            <w:noWrap/>
            <w:hideMark/>
          </w:tcPr>
          <w:p w14:paraId="794F2A66" w14:textId="77777777" w:rsidR="00A9289F" w:rsidRPr="00704BD2" w:rsidRDefault="00A9289F" w:rsidP="00A9289F">
            <w:pPr>
              <w:rPr>
                <w:rFonts w:ascii="Arial" w:hAnsi="Arial" w:cs="Arial"/>
                <w:sz w:val="18"/>
                <w:szCs w:val="18"/>
                <w:lang w:val="en-GB"/>
              </w:rPr>
            </w:pPr>
            <w:r w:rsidRPr="00704BD2">
              <w:rPr>
                <w:rFonts w:ascii="Arial" w:hAnsi="Arial" w:cs="Arial"/>
                <w:b/>
                <w:bCs/>
                <w:sz w:val="18"/>
                <w:szCs w:val="18"/>
                <w:lang w:val="en-GB"/>
              </w:rPr>
              <w:t xml:space="preserve">2. </w:t>
            </w:r>
            <w:r w:rsidRPr="00704BD2">
              <w:rPr>
                <w:rFonts w:ascii="Arial" w:hAnsi="Arial" w:cs="Arial"/>
                <w:sz w:val="18"/>
                <w:szCs w:val="18"/>
                <w:lang w:val="en-GB"/>
              </w:rPr>
              <w:t>Savings &amp; Investments</w:t>
            </w:r>
          </w:p>
        </w:tc>
        <w:tc>
          <w:tcPr>
            <w:tcW w:w="926" w:type="dxa"/>
            <w:noWrap/>
            <w:hideMark/>
          </w:tcPr>
          <w:p w14:paraId="6D1A7740" w14:textId="77777777" w:rsidR="00A9289F" w:rsidRPr="00704BD2" w:rsidRDefault="00A9289F" w:rsidP="00A9289F">
            <w:pPr>
              <w:jc w:val="center"/>
              <w:rPr>
                <w:rFonts w:ascii="Arial" w:hAnsi="Arial" w:cs="Arial"/>
                <w:sz w:val="18"/>
                <w:szCs w:val="18"/>
                <w:lang w:val="en-GB"/>
              </w:rPr>
            </w:pPr>
            <w:r w:rsidRPr="00704BD2">
              <w:rPr>
                <w:rFonts w:ascii="Arial" w:hAnsi="Arial" w:cs="Arial"/>
                <w:sz w:val="18"/>
                <w:szCs w:val="18"/>
                <w:lang w:val="en-GB"/>
              </w:rPr>
              <w:t>17%</w:t>
            </w:r>
          </w:p>
        </w:tc>
        <w:tc>
          <w:tcPr>
            <w:tcW w:w="2366" w:type="dxa"/>
            <w:noWrap/>
            <w:hideMark/>
          </w:tcPr>
          <w:p w14:paraId="2B5DB72E" w14:textId="77777777" w:rsidR="00A9289F" w:rsidRPr="00704BD2" w:rsidRDefault="00A9289F" w:rsidP="00A9289F">
            <w:pPr>
              <w:rPr>
                <w:rFonts w:ascii="Arial" w:hAnsi="Arial" w:cs="Arial"/>
                <w:sz w:val="18"/>
                <w:szCs w:val="18"/>
                <w:lang w:val="en-GB"/>
              </w:rPr>
            </w:pPr>
            <w:r w:rsidRPr="00704BD2">
              <w:rPr>
                <w:rFonts w:ascii="Arial" w:hAnsi="Arial" w:cs="Arial"/>
                <w:b/>
                <w:bCs/>
                <w:sz w:val="18"/>
                <w:szCs w:val="18"/>
                <w:lang w:val="en-GB"/>
              </w:rPr>
              <w:t xml:space="preserve">2. </w:t>
            </w:r>
            <w:r w:rsidRPr="00704BD2">
              <w:rPr>
                <w:rFonts w:ascii="Arial" w:hAnsi="Arial" w:cs="Arial"/>
                <w:sz w:val="18"/>
                <w:szCs w:val="18"/>
                <w:lang w:val="en-GB"/>
              </w:rPr>
              <w:t>Insurance</w:t>
            </w:r>
          </w:p>
        </w:tc>
        <w:tc>
          <w:tcPr>
            <w:tcW w:w="1080" w:type="dxa"/>
            <w:noWrap/>
            <w:hideMark/>
          </w:tcPr>
          <w:p w14:paraId="45492CF6" w14:textId="77777777" w:rsidR="00A9289F" w:rsidRPr="00704BD2" w:rsidRDefault="00A9289F" w:rsidP="00A9289F">
            <w:pPr>
              <w:jc w:val="center"/>
              <w:rPr>
                <w:rFonts w:ascii="Arial" w:hAnsi="Arial" w:cs="Arial"/>
                <w:sz w:val="18"/>
                <w:szCs w:val="18"/>
                <w:lang w:val="en-GB"/>
              </w:rPr>
            </w:pPr>
            <w:r w:rsidRPr="00704BD2">
              <w:rPr>
                <w:rFonts w:ascii="Arial" w:hAnsi="Arial" w:cs="Arial"/>
                <w:sz w:val="18"/>
                <w:szCs w:val="18"/>
                <w:lang w:val="en-GB"/>
              </w:rPr>
              <w:t>24%</w:t>
            </w:r>
          </w:p>
        </w:tc>
        <w:tc>
          <w:tcPr>
            <w:tcW w:w="2072" w:type="dxa"/>
            <w:noWrap/>
            <w:hideMark/>
          </w:tcPr>
          <w:p w14:paraId="234EBDA0" w14:textId="77777777" w:rsidR="00A9289F" w:rsidRPr="00704BD2" w:rsidRDefault="00A9289F" w:rsidP="00A9289F">
            <w:pPr>
              <w:rPr>
                <w:rFonts w:ascii="Arial" w:hAnsi="Arial" w:cs="Arial"/>
                <w:sz w:val="18"/>
                <w:szCs w:val="18"/>
                <w:lang w:val="en-GB"/>
              </w:rPr>
            </w:pPr>
            <w:r w:rsidRPr="00704BD2">
              <w:rPr>
                <w:rFonts w:ascii="Arial" w:hAnsi="Arial" w:cs="Arial"/>
                <w:b/>
                <w:bCs/>
                <w:sz w:val="18"/>
                <w:szCs w:val="18"/>
                <w:lang w:val="en-GB"/>
              </w:rPr>
              <w:t xml:space="preserve">2. </w:t>
            </w:r>
            <w:r w:rsidRPr="00704BD2">
              <w:rPr>
                <w:rFonts w:ascii="Arial" w:hAnsi="Arial" w:cs="Arial"/>
                <w:sz w:val="18"/>
                <w:szCs w:val="18"/>
                <w:lang w:val="en-GB"/>
              </w:rPr>
              <w:t>Insurance</w:t>
            </w:r>
          </w:p>
        </w:tc>
        <w:tc>
          <w:tcPr>
            <w:tcW w:w="983" w:type="dxa"/>
            <w:noWrap/>
            <w:hideMark/>
          </w:tcPr>
          <w:p w14:paraId="1ECD57F4" w14:textId="77777777" w:rsidR="00A9289F" w:rsidRPr="00704BD2" w:rsidRDefault="00A9289F" w:rsidP="00A9289F">
            <w:pPr>
              <w:jc w:val="center"/>
              <w:rPr>
                <w:rFonts w:ascii="Arial" w:hAnsi="Arial" w:cs="Arial"/>
                <w:sz w:val="18"/>
                <w:szCs w:val="18"/>
                <w:lang w:val="en-GB"/>
              </w:rPr>
            </w:pPr>
            <w:r w:rsidRPr="00704BD2">
              <w:rPr>
                <w:rFonts w:ascii="Arial" w:hAnsi="Arial" w:cs="Arial"/>
                <w:sz w:val="18"/>
                <w:szCs w:val="18"/>
                <w:lang w:val="en-GB"/>
              </w:rPr>
              <w:t>48%</w:t>
            </w:r>
          </w:p>
        </w:tc>
      </w:tr>
      <w:tr w:rsidR="00A9289F" w:rsidRPr="00F83849" w14:paraId="7020D627" w14:textId="77777777" w:rsidTr="00B414DA">
        <w:trPr>
          <w:trHeight w:val="450"/>
          <w:tblHeader/>
        </w:trPr>
        <w:tc>
          <w:tcPr>
            <w:tcW w:w="1923" w:type="dxa"/>
            <w:noWrap/>
            <w:hideMark/>
          </w:tcPr>
          <w:p w14:paraId="7DD6AFD1" w14:textId="77777777" w:rsidR="00A9289F" w:rsidRPr="00704BD2" w:rsidRDefault="00A9289F" w:rsidP="00A9289F">
            <w:pPr>
              <w:rPr>
                <w:rFonts w:ascii="Arial" w:hAnsi="Arial" w:cs="Arial"/>
                <w:sz w:val="18"/>
                <w:szCs w:val="18"/>
                <w:lang w:val="en-GB"/>
              </w:rPr>
            </w:pPr>
            <w:r w:rsidRPr="00704BD2">
              <w:rPr>
                <w:rFonts w:ascii="Arial" w:hAnsi="Arial" w:cs="Arial"/>
                <w:b/>
                <w:bCs/>
                <w:sz w:val="18"/>
                <w:szCs w:val="18"/>
                <w:lang w:val="en-GB"/>
              </w:rPr>
              <w:t xml:space="preserve">3. </w:t>
            </w:r>
            <w:r w:rsidRPr="00704BD2">
              <w:rPr>
                <w:rFonts w:ascii="Arial" w:hAnsi="Arial" w:cs="Arial"/>
                <w:sz w:val="18"/>
                <w:szCs w:val="18"/>
                <w:lang w:val="en-GB"/>
              </w:rPr>
              <w:t>Budgeting/Financial Planning</w:t>
            </w:r>
          </w:p>
        </w:tc>
        <w:tc>
          <w:tcPr>
            <w:tcW w:w="926" w:type="dxa"/>
            <w:noWrap/>
            <w:hideMark/>
          </w:tcPr>
          <w:p w14:paraId="3023E042" w14:textId="77777777" w:rsidR="00A9289F" w:rsidRPr="00704BD2" w:rsidRDefault="00A9289F" w:rsidP="00A9289F">
            <w:pPr>
              <w:jc w:val="center"/>
              <w:rPr>
                <w:rFonts w:ascii="Arial" w:hAnsi="Arial" w:cs="Arial"/>
                <w:sz w:val="18"/>
                <w:szCs w:val="18"/>
                <w:lang w:val="en-GB"/>
              </w:rPr>
            </w:pPr>
            <w:r w:rsidRPr="00704BD2">
              <w:rPr>
                <w:rFonts w:ascii="Arial" w:hAnsi="Arial" w:cs="Arial"/>
                <w:sz w:val="18"/>
                <w:szCs w:val="18"/>
                <w:lang w:val="en-GB"/>
              </w:rPr>
              <w:t>8%</w:t>
            </w:r>
          </w:p>
        </w:tc>
        <w:tc>
          <w:tcPr>
            <w:tcW w:w="2366" w:type="dxa"/>
            <w:noWrap/>
            <w:hideMark/>
          </w:tcPr>
          <w:p w14:paraId="6B5F1D37" w14:textId="77777777" w:rsidR="00A9289F" w:rsidRPr="00704BD2" w:rsidRDefault="00A9289F" w:rsidP="00A9289F">
            <w:pPr>
              <w:rPr>
                <w:rFonts w:ascii="Arial" w:hAnsi="Arial" w:cs="Arial"/>
                <w:sz w:val="18"/>
                <w:szCs w:val="18"/>
                <w:lang w:val="en-GB"/>
              </w:rPr>
            </w:pPr>
            <w:r w:rsidRPr="00704BD2">
              <w:rPr>
                <w:rFonts w:ascii="Arial" w:hAnsi="Arial" w:cs="Arial"/>
                <w:b/>
                <w:bCs/>
                <w:sz w:val="18"/>
                <w:szCs w:val="18"/>
                <w:lang w:val="en-GB"/>
              </w:rPr>
              <w:t xml:space="preserve">3. </w:t>
            </w:r>
            <w:r w:rsidRPr="00704BD2">
              <w:rPr>
                <w:rFonts w:ascii="Arial" w:hAnsi="Arial" w:cs="Arial"/>
                <w:sz w:val="18"/>
                <w:szCs w:val="18"/>
                <w:lang w:val="en-GB"/>
              </w:rPr>
              <w:t>Savings &amp; Investments</w:t>
            </w:r>
          </w:p>
        </w:tc>
        <w:tc>
          <w:tcPr>
            <w:tcW w:w="1080" w:type="dxa"/>
            <w:noWrap/>
            <w:hideMark/>
          </w:tcPr>
          <w:p w14:paraId="3AF0ADA2" w14:textId="77777777" w:rsidR="00A9289F" w:rsidRPr="00704BD2" w:rsidRDefault="00A9289F" w:rsidP="00A9289F">
            <w:pPr>
              <w:jc w:val="center"/>
              <w:rPr>
                <w:rFonts w:ascii="Arial" w:hAnsi="Arial" w:cs="Arial"/>
                <w:sz w:val="18"/>
                <w:szCs w:val="18"/>
                <w:lang w:val="en-GB"/>
              </w:rPr>
            </w:pPr>
            <w:r w:rsidRPr="00704BD2">
              <w:rPr>
                <w:rFonts w:ascii="Arial" w:hAnsi="Arial" w:cs="Arial"/>
                <w:sz w:val="18"/>
                <w:szCs w:val="18"/>
                <w:lang w:val="en-GB"/>
              </w:rPr>
              <w:t>20%</w:t>
            </w:r>
          </w:p>
        </w:tc>
        <w:tc>
          <w:tcPr>
            <w:tcW w:w="2072" w:type="dxa"/>
            <w:noWrap/>
            <w:hideMark/>
          </w:tcPr>
          <w:p w14:paraId="3E41F3FF" w14:textId="77777777" w:rsidR="00A9289F" w:rsidRPr="00704BD2" w:rsidRDefault="00A9289F" w:rsidP="00A9289F">
            <w:pPr>
              <w:rPr>
                <w:rFonts w:ascii="Arial" w:hAnsi="Arial" w:cs="Arial"/>
                <w:sz w:val="18"/>
                <w:szCs w:val="18"/>
                <w:lang w:val="en-GB"/>
              </w:rPr>
            </w:pPr>
            <w:r w:rsidRPr="00704BD2">
              <w:rPr>
                <w:rFonts w:ascii="Arial" w:hAnsi="Arial" w:cs="Arial"/>
                <w:b/>
                <w:bCs/>
                <w:sz w:val="18"/>
                <w:szCs w:val="18"/>
                <w:lang w:val="en-GB"/>
              </w:rPr>
              <w:t xml:space="preserve">3. </w:t>
            </w:r>
            <w:r w:rsidRPr="00704BD2">
              <w:rPr>
                <w:rFonts w:ascii="Arial" w:hAnsi="Arial" w:cs="Arial"/>
                <w:sz w:val="18"/>
                <w:szCs w:val="18"/>
                <w:lang w:val="en-GB"/>
              </w:rPr>
              <w:t>Savings &amp; Investments</w:t>
            </w:r>
          </w:p>
        </w:tc>
        <w:tc>
          <w:tcPr>
            <w:tcW w:w="983" w:type="dxa"/>
            <w:noWrap/>
            <w:hideMark/>
          </w:tcPr>
          <w:p w14:paraId="033A56CE" w14:textId="77777777" w:rsidR="00A9289F" w:rsidRPr="00704BD2" w:rsidRDefault="00A9289F" w:rsidP="00A9289F">
            <w:pPr>
              <w:jc w:val="center"/>
              <w:rPr>
                <w:rFonts w:ascii="Arial" w:hAnsi="Arial" w:cs="Arial"/>
                <w:sz w:val="18"/>
                <w:szCs w:val="18"/>
                <w:lang w:val="en-GB"/>
              </w:rPr>
            </w:pPr>
            <w:r w:rsidRPr="00704BD2">
              <w:rPr>
                <w:rFonts w:ascii="Arial" w:hAnsi="Arial" w:cs="Arial"/>
                <w:sz w:val="18"/>
                <w:szCs w:val="18"/>
                <w:lang w:val="en-GB"/>
              </w:rPr>
              <w:t>34%</w:t>
            </w:r>
          </w:p>
        </w:tc>
      </w:tr>
      <w:tr w:rsidR="00A9289F" w:rsidRPr="00F83849" w14:paraId="1EB92328" w14:textId="77777777" w:rsidTr="00B414DA">
        <w:trPr>
          <w:trHeight w:val="450"/>
          <w:tblHeader/>
        </w:trPr>
        <w:tc>
          <w:tcPr>
            <w:tcW w:w="1923" w:type="dxa"/>
            <w:noWrap/>
            <w:hideMark/>
          </w:tcPr>
          <w:p w14:paraId="36C494A6" w14:textId="77777777" w:rsidR="00A9289F" w:rsidRPr="00704BD2" w:rsidRDefault="00A9289F" w:rsidP="00A9289F">
            <w:pPr>
              <w:rPr>
                <w:rFonts w:ascii="Arial" w:hAnsi="Arial" w:cs="Arial"/>
                <w:sz w:val="18"/>
                <w:szCs w:val="18"/>
                <w:lang w:val="en-GB"/>
              </w:rPr>
            </w:pPr>
            <w:r w:rsidRPr="00704BD2">
              <w:rPr>
                <w:rFonts w:ascii="Arial" w:hAnsi="Arial" w:cs="Arial"/>
                <w:b/>
                <w:bCs/>
                <w:sz w:val="18"/>
                <w:szCs w:val="18"/>
                <w:lang w:val="en-GB"/>
              </w:rPr>
              <w:t>4.</w:t>
            </w:r>
            <w:r w:rsidRPr="00704BD2">
              <w:rPr>
                <w:rFonts w:ascii="Arial" w:hAnsi="Arial" w:cs="Arial"/>
                <w:sz w:val="18"/>
                <w:szCs w:val="18"/>
                <w:lang w:val="en-GB"/>
              </w:rPr>
              <w:t xml:space="preserve"> Insurance</w:t>
            </w:r>
          </w:p>
        </w:tc>
        <w:tc>
          <w:tcPr>
            <w:tcW w:w="926" w:type="dxa"/>
            <w:noWrap/>
            <w:hideMark/>
          </w:tcPr>
          <w:p w14:paraId="2E87863D" w14:textId="77777777" w:rsidR="00A9289F" w:rsidRPr="00704BD2" w:rsidRDefault="00A9289F" w:rsidP="00A9289F">
            <w:pPr>
              <w:jc w:val="center"/>
              <w:rPr>
                <w:rFonts w:ascii="Arial" w:hAnsi="Arial" w:cs="Arial"/>
                <w:sz w:val="18"/>
                <w:szCs w:val="18"/>
                <w:lang w:val="en-GB"/>
              </w:rPr>
            </w:pPr>
            <w:r w:rsidRPr="00704BD2">
              <w:rPr>
                <w:rFonts w:ascii="Arial" w:hAnsi="Arial" w:cs="Arial"/>
                <w:sz w:val="18"/>
                <w:szCs w:val="18"/>
                <w:lang w:val="en-GB"/>
              </w:rPr>
              <w:t>8%</w:t>
            </w:r>
          </w:p>
        </w:tc>
        <w:tc>
          <w:tcPr>
            <w:tcW w:w="2366" w:type="dxa"/>
            <w:noWrap/>
            <w:hideMark/>
          </w:tcPr>
          <w:p w14:paraId="20359526" w14:textId="77777777" w:rsidR="00A9289F" w:rsidRPr="00704BD2" w:rsidRDefault="00A9289F" w:rsidP="00A9289F">
            <w:pPr>
              <w:rPr>
                <w:rFonts w:ascii="Arial" w:hAnsi="Arial" w:cs="Arial"/>
                <w:sz w:val="18"/>
                <w:szCs w:val="18"/>
                <w:lang w:val="en-GB"/>
              </w:rPr>
            </w:pPr>
            <w:r w:rsidRPr="00704BD2">
              <w:rPr>
                <w:rFonts w:ascii="Arial" w:hAnsi="Arial" w:cs="Arial"/>
                <w:b/>
                <w:bCs/>
                <w:sz w:val="18"/>
                <w:szCs w:val="18"/>
                <w:lang w:val="en-GB"/>
              </w:rPr>
              <w:t>4.</w:t>
            </w:r>
            <w:r w:rsidRPr="00704BD2">
              <w:rPr>
                <w:rFonts w:ascii="Arial" w:hAnsi="Arial" w:cs="Arial"/>
                <w:sz w:val="18"/>
                <w:szCs w:val="18"/>
                <w:lang w:val="en-GB"/>
              </w:rPr>
              <w:t xml:space="preserve"> Budgeting/Financial Planning</w:t>
            </w:r>
          </w:p>
        </w:tc>
        <w:tc>
          <w:tcPr>
            <w:tcW w:w="1080" w:type="dxa"/>
            <w:noWrap/>
            <w:hideMark/>
          </w:tcPr>
          <w:p w14:paraId="42A7951E" w14:textId="77777777" w:rsidR="00A9289F" w:rsidRPr="00704BD2" w:rsidRDefault="00A9289F" w:rsidP="00A9289F">
            <w:pPr>
              <w:jc w:val="center"/>
              <w:rPr>
                <w:rFonts w:ascii="Arial" w:hAnsi="Arial" w:cs="Arial"/>
                <w:sz w:val="18"/>
                <w:szCs w:val="18"/>
                <w:lang w:val="en-GB"/>
              </w:rPr>
            </w:pPr>
            <w:r w:rsidRPr="00704BD2">
              <w:rPr>
                <w:rFonts w:ascii="Arial" w:hAnsi="Arial" w:cs="Arial"/>
                <w:sz w:val="18"/>
                <w:szCs w:val="18"/>
                <w:lang w:val="en-GB"/>
              </w:rPr>
              <w:t>10%</w:t>
            </w:r>
          </w:p>
        </w:tc>
        <w:tc>
          <w:tcPr>
            <w:tcW w:w="2072" w:type="dxa"/>
            <w:noWrap/>
            <w:hideMark/>
          </w:tcPr>
          <w:p w14:paraId="32107039" w14:textId="77777777" w:rsidR="00A9289F" w:rsidRPr="00704BD2" w:rsidRDefault="00A9289F" w:rsidP="00A9289F">
            <w:pPr>
              <w:rPr>
                <w:rFonts w:ascii="Arial" w:hAnsi="Arial" w:cs="Arial"/>
                <w:sz w:val="18"/>
                <w:szCs w:val="18"/>
                <w:lang w:val="en-GB"/>
              </w:rPr>
            </w:pPr>
            <w:r w:rsidRPr="00704BD2">
              <w:rPr>
                <w:rFonts w:ascii="Arial" w:hAnsi="Arial" w:cs="Arial"/>
                <w:b/>
                <w:bCs/>
                <w:sz w:val="18"/>
                <w:szCs w:val="18"/>
                <w:lang w:val="en-GB"/>
              </w:rPr>
              <w:t xml:space="preserve">4. </w:t>
            </w:r>
            <w:r w:rsidRPr="00704BD2">
              <w:rPr>
                <w:rFonts w:ascii="Arial" w:hAnsi="Arial" w:cs="Arial"/>
                <w:sz w:val="18"/>
                <w:szCs w:val="18"/>
                <w:lang w:val="en-GB"/>
              </w:rPr>
              <w:t>Budgeting/Financial Planning</w:t>
            </w:r>
          </w:p>
        </w:tc>
        <w:tc>
          <w:tcPr>
            <w:tcW w:w="983" w:type="dxa"/>
            <w:noWrap/>
            <w:hideMark/>
          </w:tcPr>
          <w:p w14:paraId="3BAE09C2" w14:textId="77777777" w:rsidR="00A9289F" w:rsidRPr="00704BD2" w:rsidRDefault="00A9289F" w:rsidP="00A9289F">
            <w:pPr>
              <w:jc w:val="center"/>
              <w:rPr>
                <w:rFonts w:ascii="Arial" w:hAnsi="Arial" w:cs="Arial"/>
                <w:sz w:val="18"/>
                <w:szCs w:val="18"/>
                <w:lang w:val="en-GB"/>
              </w:rPr>
            </w:pPr>
            <w:r w:rsidRPr="00704BD2">
              <w:rPr>
                <w:rFonts w:ascii="Arial" w:hAnsi="Arial" w:cs="Arial"/>
                <w:sz w:val="18"/>
                <w:szCs w:val="18"/>
                <w:lang w:val="en-GB"/>
              </w:rPr>
              <w:t>29%</w:t>
            </w:r>
          </w:p>
        </w:tc>
      </w:tr>
      <w:tr w:rsidR="00A9289F" w:rsidRPr="00F83849" w14:paraId="3C468D96" w14:textId="77777777" w:rsidTr="00B414DA">
        <w:trPr>
          <w:trHeight w:val="70"/>
          <w:tblHeader/>
        </w:trPr>
        <w:tc>
          <w:tcPr>
            <w:tcW w:w="1923" w:type="dxa"/>
            <w:noWrap/>
            <w:hideMark/>
          </w:tcPr>
          <w:p w14:paraId="3F867A8A" w14:textId="77777777" w:rsidR="00A9289F" w:rsidRPr="00704BD2" w:rsidRDefault="00A9289F" w:rsidP="00A9289F">
            <w:pPr>
              <w:rPr>
                <w:rFonts w:ascii="Arial" w:hAnsi="Arial" w:cs="Arial"/>
                <w:sz w:val="18"/>
                <w:szCs w:val="18"/>
                <w:lang w:val="en-GB"/>
              </w:rPr>
            </w:pPr>
            <w:r w:rsidRPr="00704BD2">
              <w:rPr>
                <w:rFonts w:ascii="Arial" w:hAnsi="Arial" w:cs="Arial"/>
                <w:b/>
                <w:bCs/>
                <w:sz w:val="18"/>
                <w:szCs w:val="18"/>
                <w:lang w:val="en-GB"/>
              </w:rPr>
              <w:t>5.</w:t>
            </w:r>
            <w:r w:rsidRPr="00704BD2">
              <w:rPr>
                <w:rFonts w:ascii="Arial" w:hAnsi="Arial" w:cs="Arial"/>
                <w:sz w:val="18"/>
                <w:szCs w:val="18"/>
                <w:lang w:val="en-GB"/>
              </w:rPr>
              <w:t xml:space="preserve"> Borrowing</w:t>
            </w:r>
          </w:p>
        </w:tc>
        <w:tc>
          <w:tcPr>
            <w:tcW w:w="926" w:type="dxa"/>
            <w:noWrap/>
            <w:hideMark/>
          </w:tcPr>
          <w:p w14:paraId="2517E523" w14:textId="77777777" w:rsidR="00A9289F" w:rsidRPr="00704BD2" w:rsidRDefault="00A9289F" w:rsidP="00A9289F">
            <w:pPr>
              <w:jc w:val="center"/>
              <w:rPr>
                <w:rFonts w:ascii="Arial" w:hAnsi="Arial" w:cs="Arial"/>
                <w:sz w:val="18"/>
                <w:szCs w:val="18"/>
                <w:lang w:val="en-GB"/>
              </w:rPr>
            </w:pPr>
            <w:r w:rsidRPr="00704BD2">
              <w:rPr>
                <w:rFonts w:ascii="Arial" w:hAnsi="Arial" w:cs="Arial"/>
                <w:sz w:val="18"/>
                <w:szCs w:val="18"/>
                <w:lang w:val="en-GB"/>
              </w:rPr>
              <w:t>6%</w:t>
            </w:r>
          </w:p>
        </w:tc>
        <w:tc>
          <w:tcPr>
            <w:tcW w:w="2366" w:type="dxa"/>
            <w:noWrap/>
            <w:hideMark/>
          </w:tcPr>
          <w:p w14:paraId="20BE43DD" w14:textId="77777777" w:rsidR="00A9289F" w:rsidRPr="00704BD2" w:rsidRDefault="00A9289F" w:rsidP="00A9289F">
            <w:pPr>
              <w:rPr>
                <w:rFonts w:ascii="Arial" w:hAnsi="Arial" w:cs="Arial"/>
                <w:sz w:val="18"/>
                <w:szCs w:val="18"/>
                <w:lang w:val="en-GB"/>
              </w:rPr>
            </w:pPr>
            <w:r w:rsidRPr="00704BD2">
              <w:rPr>
                <w:rFonts w:ascii="Arial" w:hAnsi="Arial" w:cs="Arial"/>
                <w:b/>
                <w:bCs/>
                <w:sz w:val="18"/>
                <w:szCs w:val="18"/>
                <w:lang w:val="en-GB"/>
              </w:rPr>
              <w:t xml:space="preserve">5. </w:t>
            </w:r>
            <w:r w:rsidRPr="00704BD2">
              <w:rPr>
                <w:rFonts w:ascii="Arial" w:hAnsi="Arial" w:cs="Arial"/>
                <w:sz w:val="18"/>
                <w:szCs w:val="18"/>
                <w:lang w:val="en-GB"/>
              </w:rPr>
              <w:t>Borrowing</w:t>
            </w:r>
          </w:p>
        </w:tc>
        <w:tc>
          <w:tcPr>
            <w:tcW w:w="1080" w:type="dxa"/>
            <w:noWrap/>
            <w:hideMark/>
          </w:tcPr>
          <w:p w14:paraId="3E3E2816" w14:textId="77777777" w:rsidR="00A9289F" w:rsidRPr="00704BD2" w:rsidRDefault="00A9289F" w:rsidP="00A9289F">
            <w:pPr>
              <w:jc w:val="center"/>
              <w:rPr>
                <w:rFonts w:ascii="Arial" w:hAnsi="Arial" w:cs="Arial"/>
                <w:sz w:val="18"/>
                <w:szCs w:val="18"/>
                <w:lang w:val="en-GB"/>
              </w:rPr>
            </w:pPr>
            <w:r w:rsidRPr="00704BD2">
              <w:rPr>
                <w:rFonts w:ascii="Arial" w:hAnsi="Arial" w:cs="Arial"/>
                <w:sz w:val="18"/>
                <w:szCs w:val="18"/>
                <w:lang w:val="en-GB"/>
              </w:rPr>
              <w:t>10%</w:t>
            </w:r>
          </w:p>
        </w:tc>
        <w:tc>
          <w:tcPr>
            <w:tcW w:w="2072" w:type="dxa"/>
            <w:noWrap/>
            <w:hideMark/>
          </w:tcPr>
          <w:p w14:paraId="7194B3AC" w14:textId="77777777" w:rsidR="00A9289F" w:rsidRPr="00704BD2" w:rsidRDefault="00A9289F" w:rsidP="00A9289F">
            <w:pPr>
              <w:rPr>
                <w:rFonts w:ascii="Arial" w:hAnsi="Arial" w:cs="Arial"/>
                <w:sz w:val="18"/>
                <w:szCs w:val="18"/>
                <w:lang w:val="en-GB"/>
              </w:rPr>
            </w:pPr>
            <w:r w:rsidRPr="00704BD2">
              <w:rPr>
                <w:rFonts w:ascii="Arial" w:hAnsi="Arial" w:cs="Arial"/>
                <w:b/>
                <w:bCs/>
                <w:sz w:val="18"/>
                <w:szCs w:val="18"/>
                <w:lang w:val="en-GB"/>
              </w:rPr>
              <w:t xml:space="preserve">5. </w:t>
            </w:r>
            <w:r w:rsidRPr="00704BD2">
              <w:rPr>
                <w:rFonts w:ascii="Arial" w:hAnsi="Arial" w:cs="Arial"/>
                <w:sz w:val="18"/>
                <w:szCs w:val="18"/>
                <w:lang w:val="en-GB"/>
              </w:rPr>
              <w:t>Borrowing</w:t>
            </w:r>
          </w:p>
        </w:tc>
        <w:tc>
          <w:tcPr>
            <w:tcW w:w="983" w:type="dxa"/>
            <w:noWrap/>
            <w:hideMark/>
          </w:tcPr>
          <w:p w14:paraId="70BDCBF6" w14:textId="77777777" w:rsidR="00A9289F" w:rsidRPr="00704BD2" w:rsidRDefault="00A9289F" w:rsidP="00A9289F">
            <w:pPr>
              <w:jc w:val="center"/>
              <w:rPr>
                <w:rFonts w:ascii="Arial" w:hAnsi="Arial" w:cs="Arial"/>
                <w:sz w:val="18"/>
                <w:szCs w:val="18"/>
                <w:lang w:val="en-GB"/>
              </w:rPr>
            </w:pPr>
            <w:r w:rsidRPr="00704BD2">
              <w:rPr>
                <w:rFonts w:ascii="Arial" w:hAnsi="Arial" w:cs="Arial"/>
                <w:sz w:val="18"/>
                <w:szCs w:val="18"/>
                <w:lang w:val="en-GB"/>
              </w:rPr>
              <w:t>27%</w:t>
            </w:r>
          </w:p>
        </w:tc>
      </w:tr>
    </w:tbl>
    <w:p w14:paraId="3ABFDF12" w14:textId="6DDD8735" w:rsidR="00A9289F" w:rsidRPr="00704BD2" w:rsidRDefault="00A9289F" w:rsidP="00A9289F">
      <w:pPr>
        <w:pStyle w:val="Footnote"/>
        <w:rPr>
          <w:lang w:val="en-GB"/>
        </w:rPr>
      </w:pPr>
    </w:p>
    <w:p w14:paraId="6698FC01" w14:textId="39E9D602" w:rsidR="00A9289F" w:rsidRPr="00B414DA" w:rsidRDefault="00A9289F" w:rsidP="00A9289F">
      <w:pPr>
        <w:pStyle w:val="Footnote"/>
        <w:rPr>
          <w:spacing w:val="-4"/>
          <w:lang w:val="en-GB"/>
        </w:rPr>
      </w:pPr>
      <w:r w:rsidRPr="00B414DA">
        <w:rPr>
          <w:spacing w:val="-4"/>
          <w:lang w:val="en-GB"/>
        </w:rPr>
        <w:t xml:space="preserve">Source: </w:t>
      </w:r>
      <w:r w:rsidR="0027669F" w:rsidRPr="00B414DA">
        <w:rPr>
          <w:spacing w:val="-4"/>
          <w:lang w:val="en-GB"/>
        </w:rPr>
        <w:t>EY</w:t>
      </w:r>
      <w:r w:rsidR="00FB2C4F" w:rsidRPr="00B414DA">
        <w:rPr>
          <w:spacing w:val="-4"/>
          <w:lang w:val="en-GB"/>
        </w:rPr>
        <w:t xml:space="preserve"> [Ernst &amp; You</w:t>
      </w:r>
      <w:r w:rsidR="00BD2602" w:rsidRPr="00B414DA">
        <w:rPr>
          <w:spacing w:val="-4"/>
          <w:lang w:val="en-GB"/>
        </w:rPr>
        <w:t>ng]</w:t>
      </w:r>
      <w:r w:rsidR="0027669F" w:rsidRPr="00B414DA">
        <w:rPr>
          <w:spacing w:val="-4"/>
          <w:lang w:val="en-GB"/>
        </w:rPr>
        <w:t>,</w:t>
      </w:r>
      <w:r w:rsidRPr="00B414DA">
        <w:rPr>
          <w:spacing w:val="-4"/>
          <w:lang w:val="en-GB"/>
        </w:rPr>
        <w:t xml:space="preserve"> </w:t>
      </w:r>
      <w:r w:rsidR="0027669F" w:rsidRPr="00B414DA">
        <w:rPr>
          <w:i/>
          <w:spacing w:val="-4"/>
          <w:lang w:val="en-GB"/>
        </w:rPr>
        <w:t>Global Fintech Adoption Index 2019</w:t>
      </w:r>
      <w:r w:rsidR="0027669F" w:rsidRPr="00B414DA">
        <w:rPr>
          <w:spacing w:val="-4"/>
          <w:lang w:val="en-GB"/>
        </w:rPr>
        <w:t xml:space="preserve">, 2019, accessed September 23, 2020, </w:t>
      </w:r>
      <w:hyperlink r:id="rId13" w:history="1">
        <w:r w:rsidRPr="00B414DA">
          <w:rPr>
            <w:rStyle w:val="Hyperlink"/>
            <w:color w:val="auto"/>
            <w:spacing w:val="-4"/>
            <w:u w:val="none"/>
            <w:lang w:val="en-GB"/>
          </w:rPr>
          <w:t>https://assets.ey.com/content/dam/ey-sites/ey-com/en_gl/topics/banking-and-capital-markets/ey-global-fintech-adoption-index.pdf</w:t>
        </w:r>
      </w:hyperlink>
      <w:r w:rsidRPr="00B414DA">
        <w:rPr>
          <w:rStyle w:val="Hyperlink"/>
          <w:color w:val="auto"/>
          <w:spacing w:val="-4"/>
          <w:u w:val="none"/>
          <w:lang w:val="en-GB"/>
        </w:rPr>
        <w:t>.</w:t>
      </w:r>
    </w:p>
    <w:p w14:paraId="6C96B381" w14:textId="4484628C" w:rsidR="00004B19" w:rsidRDefault="00004B19" w:rsidP="00004B19">
      <w:pPr>
        <w:pStyle w:val="BodyTextMain"/>
        <w:rPr>
          <w:lang w:val="en-GB"/>
        </w:rPr>
      </w:pPr>
    </w:p>
    <w:p w14:paraId="25C5796A" w14:textId="77777777" w:rsidR="00B414DA" w:rsidRDefault="00B414DA" w:rsidP="00004B19">
      <w:pPr>
        <w:pStyle w:val="BodyTextMain"/>
        <w:rPr>
          <w:lang w:val="en-GB"/>
        </w:rPr>
      </w:pPr>
    </w:p>
    <w:p w14:paraId="53AB9F7C" w14:textId="189CB002" w:rsidR="00004B19" w:rsidRDefault="00004B19" w:rsidP="00004B19">
      <w:pPr>
        <w:pStyle w:val="ExhibitHeading"/>
        <w:rPr>
          <w:lang w:val="en-GB"/>
        </w:rPr>
      </w:pPr>
      <w:r w:rsidRPr="00704BD2">
        <w:rPr>
          <w:lang w:val="en-GB"/>
        </w:rPr>
        <w:t xml:space="preserve">EXHIBIT </w:t>
      </w:r>
      <w:r>
        <w:rPr>
          <w:lang w:val="en-GB"/>
        </w:rPr>
        <w:t>4</w:t>
      </w:r>
      <w:r w:rsidRPr="00704BD2">
        <w:rPr>
          <w:lang w:val="en-GB"/>
        </w:rPr>
        <w:t>: COMPARISON OF FINTECH ADOPTION IN SIX MARKETS, 2015</w:t>
      </w:r>
      <w:r w:rsidRPr="00704BD2">
        <w:rPr>
          <w:lang w:val="en-GB"/>
        </w:rPr>
        <w:sym w:font="Symbol" w:char="F02D"/>
      </w:r>
      <w:r w:rsidRPr="00704BD2">
        <w:rPr>
          <w:lang w:val="en-GB"/>
        </w:rPr>
        <w:t>2019</w:t>
      </w:r>
    </w:p>
    <w:p w14:paraId="4E1906D5" w14:textId="77777777" w:rsidR="00B414DA" w:rsidRPr="00704BD2" w:rsidRDefault="00B414DA" w:rsidP="00004B19">
      <w:pPr>
        <w:pStyle w:val="ExhibitHeading"/>
        <w:rPr>
          <w:lang w:val="en-GB"/>
        </w:rPr>
      </w:pPr>
    </w:p>
    <w:p w14:paraId="7A124909" w14:textId="245103D3" w:rsidR="00004B19" w:rsidRPr="00704BD2" w:rsidRDefault="00B414DA" w:rsidP="00004B19">
      <w:pPr>
        <w:pStyle w:val="BodyTextMain"/>
        <w:rPr>
          <w:lang w:val="en-GB"/>
        </w:rPr>
      </w:pPr>
      <w:r>
        <w:rPr>
          <w:noProof/>
        </w:rPr>
        <w:drawing>
          <wp:inline distT="0" distB="0" distL="0" distR="0" wp14:anchorId="530C8EAB" wp14:editId="4D996740">
            <wp:extent cx="5800725" cy="3333750"/>
            <wp:effectExtent l="0" t="0" r="9525" b="0"/>
            <wp:docPr id="8" name="Picture 8" descr="COMPARISON OF FINTECH ADOPTION IN SIX MARKETS, 2015-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0725" cy="3333750"/>
                    </a:xfrm>
                    <a:prstGeom prst="rect">
                      <a:avLst/>
                    </a:prstGeom>
                  </pic:spPr>
                </pic:pic>
              </a:graphicData>
            </a:graphic>
          </wp:inline>
        </w:drawing>
      </w:r>
    </w:p>
    <w:p w14:paraId="5F4D1F64" w14:textId="77777777" w:rsidR="00004B19" w:rsidRPr="00704BD2" w:rsidRDefault="00004B19" w:rsidP="00004B19">
      <w:pPr>
        <w:pStyle w:val="BodyTextMain"/>
        <w:rPr>
          <w:lang w:val="en-GB"/>
        </w:rPr>
      </w:pPr>
    </w:p>
    <w:p w14:paraId="2CBA3B90" w14:textId="77777777" w:rsidR="00004B19" w:rsidRPr="00704BD2" w:rsidRDefault="00004B19" w:rsidP="00004B19">
      <w:pPr>
        <w:pStyle w:val="Footnote"/>
        <w:rPr>
          <w:lang w:val="en-GB"/>
        </w:rPr>
      </w:pPr>
      <w:r w:rsidRPr="00704BD2">
        <w:rPr>
          <w:lang w:val="en-GB"/>
        </w:rPr>
        <w:t>Note: These figures show adoption rates per market for the six markets for which a comparison is available.</w:t>
      </w:r>
    </w:p>
    <w:p w14:paraId="525EDB83" w14:textId="4AC8EF18" w:rsidR="00004B19" w:rsidRDefault="00004B19" w:rsidP="00004B19">
      <w:pPr>
        <w:pStyle w:val="Footnote"/>
        <w:rPr>
          <w:lang w:val="en-GB"/>
        </w:rPr>
      </w:pPr>
      <w:r w:rsidRPr="00B414DA">
        <w:rPr>
          <w:spacing w:val="-4"/>
          <w:lang w:val="en-GB"/>
        </w:rPr>
        <w:t xml:space="preserve">Source: EY [Ernst &amp; Young], </w:t>
      </w:r>
      <w:r w:rsidRPr="00B414DA">
        <w:rPr>
          <w:i/>
          <w:spacing w:val="-4"/>
          <w:lang w:val="en-GB"/>
        </w:rPr>
        <w:t>Global Fintech Adoption Index 2019</w:t>
      </w:r>
      <w:r w:rsidRPr="00B414DA">
        <w:rPr>
          <w:spacing w:val="-4"/>
          <w:lang w:val="en-GB"/>
        </w:rPr>
        <w:t xml:space="preserve">, 2019, accessed September 23, 2020, </w:t>
      </w:r>
      <w:hyperlink r:id="rId15" w:history="1">
        <w:r w:rsidRPr="00B414DA">
          <w:rPr>
            <w:rStyle w:val="Hyperlink"/>
            <w:color w:val="auto"/>
            <w:spacing w:val="-4"/>
            <w:u w:val="none"/>
            <w:lang w:val="en-GB"/>
          </w:rPr>
          <w:t>https://assets.ey.com/content/dam/ey-sites/ey-com/en_gl/topics/banking-and-capital-markets/ey-global-fintech-adoption-index.pdf</w:t>
        </w:r>
      </w:hyperlink>
      <w:r>
        <w:rPr>
          <w:rStyle w:val="Hyperlink"/>
          <w:color w:val="auto"/>
          <w:u w:val="none"/>
          <w:lang w:val="en-GB"/>
        </w:rPr>
        <w:t>.</w:t>
      </w:r>
    </w:p>
    <w:p w14:paraId="6012FE1E" w14:textId="77777777" w:rsidR="00004B19" w:rsidRDefault="00004B19" w:rsidP="00004B19">
      <w:pPr>
        <w:pStyle w:val="BodyTextMain"/>
        <w:rPr>
          <w:lang w:val="en-GB"/>
        </w:rPr>
      </w:pPr>
    </w:p>
    <w:p w14:paraId="6EE4654A" w14:textId="1C18020A" w:rsidR="007D1AB3" w:rsidRPr="00704BD2" w:rsidRDefault="007D1AB3">
      <w:pPr>
        <w:spacing w:after="200" w:line="276" w:lineRule="auto"/>
        <w:rPr>
          <w:rFonts w:ascii="Arial" w:hAnsi="Arial" w:cs="Arial"/>
          <w:b/>
          <w:caps/>
          <w:lang w:val="en-GB"/>
        </w:rPr>
      </w:pPr>
      <w:r w:rsidRPr="00704BD2">
        <w:rPr>
          <w:lang w:val="en-GB"/>
        </w:rPr>
        <w:br w:type="page"/>
      </w:r>
    </w:p>
    <w:p w14:paraId="3237219B" w14:textId="0F73B675" w:rsidR="0090748C" w:rsidRDefault="0090748C" w:rsidP="0090748C">
      <w:pPr>
        <w:pStyle w:val="ExhibitHeading"/>
        <w:rPr>
          <w:lang w:val="en-GB"/>
        </w:rPr>
      </w:pPr>
      <w:r w:rsidRPr="00704BD2">
        <w:rPr>
          <w:lang w:val="en-GB"/>
        </w:rPr>
        <w:lastRenderedPageBreak/>
        <w:t xml:space="preserve">EXHIBIT </w:t>
      </w:r>
      <w:r w:rsidR="00004B19">
        <w:rPr>
          <w:lang w:val="en-GB"/>
        </w:rPr>
        <w:t>5</w:t>
      </w:r>
      <w:r w:rsidRPr="00704BD2">
        <w:rPr>
          <w:lang w:val="en-GB"/>
        </w:rPr>
        <w:t>: THE ROLE OF API</w:t>
      </w:r>
      <w:r w:rsidR="004114F5">
        <w:rPr>
          <w:caps w:val="0"/>
          <w:lang w:val="en-GB"/>
        </w:rPr>
        <w:t>s</w:t>
      </w:r>
      <w:r w:rsidRPr="00704BD2">
        <w:rPr>
          <w:lang w:val="en-GB"/>
        </w:rPr>
        <w:t xml:space="preserve"> IN FINANCiAL ECOSYSTEMS</w:t>
      </w:r>
    </w:p>
    <w:p w14:paraId="652B6E35" w14:textId="77777777" w:rsidR="00B414DA" w:rsidRPr="00704BD2" w:rsidRDefault="00B414DA" w:rsidP="0090748C">
      <w:pPr>
        <w:pStyle w:val="ExhibitHeading"/>
        <w:rPr>
          <w:lang w:val="en-GB"/>
        </w:rPr>
      </w:pPr>
    </w:p>
    <w:p w14:paraId="1395D7C9" w14:textId="2AF1FCBB" w:rsidR="007738EE" w:rsidRPr="00704BD2" w:rsidRDefault="00B414DA" w:rsidP="00D23941">
      <w:pPr>
        <w:pStyle w:val="ExhibitText"/>
        <w:jc w:val="center"/>
        <w:rPr>
          <w:lang w:val="en-GB"/>
        </w:rPr>
      </w:pPr>
      <w:r>
        <w:rPr>
          <w:noProof/>
        </w:rPr>
        <w:drawing>
          <wp:inline distT="0" distB="0" distL="0" distR="0" wp14:anchorId="207962C9" wp14:editId="6BCF6C1E">
            <wp:extent cx="4914900" cy="4610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4900" cy="4610100"/>
                    </a:xfrm>
                    <a:prstGeom prst="rect">
                      <a:avLst/>
                    </a:prstGeom>
                  </pic:spPr>
                </pic:pic>
              </a:graphicData>
            </a:graphic>
          </wp:inline>
        </w:drawing>
      </w:r>
    </w:p>
    <w:p w14:paraId="5003B410" w14:textId="77777777" w:rsidR="00D212BB" w:rsidRDefault="00D212BB" w:rsidP="00D212BB">
      <w:pPr>
        <w:pStyle w:val="Footnote"/>
        <w:rPr>
          <w:lang w:val="en-GB"/>
        </w:rPr>
      </w:pPr>
    </w:p>
    <w:p w14:paraId="32BC6653" w14:textId="0AB54D62" w:rsidR="006A41D3" w:rsidRPr="00704BD2" w:rsidRDefault="00D212BB" w:rsidP="00FE4E54">
      <w:pPr>
        <w:pStyle w:val="Footnote"/>
        <w:rPr>
          <w:lang w:val="en-GB"/>
        </w:rPr>
      </w:pPr>
      <w:r>
        <w:rPr>
          <w:lang w:val="en-GB"/>
        </w:rPr>
        <w:t xml:space="preserve">Note: App = application;  API = </w:t>
      </w:r>
      <w:r w:rsidRPr="00704BD2">
        <w:rPr>
          <w:rFonts w:eastAsia="Calibri"/>
          <w:lang w:val="en-GB"/>
        </w:rPr>
        <w:t>application programming inte</w:t>
      </w:r>
      <w:r>
        <w:rPr>
          <w:rFonts w:eastAsia="Calibri"/>
          <w:lang w:val="en-GB"/>
        </w:rPr>
        <w:t>rface</w:t>
      </w:r>
      <w:r w:rsidR="00FE4E54">
        <w:rPr>
          <w:rFonts w:eastAsia="Calibri"/>
          <w:lang w:val="en-GB"/>
        </w:rPr>
        <w:t>.</w:t>
      </w:r>
    </w:p>
    <w:p w14:paraId="13836C8B" w14:textId="478FB88D" w:rsidR="0090748C" w:rsidRPr="00704BD2" w:rsidRDefault="0090748C" w:rsidP="00321523">
      <w:pPr>
        <w:pStyle w:val="Footnote"/>
        <w:rPr>
          <w:lang w:val="en-GB"/>
        </w:rPr>
      </w:pPr>
      <w:r w:rsidRPr="00704BD2">
        <w:rPr>
          <w:lang w:val="en-GB"/>
        </w:rPr>
        <w:t xml:space="preserve">Source: Created by the case author using icons by </w:t>
      </w:r>
      <w:r w:rsidR="001A3F43" w:rsidRPr="00704BD2">
        <w:rPr>
          <w:lang w:val="en-GB"/>
        </w:rPr>
        <w:t>Gregor Cresnar</w:t>
      </w:r>
      <w:r w:rsidRPr="00704BD2">
        <w:rPr>
          <w:lang w:val="en-GB"/>
        </w:rPr>
        <w:t xml:space="preserve">, under Creative Commons licence CCBY, The </w:t>
      </w:r>
      <w:r w:rsidR="001A3F43" w:rsidRPr="00704BD2">
        <w:rPr>
          <w:lang w:val="en-GB"/>
        </w:rPr>
        <w:t>Noun Project</w:t>
      </w:r>
      <w:r w:rsidR="006A41D3" w:rsidRPr="00704BD2">
        <w:rPr>
          <w:lang w:val="en-GB"/>
        </w:rPr>
        <w:t>, accessed May 6, 2021, https://thenounproject.com/grega.cresnar</w:t>
      </w:r>
      <w:r w:rsidRPr="00704BD2">
        <w:rPr>
          <w:lang w:val="en-GB"/>
        </w:rPr>
        <w:t>.</w:t>
      </w:r>
    </w:p>
    <w:p w14:paraId="0D4F55ED" w14:textId="15A00AAB" w:rsidR="007738EE" w:rsidRPr="00704BD2" w:rsidRDefault="007738EE">
      <w:pPr>
        <w:spacing w:after="200" w:line="276" w:lineRule="auto"/>
        <w:rPr>
          <w:rFonts w:ascii="Arial" w:hAnsi="Arial" w:cs="Arial"/>
          <w:b/>
          <w:caps/>
          <w:lang w:val="en-GB"/>
        </w:rPr>
      </w:pPr>
      <w:r w:rsidRPr="00704BD2">
        <w:rPr>
          <w:lang w:val="en-GB"/>
        </w:rPr>
        <w:br w:type="page"/>
      </w:r>
    </w:p>
    <w:p w14:paraId="1310BEF6" w14:textId="7179C719" w:rsidR="00AB2AEF" w:rsidRPr="00FB462B" w:rsidRDefault="00AB2AEF" w:rsidP="00AB2AEF">
      <w:pPr>
        <w:pStyle w:val="Casehead1"/>
        <w:rPr>
          <w:lang w:val="en-GB"/>
        </w:rPr>
      </w:pPr>
      <w:r w:rsidRPr="00704BD2">
        <w:rPr>
          <w:lang w:val="en-GB"/>
        </w:rPr>
        <w:lastRenderedPageBreak/>
        <w:t>ENDNOTES</w:t>
      </w:r>
    </w:p>
    <w:sectPr w:rsidR="00AB2AEF" w:rsidRPr="00FB462B" w:rsidSect="00751E0B">
      <w:headerReference w:type="default" r:id="rId17"/>
      <w:endnotePr>
        <w:numFmt w:val="decimal"/>
      </w:endnotePr>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1110E" w16cex:dateUtc="2021-05-20T20:47:00Z"/>
  <w16cex:commentExtensible w16cex:durableId="245111EB" w16cex:dateUtc="2021-05-20T20:50:00Z"/>
  <w16cex:commentExtensible w16cex:durableId="2451127F" w16cex:dateUtc="2021-05-20T20:53:00Z"/>
  <w16cex:commentExtensible w16cex:durableId="24511291" w16cex:dateUtc="2021-05-20T20:53:00Z"/>
  <w16cex:commentExtensible w16cex:durableId="245112B0" w16cex:dateUtc="2021-05-20T20:54:00Z"/>
  <w16cex:commentExtensible w16cex:durableId="245112BF" w16cex:dateUtc="2021-05-20T20:54:00Z"/>
  <w16cex:commentExtensible w16cex:durableId="245112DB" w16cex:dateUtc="2021-05-20T20:54:00Z"/>
  <w16cex:commentExtensible w16cex:durableId="245112EA" w16cex:dateUtc="2021-05-20T20:55:00Z"/>
  <w16cex:commentExtensible w16cex:durableId="245109CA" w16cex:dateUtc="2021-05-20T20:1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B1272" w14:textId="77777777" w:rsidR="002360C7" w:rsidRDefault="002360C7" w:rsidP="00D75295">
      <w:r>
        <w:separator/>
      </w:r>
    </w:p>
  </w:endnote>
  <w:endnote w:type="continuationSeparator" w:id="0">
    <w:p w14:paraId="6B37D103" w14:textId="77777777" w:rsidR="002360C7" w:rsidRDefault="002360C7" w:rsidP="00D75295">
      <w:r>
        <w:continuationSeparator/>
      </w:r>
    </w:p>
  </w:endnote>
  <w:endnote w:id="1">
    <w:p w14:paraId="73DB1A6C" w14:textId="22AF8E0D" w:rsidR="007007A5" w:rsidRPr="007007A5" w:rsidRDefault="007007A5" w:rsidP="007007A5">
      <w:pPr>
        <w:pStyle w:val="Footnote"/>
      </w:pPr>
      <w:r>
        <w:rPr>
          <w:rStyle w:val="EndnoteReference"/>
        </w:rPr>
        <w:endnoteRef/>
      </w:r>
      <w:r>
        <w:t xml:space="preserve"> </w:t>
      </w:r>
      <w:r w:rsidRPr="00F562B2">
        <w:t xml:space="preserve">This case has been written on the basis of published sources only. Consequently, the interpretation and perspectives presented in this case are not necessarily those of </w:t>
      </w:r>
      <w:r w:rsidR="00E11F90" w:rsidRPr="00704BD2">
        <w:rPr>
          <w:rFonts w:eastAsia="Calibri"/>
          <w:lang w:val="en-GB"/>
        </w:rPr>
        <w:t>JPMorgan Chase &amp; Co.</w:t>
      </w:r>
      <w:r w:rsidRPr="00F562B2">
        <w:t xml:space="preserve"> or any of its employees.</w:t>
      </w:r>
    </w:p>
  </w:endnote>
  <w:endnote w:id="2">
    <w:p w14:paraId="376D7179" w14:textId="5056686B" w:rsidR="0018136F" w:rsidRPr="00AB2AEF" w:rsidRDefault="0018136F" w:rsidP="00AB2AEF">
      <w:pPr>
        <w:pStyle w:val="Footnote"/>
      </w:pPr>
      <w:r w:rsidRPr="00AB2AEF">
        <w:rPr>
          <w:vertAlign w:val="superscript"/>
        </w:rPr>
        <w:endnoteRef/>
      </w:r>
      <w:r w:rsidRPr="00AB2AEF">
        <w:t xml:space="preserve"> </w:t>
      </w:r>
      <w:r>
        <w:t xml:space="preserve">Norbert </w:t>
      </w:r>
      <w:proofErr w:type="spellStart"/>
      <w:r w:rsidRPr="00AB2AEF">
        <w:t>Gehrke</w:t>
      </w:r>
      <w:proofErr w:type="spellEnd"/>
      <w:r w:rsidRPr="00AB2AEF">
        <w:t>, “Open Banking Case Study: J.P. Morgan Treasury Services</w:t>
      </w:r>
      <w:r>
        <w:t>,</w:t>
      </w:r>
      <w:r w:rsidRPr="00AB2AEF">
        <w:t>” Medium</w:t>
      </w:r>
      <w:r>
        <w:t>,</w:t>
      </w:r>
      <w:r w:rsidRPr="00AB2AEF">
        <w:t xml:space="preserve"> </w:t>
      </w:r>
      <w:r>
        <w:t xml:space="preserve">April 21, 2019, </w:t>
      </w:r>
      <w:r w:rsidRPr="00AB2AEF">
        <w:t>accessed Sep</w:t>
      </w:r>
      <w:r>
        <w:t>tember</w:t>
      </w:r>
      <w:r w:rsidRPr="00AB2AEF">
        <w:t xml:space="preserve"> 8, 2020</w:t>
      </w:r>
      <w:r>
        <w:t xml:space="preserve">, </w:t>
      </w:r>
      <w:hyperlink r:id="rId1" w:history="1">
        <w:r w:rsidRPr="00AB2AEF">
          <w:t>https://medium.com/tokyo-Fintech/open-banking-case-study-j-p-morgan-treasury-services-a971c7507285</w:t>
        </w:r>
      </w:hyperlink>
      <w:r w:rsidRPr="00AB2AEF">
        <w:t>.</w:t>
      </w:r>
    </w:p>
  </w:endnote>
  <w:endnote w:id="3">
    <w:p w14:paraId="7CA70772" w14:textId="0134E7A5" w:rsidR="0018136F" w:rsidRPr="00AB2AEF" w:rsidRDefault="0018136F" w:rsidP="00AB2AEF">
      <w:pPr>
        <w:pStyle w:val="Footnote"/>
      </w:pPr>
      <w:r w:rsidRPr="00AB2AEF">
        <w:rPr>
          <w:rStyle w:val="EndnoteReference"/>
        </w:rPr>
        <w:endnoteRef/>
      </w:r>
      <w:r w:rsidRPr="00AB2AEF">
        <w:t xml:space="preserve"> </w:t>
      </w:r>
      <w:r>
        <w:t>See “Treasury Services: The Open Banking Transformation,”</w:t>
      </w:r>
      <w:r w:rsidRPr="00AB2AEF">
        <w:t xml:space="preserve"> </w:t>
      </w:r>
      <w:r>
        <w:t xml:space="preserve">J.P.Morgan, </w:t>
      </w:r>
      <w:r w:rsidRPr="00704BD2">
        <w:t>accessed September 8,</w:t>
      </w:r>
      <w:r>
        <w:t xml:space="preserve"> 2020, </w:t>
      </w:r>
      <w:r w:rsidRPr="00AB2AEF">
        <w:t>www.jpmorgan.com/global/treasury-services/open-banking</w:t>
      </w:r>
      <w:r>
        <w:t>.</w:t>
      </w:r>
    </w:p>
  </w:endnote>
  <w:endnote w:id="4">
    <w:p w14:paraId="2ED58E1C" w14:textId="2EF5F11C" w:rsidR="0018136F" w:rsidRPr="00AB2AEF" w:rsidRDefault="0018136F" w:rsidP="00AB2AEF">
      <w:pPr>
        <w:pStyle w:val="Footnote"/>
      </w:pPr>
      <w:r w:rsidRPr="00AB2AEF">
        <w:rPr>
          <w:rStyle w:val="EndnoteReference"/>
        </w:rPr>
        <w:endnoteRef/>
      </w:r>
      <w:r w:rsidRPr="00AB2AEF">
        <w:t xml:space="preserve"> </w:t>
      </w:r>
      <w:r>
        <w:t xml:space="preserve">Steve </w:t>
      </w:r>
      <w:r w:rsidRPr="00AB2AEF">
        <w:t xml:space="preserve">Cocheo, “Fight </w:t>
      </w:r>
      <w:r>
        <w:t>o</w:t>
      </w:r>
      <w:r w:rsidRPr="00AB2AEF">
        <w:t xml:space="preserve">ver Consumer Data Ownership Pits Banks </w:t>
      </w:r>
      <w:r>
        <w:t>a</w:t>
      </w:r>
      <w:r w:rsidRPr="00AB2AEF">
        <w:t>gainst Fintechs</w:t>
      </w:r>
      <w:r>
        <w:t>,</w:t>
      </w:r>
      <w:r w:rsidRPr="00AB2AEF">
        <w:t xml:space="preserve">” The Financial Brand, March 4, 2020, </w:t>
      </w:r>
      <w:r>
        <w:t xml:space="preserve">accessed September 9, 2020, </w:t>
      </w:r>
      <w:hyperlink r:id="rId2" w:history="1">
        <w:r w:rsidRPr="00AB2AEF">
          <w:rPr>
            <w:rStyle w:val="Hyperlink"/>
            <w:color w:val="auto"/>
            <w:u w:val="none"/>
          </w:rPr>
          <w:t>https://thefinancialbrand.com/93646/financial-budget-management-app-data-sharing-Fintech-digital-cfpb/</w:t>
        </w:r>
      </w:hyperlink>
      <w:r w:rsidRPr="00AB2AEF">
        <w:t>.</w:t>
      </w:r>
    </w:p>
  </w:endnote>
  <w:endnote w:id="5">
    <w:p w14:paraId="51B99F03" w14:textId="27DF734F" w:rsidR="0018136F" w:rsidRPr="00AB2AEF" w:rsidRDefault="0018136F" w:rsidP="00AB2AEF">
      <w:pPr>
        <w:pStyle w:val="Footnote"/>
      </w:pPr>
      <w:r w:rsidRPr="00AB2AEF">
        <w:rPr>
          <w:rStyle w:val="EndnoteReference"/>
        </w:rPr>
        <w:endnoteRef/>
      </w:r>
      <w:r w:rsidRPr="00AB2AEF">
        <w:t xml:space="preserve"> Ibid.</w:t>
      </w:r>
    </w:p>
  </w:endnote>
  <w:endnote w:id="6">
    <w:p w14:paraId="591623EF" w14:textId="2B55F5E3" w:rsidR="0018136F" w:rsidRPr="00AB2AEF" w:rsidRDefault="0018136F" w:rsidP="00AB2AEF">
      <w:pPr>
        <w:pStyle w:val="Footnote"/>
      </w:pPr>
      <w:r w:rsidRPr="00AB2AEF">
        <w:rPr>
          <w:rStyle w:val="EndnoteReference"/>
        </w:rPr>
        <w:endnoteRef/>
      </w:r>
      <w:r w:rsidRPr="00AB2AEF">
        <w:t xml:space="preserve"> Ibid.</w:t>
      </w:r>
    </w:p>
  </w:endnote>
  <w:endnote w:id="7">
    <w:p w14:paraId="416D6C9A" w14:textId="373AE777" w:rsidR="0018136F" w:rsidRPr="00004B19" w:rsidRDefault="0018136F" w:rsidP="00AB2AEF">
      <w:pPr>
        <w:pStyle w:val="Footnote"/>
        <w:rPr>
          <w:spacing w:val="-4"/>
        </w:rPr>
      </w:pPr>
      <w:r w:rsidRPr="00AB2AEF">
        <w:rPr>
          <w:rStyle w:val="EndnoteReference"/>
        </w:rPr>
        <w:endnoteRef/>
      </w:r>
      <w:r w:rsidRPr="00AB2AEF">
        <w:t xml:space="preserve"> </w:t>
      </w:r>
      <w:r w:rsidRPr="00004B19">
        <w:rPr>
          <w:spacing w:val="-4"/>
        </w:rPr>
        <w:t xml:space="preserve">Robin Sidel, “Big Banks Lock Horns with Personal-Finance Web Portals,” </w:t>
      </w:r>
      <w:r w:rsidRPr="00004B19">
        <w:rPr>
          <w:i/>
          <w:spacing w:val="-4"/>
        </w:rPr>
        <w:t>Wall Street Journal</w:t>
      </w:r>
      <w:r w:rsidRPr="00004B19">
        <w:rPr>
          <w:spacing w:val="-4"/>
        </w:rPr>
        <w:t>, November 5, 2015, accessed August 23, 2020, www.wsj.com/articles/big-banks-lock-horns-with-personal-finance-web-portals-1446683450?mod=article_inline.</w:t>
      </w:r>
    </w:p>
  </w:endnote>
  <w:endnote w:id="8">
    <w:p w14:paraId="1DEC358D" w14:textId="05F9257C" w:rsidR="0018136F" w:rsidRPr="00AB2AEF" w:rsidRDefault="0018136F" w:rsidP="00AB2AEF">
      <w:pPr>
        <w:pStyle w:val="Footnote"/>
      </w:pPr>
      <w:r w:rsidRPr="00AB2AEF">
        <w:rPr>
          <w:rStyle w:val="EndnoteReference"/>
        </w:rPr>
        <w:endnoteRef/>
      </w:r>
      <w:r w:rsidRPr="00AB2AEF">
        <w:t xml:space="preserve"> Cocheo, </w:t>
      </w:r>
      <w:r>
        <w:t>op. cit.</w:t>
      </w:r>
    </w:p>
  </w:endnote>
  <w:endnote w:id="9">
    <w:p w14:paraId="09CF2164" w14:textId="10DCF561" w:rsidR="0018136F" w:rsidRPr="00AB2AEF" w:rsidRDefault="0018136F" w:rsidP="00AB2AEF">
      <w:pPr>
        <w:pStyle w:val="Footnote"/>
      </w:pPr>
      <w:r w:rsidRPr="00AB2AEF">
        <w:rPr>
          <w:rStyle w:val="EndnoteReference"/>
        </w:rPr>
        <w:endnoteRef/>
      </w:r>
      <w:r w:rsidRPr="00AB2AEF">
        <w:t xml:space="preserve"> </w:t>
      </w:r>
      <w:r>
        <w:t xml:space="preserve">“Dumb pipes” referred to when fintechs built leading-edge apps and services on the framework of traditional institutions; </w:t>
      </w:r>
      <w:r w:rsidRPr="00AB2AEF">
        <w:t>Ibid.</w:t>
      </w:r>
    </w:p>
  </w:endnote>
  <w:endnote w:id="10">
    <w:p w14:paraId="6A40B186" w14:textId="278C1014" w:rsidR="0018136F" w:rsidRPr="00AB2AEF" w:rsidRDefault="0018136F" w:rsidP="00AB2AEF">
      <w:pPr>
        <w:pStyle w:val="Footnote"/>
      </w:pPr>
      <w:r w:rsidRPr="00AB2AEF">
        <w:rPr>
          <w:rStyle w:val="EndnoteReference"/>
        </w:rPr>
        <w:endnoteRef/>
      </w:r>
      <w:r w:rsidRPr="00AB2AEF">
        <w:t xml:space="preserve"> </w:t>
      </w:r>
      <w:r>
        <w:t xml:space="preserve">Bradley </w:t>
      </w:r>
      <w:r w:rsidRPr="00AB2AEF">
        <w:t xml:space="preserve">Hope, </w:t>
      </w:r>
      <w:r>
        <w:t>“</w:t>
      </w:r>
      <w:r w:rsidRPr="00AB2AEF">
        <w:t>Provider of Personal Finance Tools Tracks Bank Cards, Sells Data to Investors</w:t>
      </w:r>
      <w:r>
        <w:t>,”</w:t>
      </w:r>
      <w:r w:rsidRPr="00AB2AEF">
        <w:t xml:space="preserve"> </w:t>
      </w:r>
      <w:r w:rsidRPr="00A90FDC">
        <w:rPr>
          <w:i/>
        </w:rPr>
        <w:t>Wall Street Journal</w:t>
      </w:r>
      <w:r>
        <w:t>,</w:t>
      </w:r>
      <w:r w:rsidRPr="00AB2AEF">
        <w:t xml:space="preserve"> August 7, 2015</w:t>
      </w:r>
      <w:r>
        <w:t>,</w:t>
      </w:r>
      <w:r w:rsidRPr="00AB2AEF">
        <w:t xml:space="preserve"> </w:t>
      </w:r>
      <w:r>
        <w:t>a</w:t>
      </w:r>
      <w:r w:rsidRPr="00AB2AEF">
        <w:t>ccessed August 23, 2020</w:t>
      </w:r>
      <w:r>
        <w:t>,</w:t>
      </w:r>
      <w:r w:rsidRPr="00AB2AEF">
        <w:t xml:space="preserve"> www.wsj.com/articles/provider-of-personal-finance-tools-tracks-bank-cards-sells-data-to-investors-1438914620.</w:t>
      </w:r>
    </w:p>
  </w:endnote>
  <w:endnote w:id="11">
    <w:p w14:paraId="4EE7445C" w14:textId="4F115013" w:rsidR="0018136F" w:rsidRPr="00AB2AEF" w:rsidRDefault="0018136F" w:rsidP="00AB2AEF">
      <w:pPr>
        <w:pStyle w:val="Footnote"/>
      </w:pPr>
      <w:r w:rsidRPr="00AB2AEF">
        <w:rPr>
          <w:rStyle w:val="EndnoteReference"/>
        </w:rPr>
        <w:endnoteRef/>
      </w:r>
      <w:r w:rsidRPr="00AB2AEF">
        <w:t xml:space="preserve"> Ibid.</w:t>
      </w:r>
    </w:p>
  </w:endnote>
  <w:endnote w:id="12">
    <w:p w14:paraId="19365FBB" w14:textId="465F9B43" w:rsidR="0018136F" w:rsidRPr="00AB2AEF" w:rsidRDefault="0018136F" w:rsidP="00AB2AEF">
      <w:pPr>
        <w:pStyle w:val="Footnote"/>
      </w:pPr>
      <w:r w:rsidRPr="00AB2AEF">
        <w:rPr>
          <w:rStyle w:val="EndnoteReference"/>
        </w:rPr>
        <w:endnoteRef/>
      </w:r>
      <w:r w:rsidRPr="00AB2AEF">
        <w:t xml:space="preserve"> Cocheo, </w:t>
      </w:r>
      <w:r>
        <w:t>op. cit.</w:t>
      </w:r>
      <w:r>
        <w:tab/>
      </w:r>
    </w:p>
  </w:endnote>
  <w:endnote w:id="13">
    <w:p w14:paraId="56034866" w14:textId="2397E91A" w:rsidR="0018136F" w:rsidRPr="00AB2AEF" w:rsidRDefault="0018136F" w:rsidP="00AB2AEF">
      <w:pPr>
        <w:pStyle w:val="Footnote"/>
      </w:pPr>
      <w:r w:rsidRPr="00AB2AEF">
        <w:rPr>
          <w:rStyle w:val="EndnoteReference"/>
        </w:rPr>
        <w:endnoteRef/>
      </w:r>
      <w:r w:rsidRPr="00AB2AEF">
        <w:t xml:space="preserve"> Ibid.</w:t>
      </w:r>
    </w:p>
  </w:endnote>
  <w:endnote w:id="14">
    <w:p w14:paraId="56FD4520" w14:textId="65049B5B" w:rsidR="0018136F" w:rsidRPr="00AB2AEF" w:rsidRDefault="0018136F" w:rsidP="00AB2AEF">
      <w:pPr>
        <w:pStyle w:val="Footnote"/>
      </w:pPr>
      <w:r w:rsidRPr="00AB2AEF">
        <w:rPr>
          <w:rStyle w:val="EndnoteReference"/>
        </w:rPr>
        <w:endnoteRef/>
      </w:r>
      <w:r w:rsidRPr="00AB2AEF">
        <w:t xml:space="preserve"> </w:t>
      </w:r>
      <w:r>
        <w:t xml:space="preserve">Plaid Inc., </w:t>
      </w:r>
      <w:r w:rsidRPr="00A90FDC">
        <w:rPr>
          <w:i/>
        </w:rPr>
        <w:t>Building a Consumer-first Framework for Modern Technologies</w:t>
      </w:r>
      <w:r>
        <w:t>,</w:t>
      </w:r>
      <w:r w:rsidRPr="00AB2AEF">
        <w:t xml:space="preserve"> Policy Paper</w:t>
      </w:r>
      <w:r>
        <w:t>,</w:t>
      </w:r>
      <w:r w:rsidRPr="00AB2AEF">
        <w:t xml:space="preserve"> March 1, 2016</w:t>
      </w:r>
      <w:r>
        <w:t>,</w:t>
      </w:r>
      <w:r w:rsidRPr="00AB2AEF">
        <w:t xml:space="preserve"> </w:t>
      </w:r>
      <w:r>
        <w:t>a</w:t>
      </w:r>
      <w:r w:rsidRPr="00AB2AEF">
        <w:t>ccessed August 23, 2020</w:t>
      </w:r>
      <w:r>
        <w:t>,</w:t>
      </w:r>
      <w:r w:rsidRPr="00AB2AEF">
        <w:t xml:space="preserve"> https://plaid.com/documents/Plaid-Policy-Paper.pdf.</w:t>
      </w:r>
    </w:p>
  </w:endnote>
  <w:endnote w:id="15">
    <w:p w14:paraId="4D51AED2" w14:textId="15D646D7" w:rsidR="0018136F" w:rsidRPr="00602A1F" w:rsidRDefault="0018136F" w:rsidP="00AB2AEF">
      <w:pPr>
        <w:pStyle w:val="Footnote"/>
      </w:pPr>
      <w:r w:rsidRPr="00AB2AEF">
        <w:rPr>
          <w:rStyle w:val="EndnoteReference"/>
        </w:rPr>
        <w:endnoteRef/>
      </w:r>
      <w:r w:rsidRPr="00AB2AEF">
        <w:t xml:space="preserve"> </w:t>
      </w:r>
      <w:r>
        <w:t xml:space="preserve">Christina Majaski, “Retail Banking,” </w:t>
      </w:r>
      <w:r w:rsidRPr="00AB2AEF">
        <w:t xml:space="preserve">Investopedia, </w:t>
      </w:r>
      <w:r>
        <w:t xml:space="preserve">updated March 30, 2021, </w:t>
      </w:r>
      <w:r w:rsidRPr="00AB2AEF">
        <w:t>accessed September 9, 2020</w:t>
      </w:r>
      <w:r>
        <w:t xml:space="preserve">, </w:t>
      </w:r>
      <w:hyperlink r:id="rId3" w:history="1">
        <w:r w:rsidR="00FD41F2" w:rsidRPr="00704BD2">
          <w:rPr>
            <w:rStyle w:val="Hyperlink"/>
            <w:color w:val="auto"/>
            <w:u w:val="none"/>
          </w:rPr>
          <w:t>www.investopedia.com/terms/r/retailbanking.asp</w:t>
        </w:r>
      </w:hyperlink>
      <w:r w:rsidRPr="00602A1F">
        <w:t>.</w:t>
      </w:r>
    </w:p>
  </w:endnote>
  <w:endnote w:id="16">
    <w:p w14:paraId="1810E300" w14:textId="141DB25C" w:rsidR="0018136F" w:rsidRPr="00A90FDC" w:rsidRDefault="0018136F" w:rsidP="00A90FDC">
      <w:pPr>
        <w:pStyle w:val="Footnote"/>
        <w:rPr>
          <w:lang w:val="en-CA"/>
        </w:rPr>
      </w:pPr>
      <w:r>
        <w:rPr>
          <w:rStyle w:val="EndnoteReference"/>
        </w:rPr>
        <w:endnoteRef/>
      </w:r>
      <w:r>
        <w:t xml:space="preserve"> </w:t>
      </w:r>
      <w:r>
        <w:rPr>
          <w:lang w:val="en-CA"/>
        </w:rPr>
        <w:t xml:space="preserve">All currency amounts are in US$ unless otherwise specified. </w:t>
      </w:r>
    </w:p>
  </w:endnote>
  <w:endnote w:id="17">
    <w:p w14:paraId="51AC9218" w14:textId="4E71699E" w:rsidR="0018136F" w:rsidRPr="00AB2AEF" w:rsidRDefault="0018136F" w:rsidP="00AB2AEF">
      <w:pPr>
        <w:pStyle w:val="Footnote"/>
        <w:rPr>
          <w:rFonts w:eastAsia="Calibri"/>
        </w:rPr>
      </w:pPr>
      <w:r w:rsidRPr="00AB2AEF">
        <w:rPr>
          <w:rStyle w:val="EndnoteReference"/>
        </w:rPr>
        <w:endnoteRef/>
      </w:r>
      <w:r w:rsidRPr="00AB2AEF">
        <w:t xml:space="preserve"> </w:t>
      </w:r>
      <w:r>
        <w:t xml:space="preserve">Ken </w:t>
      </w:r>
      <w:r w:rsidRPr="00AB2AEF">
        <w:rPr>
          <w:rFonts w:eastAsia="Calibri"/>
        </w:rPr>
        <w:t xml:space="preserve">Sweet, “Banks </w:t>
      </w:r>
      <w:r>
        <w:rPr>
          <w:rFonts w:eastAsia="Calibri"/>
        </w:rPr>
        <w:t>M</w:t>
      </w:r>
      <w:r w:rsidRPr="00AB2AEF">
        <w:rPr>
          <w:rFonts w:eastAsia="Calibri"/>
        </w:rPr>
        <w:t xml:space="preserve">ade $233.1 </w:t>
      </w:r>
      <w:r>
        <w:rPr>
          <w:rFonts w:eastAsia="Calibri"/>
        </w:rPr>
        <w:t>B</w:t>
      </w:r>
      <w:r w:rsidRPr="00AB2AEF">
        <w:rPr>
          <w:rFonts w:eastAsia="Calibri"/>
        </w:rPr>
        <w:t xml:space="preserve">illion in </w:t>
      </w:r>
      <w:r>
        <w:rPr>
          <w:rFonts w:eastAsia="Calibri"/>
        </w:rPr>
        <w:t>P</w:t>
      </w:r>
      <w:r w:rsidRPr="00AB2AEF">
        <w:rPr>
          <w:rFonts w:eastAsia="Calibri"/>
        </w:rPr>
        <w:t xml:space="preserve">rofits in 2019, </w:t>
      </w:r>
      <w:r>
        <w:rPr>
          <w:rFonts w:eastAsia="Calibri"/>
        </w:rPr>
        <w:t>R</w:t>
      </w:r>
      <w:r w:rsidRPr="00AB2AEF">
        <w:rPr>
          <w:rFonts w:eastAsia="Calibri"/>
        </w:rPr>
        <w:t xml:space="preserve">egulator </w:t>
      </w:r>
      <w:r>
        <w:rPr>
          <w:rFonts w:eastAsia="Calibri"/>
        </w:rPr>
        <w:t>S</w:t>
      </w:r>
      <w:r w:rsidRPr="00AB2AEF">
        <w:rPr>
          <w:rFonts w:eastAsia="Calibri"/>
        </w:rPr>
        <w:t>ays</w:t>
      </w:r>
      <w:r>
        <w:rPr>
          <w:rFonts w:eastAsia="Calibri"/>
        </w:rPr>
        <w:t>,</w:t>
      </w:r>
      <w:r w:rsidRPr="00AB2AEF">
        <w:rPr>
          <w:rFonts w:eastAsia="Calibri"/>
        </w:rPr>
        <w:t>” ABC</w:t>
      </w:r>
      <w:r>
        <w:rPr>
          <w:rFonts w:eastAsia="Calibri"/>
        </w:rPr>
        <w:t xml:space="preserve"> </w:t>
      </w:r>
      <w:r w:rsidRPr="00AB2AEF">
        <w:rPr>
          <w:rFonts w:eastAsia="Calibri"/>
        </w:rPr>
        <w:t>News, February 25, 2020, accessed September 9, 2020</w:t>
      </w:r>
      <w:r>
        <w:rPr>
          <w:rFonts w:eastAsia="Calibri"/>
        </w:rPr>
        <w:t xml:space="preserve">, </w:t>
      </w:r>
      <w:hyperlink r:id="rId4" w:history="1">
        <w:r w:rsidRPr="00AB2AEF">
          <w:rPr>
            <w:rStyle w:val="Hyperlink"/>
            <w:rFonts w:eastAsia="Calibri"/>
            <w:color w:val="auto"/>
            <w:u w:val="none"/>
          </w:rPr>
          <w:t>https://abcnews.go.com/Business/wireStory/banks-made-2331-billion-profits-2019-regulator-69205274</w:t>
        </w:r>
      </w:hyperlink>
      <w:r w:rsidRPr="00AB2AEF">
        <w:rPr>
          <w:rFonts w:eastAsia="Calibri"/>
        </w:rPr>
        <w:t>.</w:t>
      </w:r>
    </w:p>
  </w:endnote>
  <w:endnote w:id="18">
    <w:p w14:paraId="646D7A75" w14:textId="525026AC" w:rsidR="0018136F" w:rsidRPr="00AB2AEF" w:rsidRDefault="0018136F" w:rsidP="00AB2AEF">
      <w:pPr>
        <w:pStyle w:val="Footnote"/>
      </w:pPr>
      <w:r w:rsidRPr="00AB2AEF">
        <w:rPr>
          <w:rStyle w:val="EndnoteReference"/>
        </w:rPr>
        <w:endnoteRef/>
      </w:r>
      <w:r w:rsidRPr="00AB2AEF">
        <w:t xml:space="preserve"> </w:t>
      </w:r>
      <w:r>
        <w:t>Investopedia, “</w:t>
      </w:r>
      <w:r w:rsidRPr="00AB2AEF">
        <w:t>What Barriers to Entry Exist in the Financial Services Sector?</w:t>
      </w:r>
      <w:r>
        <w:t>,”</w:t>
      </w:r>
      <w:r w:rsidRPr="00AB2AEF">
        <w:t xml:space="preserve"> Investopedia</w:t>
      </w:r>
      <w:r>
        <w:t>,</w:t>
      </w:r>
      <w:r w:rsidRPr="00AB2AEF">
        <w:t xml:space="preserve"> June 25, 2019</w:t>
      </w:r>
      <w:r>
        <w:t>,</w:t>
      </w:r>
      <w:r w:rsidRPr="00AB2AEF">
        <w:t xml:space="preserve"> </w:t>
      </w:r>
      <w:r>
        <w:t>a</w:t>
      </w:r>
      <w:r w:rsidRPr="00AB2AEF">
        <w:t>ccessed August 23, 2020</w:t>
      </w:r>
      <w:r>
        <w:t>,</w:t>
      </w:r>
      <w:r w:rsidRPr="00AB2AEF">
        <w:t xml:space="preserve"> www.investopedia.com/ask/answers/031015/what-barriers-entry-exist-financial-services-sector.asp.</w:t>
      </w:r>
    </w:p>
  </w:endnote>
  <w:endnote w:id="19">
    <w:p w14:paraId="56FFCF3E" w14:textId="67E8779D" w:rsidR="0018136F" w:rsidRPr="00AB2AEF" w:rsidRDefault="0018136F" w:rsidP="00AB2AEF">
      <w:pPr>
        <w:pStyle w:val="Footnote"/>
      </w:pPr>
      <w:r w:rsidRPr="00AB2AEF">
        <w:rPr>
          <w:rStyle w:val="EndnoteReference"/>
        </w:rPr>
        <w:endnoteRef/>
      </w:r>
      <w:r w:rsidRPr="00AB2AEF">
        <w:t xml:space="preserve"> </w:t>
      </w:r>
      <w:r>
        <w:t xml:space="preserve">Burak </w:t>
      </w:r>
      <w:r w:rsidRPr="00AB2AEF">
        <w:t>Dolar and Ben Dale</w:t>
      </w:r>
      <w:r>
        <w:t>,</w:t>
      </w:r>
      <w:r w:rsidRPr="00AB2AEF">
        <w:t xml:space="preserve"> </w:t>
      </w:r>
      <w:r>
        <w:t>“</w:t>
      </w:r>
      <w:r w:rsidRPr="00AB2AEF">
        <w:t>The Dodd–Frank Act’s Non-</w:t>
      </w:r>
      <w:r>
        <w:t>U</w:t>
      </w:r>
      <w:r w:rsidRPr="00AB2AEF">
        <w:t>niform Regulatory Impact on the Banking Industry</w:t>
      </w:r>
      <w:r>
        <w:t>,”</w:t>
      </w:r>
      <w:r w:rsidRPr="00AB2AEF">
        <w:t xml:space="preserve"> </w:t>
      </w:r>
      <w:r w:rsidRPr="00A90FDC">
        <w:rPr>
          <w:i/>
        </w:rPr>
        <w:t>Journal of Banking Regulation</w:t>
      </w:r>
      <w:r w:rsidRPr="00AB2AEF">
        <w:t xml:space="preserve"> 21, no. 2 (June 25, 2019): 188</w:t>
      </w:r>
      <w:r>
        <w:sym w:font="Symbol" w:char="F02D"/>
      </w:r>
      <w:r>
        <w:t>1</w:t>
      </w:r>
      <w:r w:rsidRPr="00AB2AEF">
        <w:t>95.</w:t>
      </w:r>
    </w:p>
  </w:endnote>
  <w:endnote w:id="20">
    <w:p w14:paraId="2EBE5737" w14:textId="5C41A7C9" w:rsidR="0018136F" w:rsidRPr="00AB2AEF" w:rsidRDefault="0018136F" w:rsidP="00AB2AEF">
      <w:pPr>
        <w:pStyle w:val="Footnote"/>
      </w:pPr>
      <w:r w:rsidRPr="00AB2AEF">
        <w:rPr>
          <w:rStyle w:val="EndnoteReference"/>
        </w:rPr>
        <w:endnoteRef/>
      </w:r>
      <w:r w:rsidRPr="00AB2AEF">
        <w:t xml:space="preserve"> </w:t>
      </w:r>
      <w:r>
        <w:t xml:space="preserve">Claire </w:t>
      </w:r>
      <w:r w:rsidRPr="00AB2AEF">
        <w:t xml:space="preserve">Matthews, </w:t>
      </w:r>
      <w:r>
        <w:t>“</w:t>
      </w:r>
      <w:r w:rsidRPr="00AB2AEF">
        <w:t>Switching Costs in Banking: The Regulatory Response</w:t>
      </w:r>
      <w:r>
        <w:t>,” November 2009, Department of Economics and Finance, Massey University, Palmerston North, New Zealand.</w:t>
      </w:r>
    </w:p>
  </w:endnote>
  <w:endnote w:id="21">
    <w:p w14:paraId="57249CB7" w14:textId="5DCEBD7C" w:rsidR="0018136F" w:rsidRPr="00AB2AEF" w:rsidRDefault="0018136F" w:rsidP="00AB2AEF">
      <w:pPr>
        <w:pStyle w:val="Footnote"/>
      </w:pPr>
      <w:r w:rsidRPr="00AB2AEF">
        <w:rPr>
          <w:rStyle w:val="EndnoteReference"/>
        </w:rPr>
        <w:endnoteRef/>
      </w:r>
      <w:r w:rsidRPr="00AB2AEF">
        <w:t xml:space="preserve"> </w:t>
      </w:r>
      <w:r>
        <w:t xml:space="preserve">Julia </w:t>
      </w:r>
      <w:r w:rsidRPr="00AB2AEF">
        <w:t xml:space="preserve">Kagan, </w:t>
      </w:r>
      <w:r>
        <w:t>“</w:t>
      </w:r>
      <w:r w:rsidRPr="00AB2AEF">
        <w:t>Fractional Reserve Banking</w:t>
      </w:r>
      <w:r>
        <w:t>,”</w:t>
      </w:r>
      <w:r w:rsidRPr="00AB2AEF">
        <w:t xml:space="preserve"> Investopedia</w:t>
      </w:r>
      <w:r>
        <w:t>,</w:t>
      </w:r>
      <w:r w:rsidRPr="00AB2AEF">
        <w:t xml:space="preserve"> May 4, 2020</w:t>
      </w:r>
      <w:r>
        <w:t>,</w:t>
      </w:r>
      <w:r w:rsidRPr="00AB2AEF">
        <w:t xml:space="preserve"> </w:t>
      </w:r>
      <w:r>
        <w:t>a</w:t>
      </w:r>
      <w:r w:rsidRPr="00AB2AEF">
        <w:t>ccessed August 23, 2020</w:t>
      </w:r>
      <w:r>
        <w:t>,</w:t>
      </w:r>
      <w:r w:rsidRPr="00AB2AEF">
        <w:t xml:space="preserve"> www.investopedia.com/terms/f/fractionalreservebanking.asp.</w:t>
      </w:r>
    </w:p>
  </w:endnote>
  <w:endnote w:id="22">
    <w:p w14:paraId="329CFA1D" w14:textId="5F48145D" w:rsidR="0018136F" w:rsidRPr="00AB2AEF" w:rsidRDefault="0018136F" w:rsidP="00AB2AEF">
      <w:pPr>
        <w:pStyle w:val="Footnote"/>
      </w:pPr>
      <w:r w:rsidRPr="00AB2AEF">
        <w:rPr>
          <w:rStyle w:val="EndnoteReference"/>
        </w:rPr>
        <w:endnoteRef/>
      </w:r>
      <w:r w:rsidRPr="00AB2AEF">
        <w:t xml:space="preserve"> McKinsey &amp; Company</w:t>
      </w:r>
      <w:r>
        <w:t>,</w:t>
      </w:r>
      <w:r w:rsidRPr="00AB2AEF" w:rsidDel="005F1F62">
        <w:t xml:space="preserve"> </w:t>
      </w:r>
      <w:r w:rsidRPr="00A90FDC">
        <w:rPr>
          <w:i/>
        </w:rPr>
        <w:t>Retail Banking Insights</w:t>
      </w:r>
      <w:r>
        <w:rPr>
          <w:i/>
        </w:rPr>
        <w:t>: Driving Revenue Growth in Retail Banking</w:t>
      </w:r>
      <w:r>
        <w:t>,</w:t>
      </w:r>
      <w:r w:rsidRPr="00AB2AEF">
        <w:t xml:space="preserve"> </w:t>
      </w:r>
      <w:r>
        <w:t xml:space="preserve">Number 6, </w:t>
      </w:r>
      <w:r w:rsidRPr="00AB2AEF">
        <w:t>March 2015</w:t>
      </w:r>
      <w:r>
        <w:t>,</w:t>
      </w:r>
      <w:r w:rsidRPr="00AB2AEF">
        <w:t xml:space="preserve"> </w:t>
      </w:r>
      <w:r>
        <w:t>a</w:t>
      </w:r>
      <w:r w:rsidRPr="00AB2AEF">
        <w:t>ccessed August 23, 2020</w:t>
      </w:r>
      <w:r>
        <w:t>,</w:t>
      </w:r>
      <w:r w:rsidRPr="00AB2AEF">
        <w:t xml:space="preserve"> www.mckinsey.com/~/media/McKinsey/Industries/Financial Services/Our Insights/Driving revenue growth in retail banking/Driving-revenue-growth-in-retail-banking.pdf.</w:t>
      </w:r>
    </w:p>
  </w:endnote>
  <w:endnote w:id="23">
    <w:p w14:paraId="4B33F803" w14:textId="6181743E" w:rsidR="0018136F" w:rsidRPr="00AB2AEF" w:rsidRDefault="0018136F" w:rsidP="00AB2AEF">
      <w:pPr>
        <w:pStyle w:val="Footnote"/>
      </w:pPr>
      <w:r w:rsidRPr="00AB2AEF">
        <w:rPr>
          <w:rStyle w:val="EndnoteReference"/>
        </w:rPr>
        <w:endnoteRef/>
      </w:r>
      <w:r w:rsidRPr="00AB2AEF">
        <w:t xml:space="preserve"> </w:t>
      </w:r>
      <w:r>
        <w:t xml:space="preserve">David </w:t>
      </w:r>
      <w:r w:rsidRPr="00AB2AEF">
        <w:t xml:space="preserve">Berman, </w:t>
      </w:r>
      <w:r>
        <w:t>“</w:t>
      </w:r>
      <w:r w:rsidRPr="00AB2AEF">
        <w:t>Banks Could Lose 60% of Retail Profit to Tech Startups: Study</w:t>
      </w:r>
      <w:r>
        <w:t>,”</w:t>
      </w:r>
      <w:r w:rsidRPr="00AB2AEF">
        <w:t xml:space="preserve"> </w:t>
      </w:r>
      <w:r w:rsidRPr="00A90FDC">
        <w:rPr>
          <w:i/>
        </w:rPr>
        <w:t>Globe and Mail</w:t>
      </w:r>
      <w:r>
        <w:t>,</w:t>
      </w:r>
      <w:r w:rsidRPr="00AB2AEF">
        <w:t xml:space="preserve"> September 29, 2015</w:t>
      </w:r>
      <w:r>
        <w:t>,</w:t>
      </w:r>
      <w:r w:rsidRPr="00AB2AEF">
        <w:t xml:space="preserve"> </w:t>
      </w:r>
      <w:r>
        <w:t>a</w:t>
      </w:r>
      <w:r w:rsidRPr="00AB2AEF">
        <w:t>ccessed August 23, 2020</w:t>
      </w:r>
      <w:r>
        <w:t>,</w:t>
      </w:r>
      <w:r w:rsidRPr="00AB2AEF">
        <w:t xml:space="preserve"> www.theglobeandmail.com/report-on-business/Fintech-startups-pose-threat-to-traditional-banks-retail-profit/article26587892/.</w:t>
      </w:r>
    </w:p>
  </w:endnote>
  <w:endnote w:id="24">
    <w:p w14:paraId="23BE5DE3" w14:textId="3E5551A7" w:rsidR="0018136F" w:rsidRPr="00AB2AEF" w:rsidRDefault="0018136F" w:rsidP="00AB2AEF">
      <w:pPr>
        <w:pStyle w:val="Footnote"/>
      </w:pPr>
      <w:r w:rsidRPr="00AB2AEF">
        <w:rPr>
          <w:rStyle w:val="EndnoteReference"/>
        </w:rPr>
        <w:endnoteRef/>
      </w:r>
      <w:r w:rsidRPr="00AB2AEF">
        <w:t xml:space="preserve"> </w:t>
      </w:r>
      <w:r>
        <w:t xml:space="preserve">Charles </w:t>
      </w:r>
      <w:r w:rsidRPr="00AB2AEF">
        <w:t>Ludden, Kendra Thompson, and Imon Mohsin</w:t>
      </w:r>
      <w:r>
        <w:t>,</w:t>
      </w:r>
      <w:r w:rsidRPr="00AB2AEF">
        <w:t xml:space="preserve"> </w:t>
      </w:r>
      <w:r>
        <w:t>“</w:t>
      </w:r>
      <w:r w:rsidRPr="00AB2AEF">
        <w:t>The Rise of Robo-Advice</w:t>
      </w:r>
      <w:r>
        <w:t>,”</w:t>
      </w:r>
      <w:r w:rsidRPr="00AB2AEF">
        <w:t xml:space="preserve"> Accenture</w:t>
      </w:r>
      <w:r>
        <w:t>,</w:t>
      </w:r>
      <w:r w:rsidRPr="00AB2AEF">
        <w:t xml:space="preserve"> 2015</w:t>
      </w:r>
      <w:r>
        <w:t>,</w:t>
      </w:r>
      <w:r w:rsidRPr="00AB2AEF">
        <w:t xml:space="preserve"> </w:t>
      </w:r>
      <w:r>
        <w:t>a</w:t>
      </w:r>
      <w:r w:rsidRPr="00AB2AEF">
        <w:t>ccessed August 23, 2020</w:t>
      </w:r>
      <w:r>
        <w:t>,</w:t>
      </w:r>
      <w:r w:rsidRPr="00AB2AEF">
        <w:t>.</w:t>
      </w:r>
    </w:p>
  </w:endnote>
  <w:endnote w:id="25">
    <w:p w14:paraId="59249C4A" w14:textId="6A2A596B" w:rsidR="0018136F" w:rsidRPr="00AB2AEF" w:rsidRDefault="0018136F" w:rsidP="00AB2AEF">
      <w:pPr>
        <w:pStyle w:val="Footnote"/>
      </w:pPr>
      <w:r w:rsidRPr="00AB2AEF">
        <w:rPr>
          <w:rStyle w:val="EndnoteReference"/>
        </w:rPr>
        <w:endnoteRef/>
      </w:r>
      <w:r w:rsidRPr="00AB2AEF">
        <w:t xml:space="preserve"> Saqib Chaudhry and Francis Garrido</w:t>
      </w:r>
      <w:r>
        <w:t>,</w:t>
      </w:r>
      <w:r w:rsidRPr="00AB2AEF">
        <w:t xml:space="preserve"> </w:t>
      </w:r>
      <w:r>
        <w:t>“</w:t>
      </w:r>
      <w:r w:rsidRPr="00AB2AEF">
        <w:t>The World's 100 Largest Banks</w:t>
      </w:r>
      <w:r>
        <w:t>,”</w:t>
      </w:r>
      <w:r w:rsidRPr="00AB2AEF">
        <w:t xml:space="preserve"> S&amp;P Global Market Intelligence</w:t>
      </w:r>
      <w:r>
        <w:t>,</w:t>
      </w:r>
      <w:r w:rsidRPr="00AB2AEF">
        <w:t xml:space="preserve"> April 5, 2019</w:t>
      </w:r>
      <w:r>
        <w:t>,</w:t>
      </w:r>
      <w:r w:rsidRPr="00AB2AEF">
        <w:t xml:space="preserve"> </w:t>
      </w:r>
      <w:r>
        <w:t>a</w:t>
      </w:r>
      <w:r w:rsidRPr="00AB2AEF">
        <w:t>ccessed August 23, 2020</w:t>
      </w:r>
      <w:r>
        <w:t>,</w:t>
      </w:r>
      <w:r w:rsidRPr="00AB2AEF">
        <w:t xml:space="preserve"> www.spglobal.com/marketintelligence/en/news-insights/trending/t-38wta5twjgrrqccf4_ca2.</w:t>
      </w:r>
    </w:p>
  </w:endnote>
  <w:endnote w:id="26">
    <w:p w14:paraId="6C8CA004" w14:textId="47FE268F" w:rsidR="0018136F" w:rsidRPr="00AB2AEF" w:rsidRDefault="0018136F" w:rsidP="00AB2AEF">
      <w:pPr>
        <w:pStyle w:val="Footnote"/>
      </w:pPr>
      <w:r w:rsidRPr="00AB2AEF">
        <w:rPr>
          <w:rStyle w:val="EndnoteReference"/>
        </w:rPr>
        <w:endnoteRef/>
      </w:r>
      <w:r w:rsidRPr="00AB2AEF">
        <w:t xml:space="preserve"> </w:t>
      </w:r>
      <w:r>
        <w:t xml:space="preserve">JPMorgan Chase &amp; Co., </w:t>
      </w:r>
      <w:r w:rsidRPr="00A90FDC">
        <w:rPr>
          <w:i/>
        </w:rPr>
        <w:t>Annual Report 2015</w:t>
      </w:r>
      <w:r>
        <w:t>,</w:t>
      </w:r>
      <w:r w:rsidRPr="00AB2AEF">
        <w:t xml:space="preserve"> April 6, 2016</w:t>
      </w:r>
      <w:r>
        <w:t>,</w:t>
      </w:r>
      <w:r w:rsidRPr="00AB2AEF">
        <w:t xml:space="preserve"> </w:t>
      </w:r>
      <w:r>
        <w:t>a</w:t>
      </w:r>
      <w:r w:rsidRPr="00AB2AEF">
        <w:t>ccessed August 23, 2020</w:t>
      </w:r>
      <w:r>
        <w:t>,</w:t>
      </w:r>
      <w:r w:rsidRPr="00AB2AEF">
        <w:t xml:space="preserve"> </w:t>
      </w:r>
      <w:r w:rsidRPr="00524D6E">
        <w:t>www.jpmorganchase.com/content/dam/jpmc/jpmorgan-chase-and-co/investor-relations/documents/2015-annualreport.pdf</w:t>
      </w:r>
      <w:r w:rsidRPr="00AB2AEF">
        <w:t>.</w:t>
      </w:r>
    </w:p>
  </w:endnote>
  <w:endnote w:id="27">
    <w:p w14:paraId="69E3B130" w14:textId="265E24F1" w:rsidR="0018136F" w:rsidRPr="00AB2AEF" w:rsidRDefault="0018136F" w:rsidP="00AB2AEF">
      <w:pPr>
        <w:pStyle w:val="Footnote"/>
      </w:pPr>
      <w:r w:rsidRPr="00AB2AEF">
        <w:rPr>
          <w:rStyle w:val="EndnoteReference"/>
        </w:rPr>
        <w:endnoteRef/>
      </w:r>
      <w:r w:rsidRPr="00AB2AEF">
        <w:t xml:space="preserve"> Ibid.</w:t>
      </w:r>
    </w:p>
  </w:endnote>
  <w:endnote w:id="28">
    <w:p w14:paraId="5F116277" w14:textId="007AB14D" w:rsidR="0018136F" w:rsidRPr="00AB2AEF" w:rsidRDefault="0018136F" w:rsidP="00AB2AEF">
      <w:pPr>
        <w:pStyle w:val="Footnote"/>
      </w:pPr>
      <w:r w:rsidRPr="00AB2AEF">
        <w:rPr>
          <w:rStyle w:val="EndnoteReference"/>
        </w:rPr>
        <w:endnoteRef/>
      </w:r>
      <w:r w:rsidRPr="00AB2AEF">
        <w:t xml:space="preserve"> Ibid.</w:t>
      </w:r>
    </w:p>
  </w:endnote>
  <w:endnote w:id="29">
    <w:p w14:paraId="43A47756" w14:textId="77777777" w:rsidR="00004B19" w:rsidRPr="00AB2AEF" w:rsidRDefault="00004B19" w:rsidP="00004B19">
      <w:pPr>
        <w:pStyle w:val="Footnote"/>
      </w:pPr>
      <w:r w:rsidRPr="00AB2AEF">
        <w:rPr>
          <w:rStyle w:val="EndnoteReference"/>
        </w:rPr>
        <w:endnoteRef/>
      </w:r>
      <w:r w:rsidRPr="00AB2AEF">
        <w:t xml:space="preserve"> Ibid.</w:t>
      </w:r>
    </w:p>
  </w:endnote>
  <w:endnote w:id="30">
    <w:p w14:paraId="1E0088C1" w14:textId="1603668A" w:rsidR="0018136F" w:rsidRPr="00AB2AEF" w:rsidRDefault="0018136F" w:rsidP="00AB2AEF">
      <w:pPr>
        <w:pStyle w:val="Footnote"/>
      </w:pPr>
      <w:r w:rsidRPr="00AB2AEF">
        <w:rPr>
          <w:rStyle w:val="EndnoteReference"/>
        </w:rPr>
        <w:endnoteRef/>
      </w:r>
      <w:r w:rsidRPr="00AB2AEF">
        <w:t xml:space="preserve"> </w:t>
      </w:r>
      <w:r>
        <w:t xml:space="preserve">Julian </w:t>
      </w:r>
      <w:r w:rsidRPr="00AB2AEF">
        <w:t>Skan, James Dickerson, and Luca Gagliardi</w:t>
      </w:r>
      <w:r>
        <w:t>,</w:t>
      </w:r>
      <w:r w:rsidRPr="00AB2AEF">
        <w:t xml:space="preserve"> </w:t>
      </w:r>
      <w:r>
        <w:t>“</w:t>
      </w:r>
      <w:r w:rsidRPr="00AB2AEF">
        <w:t>Fintech and the Evolving Landscape</w:t>
      </w:r>
      <w:r>
        <w:t>,”</w:t>
      </w:r>
      <w:r w:rsidRPr="00AB2AEF">
        <w:t xml:space="preserve"> Accenture</w:t>
      </w:r>
      <w:r>
        <w:t>,</w:t>
      </w:r>
      <w:r w:rsidRPr="00AB2AEF">
        <w:t xml:space="preserve"> October 11, 2016</w:t>
      </w:r>
      <w:r>
        <w:t>,</w:t>
      </w:r>
      <w:r w:rsidRPr="00AB2AEF">
        <w:t xml:space="preserve"> </w:t>
      </w:r>
      <w:r>
        <w:t>a</w:t>
      </w:r>
      <w:r w:rsidRPr="00AB2AEF">
        <w:t>ccessed August 23, 2020</w:t>
      </w:r>
      <w:r>
        <w:t>,</w:t>
      </w:r>
      <w:r w:rsidRPr="00AB2AEF">
        <w:t xml:space="preserve"> www.accenture.com/t20161011T031409Z__w__/pl-en/_acnmedia/PDF-15/Accenture-Fintech-Evolving-Landscape.pdf.</w:t>
      </w:r>
    </w:p>
  </w:endnote>
  <w:endnote w:id="31">
    <w:p w14:paraId="158B0891" w14:textId="1B817036" w:rsidR="0018136F" w:rsidRPr="00602A1F" w:rsidRDefault="0018136F" w:rsidP="00AB2AEF">
      <w:pPr>
        <w:pStyle w:val="Footnote"/>
        <w:rPr>
          <w:rFonts w:eastAsia="Calibri"/>
        </w:rPr>
      </w:pPr>
      <w:r w:rsidRPr="00AB2AEF">
        <w:rPr>
          <w:rStyle w:val="EndnoteReference"/>
          <w:rFonts w:eastAsia="Calibri"/>
          <w:b/>
          <w:bCs/>
        </w:rPr>
        <w:endnoteRef/>
      </w:r>
      <w:r w:rsidRPr="00AB2AEF">
        <w:t xml:space="preserve"> </w:t>
      </w:r>
      <w:r>
        <w:t xml:space="preserve">Alex </w:t>
      </w:r>
      <w:r w:rsidRPr="00AB2AEF">
        <w:rPr>
          <w:rFonts w:eastAsia="Calibri"/>
        </w:rPr>
        <w:t xml:space="preserve">Rolf, “Fintech </w:t>
      </w:r>
      <w:r>
        <w:rPr>
          <w:rFonts w:eastAsia="Calibri"/>
        </w:rPr>
        <w:t>I</w:t>
      </w:r>
      <w:r w:rsidRPr="00AB2AEF">
        <w:rPr>
          <w:rFonts w:eastAsia="Calibri"/>
        </w:rPr>
        <w:t xml:space="preserve">nvestment </w:t>
      </w:r>
      <w:r>
        <w:rPr>
          <w:rFonts w:eastAsia="Calibri"/>
        </w:rPr>
        <w:t>R</w:t>
      </w:r>
      <w:r w:rsidRPr="00AB2AEF">
        <w:rPr>
          <w:rFonts w:eastAsia="Calibri"/>
        </w:rPr>
        <w:t xml:space="preserve">eaches </w:t>
      </w:r>
      <w:r>
        <w:rPr>
          <w:rFonts w:eastAsia="Calibri"/>
        </w:rPr>
        <w:t>R</w:t>
      </w:r>
      <w:r w:rsidRPr="00AB2AEF">
        <w:rPr>
          <w:rFonts w:eastAsia="Calibri"/>
        </w:rPr>
        <w:t xml:space="preserve">ecord </w:t>
      </w:r>
      <w:r>
        <w:rPr>
          <w:rFonts w:eastAsia="Calibri"/>
        </w:rPr>
        <w:t>L</w:t>
      </w:r>
      <w:r w:rsidRPr="00AB2AEF">
        <w:rPr>
          <w:rFonts w:eastAsia="Calibri"/>
        </w:rPr>
        <w:t xml:space="preserve">evels at $31 </w:t>
      </w:r>
      <w:r>
        <w:rPr>
          <w:rFonts w:eastAsia="Calibri"/>
        </w:rPr>
        <w:t>B</w:t>
      </w:r>
      <w:r w:rsidRPr="00AB2AEF">
        <w:rPr>
          <w:rFonts w:eastAsia="Calibri"/>
        </w:rPr>
        <w:t>illion in 2018</w:t>
      </w:r>
      <w:r>
        <w:rPr>
          <w:rFonts w:eastAsia="Calibri"/>
        </w:rPr>
        <w:t>,”</w:t>
      </w:r>
      <w:r w:rsidRPr="00AB2AEF">
        <w:rPr>
          <w:rFonts w:eastAsia="Calibri"/>
        </w:rPr>
        <w:t xml:space="preserve"> Payments, Cards and Mobile, February 7, </w:t>
      </w:r>
      <w:r w:rsidRPr="00602A1F">
        <w:rPr>
          <w:rFonts w:eastAsia="Calibri"/>
        </w:rPr>
        <w:t xml:space="preserve">2019, accessed September 9, 2020, </w:t>
      </w:r>
      <w:hyperlink r:id="rId5" w:history="1">
        <w:r w:rsidR="00FD41F2" w:rsidRPr="00704BD2">
          <w:rPr>
            <w:rStyle w:val="Hyperlink"/>
            <w:rFonts w:eastAsia="Calibri"/>
            <w:color w:val="auto"/>
            <w:u w:val="none"/>
          </w:rPr>
          <w:t>www.paymentscardsandmobile.com/fintech-investment-reaches-record-levels/</w:t>
        </w:r>
      </w:hyperlink>
      <w:r w:rsidRPr="00602A1F">
        <w:rPr>
          <w:rFonts w:eastAsia="Calibri"/>
        </w:rPr>
        <w:t>.</w:t>
      </w:r>
    </w:p>
  </w:endnote>
  <w:endnote w:id="32">
    <w:p w14:paraId="11D45BD9" w14:textId="1D60EFAE" w:rsidR="0018136F" w:rsidRPr="00602A1F" w:rsidRDefault="0018136F" w:rsidP="00AB2AEF">
      <w:pPr>
        <w:pStyle w:val="Footnote"/>
      </w:pPr>
      <w:r w:rsidRPr="00602A1F">
        <w:rPr>
          <w:rStyle w:val="EndnoteReference"/>
        </w:rPr>
        <w:endnoteRef/>
      </w:r>
      <w:r w:rsidRPr="00602A1F">
        <w:t xml:space="preserve"> Skan, Dickerson, and Gagliardi, op. cit.</w:t>
      </w:r>
    </w:p>
  </w:endnote>
  <w:endnote w:id="33">
    <w:p w14:paraId="1AD45E03" w14:textId="2F7CE097" w:rsidR="0018136F" w:rsidRPr="00602A1F" w:rsidRDefault="0018136F" w:rsidP="00AB2AEF">
      <w:pPr>
        <w:pStyle w:val="Footnote"/>
      </w:pPr>
      <w:r w:rsidRPr="00602A1F">
        <w:rPr>
          <w:rStyle w:val="EndnoteReference"/>
        </w:rPr>
        <w:endnoteRef/>
      </w:r>
      <w:r w:rsidRPr="00602A1F">
        <w:t xml:space="preserve"> “Acorns Helps You Grow Your Money,” Acorn, accessed April 14, 2021, </w:t>
      </w:r>
      <w:hyperlink r:id="rId6" w:history="1">
        <w:r w:rsidR="00FD41F2" w:rsidRPr="00704BD2">
          <w:rPr>
            <w:rStyle w:val="Hyperlink"/>
            <w:color w:val="auto"/>
            <w:u w:val="none"/>
          </w:rPr>
          <w:t>www.acorns.com</w:t>
        </w:r>
      </w:hyperlink>
      <w:r w:rsidRPr="00602A1F">
        <w:t>.</w:t>
      </w:r>
    </w:p>
  </w:endnote>
  <w:endnote w:id="34">
    <w:p w14:paraId="60276C2F" w14:textId="64C0C3EA" w:rsidR="0018136F" w:rsidRPr="00AB2AEF" w:rsidRDefault="0018136F" w:rsidP="00AB2AEF">
      <w:pPr>
        <w:pStyle w:val="Footnote"/>
      </w:pPr>
      <w:r w:rsidRPr="00AB2AEF">
        <w:rPr>
          <w:rStyle w:val="EndnoteReference"/>
        </w:rPr>
        <w:endnoteRef/>
      </w:r>
      <w:r w:rsidRPr="00AB2AEF">
        <w:t xml:space="preserve"> </w:t>
      </w:r>
      <w:r>
        <w:t xml:space="preserve">Imran </w:t>
      </w:r>
      <w:r w:rsidRPr="00AB2AEF">
        <w:t>Gulamhuseinwala, Thomas Bull, and Steven Lewis</w:t>
      </w:r>
      <w:r>
        <w:t>,</w:t>
      </w:r>
      <w:r w:rsidRPr="00AB2AEF">
        <w:t xml:space="preserve"> EY Global Financial Services Institute</w:t>
      </w:r>
      <w:r>
        <w:t>,</w:t>
      </w:r>
      <w:r w:rsidRPr="00AB2AEF">
        <w:t xml:space="preserve"> </w:t>
      </w:r>
      <w:r>
        <w:t>“</w:t>
      </w:r>
      <w:r w:rsidRPr="00AB2AEF">
        <w:t>Fintech Is Gaining Traction and Young, High-income Users Are the Early</w:t>
      </w:r>
      <w:r w:rsidR="00734EB0">
        <w:t xml:space="preserve"> </w:t>
      </w:r>
      <w:r w:rsidRPr="00AB2AEF">
        <w:t>Adopters</w:t>
      </w:r>
      <w:r>
        <w:t>,”</w:t>
      </w:r>
      <w:r w:rsidRPr="00AB2AEF">
        <w:t xml:space="preserve"> </w:t>
      </w:r>
      <w:r w:rsidRPr="00A90FDC">
        <w:rPr>
          <w:i/>
        </w:rPr>
        <w:t>Journal of Financial Perspectives</w:t>
      </w:r>
      <w:r>
        <w:t xml:space="preserve"> 3, no. 3 (</w:t>
      </w:r>
      <w:r w:rsidRPr="00AB2AEF">
        <w:t>Winter 2015</w:t>
      </w:r>
      <w:r>
        <w:t>),</w:t>
      </w:r>
      <w:r w:rsidRPr="00AB2AEF">
        <w:t xml:space="preserve"> </w:t>
      </w:r>
      <w:r>
        <w:t>a</w:t>
      </w:r>
      <w:r w:rsidRPr="00AB2AEF">
        <w:t xml:space="preserve">ccessed </w:t>
      </w:r>
      <w:r>
        <w:t>April 30</w:t>
      </w:r>
      <w:r w:rsidRPr="00AB2AEF">
        <w:t>, 202</w:t>
      </w:r>
      <w:r>
        <w:t>1,</w:t>
      </w:r>
      <w:r w:rsidRPr="00AB2AEF">
        <w:t xml:space="preserve"> </w:t>
      </w:r>
      <w:r w:rsidRPr="00736BFA">
        <w:t>https://papers.ssrn.com/sol3/Data_Integrity_Notice.cfm?abid=3083976</w:t>
      </w:r>
      <w:r w:rsidRPr="00AB2AEF">
        <w:t>.</w:t>
      </w:r>
    </w:p>
  </w:endnote>
  <w:endnote w:id="35">
    <w:p w14:paraId="636E31C5" w14:textId="1516A3FE" w:rsidR="0018136F" w:rsidRPr="00AB2AEF" w:rsidRDefault="0018136F" w:rsidP="00AB2AEF">
      <w:pPr>
        <w:pStyle w:val="Footnote"/>
      </w:pPr>
      <w:r w:rsidRPr="00AB2AEF">
        <w:rPr>
          <w:rStyle w:val="EndnoteReference"/>
        </w:rPr>
        <w:endnoteRef/>
      </w:r>
      <w:r w:rsidRPr="00AB2AEF">
        <w:t xml:space="preserve"> Ibid.</w:t>
      </w:r>
    </w:p>
  </w:endnote>
  <w:endnote w:id="36">
    <w:p w14:paraId="15784596" w14:textId="209DFD26" w:rsidR="0018136F" w:rsidRPr="00602A1F" w:rsidRDefault="0018136F" w:rsidP="00AB2AEF">
      <w:pPr>
        <w:pStyle w:val="Footnote"/>
      </w:pPr>
      <w:r w:rsidRPr="00AB2AEF">
        <w:rPr>
          <w:rStyle w:val="EndnoteReference"/>
        </w:rPr>
        <w:endnoteRef/>
      </w:r>
      <w:r w:rsidRPr="00AB2AEF">
        <w:t xml:space="preserve"> </w:t>
      </w:r>
      <w:r>
        <w:t xml:space="preserve">Investopedia Staff, </w:t>
      </w:r>
      <w:r w:rsidRPr="00AB2AEF">
        <w:t>“Open Banking,</w:t>
      </w:r>
      <w:r>
        <w:t>”</w:t>
      </w:r>
      <w:r w:rsidRPr="00AB2AEF">
        <w:t xml:space="preserve"> Investopedia, </w:t>
      </w:r>
      <w:r>
        <w:t xml:space="preserve">updated August 27, 2020, accessed September 9, 2020, </w:t>
      </w:r>
      <w:hyperlink r:id="rId7" w:history="1">
        <w:r w:rsidR="00FD41F2" w:rsidRPr="00704BD2">
          <w:rPr>
            <w:rStyle w:val="Hyperlink"/>
            <w:color w:val="auto"/>
            <w:u w:val="none"/>
          </w:rPr>
          <w:t>www.investopedia.com/terms/o/open-banking.asp</w:t>
        </w:r>
      </w:hyperlink>
      <w:r w:rsidRPr="00602A1F">
        <w:t>.</w:t>
      </w:r>
    </w:p>
  </w:endnote>
  <w:endnote w:id="37">
    <w:p w14:paraId="42123800" w14:textId="769337A0" w:rsidR="0018136F" w:rsidRPr="00AB2AEF" w:rsidRDefault="0018136F" w:rsidP="00AB2AEF">
      <w:pPr>
        <w:pStyle w:val="Footnote"/>
      </w:pPr>
      <w:r w:rsidRPr="00AB2AEF">
        <w:rPr>
          <w:rStyle w:val="EndnoteReference"/>
        </w:rPr>
        <w:endnoteRef/>
      </w:r>
      <w:r w:rsidRPr="00AB2AEF">
        <w:t xml:space="preserve"> Cocheo, </w:t>
      </w:r>
      <w:r>
        <w:t>op. cit.</w:t>
      </w:r>
      <w:r>
        <w:tab/>
      </w:r>
      <w:r w:rsidRPr="00AB2AEF" w:rsidDel="00C533EA">
        <w:t xml:space="preserve"> </w:t>
      </w:r>
    </w:p>
  </w:endnote>
  <w:endnote w:id="38">
    <w:p w14:paraId="4FFB2DCB" w14:textId="1DFD13AF" w:rsidR="0018136F" w:rsidRPr="00AB2AEF" w:rsidRDefault="0018136F" w:rsidP="00AB2AEF">
      <w:pPr>
        <w:pStyle w:val="Footnote"/>
      </w:pPr>
      <w:r w:rsidRPr="00AB2AEF">
        <w:rPr>
          <w:rStyle w:val="EndnoteReference"/>
        </w:rPr>
        <w:endnoteRef/>
      </w:r>
      <w:r w:rsidRPr="00AB2AEF">
        <w:t xml:space="preserve"> Ibid.</w:t>
      </w:r>
    </w:p>
  </w:endnote>
  <w:endnote w:id="39">
    <w:p w14:paraId="72189DC2" w14:textId="50263B4E" w:rsidR="0018136F" w:rsidRPr="00AB2AEF" w:rsidRDefault="0018136F" w:rsidP="00AB2AEF">
      <w:pPr>
        <w:pStyle w:val="Footnote"/>
      </w:pPr>
      <w:r w:rsidRPr="00AB2AEF">
        <w:rPr>
          <w:rStyle w:val="EndnoteReference"/>
        </w:rPr>
        <w:endnoteRef/>
      </w:r>
      <w:r w:rsidRPr="00AB2AEF">
        <w:t xml:space="preserve"> </w:t>
      </w:r>
      <w:r>
        <w:t>“</w:t>
      </w:r>
      <w:r w:rsidRPr="00AB2AEF">
        <w:t>CMA Paves the Way for Open Banking Revolution</w:t>
      </w:r>
      <w:r>
        <w:t>,”</w:t>
      </w:r>
      <w:r w:rsidRPr="00AB2AEF">
        <w:t xml:space="preserve"> GOV.UK</w:t>
      </w:r>
      <w:r>
        <w:t>,</w:t>
      </w:r>
      <w:r w:rsidRPr="00AB2AEF">
        <w:t xml:space="preserve"> </w:t>
      </w:r>
      <w:r>
        <w:t xml:space="preserve">press release, </w:t>
      </w:r>
      <w:r w:rsidRPr="00AB2AEF">
        <w:t>August 9, 2016</w:t>
      </w:r>
      <w:r>
        <w:t>,</w:t>
      </w:r>
      <w:r w:rsidRPr="00AB2AEF">
        <w:t xml:space="preserve"> </w:t>
      </w:r>
      <w:r>
        <w:t>a</w:t>
      </w:r>
      <w:r w:rsidRPr="00AB2AEF">
        <w:t>ccessed August 23, 2020</w:t>
      </w:r>
      <w:r>
        <w:t>,</w:t>
      </w:r>
      <w:r w:rsidRPr="00AB2AEF">
        <w:t xml:space="preserve"> www.gov.uk/government/news/cma-paves-the-way-for-open-banking-revolution.</w:t>
      </w:r>
    </w:p>
  </w:endnote>
  <w:endnote w:id="40">
    <w:p w14:paraId="35691396" w14:textId="461502A4" w:rsidR="0018136F" w:rsidRPr="00AB2AEF" w:rsidRDefault="0018136F" w:rsidP="00AB2AEF">
      <w:pPr>
        <w:pStyle w:val="Footnote"/>
      </w:pPr>
      <w:r w:rsidRPr="00AB2AEF">
        <w:rPr>
          <w:rStyle w:val="EndnoteReference"/>
        </w:rPr>
        <w:endnoteRef/>
      </w:r>
      <w:r w:rsidRPr="00AB2AEF">
        <w:t xml:space="preserve"> Cocheo,</w:t>
      </w:r>
      <w:r w:rsidRPr="00C533EA">
        <w:t xml:space="preserve"> </w:t>
      </w:r>
      <w:r>
        <w:t>op. cit.</w:t>
      </w:r>
      <w:r>
        <w:tab/>
      </w:r>
      <w:r w:rsidRPr="00AB2AEF">
        <w:t xml:space="preserve"> </w:t>
      </w:r>
    </w:p>
  </w:endnote>
  <w:endnote w:id="41">
    <w:p w14:paraId="1B2141ED" w14:textId="3C1A5392" w:rsidR="0018136F" w:rsidRPr="00AB2AEF" w:rsidRDefault="0018136F" w:rsidP="00AB2AEF">
      <w:pPr>
        <w:pStyle w:val="Footnote"/>
      </w:pPr>
      <w:r w:rsidRPr="00AB2AEF">
        <w:rPr>
          <w:rStyle w:val="EndnoteReference"/>
        </w:rPr>
        <w:endnoteRef/>
      </w:r>
      <w:r w:rsidRPr="00AB2AEF">
        <w:t xml:space="preserve"> Ibid.</w:t>
      </w:r>
    </w:p>
  </w:endnote>
  <w:endnote w:id="42">
    <w:p w14:paraId="65EAF22B" w14:textId="5904E360" w:rsidR="0018136F" w:rsidRPr="00AB2AEF" w:rsidRDefault="0018136F" w:rsidP="00AB2AEF">
      <w:pPr>
        <w:pStyle w:val="Footnote"/>
      </w:pPr>
      <w:r w:rsidRPr="00AB2AEF">
        <w:rPr>
          <w:rStyle w:val="EndnoteReference"/>
        </w:rPr>
        <w:endnoteRef/>
      </w:r>
      <w:r w:rsidRPr="00AB2AEF">
        <w:t xml:space="preserve"> </w:t>
      </w:r>
      <w:r>
        <w:t xml:space="preserve">Richard </w:t>
      </w:r>
      <w:r w:rsidRPr="00AB2AEF">
        <w:t xml:space="preserve">Cordray, </w:t>
      </w:r>
      <w:r>
        <w:t>“</w:t>
      </w:r>
      <w:r w:rsidRPr="00AB2AEF">
        <w:t>Prepared Remarks of CFPB Director Richard Cordray at the Field Hearing on Consumer Access to Financial Records</w:t>
      </w:r>
      <w:r>
        <w:t>,”</w:t>
      </w:r>
      <w:r w:rsidRPr="00AB2AEF">
        <w:t xml:space="preserve"> Consumer Financial Protection Bureau</w:t>
      </w:r>
      <w:r>
        <w:t>,</w:t>
      </w:r>
      <w:r w:rsidRPr="00AB2AEF">
        <w:t xml:space="preserve"> November 17, 2016</w:t>
      </w:r>
      <w:r>
        <w:t>,</w:t>
      </w:r>
      <w:r w:rsidRPr="00AB2AEF">
        <w:t xml:space="preserve"> </w:t>
      </w:r>
      <w:r>
        <w:t>a</w:t>
      </w:r>
      <w:r w:rsidRPr="00AB2AEF">
        <w:t>ccessed August 23, 2020</w:t>
      </w:r>
      <w:r>
        <w:t>,</w:t>
      </w:r>
      <w:r w:rsidRPr="00AB2AEF">
        <w:t xml:space="preserve"> www.consumerfinance.gov/about-us/newsroom/prepared-remarks-cfpb-director-richard-cordray-field-hearing-consumer-access-financial-records/.</w:t>
      </w:r>
    </w:p>
  </w:endnote>
  <w:endnote w:id="43">
    <w:p w14:paraId="015949FF" w14:textId="7F4BEC51" w:rsidR="0018136F" w:rsidRPr="00AB2AEF" w:rsidRDefault="0018136F" w:rsidP="00AB2AEF">
      <w:pPr>
        <w:pStyle w:val="Footnote"/>
      </w:pPr>
      <w:r w:rsidRPr="00AB2AEF">
        <w:rPr>
          <w:rStyle w:val="EndnoteReference"/>
        </w:rPr>
        <w:endnoteRef/>
      </w:r>
      <w:r w:rsidRPr="00AB2AEF">
        <w:t xml:space="preserve"> </w:t>
      </w:r>
      <w:r>
        <w:t>Ibid.</w:t>
      </w:r>
    </w:p>
  </w:endnote>
  <w:endnote w:id="44">
    <w:p w14:paraId="59785E1A" w14:textId="42EE830D" w:rsidR="0018136F" w:rsidRPr="00AB2AEF" w:rsidRDefault="0018136F" w:rsidP="00AB2AEF">
      <w:pPr>
        <w:pStyle w:val="Footnote"/>
      </w:pPr>
      <w:r w:rsidRPr="00AB2AEF">
        <w:rPr>
          <w:rStyle w:val="EndnoteReference"/>
        </w:rPr>
        <w:endnoteRef/>
      </w:r>
      <w:r w:rsidRPr="00AB2AEF">
        <w:t xml:space="preserve"> Ibid.</w:t>
      </w:r>
    </w:p>
  </w:endnote>
  <w:endnote w:id="45">
    <w:p w14:paraId="79BEFA90" w14:textId="0ACE2166" w:rsidR="0018136F" w:rsidRPr="00AB2AEF" w:rsidRDefault="0018136F" w:rsidP="00AB2AEF">
      <w:pPr>
        <w:pStyle w:val="Footnote"/>
      </w:pPr>
      <w:r w:rsidRPr="00AB2AEF">
        <w:rPr>
          <w:rStyle w:val="EndnoteReference"/>
        </w:rPr>
        <w:endnoteRef/>
      </w:r>
      <w:r w:rsidRPr="00AB2AEF">
        <w:t xml:space="preserve"> Cocheo, </w:t>
      </w:r>
      <w:r>
        <w:t>op. cit.</w:t>
      </w:r>
      <w:r>
        <w:tab/>
      </w:r>
    </w:p>
  </w:endnote>
  <w:endnote w:id="46">
    <w:p w14:paraId="2E9F59EE" w14:textId="33A72324" w:rsidR="0018136F" w:rsidRPr="00AB2AEF" w:rsidRDefault="0018136F" w:rsidP="00AB2AEF">
      <w:pPr>
        <w:pStyle w:val="Footnote"/>
      </w:pPr>
      <w:r w:rsidRPr="00AB2AEF">
        <w:rPr>
          <w:rStyle w:val="EndnoteReference"/>
        </w:rPr>
        <w:endnoteRef/>
      </w:r>
      <w:r w:rsidRPr="00AB2AEF">
        <w:t xml:space="preserve"> Ibid.</w:t>
      </w:r>
    </w:p>
  </w:endnote>
  <w:endnote w:id="47">
    <w:p w14:paraId="3249BD6E" w14:textId="344FDE7A" w:rsidR="0018136F" w:rsidRPr="00AB2AEF" w:rsidRDefault="0018136F" w:rsidP="00AB2AEF">
      <w:pPr>
        <w:pStyle w:val="Footnote"/>
      </w:pPr>
      <w:r w:rsidRPr="00AB2AEF">
        <w:rPr>
          <w:rStyle w:val="EndnoteReference"/>
        </w:rPr>
        <w:endnoteRef/>
      </w:r>
      <w:r w:rsidRPr="00AB2AEF">
        <w:t xml:space="preserve"> </w:t>
      </w:r>
      <w:r>
        <w:t xml:space="preserve">Joel </w:t>
      </w:r>
      <w:r w:rsidRPr="00AB2AEF">
        <w:t xml:space="preserve">Schlesinger, </w:t>
      </w:r>
      <w:r>
        <w:t>“</w:t>
      </w:r>
      <w:r w:rsidRPr="00AB2AEF">
        <w:t xml:space="preserve">Open Banking Could Be </w:t>
      </w:r>
      <w:r>
        <w:t>‘V</w:t>
      </w:r>
      <w:r w:rsidRPr="00AB2AEF">
        <w:t>ery Positive</w:t>
      </w:r>
      <w:r>
        <w:t>’</w:t>
      </w:r>
      <w:r w:rsidRPr="00AB2AEF">
        <w:t xml:space="preserve"> for Financial Advice Business</w:t>
      </w:r>
      <w:r>
        <w:t>,”</w:t>
      </w:r>
      <w:r w:rsidRPr="00AB2AEF">
        <w:t xml:space="preserve"> </w:t>
      </w:r>
      <w:r w:rsidRPr="00A90FDC">
        <w:rPr>
          <w:i/>
        </w:rPr>
        <w:t>Globe and Mail</w:t>
      </w:r>
      <w:r>
        <w:t>,</w:t>
      </w:r>
      <w:r w:rsidRPr="00AB2AEF">
        <w:t xml:space="preserve"> September 20, 2019</w:t>
      </w:r>
      <w:r>
        <w:t>,</w:t>
      </w:r>
      <w:r w:rsidRPr="00AB2AEF">
        <w:t xml:space="preserve"> </w:t>
      </w:r>
      <w:r>
        <w:t>a</w:t>
      </w:r>
      <w:r w:rsidRPr="00AB2AEF">
        <w:t>ccessed August 23, 2020</w:t>
      </w:r>
      <w:r>
        <w:t>,</w:t>
      </w:r>
      <w:r w:rsidRPr="00AB2AEF">
        <w:t xml:space="preserve"> www.theglobeandmail.com/investing/globe-advisor/advisor-news/article-open-banking-could-be-very-positive-for-financial-advice-business/.</w:t>
      </w:r>
    </w:p>
  </w:endnote>
  <w:endnote w:id="48">
    <w:p w14:paraId="51F4E0C1" w14:textId="714EE4C5" w:rsidR="0018136F" w:rsidRPr="00AB2AEF" w:rsidRDefault="0018136F" w:rsidP="00AB2AEF">
      <w:pPr>
        <w:pStyle w:val="Footnote"/>
      </w:pPr>
      <w:r w:rsidRPr="00AB2AEF">
        <w:rPr>
          <w:rStyle w:val="EndnoteReference"/>
        </w:rPr>
        <w:endnoteRef/>
      </w:r>
      <w:r w:rsidRPr="00AB2AEF">
        <w:t xml:space="preserve"> Cocheo, </w:t>
      </w:r>
      <w:r>
        <w:t>op. cit.</w:t>
      </w:r>
      <w:r>
        <w:tab/>
      </w:r>
    </w:p>
  </w:endnote>
  <w:endnote w:id="49">
    <w:p w14:paraId="3A5F2401" w14:textId="19BB7576" w:rsidR="0018136F" w:rsidRPr="00AB2AEF" w:rsidRDefault="0018136F" w:rsidP="00AB2AEF">
      <w:pPr>
        <w:pStyle w:val="Footnote"/>
      </w:pPr>
      <w:r w:rsidRPr="00AB2AEF">
        <w:rPr>
          <w:rStyle w:val="EndnoteReference"/>
        </w:rPr>
        <w:endnoteRef/>
      </w:r>
      <w:r w:rsidRPr="00AB2AEF">
        <w:t xml:space="preserve"> Ibid.</w:t>
      </w:r>
    </w:p>
  </w:endnote>
  <w:endnote w:id="50">
    <w:p w14:paraId="6EF516AC" w14:textId="523B09A4" w:rsidR="0018136F" w:rsidRPr="00AB2AEF" w:rsidRDefault="0018136F" w:rsidP="00AB2AEF">
      <w:pPr>
        <w:pStyle w:val="Footnote"/>
      </w:pPr>
      <w:r w:rsidRPr="00AB2AEF">
        <w:rPr>
          <w:rStyle w:val="EndnoteReference"/>
        </w:rPr>
        <w:endnoteRef/>
      </w:r>
      <w:r w:rsidRPr="00AB2AEF">
        <w:t xml:space="preserve"> Ibid.</w:t>
      </w:r>
    </w:p>
  </w:endnote>
  <w:endnote w:id="51">
    <w:p w14:paraId="4B73BC4B" w14:textId="3DEDC779" w:rsidR="0018136F" w:rsidRPr="00AB2AEF" w:rsidRDefault="0018136F" w:rsidP="00AB2AEF">
      <w:pPr>
        <w:pStyle w:val="Footnote"/>
      </w:pPr>
      <w:r w:rsidRPr="00AB2AEF">
        <w:rPr>
          <w:rStyle w:val="EndnoteReference"/>
        </w:rPr>
        <w:endnoteRef/>
      </w:r>
      <w:r w:rsidRPr="00AB2AEF">
        <w:t xml:space="preserve"> </w:t>
      </w:r>
      <w:r>
        <w:t xml:space="preserve">Jamie </w:t>
      </w:r>
      <w:r w:rsidRPr="00AB2AEF">
        <w:t xml:space="preserve">Dimon, </w:t>
      </w:r>
      <w:r>
        <w:t>“</w:t>
      </w:r>
      <w:r w:rsidRPr="00AB2AEF">
        <w:t>Dear Fellow Shareholders</w:t>
      </w:r>
      <w:r>
        <w:t>,”</w:t>
      </w:r>
      <w:r w:rsidRPr="00AB2AEF">
        <w:t xml:space="preserve"> JPMorgan Chase &amp; Co.</w:t>
      </w:r>
      <w:r>
        <w:t>,</w:t>
      </w:r>
      <w:r w:rsidRPr="00AB2AEF">
        <w:t xml:space="preserve"> April 6, 2016</w:t>
      </w:r>
      <w:r>
        <w:t>,</w:t>
      </w:r>
      <w:r w:rsidRPr="00AB2AEF">
        <w:t xml:space="preserve"> </w:t>
      </w:r>
      <w:r>
        <w:t>a</w:t>
      </w:r>
      <w:r w:rsidRPr="00AB2AEF">
        <w:t>ccessed August 23, 2020</w:t>
      </w:r>
      <w:r>
        <w:t>,</w:t>
      </w:r>
      <w:r w:rsidRPr="00AB2AEF">
        <w:t xml:space="preserve"> www.jpmorganchase.com/corporate/investor-relations/document/ar2015-ceolettershareholders.pdf.</w:t>
      </w:r>
    </w:p>
  </w:endnote>
  <w:endnote w:id="52">
    <w:p w14:paraId="320B742C" w14:textId="32420661" w:rsidR="0018136F" w:rsidRPr="00AB2AEF" w:rsidRDefault="0018136F" w:rsidP="00AB2AEF">
      <w:pPr>
        <w:pStyle w:val="Footnote"/>
      </w:pPr>
      <w:r w:rsidRPr="00AB2AEF">
        <w:rPr>
          <w:rStyle w:val="EndnoteReference"/>
        </w:rPr>
        <w:endnoteRef/>
      </w:r>
      <w:r w:rsidRPr="00AB2AEF">
        <w:t xml:space="preserve"> Ibid.</w:t>
      </w:r>
    </w:p>
  </w:endnote>
  <w:endnote w:id="53">
    <w:p w14:paraId="7C74772D" w14:textId="2FFFC036" w:rsidR="0018136F" w:rsidRPr="00AB2AEF" w:rsidRDefault="0018136F" w:rsidP="00AB2AEF">
      <w:pPr>
        <w:pStyle w:val="Footnote"/>
      </w:pPr>
      <w:r w:rsidRPr="00AB2AEF">
        <w:rPr>
          <w:rStyle w:val="EndnoteReference"/>
        </w:rPr>
        <w:endnoteRef/>
      </w:r>
      <w:r w:rsidRPr="00AB2AEF">
        <w:t xml:space="preserve"> </w:t>
      </w:r>
      <w:r>
        <w:t xml:space="preserve">Kristin </w:t>
      </w:r>
      <w:r w:rsidRPr="00AB2AEF">
        <w:t xml:space="preserve">Wong, </w:t>
      </w:r>
      <w:r>
        <w:t>“</w:t>
      </w:r>
      <w:r w:rsidRPr="00AB2AEF">
        <w:t xml:space="preserve">Consumers Left in Dark When Banks Cut </w:t>
      </w:r>
      <w:r w:rsidR="00363A4E">
        <w:t>o</w:t>
      </w:r>
      <w:r w:rsidRPr="00AB2AEF">
        <w:t>ff Online Finance Services</w:t>
      </w:r>
      <w:r>
        <w:t>,”</w:t>
      </w:r>
      <w:r w:rsidRPr="00AB2AEF">
        <w:t xml:space="preserve"> CNBC</w:t>
      </w:r>
      <w:r>
        <w:t>,</w:t>
      </w:r>
      <w:r w:rsidRPr="00AB2AEF">
        <w:t xml:space="preserve"> November 11, 2015</w:t>
      </w:r>
      <w:r>
        <w:t>,</w:t>
      </w:r>
      <w:r w:rsidRPr="00AB2AEF">
        <w:t xml:space="preserve"> </w:t>
      </w:r>
      <w:r>
        <w:t>a</w:t>
      </w:r>
      <w:r w:rsidRPr="00AB2AEF">
        <w:t>ccessed August 23, 2020</w:t>
      </w:r>
      <w:r>
        <w:t>,</w:t>
      </w:r>
      <w:r w:rsidRPr="00AB2AEF">
        <w:t xml:space="preserve"> www.cnbc.com/2015/11/11/consumers-left-in-dark-when-banks-cut-off-online-finance-services.html.</w:t>
      </w:r>
    </w:p>
  </w:endnote>
  <w:endnote w:id="54">
    <w:p w14:paraId="1B0CE639" w14:textId="4AEBAB42" w:rsidR="0018136F" w:rsidRPr="00AB2AEF" w:rsidRDefault="0018136F" w:rsidP="00AB2AEF">
      <w:pPr>
        <w:pStyle w:val="Footnote"/>
      </w:pPr>
      <w:r w:rsidRPr="00AB2AEF">
        <w:rPr>
          <w:rStyle w:val="EndnoteReference"/>
        </w:rPr>
        <w:endnoteRef/>
      </w:r>
      <w:r w:rsidRPr="00AB2AEF">
        <w:t xml:space="preserve"> </w:t>
      </w:r>
      <w:r>
        <w:t xml:space="preserve">Ron </w:t>
      </w:r>
      <w:r w:rsidRPr="00AB2AEF">
        <w:t xml:space="preserve">Lieber, </w:t>
      </w:r>
      <w:r>
        <w:t>“</w:t>
      </w:r>
      <w:r w:rsidRPr="00AB2AEF">
        <w:t xml:space="preserve">Jamie Dimon Wants to Protect You </w:t>
      </w:r>
      <w:r>
        <w:t>f</w:t>
      </w:r>
      <w:r w:rsidRPr="00AB2AEF">
        <w:t>rom Innovative Start-Ups</w:t>
      </w:r>
      <w:r>
        <w:t>,”</w:t>
      </w:r>
      <w:r w:rsidRPr="00AB2AEF">
        <w:t xml:space="preserve"> </w:t>
      </w:r>
      <w:r w:rsidRPr="00A90FDC">
        <w:rPr>
          <w:i/>
        </w:rPr>
        <w:t>New York Times</w:t>
      </w:r>
      <w:r>
        <w:t>,</w:t>
      </w:r>
      <w:r w:rsidRPr="00AB2AEF">
        <w:t xml:space="preserve"> May 6, 2016</w:t>
      </w:r>
      <w:r>
        <w:t>,</w:t>
      </w:r>
      <w:r w:rsidRPr="00AB2AEF">
        <w:t xml:space="preserve"> </w:t>
      </w:r>
      <w:r>
        <w:t>a</w:t>
      </w:r>
      <w:r w:rsidRPr="00AB2AEF">
        <w:t>ccessed August 23, 2020</w:t>
      </w:r>
      <w:r>
        <w:t>,</w:t>
      </w:r>
      <w:r w:rsidRPr="00AB2AEF">
        <w:t xml:space="preserve"> www.nytimes.com/2016/05/07/your-money/jamie-dimon-wants-to-protect-you-from-innovative-start-ups.html.</w:t>
      </w:r>
    </w:p>
  </w:endnote>
  <w:endnote w:id="55">
    <w:p w14:paraId="58E8C956" w14:textId="2717B89B" w:rsidR="0018136F" w:rsidRPr="00AB2AEF" w:rsidRDefault="0018136F" w:rsidP="00AB2AEF">
      <w:pPr>
        <w:pStyle w:val="Footnote"/>
      </w:pPr>
      <w:r w:rsidRPr="00AB2AEF">
        <w:rPr>
          <w:rStyle w:val="EndnoteReference"/>
        </w:rPr>
        <w:endnoteRef/>
      </w:r>
      <w:r w:rsidRPr="00AB2AEF">
        <w:t xml:space="preserve"> Cocheo, </w:t>
      </w:r>
      <w:r>
        <w:t>op. cit.</w:t>
      </w:r>
      <w:r>
        <w:tab/>
      </w:r>
    </w:p>
  </w:endnote>
  <w:endnote w:id="56">
    <w:p w14:paraId="7580BDA8" w14:textId="54F23BB3" w:rsidR="0018136F" w:rsidRPr="00AB2AEF" w:rsidRDefault="0018136F" w:rsidP="00AB2AEF">
      <w:pPr>
        <w:pStyle w:val="Footnote"/>
      </w:pPr>
      <w:r w:rsidRPr="00AB2AEF">
        <w:rPr>
          <w:rStyle w:val="EndnoteReference"/>
        </w:rPr>
        <w:endnoteRef/>
      </w:r>
      <w:r w:rsidRPr="00AB2AEF">
        <w:t xml:space="preserve"> Ibid.</w:t>
      </w:r>
    </w:p>
  </w:endnote>
  <w:endnote w:id="57">
    <w:p w14:paraId="66F8D8EE" w14:textId="6BE934E4" w:rsidR="0018136F" w:rsidRPr="00602A1F" w:rsidRDefault="0018136F" w:rsidP="00AB2AEF">
      <w:pPr>
        <w:pStyle w:val="Footnote"/>
      </w:pPr>
      <w:r w:rsidRPr="00AB2AEF">
        <w:rPr>
          <w:rStyle w:val="EndnoteReference"/>
        </w:rPr>
        <w:endnoteRef/>
      </w:r>
      <w:r w:rsidRPr="00AB2AEF">
        <w:t xml:space="preserve"> </w:t>
      </w:r>
      <w:r>
        <w:t xml:space="preserve">FinTech Futures, </w:t>
      </w:r>
      <w:r w:rsidRPr="00AB2AEF">
        <w:t xml:space="preserve">“JP Morgan vs </w:t>
      </w:r>
      <w:r>
        <w:t>F</w:t>
      </w:r>
      <w:r w:rsidRPr="00AB2AEF">
        <w:t xml:space="preserve">intechs: Who </w:t>
      </w:r>
      <w:r>
        <w:t>R</w:t>
      </w:r>
      <w:r w:rsidRPr="00AB2AEF">
        <w:t xml:space="preserve">eally </w:t>
      </w:r>
      <w:r>
        <w:t>O</w:t>
      </w:r>
      <w:r w:rsidRPr="00AB2AEF">
        <w:t xml:space="preserve">wns </w:t>
      </w:r>
      <w:r>
        <w:t>Y</w:t>
      </w:r>
      <w:r w:rsidRPr="00AB2AEF">
        <w:t xml:space="preserve">our </w:t>
      </w:r>
      <w:r>
        <w:t>D</w:t>
      </w:r>
      <w:r w:rsidRPr="00AB2AEF">
        <w:t>ata?</w:t>
      </w:r>
      <w:r>
        <w:t>,</w:t>
      </w:r>
      <w:r w:rsidRPr="00AB2AEF">
        <w:t xml:space="preserve">” </w:t>
      </w:r>
      <w:r w:rsidRPr="00A90FDC">
        <w:rPr>
          <w:iCs/>
        </w:rPr>
        <w:t>FinTech Futures</w:t>
      </w:r>
      <w:r w:rsidR="002B20BB">
        <w:rPr>
          <w:iCs/>
        </w:rPr>
        <w:t>: North American Edition</w:t>
      </w:r>
      <w:r w:rsidRPr="00AB2AEF">
        <w:t xml:space="preserve">, April </w:t>
      </w:r>
      <w:r w:rsidRPr="00602A1F">
        <w:t xml:space="preserve">1, 2020, accessed March 15, 2021, </w:t>
      </w:r>
      <w:hyperlink r:id="rId8" w:history="1">
        <w:r w:rsidR="00FD41F2" w:rsidRPr="00704BD2">
          <w:rPr>
            <w:rStyle w:val="Hyperlink"/>
            <w:color w:val="auto"/>
            <w:u w:val="none"/>
          </w:rPr>
          <w:t>www.fintechfutures.com/2020/04/jp-morgan-vs-fintechs-who-really-owns-your-data/</w:t>
        </w:r>
      </w:hyperlink>
      <w:r w:rsidRPr="00602A1F">
        <w:t>.</w:t>
      </w:r>
    </w:p>
  </w:endnote>
  <w:endnote w:id="58">
    <w:p w14:paraId="73A708E3" w14:textId="27377E2C" w:rsidR="0018136F" w:rsidRPr="00602A1F" w:rsidRDefault="0018136F" w:rsidP="00AB2AEF">
      <w:pPr>
        <w:pStyle w:val="Footnote"/>
      </w:pPr>
      <w:r w:rsidRPr="00602A1F">
        <w:rPr>
          <w:rStyle w:val="EndnoteReference"/>
        </w:rPr>
        <w:endnoteRef/>
      </w:r>
      <w:r w:rsidRPr="00602A1F">
        <w:t xml:space="preserve"> Ibid.</w:t>
      </w:r>
    </w:p>
  </w:endnote>
  <w:endnote w:id="59">
    <w:p w14:paraId="6A0CD1EA" w14:textId="12913FDE" w:rsidR="0018136F" w:rsidRPr="00602A1F" w:rsidRDefault="0018136F" w:rsidP="00AB2AEF">
      <w:pPr>
        <w:pStyle w:val="Footnote"/>
      </w:pPr>
      <w:r w:rsidRPr="00602A1F">
        <w:rPr>
          <w:rStyle w:val="EndnoteReference"/>
        </w:rPr>
        <w:endnoteRef/>
      </w:r>
      <w:r w:rsidRPr="00602A1F">
        <w:t xml:space="preserve"> Ibid.</w:t>
      </w:r>
    </w:p>
  </w:endnote>
  <w:endnote w:id="60">
    <w:p w14:paraId="08DDFC1E" w14:textId="21978477" w:rsidR="0018136F" w:rsidRPr="00602A1F" w:rsidRDefault="0018136F" w:rsidP="00AB2AEF">
      <w:pPr>
        <w:pStyle w:val="Footnote"/>
      </w:pPr>
      <w:r w:rsidRPr="00602A1F">
        <w:rPr>
          <w:rStyle w:val="EndnoteReference"/>
        </w:rPr>
        <w:endnoteRef/>
      </w:r>
      <w:r w:rsidRPr="00602A1F">
        <w:t xml:space="preserve"> “JPMorgan Chase, Envestnet l Yodlee Sign Agreement to Increase Customers’ Control of Their Data,” </w:t>
      </w:r>
      <w:r w:rsidR="00997FB7" w:rsidRPr="00602A1F">
        <w:t xml:space="preserve">Chase </w:t>
      </w:r>
      <w:r w:rsidR="00997FB7" w:rsidRPr="00602A1F">
        <w:sym w:font="Symbol" w:char="F0EF"/>
      </w:r>
      <w:r w:rsidR="00997FB7" w:rsidRPr="00602A1F">
        <w:t xml:space="preserve"> Media Center, </w:t>
      </w:r>
      <w:r w:rsidRPr="00602A1F">
        <w:t xml:space="preserve">December 5, 2019, accessed April 14, 2021, </w:t>
      </w:r>
      <w:hyperlink r:id="rId9" w:history="1">
        <w:r w:rsidRPr="00602A1F">
          <w:rPr>
            <w:rStyle w:val="Hyperlink"/>
            <w:color w:val="auto"/>
            <w:u w:val="none"/>
          </w:rPr>
          <w:t>https://media.chase.com/news/jpmorgan-chase-envestnet-yodlee-sign-agreement-to-increase-customerss-control-of-their-data</w:t>
        </w:r>
      </w:hyperlink>
      <w:r w:rsidRPr="00602A1F">
        <w:t>.</w:t>
      </w:r>
    </w:p>
  </w:endnote>
  <w:endnote w:id="61">
    <w:p w14:paraId="471DB2E9" w14:textId="3849D0D0" w:rsidR="0018136F" w:rsidRPr="00602A1F" w:rsidRDefault="0018136F" w:rsidP="00AB2AEF">
      <w:pPr>
        <w:pStyle w:val="Footnote"/>
      </w:pPr>
      <w:r w:rsidRPr="00602A1F">
        <w:rPr>
          <w:rStyle w:val="EndnoteReference"/>
        </w:rPr>
        <w:endnoteRef/>
      </w:r>
      <w:r w:rsidRPr="00602A1F">
        <w:t xml:space="preserve"> Ibid.</w:t>
      </w:r>
    </w:p>
  </w:endnote>
  <w:endnote w:id="62">
    <w:p w14:paraId="59656E55" w14:textId="29156CBB" w:rsidR="0018136F" w:rsidRPr="00602A1F" w:rsidRDefault="0018136F" w:rsidP="00AB2AEF">
      <w:pPr>
        <w:pStyle w:val="Footnote"/>
      </w:pPr>
      <w:r w:rsidRPr="00602A1F">
        <w:rPr>
          <w:rStyle w:val="EndnoteReference"/>
        </w:rPr>
        <w:endnoteRef/>
      </w:r>
      <w:r w:rsidRPr="00602A1F">
        <w:t xml:space="preserve"> Ibid.</w:t>
      </w:r>
    </w:p>
  </w:endnote>
  <w:endnote w:id="63">
    <w:p w14:paraId="23469CFB" w14:textId="35F91927" w:rsidR="0018136F" w:rsidRPr="00602A1F" w:rsidRDefault="0018136F" w:rsidP="00AB2AEF">
      <w:pPr>
        <w:pStyle w:val="Footnote"/>
      </w:pPr>
      <w:r w:rsidRPr="00602A1F">
        <w:rPr>
          <w:rStyle w:val="EndnoteReference"/>
        </w:rPr>
        <w:endnoteRef/>
      </w:r>
      <w:r w:rsidRPr="00602A1F">
        <w:t xml:space="preserve"> Alex Hamilton, “Data Firm </w:t>
      </w:r>
      <w:r w:rsidR="00997FB7" w:rsidRPr="00602A1F">
        <w:t xml:space="preserve">Akoya </w:t>
      </w:r>
      <w:r w:rsidRPr="00602A1F">
        <w:t>Spun Out as Independent Company by FMR,” FinTech Futures</w:t>
      </w:r>
      <w:r w:rsidR="00997FB7" w:rsidRPr="00602A1F">
        <w:t>: North American Edition</w:t>
      </w:r>
      <w:r w:rsidRPr="00602A1F">
        <w:t xml:space="preserve">, February 25, 2020, accessed April 14, 2021, </w:t>
      </w:r>
      <w:hyperlink r:id="rId10" w:history="1">
        <w:r w:rsidR="00FD41F2" w:rsidRPr="00704BD2">
          <w:rPr>
            <w:rStyle w:val="Hyperlink"/>
            <w:color w:val="auto"/>
            <w:u w:val="none"/>
          </w:rPr>
          <w:t>www.fintechfutures.com/2020/02/data-firm-akoya-spun-out-as-independent-company-by-fmr/</w:t>
        </w:r>
      </w:hyperlink>
      <w:r w:rsidRPr="00602A1F">
        <w:t>.</w:t>
      </w:r>
    </w:p>
  </w:endnote>
  <w:endnote w:id="64">
    <w:p w14:paraId="67010473" w14:textId="23060F2A" w:rsidR="0018136F" w:rsidRPr="00602A1F" w:rsidRDefault="0018136F" w:rsidP="00AB2AEF">
      <w:pPr>
        <w:pStyle w:val="Footnote"/>
      </w:pPr>
      <w:r w:rsidRPr="00602A1F">
        <w:rPr>
          <w:rStyle w:val="EndnoteReference"/>
        </w:rPr>
        <w:endnoteRef/>
      </w:r>
      <w:r w:rsidRPr="00602A1F">
        <w:t xml:space="preserve"> John F. Wasik, “Should Fintechs Be Regulated </w:t>
      </w:r>
      <w:r w:rsidR="00363A4E" w:rsidRPr="00602A1F">
        <w:t>l</w:t>
      </w:r>
      <w:r w:rsidRPr="00602A1F">
        <w:t xml:space="preserve">ike Banks?,” BAI, July 24, 2019, accessed April 14, 2021, </w:t>
      </w:r>
      <w:hyperlink r:id="rId11" w:history="1">
        <w:r w:rsidR="00FD41F2" w:rsidRPr="00704BD2">
          <w:rPr>
            <w:rStyle w:val="Hyperlink"/>
            <w:color w:val="auto"/>
            <w:u w:val="none"/>
          </w:rPr>
          <w:t>www.bai.org/banking-strategies/article-detail/should-fintechs-be-regulated-like-banks/</w:t>
        </w:r>
      </w:hyperlink>
      <w:r w:rsidRPr="00602A1F">
        <w:t>.</w:t>
      </w:r>
    </w:p>
  </w:endnote>
  <w:endnote w:id="65">
    <w:p w14:paraId="2D14A39E" w14:textId="3A807F5F" w:rsidR="0018136F" w:rsidRPr="00602A1F" w:rsidRDefault="0018136F" w:rsidP="00AB2AEF">
      <w:pPr>
        <w:pStyle w:val="Footnote"/>
      </w:pPr>
      <w:r w:rsidRPr="00602A1F">
        <w:rPr>
          <w:rStyle w:val="EndnoteReference"/>
        </w:rPr>
        <w:endnoteRef/>
      </w:r>
      <w:r w:rsidRPr="00602A1F">
        <w:t xml:space="preserve"> “List of Best Financial Data Aggregation Service Providers,” Forex News Now, accessed March 15, 2021, </w:t>
      </w:r>
      <w:hyperlink r:id="rId12" w:history="1">
        <w:r w:rsidR="00FD41F2" w:rsidRPr="00704BD2">
          <w:rPr>
            <w:rStyle w:val="Hyperlink"/>
            <w:color w:val="auto"/>
            <w:u w:val="none"/>
          </w:rPr>
          <w:t>www.forexnewsnow.com/providers/financial-data-aggregation-providers/</w:t>
        </w:r>
      </w:hyperlink>
      <w:r w:rsidRPr="00602A1F">
        <w:t>.</w:t>
      </w:r>
    </w:p>
  </w:endnote>
  <w:endnote w:id="66">
    <w:p w14:paraId="0BD5B733" w14:textId="39BF5940" w:rsidR="0018136F" w:rsidRPr="00602A1F" w:rsidRDefault="0018136F" w:rsidP="00AB2AEF">
      <w:pPr>
        <w:pStyle w:val="Footnote"/>
      </w:pPr>
      <w:r w:rsidRPr="00602A1F">
        <w:rPr>
          <w:rStyle w:val="EndnoteReference"/>
        </w:rPr>
        <w:endnoteRef/>
      </w:r>
      <w:r w:rsidRPr="00602A1F">
        <w:t xml:space="preserve"> Ibid.</w:t>
      </w:r>
    </w:p>
  </w:endnote>
  <w:endnote w:id="67">
    <w:p w14:paraId="20E1C7FE" w14:textId="297FCFFF" w:rsidR="0018136F" w:rsidRPr="00602A1F" w:rsidRDefault="0018136F" w:rsidP="00AB2AEF">
      <w:pPr>
        <w:pStyle w:val="Footnote"/>
      </w:pPr>
      <w:r w:rsidRPr="00602A1F">
        <w:rPr>
          <w:rStyle w:val="EndnoteReference"/>
        </w:rPr>
        <w:endnoteRef/>
      </w:r>
      <w:r w:rsidRPr="00602A1F">
        <w:t xml:space="preserve"> Ibid.</w:t>
      </w:r>
    </w:p>
  </w:endnote>
  <w:endnote w:id="68">
    <w:p w14:paraId="10C2120D" w14:textId="6FDCF7A8" w:rsidR="0018136F" w:rsidRPr="00602A1F" w:rsidRDefault="0018136F" w:rsidP="00AB2AEF">
      <w:pPr>
        <w:pStyle w:val="Footnote"/>
      </w:pPr>
      <w:r w:rsidRPr="00602A1F">
        <w:rPr>
          <w:rStyle w:val="EndnoteReference"/>
        </w:rPr>
        <w:endnoteRef/>
      </w:r>
      <w:r w:rsidRPr="00602A1F">
        <w:t xml:space="preserve"> Hugh Son, “Goldman Sachs CEO </w:t>
      </w:r>
      <w:r w:rsidR="009A4567" w:rsidRPr="00602A1F">
        <w:t>S</w:t>
      </w:r>
      <w:r w:rsidRPr="00602A1F">
        <w:t xml:space="preserve">ays Apple Card is the Most Successful Credit Card Launch Ever,” </w:t>
      </w:r>
      <w:r w:rsidRPr="00602A1F">
        <w:rPr>
          <w:iCs/>
        </w:rPr>
        <w:t>CNBC</w:t>
      </w:r>
      <w:r w:rsidRPr="00602A1F">
        <w:t xml:space="preserve">, October 15, 2019, accessed December 16, 2020, </w:t>
      </w:r>
      <w:hyperlink r:id="rId13" w:history="1">
        <w:r w:rsidR="00FD41F2" w:rsidRPr="00704BD2">
          <w:rPr>
            <w:rStyle w:val="Hyperlink"/>
            <w:color w:val="auto"/>
            <w:u w:val="none"/>
          </w:rPr>
          <w:t>www.cnbc.com/2019/10/15/goldman-sachs-ceo-says-apple-card-is-the-most-successful-credit-card-launch-ever.html</w:t>
        </w:r>
      </w:hyperlink>
      <w:r w:rsidRPr="00602A1F">
        <w:t>.</w:t>
      </w:r>
    </w:p>
  </w:endnote>
  <w:endnote w:id="69">
    <w:p w14:paraId="003B27BC" w14:textId="0B15EC5C" w:rsidR="0018136F" w:rsidRPr="00602A1F" w:rsidRDefault="0018136F" w:rsidP="00AB2AEF">
      <w:pPr>
        <w:pStyle w:val="Footnote"/>
      </w:pPr>
      <w:r w:rsidRPr="00602A1F">
        <w:rPr>
          <w:rStyle w:val="EndnoteReference"/>
        </w:rPr>
        <w:endnoteRef/>
      </w:r>
      <w:r w:rsidRPr="00602A1F">
        <w:t xml:space="preserve"> Ron Shevlin, “Amazon’s Impending Invasion of Banking,” </w:t>
      </w:r>
      <w:r w:rsidRPr="00602A1F">
        <w:rPr>
          <w:i/>
          <w:iCs/>
        </w:rPr>
        <w:t>Forbes</w:t>
      </w:r>
      <w:r w:rsidRPr="00602A1F">
        <w:t xml:space="preserve">, July 8, 2019, accessed December 16, 2020, </w:t>
      </w:r>
      <w:hyperlink r:id="rId14" w:history="1">
        <w:r w:rsidR="00FD41F2" w:rsidRPr="00704BD2">
          <w:rPr>
            <w:rStyle w:val="Hyperlink"/>
            <w:color w:val="auto"/>
            <w:u w:val="none"/>
          </w:rPr>
          <w:t>www.forbes.com/sites/ronshevlin/2019/07/08/amazon-invasion/</w:t>
        </w:r>
      </w:hyperlink>
      <w:r w:rsidRPr="00602A1F">
        <w:t>.</w:t>
      </w:r>
    </w:p>
  </w:endnote>
  <w:endnote w:id="70">
    <w:p w14:paraId="7EDB4E45" w14:textId="75D359E3" w:rsidR="0018136F" w:rsidRPr="00AB2AEF" w:rsidRDefault="0018136F" w:rsidP="00AB2AEF">
      <w:pPr>
        <w:pStyle w:val="Footnote"/>
      </w:pPr>
      <w:r w:rsidRPr="00602A1F">
        <w:rPr>
          <w:rStyle w:val="EndnoteReference"/>
        </w:rPr>
        <w:endnoteRef/>
      </w:r>
      <w:r w:rsidRPr="00602A1F">
        <w:t xml:space="preserve"> Kyle Bradshaw, “Google Pay to Launch Digital Bank Accounts in 2021,” </w:t>
      </w:r>
      <w:r w:rsidRPr="00602A1F">
        <w:rPr>
          <w:i/>
          <w:iCs/>
        </w:rPr>
        <w:t>9to5Google,</w:t>
      </w:r>
      <w:r w:rsidRPr="00602A1F">
        <w:t xml:space="preserve"> August 3, 2020, accessed December </w:t>
      </w:r>
      <w:r w:rsidRPr="00AB2AEF">
        <w:t>16, 2020</w:t>
      </w:r>
      <w:r>
        <w:t xml:space="preserve">, </w:t>
      </w:r>
      <w:hyperlink r:id="rId15" w:history="1">
        <w:r w:rsidRPr="00AB2AEF">
          <w:rPr>
            <w:rStyle w:val="Hyperlink"/>
            <w:color w:val="auto"/>
            <w:u w:val="none"/>
          </w:rPr>
          <w:t>https://9to5google.com/2020/08/03/google-pay-digital-bank-accounts/</w:t>
        </w:r>
      </w:hyperlink>
      <w:r w:rsidRPr="00AB2AEF">
        <w:t>.</w:t>
      </w:r>
    </w:p>
  </w:endnote>
  <w:endnote w:id="71">
    <w:p w14:paraId="1EF99A4A" w14:textId="0715446B" w:rsidR="0018136F" w:rsidRPr="00A90FDC" w:rsidRDefault="0018136F" w:rsidP="00A90FDC">
      <w:pPr>
        <w:pStyle w:val="Footnote"/>
        <w:rPr>
          <w:lang w:val="en-CA"/>
        </w:rPr>
      </w:pPr>
      <w:r>
        <w:rPr>
          <w:rStyle w:val="EndnoteReference"/>
        </w:rPr>
        <w:endnoteRef/>
      </w:r>
      <w:r>
        <w:t xml:space="preserve"> </w:t>
      </w:r>
      <w:r>
        <w:rPr>
          <w:lang w:val="en-CA"/>
        </w:rPr>
        <w:t xml:space="preserve">“How China is Changing Your Internet | The New York Times,” </w:t>
      </w:r>
      <w:r w:rsidR="009A4567">
        <w:rPr>
          <w:lang w:val="en-CA"/>
        </w:rPr>
        <w:t xml:space="preserve">August 9, 2016, </w:t>
      </w:r>
      <w:r>
        <w:rPr>
          <w:lang w:val="en-CA"/>
        </w:rPr>
        <w:t xml:space="preserve">YouTube video, 5:57, </w:t>
      </w:r>
      <w:r w:rsidR="009A4567" w:rsidRPr="009A4567">
        <w:rPr>
          <w:lang w:val="en-CA"/>
        </w:rPr>
        <w:t>https://youtu.be/VAesMQ6VtK8</w:t>
      </w:r>
      <w:r>
        <w:rPr>
          <w:lang w:val="en-CA"/>
        </w:rPr>
        <w:t>.</w:t>
      </w:r>
    </w:p>
  </w:endnote>
  <w:endnote w:id="72">
    <w:p w14:paraId="02493F2C" w14:textId="77777777" w:rsidR="00004B19" w:rsidRPr="00AB2AEF" w:rsidRDefault="00004B19" w:rsidP="00004B19">
      <w:pPr>
        <w:pStyle w:val="Footnote"/>
      </w:pPr>
      <w:r w:rsidRPr="00AB2AEF">
        <w:rPr>
          <w:rStyle w:val="EndnoteReference"/>
        </w:rPr>
        <w:endnoteRef/>
      </w:r>
      <w:r w:rsidRPr="00AB2AEF">
        <w:t xml:space="preserve"> “Platform Disruption: The Case of Open Banking</w:t>
      </w:r>
      <w:r>
        <w:t xml:space="preserve"> | Pinar Ozcan, University of Oxford,” </w:t>
      </w:r>
      <w:r w:rsidRPr="00AB2AEF">
        <w:t>January 2, 2020</w:t>
      </w:r>
      <w:r>
        <w:t xml:space="preserve">, YouTube video, 34:43, </w:t>
      </w:r>
      <w:hyperlink r:id="rId16" w:history="1">
        <w:r w:rsidRPr="00AB2AEF">
          <w:rPr>
            <w:rStyle w:val="Hyperlink"/>
            <w:color w:val="auto"/>
            <w:u w:val="none"/>
          </w:rPr>
          <w:t>https://youtu.be/-7tBZ2RMPU8</w:t>
        </w:r>
      </w:hyperlink>
      <w:r w:rsidRPr="00AB2AEF">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D59358" w14:textId="77777777" w:rsidR="002360C7" w:rsidRDefault="002360C7" w:rsidP="00D75295">
      <w:r>
        <w:separator/>
      </w:r>
    </w:p>
  </w:footnote>
  <w:footnote w:type="continuationSeparator" w:id="0">
    <w:p w14:paraId="02B111A0" w14:textId="77777777" w:rsidR="002360C7" w:rsidRDefault="002360C7"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53C84177" w:rsidR="0018136F" w:rsidRPr="00C92CC4" w:rsidRDefault="0018136F"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02A1F">
      <w:rPr>
        <w:rFonts w:ascii="Arial" w:hAnsi="Arial"/>
        <w:b/>
        <w:noProof/>
      </w:rPr>
      <w:t>14</w:t>
    </w:r>
    <w:r>
      <w:rPr>
        <w:rFonts w:ascii="Arial" w:hAnsi="Arial"/>
        <w:b/>
      </w:rPr>
      <w:fldChar w:fldCharType="end"/>
    </w:r>
    <w:r>
      <w:rPr>
        <w:rFonts w:ascii="Arial" w:hAnsi="Arial"/>
        <w:b/>
      </w:rPr>
      <w:tab/>
    </w:r>
    <w:r w:rsidR="00B414DA">
      <w:rPr>
        <w:rFonts w:ascii="Arial" w:hAnsi="Arial"/>
        <w:b/>
      </w:rPr>
      <w:t>9B21M060</w:t>
    </w:r>
  </w:p>
  <w:p w14:paraId="2B53C0A0" w14:textId="77777777" w:rsidR="0018136F" w:rsidRDefault="0018136F" w:rsidP="00D13667">
    <w:pPr>
      <w:pStyle w:val="Header"/>
      <w:tabs>
        <w:tab w:val="clear" w:pos="4680"/>
      </w:tabs>
      <w:rPr>
        <w:sz w:val="18"/>
        <w:szCs w:val="18"/>
      </w:rPr>
    </w:pPr>
  </w:p>
  <w:p w14:paraId="47119730" w14:textId="77777777" w:rsidR="0018136F" w:rsidRPr="00C92CC4" w:rsidRDefault="0018136F"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06A3B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70EF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9105E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3D08D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98DE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E0492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150AFB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2AF04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47E3C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4D6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C202E66"/>
    <w:multiLevelType w:val="hybridMultilevel"/>
    <w:tmpl w:val="7B7C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DF57EE"/>
    <w:multiLevelType w:val="hybridMultilevel"/>
    <w:tmpl w:val="3CECB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14"/>
  </w:num>
  <w:num w:numId="4">
    <w:abstractNumId w:val="21"/>
  </w:num>
  <w:num w:numId="5">
    <w:abstractNumId w:val="15"/>
  </w:num>
  <w:num w:numId="6">
    <w:abstractNumId w:val="19"/>
  </w:num>
  <w:num w:numId="7">
    <w:abstractNumId w:val="10"/>
  </w:num>
  <w:num w:numId="8">
    <w:abstractNumId w:val="23"/>
  </w:num>
  <w:num w:numId="9">
    <w:abstractNumId w:val="20"/>
  </w:num>
  <w:num w:numId="10">
    <w:abstractNumId w:val="12"/>
  </w:num>
  <w:num w:numId="11">
    <w:abstractNumId w:val="17"/>
  </w:num>
  <w:num w:numId="12">
    <w:abstractNumId w:val="18"/>
  </w:num>
  <w:num w:numId="13">
    <w:abstractNumId w:val="11"/>
  </w:num>
  <w:num w:numId="14">
    <w:abstractNumId w:val="13"/>
  </w:num>
  <w:num w:numId="15">
    <w:abstractNumId w:val="0"/>
  </w:num>
  <w:num w:numId="16">
    <w:abstractNumId w:val="1"/>
  </w:num>
  <w:num w:numId="17">
    <w:abstractNumId w:val="2"/>
  </w:num>
  <w:num w:numId="18">
    <w:abstractNumId w:val="3"/>
  </w:num>
  <w:num w:numId="19">
    <w:abstractNumId w:val="8"/>
  </w:num>
  <w:num w:numId="20">
    <w:abstractNumId w:val="4"/>
  </w:num>
  <w:num w:numId="21">
    <w:abstractNumId w:val="5"/>
  </w:num>
  <w:num w:numId="22">
    <w:abstractNumId w:val="6"/>
  </w:num>
  <w:num w:numId="23">
    <w:abstractNumId w:val="7"/>
  </w:num>
  <w:num w:numId="24">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C4"/>
    <w:rsid w:val="0000085A"/>
    <w:rsid w:val="00004B19"/>
    <w:rsid w:val="00013360"/>
    <w:rsid w:val="00016759"/>
    <w:rsid w:val="00017D38"/>
    <w:rsid w:val="000216CE"/>
    <w:rsid w:val="00024ED4"/>
    <w:rsid w:val="00025DC7"/>
    <w:rsid w:val="0003178D"/>
    <w:rsid w:val="00035F09"/>
    <w:rsid w:val="00044ECC"/>
    <w:rsid w:val="000531D3"/>
    <w:rsid w:val="00054C44"/>
    <w:rsid w:val="0005646B"/>
    <w:rsid w:val="000615D1"/>
    <w:rsid w:val="0006468D"/>
    <w:rsid w:val="0008102D"/>
    <w:rsid w:val="00086B26"/>
    <w:rsid w:val="00094C0E"/>
    <w:rsid w:val="00095A1B"/>
    <w:rsid w:val="00097F5D"/>
    <w:rsid w:val="000A146D"/>
    <w:rsid w:val="000B1640"/>
    <w:rsid w:val="000B57FF"/>
    <w:rsid w:val="000D2A2F"/>
    <w:rsid w:val="000D7091"/>
    <w:rsid w:val="000F0C22"/>
    <w:rsid w:val="000F5BB8"/>
    <w:rsid w:val="000F6B09"/>
    <w:rsid w:val="000F6FDC"/>
    <w:rsid w:val="00104567"/>
    <w:rsid w:val="00104916"/>
    <w:rsid w:val="00104AA7"/>
    <w:rsid w:val="00105E70"/>
    <w:rsid w:val="0012732D"/>
    <w:rsid w:val="0014399E"/>
    <w:rsid w:val="00143F25"/>
    <w:rsid w:val="001524ED"/>
    <w:rsid w:val="00152682"/>
    <w:rsid w:val="00154FC9"/>
    <w:rsid w:val="00163A79"/>
    <w:rsid w:val="00165B95"/>
    <w:rsid w:val="001710DE"/>
    <w:rsid w:val="0018136F"/>
    <w:rsid w:val="001901C0"/>
    <w:rsid w:val="0019241A"/>
    <w:rsid w:val="00192A18"/>
    <w:rsid w:val="001A22D1"/>
    <w:rsid w:val="001A3F43"/>
    <w:rsid w:val="001A752D"/>
    <w:rsid w:val="001A757E"/>
    <w:rsid w:val="001B5032"/>
    <w:rsid w:val="001C7777"/>
    <w:rsid w:val="001D344B"/>
    <w:rsid w:val="001E364F"/>
    <w:rsid w:val="001F4222"/>
    <w:rsid w:val="00203A9D"/>
    <w:rsid w:val="00203AA1"/>
    <w:rsid w:val="00213E98"/>
    <w:rsid w:val="00221C46"/>
    <w:rsid w:val="00230150"/>
    <w:rsid w:val="0023081A"/>
    <w:rsid w:val="00233111"/>
    <w:rsid w:val="002360C7"/>
    <w:rsid w:val="0024265A"/>
    <w:rsid w:val="00243F3D"/>
    <w:rsid w:val="0024411B"/>
    <w:rsid w:val="00262220"/>
    <w:rsid w:val="00264785"/>
    <w:rsid w:val="00265FA8"/>
    <w:rsid w:val="0027669F"/>
    <w:rsid w:val="002A67D0"/>
    <w:rsid w:val="002B20BB"/>
    <w:rsid w:val="002B40FF"/>
    <w:rsid w:val="002C4E29"/>
    <w:rsid w:val="002D7423"/>
    <w:rsid w:val="002F460C"/>
    <w:rsid w:val="002F48D6"/>
    <w:rsid w:val="00317391"/>
    <w:rsid w:val="00321523"/>
    <w:rsid w:val="00326216"/>
    <w:rsid w:val="003324DB"/>
    <w:rsid w:val="00336580"/>
    <w:rsid w:val="00340EE8"/>
    <w:rsid w:val="0034490D"/>
    <w:rsid w:val="00350B67"/>
    <w:rsid w:val="00354899"/>
    <w:rsid w:val="00355FD6"/>
    <w:rsid w:val="00363A4E"/>
    <w:rsid w:val="00364118"/>
    <w:rsid w:val="00364A5C"/>
    <w:rsid w:val="003678BD"/>
    <w:rsid w:val="003720BA"/>
    <w:rsid w:val="00373FB1"/>
    <w:rsid w:val="0038531E"/>
    <w:rsid w:val="00396C76"/>
    <w:rsid w:val="003B30D8"/>
    <w:rsid w:val="003B7EF2"/>
    <w:rsid w:val="003C0CFF"/>
    <w:rsid w:val="003C3FA4"/>
    <w:rsid w:val="003D0BA1"/>
    <w:rsid w:val="003F2B0C"/>
    <w:rsid w:val="004105B2"/>
    <w:rsid w:val="0041145A"/>
    <w:rsid w:val="004114F5"/>
    <w:rsid w:val="00412900"/>
    <w:rsid w:val="004221E4"/>
    <w:rsid w:val="004273F8"/>
    <w:rsid w:val="004355A3"/>
    <w:rsid w:val="004372CC"/>
    <w:rsid w:val="00446546"/>
    <w:rsid w:val="00452769"/>
    <w:rsid w:val="00454FA7"/>
    <w:rsid w:val="00465348"/>
    <w:rsid w:val="004979A5"/>
    <w:rsid w:val="004A25E0"/>
    <w:rsid w:val="004A2834"/>
    <w:rsid w:val="004A360A"/>
    <w:rsid w:val="004B1CCB"/>
    <w:rsid w:val="004B5542"/>
    <w:rsid w:val="004B632F"/>
    <w:rsid w:val="004D04A1"/>
    <w:rsid w:val="004D3B73"/>
    <w:rsid w:val="004D3FB1"/>
    <w:rsid w:val="004D57AF"/>
    <w:rsid w:val="004D6995"/>
    <w:rsid w:val="004D6F21"/>
    <w:rsid w:val="004D73A5"/>
    <w:rsid w:val="004F3980"/>
    <w:rsid w:val="005117A2"/>
    <w:rsid w:val="005160F1"/>
    <w:rsid w:val="00516450"/>
    <w:rsid w:val="00524D6E"/>
    <w:rsid w:val="00524F2F"/>
    <w:rsid w:val="00527E5C"/>
    <w:rsid w:val="00532CF5"/>
    <w:rsid w:val="00532E6A"/>
    <w:rsid w:val="005528CB"/>
    <w:rsid w:val="00566771"/>
    <w:rsid w:val="00581E2E"/>
    <w:rsid w:val="00584F15"/>
    <w:rsid w:val="0059514B"/>
    <w:rsid w:val="005A1B0F"/>
    <w:rsid w:val="005B3BA2"/>
    <w:rsid w:val="005B4CE6"/>
    <w:rsid w:val="005B5EFE"/>
    <w:rsid w:val="005C780D"/>
    <w:rsid w:val="005F1F62"/>
    <w:rsid w:val="005F4AD4"/>
    <w:rsid w:val="00602A1F"/>
    <w:rsid w:val="006163F7"/>
    <w:rsid w:val="00627C63"/>
    <w:rsid w:val="0063350B"/>
    <w:rsid w:val="00652606"/>
    <w:rsid w:val="0066383D"/>
    <w:rsid w:val="00666615"/>
    <w:rsid w:val="00673B9D"/>
    <w:rsid w:val="00673CDD"/>
    <w:rsid w:val="00685BD5"/>
    <w:rsid w:val="006946EE"/>
    <w:rsid w:val="006A41D3"/>
    <w:rsid w:val="006A58A9"/>
    <w:rsid w:val="006A606D"/>
    <w:rsid w:val="006C0371"/>
    <w:rsid w:val="006C08B6"/>
    <w:rsid w:val="006C0B1A"/>
    <w:rsid w:val="006C6065"/>
    <w:rsid w:val="006C7F9F"/>
    <w:rsid w:val="006E2F6D"/>
    <w:rsid w:val="006E58F6"/>
    <w:rsid w:val="006E5D0B"/>
    <w:rsid w:val="006E77E1"/>
    <w:rsid w:val="006F131D"/>
    <w:rsid w:val="007007A5"/>
    <w:rsid w:val="00704BD2"/>
    <w:rsid w:val="00711642"/>
    <w:rsid w:val="00712833"/>
    <w:rsid w:val="00720159"/>
    <w:rsid w:val="007228AD"/>
    <w:rsid w:val="00725625"/>
    <w:rsid w:val="00734EB0"/>
    <w:rsid w:val="00736BFA"/>
    <w:rsid w:val="007507C6"/>
    <w:rsid w:val="00751E0B"/>
    <w:rsid w:val="00752BCD"/>
    <w:rsid w:val="00766DA1"/>
    <w:rsid w:val="0077156E"/>
    <w:rsid w:val="007738EE"/>
    <w:rsid w:val="00780D94"/>
    <w:rsid w:val="007866A6"/>
    <w:rsid w:val="00791973"/>
    <w:rsid w:val="007A130D"/>
    <w:rsid w:val="007B6747"/>
    <w:rsid w:val="007D1A2D"/>
    <w:rsid w:val="007D1AB3"/>
    <w:rsid w:val="007D32E6"/>
    <w:rsid w:val="007D34B0"/>
    <w:rsid w:val="007D4102"/>
    <w:rsid w:val="007E2303"/>
    <w:rsid w:val="007E54A7"/>
    <w:rsid w:val="007F43B7"/>
    <w:rsid w:val="00805EB4"/>
    <w:rsid w:val="008122B2"/>
    <w:rsid w:val="00821FFC"/>
    <w:rsid w:val="00825AF0"/>
    <w:rsid w:val="00826376"/>
    <w:rsid w:val="008271CA"/>
    <w:rsid w:val="008277A2"/>
    <w:rsid w:val="00840284"/>
    <w:rsid w:val="008467D5"/>
    <w:rsid w:val="00847D15"/>
    <w:rsid w:val="00874D24"/>
    <w:rsid w:val="00881FFD"/>
    <w:rsid w:val="00887C4C"/>
    <w:rsid w:val="00891F9E"/>
    <w:rsid w:val="008A3EE7"/>
    <w:rsid w:val="008A4DC4"/>
    <w:rsid w:val="008A6168"/>
    <w:rsid w:val="008B438C"/>
    <w:rsid w:val="008B7CC9"/>
    <w:rsid w:val="008D06CA"/>
    <w:rsid w:val="008D3A46"/>
    <w:rsid w:val="008F2385"/>
    <w:rsid w:val="00906663"/>
    <w:rsid w:val="009067A4"/>
    <w:rsid w:val="0090748C"/>
    <w:rsid w:val="00917661"/>
    <w:rsid w:val="00922B1F"/>
    <w:rsid w:val="00927C64"/>
    <w:rsid w:val="00930885"/>
    <w:rsid w:val="0093244F"/>
    <w:rsid w:val="00933D68"/>
    <w:rsid w:val="009340DB"/>
    <w:rsid w:val="009409DB"/>
    <w:rsid w:val="0094618C"/>
    <w:rsid w:val="009508F5"/>
    <w:rsid w:val="0095684B"/>
    <w:rsid w:val="00967C4B"/>
    <w:rsid w:val="00970619"/>
    <w:rsid w:val="00972498"/>
    <w:rsid w:val="00972C98"/>
    <w:rsid w:val="0097481F"/>
    <w:rsid w:val="00974CC6"/>
    <w:rsid w:val="00976AD4"/>
    <w:rsid w:val="009911C6"/>
    <w:rsid w:val="009914E3"/>
    <w:rsid w:val="00995547"/>
    <w:rsid w:val="00997FB7"/>
    <w:rsid w:val="009A05AB"/>
    <w:rsid w:val="009A312F"/>
    <w:rsid w:val="009A4567"/>
    <w:rsid w:val="009A5348"/>
    <w:rsid w:val="009B0AB7"/>
    <w:rsid w:val="009B3917"/>
    <w:rsid w:val="009C76D5"/>
    <w:rsid w:val="009E63C4"/>
    <w:rsid w:val="009E7CE9"/>
    <w:rsid w:val="009F7AA4"/>
    <w:rsid w:val="00A10AD7"/>
    <w:rsid w:val="00A323B0"/>
    <w:rsid w:val="00A559DB"/>
    <w:rsid w:val="00A55FE0"/>
    <w:rsid w:val="00A569EA"/>
    <w:rsid w:val="00A676A0"/>
    <w:rsid w:val="00A71E91"/>
    <w:rsid w:val="00A77520"/>
    <w:rsid w:val="00A8231E"/>
    <w:rsid w:val="00A83C8D"/>
    <w:rsid w:val="00A90FDC"/>
    <w:rsid w:val="00A9289F"/>
    <w:rsid w:val="00AB2AEF"/>
    <w:rsid w:val="00AC3689"/>
    <w:rsid w:val="00AD11FD"/>
    <w:rsid w:val="00AF35FC"/>
    <w:rsid w:val="00AF5556"/>
    <w:rsid w:val="00B03639"/>
    <w:rsid w:val="00B0652A"/>
    <w:rsid w:val="00B140D4"/>
    <w:rsid w:val="00B23BAA"/>
    <w:rsid w:val="00B3047C"/>
    <w:rsid w:val="00B40937"/>
    <w:rsid w:val="00B414DA"/>
    <w:rsid w:val="00B423EF"/>
    <w:rsid w:val="00B453DE"/>
    <w:rsid w:val="00B455C6"/>
    <w:rsid w:val="00B57490"/>
    <w:rsid w:val="00B62497"/>
    <w:rsid w:val="00B72597"/>
    <w:rsid w:val="00B87DC0"/>
    <w:rsid w:val="00B901F9"/>
    <w:rsid w:val="00BA250F"/>
    <w:rsid w:val="00BC4D98"/>
    <w:rsid w:val="00BD2602"/>
    <w:rsid w:val="00BD6EFB"/>
    <w:rsid w:val="00BE24B4"/>
    <w:rsid w:val="00BE3DF5"/>
    <w:rsid w:val="00BE5976"/>
    <w:rsid w:val="00BF5EAB"/>
    <w:rsid w:val="00C02410"/>
    <w:rsid w:val="00C07465"/>
    <w:rsid w:val="00C07F1E"/>
    <w:rsid w:val="00C1584D"/>
    <w:rsid w:val="00C15BE2"/>
    <w:rsid w:val="00C3447F"/>
    <w:rsid w:val="00C37E27"/>
    <w:rsid w:val="00C44714"/>
    <w:rsid w:val="00C45971"/>
    <w:rsid w:val="00C50770"/>
    <w:rsid w:val="00C533EA"/>
    <w:rsid w:val="00C67102"/>
    <w:rsid w:val="00C70700"/>
    <w:rsid w:val="00C70C50"/>
    <w:rsid w:val="00C75F5B"/>
    <w:rsid w:val="00C81491"/>
    <w:rsid w:val="00C81676"/>
    <w:rsid w:val="00C85C5D"/>
    <w:rsid w:val="00C90EC7"/>
    <w:rsid w:val="00C92CC4"/>
    <w:rsid w:val="00C94528"/>
    <w:rsid w:val="00C959A0"/>
    <w:rsid w:val="00CA0AFB"/>
    <w:rsid w:val="00CA20D5"/>
    <w:rsid w:val="00CA258B"/>
    <w:rsid w:val="00CA2C1D"/>
    <w:rsid w:val="00CA2CE1"/>
    <w:rsid w:val="00CA3976"/>
    <w:rsid w:val="00CA50E3"/>
    <w:rsid w:val="00CA757B"/>
    <w:rsid w:val="00CB1BB7"/>
    <w:rsid w:val="00CC1787"/>
    <w:rsid w:val="00CC182C"/>
    <w:rsid w:val="00CC4FDF"/>
    <w:rsid w:val="00CD0824"/>
    <w:rsid w:val="00CD2908"/>
    <w:rsid w:val="00CE6DD9"/>
    <w:rsid w:val="00CF6B41"/>
    <w:rsid w:val="00D03A82"/>
    <w:rsid w:val="00D13667"/>
    <w:rsid w:val="00D15344"/>
    <w:rsid w:val="00D17B67"/>
    <w:rsid w:val="00D212BB"/>
    <w:rsid w:val="00D23941"/>
    <w:rsid w:val="00D23F57"/>
    <w:rsid w:val="00D31BEC"/>
    <w:rsid w:val="00D31F45"/>
    <w:rsid w:val="00D63150"/>
    <w:rsid w:val="00D636BA"/>
    <w:rsid w:val="00D64A32"/>
    <w:rsid w:val="00D64EFC"/>
    <w:rsid w:val="00D75295"/>
    <w:rsid w:val="00D76CE9"/>
    <w:rsid w:val="00D900FD"/>
    <w:rsid w:val="00D97F12"/>
    <w:rsid w:val="00DA6095"/>
    <w:rsid w:val="00DB3FC4"/>
    <w:rsid w:val="00DB42E7"/>
    <w:rsid w:val="00DC09D8"/>
    <w:rsid w:val="00DC34B5"/>
    <w:rsid w:val="00DE01A6"/>
    <w:rsid w:val="00DE0D80"/>
    <w:rsid w:val="00DE5016"/>
    <w:rsid w:val="00DE7A98"/>
    <w:rsid w:val="00DF25F6"/>
    <w:rsid w:val="00DF32C2"/>
    <w:rsid w:val="00DF4556"/>
    <w:rsid w:val="00E11F90"/>
    <w:rsid w:val="00E471A7"/>
    <w:rsid w:val="00E62ADA"/>
    <w:rsid w:val="00E635CF"/>
    <w:rsid w:val="00E669C9"/>
    <w:rsid w:val="00E67A2A"/>
    <w:rsid w:val="00EA4D35"/>
    <w:rsid w:val="00EB0537"/>
    <w:rsid w:val="00EB1A9C"/>
    <w:rsid w:val="00EB1E3B"/>
    <w:rsid w:val="00EC0006"/>
    <w:rsid w:val="00EC6E0A"/>
    <w:rsid w:val="00ED2725"/>
    <w:rsid w:val="00ED4D68"/>
    <w:rsid w:val="00ED4E18"/>
    <w:rsid w:val="00ED7922"/>
    <w:rsid w:val="00EE02C4"/>
    <w:rsid w:val="00EE1F37"/>
    <w:rsid w:val="00EF33FA"/>
    <w:rsid w:val="00F0159C"/>
    <w:rsid w:val="00F105B7"/>
    <w:rsid w:val="00F13220"/>
    <w:rsid w:val="00F17A21"/>
    <w:rsid w:val="00F207BF"/>
    <w:rsid w:val="00F24F53"/>
    <w:rsid w:val="00F36FC2"/>
    <w:rsid w:val="00F37B27"/>
    <w:rsid w:val="00F46556"/>
    <w:rsid w:val="00F50E91"/>
    <w:rsid w:val="00F56799"/>
    <w:rsid w:val="00F57D29"/>
    <w:rsid w:val="00F60786"/>
    <w:rsid w:val="00F81E21"/>
    <w:rsid w:val="00F83849"/>
    <w:rsid w:val="00F9003E"/>
    <w:rsid w:val="00F91BC7"/>
    <w:rsid w:val="00F96201"/>
    <w:rsid w:val="00FA1BBC"/>
    <w:rsid w:val="00FB2C4F"/>
    <w:rsid w:val="00FB3A5D"/>
    <w:rsid w:val="00FB462B"/>
    <w:rsid w:val="00FD0B18"/>
    <w:rsid w:val="00FD0DAD"/>
    <w:rsid w:val="00FD2FAD"/>
    <w:rsid w:val="00FD41F2"/>
    <w:rsid w:val="00FE4E54"/>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9AA937"/>
  <w15:docId w15:val="{5C2378F4-517D-4490-9B21-C8472BEA6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72590">
      <w:bodyDiv w:val="1"/>
      <w:marLeft w:val="0"/>
      <w:marRight w:val="0"/>
      <w:marTop w:val="0"/>
      <w:marBottom w:val="0"/>
      <w:divBdr>
        <w:top w:val="none" w:sz="0" w:space="0" w:color="auto"/>
        <w:left w:val="none" w:sz="0" w:space="0" w:color="auto"/>
        <w:bottom w:val="none" w:sz="0" w:space="0" w:color="auto"/>
        <w:right w:val="none" w:sz="0" w:space="0" w:color="auto"/>
      </w:divBdr>
    </w:div>
    <w:div w:id="1072192093">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ssets.ey.com/content/dam/ey-sites/ey-com/en_gl/topics/banking-and-capital-markets/ey-global-fintech-adoption-index.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ssets.ey.com/content/dam/ey-sites/ey-com/en_gl/topics/banking-and-capital-markets/ey-global-fintech-adoption-index.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assets.ey.com/content/dam/ey-sites/ey-com/en_gl/topics/banking-and-capital-markets/ey-global-fintech-adoption-index.pdf" TargetMode="External"/><Relationship Id="rId10" Type="http://schemas.openxmlformats.org/officeDocument/2006/relationships/hyperlink" Target="https://assets.ey.com/content/dam/ey-sites/ey-com/en_gl/topics/banking-and-capital-markets/ey-global-fintech-adoption-index.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endnotes.xml.rels><?xml version="1.0" encoding="UTF-8" standalone="yes"?>
<Relationships xmlns="http://schemas.openxmlformats.org/package/2006/relationships"><Relationship Id="rId8" Type="http://schemas.openxmlformats.org/officeDocument/2006/relationships/hyperlink" Target="http://www.fintechfutures.com/2020/04/jp-morgan-vs-fintechs-who-really-owns-your-data/" TargetMode="External"/><Relationship Id="rId13" Type="http://schemas.openxmlformats.org/officeDocument/2006/relationships/hyperlink" Target="http://www.cnbc.com/2019/10/15/goldman-sachs-ceo-says-apple-card-is-the-most-successful-credit-card-launch-ever.html" TargetMode="External"/><Relationship Id="rId3" Type="http://schemas.openxmlformats.org/officeDocument/2006/relationships/hyperlink" Target="http://www.investopedia.com/terms/r/retailbanking.asp" TargetMode="External"/><Relationship Id="rId7" Type="http://schemas.openxmlformats.org/officeDocument/2006/relationships/hyperlink" Target="http://www.investopedia.com/terms/o/open-banking.asp" TargetMode="External"/><Relationship Id="rId12" Type="http://schemas.openxmlformats.org/officeDocument/2006/relationships/hyperlink" Target="http://www.forexnewsnow.com/providers/financial-data-aggregation-providers/" TargetMode="External"/><Relationship Id="rId2" Type="http://schemas.openxmlformats.org/officeDocument/2006/relationships/hyperlink" Target="https://thefinancialbrand.com/93646/financial-budget-management-app-data-sharing-fintech-digital-cfpb/" TargetMode="External"/><Relationship Id="rId16" Type="http://schemas.openxmlformats.org/officeDocument/2006/relationships/hyperlink" Target="https://youtu.be/-7tBZ2RMPU8" TargetMode="External"/><Relationship Id="rId1" Type="http://schemas.openxmlformats.org/officeDocument/2006/relationships/hyperlink" Target="https://medium.com/tokyo-fintech/open-banking-case-study-j-p-morgan-treasury-services-a971c7507285" TargetMode="External"/><Relationship Id="rId6" Type="http://schemas.openxmlformats.org/officeDocument/2006/relationships/hyperlink" Target="http://www.acorns.com" TargetMode="External"/><Relationship Id="rId11" Type="http://schemas.openxmlformats.org/officeDocument/2006/relationships/hyperlink" Target="http://www.bai.org/banking-strategies/article-detail/should-fintechs-be-regulated-like-banks/" TargetMode="External"/><Relationship Id="rId5" Type="http://schemas.openxmlformats.org/officeDocument/2006/relationships/hyperlink" Target="http://www.paymentscardsandmobile.com/fintech-investment-reaches-record-levels/" TargetMode="External"/><Relationship Id="rId15" Type="http://schemas.openxmlformats.org/officeDocument/2006/relationships/hyperlink" Target="https://9to5google.com/2020/08/03/google-pay-digital-bank-accounts/" TargetMode="External"/><Relationship Id="rId10" Type="http://schemas.openxmlformats.org/officeDocument/2006/relationships/hyperlink" Target="http://www.fintechfutures.com/2020/02/data-firm-akoya-spun-out-as-independent-company-by-fmr/" TargetMode="External"/><Relationship Id="rId4" Type="http://schemas.openxmlformats.org/officeDocument/2006/relationships/hyperlink" Target="https://abcnews.go.com/Business/wireStory/banks-made-2331-billion-profits-2019-regulator-69205274" TargetMode="External"/><Relationship Id="rId9" Type="http://schemas.openxmlformats.org/officeDocument/2006/relationships/hyperlink" Target="https://media.chase.com/news/jpmorgan-chase-envestnet-yodlee-sign-agreement-to-increase-customerss-control-of-their-data" TargetMode="External"/><Relationship Id="rId14" Type="http://schemas.openxmlformats.org/officeDocument/2006/relationships/hyperlink" Target="http://www.forbes.com/sites/ronshevlin/2019/07/08/amazon-inva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D31F2F-8ECC-4FCB-8225-B2D986F90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14</Pages>
  <Words>4787</Words>
  <Characters>27286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PC CHECK</cp:lastModifiedBy>
  <cp:revision>5</cp:revision>
  <cp:lastPrinted>2021-05-25T11:30:00Z</cp:lastPrinted>
  <dcterms:created xsi:type="dcterms:W3CDTF">2021-05-25T11:29:00Z</dcterms:created>
  <dcterms:modified xsi:type="dcterms:W3CDTF">2021-10-27T13:07:00Z</dcterms:modified>
</cp:coreProperties>
</file>