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388B8" w14:textId="77777777" w:rsidR="004258D6" w:rsidRDefault="004258D6" w:rsidP="004258D6">
      <w:pPr>
        <w:pBdr>
          <w:bottom w:val="single" w:sz="18" w:space="1" w:color="auto"/>
        </w:pBdr>
        <w:tabs>
          <w:tab w:val="left" w:pos="-1440"/>
          <w:tab w:val="left" w:pos="-720"/>
          <w:tab w:val="left" w:pos="1"/>
        </w:tabs>
        <w:jc w:val="both"/>
        <w:rPr>
          <w:rFonts w:ascii="Arial" w:hAnsi="Arial"/>
          <w:b/>
          <w:sz w:val="24"/>
        </w:rPr>
      </w:pPr>
      <w:r>
        <w:rPr>
          <w:rFonts w:ascii="Arial" w:hAnsi="Arial"/>
          <w:b/>
          <w:noProof/>
        </w:rPr>
        <w:drawing>
          <wp:anchor distT="0" distB="0" distL="114300" distR="114300" simplePos="0" relativeHeight="251659264" behindDoc="0" locked="0" layoutInCell="1" allowOverlap="1" wp14:anchorId="08D0E6C9" wp14:editId="6E01FD87">
            <wp:simplePos x="0" y="0"/>
            <wp:positionH relativeFrom="column">
              <wp:posOffset>3037205</wp:posOffset>
            </wp:positionH>
            <wp:positionV relativeFrom="paragraph">
              <wp:posOffset>114300</wp:posOffset>
            </wp:positionV>
            <wp:extent cx="2903518" cy="327804"/>
            <wp:effectExtent l="0" t="0" r="0" b="0"/>
            <wp:wrapNone/>
            <wp:docPr id="3" name="Picture 3" descr="Concordia University John Molson School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518" cy="327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69EA">
        <w:rPr>
          <w:rFonts w:ascii="Arial" w:hAnsi="Arial"/>
          <w:b/>
          <w:noProof/>
          <w:sz w:val="24"/>
          <w:lang w:val="en-CA" w:eastAsia="en-CA"/>
        </w:rPr>
        <w:drawing>
          <wp:inline distT="0" distB="0" distL="0" distR="0" wp14:anchorId="17C6161E" wp14:editId="05AD5989">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0B0C70C" w14:textId="4DB20430" w:rsidR="004258D6" w:rsidRPr="00052171" w:rsidRDefault="004258D6" w:rsidP="004258D6">
      <w:pPr>
        <w:pStyle w:val="ProductNumber"/>
      </w:pPr>
      <w:r>
        <w:t>9B21M061</w:t>
      </w:r>
    </w:p>
    <w:p w14:paraId="0DB53B7B" w14:textId="77777777" w:rsidR="00D75295" w:rsidRPr="00930C7A" w:rsidRDefault="00D75295" w:rsidP="00D75295">
      <w:pPr>
        <w:jc w:val="right"/>
        <w:rPr>
          <w:rFonts w:ascii="Arial" w:hAnsi="Arial"/>
          <w:b/>
        </w:rPr>
      </w:pPr>
    </w:p>
    <w:p w14:paraId="7CB7A40A" w14:textId="77777777" w:rsidR="001901C0" w:rsidRPr="00930C7A" w:rsidRDefault="001901C0" w:rsidP="00D75295">
      <w:pPr>
        <w:jc w:val="right"/>
        <w:rPr>
          <w:rFonts w:ascii="Arial" w:hAnsi="Arial"/>
          <w:b/>
        </w:rPr>
      </w:pPr>
    </w:p>
    <w:p w14:paraId="2C1D02FA" w14:textId="77777777" w:rsidR="00013360" w:rsidRPr="00930C7A" w:rsidRDefault="00CC5874" w:rsidP="00013360">
      <w:pPr>
        <w:pStyle w:val="CaseTitle"/>
        <w:spacing w:after="0" w:line="240" w:lineRule="auto"/>
        <w:rPr>
          <w:rFonts w:eastAsiaTheme="minorEastAsia"/>
          <w:color w:val="auto"/>
          <w:sz w:val="20"/>
          <w:szCs w:val="20"/>
        </w:rPr>
      </w:pPr>
      <w:r w:rsidRPr="00930C7A">
        <w:rPr>
          <w:color w:val="auto"/>
          <w:lang w:eastAsia="zh-CN"/>
        </w:rPr>
        <w:t>UCOMMUNE: CREATING A BUSINESS MODEL FOR THE CO-WORKING SPACE INDUSTRY</w:t>
      </w:r>
      <w:r w:rsidR="00906603" w:rsidRPr="00930C7A">
        <w:rPr>
          <w:rFonts w:eastAsiaTheme="minorEastAsia"/>
          <w:color w:val="auto"/>
          <w:lang w:eastAsia="zh-CN"/>
        </w:rPr>
        <w:t xml:space="preserve"> </w:t>
      </w:r>
      <w:r w:rsidR="00416633" w:rsidRPr="00930C7A">
        <w:rPr>
          <w:rFonts w:eastAsiaTheme="minorEastAsia"/>
          <w:color w:val="auto"/>
          <w:lang w:eastAsia="zh-CN"/>
        </w:rPr>
        <w:t>IN CHINA</w:t>
      </w:r>
    </w:p>
    <w:p w14:paraId="700807A9" w14:textId="77777777" w:rsidR="00CA3976" w:rsidRPr="00930C7A" w:rsidRDefault="00CA3976" w:rsidP="00013360">
      <w:pPr>
        <w:pStyle w:val="CaseTitle"/>
        <w:spacing w:after="0" w:line="240" w:lineRule="auto"/>
        <w:rPr>
          <w:color w:val="auto"/>
          <w:sz w:val="20"/>
          <w:szCs w:val="20"/>
        </w:rPr>
      </w:pPr>
    </w:p>
    <w:p w14:paraId="7F1ACC3C" w14:textId="77777777" w:rsidR="00013360" w:rsidRPr="00930C7A" w:rsidRDefault="00013360" w:rsidP="00013360">
      <w:pPr>
        <w:pStyle w:val="CaseTitle"/>
        <w:spacing w:after="0" w:line="240" w:lineRule="auto"/>
        <w:rPr>
          <w:color w:val="auto"/>
          <w:sz w:val="20"/>
          <w:szCs w:val="20"/>
        </w:rPr>
      </w:pPr>
    </w:p>
    <w:p w14:paraId="421A2517" w14:textId="77777777" w:rsidR="00086B26" w:rsidRPr="00930C7A" w:rsidRDefault="000C5A62" w:rsidP="00086B26">
      <w:pPr>
        <w:pStyle w:val="StyleCopyrightStatementAfter0ptBottomSinglesolidline1"/>
        <w:rPr>
          <w:color w:val="auto"/>
        </w:rPr>
      </w:pPr>
      <w:r w:rsidRPr="00930C7A">
        <w:rPr>
          <w:color w:val="auto"/>
        </w:rPr>
        <w:t>Professors</w:t>
      </w:r>
      <w:r w:rsidRPr="00930C7A">
        <w:rPr>
          <w:rFonts w:eastAsia="SimSun"/>
          <w:color w:val="auto"/>
          <w:lang w:eastAsia="zh-CN"/>
        </w:rPr>
        <w:t xml:space="preserve"> </w:t>
      </w:r>
      <w:r w:rsidR="007749E7" w:rsidRPr="00930C7A">
        <w:rPr>
          <w:color w:val="auto"/>
        </w:rPr>
        <w:t>Xiangyang Ma, Yaorong Zhu, Yixin Xue, Yiting Han, and Tieshan Li</w:t>
      </w:r>
      <w:r w:rsidR="00ED7922" w:rsidRPr="00930C7A">
        <w:rPr>
          <w:rFonts w:cs="Arial"/>
          <w:color w:val="auto"/>
          <w:szCs w:val="16"/>
        </w:rPr>
        <w:t xml:space="preserve"> </w:t>
      </w:r>
      <w:r w:rsidR="00086B26" w:rsidRPr="00930C7A">
        <w:rPr>
          <w:color w:val="auto"/>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00DB09C" w14:textId="77777777" w:rsidR="00086B26" w:rsidRPr="00930C7A" w:rsidRDefault="00086B26" w:rsidP="00086B26">
      <w:pPr>
        <w:pStyle w:val="StyleCopyrightStatementAfter0ptBottomSinglesolidline1"/>
        <w:rPr>
          <w:color w:val="auto"/>
        </w:rPr>
      </w:pPr>
    </w:p>
    <w:p w14:paraId="13441444" w14:textId="77777777" w:rsidR="004258D6" w:rsidRPr="00A323B0" w:rsidRDefault="004258D6" w:rsidP="004258D6">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5CA2C27" w14:textId="77777777" w:rsidR="004258D6" w:rsidRPr="00A323B0" w:rsidRDefault="004258D6" w:rsidP="004258D6">
      <w:pPr>
        <w:pStyle w:val="StyleStyleCopyrightStatementAfter0ptBottomSinglesolid"/>
        <w:rPr>
          <w:rFonts w:cs="Arial"/>
          <w:szCs w:val="16"/>
        </w:rPr>
      </w:pPr>
    </w:p>
    <w:p w14:paraId="2782C296" w14:textId="4A83E78A" w:rsidR="00751E0B" w:rsidRPr="00930C7A" w:rsidRDefault="004258D6" w:rsidP="004258D6">
      <w:pPr>
        <w:pStyle w:val="StyleStyleCopyrightStatementAfter0ptBottomSinglesolid"/>
        <w:rPr>
          <w:rFonts w:cs="Arial"/>
          <w:color w:val="auto"/>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2021-06-11</w:t>
      </w:r>
    </w:p>
    <w:p w14:paraId="5E6FB3CE" w14:textId="77777777" w:rsidR="00751E0B" w:rsidRPr="00930C7A" w:rsidRDefault="00751E0B" w:rsidP="00751E0B">
      <w:pPr>
        <w:pStyle w:val="StyleCopyrightStatementAfter0ptBottomSinglesolidline1"/>
        <w:rPr>
          <w:rFonts w:ascii="Times New Roman" w:hAnsi="Times New Roman"/>
          <w:color w:val="auto"/>
          <w:sz w:val="20"/>
        </w:rPr>
      </w:pPr>
    </w:p>
    <w:p w14:paraId="7E51D254" w14:textId="77777777" w:rsidR="00776A25" w:rsidRPr="00930C7A" w:rsidRDefault="00776A25" w:rsidP="00913432">
      <w:pPr>
        <w:pStyle w:val="BodyTextMain"/>
      </w:pPr>
    </w:p>
    <w:p w14:paraId="23FEE152" w14:textId="101177C5" w:rsidR="007D1F30" w:rsidRPr="00930C7A" w:rsidRDefault="00174F72" w:rsidP="00174F72">
      <w:pPr>
        <w:pStyle w:val="BodyTextMain"/>
      </w:pPr>
      <w:r w:rsidRPr="00930C7A">
        <w:t>In early 2020, the sudden outbreak of COVID-19</w:t>
      </w:r>
      <w:r w:rsidR="00E23AA5" w:rsidRPr="00930C7A">
        <w:sym w:font="Symbol" w:char="F0BE"/>
      </w:r>
      <w:r w:rsidR="00E23AA5" w:rsidRPr="00930C7A">
        <w:t>according to some</w:t>
      </w:r>
      <w:r w:rsidRPr="00930C7A">
        <w:t xml:space="preserve">, </w:t>
      </w:r>
      <w:r w:rsidR="00E23AA5" w:rsidRPr="00930C7A">
        <w:t>a</w:t>
      </w:r>
      <w:r w:rsidRPr="00930C7A">
        <w:t xml:space="preserve"> black swan event</w:t>
      </w:r>
      <w:r w:rsidR="00E23AA5" w:rsidRPr="00930C7A">
        <w:sym w:font="Symbol" w:char="F0BE"/>
      </w:r>
      <w:r w:rsidRPr="00930C7A">
        <w:t>severely shocked economies around the world.</w:t>
      </w:r>
      <w:r w:rsidR="007D1F30" w:rsidRPr="00930C7A">
        <w:rPr>
          <w:rStyle w:val="EndnoteReference"/>
        </w:rPr>
        <w:endnoteReference w:id="1"/>
      </w:r>
      <w:r w:rsidR="007D1F30" w:rsidRPr="00930C7A">
        <w:t xml:space="preserve"> As for China, its gross domestic product in the first quarter fell 6.8 per cent </w:t>
      </w:r>
      <w:r w:rsidR="007D1F30">
        <w:t>year on year</w:t>
      </w:r>
      <w:r w:rsidR="007D1F30" w:rsidRPr="00930C7A">
        <w:t>.</w:t>
      </w:r>
      <w:r w:rsidR="007D1F30" w:rsidRPr="00930C7A">
        <w:rPr>
          <w:rStyle w:val="EndnoteReference"/>
        </w:rPr>
        <w:endnoteReference w:id="2"/>
      </w:r>
      <w:r w:rsidR="007D1F30" w:rsidRPr="00930C7A">
        <w:t xml:space="preserve"> Meanwhile, the number of registered enterprises in numerous industries witnessed a precipitous decline in growth. As providers of office space solutions to enterprises, co-working space operators, including Ucommune, also fac</w:t>
      </w:r>
      <w:r w:rsidR="007D1F30" w:rsidRPr="00930C7A">
        <w:rPr>
          <w:rFonts w:eastAsiaTheme="minorEastAsia"/>
          <w:lang w:eastAsia="zh-CN"/>
        </w:rPr>
        <w:t>ed</w:t>
      </w:r>
      <w:r w:rsidR="007D1F30" w:rsidRPr="00930C7A">
        <w:t xml:space="preserve"> unprecedented challenges. Daqing Mao, founder of Ucommune, wrote: “With the changes in the economic environment, Ucommune, a platform attributing the growth of its own value to empowering [the] value of enterprises, soon perceived the negative impact of the decline in economic activity caused by the economic condition.” </w:t>
      </w:r>
      <w:r w:rsidR="007D1F30">
        <w:t>Through online livestreaming on</w:t>
      </w:r>
      <w:r w:rsidR="007D1F30" w:rsidRPr="00930C7A">
        <w:t xml:space="preserve"> the evening of March 1, 2020, Mao discussed the topic of how to help small and medium-sized enterprises turn crises into opportunities against the background of the </w:t>
      </w:r>
      <w:r w:rsidR="00DD4976">
        <w:t>COVID</w:t>
      </w:r>
      <w:r w:rsidR="007D1F30">
        <w:t>-19</w:t>
      </w:r>
      <w:r w:rsidR="007D1F30" w:rsidRPr="00930C7A">
        <w:t xml:space="preserve"> pandemic. In fact, that year happened to mark the fifth year since Mao had started his own business.</w:t>
      </w:r>
    </w:p>
    <w:p w14:paraId="0416C38F" w14:textId="77777777" w:rsidR="007D1F30" w:rsidRPr="00930C7A" w:rsidRDefault="007D1F30" w:rsidP="00174F72">
      <w:pPr>
        <w:pStyle w:val="BodyTextMain"/>
      </w:pPr>
    </w:p>
    <w:p w14:paraId="78590456" w14:textId="79B3C763" w:rsidR="007D1F30" w:rsidRPr="00930C7A" w:rsidRDefault="007D1F30" w:rsidP="00174F72">
      <w:pPr>
        <w:pStyle w:val="BodyTextMain"/>
      </w:pPr>
      <w:r w:rsidRPr="00930C7A">
        <w:t xml:space="preserve">In March 2015, Mao resigned from the position of senior vice-president of Vanke Group, a leader in China’s real estate industry. Then, in April 2015, he announced the establishment of Ucommune. Under Mao’s leadership, Ucommune provided shared office spaces for enterprises and individuals as tenants. Moreover, it also offered comprehensive services—including advertising and branding services, human resources services, legal services, incubation and corporate venturing services, and various types of </w:t>
      </w:r>
      <w:r w:rsidRPr="00930C7A">
        <w:rPr>
          <w:rFonts w:eastAsiaTheme="minorEastAsia"/>
          <w:lang w:eastAsia="zh-CN"/>
        </w:rPr>
        <w:t>individual</w:t>
      </w:r>
      <w:r w:rsidRPr="00930C7A">
        <w:t xml:space="preserve"> services—to fully empower enterprise and individual members. In addition, Ucommune initiated a series of practices that included establishing a service ecosystem, exploring smart office solutions, </w:t>
      </w:r>
      <w:bookmarkStart w:id="0" w:name="_Hlk54617861"/>
      <w:r w:rsidRPr="00930C7A">
        <w:t>fostering a community</w:t>
      </w:r>
      <w:bookmarkEnd w:id="0"/>
      <w:r w:rsidRPr="00930C7A">
        <w:t>, and developing e-commerce business.</w:t>
      </w:r>
    </w:p>
    <w:p w14:paraId="0A084AB6" w14:textId="77777777" w:rsidR="007D1F30" w:rsidRPr="00930C7A" w:rsidRDefault="007D1F30" w:rsidP="00174F72">
      <w:pPr>
        <w:pStyle w:val="BodyTextMain"/>
        <w:rPr>
          <w:rFonts w:eastAsia="SimSun"/>
          <w:lang w:eastAsia="zh-CN"/>
        </w:rPr>
      </w:pPr>
    </w:p>
    <w:p w14:paraId="7B26D825" w14:textId="55E332BF" w:rsidR="007D1F30" w:rsidRPr="00930C7A" w:rsidRDefault="007D1F30" w:rsidP="00174F72">
      <w:pPr>
        <w:pStyle w:val="BodyTextMain"/>
      </w:pPr>
      <w:r w:rsidRPr="00930C7A">
        <w:rPr>
          <w:rFonts w:eastAsia="SimSun"/>
          <w:lang w:eastAsia="zh-CN"/>
        </w:rPr>
        <w:t xml:space="preserve">Unremitting efforts enabled Ucommune to achieve rapid development. As of September 30, 2019, Ucommune had 197 co-working spaces in more than 40 cities, and had entered the Singapore and </w:t>
      </w:r>
      <w:r>
        <w:rPr>
          <w:rFonts w:eastAsia="SimSun"/>
          <w:lang w:eastAsia="zh-CN"/>
        </w:rPr>
        <w:t>US</w:t>
      </w:r>
      <w:r w:rsidRPr="00930C7A">
        <w:rPr>
          <w:rFonts w:eastAsia="SimSun"/>
          <w:lang w:eastAsia="zh-CN"/>
        </w:rPr>
        <w:t xml:space="preserve"> markets. Its total management area was approximately 608,600</w:t>
      </w:r>
      <w:r>
        <w:rPr>
          <w:rFonts w:eastAsia="SimSun"/>
          <w:lang w:eastAsia="zh-CN"/>
        </w:rPr>
        <w:t xml:space="preserve"> </w:t>
      </w:r>
      <w:r w:rsidRPr="00930C7A">
        <w:t>square metres</w:t>
      </w:r>
      <w:r w:rsidRPr="00930C7A">
        <w:rPr>
          <w:rFonts w:eastAsia="SimSun"/>
          <w:lang w:eastAsia="zh-CN"/>
        </w:rPr>
        <w:t>, with the number of workstations reaching 72,700. In general, Ucommune had grown into China’s largest co-working space provider, and its brand had become the most recognized co-working space brand in China.</w:t>
      </w:r>
      <w:r w:rsidRPr="00930C7A">
        <w:rPr>
          <w:rStyle w:val="EndnoteReference"/>
          <w:rFonts w:eastAsia="SimSun"/>
          <w:lang w:eastAsia="zh-CN"/>
        </w:rPr>
        <w:endnoteReference w:id="3"/>
      </w:r>
      <w:r w:rsidRPr="00930C7A">
        <w:rPr>
          <w:rFonts w:eastAsia="SimSun"/>
          <w:lang w:eastAsia="zh-CN"/>
        </w:rPr>
        <w:t xml:space="preserve"> Besides this, Ucommune was attempting to facilitate the establishment and improvement of the norms and standards of the co-working space industry and contribute to the industry’s development.</w:t>
      </w:r>
    </w:p>
    <w:p w14:paraId="1C3EEDD8" w14:textId="77777777" w:rsidR="007D1F30" w:rsidRPr="00930C7A" w:rsidRDefault="007D1F30" w:rsidP="00174F72">
      <w:pPr>
        <w:pStyle w:val="BodyTextMain"/>
      </w:pPr>
    </w:p>
    <w:p w14:paraId="35372840" w14:textId="710EBA61" w:rsidR="007D1F30" w:rsidRPr="00580D50" w:rsidRDefault="007D1F30" w:rsidP="00174F72">
      <w:pPr>
        <w:pStyle w:val="BodyTextMain"/>
        <w:rPr>
          <w:spacing w:val="-4"/>
        </w:rPr>
      </w:pPr>
      <w:r w:rsidRPr="00580D50">
        <w:rPr>
          <w:spacing w:val="-4"/>
        </w:rPr>
        <w:lastRenderedPageBreak/>
        <w:t xml:space="preserve">Mao had grand business ambitions for Ucommune. The company’s vision was “to serve millions of enterprises and represent a better life of future cities,” and its mission was “to cultivate a new working culture anchored in four pillars: ‘Sharing, Innovation, Responsibility and Success for all.’” Regarding Ucommune’s vision and mission, Mao explained, “All of this comes from the first day of our business: [an] office should be a nice thing, and people in the workspace should feel happy.” Since founding Ucommune in 2015, </w:t>
      </w:r>
      <w:bookmarkStart w:id="1" w:name="_Hlk54618074"/>
      <w:r w:rsidRPr="00580D50">
        <w:rPr>
          <w:spacing w:val="-4"/>
        </w:rPr>
        <w:t>Mao had also been pondering</w:t>
      </w:r>
      <w:bookmarkEnd w:id="1"/>
      <w:r w:rsidRPr="00580D50">
        <w:rPr>
          <w:spacing w:val="-4"/>
        </w:rPr>
        <w:t xml:space="preserve"> the future of the co-working space industry in general. For Mao, the process of creating a business model for Ucommune meant an unknown journey into exploring the future of the industry. To achieve his great ambitions</w:t>
      </w:r>
      <w:r w:rsidRPr="00580D50">
        <w:rPr>
          <w:rFonts w:eastAsia="SimSun"/>
          <w:spacing w:val="-4"/>
          <w:lang w:eastAsia="zh-CN"/>
        </w:rPr>
        <w:t xml:space="preserve">, </w:t>
      </w:r>
      <w:r w:rsidRPr="00580D50">
        <w:rPr>
          <w:spacing w:val="-4"/>
        </w:rPr>
        <w:t>Mao had to decide whether Ucommune should create its own business model and, if so, how.</w:t>
      </w:r>
      <w:r w:rsidRPr="00580D50">
        <w:rPr>
          <w:spacing w:val="-4"/>
        </w:rPr>
        <w:cr/>
      </w:r>
    </w:p>
    <w:p w14:paraId="200FDC3E" w14:textId="77777777" w:rsidR="007D1F30" w:rsidRPr="00930C7A" w:rsidRDefault="007D1F30" w:rsidP="000C5A62">
      <w:pPr>
        <w:pStyle w:val="BodyTextMain"/>
      </w:pPr>
    </w:p>
    <w:p w14:paraId="1B810AD2" w14:textId="77777777" w:rsidR="007D1F30" w:rsidRPr="00930C7A" w:rsidRDefault="007D1F30" w:rsidP="004873B1">
      <w:pPr>
        <w:pStyle w:val="Casehead1"/>
        <w:keepNext w:val="0"/>
        <w:rPr>
          <w:rFonts w:eastAsia="SimSun"/>
        </w:rPr>
      </w:pPr>
      <w:r w:rsidRPr="00930C7A">
        <w:rPr>
          <w:rFonts w:eastAsia="SimSun"/>
        </w:rPr>
        <w:t>THE CO-WORKING SPACE INDUSTRY</w:t>
      </w:r>
    </w:p>
    <w:p w14:paraId="4088DB07" w14:textId="77777777" w:rsidR="007D1F30" w:rsidRPr="00930C7A" w:rsidRDefault="007D1F30" w:rsidP="007402CB">
      <w:pPr>
        <w:pStyle w:val="BodyTextMain"/>
      </w:pPr>
    </w:p>
    <w:p w14:paraId="5D4772FC" w14:textId="7CB4DCDC" w:rsidR="007D1F30" w:rsidRPr="00930C7A" w:rsidRDefault="007D1F30" w:rsidP="0095484E">
      <w:pPr>
        <w:pStyle w:val="BodyTextMain"/>
        <w:rPr>
          <w:lang w:eastAsia="zh-CN"/>
        </w:rPr>
      </w:pPr>
      <w:bookmarkStart w:id="2" w:name="_Hlk54618254"/>
      <w:r w:rsidRPr="00930C7A">
        <w:rPr>
          <w:lang w:eastAsia="zh-CN"/>
        </w:rPr>
        <w:t>The basic meaning of co-working was that persons work</w:t>
      </w:r>
      <w:bookmarkEnd w:id="2"/>
      <w:r w:rsidRPr="00930C7A">
        <w:rPr>
          <w:lang w:eastAsia="zh-CN"/>
        </w:rPr>
        <w:t>ed alongside each other in a shared place.</w:t>
      </w:r>
      <w:r w:rsidRPr="00930C7A">
        <w:rPr>
          <w:rStyle w:val="EndnoteReference"/>
          <w:lang w:eastAsia="zh-CN"/>
        </w:rPr>
        <w:endnoteReference w:id="4"/>
      </w:r>
      <w:r w:rsidRPr="00930C7A">
        <w:rPr>
          <w:lang w:eastAsia="zh-CN"/>
        </w:rPr>
        <w:t xml:space="preserve"> Correspondingly, </w:t>
      </w:r>
      <w:bookmarkStart w:id="3" w:name="_Hlk54618291"/>
      <w:r w:rsidRPr="00930C7A">
        <w:rPr>
          <w:lang w:eastAsia="zh-CN"/>
        </w:rPr>
        <w:t>a co-working space referred to the work environment</w:t>
      </w:r>
      <w:bookmarkEnd w:id="3"/>
      <w:r w:rsidRPr="00930C7A">
        <w:rPr>
          <w:lang w:eastAsia="zh-CN"/>
        </w:rPr>
        <w:t xml:space="preserve"> shared by different enterprises or individuals.</w:t>
      </w:r>
      <w:r w:rsidRPr="00930C7A">
        <w:rPr>
          <w:rStyle w:val="EndnoteReference"/>
          <w:lang w:eastAsia="zh-CN"/>
        </w:rPr>
        <w:endnoteReference w:id="5"/>
      </w:r>
      <w:r w:rsidRPr="00930C7A">
        <w:rPr>
          <w:lang w:eastAsia="zh-CN"/>
        </w:rPr>
        <w:t xml:space="preserve"> A co-working space was quite different from a traditional office space in terms of office costs, support services, lease regulations, and office atmosphere (see Exhibit 1). In general, a co-working space had advantages such as reducing costs for enterprise tenants, promoting collaboration, stimulating innovation, and creating flexibility. However, there were also disadvantages to a co-working space, such as a</w:t>
      </w:r>
      <w:r w:rsidRPr="00930C7A">
        <w:rPr>
          <w:rFonts w:eastAsiaTheme="minorEastAsia"/>
          <w:lang w:eastAsia="zh-CN"/>
        </w:rPr>
        <w:t xml:space="preserve"> weaker sense</w:t>
      </w:r>
      <w:r w:rsidRPr="00930C7A">
        <w:rPr>
          <w:lang w:eastAsia="zh-CN"/>
        </w:rPr>
        <w:t xml:space="preserve"> </w:t>
      </w:r>
      <w:r w:rsidRPr="00930C7A">
        <w:rPr>
          <w:rFonts w:eastAsiaTheme="minorEastAsia"/>
          <w:lang w:eastAsia="zh-CN"/>
        </w:rPr>
        <w:t>of</w:t>
      </w:r>
      <w:r w:rsidRPr="00930C7A">
        <w:rPr>
          <w:lang w:eastAsia="zh-CN"/>
        </w:rPr>
        <w:t xml:space="preserve"> exclusivity than a traditional office space.</w:t>
      </w:r>
      <w:r w:rsidRPr="00930C7A">
        <w:rPr>
          <w:rStyle w:val="EndnoteReference"/>
          <w:lang w:eastAsia="zh-CN"/>
        </w:rPr>
        <w:endnoteReference w:id="6"/>
      </w:r>
      <w:r w:rsidRPr="00930C7A">
        <w:rPr>
          <w:lang w:eastAsia="zh-CN"/>
        </w:rPr>
        <w:t xml:space="preserve"> As for co-working space operators, they commonly leased properties from property owners, transformed and decorated the properties into co-working spaces with </w:t>
      </w:r>
      <w:bookmarkStart w:id="5" w:name="_Hlk54700552"/>
      <w:r w:rsidRPr="00930C7A">
        <w:rPr>
          <w:lang w:eastAsia="zh-CN"/>
        </w:rPr>
        <w:t>a modern and flexible layout,</w:t>
      </w:r>
      <w:bookmarkEnd w:id="5"/>
      <w:r w:rsidRPr="00930C7A">
        <w:rPr>
          <w:lang w:eastAsia="zh-CN"/>
        </w:rPr>
        <w:t xml:space="preserve"> and then rent</w:t>
      </w:r>
      <w:r w:rsidRPr="00930C7A">
        <w:rPr>
          <w:rFonts w:eastAsiaTheme="minorEastAsia"/>
          <w:lang w:eastAsia="zh-CN"/>
        </w:rPr>
        <w:t>ed</w:t>
      </w:r>
      <w:r w:rsidRPr="00930C7A">
        <w:rPr>
          <w:lang w:eastAsia="zh-CN"/>
        </w:rPr>
        <w:t xml:space="preserve"> the workspaces to enterprises or freelancers. Besides this, there were also operators adopting franchising, </w:t>
      </w:r>
      <w:r>
        <w:rPr>
          <w:lang w:eastAsia="zh-CN"/>
        </w:rPr>
        <w:t>co-operative</w:t>
      </w:r>
      <w:r w:rsidRPr="00930C7A">
        <w:rPr>
          <w:lang w:eastAsia="zh-CN"/>
        </w:rPr>
        <w:t xml:space="preserve"> management, and other operation patterns in order to provide co-working spaces.</w:t>
      </w:r>
    </w:p>
    <w:p w14:paraId="1913066A" w14:textId="77777777" w:rsidR="007D1F30" w:rsidRPr="00930C7A" w:rsidRDefault="007D1F30" w:rsidP="0095484E">
      <w:pPr>
        <w:pStyle w:val="BodyTextMain"/>
        <w:rPr>
          <w:lang w:eastAsia="zh-CN"/>
        </w:rPr>
      </w:pPr>
    </w:p>
    <w:p w14:paraId="09E9D452" w14:textId="79AD11DE" w:rsidR="007D1F30" w:rsidRPr="00930C7A" w:rsidRDefault="007D1F30" w:rsidP="0095484E">
      <w:pPr>
        <w:pStyle w:val="BodyTextMain"/>
        <w:rPr>
          <w:lang w:eastAsia="zh-CN"/>
        </w:rPr>
      </w:pPr>
      <w:r w:rsidRPr="00930C7A">
        <w:rPr>
          <w:lang w:eastAsia="zh-CN"/>
        </w:rPr>
        <w:t>The first official co-working space was started in 2005 by Brad Neuberg in San Francisco. After that, the co-working trend gradually went national and then global.</w:t>
      </w:r>
      <w:r w:rsidRPr="00930C7A">
        <w:rPr>
          <w:rStyle w:val="EndnoteReference"/>
          <w:lang w:eastAsia="zh-CN"/>
        </w:rPr>
        <w:endnoteReference w:id="7"/>
      </w:r>
      <w:r w:rsidRPr="00930C7A">
        <w:rPr>
          <w:lang w:eastAsia="zh-CN"/>
        </w:rPr>
        <w:t xml:space="preserve"> </w:t>
      </w:r>
      <w:bookmarkStart w:id="6" w:name="_Hlk54618544"/>
      <w:r w:rsidRPr="00930C7A">
        <w:rPr>
          <w:lang w:eastAsia="zh-CN"/>
        </w:rPr>
        <w:t>The number of co-working spaces worldwide had increased steadily</w:t>
      </w:r>
      <w:bookmarkEnd w:id="6"/>
      <w:r w:rsidRPr="00930C7A">
        <w:rPr>
          <w:lang w:eastAsia="zh-CN"/>
        </w:rPr>
        <w:t xml:space="preserve"> over the last few years, from 8,900 in 2015 to 18,700 in 2018.</w:t>
      </w:r>
      <w:r w:rsidRPr="00930C7A">
        <w:rPr>
          <w:rStyle w:val="EndnoteReference"/>
          <w:lang w:eastAsia="zh-CN"/>
        </w:rPr>
        <w:endnoteReference w:id="8"/>
      </w:r>
      <w:r w:rsidRPr="00930C7A">
        <w:rPr>
          <w:lang w:eastAsia="zh-CN"/>
        </w:rPr>
        <w:t xml:space="preserve"> The co-working space market was expected to continue growing in the coming years. The number of people using co-working spaces worldwide was projected to be 1,933,331 in 2020 and 4,993,910 in 2024.</w:t>
      </w:r>
      <w:r w:rsidRPr="00930C7A">
        <w:rPr>
          <w:rStyle w:val="EndnoteReference"/>
          <w:lang w:eastAsia="zh-CN"/>
        </w:rPr>
        <w:endnoteReference w:id="9"/>
      </w:r>
      <w:r w:rsidRPr="00930C7A">
        <w:rPr>
          <w:lang w:eastAsia="zh-CN"/>
        </w:rPr>
        <w:t xml:space="preserve"> China was predicted to become one of the largest co-working markets in the world.</w:t>
      </w:r>
      <w:r w:rsidRPr="00930C7A">
        <w:rPr>
          <w:rStyle w:val="EndnoteReference"/>
          <w:lang w:eastAsia="zh-CN"/>
        </w:rPr>
        <w:endnoteReference w:id="10"/>
      </w:r>
    </w:p>
    <w:p w14:paraId="6A831006" w14:textId="77777777" w:rsidR="007D1F30" w:rsidRPr="00930C7A" w:rsidRDefault="007D1F30" w:rsidP="000C5A62">
      <w:pPr>
        <w:pStyle w:val="BodyTextMain"/>
        <w:rPr>
          <w:lang w:eastAsia="zh-CN"/>
        </w:rPr>
      </w:pPr>
    </w:p>
    <w:p w14:paraId="410AA5E6" w14:textId="77777777" w:rsidR="007D1F30" w:rsidRPr="00930C7A" w:rsidRDefault="007D1F30" w:rsidP="000C5A62">
      <w:pPr>
        <w:pStyle w:val="BodyTextMain"/>
        <w:rPr>
          <w:lang w:eastAsia="zh-CN"/>
        </w:rPr>
      </w:pPr>
    </w:p>
    <w:p w14:paraId="508B3BB9" w14:textId="77777777" w:rsidR="007D1F30" w:rsidRPr="00930C7A" w:rsidRDefault="007D1F30" w:rsidP="004873B1">
      <w:pPr>
        <w:pStyle w:val="Casehead1"/>
        <w:keepNext w:val="0"/>
        <w:rPr>
          <w:rFonts w:eastAsia="SimSun"/>
          <w:lang w:eastAsia="zh-CN"/>
        </w:rPr>
      </w:pPr>
      <w:r w:rsidRPr="00930C7A">
        <w:rPr>
          <w:rFonts w:eastAsia="SimSun"/>
          <w:lang w:eastAsia="zh-CN"/>
        </w:rPr>
        <w:t>China’s Co-working Space Industry</w:t>
      </w:r>
    </w:p>
    <w:p w14:paraId="087F19E1" w14:textId="77777777" w:rsidR="007D1F30" w:rsidRPr="00930C7A" w:rsidRDefault="007D1F30" w:rsidP="000C5A62">
      <w:pPr>
        <w:pStyle w:val="BodyTextMain"/>
        <w:rPr>
          <w:lang w:eastAsia="zh-CN"/>
        </w:rPr>
      </w:pPr>
    </w:p>
    <w:p w14:paraId="0F106EE9" w14:textId="0402755D" w:rsidR="007D1F30" w:rsidRPr="00930C7A" w:rsidRDefault="007D1F30" w:rsidP="00B82FE8">
      <w:pPr>
        <w:pStyle w:val="BodyTextMain"/>
        <w:rPr>
          <w:lang w:eastAsia="zh-CN"/>
        </w:rPr>
      </w:pPr>
      <w:r w:rsidRPr="00930C7A">
        <w:rPr>
          <w:lang w:eastAsia="zh-CN"/>
        </w:rPr>
        <w:t xml:space="preserve">In recent years, </w:t>
      </w:r>
      <w:bookmarkStart w:id="7" w:name="_Hlk54621250"/>
      <w:r w:rsidRPr="00930C7A">
        <w:rPr>
          <w:lang w:eastAsia="zh-CN"/>
        </w:rPr>
        <w:t>the co-working space industry had witnessed vigorous</w:t>
      </w:r>
      <w:bookmarkEnd w:id="7"/>
      <w:r w:rsidRPr="00930C7A">
        <w:rPr>
          <w:lang w:eastAsia="zh-CN"/>
        </w:rPr>
        <w:t xml:space="preserve"> development in China. The market size of China’s co-working space industry grew from </w:t>
      </w:r>
      <w:r w:rsidRPr="00930C7A">
        <w:t>¥</w:t>
      </w:r>
      <w:r w:rsidRPr="00930C7A">
        <w:rPr>
          <w:lang w:eastAsia="zh-CN"/>
        </w:rPr>
        <w:t>3.28 billion</w:t>
      </w:r>
      <w:r w:rsidRPr="00930C7A">
        <w:rPr>
          <w:rStyle w:val="EndnoteReference"/>
          <w:lang w:eastAsia="zh-CN"/>
        </w:rPr>
        <w:endnoteReference w:id="11"/>
      </w:r>
      <w:r w:rsidRPr="00930C7A">
        <w:rPr>
          <w:lang w:eastAsia="zh-CN"/>
        </w:rPr>
        <w:t xml:space="preserve"> in 2015 to </w:t>
      </w:r>
      <w:r w:rsidRPr="00930C7A">
        <w:t>¥</w:t>
      </w:r>
      <w:r w:rsidRPr="00930C7A">
        <w:rPr>
          <w:lang w:eastAsia="zh-CN"/>
        </w:rPr>
        <w:t>17.41 billion in 2018</w:t>
      </w:r>
      <w:r>
        <w:rPr>
          <w:lang w:eastAsia="zh-CN"/>
        </w:rPr>
        <w:t>,</w:t>
      </w:r>
      <w:r w:rsidRPr="00930C7A">
        <w:rPr>
          <w:lang w:eastAsia="zh-CN"/>
        </w:rPr>
        <w:t xml:space="preserve"> and was projected to grow further to </w:t>
      </w:r>
      <w:r w:rsidRPr="00930C7A">
        <w:t>¥</w:t>
      </w:r>
      <w:r w:rsidRPr="00930C7A">
        <w:rPr>
          <w:lang w:eastAsia="zh-CN"/>
        </w:rPr>
        <w:t>132.28 billion in 2023.</w:t>
      </w:r>
      <w:r w:rsidRPr="00930C7A">
        <w:rPr>
          <w:rStyle w:val="EndnoteReference"/>
          <w:lang w:eastAsia="zh-CN"/>
        </w:rPr>
        <w:endnoteReference w:id="12"/>
      </w:r>
      <w:r w:rsidRPr="00930C7A">
        <w:rPr>
          <w:lang w:eastAsia="zh-CN"/>
        </w:rPr>
        <w:t xml:space="preserve"> Meanwhile, a number of local competitive companies emerged in the industry along with Ucommune, including Kr Space and Nashwork. Industrial international giants, such as WeWork, also entered the Chinese market.</w:t>
      </w:r>
    </w:p>
    <w:p w14:paraId="047B8D88" w14:textId="77777777" w:rsidR="007D1F30" w:rsidRPr="00930C7A" w:rsidRDefault="007D1F30" w:rsidP="00B82FE8">
      <w:pPr>
        <w:pStyle w:val="BodyTextMain"/>
        <w:rPr>
          <w:lang w:eastAsia="zh-CN"/>
        </w:rPr>
      </w:pPr>
    </w:p>
    <w:p w14:paraId="12F14651" w14:textId="689A0A46" w:rsidR="007D1F30" w:rsidRPr="00930C7A" w:rsidRDefault="007D1F30" w:rsidP="00B82FE8">
      <w:pPr>
        <w:pStyle w:val="BodyTextMain"/>
        <w:rPr>
          <w:rFonts w:eastAsiaTheme="minorEastAsia"/>
          <w:lang w:eastAsia="zh-CN"/>
        </w:rPr>
      </w:pPr>
      <w:r w:rsidRPr="00930C7A">
        <w:rPr>
          <w:rFonts w:eastAsiaTheme="minorEastAsia"/>
          <w:lang w:eastAsia="zh-CN"/>
        </w:rPr>
        <w:t>A series of trends had spurred the growth of the co-working space industry and companies in China. China’s urbanization rate increased from 53.7 per cent in 2013 to 59.5 per cent in 2018</w:t>
      </w:r>
      <w:r>
        <w:rPr>
          <w:rFonts w:eastAsiaTheme="minorEastAsia"/>
          <w:lang w:eastAsia="zh-CN"/>
        </w:rPr>
        <w:t>,</w:t>
      </w:r>
      <w:r w:rsidRPr="00930C7A">
        <w:rPr>
          <w:rFonts w:eastAsiaTheme="minorEastAsia"/>
          <w:lang w:eastAsia="zh-CN"/>
        </w:rPr>
        <w:t xml:space="preserve"> and was expected to reach 64.9 per cent in 2023.</w:t>
      </w:r>
      <w:r w:rsidRPr="00930C7A">
        <w:rPr>
          <w:rStyle w:val="EndnoteReference"/>
          <w:rFonts w:eastAsiaTheme="minorEastAsia"/>
          <w:lang w:eastAsia="zh-CN"/>
        </w:rPr>
        <w:endnoteReference w:id="13"/>
      </w:r>
      <w:r w:rsidRPr="00930C7A">
        <w:rPr>
          <w:rFonts w:eastAsiaTheme="minorEastAsia"/>
          <w:lang w:eastAsia="zh-CN"/>
        </w:rPr>
        <w:t xml:space="preserve"> This rapid urbanization allowed a large influx of labour into cities, creating a huge demand for high-quality urban office space. In addition to this, the number of newly registered enterprises in China grew from 2.5 million in 2013 to 6.7 million in 2018.</w:t>
      </w:r>
      <w:r w:rsidRPr="00930C7A">
        <w:rPr>
          <w:rStyle w:val="EndnoteReference"/>
          <w:rFonts w:eastAsiaTheme="minorEastAsia"/>
          <w:lang w:eastAsia="zh-CN"/>
        </w:rPr>
        <w:endnoteReference w:id="14"/>
      </w:r>
      <w:r w:rsidRPr="00930C7A">
        <w:rPr>
          <w:rFonts w:eastAsiaTheme="minorEastAsia"/>
          <w:lang w:eastAsia="zh-CN"/>
        </w:rPr>
        <w:t xml:space="preserve"> The increase in the number of enterprises further expanded the potential market demand for co-working spaces. </w:t>
      </w:r>
      <w:bookmarkStart w:id="11" w:name="_Hlk54621605"/>
      <w:r w:rsidRPr="00930C7A">
        <w:rPr>
          <w:rFonts w:eastAsiaTheme="minorEastAsia"/>
          <w:lang w:eastAsia="zh-CN"/>
        </w:rPr>
        <w:t>From the perspective of Chinese office workers, their requirements for a high-quality office environment were constantly growing.</w:t>
      </w:r>
      <w:bookmarkEnd w:id="11"/>
      <w:r w:rsidRPr="00930C7A">
        <w:rPr>
          <w:rFonts w:eastAsiaTheme="minorEastAsia"/>
          <w:lang w:eastAsia="zh-CN"/>
        </w:rPr>
        <w:t xml:space="preserve"> According to a survey in December 2019 by iiMedia Research, 73.4 per cent of survey respondents believed that the degree of attention to the office environment had increased significantly among office workers, and 88.4 per cent</w:t>
      </w:r>
      <w:r w:rsidR="00F92778">
        <w:rPr>
          <w:rFonts w:eastAsiaTheme="minorEastAsia"/>
          <w:lang w:eastAsia="zh-CN"/>
        </w:rPr>
        <w:t xml:space="preserve"> </w:t>
      </w:r>
      <w:r w:rsidRPr="00930C7A">
        <w:rPr>
          <w:rFonts w:eastAsiaTheme="minorEastAsia"/>
          <w:lang w:eastAsia="zh-CN"/>
        </w:rPr>
        <w:t>of respondents believed that a good office environment could stimulate personal creativity.</w:t>
      </w:r>
      <w:r w:rsidRPr="00930C7A">
        <w:rPr>
          <w:rStyle w:val="EndnoteReference"/>
          <w:rFonts w:eastAsiaTheme="minorEastAsia"/>
          <w:lang w:eastAsia="zh-CN"/>
        </w:rPr>
        <w:endnoteReference w:id="15"/>
      </w:r>
      <w:r w:rsidRPr="00930C7A">
        <w:rPr>
          <w:rFonts w:eastAsiaTheme="minorEastAsia"/>
          <w:lang w:eastAsia="zh-CN"/>
        </w:rPr>
        <w:t xml:space="preserve"> </w:t>
      </w:r>
      <w:r w:rsidRPr="00930C7A">
        <w:rPr>
          <w:rFonts w:eastAsiaTheme="minorEastAsia"/>
          <w:lang w:eastAsia="zh-CN"/>
        </w:rPr>
        <w:lastRenderedPageBreak/>
        <w:t>In addition, millennials had gradually become the main group of office workers and consumers. Compared with the previous generation, millennials focused more on social interaction, service, and experience in terms of office space requirements, which could not be well satisfied by leasing a traditional office space.</w:t>
      </w:r>
      <w:r w:rsidRPr="00930C7A">
        <w:rPr>
          <w:rStyle w:val="EndnoteReference"/>
          <w:rFonts w:eastAsiaTheme="minorEastAsia"/>
          <w:lang w:eastAsia="zh-CN"/>
        </w:rPr>
        <w:endnoteReference w:id="16"/>
      </w:r>
    </w:p>
    <w:p w14:paraId="4D2355D6" w14:textId="77777777" w:rsidR="007D1F30" w:rsidRPr="00F92778" w:rsidRDefault="007D1F30" w:rsidP="00B82FE8">
      <w:pPr>
        <w:pStyle w:val="BodyTextMain"/>
        <w:rPr>
          <w:rFonts w:eastAsia="SimSun"/>
          <w:sz w:val="16"/>
          <w:lang w:eastAsia="zh-CN"/>
        </w:rPr>
      </w:pPr>
    </w:p>
    <w:p w14:paraId="5FA0C65C" w14:textId="5CB394EE" w:rsidR="007D1F30" w:rsidRPr="00930C7A" w:rsidRDefault="007D1F30" w:rsidP="00B82FE8">
      <w:pPr>
        <w:pStyle w:val="BodyTextMain"/>
        <w:rPr>
          <w:lang w:eastAsia="zh-CN"/>
        </w:rPr>
      </w:pPr>
      <w:r w:rsidRPr="00930C7A">
        <w:rPr>
          <w:rFonts w:eastAsia="SimSun"/>
          <w:lang w:eastAsia="zh-CN"/>
        </w:rPr>
        <w:t>Due to the features of the industry, co-working space operators benefited from China’s current policy circumstances. The co-working space was considered as a type of important service platform for innovation and entrepreneurship.</w:t>
      </w:r>
      <w:r w:rsidRPr="00930C7A">
        <w:rPr>
          <w:rStyle w:val="EndnoteReference"/>
          <w:rFonts w:eastAsia="SimSun"/>
          <w:lang w:eastAsia="zh-CN"/>
        </w:rPr>
        <w:endnoteReference w:id="17"/>
      </w:r>
      <w:r w:rsidRPr="00930C7A">
        <w:rPr>
          <w:rFonts w:eastAsia="SimSun"/>
          <w:lang w:eastAsia="zh-CN"/>
        </w:rPr>
        <w:t xml:space="preserve"> It also represented concepts such as the sharing economy. In China, the co-working space industry still belonged to emerging and innovative industries. </w:t>
      </w:r>
      <w:bookmarkStart w:id="13" w:name="_Hlk54621698"/>
      <w:r w:rsidRPr="00930C7A">
        <w:rPr>
          <w:rFonts w:eastAsia="SimSun"/>
          <w:lang w:eastAsia="zh-CN"/>
        </w:rPr>
        <w:t xml:space="preserve">In recent years, China had placed high importance on </w:t>
      </w:r>
      <w:bookmarkEnd w:id="13"/>
      <w:r w:rsidRPr="00930C7A">
        <w:rPr>
          <w:rFonts w:eastAsia="SimSun"/>
          <w:lang w:eastAsia="zh-CN"/>
        </w:rPr>
        <w:t>entrepreneurship and innovation, including innovation in industries, with the Chinese government implementing an innovation-driven development strategy and mass entrepreneurship and innovation campaign.</w:t>
      </w:r>
      <w:r w:rsidRPr="00930C7A">
        <w:rPr>
          <w:rStyle w:val="EndnoteReference"/>
          <w:rFonts w:eastAsia="SimSun"/>
          <w:lang w:eastAsia="zh-CN"/>
        </w:rPr>
        <w:endnoteReference w:id="18"/>
      </w:r>
      <w:r w:rsidRPr="00930C7A">
        <w:rPr>
          <w:rFonts w:eastAsia="SimSun"/>
          <w:lang w:eastAsia="zh-CN"/>
        </w:rPr>
        <w:t xml:space="preserve"> In September 2015, the Chinese State Council issued Article 53</w:t>
      </w:r>
      <w:r>
        <w:rPr>
          <w:rFonts w:eastAsia="SimSun"/>
          <w:lang w:eastAsia="zh-CN"/>
        </w:rPr>
        <w:t xml:space="preserve">, </w:t>
      </w:r>
      <w:r w:rsidRPr="00930C7A">
        <w:rPr>
          <w:rFonts w:eastAsia="SimSun"/>
          <w:lang w:eastAsia="zh-CN"/>
        </w:rPr>
        <w:t xml:space="preserve">encouraging the growth of support platforms for innovation and entrepreneurship, including co-working spaces. In addition, the Chinese government stated its attitude of guiding the sharing economy </w:t>
      </w:r>
      <w:r>
        <w:rPr>
          <w:rFonts w:eastAsia="SimSun"/>
          <w:lang w:eastAsia="zh-CN"/>
        </w:rPr>
        <w:t xml:space="preserve">to enable it to </w:t>
      </w:r>
      <w:r w:rsidRPr="00930C7A">
        <w:rPr>
          <w:rFonts w:eastAsia="SimSun"/>
          <w:lang w:eastAsia="zh-CN"/>
        </w:rPr>
        <w:t xml:space="preserve">develop better and faster, and the concept of sharing became increasingly popular in society. Technological development had a profound impact on the changes in office patterns as well. With the development of artificial intelligence, big data, cloud computing, and other technologies, and with the emergence of the 5G (fifth generation) era, the office environment faced a trend </w:t>
      </w:r>
      <w:r>
        <w:rPr>
          <w:rFonts w:eastAsia="SimSun"/>
          <w:lang w:eastAsia="zh-CN"/>
        </w:rPr>
        <w:t>toward</w:t>
      </w:r>
      <w:r w:rsidRPr="00930C7A">
        <w:rPr>
          <w:rFonts w:eastAsia="SimSun"/>
          <w:lang w:eastAsia="zh-CN"/>
        </w:rPr>
        <w:t xml:space="preserve"> an efficient and smart future. With the support of ever-changing technologies, co-working space operators could provide more abundant and efficient services, such as smart conferencing and intelligent access control, so as to meet the growing demand of enterprises for smart office solutions and to stimulate the creativity and initiative of enterprise employees.</w:t>
      </w:r>
      <w:r w:rsidRPr="00930C7A">
        <w:rPr>
          <w:rStyle w:val="EndnoteReference"/>
          <w:rFonts w:eastAsia="SimSun"/>
          <w:lang w:eastAsia="zh-CN"/>
        </w:rPr>
        <w:endnoteReference w:id="19"/>
      </w:r>
    </w:p>
    <w:p w14:paraId="35E6AC89" w14:textId="77777777" w:rsidR="007D1F30" w:rsidRPr="00F92778" w:rsidRDefault="007D1F30" w:rsidP="000C5A62">
      <w:pPr>
        <w:pStyle w:val="BodyTextMain"/>
        <w:rPr>
          <w:rFonts w:eastAsiaTheme="minorEastAsia"/>
          <w:sz w:val="16"/>
          <w:lang w:eastAsia="zh-CN"/>
        </w:rPr>
      </w:pPr>
    </w:p>
    <w:p w14:paraId="6D75D9EF" w14:textId="77777777" w:rsidR="007D1F30" w:rsidRPr="00F92778" w:rsidRDefault="007D1F30" w:rsidP="000C5A62">
      <w:pPr>
        <w:pStyle w:val="BodyTextMain"/>
        <w:rPr>
          <w:sz w:val="16"/>
          <w:lang w:eastAsia="zh-CN"/>
        </w:rPr>
      </w:pPr>
    </w:p>
    <w:p w14:paraId="5D36A1AE" w14:textId="77777777" w:rsidR="007D1F30" w:rsidRPr="00930C7A" w:rsidRDefault="007D1F30" w:rsidP="004873B1">
      <w:pPr>
        <w:pStyle w:val="Casehead1"/>
        <w:keepNext w:val="0"/>
        <w:rPr>
          <w:rFonts w:eastAsia="SimSun"/>
          <w:lang w:eastAsia="zh-CN"/>
        </w:rPr>
      </w:pPr>
      <w:r w:rsidRPr="00930C7A">
        <w:rPr>
          <w:rFonts w:eastAsia="SimSun"/>
          <w:lang w:eastAsia="zh-CN"/>
        </w:rPr>
        <w:t>THE ESTABLISHMENT OF UCOMMUNE</w:t>
      </w:r>
    </w:p>
    <w:p w14:paraId="13E573CB" w14:textId="77777777" w:rsidR="007D1F30" w:rsidRPr="00F92778" w:rsidRDefault="007D1F30" w:rsidP="00F502DA">
      <w:pPr>
        <w:pStyle w:val="BodyTextMain"/>
        <w:rPr>
          <w:rFonts w:eastAsiaTheme="minorEastAsia"/>
          <w:sz w:val="16"/>
          <w:lang w:eastAsia="zh-CN"/>
        </w:rPr>
      </w:pPr>
    </w:p>
    <w:p w14:paraId="6497F595" w14:textId="34C511F5" w:rsidR="007D1F30" w:rsidRPr="00930C7A" w:rsidRDefault="007D1F30" w:rsidP="00355942">
      <w:pPr>
        <w:pStyle w:val="BodyTextMain"/>
        <w:rPr>
          <w:rFonts w:eastAsiaTheme="minorEastAsia"/>
          <w:lang w:eastAsia="zh-CN"/>
        </w:rPr>
      </w:pPr>
      <w:r w:rsidRPr="00930C7A">
        <w:rPr>
          <w:lang w:eastAsia="zh-CN"/>
        </w:rPr>
        <w:t xml:space="preserve">Ucommune was born in the wave of the development of China’s co-working space industry. Before founding Ucommune, Mao had worked in the real estate industry for about 22 years. During that time, he also observed changes in the industry, and gradually developed the motivation to start a business. China’s encouragement of entrepreneurship and innovation enabled Mao to further realize </w:t>
      </w:r>
      <w:r>
        <w:rPr>
          <w:lang w:eastAsia="zh-CN"/>
        </w:rPr>
        <w:t xml:space="preserve">that </w:t>
      </w:r>
      <w:r w:rsidRPr="00930C7A">
        <w:rPr>
          <w:lang w:eastAsia="zh-CN"/>
        </w:rPr>
        <w:t>it was an appropriate time for him to quit the real estate industry and start his own business. Eventually, he decided to enter the field of the co-working space and become an entrepreneur.</w:t>
      </w:r>
    </w:p>
    <w:p w14:paraId="34B52FDE" w14:textId="77777777" w:rsidR="007D1F30" w:rsidRPr="00F92778" w:rsidRDefault="007D1F30" w:rsidP="00355942">
      <w:pPr>
        <w:pStyle w:val="BodyTextMain"/>
        <w:rPr>
          <w:rFonts w:eastAsiaTheme="minorEastAsia"/>
          <w:sz w:val="16"/>
          <w:lang w:eastAsia="zh-CN"/>
        </w:rPr>
      </w:pPr>
    </w:p>
    <w:p w14:paraId="25FA3037" w14:textId="3C8B312D" w:rsidR="007D1F30" w:rsidRPr="00930C7A" w:rsidRDefault="007D1F30" w:rsidP="00355942">
      <w:pPr>
        <w:pStyle w:val="BodyTextMain"/>
        <w:rPr>
          <w:lang w:eastAsia="zh-CN"/>
        </w:rPr>
      </w:pPr>
      <w:r w:rsidRPr="00930C7A">
        <w:rPr>
          <w:lang w:eastAsia="zh-CN"/>
        </w:rPr>
        <w:t xml:space="preserve">Under Mao’s leadership, </w:t>
      </w:r>
      <w:bookmarkStart w:id="14" w:name="_Hlk54621969"/>
      <w:r w:rsidRPr="00930C7A">
        <w:rPr>
          <w:lang w:eastAsia="zh-CN"/>
        </w:rPr>
        <w:t>Ucommune provided its members with flexible workspaces</w:t>
      </w:r>
      <w:bookmarkEnd w:id="14"/>
      <w:r w:rsidRPr="00930C7A">
        <w:rPr>
          <w:lang w:eastAsia="zh-CN"/>
        </w:rPr>
        <w:t xml:space="preserve"> and adopted ways of investment, acquisition, and general co-operation to aggregate service resources in order to offer members diversified services. </w:t>
      </w:r>
      <w:bookmarkStart w:id="15" w:name="_Hlk54622063"/>
      <w:r w:rsidRPr="00930C7A">
        <w:rPr>
          <w:lang w:eastAsia="zh-CN"/>
        </w:rPr>
        <w:t xml:space="preserve">In addition, Ucommune launched an online platform and strove to realize the linkage between </w:t>
      </w:r>
      <w:r>
        <w:rPr>
          <w:lang w:eastAsia="zh-CN"/>
        </w:rPr>
        <w:t>off-line</w:t>
      </w:r>
      <w:r w:rsidRPr="00930C7A">
        <w:rPr>
          <w:lang w:eastAsia="zh-CN"/>
        </w:rPr>
        <w:t xml:space="preserve"> space and an online platform.</w:t>
      </w:r>
      <w:bookmarkEnd w:id="15"/>
      <w:r w:rsidRPr="00930C7A">
        <w:rPr>
          <w:lang w:eastAsia="zh-CN"/>
        </w:rPr>
        <w:t xml:space="preserve"> Ucommune </w:t>
      </w:r>
      <w:r>
        <w:rPr>
          <w:lang w:eastAsia="zh-CN"/>
        </w:rPr>
        <w:t xml:space="preserve">also </w:t>
      </w:r>
      <w:r w:rsidRPr="00930C7A">
        <w:rPr>
          <w:lang w:eastAsia="zh-CN"/>
        </w:rPr>
        <w:t>intended to foster a community</w:t>
      </w:r>
      <w:r>
        <w:rPr>
          <w:lang w:eastAsia="zh-CN"/>
        </w:rPr>
        <w:t>;</w:t>
      </w:r>
      <w:r w:rsidRPr="00930C7A">
        <w:rPr>
          <w:lang w:eastAsia="zh-CN"/>
        </w:rPr>
        <w:t xml:space="preserve"> </w:t>
      </w:r>
      <w:r>
        <w:rPr>
          <w:lang w:eastAsia="zh-CN"/>
        </w:rPr>
        <w:t>in</w:t>
      </w:r>
      <w:r w:rsidRPr="00930C7A">
        <w:rPr>
          <w:lang w:eastAsia="zh-CN"/>
        </w:rPr>
        <w:t xml:space="preserve"> a community, different enterprises and individuals could gather through the </w:t>
      </w:r>
      <w:r>
        <w:rPr>
          <w:lang w:eastAsia="zh-CN"/>
        </w:rPr>
        <w:t>off-line</w:t>
      </w:r>
      <w:r w:rsidRPr="00930C7A">
        <w:rPr>
          <w:lang w:eastAsia="zh-CN"/>
        </w:rPr>
        <w:t xml:space="preserve"> workspace or online platform and further interact, share resources, and achieve co-operation.</w:t>
      </w:r>
    </w:p>
    <w:p w14:paraId="0A187C49" w14:textId="77777777" w:rsidR="007D1F30" w:rsidRPr="00F92778" w:rsidRDefault="007D1F30" w:rsidP="00355942">
      <w:pPr>
        <w:pStyle w:val="BodyTextMain"/>
        <w:rPr>
          <w:rFonts w:eastAsiaTheme="minorEastAsia"/>
          <w:sz w:val="16"/>
          <w:lang w:eastAsia="zh-CN"/>
        </w:rPr>
      </w:pPr>
    </w:p>
    <w:p w14:paraId="6864A8E0" w14:textId="42EA50BB" w:rsidR="007D1F30" w:rsidRPr="00C3100F" w:rsidRDefault="007D1F30" w:rsidP="00355942">
      <w:pPr>
        <w:pStyle w:val="BodyTextMain"/>
        <w:rPr>
          <w:spacing w:val="-6"/>
          <w:lang w:eastAsia="zh-CN"/>
        </w:rPr>
      </w:pPr>
      <w:r w:rsidRPr="00C3100F">
        <w:rPr>
          <w:spacing w:val="-6"/>
          <w:lang w:eastAsia="zh-CN"/>
        </w:rPr>
        <w:t>Once established, Ucommune received strong support from investment institutions. In 2015, Ucommune completed angel and series-A rounds of financing, and large institutions including Sequoia Capital China, Gopher Asset Management, and ZhenFund participated in the investment. After preliminary preparations, Ucommune’s first co-working space project was successfully opened in Beijing in September of the same year. Ucommune had officially entered the co-working space industry, and it urgently needed to create a viable business model.</w:t>
      </w:r>
    </w:p>
    <w:p w14:paraId="78AF8797" w14:textId="77777777" w:rsidR="007D1F30" w:rsidRPr="00F92778" w:rsidRDefault="007D1F30" w:rsidP="0047408A">
      <w:pPr>
        <w:pStyle w:val="BodyTextMain"/>
        <w:rPr>
          <w:rFonts w:eastAsiaTheme="minorEastAsia"/>
          <w:sz w:val="16"/>
          <w:lang w:eastAsia="zh-CN"/>
        </w:rPr>
      </w:pPr>
    </w:p>
    <w:p w14:paraId="00F1B37B" w14:textId="77777777" w:rsidR="007D1F30" w:rsidRPr="00F92778" w:rsidRDefault="007D1F30" w:rsidP="0047408A">
      <w:pPr>
        <w:pStyle w:val="BodyTextMain"/>
        <w:rPr>
          <w:rFonts w:eastAsiaTheme="minorEastAsia"/>
          <w:sz w:val="16"/>
          <w:lang w:eastAsia="zh-CN"/>
        </w:rPr>
      </w:pPr>
    </w:p>
    <w:p w14:paraId="537F2077" w14:textId="77777777" w:rsidR="007D1F30" w:rsidRPr="00930C7A" w:rsidRDefault="007D1F30" w:rsidP="004873B1">
      <w:pPr>
        <w:pStyle w:val="Casehead1"/>
        <w:keepNext w:val="0"/>
        <w:rPr>
          <w:rFonts w:eastAsia="SimSun"/>
          <w:lang w:eastAsia="zh-CN"/>
        </w:rPr>
      </w:pPr>
      <w:r w:rsidRPr="00930C7A">
        <w:rPr>
          <w:rFonts w:eastAsia="SimSun"/>
          <w:lang w:eastAsia="zh-CN"/>
        </w:rPr>
        <w:t>THE OFFICE SPACE BUSINESS</w:t>
      </w:r>
    </w:p>
    <w:p w14:paraId="4F0D6A92" w14:textId="77777777" w:rsidR="007D1F30" w:rsidRPr="00F92778" w:rsidRDefault="007D1F30" w:rsidP="0047408A">
      <w:pPr>
        <w:pStyle w:val="BodyTextMain"/>
        <w:rPr>
          <w:rFonts w:eastAsia="SimSun"/>
          <w:sz w:val="16"/>
          <w:lang w:eastAsia="zh-CN"/>
        </w:rPr>
      </w:pPr>
    </w:p>
    <w:p w14:paraId="50BE3336" w14:textId="77777777" w:rsidR="007D1F30" w:rsidRPr="00930C7A" w:rsidRDefault="007D1F30" w:rsidP="004873B1">
      <w:pPr>
        <w:pStyle w:val="Casehead2"/>
        <w:keepNext w:val="0"/>
        <w:rPr>
          <w:sz w:val="21"/>
          <w:szCs w:val="22"/>
          <w:lang w:eastAsia="zh-CN"/>
        </w:rPr>
      </w:pPr>
      <w:r w:rsidRPr="00930C7A">
        <w:rPr>
          <w:lang w:eastAsia="zh-CN"/>
        </w:rPr>
        <w:t>The Space Operation Model</w:t>
      </w:r>
    </w:p>
    <w:p w14:paraId="2BBF8618" w14:textId="77777777" w:rsidR="007D1F30" w:rsidRPr="00F92778" w:rsidRDefault="007D1F30" w:rsidP="0047408A">
      <w:pPr>
        <w:pStyle w:val="BodyTextMain"/>
        <w:rPr>
          <w:rFonts w:eastAsiaTheme="minorEastAsia"/>
          <w:sz w:val="16"/>
          <w:lang w:eastAsia="zh-CN"/>
        </w:rPr>
      </w:pPr>
    </w:p>
    <w:p w14:paraId="6D881AA3" w14:textId="3227F76B" w:rsidR="007D1F30" w:rsidRPr="00930C7A" w:rsidRDefault="007D1F30" w:rsidP="00355942">
      <w:pPr>
        <w:pStyle w:val="BodyTextMain"/>
      </w:pPr>
      <w:bookmarkStart w:id="16" w:name="_Hlk54622311"/>
      <w:r w:rsidRPr="00930C7A">
        <w:t xml:space="preserve">The operation of an </w:t>
      </w:r>
      <w:r>
        <w:t>off-line</w:t>
      </w:r>
      <w:r w:rsidRPr="00930C7A">
        <w:t xml:space="preserve"> office space was a significant and fundamental business for Ucommune</w:t>
      </w:r>
      <w:bookmarkEnd w:id="16"/>
      <w:r w:rsidRPr="00930C7A">
        <w:t xml:space="preserve">. Overall, </w:t>
      </w:r>
      <w:bookmarkStart w:id="17" w:name="_Hlk54622415"/>
      <w:r w:rsidRPr="00930C7A">
        <w:t>Ucommune had operated co-working spaces under two models</w:t>
      </w:r>
      <w:bookmarkEnd w:id="17"/>
      <w:r w:rsidRPr="00930C7A">
        <w:t xml:space="preserve">: the self-operated model and the asset-light model. </w:t>
      </w:r>
      <w:bookmarkStart w:id="18" w:name="_Hlk54622931"/>
      <w:r w:rsidRPr="00930C7A">
        <w:t>The self-operated model involve</w:t>
      </w:r>
      <w:bookmarkEnd w:id="18"/>
      <w:r w:rsidRPr="00930C7A">
        <w:t xml:space="preserve">d the entire or major parts of the process of leasing </w:t>
      </w:r>
      <w:r w:rsidRPr="00930C7A">
        <w:lastRenderedPageBreak/>
        <w:t xml:space="preserve">properties from landlords, remodelling properties into co-working spaces, and renting these co-working spaces to members. </w:t>
      </w:r>
      <w:bookmarkStart w:id="19" w:name="_Hlk54623127"/>
      <w:r w:rsidRPr="00930C7A">
        <w:t>Ucommune typically need</w:t>
      </w:r>
      <w:bookmarkEnd w:id="19"/>
      <w:r w:rsidRPr="00930C7A">
        <w:t xml:space="preserve">ed to bear the high leasing and remodelling costs under the self-operated model. As for the asset-light model, Ucommune actually provided space design, build, and management services to develop and manage co-working spaces for landlords. </w:t>
      </w:r>
      <w:bookmarkStart w:id="20" w:name="_Hlk54623259"/>
      <w:r w:rsidRPr="00930C7A">
        <w:t xml:space="preserve">The landlords bore </w:t>
      </w:r>
      <w:bookmarkEnd w:id="20"/>
      <w:r w:rsidRPr="00930C7A">
        <w:t xml:space="preserve">most of the capital investment to </w:t>
      </w:r>
      <w:bookmarkStart w:id="21" w:name="_Hlk54623298"/>
      <w:r w:rsidRPr="00930C7A">
        <w:t>build out and launch new spaces</w:t>
      </w:r>
      <w:bookmarkEnd w:id="21"/>
      <w:r w:rsidRPr="00930C7A">
        <w:t xml:space="preserve"> under this model. </w:t>
      </w:r>
      <w:bookmarkStart w:id="22" w:name="_Hlk54623439"/>
      <w:r w:rsidRPr="00930C7A">
        <w:t>There were several specific space categories</w:t>
      </w:r>
      <w:bookmarkEnd w:id="22"/>
      <w:r w:rsidRPr="00930C7A">
        <w:t xml:space="preserve"> under the two models (see Exhibit 2).</w:t>
      </w:r>
    </w:p>
    <w:p w14:paraId="1972C9D7" w14:textId="77777777" w:rsidR="007D1F30" w:rsidRPr="004873B1" w:rsidRDefault="007D1F30" w:rsidP="00355942">
      <w:pPr>
        <w:pStyle w:val="BodyTextMain"/>
        <w:rPr>
          <w:sz w:val="20"/>
          <w:szCs w:val="20"/>
        </w:rPr>
      </w:pPr>
    </w:p>
    <w:p w14:paraId="63B602DD" w14:textId="65FD2E2E" w:rsidR="007D1F30" w:rsidRPr="00930C7A" w:rsidRDefault="007D1F30" w:rsidP="00355942">
      <w:pPr>
        <w:pStyle w:val="BodyTextMain"/>
      </w:pPr>
      <w:r w:rsidRPr="00930C7A">
        <w:t xml:space="preserve">As an innovative space business strategy developed by Ucommune in the industry, </w:t>
      </w:r>
      <w:bookmarkStart w:id="23" w:name="_Hlk54623591"/>
      <w:r w:rsidRPr="00930C7A">
        <w:t>the asset-light model enable</w:t>
      </w:r>
      <w:r w:rsidRPr="00930C7A">
        <w:rPr>
          <w:rFonts w:eastAsiaTheme="minorEastAsia"/>
          <w:lang w:eastAsia="zh-CN"/>
        </w:rPr>
        <w:t>d</w:t>
      </w:r>
      <w:r w:rsidRPr="00930C7A">
        <w:t xml:space="preserve"> Ucommune</w:t>
      </w:r>
      <w:bookmarkEnd w:id="23"/>
      <w:r w:rsidRPr="00930C7A">
        <w:t xml:space="preserve"> to eliminate some of the heavy capital investments, such as leasing costs, and to expand its space business in a cost-efficient manner. </w:t>
      </w:r>
      <w:bookmarkStart w:id="24" w:name="_Hlk54623813"/>
      <w:r w:rsidRPr="00930C7A">
        <w:t>Ucommune also intended to further</w:t>
      </w:r>
      <w:bookmarkEnd w:id="24"/>
      <w:r w:rsidRPr="00930C7A">
        <w:t xml:space="preserve"> develop the space business under the asset-light model as one of its major growth drivers. Ucommune’s current members </w:t>
      </w:r>
      <w:bookmarkStart w:id="25" w:name="_Hlk54623882"/>
      <w:r w:rsidRPr="00930C7A">
        <w:t>included not only entrepreneurial teams or enterprises</w:t>
      </w:r>
      <w:bookmarkEnd w:id="25"/>
      <w:r w:rsidRPr="00930C7A">
        <w:t>, freelancers, and small and medium-sized enterprises but also large enterprises such as Walmart Inc., Nike Inc., and Bilibili.</w:t>
      </w:r>
      <w:r w:rsidRPr="00930C7A">
        <w:rPr>
          <w:rStyle w:val="EndnoteReference"/>
        </w:rPr>
        <w:endnoteReference w:id="20"/>
      </w:r>
      <w:r w:rsidRPr="00930C7A">
        <w:t xml:space="preserve"> An expansion of the number and type of members was conducive to Ucommune’s</w:t>
      </w:r>
      <w:r w:rsidRPr="00930C7A" w:rsidDel="00A37104">
        <w:t xml:space="preserve"> </w:t>
      </w:r>
      <w:r w:rsidRPr="00930C7A">
        <w:t>development, but</w:t>
      </w:r>
      <w:r>
        <w:t>,</w:t>
      </w:r>
      <w:r w:rsidRPr="00930C7A">
        <w:t xml:space="preserve"> </w:t>
      </w:r>
      <w:bookmarkStart w:id="27" w:name="_Hlk54624025"/>
      <w:r w:rsidRPr="00930C7A">
        <w:t>at present, Ucommune also need</w:t>
      </w:r>
      <w:bookmarkEnd w:id="27"/>
      <w:r w:rsidRPr="00930C7A">
        <w:t>ed to be wary of</w:t>
      </w:r>
      <w:bookmarkStart w:id="28" w:name="_Hlk54624074"/>
      <w:r w:rsidRPr="00930C7A">
        <w:t xml:space="preserve"> depending on a limited number of</w:t>
      </w:r>
      <w:bookmarkEnd w:id="28"/>
      <w:r w:rsidRPr="00930C7A">
        <w:t xml:space="preserve"> large enterprise members to sustain the occupancy rate; Ucommune’s business would </w:t>
      </w:r>
      <w:bookmarkStart w:id="29" w:name="_Hlk54624247"/>
      <w:r w:rsidRPr="00930C7A">
        <w:t>suffer if one of these large enterprises terminate</w:t>
      </w:r>
      <w:bookmarkEnd w:id="29"/>
      <w:r w:rsidRPr="00930C7A">
        <w:t>d its contract with Ucommune.</w:t>
      </w:r>
    </w:p>
    <w:p w14:paraId="5898B63E" w14:textId="77777777" w:rsidR="007D1F30" w:rsidRPr="004873B1" w:rsidRDefault="007D1F30" w:rsidP="00355942">
      <w:pPr>
        <w:pStyle w:val="BodyTextMain"/>
        <w:rPr>
          <w:sz w:val="20"/>
          <w:szCs w:val="20"/>
        </w:rPr>
      </w:pPr>
    </w:p>
    <w:p w14:paraId="7594602E" w14:textId="343D88FC" w:rsidR="007D1F30" w:rsidRPr="00930C7A" w:rsidRDefault="007D1F30" w:rsidP="00355942">
      <w:pPr>
        <w:pStyle w:val="BodyTextMain"/>
      </w:pPr>
      <w:r w:rsidRPr="00930C7A">
        <w:t xml:space="preserve">With the expansion of the space business, Ucommune also started the process of internationalization. Through the operation of overseas co-working spaces, </w:t>
      </w:r>
      <w:bookmarkStart w:id="30" w:name="_Hlk54624297"/>
      <w:r w:rsidRPr="00930C7A">
        <w:t>Ucommune aimed to</w:t>
      </w:r>
      <w:bookmarkEnd w:id="30"/>
      <w:r w:rsidRPr="00930C7A">
        <w:t xml:space="preserve"> provide a platform for foreign enterprises to expand to the Chinese market; it was also attempting to build a bridge for helping</w:t>
      </w:r>
      <w:r w:rsidRPr="00930C7A" w:rsidDel="00C35341">
        <w:t xml:space="preserve"> </w:t>
      </w:r>
      <w:r w:rsidRPr="00930C7A">
        <w:t>high-quality domestic enterprises to expand overseas.</w:t>
      </w:r>
    </w:p>
    <w:p w14:paraId="583AC7FC" w14:textId="77777777" w:rsidR="007D1F30" w:rsidRPr="004873B1" w:rsidRDefault="007D1F30" w:rsidP="00C70264">
      <w:pPr>
        <w:pStyle w:val="BodyTextMain"/>
        <w:rPr>
          <w:sz w:val="20"/>
          <w:szCs w:val="20"/>
        </w:rPr>
      </w:pPr>
    </w:p>
    <w:p w14:paraId="6216F160" w14:textId="77777777" w:rsidR="007D1F30" w:rsidRPr="004873B1" w:rsidRDefault="007D1F30" w:rsidP="00C70264">
      <w:pPr>
        <w:pStyle w:val="BodyTextMain"/>
        <w:rPr>
          <w:sz w:val="20"/>
          <w:szCs w:val="20"/>
        </w:rPr>
      </w:pPr>
    </w:p>
    <w:p w14:paraId="2536E01F" w14:textId="77777777" w:rsidR="007D1F30" w:rsidRPr="00930C7A" w:rsidRDefault="007D1F30" w:rsidP="004873B1">
      <w:pPr>
        <w:pStyle w:val="Casehead2"/>
        <w:keepNext w:val="0"/>
      </w:pPr>
      <w:r w:rsidRPr="00930C7A">
        <w:t>Smart Office Solutions</w:t>
      </w:r>
    </w:p>
    <w:p w14:paraId="4540BC7C" w14:textId="77777777" w:rsidR="007D1F30" w:rsidRPr="004873B1" w:rsidRDefault="007D1F30" w:rsidP="00C70264">
      <w:pPr>
        <w:pStyle w:val="BodyTextMain"/>
        <w:rPr>
          <w:sz w:val="20"/>
          <w:szCs w:val="20"/>
        </w:rPr>
      </w:pPr>
    </w:p>
    <w:p w14:paraId="5F8BB5DD" w14:textId="37BCFFC4" w:rsidR="007D1F30" w:rsidRPr="00930C7A" w:rsidRDefault="007D1F30" w:rsidP="00CA5E76">
      <w:pPr>
        <w:pStyle w:val="BodyTextMain"/>
      </w:pPr>
      <w:r w:rsidRPr="00930C7A">
        <w:t>While expanding the scale of its space business, Ucommune emphasized the application of technology in space operation and office services and gradually explored construction of the smart office space</w:t>
      </w:r>
      <w:r>
        <w:t xml:space="preserve"> </w:t>
      </w:r>
      <w:r w:rsidRPr="00930C7A">
        <w:t>(see Exhibit 3). Ucommune applied an intelligent access control system, cloud printing technology, and a smart conferencing system to better meet the various office requirements of enterprises and individuals. In terms of the back-end operation not visible to members, Ucommune also developed UDA, its proprietary co-working space operation system, and Udata, its data management system, aiming to continuously optimize resource management efficiency</w:t>
      </w:r>
      <w:r w:rsidRPr="00930C7A" w:rsidDel="00403ED3">
        <w:t xml:space="preserve"> </w:t>
      </w:r>
      <w:r w:rsidRPr="00930C7A">
        <w:t>in spaces. Besides this, in 2019, Ucommune also released UcomOS, a cloud-based operating system based on the underlying technology of Chromium OS, which could store all user data in the cloud. M</w:t>
      </w:r>
      <w:r w:rsidRPr="00930C7A">
        <w:rPr>
          <w:rFonts w:eastAsiaTheme="minorEastAsia"/>
          <w:lang w:eastAsia="zh-CN"/>
        </w:rPr>
        <w:t>oreover</w:t>
      </w:r>
      <w:r w:rsidRPr="00930C7A">
        <w:rPr>
          <w:rFonts w:eastAsia="SimSun"/>
          <w:lang w:eastAsia="zh-CN"/>
        </w:rPr>
        <w:t xml:space="preserve">, </w:t>
      </w:r>
      <w:bookmarkStart w:id="31" w:name="_Hlk54624400"/>
      <w:r w:rsidRPr="00930C7A">
        <w:t>Ucommune planned to continue to develop</w:t>
      </w:r>
      <w:bookmarkEnd w:id="31"/>
      <w:r w:rsidRPr="00930C7A">
        <w:t xml:space="preserve"> and apply technology in the future. As Mao said, “All product releases, upgrades and strategies of Ucommune in the future would be based on the operability of the latest technology.”</w:t>
      </w:r>
    </w:p>
    <w:p w14:paraId="0DCCD0CE" w14:textId="77777777" w:rsidR="007D1F30" w:rsidRPr="004873B1" w:rsidRDefault="007D1F30" w:rsidP="00386F17">
      <w:pPr>
        <w:pStyle w:val="BodyTextMain"/>
        <w:rPr>
          <w:sz w:val="20"/>
          <w:szCs w:val="20"/>
        </w:rPr>
      </w:pPr>
    </w:p>
    <w:p w14:paraId="0573296F" w14:textId="77777777" w:rsidR="007D1F30" w:rsidRPr="004873B1" w:rsidRDefault="007D1F30" w:rsidP="00386F17">
      <w:pPr>
        <w:pStyle w:val="BodyTextMain"/>
        <w:rPr>
          <w:sz w:val="20"/>
          <w:szCs w:val="20"/>
        </w:rPr>
      </w:pPr>
    </w:p>
    <w:p w14:paraId="2E093C73" w14:textId="77777777" w:rsidR="007D1F30" w:rsidRPr="00930C7A" w:rsidRDefault="007D1F30" w:rsidP="004873B1">
      <w:pPr>
        <w:pStyle w:val="Casehead1"/>
        <w:keepNext w:val="0"/>
        <w:rPr>
          <w:rFonts w:eastAsia="SimSun"/>
          <w:lang w:eastAsia="zh-CN"/>
        </w:rPr>
      </w:pPr>
      <w:r w:rsidRPr="00930C7A">
        <w:rPr>
          <w:rFonts w:eastAsia="SimSun"/>
          <w:lang w:eastAsia="zh-CN"/>
        </w:rPr>
        <w:t>U PLUS SERVICES</w:t>
      </w:r>
    </w:p>
    <w:p w14:paraId="3360D94D" w14:textId="77777777" w:rsidR="007D1F30" w:rsidRPr="004873B1" w:rsidRDefault="007D1F30" w:rsidP="00456725">
      <w:pPr>
        <w:pStyle w:val="BodyTextMain"/>
        <w:rPr>
          <w:rFonts w:eastAsiaTheme="minorEastAsia"/>
          <w:sz w:val="20"/>
          <w:szCs w:val="20"/>
          <w:lang w:eastAsia="zh-CN"/>
        </w:rPr>
      </w:pPr>
    </w:p>
    <w:p w14:paraId="257D2A6D" w14:textId="77777777" w:rsidR="007D1F30" w:rsidRPr="00930C7A" w:rsidRDefault="007D1F30" w:rsidP="004873B1">
      <w:pPr>
        <w:pStyle w:val="Casehead2"/>
        <w:keepNext w:val="0"/>
        <w:rPr>
          <w:lang w:eastAsia="zh-CN"/>
        </w:rPr>
      </w:pPr>
      <w:r w:rsidRPr="00930C7A">
        <w:rPr>
          <w:lang w:eastAsia="zh-CN"/>
        </w:rPr>
        <w:t>The Member System</w:t>
      </w:r>
    </w:p>
    <w:p w14:paraId="4DD16E10" w14:textId="77777777" w:rsidR="007D1F30" w:rsidRPr="004873B1" w:rsidRDefault="007D1F30" w:rsidP="007B1990">
      <w:pPr>
        <w:pStyle w:val="BodyTextMain"/>
        <w:rPr>
          <w:sz w:val="20"/>
          <w:szCs w:val="20"/>
          <w:lang w:eastAsia="zh-CN"/>
        </w:rPr>
      </w:pPr>
    </w:p>
    <w:p w14:paraId="4C92DCA3" w14:textId="36512F54" w:rsidR="007D1F30" w:rsidRPr="00930C7A" w:rsidRDefault="007D1F30" w:rsidP="00D11F85">
      <w:pPr>
        <w:pStyle w:val="BodyTextMain"/>
        <w:rPr>
          <w:rFonts w:eastAsiaTheme="minorEastAsia"/>
          <w:lang w:eastAsia="zh-CN"/>
        </w:rPr>
      </w:pPr>
      <w:bookmarkStart w:id="32" w:name="_Hlk54624567"/>
      <w:r w:rsidRPr="00930C7A">
        <w:rPr>
          <w:lang w:eastAsia="zh-CN"/>
        </w:rPr>
        <w:t>While providing office spaces, facilities</w:t>
      </w:r>
      <w:r w:rsidRPr="00930C7A">
        <w:rPr>
          <w:rFonts w:eastAsia="SimSun"/>
          <w:lang w:eastAsia="zh-CN"/>
        </w:rPr>
        <w:t>,</w:t>
      </w:r>
      <w:r w:rsidRPr="00930C7A">
        <w:rPr>
          <w:lang w:eastAsia="zh-CN"/>
        </w:rPr>
        <w:t xml:space="preserve"> and basic office services to members or customers,</w:t>
      </w:r>
      <w:bookmarkEnd w:id="32"/>
      <w:r w:rsidRPr="00930C7A">
        <w:rPr>
          <w:lang w:eastAsia="zh-CN"/>
        </w:rPr>
        <w:t xml:space="preserve"> Ucommune also </w:t>
      </w:r>
      <w:r>
        <w:rPr>
          <w:lang w:eastAsia="zh-CN"/>
        </w:rPr>
        <w:t>strove</w:t>
      </w:r>
      <w:r w:rsidRPr="00930C7A">
        <w:rPr>
          <w:lang w:eastAsia="zh-CN"/>
        </w:rPr>
        <w:t xml:space="preserve"> to </w:t>
      </w:r>
      <w:bookmarkStart w:id="33" w:name="_Hlk54624748"/>
      <w:r w:rsidRPr="00930C7A">
        <w:rPr>
          <w:lang w:eastAsia="zh-CN"/>
        </w:rPr>
        <w:t>develop its “non-space business”</w:t>
      </w:r>
      <w:bookmarkEnd w:id="33"/>
      <w:r w:rsidRPr="00930C7A">
        <w:rPr>
          <w:lang w:eastAsia="zh-CN"/>
        </w:rPr>
        <w:t xml:space="preserve"> and offered members additional services beyond physical spaces, which </w:t>
      </w:r>
      <w:bookmarkStart w:id="34" w:name="_Hlk54624833"/>
      <w:r w:rsidRPr="00930C7A">
        <w:rPr>
          <w:lang w:eastAsia="zh-CN"/>
        </w:rPr>
        <w:t>were referred to by Ucommune as U Plus services</w:t>
      </w:r>
      <w:bookmarkEnd w:id="34"/>
      <w:r w:rsidRPr="00930C7A">
        <w:rPr>
          <w:lang w:eastAsia="zh-CN"/>
        </w:rPr>
        <w:t>.</w:t>
      </w:r>
      <w:r w:rsidRPr="00930C7A">
        <w:t xml:space="preserve"> </w:t>
      </w:r>
      <w:r w:rsidRPr="00930C7A">
        <w:rPr>
          <w:rFonts w:eastAsiaTheme="minorEastAsia"/>
          <w:lang w:eastAsia="zh-CN"/>
        </w:rPr>
        <w:t>U Plus offered a wealth of service types</w:t>
      </w:r>
      <w:r>
        <w:rPr>
          <w:rFonts w:eastAsiaTheme="minorEastAsia"/>
          <w:lang w:eastAsia="zh-CN"/>
        </w:rPr>
        <w:t xml:space="preserve">: </w:t>
      </w:r>
      <w:r w:rsidRPr="00930C7A">
        <w:rPr>
          <w:rFonts w:eastAsiaTheme="minorEastAsia"/>
          <w:lang w:eastAsia="zh-CN"/>
        </w:rPr>
        <w:t>services for individuals such as fitness, health care, catering, and entertainment; general corporate services such as corporate secretary, human resources, information technology support, and legal services; incubation and corporate venturing services; advertising and branding services; and others.</w:t>
      </w:r>
    </w:p>
    <w:p w14:paraId="6DEDA374" w14:textId="77777777" w:rsidR="007D1F30" w:rsidRPr="004873B1" w:rsidRDefault="007D1F30" w:rsidP="00D11F85">
      <w:pPr>
        <w:pStyle w:val="BodyTextMain"/>
        <w:rPr>
          <w:rFonts w:eastAsiaTheme="minorEastAsia"/>
          <w:sz w:val="20"/>
          <w:szCs w:val="20"/>
          <w:lang w:eastAsia="zh-CN"/>
        </w:rPr>
      </w:pPr>
    </w:p>
    <w:p w14:paraId="0035B0BC" w14:textId="639170D8" w:rsidR="007D1F30" w:rsidRPr="00C3100F" w:rsidRDefault="007D1F30" w:rsidP="00D11F85">
      <w:pPr>
        <w:pStyle w:val="BodyTextMain"/>
        <w:rPr>
          <w:spacing w:val="-2"/>
          <w:lang w:eastAsia="zh-CN"/>
        </w:rPr>
      </w:pPr>
      <w:bookmarkStart w:id="35" w:name="_Hlk54624946"/>
      <w:r w:rsidRPr="00C3100F">
        <w:rPr>
          <w:spacing w:val="-2"/>
          <w:lang w:eastAsia="zh-CN"/>
        </w:rPr>
        <w:t>Ucommune had established</w:t>
      </w:r>
      <w:bookmarkEnd w:id="35"/>
      <w:r w:rsidRPr="00C3100F">
        <w:rPr>
          <w:spacing w:val="-2"/>
          <w:lang w:eastAsia="zh-CN"/>
        </w:rPr>
        <w:t xml:space="preserve"> a member services and benefits system to provide a full range of services to empower enterprise and individual members. For enterprise members, </w:t>
      </w:r>
      <w:bookmarkStart w:id="36" w:name="_Hlk54624974"/>
      <w:r w:rsidRPr="00C3100F">
        <w:rPr>
          <w:spacing w:val="-2"/>
          <w:lang w:eastAsia="zh-CN"/>
        </w:rPr>
        <w:t>Ucommune hoped to</w:t>
      </w:r>
      <w:bookmarkEnd w:id="36"/>
      <w:r w:rsidRPr="00C3100F">
        <w:rPr>
          <w:spacing w:val="-2"/>
          <w:lang w:eastAsia="zh-CN"/>
        </w:rPr>
        <w:t xml:space="preserve"> help them </w:t>
      </w:r>
      <w:r w:rsidRPr="00C3100F">
        <w:rPr>
          <w:spacing w:val="-2"/>
          <w:lang w:eastAsia="zh-CN"/>
        </w:rPr>
        <w:lastRenderedPageBreak/>
        <w:t xml:space="preserve">accelerate their development while maintaining their core competitiveness. Specifically, according to the requirements of the enterprises in the development process, </w:t>
      </w:r>
      <w:bookmarkStart w:id="37" w:name="_Hlk54624998"/>
      <w:r w:rsidRPr="00C3100F">
        <w:rPr>
          <w:spacing w:val="-2"/>
          <w:lang w:eastAsia="zh-CN"/>
        </w:rPr>
        <w:t>Ucommune provided them with numerous</w:t>
      </w:r>
      <w:bookmarkEnd w:id="37"/>
      <w:r w:rsidRPr="00C3100F">
        <w:rPr>
          <w:spacing w:val="-2"/>
          <w:lang w:eastAsia="zh-CN"/>
        </w:rPr>
        <w:t xml:space="preserve"> benefits through marketing, human resources, and financial services. For individual members, </w:t>
      </w:r>
      <w:bookmarkStart w:id="38" w:name="_Hlk54625114"/>
      <w:r w:rsidRPr="00C3100F">
        <w:rPr>
          <w:spacing w:val="-2"/>
          <w:lang w:eastAsia="zh-CN"/>
        </w:rPr>
        <w:t xml:space="preserve">Ucommune was concerned about </w:t>
      </w:r>
      <w:bookmarkEnd w:id="38"/>
      <w:r w:rsidRPr="00C3100F">
        <w:rPr>
          <w:spacing w:val="-2"/>
          <w:lang w:eastAsia="zh-CN"/>
        </w:rPr>
        <w:t xml:space="preserve">their work happiness. </w:t>
      </w:r>
      <w:bookmarkStart w:id="39" w:name="_Hlk54625157"/>
      <w:r w:rsidRPr="00C3100F">
        <w:rPr>
          <w:spacing w:val="-2"/>
          <w:lang w:eastAsia="zh-CN"/>
        </w:rPr>
        <w:t>Individual members were mainly</w:t>
      </w:r>
      <w:bookmarkEnd w:id="39"/>
      <w:r w:rsidRPr="00C3100F">
        <w:rPr>
          <w:spacing w:val="-2"/>
          <w:lang w:eastAsia="zh-CN"/>
        </w:rPr>
        <w:t xml:space="preserve"> employees of enterprise members and freelancers. Centring on the themes of personal improvement, consumption upgrading, and life convenience, </w:t>
      </w:r>
      <w:bookmarkStart w:id="40" w:name="_Hlk54625205"/>
      <w:r w:rsidRPr="00C3100F">
        <w:rPr>
          <w:spacing w:val="-2"/>
          <w:lang w:eastAsia="zh-CN"/>
        </w:rPr>
        <w:t>Ucommune offered individual members services</w:t>
      </w:r>
      <w:bookmarkEnd w:id="40"/>
      <w:r w:rsidRPr="00C3100F">
        <w:rPr>
          <w:spacing w:val="-2"/>
          <w:lang w:eastAsia="zh-CN"/>
        </w:rPr>
        <w:t xml:space="preserve"> such as catering, entertainment, and career courses. In particular, Ucommune also launched a member loyalty program. According to the program, </w:t>
      </w:r>
      <w:bookmarkStart w:id="41" w:name="_Hlk54625325"/>
      <w:r w:rsidRPr="00C3100F">
        <w:rPr>
          <w:spacing w:val="-2"/>
          <w:lang w:eastAsia="zh-CN"/>
        </w:rPr>
        <w:t>members could receive reward points</w:t>
      </w:r>
      <w:bookmarkEnd w:id="41"/>
      <w:r w:rsidRPr="00C3100F">
        <w:rPr>
          <w:spacing w:val="-2"/>
          <w:lang w:eastAsia="zh-CN"/>
        </w:rPr>
        <w:t xml:space="preserve"> by participating in various activities and then utilize the points to purchase value-added services and book conference rooms, or exchange the points for member gift packages.</w:t>
      </w:r>
    </w:p>
    <w:p w14:paraId="26C9D9AA" w14:textId="77777777" w:rsidR="007D1F30" w:rsidRPr="00930C7A" w:rsidRDefault="007D1F30" w:rsidP="000C5A62">
      <w:pPr>
        <w:pStyle w:val="BodyTextMain"/>
        <w:rPr>
          <w:spacing w:val="-4"/>
          <w:lang w:eastAsia="zh-CN"/>
        </w:rPr>
      </w:pPr>
    </w:p>
    <w:p w14:paraId="28B01F89" w14:textId="77777777" w:rsidR="007D1F30" w:rsidRPr="00930C7A" w:rsidRDefault="007D1F30" w:rsidP="000C5A62">
      <w:pPr>
        <w:pStyle w:val="BodyTextMain"/>
        <w:rPr>
          <w:lang w:eastAsia="zh-CN"/>
        </w:rPr>
      </w:pPr>
    </w:p>
    <w:p w14:paraId="07B6854B" w14:textId="77777777" w:rsidR="007D1F30" w:rsidRPr="00930C7A" w:rsidRDefault="007D1F30" w:rsidP="004873B1">
      <w:pPr>
        <w:pStyle w:val="Casehead2"/>
        <w:keepNext w:val="0"/>
        <w:rPr>
          <w:lang w:eastAsia="zh-CN"/>
        </w:rPr>
      </w:pPr>
      <w:r w:rsidRPr="00930C7A">
        <w:rPr>
          <w:lang w:eastAsia="zh-CN"/>
        </w:rPr>
        <w:t>The Service Ecosystem</w:t>
      </w:r>
    </w:p>
    <w:p w14:paraId="00243C68" w14:textId="77777777" w:rsidR="007D1F30" w:rsidRPr="00930C7A" w:rsidRDefault="007D1F30" w:rsidP="00456725">
      <w:pPr>
        <w:pStyle w:val="BodyTextMain"/>
        <w:rPr>
          <w:lang w:eastAsia="zh-CN"/>
        </w:rPr>
      </w:pPr>
    </w:p>
    <w:p w14:paraId="092E1111" w14:textId="2FE9374A" w:rsidR="007D1F30" w:rsidRPr="00930C7A" w:rsidRDefault="007D1F30" w:rsidP="00D11F85">
      <w:pPr>
        <w:pStyle w:val="BodyTextMain"/>
        <w:rPr>
          <w:sz w:val="21"/>
          <w:lang w:eastAsia="zh-CN"/>
        </w:rPr>
      </w:pPr>
      <w:r w:rsidRPr="00930C7A">
        <w:rPr>
          <w:lang w:eastAsia="zh-CN"/>
        </w:rPr>
        <w:t xml:space="preserve">Ucommune put forward the idea of building a service ecosystem and then put this into practice, which gave Ucommune the capability to provide comprehensive services for members or customers. Specifically, it established contact with service agencies in various fields by means of investment, acquisition, and co-operation to build its service ecosystem. In the five years since its establishment, </w:t>
      </w:r>
      <w:bookmarkStart w:id="42" w:name="_Hlk54626120"/>
      <w:r w:rsidRPr="00930C7A">
        <w:rPr>
          <w:lang w:eastAsia="zh-CN"/>
        </w:rPr>
        <w:t>Ucommune had invested</w:t>
      </w:r>
      <w:bookmarkEnd w:id="42"/>
      <w:r w:rsidRPr="00930C7A">
        <w:rPr>
          <w:lang w:eastAsia="zh-CN"/>
        </w:rPr>
        <w:t xml:space="preserve"> in dozens of excellent service companies—involving human resources, consulting, intellectual property, entertainment, sports, and other fields—and acquired six outstanding innovative companies in the service fields of Internet technology development, intelligent housing management, advertising media, and precision marketing. </w:t>
      </w:r>
      <w:bookmarkStart w:id="43" w:name="_Hlk54626357"/>
      <w:r w:rsidRPr="00930C7A">
        <w:rPr>
          <w:lang w:eastAsia="zh-CN"/>
        </w:rPr>
        <w:t>In addition, numerous companies had also collaborated with Ucommune and then become service agencies</w:t>
      </w:r>
      <w:bookmarkEnd w:id="43"/>
      <w:r w:rsidRPr="00930C7A">
        <w:rPr>
          <w:lang w:eastAsia="zh-CN"/>
        </w:rPr>
        <w:t xml:space="preserve"> in Ucommune’s</w:t>
      </w:r>
      <w:r w:rsidRPr="00930C7A" w:rsidDel="006A0B79">
        <w:rPr>
          <w:lang w:eastAsia="zh-CN"/>
        </w:rPr>
        <w:t xml:space="preserve"> </w:t>
      </w:r>
      <w:r w:rsidRPr="00930C7A">
        <w:rPr>
          <w:lang w:eastAsia="zh-CN"/>
        </w:rPr>
        <w:t>service ecosystem, including large enterprises such as Alibaba Cloud and China CITIC Bank International.</w:t>
      </w:r>
    </w:p>
    <w:p w14:paraId="47515DE4" w14:textId="77777777" w:rsidR="007D1F30" w:rsidRPr="00930C7A" w:rsidRDefault="007D1F30" w:rsidP="00D11F85">
      <w:pPr>
        <w:pStyle w:val="BodyTextMain"/>
        <w:rPr>
          <w:lang w:eastAsia="zh-CN"/>
        </w:rPr>
      </w:pPr>
    </w:p>
    <w:p w14:paraId="178BDC32" w14:textId="5303B354" w:rsidR="007D1F30" w:rsidRPr="00930C7A" w:rsidRDefault="007D1F30" w:rsidP="00D11F85">
      <w:pPr>
        <w:pStyle w:val="BodyTextMain"/>
        <w:rPr>
          <w:rFonts w:eastAsiaTheme="minorEastAsia"/>
          <w:lang w:eastAsia="zh-CN"/>
        </w:rPr>
      </w:pPr>
      <w:r w:rsidRPr="00930C7A">
        <w:rPr>
          <w:lang w:eastAsia="zh-CN"/>
        </w:rPr>
        <w:t>Through the establishment of the service ecosystem, Ucommune could provide a greater number of professional services</w:t>
      </w:r>
      <w:r w:rsidRPr="00930C7A" w:rsidDel="003F3EF8">
        <w:rPr>
          <w:lang w:eastAsia="zh-CN"/>
        </w:rPr>
        <w:t xml:space="preserve"> </w:t>
      </w:r>
      <w:r w:rsidRPr="00930C7A">
        <w:rPr>
          <w:lang w:eastAsia="zh-CN"/>
        </w:rPr>
        <w:t xml:space="preserve">for its members with the help of service agencies, and </w:t>
      </w:r>
      <w:bookmarkStart w:id="44" w:name="_Hlk54626477"/>
      <w:r w:rsidRPr="00930C7A">
        <w:rPr>
          <w:lang w:eastAsia="zh-CN"/>
        </w:rPr>
        <w:t>the service agencies correspondingly obtained</w:t>
      </w:r>
      <w:bookmarkEnd w:id="44"/>
      <w:r w:rsidRPr="00930C7A">
        <w:rPr>
          <w:lang w:eastAsia="zh-CN"/>
        </w:rPr>
        <w:t xml:space="preserve"> a channel to sell their services to </w:t>
      </w:r>
      <w:bookmarkStart w:id="45" w:name="_Hlk54626519"/>
      <w:r w:rsidRPr="00930C7A">
        <w:rPr>
          <w:lang w:eastAsia="zh-CN"/>
        </w:rPr>
        <w:t>Ucommune’s</w:t>
      </w:r>
      <w:r w:rsidRPr="00930C7A" w:rsidDel="00440BF8">
        <w:rPr>
          <w:lang w:eastAsia="zh-CN"/>
        </w:rPr>
        <w:t xml:space="preserve"> </w:t>
      </w:r>
      <w:r w:rsidRPr="00930C7A">
        <w:rPr>
          <w:lang w:eastAsia="zh-CN"/>
        </w:rPr>
        <w:t>members and customers</w:t>
      </w:r>
      <w:bookmarkEnd w:id="45"/>
      <w:r w:rsidRPr="00930C7A">
        <w:rPr>
          <w:lang w:eastAsia="zh-CN"/>
        </w:rPr>
        <w:t xml:space="preserve">. In addition, while enjoying service resources, </w:t>
      </w:r>
      <w:bookmarkStart w:id="46" w:name="_Hlk54626601"/>
      <w:r w:rsidRPr="00930C7A">
        <w:rPr>
          <w:lang w:eastAsia="zh-CN"/>
        </w:rPr>
        <w:t>some of Ucommune’s enterprise members</w:t>
      </w:r>
      <w:bookmarkEnd w:id="46"/>
      <w:r w:rsidRPr="00930C7A">
        <w:rPr>
          <w:lang w:eastAsia="zh-CN"/>
        </w:rPr>
        <w:t xml:space="preserve"> could also play the role of </w:t>
      </w:r>
      <w:r w:rsidRPr="00930C7A">
        <w:rPr>
          <w:rFonts w:eastAsiaTheme="minorEastAsia"/>
          <w:lang w:eastAsia="zh-CN"/>
        </w:rPr>
        <w:t>service</w:t>
      </w:r>
      <w:r w:rsidRPr="00930C7A">
        <w:rPr>
          <w:lang w:eastAsia="zh-CN"/>
        </w:rPr>
        <w:t xml:space="preserve"> agencies themselves, providing specific services for other Ucommune members based on their own business characteristics. For Ucommune, the large number of members gathered on its platform meant it could require service agencies to provide preferential prices and high-quality services. Ucommune’s </w:t>
      </w:r>
      <w:bookmarkStart w:id="47" w:name="_Hlk54626650"/>
      <w:r w:rsidRPr="00930C7A">
        <w:rPr>
          <w:lang w:eastAsia="zh-CN"/>
        </w:rPr>
        <w:t>service ecosystem was currently relatively large</w:t>
      </w:r>
      <w:bookmarkEnd w:id="47"/>
      <w:r w:rsidRPr="00930C7A">
        <w:rPr>
          <w:lang w:eastAsia="zh-CN"/>
        </w:rPr>
        <w:t>.</w:t>
      </w:r>
    </w:p>
    <w:p w14:paraId="6B8B35B0" w14:textId="77777777" w:rsidR="007D1F30" w:rsidRPr="00930C7A" w:rsidRDefault="007D1F30" w:rsidP="000C5A62">
      <w:pPr>
        <w:pStyle w:val="BodyTextMain"/>
        <w:rPr>
          <w:rFonts w:eastAsiaTheme="minorEastAsia"/>
          <w:lang w:eastAsia="zh-CN"/>
        </w:rPr>
      </w:pPr>
    </w:p>
    <w:p w14:paraId="5697A4BC" w14:textId="77777777" w:rsidR="007D1F30" w:rsidRPr="00930C7A" w:rsidRDefault="007D1F30" w:rsidP="000C5A62">
      <w:pPr>
        <w:pStyle w:val="BodyTextMain"/>
        <w:rPr>
          <w:rFonts w:eastAsiaTheme="minorEastAsia"/>
          <w:lang w:eastAsia="zh-CN"/>
        </w:rPr>
      </w:pPr>
    </w:p>
    <w:p w14:paraId="1297AD9F" w14:textId="77777777" w:rsidR="007D1F30" w:rsidRPr="00930C7A" w:rsidRDefault="007D1F30" w:rsidP="004873B1">
      <w:pPr>
        <w:pStyle w:val="Casehead1"/>
        <w:keepNext w:val="0"/>
        <w:rPr>
          <w:rFonts w:eastAsia="SimSun"/>
          <w:lang w:eastAsia="zh-CN"/>
        </w:rPr>
      </w:pPr>
      <w:r w:rsidRPr="00930C7A">
        <w:rPr>
          <w:rFonts w:eastAsia="SimSun"/>
          <w:lang w:eastAsia="zh-CN"/>
        </w:rPr>
        <w:t>FOSTERING COMMUNITY</w:t>
      </w:r>
    </w:p>
    <w:p w14:paraId="5FEC60C3" w14:textId="77777777" w:rsidR="007D1F30" w:rsidRPr="00930C7A" w:rsidRDefault="007D1F30" w:rsidP="000C5A62">
      <w:pPr>
        <w:pStyle w:val="BodyTextMain"/>
        <w:rPr>
          <w:rFonts w:eastAsiaTheme="minorEastAsia"/>
          <w:lang w:eastAsia="zh-CN"/>
        </w:rPr>
      </w:pPr>
    </w:p>
    <w:p w14:paraId="0A48F4EE" w14:textId="77777777" w:rsidR="007D1F30" w:rsidRPr="00930C7A" w:rsidRDefault="007D1F30" w:rsidP="004873B1">
      <w:pPr>
        <w:pStyle w:val="Casehead2"/>
        <w:keepNext w:val="0"/>
        <w:rPr>
          <w:lang w:eastAsia="zh-CN"/>
        </w:rPr>
      </w:pPr>
      <w:r w:rsidRPr="00930C7A">
        <w:rPr>
          <w:lang w:eastAsia="zh-CN"/>
        </w:rPr>
        <w:t>Thinking of Community</w:t>
      </w:r>
    </w:p>
    <w:p w14:paraId="2BE90B01" w14:textId="77777777" w:rsidR="007D1F30" w:rsidRPr="00930C7A" w:rsidRDefault="007D1F30" w:rsidP="000C5A62">
      <w:pPr>
        <w:pStyle w:val="BodyTextMain"/>
        <w:rPr>
          <w:lang w:eastAsia="zh-CN"/>
        </w:rPr>
      </w:pPr>
    </w:p>
    <w:p w14:paraId="7B7E6A01" w14:textId="5003824B" w:rsidR="007D1F30" w:rsidRDefault="007D1F30" w:rsidP="003C54A3">
      <w:pPr>
        <w:pStyle w:val="BodyTextMain"/>
        <w:rPr>
          <w:lang w:eastAsia="zh-CN"/>
        </w:rPr>
      </w:pPr>
      <w:r w:rsidRPr="00930C7A">
        <w:rPr>
          <w:lang w:eastAsia="zh-CN"/>
        </w:rPr>
        <w:t>During the development of Ucommune, Mao gradually thought strategically about fostering a community. In fact, Ucommune’s current logo was designed based on the concept of community. He explained,</w:t>
      </w:r>
    </w:p>
    <w:p w14:paraId="412ACA5B" w14:textId="77777777" w:rsidR="007D1F30" w:rsidRDefault="007D1F30" w:rsidP="003C54A3">
      <w:pPr>
        <w:pStyle w:val="BodyTextMain"/>
        <w:rPr>
          <w:lang w:eastAsia="zh-CN"/>
        </w:rPr>
      </w:pPr>
    </w:p>
    <w:p w14:paraId="5719AFF2" w14:textId="31AA5CDA" w:rsidR="007D1F30" w:rsidRDefault="007D1F30" w:rsidP="009E7326">
      <w:pPr>
        <w:pStyle w:val="BodyTextMain"/>
        <w:ind w:left="720"/>
        <w:rPr>
          <w:lang w:eastAsia="zh-CN"/>
        </w:rPr>
      </w:pPr>
      <w:r w:rsidRPr="00930C7A">
        <w:rPr>
          <w:lang w:eastAsia="zh-CN"/>
        </w:rPr>
        <w:t>The thinking of community must be understood when running Ucommune because the essence of what we do is a business about community. The community can evolve and allow different people to interact with each other, which cannot be achieved by a machine. Ucommune has been attaching great importance to the power of the community.</w:t>
      </w:r>
    </w:p>
    <w:p w14:paraId="31A102CB" w14:textId="77777777" w:rsidR="007D1F30" w:rsidRDefault="007D1F30" w:rsidP="009E7326">
      <w:pPr>
        <w:pStyle w:val="BodyTextMain"/>
        <w:rPr>
          <w:lang w:eastAsia="zh-CN"/>
        </w:rPr>
      </w:pPr>
    </w:p>
    <w:p w14:paraId="1936C94F" w14:textId="77777777" w:rsidR="00F546B1" w:rsidRDefault="007D1F30" w:rsidP="003C54A3">
      <w:pPr>
        <w:pStyle w:val="BodyTextMain"/>
        <w:rPr>
          <w:lang w:eastAsia="zh-CN"/>
        </w:rPr>
      </w:pPr>
      <w:r w:rsidRPr="00930C7A">
        <w:rPr>
          <w:lang w:eastAsia="zh-CN"/>
        </w:rPr>
        <w:t xml:space="preserve">For Ucommune, the </w:t>
      </w:r>
      <w:r>
        <w:rPr>
          <w:lang w:eastAsia="zh-CN"/>
        </w:rPr>
        <w:t>off-line</w:t>
      </w:r>
      <w:r w:rsidRPr="00930C7A">
        <w:rPr>
          <w:lang w:eastAsia="zh-CN"/>
        </w:rPr>
        <w:t xml:space="preserve"> office space and online app or platform where numerous members gathered and interacted at a high frequency signified the foundation or manifestation of its community.</w:t>
      </w:r>
      <w:r w:rsidR="00F546B1">
        <w:rPr>
          <w:lang w:eastAsia="zh-CN"/>
        </w:rPr>
        <w:t xml:space="preserve"> </w:t>
      </w:r>
    </w:p>
    <w:p w14:paraId="561B1F5C" w14:textId="77777777" w:rsidR="00253ACC" w:rsidRDefault="00253ACC" w:rsidP="003C54A3">
      <w:pPr>
        <w:pStyle w:val="BodyTextMain"/>
        <w:rPr>
          <w:lang w:eastAsia="zh-CN"/>
        </w:rPr>
      </w:pPr>
    </w:p>
    <w:p w14:paraId="231FADD3" w14:textId="10A647BF" w:rsidR="007D1F30" w:rsidRPr="00F546B1" w:rsidRDefault="007D1F30" w:rsidP="003C54A3">
      <w:pPr>
        <w:pStyle w:val="BodyTextMain"/>
        <w:rPr>
          <w:lang w:eastAsia="zh-CN"/>
        </w:rPr>
      </w:pPr>
      <w:r w:rsidRPr="00930C7A">
        <w:rPr>
          <w:lang w:eastAsia="zh-CN"/>
        </w:rPr>
        <w:lastRenderedPageBreak/>
        <w:t xml:space="preserve">Mao hoped the enterprises could find a feeling of home in Ucommune. In </w:t>
      </w:r>
      <w:proofErr w:type="spellStart"/>
      <w:r w:rsidRPr="00930C7A">
        <w:rPr>
          <w:lang w:eastAsia="zh-CN"/>
        </w:rPr>
        <w:t>Ucommune’s</w:t>
      </w:r>
      <w:proofErr w:type="spellEnd"/>
      <w:r w:rsidRPr="00930C7A">
        <w:rPr>
          <w:lang w:eastAsia="zh-CN"/>
        </w:rPr>
        <w:t xml:space="preserve"> </w:t>
      </w:r>
      <w:r>
        <w:rPr>
          <w:lang w:eastAsia="zh-CN"/>
        </w:rPr>
        <w:t>off-line</w:t>
      </w:r>
      <w:r w:rsidRPr="00930C7A">
        <w:rPr>
          <w:lang w:eastAsia="zh-CN"/>
        </w:rPr>
        <w:t xml:space="preserve"> office space, people could communicate and interact with others and help each other.</w:t>
      </w:r>
      <w:r w:rsidRPr="00930C7A">
        <w:rPr>
          <w:rStyle w:val="EndnoteReference"/>
          <w:lang w:eastAsia="zh-CN"/>
        </w:rPr>
        <w:endnoteReference w:id="21"/>
      </w:r>
      <w:r w:rsidRPr="00930C7A">
        <w:rPr>
          <w:lang w:eastAsia="zh-CN"/>
        </w:rPr>
        <w:t xml:space="preserve"> Ucommune hosted a variety of activities—such as reading activities, career development trainings, entrepreneur forums, holiday parties, and so forth—and set up organizations such as the Entrepreneurs’ Club. These measures effectively strengthened the direct contact and interaction between members, as well as between members and Ucommune’s business partners, such as the service agencies. For the planning of the </w:t>
      </w:r>
      <w:r>
        <w:rPr>
          <w:lang w:eastAsia="zh-CN"/>
        </w:rPr>
        <w:t>off-line</w:t>
      </w:r>
      <w:r w:rsidRPr="00930C7A">
        <w:rPr>
          <w:lang w:eastAsia="zh-CN"/>
        </w:rPr>
        <w:t xml:space="preserve"> space, in addition to attempting to create smart office scenes to improve office efficiency and the office experience for members, Ucommune also promoted the design of settings suitable for social contact so as to promote spontaneous communication, sharing, and co-operation among members. Ucommune </w:t>
      </w:r>
      <w:r w:rsidRPr="00930C7A">
        <w:t>continued to foster</w:t>
      </w:r>
      <w:r w:rsidRPr="00930C7A" w:rsidDel="00BB3313">
        <w:rPr>
          <w:lang w:eastAsia="zh-CN"/>
        </w:rPr>
        <w:t xml:space="preserve"> </w:t>
      </w:r>
      <w:r w:rsidRPr="00930C7A">
        <w:rPr>
          <w:lang w:eastAsia="zh-CN"/>
        </w:rPr>
        <w:t>the idea of creating an ideal work and lifestyle environment for customers.</w:t>
      </w:r>
    </w:p>
    <w:p w14:paraId="115C3F49" w14:textId="77777777" w:rsidR="007D1F30" w:rsidRPr="00930C7A" w:rsidRDefault="007D1F30" w:rsidP="000C5A62">
      <w:pPr>
        <w:pStyle w:val="BodyTextMain"/>
        <w:rPr>
          <w:lang w:eastAsia="zh-CN"/>
        </w:rPr>
      </w:pPr>
    </w:p>
    <w:p w14:paraId="1AF49FE0" w14:textId="77777777" w:rsidR="007D1F30" w:rsidRPr="00930C7A" w:rsidRDefault="007D1F30" w:rsidP="0010769E">
      <w:pPr>
        <w:pStyle w:val="BodyTextMain"/>
        <w:rPr>
          <w:rFonts w:eastAsiaTheme="minorEastAsia"/>
          <w:lang w:eastAsia="zh-CN"/>
        </w:rPr>
      </w:pPr>
    </w:p>
    <w:p w14:paraId="35A60B60" w14:textId="77777777" w:rsidR="007D1F30" w:rsidRPr="00930C7A" w:rsidRDefault="007D1F30" w:rsidP="004873B1">
      <w:pPr>
        <w:pStyle w:val="Casehead2"/>
        <w:keepNext w:val="0"/>
        <w:rPr>
          <w:lang w:eastAsia="zh-CN"/>
        </w:rPr>
      </w:pPr>
      <w:r w:rsidRPr="00930C7A">
        <w:rPr>
          <w:lang w:eastAsia="zh-CN"/>
        </w:rPr>
        <w:t>Constructing an Online Platform</w:t>
      </w:r>
    </w:p>
    <w:p w14:paraId="3E0F21CA" w14:textId="77777777" w:rsidR="007D1F30" w:rsidRPr="00930C7A" w:rsidRDefault="007D1F30" w:rsidP="0010769E">
      <w:pPr>
        <w:pStyle w:val="BodyTextMain"/>
        <w:rPr>
          <w:rFonts w:eastAsiaTheme="minorEastAsia"/>
          <w:lang w:eastAsia="zh-CN"/>
        </w:rPr>
      </w:pPr>
    </w:p>
    <w:p w14:paraId="659019E6" w14:textId="1CEA2CA4" w:rsidR="007D1F30" w:rsidRPr="00930C7A" w:rsidRDefault="007D1F30" w:rsidP="003C54A3">
      <w:pPr>
        <w:pStyle w:val="BodyTextMain"/>
        <w:rPr>
          <w:rFonts w:eastAsiaTheme="minorEastAsia"/>
          <w:lang w:eastAsia="zh-CN"/>
        </w:rPr>
      </w:pPr>
      <w:r w:rsidRPr="00930C7A">
        <w:rPr>
          <w:rFonts w:eastAsiaTheme="minorEastAsia"/>
          <w:lang w:eastAsia="zh-CN"/>
        </w:rPr>
        <w:t xml:space="preserve">In addition to managing the </w:t>
      </w:r>
      <w:r>
        <w:rPr>
          <w:rFonts w:eastAsiaTheme="minorEastAsia"/>
          <w:lang w:eastAsia="zh-CN"/>
        </w:rPr>
        <w:t>off-line</w:t>
      </w:r>
      <w:r w:rsidRPr="00930C7A">
        <w:rPr>
          <w:rFonts w:eastAsiaTheme="minorEastAsia"/>
          <w:lang w:eastAsia="zh-CN"/>
        </w:rPr>
        <w:t xml:space="preserve"> office space, Ucommune also started the construction of its online platform. As a key step in developing an online community, </w:t>
      </w:r>
      <w:r>
        <w:rPr>
          <w:rFonts w:eastAsiaTheme="minorEastAsia"/>
          <w:lang w:eastAsia="zh-CN"/>
        </w:rPr>
        <w:t xml:space="preserve">in 2016, </w:t>
      </w:r>
      <w:r w:rsidRPr="00930C7A">
        <w:rPr>
          <w:rFonts w:eastAsiaTheme="minorEastAsia"/>
          <w:lang w:eastAsia="zh-CN"/>
        </w:rPr>
        <w:t>Ucommune launched its official online app</w:t>
      </w:r>
      <w:r>
        <w:rPr>
          <w:rFonts w:eastAsiaTheme="minorEastAsia"/>
          <w:lang w:eastAsia="zh-CN"/>
        </w:rPr>
        <w:t xml:space="preserve">, </w:t>
      </w:r>
      <w:bookmarkStart w:id="48" w:name="_Hlk54628115"/>
      <w:r w:rsidRPr="00930C7A">
        <w:rPr>
          <w:rFonts w:eastAsiaTheme="minorEastAsia"/>
          <w:lang w:eastAsia="zh-CN"/>
        </w:rPr>
        <w:t>U Bazaar</w:t>
      </w:r>
      <w:bookmarkEnd w:id="48"/>
      <w:r w:rsidRPr="00930C7A">
        <w:rPr>
          <w:rFonts w:eastAsiaTheme="minorEastAsia"/>
          <w:lang w:eastAsia="zh-CN"/>
        </w:rPr>
        <w:t xml:space="preserve">, </w:t>
      </w:r>
      <w:bookmarkStart w:id="49" w:name="_Hlk54628183"/>
      <w:r w:rsidRPr="00930C7A">
        <w:rPr>
          <w:rFonts w:eastAsiaTheme="minorEastAsia"/>
          <w:lang w:eastAsia="zh-CN"/>
        </w:rPr>
        <w:t>whose platform</w:t>
      </w:r>
      <w:bookmarkEnd w:id="49"/>
      <w:r w:rsidRPr="00930C7A">
        <w:rPr>
          <w:rFonts w:eastAsiaTheme="minorEastAsia"/>
          <w:lang w:eastAsia="zh-CN"/>
        </w:rPr>
        <w:t xml:space="preserve"> gathered numerous enterprise and individual members, as well as Ucommune’s business partners, such as service agencies and investment agencies. Members could utilize U Bazaar to post business requirements, marketing information, social information, and other content, and they could find partners and communicate, interact, and share resources with them through the online platform. U Bazaar also connected online and </w:t>
      </w:r>
      <w:r>
        <w:rPr>
          <w:rFonts w:eastAsiaTheme="minorEastAsia"/>
          <w:lang w:eastAsia="zh-CN"/>
        </w:rPr>
        <w:t>off-line</w:t>
      </w:r>
      <w:r w:rsidRPr="00930C7A">
        <w:rPr>
          <w:rFonts w:eastAsiaTheme="minorEastAsia"/>
          <w:lang w:eastAsia="zh-CN"/>
        </w:rPr>
        <w:t xml:space="preserve"> members. Based on this, members who were not in the same location could interact closely, and different office spaces could establish deeper links among each other. </w:t>
      </w:r>
      <w:bookmarkStart w:id="50" w:name="_Hlk54628821"/>
      <w:r w:rsidRPr="00930C7A">
        <w:rPr>
          <w:rFonts w:eastAsiaTheme="minorEastAsia"/>
          <w:lang w:eastAsia="zh-CN"/>
        </w:rPr>
        <w:t>Besides this, U Bazaar was completely open to the public</w:t>
      </w:r>
      <w:bookmarkEnd w:id="50"/>
      <w:r w:rsidRPr="00930C7A">
        <w:rPr>
          <w:rFonts w:eastAsiaTheme="minorEastAsia"/>
          <w:lang w:eastAsia="zh-CN"/>
        </w:rPr>
        <w:t xml:space="preserve">. Even enterprises or individuals that had never rented Ucommune’s </w:t>
      </w:r>
      <w:r>
        <w:rPr>
          <w:rFonts w:eastAsiaTheme="minorEastAsia"/>
          <w:lang w:eastAsia="zh-CN"/>
        </w:rPr>
        <w:t>off-line</w:t>
      </w:r>
      <w:r w:rsidRPr="00930C7A">
        <w:rPr>
          <w:rFonts w:eastAsiaTheme="minorEastAsia"/>
          <w:lang w:eastAsia="zh-CN"/>
        </w:rPr>
        <w:t xml:space="preserve"> office spaces could register as members for free and employ the power of the community to access more development opportunities.</w:t>
      </w:r>
    </w:p>
    <w:p w14:paraId="643E6C63" w14:textId="77777777" w:rsidR="007D1F30" w:rsidRPr="00930C7A" w:rsidRDefault="007D1F30" w:rsidP="003C54A3">
      <w:pPr>
        <w:pStyle w:val="BodyTextMain"/>
        <w:rPr>
          <w:rFonts w:eastAsiaTheme="minorEastAsia"/>
          <w:lang w:eastAsia="zh-CN"/>
        </w:rPr>
      </w:pPr>
    </w:p>
    <w:p w14:paraId="49D0F804" w14:textId="10AF1729" w:rsidR="007D1F30" w:rsidRPr="00C3100F" w:rsidRDefault="007D1F30" w:rsidP="003C54A3">
      <w:pPr>
        <w:pStyle w:val="BodyTextMain"/>
        <w:rPr>
          <w:rFonts w:eastAsiaTheme="minorEastAsia"/>
          <w:spacing w:val="-4"/>
          <w:lang w:eastAsia="zh-CN"/>
        </w:rPr>
      </w:pPr>
      <w:r w:rsidRPr="00C3100F">
        <w:rPr>
          <w:rFonts w:eastAsiaTheme="minorEastAsia"/>
          <w:spacing w:val="-4"/>
          <w:lang w:eastAsia="zh-CN"/>
        </w:rPr>
        <w:t>U Bazaar also played other important roles. Through U Bazaar’s interface, members could easily access and purchase all of Ucommune’s</w:t>
      </w:r>
      <w:r w:rsidRPr="00C3100F" w:rsidDel="00295C05">
        <w:rPr>
          <w:rFonts w:eastAsiaTheme="minorEastAsia"/>
          <w:spacing w:val="-4"/>
          <w:lang w:eastAsia="zh-CN"/>
        </w:rPr>
        <w:t xml:space="preserve"> </w:t>
      </w:r>
      <w:r w:rsidRPr="00C3100F">
        <w:rPr>
          <w:rFonts w:eastAsiaTheme="minorEastAsia"/>
          <w:spacing w:val="-4"/>
          <w:lang w:eastAsia="zh-CN"/>
        </w:rPr>
        <w:t>service offerings, including services for individuals such as catering and health care, and general corporate services such as human resources and legal services. U Bazaar integrated many other functions, such as conference room and workstation booking, workstation log-in, and calendar management, which effectively met a number of office requirements for members in Ucommune’s workspaces.</w:t>
      </w:r>
    </w:p>
    <w:p w14:paraId="70C79A6D" w14:textId="77777777" w:rsidR="007D1F30" w:rsidRPr="00930C7A" w:rsidRDefault="007D1F30" w:rsidP="003C54A3">
      <w:pPr>
        <w:pStyle w:val="BodyTextMain"/>
        <w:rPr>
          <w:rFonts w:eastAsiaTheme="minorEastAsia"/>
          <w:lang w:eastAsia="zh-CN"/>
        </w:rPr>
      </w:pPr>
    </w:p>
    <w:p w14:paraId="347C33CC" w14:textId="11C6B2BB" w:rsidR="007D1F30" w:rsidRPr="00930C7A" w:rsidRDefault="007D1F30" w:rsidP="003C54A3">
      <w:pPr>
        <w:pStyle w:val="BodyTextMain"/>
        <w:rPr>
          <w:rFonts w:eastAsiaTheme="minorEastAsia"/>
          <w:lang w:eastAsia="zh-CN"/>
        </w:rPr>
      </w:pPr>
      <w:r w:rsidRPr="00930C7A">
        <w:rPr>
          <w:rFonts w:eastAsiaTheme="minorEastAsia"/>
          <w:lang w:eastAsia="zh-CN"/>
        </w:rPr>
        <w:t>Ucommune also attached great importance to the power of social media. It opened its official accounts on Weibo and WeChat</w:t>
      </w:r>
      <w:r>
        <w:rPr>
          <w:rFonts w:eastAsiaTheme="minorEastAsia"/>
          <w:lang w:eastAsia="zh-CN"/>
        </w:rPr>
        <w:t>,</w:t>
      </w:r>
      <w:r w:rsidRPr="00930C7A">
        <w:rPr>
          <w:rFonts w:eastAsiaTheme="minorEastAsia"/>
          <w:lang w:eastAsia="zh-CN"/>
        </w:rPr>
        <w:t xml:space="preserve"> and conducted regular content delivery, publicity, and promotion. In August 2020, Ucommune initiated the topic of “Salute to Innovators” through Weibo and designed videos, articles, and other content, which aroused public attention.</w:t>
      </w:r>
    </w:p>
    <w:p w14:paraId="427D770C" w14:textId="624CE099" w:rsidR="007D1F30" w:rsidRPr="00930C7A" w:rsidRDefault="007D1F30" w:rsidP="003C54A3">
      <w:pPr>
        <w:pStyle w:val="BodyTextMain"/>
        <w:rPr>
          <w:rFonts w:eastAsiaTheme="minorEastAsia"/>
          <w:lang w:eastAsia="zh-CN"/>
        </w:rPr>
      </w:pPr>
    </w:p>
    <w:p w14:paraId="3A51343C" w14:textId="77777777" w:rsidR="007D1F30" w:rsidRPr="00930C7A" w:rsidRDefault="007D1F30" w:rsidP="003C54A3">
      <w:pPr>
        <w:pStyle w:val="BodyTextMain"/>
        <w:rPr>
          <w:rFonts w:eastAsiaTheme="minorEastAsia"/>
          <w:lang w:eastAsia="zh-CN"/>
        </w:rPr>
      </w:pPr>
    </w:p>
    <w:p w14:paraId="4E122477" w14:textId="77777777" w:rsidR="007D1F30" w:rsidRPr="00930C7A" w:rsidRDefault="007D1F30" w:rsidP="004873B1">
      <w:pPr>
        <w:pStyle w:val="Casehead2"/>
        <w:keepNext w:val="0"/>
        <w:rPr>
          <w:lang w:eastAsia="zh-CN"/>
        </w:rPr>
      </w:pPr>
      <w:r w:rsidRPr="00930C7A">
        <w:rPr>
          <w:lang w:eastAsia="zh-CN"/>
        </w:rPr>
        <w:t>Further Energizing the Community</w:t>
      </w:r>
    </w:p>
    <w:p w14:paraId="290DC88A" w14:textId="77777777" w:rsidR="007D1F30" w:rsidRPr="00930C7A" w:rsidRDefault="007D1F30" w:rsidP="0010769E">
      <w:pPr>
        <w:pStyle w:val="BodyTextMain"/>
        <w:rPr>
          <w:rFonts w:eastAsiaTheme="minorEastAsia"/>
          <w:lang w:eastAsia="zh-CN"/>
        </w:rPr>
      </w:pPr>
    </w:p>
    <w:p w14:paraId="10D331C6" w14:textId="698EF65E" w:rsidR="007D1F30" w:rsidRDefault="007D1F30" w:rsidP="00290188">
      <w:pPr>
        <w:pStyle w:val="BodyTextMain"/>
        <w:rPr>
          <w:rFonts w:eastAsiaTheme="minorEastAsia"/>
          <w:lang w:eastAsia="zh-CN"/>
        </w:rPr>
      </w:pPr>
      <w:r w:rsidRPr="00930C7A">
        <w:rPr>
          <w:rFonts w:eastAsiaTheme="minorEastAsia"/>
          <w:lang w:eastAsia="zh-CN"/>
        </w:rPr>
        <w:t>Members generated a wealth of traffic and data in Ucommune’s</w:t>
      </w:r>
      <w:r w:rsidRPr="00930C7A" w:rsidDel="00841163">
        <w:rPr>
          <w:rFonts w:eastAsiaTheme="minorEastAsia"/>
          <w:lang w:eastAsia="zh-CN"/>
        </w:rPr>
        <w:t xml:space="preserve"> </w:t>
      </w:r>
      <w:r w:rsidRPr="00930C7A">
        <w:rPr>
          <w:rFonts w:eastAsiaTheme="minorEastAsia"/>
          <w:lang w:eastAsia="zh-CN"/>
        </w:rPr>
        <w:t xml:space="preserve">community, which provided Ucommune with an opportunity to explore new businesses. </w:t>
      </w:r>
      <w:bookmarkStart w:id="51" w:name="_Hlk54629333"/>
      <w:r w:rsidRPr="00930C7A">
        <w:rPr>
          <w:rFonts w:eastAsiaTheme="minorEastAsia"/>
          <w:lang w:eastAsia="zh-CN"/>
        </w:rPr>
        <w:t>Ucommune launched</w:t>
      </w:r>
      <w:bookmarkEnd w:id="51"/>
      <w:r w:rsidRPr="00930C7A">
        <w:rPr>
          <w:rFonts w:eastAsiaTheme="minorEastAsia"/>
          <w:lang w:eastAsia="zh-CN"/>
        </w:rPr>
        <w:t xml:space="preserve"> precision marketing and community e-commerce business initiatives, which were also regarded by Ucommune as services to further energize its community.</w:t>
      </w:r>
      <w:r w:rsidRPr="00930C7A">
        <w:rPr>
          <w:rStyle w:val="EndnoteReference"/>
          <w:rFonts w:eastAsiaTheme="minorEastAsia"/>
          <w:lang w:eastAsia="zh-CN"/>
        </w:rPr>
        <w:endnoteReference w:id="22"/>
      </w:r>
      <w:r w:rsidRPr="00930C7A">
        <w:rPr>
          <w:rFonts w:eastAsiaTheme="minorEastAsia"/>
          <w:lang w:eastAsia="zh-CN"/>
        </w:rPr>
        <w:t xml:space="preserve"> The large membership of Ucommune’s community could be considered as an attractive advertising audience and thus a potential market for advertisers. Utilizing its technological capabilities, Ucommune could analyze the massive data generated by members to identify their requirements and preferences, thereby creating conditions to achieve its precision marketing purposes. In the process of further implementing marketing activities, Ucommune used U Bazaar not only to post relevant advertisements online but also to emphasize the marketing value of the office environment. Ucommune integrated screens and digital displays in workspaces, such as smart screens on desks and digital TVs in </w:t>
      </w:r>
      <w:r w:rsidRPr="00930C7A">
        <w:rPr>
          <w:rFonts w:eastAsiaTheme="minorEastAsia"/>
          <w:lang w:eastAsia="zh-CN"/>
        </w:rPr>
        <w:lastRenderedPageBreak/>
        <w:t>conference rooms, to deliver marketing content.</w:t>
      </w:r>
      <w:r w:rsidRPr="00930C7A">
        <w:rPr>
          <w:rStyle w:val="EndnoteReference"/>
          <w:rFonts w:eastAsiaTheme="minorEastAsia"/>
          <w:lang w:eastAsia="zh-CN"/>
        </w:rPr>
        <w:endnoteReference w:id="23"/>
      </w:r>
      <w:r w:rsidRPr="00930C7A">
        <w:rPr>
          <w:rFonts w:eastAsiaTheme="minorEastAsia"/>
          <w:lang w:eastAsia="zh-CN"/>
        </w:rPr>
        <w:t xml:space="preserve"> In Ucommune’s</w:t>
      </w:r>
      <w:r w:rsidRPr="00930C7A" w:rsidDel="00841163">
        <w:rPr>
          <w:rFonts w:eastAsiaTheme="minorEastAsia"/>
          <w:lang w:eastAsia="zh-CN"/>
        </w:rPr>
        <w:t xml:space="preserve"> </w:t>
      </w:r>
      <w:r w:rsidRPr="00930C7A">
        <w:rPr>
          <w:rFonts w:eastAsiaTheme="minorEastAsia"/>
          <w:lang w:eastAsia="zh-CN"/>
        </w:rPr>
        <w:t>view, different scenes generated different customer demands, and it used the scenes at a high frequency to attempt to connect the selling points of products or services with customer demands.</w:t>
      </w:r>
      <w:r w:rsidRPr="00930C7A">
        <w:rPr>
          <w:rStyle w:val="EndnoteReference"/>
          <w:rFonts w:eastAsiaTheme="minorEastAsia"/>
          <w:lang w:eastAsia="zh-CN"/>
        </w:rPr>
        <w:endnoteReference w:id="24"/>
      </w:r>
    </w:p>
    <w:p w14:paraId="2C8E6E35" w14:textId="77777777" w:rsidR="00253ACC" w:rsidRPr="00930C7A" w:rsidRDefault="00253ACC" w:rsidP="00290188">
      <w:pPr>
        <w:pStyle w:val="BodyTextMain"/>
        <w:rPr>
          <w:rFonts w:eastAsiaTheme="minorEastAsia"/>
          <w:lang w:eastAsia="zh-CN"/>
        </w:rPr>
      </w:pPr>
    </w:p>
    <w:p w14:paraId="7470F9C0" w14:textId="5EBF4DB1" w:rsidR="007D1F30" w:rsidRPr="00930C7A" w:rsidRDefault="007D1F30" w:rsidP="00B019C9">
      <w:pPr>
        <w:pStyle w:val="BodyTextMain"/>
        <w:rPr>
          <w:rFonts w:eastAsiaTheme="minorEastAsia"/>
          <w:lang w:eastAsia="zh-CN"/>
        </w:rPr>
      </w:pPr>
      <w:r w:rsidRPr="00930C7A">
        <w:rPr>
          <w:rFonts w:eastAsiaTheme="minorEastAsia"/>
          <w:lang w:eastAsia="zh-CN"/>
        </w:rPr>
        <w:t xml:space="preserve">Based on the accumulation of traffic in the community, Ucommune co-operated with some sellers to start its community e-commerce business—U Product. </w:t>
      </w:r>
      <w:bookmarkStart w:id="52" w:name="_Hlk54629644"/>
      <w:r w:rsidRPr="00930C7A">
        <w:rPr>
          <w:rFonts w:eastAsiaTheme="minorEastAsia"/>
          <w:lang w:eastAsia="zh-CN"/>
        </w:rPr>
        <w:t xml:space="preserve">Combining the characteristics of the online and </w:t>
      </w:r>
      <w:r>
        <w:rPr>
          <w:rFonts w:eastAsiaTheme="minorEastAsia"/>
          <w:lang w:eastAsia="zh-CN"/>
        </w:rPr>
        <w:t>off-line</w:t>
      </w:r>
      <w:r w:rsidRPr="00930C7A">
        <w:rPr>
          <w:rFonts w:eastAsiaTheme="minorEastAsia"/>
          <w:lang w:eastAsia="zh-CN"/>
        </w:rPr>
        <w:t xml:space="preserve"> communities,</w:t>
      </w:r>
      <w:bookmarkEnd w:id="52"/>
      <w:r w:rsidRPr="00930C7A">
        <w:rPr>
          <w:rFonts w:eastAsiaTheme="minorEastAsia"/>
          <w:lang w:eastAsia="zh-CN"/>
        </w:rPr>
        <w:t xml:space="preserve"> Ucommune introduced functions such as group purchases and flash sales on its e-commerce platform. Mao had confidence in the development of Ucommune’s</w:t>
      </w:r>
      <w:r w:rsidRPr="00930C7A" w:rsidDel="00841163">
        <w:rPr>
          <w:rFonts w:eastAsiaTheme="minorEastAsia"/>
          <w:lang w:eastAsia="zh-CN"/>
        </w:rPr>
        <w:t xml:space="preserve"> </w:t>
      </w:r>
      <w:r w:rsidRPr="00930C7A">
        <w:rPr>
          <w:rFonts w:eastAsiaTheme="minorEastAsia"/>
          <w:lang w:eastAsia="zh-CN"/>
        </w:rPr>
        <w:t>community e-commerce business and</w:t>
      </w:r>
      <w:bookmarkStart w:id="53" w:name="_Hlk54629877"/>
      <w:r w:rsidRPr="00930C7A">
        <w:rPr>
          <w:rFonts w:eastAsiaTheme="minorEastAsia"/>
          <w:lang w:eastAsia="zh-CN"/>
        </w:rPr>
        <w:t xml:space="preserve"> hoped it c</w:t>
      </w:r>
      <w:bookmarkEnd w:id="53"/>
      <w:r w:rsidRPr="00930C7A">
        <w:rPr>
          <w:rFonts w:eastAsiaTheme="minorEastAsia"/>
          <w:lang w:eastAsia="zh-CN"/>
        </w:rPr>
        <w:t>ould achieve a gross merchandise volume of ¥100 million in 2020.</w:t>
      </w:r>
    </w:p>
    <w:p w14:paraId="2D2A3855" w14:textId="77777777" w:rsidR="007D1F30" w:rsidRPr="00930C7A" w:rsidRDefault="007D1F30" w:rsidP="0010769E">
      <w:pPr>
        <w:pStyle w:val="BodyTextMain"/>
        <w:rPr>
          <w:rFonts w:eastAsiaTheme="minorEastAsia"/>
          <w:lang w:eastAsia="zh-CN"/>
        </w:rPr>
      </w:pPr>
    </w:p>
    <w:p w14:paraId="47BFD8D7" w14:textId="77777777" w:rsidR="007D1F30" w:rsidRPr="00930C7A" w:rsidRDefault="007D1F30" w:rsidP="0010769E">
      <w:pPr>
        <w:pStyle w:val="BodyTextMain"/>
        <w:rPr>
          <w:rFonts w:eastAsiaTheme="minorEastAsia"/>
          <w:lang w:eastAsia="zh-CN"/>
        </w:rPr>
      </w:pPr>
    </w:p>
    <w:p w14:paraId="25EE8048" w14:textId="77777777" w:rsidR="007D1F30" w:rsidRPr="00930C7A" w:rsidRDefault="007D1F30" w:rsidP="004873B1">
      <w:pPr>
        <w:pStyle w:val="Casehead1"/>
        <w:keepNext w:val="0"/>
        <w:rPr>
          <w:rFonts w:eastAsia="SimSun"/>
          <w:lang w:eastAsia="zh-CN"/>
        </w:rPr>
      </w:pPr>
      <w:r w:rsidRPr="00930C7A">
        <w:rPr>
          <w:rFonts w:eastAsia="SimSun"/>
          <w:lang w:eastAsia="zh-CN"/>
        </w:rPr>
        <w:t>GOING FORWARD</w:t>
      </w:r>
    </w:p>
    <w:p w14:paraId="49BC0B45" w14:textId="77777777" w:rsidR="007D1F30" w:rsidRPr="00930C7A" w:rsidRDefault="007D1F30" w:rsidP="0010769E">
      <w:pPr>
        <w:pStyle w:val="BodyTextMain"/>
        <w:rPr>
          <w:lang w:eastAsia="zh-CN"/>
        </w:rPr>
      </w:pPr>
    </w:p>
    <w:p w14:paraId="4E0929FC" w14:textId="77777777" w:rsidR="007D1F30" w:rsidRPr="00930C7A" w:rsidRDefault="007D1F30" w:rsidP="004873B1">
      <w:pPr>
        <w:pStyle w:val="Casehead2"/>
        <w:keepNext w:val="0"/>
        <w:rPr>
          <w:rFonts w:eastAsiaTheme="minorEastAsia"/>
          <w:lang w:eastAsia="zh-CN"/>
        </w:rPr>
      </w:pPr>
      <w:r w:rsidRPr="00930C7A">
        <w:rPr>
          <w:lang w:eastAsia="zh-CN"/>
        </w:rPr>
        <w:t>Profitability Situation</w:t>
      </w:r>
    </w:p>
    <w:p w14:paraId="509C932B" w14:textId="77777777" w:rsidR="007D1F30" w:rsidRPr="00930C7A" w:rsidRDefault="007D1F30" w:rsidP="000C5A62">
      <w:pPr>
        <w:pStyle w:val="BodyTextMain"/>
        <w:rPr>
          <w:lang w:eastAsia="zh-CN"/>
        </w:rPr>
      </w:pPr>
    </w:p>
    <w:p w14:paraId="21C6C4AB" w14:textId="6C146F64" w:rsidR="007D1F30" w:rsidRPr="00930C7A" w:rsidRDefault="007D1F30" w:rsidP="00290188">
      <w:pPr>
        <w:pStyle w:val="BodyTextMain"/>
        <w:rPr>
          <w:lang w:eastAsia="zh-CN"/>
        </w:rPr>
      </w:pPr>
      <w:r w:rsidRPr="00930C7A">
        <w:rPr>
          <w:lang w:eastAsia="zh-CN"/>
        </w:rPr>
        <w:t>For the past decade, the co-working space industry had experienced difficulty achieving profitability. Numerous co-working space operators relied heavily on rental revenue as a single revenue stream, and their profitability was not optimistic.</w:t>
      </w:r>
      <w:r w:rsidRPr="00930C7A">
        <w:rPr>
          <w:rStyle w:val="EndnoteReference"/>
          <w:lang w:eastAsia="zh-CN"/>
        </w:rPr>
        <w:endnoteReference w:id="25"/>
      </w:r>
      <w:r w:rsidRPr="00930C7A">
        <w:rPr>
          <w:lang w:eastAsia="zh-CN"/>
        </w:rPr>
        <w:t xml:space="preserve"> As for Ucommune, many of its development strategies were also geared </w:t>
      </w:r>
      <w:r>
        <w:rPr>
          <w:lang w:eastAsia="zh-CN"/>
        </w:rPr>
        <w:t>toward</w:t>
      </w:r>
      <w:r w:rsidRPr="00930C7A">
        <w:rPr>
          <w:lang w:eastAsia="zh-CN"/>
        </w:rPr>
        <w:t xml:space="preserve"> optimizing its profit model. In terms of revenue streams, the revenue item Ucommune referred to as workspace membership mainly referred to the rent it charged tenants. </w:t>
      </w:r>
      <w:bookmarkStart w:id="54" w:name="_Hlk54630268"/>
      <w:r w:rsidRPr="00930C7A">
        <w:rPr>
          <w:lang w:eastAsia="zh-CN"/>
        </w:rPr>
        <w:t>While “spatial revenue” was directly based on the space business</w:t>
      </w:r>
      <w:bookmarkEnd w:id="54"/>
      <w:r w:rsidRPr="00930C7A">
        <w:rPr>
          <w:lang w:eastAsia="zh-CN"/>
        </w:rPr>
        <w:t>, such as rental revenue, Ucommune also made every effort to explore revenue from its non-space business, including the development of its U Plus value-added services, in order to diversify revenue streams. In addition to this, Ucommune operated a capital business. In particular, to build a complete service ecosystem, it invested in and even incubated a number of service companies. As of the end of 2018, Ucommune’s total return on investment exceeded 200 per cent. The e-commerce business it had launched in 2019 also began to contribute a new source of revenue.</w:t>
      </w:r>
    </w:p>
    <w:p w14:paraId="6173AB1C" w14:textId="77777777" w:rsidR="007D1F30" w:rsidRPr="00930C7A" w:rsidRDefault="007D1F30" w:rsidP="00290188">
      <w:pPr>
        <w:pStyle w:val="BodyTextMain"/>
        <w:rPr>
          <w:rFonts w:eastAsiaTheme="minorEastAsia"/>
          <w:lang w:eastAsia="zh-CN"/>
        </w:rPr>
      </w:pPr>
    </w:p>
    <w:p w14:paraId="2D784CF4" w14:textId="67024557" w:rsidR="007D1F30" w:rsidRPr="00930C7A" w:rsidRDefault="007D1F30" w:rsidP="00290188">
      <w:pPr>
        <w:pStyle w:val="BodyTextMain"/>
        <w:rPr>
          <w:rFonts w:eastAsiaTheme="minorEastAsia"/>
          <w:lang w:eastAsia="zh-CN"/>
        </w:rPr>
      </w:pPr>
      <w:r w:rsidRPr="00930C7A">
        <w:rPr>
          <w:rFonts w:eastAsiaTheme="minorEastAsia"/>
          <w:lang w:eastAsia="zh-CN"/>
        </w:rPr>
        <w:t xml:space="preserve">In addition to rent, Ucommune’s various </w:t>
      </w:r>
      <w:bookmarkStart w:id="55" w:name="_Hlk67691925"/>
      <w:r w:rsidRPr="00930C7A">
        <w:rPr>
          <w:rFonts w:eastAsiaTheme="minorEastAsia"/>
          <w:lang w:eastAsia="zh-CN"/>
        </w:rPr>
        <w:t>service revenue streams</w:t>
      </w:r>
      <w:bookmarkEnd w:id="55"/>
      <w:r w:rsidRPr="00930C7A">
        <w:rPr>
          <w:rFonts w:eastAsiaTheme="minorEastAsia"/>
          <w:lang w:eastAsia="zh-CN"/>
        </w:rPr>
        <w:t xml:space="preserve"> rose dramatically—from ¥12,924,000 as of December 31, 2017, to ¥454,935,000 as of September 30, 2019, or from 7.7 per cent of the total revenue to 52.0 per cent of the total revenue. Among these revenue streams, marketing and branding services performed best, reaching ¥403,484,000 for the first nine months of 2019. However, the financial data also showed that Ucommune’s profitability had still failed to make a decisive breakthrough (see Exhibit 4). Ucommune attributed its loss mainly to the investments made to grow its business, such as the development of new office spaces and the acquisition of related companies. In addition, against the background of pursuing rapid growth in the past, as of September 30, 2019, the opening time of 62 per cent of Ucommune’s operating spaces had not exceeded 24 months, and it was difficult for these </w:t>
      </w:r>
      <w:r>
        <w:rPr>
          <w:rFonts w:eastAsiaTheme="minorEastAsia"/>
          <w:lang w:eastAsia="zh-CN"/>
        </w:rPr>
        <w:t>non-mature</w:t>
      </w:r>
      <w:r w:rsidRPr="00930C7A">
        <w:rPr>
          <w:rFonts w:eastAsiaTheme="minorEastAsia"/>
          <w:lang w:eastAsia="zh-CN"/>
        </w:rPr>
        <w:t xml:space="preserve"> spaces to achieve a stable occupancy rate and cash flow.</w:t>
      </w:r>
      <w:r w:rsidRPr="00930C7A">
        <w:rPr>
          <w:rStyle w:val="EndnoteReference"/>
          <w:rFonts w:eastAsiaTheme="minorEastAsia"/>
          <w:lang w:eastAsia="zh-CN"/>
        </w:rPr>
        <w:endnoteReference w:id="26"/>
      </w:r>
      <w:r w:rsidRPr="00930C7A">
        <w:rPr>
          <w:rFonts w:eastAsiaTheme="minorEastAsia"/>
          <w:lang w:eastAsia="zh-CN"/>
        </w:rPr>
        <w:t xml:space="preserve"> The rapid expansion in scale of spaces also put a certain pressure on Ucommune’s</w:t>
      </w:r>
      <w:r w:rsidRPr="00930C7A" w:rsidDel="002D624B">
        <w:rPr>
          <w:rFonts w:eastAsiaTheme="minorEastAsia"/>
          <w:lang w:eastAsia="zh-CN"/>
        </w:rPr>
        <w:t xml:space="preserve"> </w:t>
      </w:r>
      <w:r w:rsidRPr="00930C7A">
        <w:rPr>
          <w:rFonts w:eastAsiaTheme="minorEastAsia"/>
          <w:lang w:eastAsia="zh-CN"/>
        </w:rPr>
        <w:t>operating capacity. Ucommune continued to strive to achieve its future profit target.</w:t>
      </w:r>
    </w:p>
    <w:p w14:paraId="48AB65EA" w14:textId="77777777" w:rsidR="007D1F30" w:rsidRPr="00930C7A" w:rsidRDefault="007D1F30" w:rsidP="0010769E">
      <w:pPr>
        <w:pStyle w:val="BodyTextMain"/>
        <w:rPr>
          <w:rFonts w:ascii="Arial" w:eastAsiaTheme="minorEastAsia" w:hAnsi="Arial" w:cs="Arial"/>
          <w:b/>
          <w:sz w:val="20"/>
          <w:szCs w:val="20"/>
          <w:lang w:eastAsia="zh-CN"/>
        </w:rPr>
      </w:pPr>
    </w:p>
    <w:p w14:paraId="205F5A9C" w14:textId="77777777" w:rsidR="007D1F30" w:rsidRPr="00930C7A" w:rsidRDefault="007D1F30" w:rsidP="0010769E">
      <w:pPr>
        <w:pStyle w:val="BodyTextMain"/>
        <w:rPr>
          <w:rFonts w:eastAsiaTheme="minorEastAsia"/>
          <w:lang w:eastAsia="zh-CN"/>
        </w:rPr>
      </w:pPr>
    </w:p>
    <w:p w14:paraId="08A356AA" w14:textId="77777777" w:rsidR="007D1F30" w:rsidRPr="00930C7A" w:rsidRDefault="007D1F30" w:rsidP="004873B1">
      <w:pPr>
        <w:pStyle w:val="Casehead2"/>
        <w:keepNext w:val="0"/>
        <w:rPr>
          <w:lang w:eastAsia="zh-CN"/>
        </w:rPr>
      </w:pPr>
      <w:r w:rsidRPr="00930C7A">
        <w:rPr>
          <w:lang w:eastAsia="zh-CN"/>
        </w:rPr>
        <w:t>Fierce Competition</w:t>
      </w:r>
    </w:p>
    <w:p w14:paraId="7D407B0A" w14:textId="77777777" w:rsidR="007D1F30" w:rsidRPr="00930C7A" w:rsidRDefault="007D1F30" w:rsidP="0010769E">
      <w:pPr>
        <w:pStyle w:val="BodyTextMain"/>
        <w:rPr>
          <w:lang w:eastAsia="zh-CN"/>
        </w:rPr>
      </w:pPr>
    </w:p>
    <w:p w14:paraId="2DBD332F" w14:textId="460DFBFF" w:rsidR="007D1F30" w:rsidRPr="00930C7A" w:rsidRDefault="007D1F30" w:rsidP="00DC6AA5">
      <w:pPr>
        <w:pStyle w:val="BodyTextMain"/>
        <w:rPr>
          <w:rFonts w:eastAsiaTheme="minorEastAsia"/>
          <w:lang w:eastAsia="zh-CN"/>
        </w:rPr>
      </w:pPr>
      <w:r w:rsidRPr="00930C7A">
        <w:rPr>
          <w:lang w:eastAsia="zh-CN"/>
        </w:rPr>
        <w:t xml:space="preserve">Ucommune faced direct competition with several companies. In fact, in addition to the existing companies in the co-working space industry, many property companies, CapitaLand Group and SOHO China among them, also regarded the co-working space model as a new way of operating their existing properties and thus entered the co-working space field. However, with the rapid expansion in scale of office spaces of existing companies in the industry, as well as improvements to these companies’ service systems and the strengthening of their brand recognition, it was increasingly difficult for new corporates to enter the industry. Also, the failure of industry giant WeWork to go public had dampened investors’ confidence in the co-working space industry, thereby creating greater financing obstacles for new entrants. Besides this, industry </w:t>
      </w:r>
      <w:r w:rsidRPr="00930C7A">
        <w:rPr>
          <w:lang w:eastAsia="zh-CN"/>
        </w:rPr>
        <w:lastRenderedPageBreak/>
        <w:t>consolidation was taking place, and industry concentration was gradually increasing, resulting in intensified competition among leading companies such as Kr Space, Ucommune, and WeWork.</w:t>
      </w:r>
    </w:p>
    <w:p w14:paraId="4E6151FD" w14:textId="77777777" w:rsidR="007D1F30" w:rsidRPr="00930C7A" w:rsidRDefault="007D1F30" w:rsidP="00DC6AA5">
      <w:pPr>
        <w:pStyle w:val="BodyTextMain"/>
        <w:rPr>
          <w:lang w:eastAsia="zh-CN"/>
        </w:rPr>
      </w:pPr>
    </w:p>
    <w:p w14:paraId="06932E6E" w14:textId="5D2AF7BD" w:rsidR="007D1F30" w:rsidRPr="00930C7A" w:rsidRDefault="007D1F30" w:rsidP="00DC6AA5">
      <w:pPr>
        <w:pStyle w:val="BodyTextMain"/>
        <w:rPr>
          <w:rFonts w:eastAsiaTheme="minorEastAsia"/>
          <w:lang w:eastAsia="zh-CN"/>
        </w:rPr>
      </w:pPr>
      <w:r w:rsidRPr="00930C7A">
        <w:rPr>
          <w:lang w:eastAsia="zh-CN"/>
        </w:rPr>
        <w:t>In terms of relationships with upstream companies in the industrial value chain, Ucommune had an advantageous position. The scale of China’s existing property market was large, and the overall vacancy rate was relatively high.</w:t>
      </w:r>
      <w:r w:rsidRPr="00930C7A">
        <w:rPr>
          <w:rStyle w:val="EndnoteReference"/>
          <w:lang w:eastAsia="zh-CN"/>
        </w:rPr>
        <w:endnoteReference w:id="27"/>
      </w:r>
      <w:r w:rsidRPr="00930C7A">
        <w:rPr>
          <w:lang w:eastAsia="zh-CN"/>
        </w:rPr>
        <w:t xml:space="preserve"> To gain revenue from an existing property, property owners were willing to hand over their property resources to competent companies in the co-working space industry, such as Ucommune, for utilization and operation by way of direct renting or co-operation. As for Ucommune, there were various types of initial property resources to choose from</w:t>
      </w:r>
      <w:r>
        <w:rPr>
          <w:lang w:eastAsia="zh-CN"/>
        </w:rPr>
        <w:t xml:space="preserve">, </w:t>
      </w:r>
      <w:r w:rsidRPr="00930C7A">
        <w:rPr>
          <w:lang w:eastAsia="zh-CN"/>
        </w:rPr>
        <w:t>such as traditional office buildings, idle enterprise-owned property, and appropriate factory buildings, which eliminated Ucommune’s dependence on a few specific owners for its business. In addition, the large number of customers on Ucommune’s platform and the strong brand recognition also attracted high-quality service agencies to co-operate with Ucommune. However, in the future, against the background of further expansion in target overseas markets, Ucommune would also no doubt undergo more tests from the global competitive environment.</w:t>
      </w:r>
    </w:p>
    <w:p w14:paraId="5768EB6E" w14:textId="77777777" w:rsidR="007D1F30" w:rsidRPr="00930C7A" w:rsidRDefault="007D1F30" w:rsidP="000C5A62">
      <w:pPr>
        <w:pStyle w:val="BodyTextMain"/>
        <w:rPr>
          <w:rFonts w:eastAsiaTheme="minorEastAsia"/>
          <w:lang w:eastAsia="zh-CN"/>
        </w:rPr>
      </w:pPr>
    </w:p>
    <w:p w14:paraId="6F1CC103" w14:textId="77777777" w:rsidR="007D1F30" w:rsidRPr="00930C7A" w:rsidRDefault="007D1F30" w:rsidP="000C5A62">
      <w:pPr>
        <w:pStyle w:val="BodyTextMain"/>
        <w:rPr>
          <w:rFonts w:eastAsiaTheme="minorEastAsia"/>
          <w:lang w:eastAsia="zh-CN"/>
        </w:rPr>
      </w:pPr>
    </w:p>
    <w:p w14:paraId="3D257911" w14:textId="35B9D12F" w:rsidR="007D1F30" w:rsidRPr="00930C7A" w:rsidRDefault="007D1F30" w:rsidP="004873B1">
      <w:pPr>
        <w:pStyle w:val="Casehead2"/>
        <w:keepNext w:val="0"/>
        <w:rPr>
          <w:lang w:eastAsia="zh-CN"/>
        </w:rPr>
      </w:pPr>
      <w:r w:rsidRPr="00930C7A">
        <w:t>Brunt of the COVID-19 Pandemic</w:t>
      </w:r>
    </w:p>
    <w:p w14:paraId="61A24715" w14:textId="77777777" w:rsidR="007D1F30" w:rsidRPr="00930C7A" w:rsidRDefault="007D1F30" w:rsidP="00C5373E">
      <w:pPr>
        <w:pStyle w:val="BodyTextMain"/>
        <w:rPr>
          <w:rFonts w:eastAsiaTheme="minorEastAsia"/>
          <w:lang w:eastAsia="zh-CN"/>
        </w:rPr>
      </w:pPr>
    </w:p>
    <w:p w14:paraId="298DDC87" w14:textId="31B0587A" w:rsidR="00DC6AA5" w:rsidRPr="00C7566B" w:rsidRDefault="007D1F30" w:rsidP="00DC6AA5">
      <w:pPr>
        <w:pStyle w:val="BodyTextMain"/>
        <w:rPr>
          <w:rFonts w:eastAsiaTheme="minorEastAsia"/>
          <w:spacing w:val="-4"/>
          <w:lang w:eastAsia="zh-CN"/>
        </w:rPr>
      </w:pPr>
      <w:r w:rsidRPr="00C7566B">
        <w:rPr>
          <w:rFonts w:eastAsiaTheme="minorEastAsia"/>
          <w:spacing w:val="-4"/>
          <w:lang w:eastAsia="zh-CN"/>
        </w:rPr>
        <w:t xml:space="preserve">The ravages of the </w:t>
      </w:r>
      <w:r w:rsidRPr="00C7566B">
        <w:rPr>
          <w:spacing w:val="-4"/>
        </w:rPr>
        <w:t>COVID</w:t>
      </w:r>
      <w:r w:rsidRPr="00C7566B">
        <w:rPr>
          <w:rFonts w:eastAsiaTheme="minorEastAsia"/>
          <w:spacing w:val="-4"/>
          <w:lang w:eastAsia="zh-CN"/>
        </w:rPr>
        <w:t>-19 pandemic posed a real threat to the development and even survival of a great number of companies. In April 2020, Mao wrote, “I must admit that Ucommune is going through the toughest time in five years.” Besides this, the pandemic had triggered changes in many aspects of business and society. For instance, a large number of enterprises had begun to adopt a remote office pattern.</w:t>
      </w:r>
      <w:r w:rsidRPr="00C7566B">
        <w:rPr>
          <w:rStyle w:val="EndnoteReference"/>
          <w:rFonts w:eastAsiaTheme="minorEastAsia"/>
          <w:spacing w:val="-4"/>
          <w:lang w:eastAsia="zh-CN"/>
        </w:rPr>
        <w:endnoteReference w:id="28"/>
      </w:r>
      <w:r w:rsidRPr="00C7566B">
        <w:rPr>
          <w:rFonts w:eastAsiaTheme="minorEastAsia"/>
          <w:spacing w:val="-4"/>
          <w:lang w:eastAsia="zh-CN"/>
        </w:rPr>
        <w:t xml:space="preserve"> </w:t>
      </w:r>
      <w:r w:rsidR="00DC6AA5" w:rsidRPr="00C7566B">
        <w:rPr>
          <w:rFonts w:eastAsiaTheme="minorEastAsia"/>
          <w:spacing w:val="-4"/>
          <w:lang w:eastAsia="zh-CN"/>
        </w:rPr>
        <w:t xml:space="preserve">Ucommune needed to further consider how to respond to the new situations </w:t>
      </w:r>
      <w:r w:rsidR="00573C2A" w:rsidRPr="00C7566B">
        <w:rPr>
          <w:rFonts w:eastAsiaTheme="minorEastAsia"/>
          <w:spacing w:val="-4"/>
          <w:lang w:eastAsia="zh-CN"/>
        </w:rPr>
        <w:t xml:space="preserve">arising </w:t>
      </w:r>
      <w:r w:rsidR="00DC6AA5" w:rsidRPr="00C7566B">
        <w:rPr>
          <w:rFonts w:eastAsiaTheme="minorEastAsia"/>
          <w:spacing w:val="-4"/>
          <w:lang w:eastAsia="zh-CN"/>
        </w:rPr>
        <w:t xml:space="preserve">in the office </w:t>
      </w:r>
      <w:r w:rsidR="00573C2A" w:rsidRPr="00C7566B">
        <w:rPr>
          <w:rFonts w:eastAsiaTheme="minorEastAsia"/>
          <w:spacing w:val="-4"/>
          <w:lang w:eastAsia="zh-CN"/>
        </w:rPr>
        <w:t xml:space="preserve">space </w:t>
      </w:r>
      <w:r w:rsidR="00DC6AA5" w:rsidRPr="00C7566B">
        <w:rPr>
          <w:rFonts w:eastAsiaTheme="minorEastAsia"/>
          <w:spacing w:val="-4"/>
          <w:lang w:eastAsia="zh-CN"/>
        </w:rPr>
        <w:t>field</w:t>
      </w:r>
      <w:r w:rsidR="008906E1" w:rsidRPr="00C7566B">
        <w:rPr>
          <w:rFonts w:eastAsiaTheme="minorEastAsia"/>
          <w:spacing w:val="-4"/>
          <w:lang w:eastAsia="zh-CN"/>
        </w:rPr>
        <w:t xml:space="preserve"> as a result of the pandemic</w:t>
      </w:r>
      <w:r w:rsidR="00DC6AA5" w:rsidRPr="00C7566B">
        <w:rPr>
          <w:rFonts w:eastAsiaTheme="minorEastAsia"/>
          <w:spacing w:val="-4"/>
          <w:lang w:eastAsia="zh-CN"/>
        </w:rPr>
        <w:t>.</w:t>
      </w:r>
    </w:p>
    <w:p w14:paraId="4251F019" w14:textId="77777777" w:rsidR="00DC6AA5" w:rsidRPr="00930C7A" w:rsidRDefault="00DC6AA5" w:rsidP="00DC6AA5">
      <w:pPr>
        <w:pStyle w:val="BodyTextMain"/>
        <w:rPr>
          <w:rFonts w:eastAsiaTheme="minorEastAsia"/>
          <w:lang w:eastAsia="zh-CN"/>
        </w:rPr>
      </w:pPr>
    </w:p>
    <w:p w14:paraId="5C74CCBE" w14:textId="5E8716B8" w:rsidR="00DC6AA5" w:rsidRPr="00930C7A" w:rsidRDefault="00DC6AA5" w:rsidP="00DC6AA5">
      <w:pPr>
        <w:pStyle w:val="BodyTextMain"/>
        <w:rPr>
          <w:rFonts w:eastAsiaTheme="minorEastAsia"/>
          <w:lang w:eastAsia="zh-CN"/>
        </w:rPr>
      </w:pPr>
      <w:r w:rsidRPr="00930C7A">
        <w:rPr>
          <w:rFonts w:eastAsiaTheme="minorEastAsia"/>
          <w:lang w:eastAsia="zh-CN"/>
        </w:rPr>
        <w:t xml:space="preserve">However, the arrival of the pandemic </w:t>
      </w:r>
      <w:r w:rsidR="00573C2A" w:rsidRPr="00930C7A">
        <w:rPr>
          <w:rFonts w:eastAsiaTheme="minorEastAsia"/>
          <w:lang w:eastAsia="zh-CN"/>
        </w:rPr>
        <w:t xml:space="preserve">had </w:t>
      </w:r>
      <w:r w:rsidRPr="00930C7A">
        <w:rPr>
          <w:rFonts w:eastAsiaTheme="minorEastAsia"/>
          <w:lang w:eastAsia="zh-CN"/>
        </w:rPr>
        <w:t>not only caused severe market turbulence</w:t>
      </w:r>
      <w:r w:rsidR="00B116E8">
        <w:rPr>
          <w:rFonts w:eastAsiaTheme="minorEastAsia"/>
          <w:lang w:eastAsia="zh-CN"/>
        </w:rPr>
        <w:t xml:space="preserve"> but</w:t>
      </w:r>
      <w:r w:rsidR="00573C2A" w:rsidRPr="00930C7A">
        <w:rPr>
          <w:rFonts w:eastAsiaTheme="minorEastAsia"/>
          <w:lang w:eastAsia="zh-CN"/>
        </w:rPr>
        <w:t xml:space="preserve"> </w:t>
      </w:r>
      <w:r w:rsidRPr="00930C7A">
        <w:rPr>
          <w:rFonts w:eastAsiaTheme="minorEastAsia"/>
          <w:lang w:eastAsia="zh-CN"/>
        </w:rPr>
        <w:t xml:space="preserve">also increased the attractiveness of the co-working space for enterprises. From Mao’s viewpoint, enterprises would be more concerned about office costs and about </w:t>
      </w:r>
      <w:r w:rsidR="006F69B0" w:rsidRPr="00930C7A">
        <w:rPr>
          <w:rFonts w:eastAsiaTheme="minorEastAsia"/>
          <w:lang w:eastAsia="zh-CN"/>
        </w:rPr>
        <w:t xml:space="preserve">replacing fixed costs with </w:t>
      </w:r>
      <w:r w:rsidRPr="00930C7A">
        <w:rPr>
          <w:rFonts w:eastAsiaTheme="minorEastAsia"/>
          <w:lang w:eastAsia="zh-CN"/>
        </w:rPr>
        <w:t xml:space="preserve">flexible costs </w:t>
      </w:r>
      <w:r w:rsidR="006F69B0" w:rsidRPr="00930C7A">
        <w:rPr>
          <w:rFonts w:eastAsiaTheme="minorEastAsia"/>
          <w:lang w:eastAsia="zh-CN"/>
        </w:rPr>
        <w:t>following</w:t>
      </w:r>
      <w:r w:rsidRPr="00930C7A">
        <w:rPr>
          <w:rFonts w:eastAsiaTheme="minorEastAsia"/>
          <w:lang w:eastAsia="zh-CN"/>
        </w:rPr>
        <w:t xml:space="preserve"> the pandemic—especially in </w:t>
      </w:r>
      <w:r w:rsidR="00F01A90" w:rsidRPr="00930C7A">
        <w:rPr>
          <w:rFonts w:eastAsiaTheme="minorEastAsia"/>
          <w:lang w:eastAsia="zh-CN"/>
        </w:rPr>
        <w:t>a</w:t>
      </w:r>
      <w:r w:rsidRPr="00930C7A">
        <w:rPr>
          <w:rFonts w:eastAsiaTheme="minorEastAsia"/>
          <w:lang w:eastAsia="zh-CN"/>
        </w:rPr>
        <w:t xml:space="preserve"> state of economic downturn and economic fluctuation that </w:t>
      </w:r>
      <w:r w:rsidR="00F01A90" w:rsidRPr="00930C7A">
        <w:rPr>
          <w:rFonts w:eastAsiaTheme="minorEastAsia"/>
          <w:lang w:eastAsia="zh-CN"/>
        </w:rPr>
        <w:t>could</w:t>
      </w:r>
      <w:r w:rsidRPr="00930C7A">
        <w:rPr>
          <w:rFonts w:eastAsiaTheme="minorEastAsia"/>
          <w:lang w:eastAsia="zh-CN"/>
        </w:rPr>
        <w:t xml:space="preserve"> last for a </w:t>
      </w:r>
      <w:r w:rsidR="00F01A90" w:rsidRPr="00930C7A">
        <w:rPr>
          <w:rFonts w:eastAsiaTheme="minorEastAsia"/>
          <w:lang w:eastAsia="zh-CN"/>
        </w:rPr>
        <w:t xml:space="preserve">long </w:t>
      </w:r>
      <w:r w:rsidRPr="00930C7A">
        <w:rPr>
          <w:rFonts w:eastAsiaTheme="minorEastAsia"/>
          <w:lang w:eastAsia="zh-CN"/>
        </w:rPr>
        <w:t xml:space="preserve">period, which could provide an excellent strategic opportunity for co-working </w:t>
      </w:r>
      <w:r w:rsidR="00F141DA" w:rsidRPr="00930C7A">
        <w:rPr>
          <w:rFonts w:eastAsiaTheme="minorEastAsia"/>
          <w:lang w:eastAsia="zh-CN"/>
        </w:rPr>
        <w:t xml:space="preserve">space </w:t>
      </w:r>
      <w:r w:rsidRPr="00930C7A">
        <w:rPr>
          <w:rFonts w:eastAsiaTheme="minorEastAsia"/>
          <w:lang w:eastAsia="zh-CN"/>
        </w:rPr>
        <w:t>service providers.</w:t>
      </w:r>
    </w:p>
    <w:p w14:paraId="07DF70D0" w14:textId="77777777" w:rsidR="00DC6AA5" w:rsidRPr="00930C7A" w:rsidRDefault="00DC6AA5" w:rsidP="00DC6AA5">
      <w:pPr>
        <w:pStyle w:val="BodyTextMain"/>
        <w:rPr>
          <w:rFonts w:eastAsiaTheme="minorEastAsia"/>
          <w:lang w:eastAsia="zh-CN"/>
        </w:rPr>
      </w:pPr>
    </w:p>
    <w:p w14:paraId="21F7A299" w14:textId="4B07359F" w:rsidR="008A5F7C" w:rsidRDefault="00F141DA" w:rsidP="00DC6AA5">
      <w:pPr>
        <w:pStyle w:val="BodyTextMain"/>
        <w:rPr>
          <w:lang w:eastAsia="zh-CN"/>
        </w:rPr>
      </w:pPr>
      <w:r w:rsidRPr="00930C7A">
        <w:rPr>
          <w:lang w:eastAsia="zh-CN"/>
        </w:rPr>
        <w:t>Reflecting on</w:t>
      </w:r>
      <w:r w:rsidRPr="00930C7A" w:rsidDel="00F141DA">
        <w:rPr>
          <w:lang w:eastAsia="zh-CN"/>
        </w:rPr>
        <w:t xml:space="preserve"> </w:t>
      </w:r>
      <w:bookmarkStart w:id="56" w:name="_Hlk62472433"/>
      <w:r w:rsidR="00DC6AA5" w:rsidRPr="00930C7A">
        <w:rPr>
          <w:lang w:eastAsia="zh-CN"/>
        </w:rPr>
        <w:t>Ucommune</w:t>
      </w:r>
      <w:bookmarkEnd w:id="56"/>
      <w:r w:rsidR="00DC6AA5" w:rsidRPr="00930C7A">
        <w:rPr>
          <w:lang w:eastAsia="zh-CN"/>
        </w:rPr>
        <w:t xml:space="preserve">’s entrepreneurial course over the past five years, </w:t>
      </w:r>
      <w:r w:rsidR="00741B4A" w:rsidRPr="00930C7A">
        <w:rPr>
          <w:lang w:eastAsia="zh-CN"/>
        </w:rPr>
        <w:t xml:space="preserve">it was apparent that </w:t>
      </w:r>
      <w:r w:rsidR="00DC6AA5" w:rsidRPr="00930C7A">
        <w:rPr>
          <w:lang w:eastAsia="zh-CN"/>
        </w:rPr>
        <w:t xml:space="preserve">Mao </w:t>
      </w:r>
      <w:r w:rsidR="00741B4A" w:rsidRPr="00930C7A">
        <w:rPr>
          <w:lang w:eastAsia="zh-CN"/>
        </w:rPr>
        <w:t xml:space="preserve">had </w:t>
      </w:r>
      <w:r w:rsidR="00DC6AA5" w:rsidRPr="00930C7A">
        <w:rPr>
          <w:lang w:eastAsia="zh-CN"/>
        </w:rPr>
        <w:t xml:space="preserve">led the team to </w:t>
      </w:r>
      <w:r w:rsidR="00741B4A" w:rsidRPr="00930C7A">
        <w:rPr>
          <w:lang w:eastAsia="zh-CN"/>
        </w:rPr>
        <w:t>begin</w:t>
      </w:r>
      <w:r w:rsidR="0032504D" w:rsidRPr="00930C7A">
        <w:rPr>
          <w:lang w:eastAsia="zh-CN"/>
        </w:rPr>
        <w:t xml:space="preserve"> considering</w:t>
      </w:r>
      <w:r w:rsidR="00741B4A" w:rsidRPr="00930C7A">
        <w:rPr>
          <w:lang w:eastAsia="zh-CN"/>
        </w:rPr>
        <w:t xml:space="preserve"> and then take</w:t>
      </w:r>
      <w:r w:rsidR="00DC6AA5" w:rsidRPr="00930C7A">
        <w:rPr>
          <w:lang w:eastAsia="zh-CN"/>
        </w:rPr>
        <w:t xml:space="preserve"> practical action</w:t>
      </w:r>
      <w:r w:rsidR="00741B4A" w:rsidRPr="00930C7A">
        <w:rPr>
          <w:lang w:eastAsia="zh-CN"/>
        </w:rPr>
        <w:t xml:space="preserve"> to address</w:t>
      </w:r>
      <w:r w:rsidR="00DC6AA5" w:rsidRPr="00930C7A">
        <w:rPr>
          <w:lang w:eastAsia="zh-CN"/>
        </w:rPr>
        <w:t xml:space="preserve"> the proposition of how Ucommune </w:t>
      </w:r>
      <w:r w:rsidR="005123C4" w:rsidRPr="00930C7A">
        <w:rPr>
          <w:lang w:eastAsia="zh-CN"/>
        </w:rPr>
        <w:t xml:space="preserve">would </w:t>
      </w:r>
      <w:r w:rsidR="00DC6AA5" w:rsidRPr="00930C7A">
        <w:rPr>
          <w:lang w:eastAsia="zh-CN"/>
        </w:rPr>
        <w:t xml:space="preserve">create its own business model. Since its establishment, </w:t>
      </w:r>
      <w:bookmarkStart w:id="57" w:name="_Hlk54636872"/>
      <w:r w:rsidR="00DC6AA5" w:rsidRPr="00930C7A">
        <w:rPr>
          <w:lang w:eastAsia="zh-CN"/>
        </w:rPr>
        <w:t>Ucommune had developed rapidly</w:t>
      </w:r>
      <w:bookmarkEnd w:id="57"/>
      <w:r w:rsidR="005123C4" w:rsidRPr="00930C7A">
        <w:rPr>
          <w:lang w:eastAsia="zh-CN"/>
        </w:rPr>
        <w:t>,</w:t>
      </w:r>
      <w:r w:rsidR="00DC6AA5" w:rsidRPr="00930C7A">
        <w:rPr>
          <w:lang w:eastAsia="zh-CN"/>
        </w:rPr>
        <w:t xml:space="preserve"> but </w:t>
      </w:r>
      <w:r w:rsidR="005123C4" w:rsidRPr="00930C7A">
        <w:rPr>
          <w:lang w:eastAsia="zh-CN"/>
        </w:rPr>
        <w:t xml:space="preserve">it had </w:t>
      </w:r>
      <w:r w:rsidR="00DC6AA5" w:rsidRPr="00930C7A">
        <w:rPr>
          <w:lang w:eastAsia="zh-CN"/>
        </w:rPr>
        <w:t xml:space="preserve">also experienced difficulties. </w:t>
      </w:r>
      <w:bookmarkStart w:id="58" w:name="_Hlk54636963"/>
      <w:r w:rsidR="001C6AC6" w:rsidRPr="00930C7A">
        <w:rPr>
          <w:lang w:eastAsia="zh-CN"/>
        </w:rPr>
        <w:t xml:space="preserve">Five years after its establishment, for instance, the company was still not profitable. </w:t>
      </w:r>
      <w:r w:rsidR="005123C4" w:rsidRPr="00930C7A">
        <w:rPr>
          <w:lang w:eastAsia="zh-CN"/>
        </w:rPr>
        <w:t xml:space="preserve">Despite </w:t>
      </w:r>
      <w:r w:rsidR="001C6AC6" w:rsidRPr="00930C7A">
        <w:rPr>
          <w:lang w:eastAsia="zh-CN"/>
        </w:rPr>
        <w:t>the challenges</w:t>
      </w:r>
      <w:r w:rsidR="005123C4" w:rsidRPr="00930C7A">
        <w:rPr>
          <w:lang w:eastAsia="zh-CN"/>
        </w:rPr>
        <w:t xml:space="preserve">, however, </w:t>
      </w:r>
      <w:r w:rsidR="007C7448" w:rsidRPr="00930C7A">
        <w:rPr>
          <w:lang w:eastAsia="zh-CN"/>
        </w:rPr>
        <w:t>Ucommune</w:t>
      </w:r>
      <w:r w:rsidR="00DC6AA5" w:rsidRPr="00930C7A">
        <w:rPr>
          <w:lang w:eastAsia="zh-CN"/>
        </w:rPr>
        <w:t xml:space="preserve"> had grown into a leading co-working space operator in</w:t>
      </w:r>
      <w:bookmarkEnd w:id="58"/>
      <w:r w:rsidR="00DC6AA5" w:rsidRPr="00930C7A">
        <w:rPr>
          <w:lang w:eastAsia="zh-CN"/>
        </w:rPr>
        <w:t xml:space="preserve"> China, with a certain global influence,</w:t>
      </w:r>
      <w:bookmarkStart w:id="59" w:name="_Hlk54637017"/>
      <w:r w:rsidR="00DC6AA5" w:rsidRPr="00930C7A">
        <w:rPr>
          <w:lang w:eastAsia="zh-CN"/>
        </w:rPr>
        <w:t xml:space="preserve"> and had implemented a series of meaningful and innovative </w:t>
      </w:r>
      <w:bookmarkEnd w:id="59"/>
      <w:r w:rsidR="00DC6AA5" w:rsidRPr="00930C7A">
        <w:rPr>
          <w:lang w:eastAsia="zh-CN"/>
        </w:rPr>
        <w:t xml:space="preserve">initiatives in the co-working space industry. Facing </w:t>
      </w:r>
      <w:r w:rsidR="005123C4" w:rsidRPr="00930C7A">
        <w:rPr>
          <w:lang w:eastAsia="zh-CN"/>
        </w:rPr>
        <w:t>a</w:t>
      </w:r>
      <w:r w:rsidR="00DC6AA5" w:rsidRPr="00930C7A">
        <w:rPr>
          <w:lang w:eastAsia="zh-CN"/>
        </w:rPr>
        <w:t xml:space="preserve"> complex and changeable environment and </w:t>
      </w:r>
      <w:r w:rsidR="00DE0F53" w:rsidRPr="00930C7A">
        <w:rPr>
          <w:lang w:eastAsia="zh-CN"/>
        </w:rPr>
        <w:t xml:space="preserve">the </w:t>
      </w:r>
      <w:r w:rsidR="00DC6AA5" w:rsidRPr="00930C7A">
        <w:rPr>
          <w:lang w:eastAsia="zh-CN"/>
        </w:rPr>
        <w:t>endless challenges</w:t>
      </w:r>
      <w:r w:rsidR="00DE0F53" w:rsidRPr="00930C7A">
        <w:rPr>
          <w:lang w:eastAsia="zh-CN"/>
        </w:rPr>
        <w:t xml:space="preserve"> that accompanied this</w:t>
      </w:r>
      <w:r w:rsidR="00DC6AA5" w:rsidRPr="00930C7A">
        <w:rPr>
          <w:lang w:eastAsia="zh-CN"/>
        </w:rPr>
        <w:t xml:space="preserve">, </w:t>
      </w:r>
      <w:bookmarkStart w:id="60" w:name="_Hlk54637122"/>
      <w:r w:rsidR="00DC6AA5" w:rsidRPr="00930C7A">
        <w:rPr>
          <w:lang w:eastAsia="zh-CN"/>
        </w:rPr>
        <w:t xml:space="preserve">Ucommune </w:t>
      </w:r>
      <w:r w:rsidR="008D0A70" w:rsidRPr="00930C7A">
        <w:rPr>
          <w:lang w:eastAsia="zh-CN"/>
        </w:rPr>
        <w:t>wa</w:t>
      </w:r>
      <w:r w:rsidR="00DC6AA5" w:rsidRPr="00930C7A">
        <w:rPr>
          <w:lang w:eastAsia="zh-CN"/>
        </w:rPr>
        <w:t>s further exploring the future development</w:t>
      </w:r>
      <w:bookmarkEnd w:id="60"/>
      <w:r w:rsidR="00DC6AA5" w:rsidRPr="00930C7A">
        <w:rPr>
          <w:lang w:eastAsia="zh-CN"/>
        </w:rPr>
        <w:t xml:space="preserve"> direction of the industry. On the fifth anniversary of </w:t>
      </w:r>
      <w:r w:rsidR="005123C4" w:rsidRPr="00930C7A">
        <w:rPr>
          <w:lang w:eastAsia="zh-CN"/>
        </w:rPr>
        <w:t>Ucommune’s</w:t>
      </w:r>
      <w:r w:rsidR="00DC6AA5" w:rsidRPr="00930C7A">
        <w:rPr>
          <w:lang w:eastAsia="zh-CN"/>
        </w:rPr>
        <w:t xml:space="preserve"> founding, Mao described his thoughts </w:t>
      </w:r>
      <w:r w:rsidR="005123C4" w:rsidRPr="00930C7A">
        <w:rPr>
          <w:lang w:eastAsia="zh-CN"/>
        </w:rPr>
        <w:t>on</w:t>
      </w:r>
      <w:r w:rsidR="00DC6AA5" w:rsidRPr="00930C7A">
        <w:rPr>
          <w:lang w:eastAsia="zh-CN"/>
        </w:rPr>
        <w:t xml:space="preserve"> the development path of the company and the industry: “Finding the certainty, strengthening the </w:t>
      </w:r>
      <w:r w:rsidR="00184A93" w:rsidRPr="00930C7A">
        <w:rPr>
          <w:lang w:eastAsia="zh-CN"/>
        </w:rPr>
        <w:t xml:space="preserve">company’s </w:t>
      </w:r>
      <w:r w:rsidR="00DC6AA5" w:rsidRPr="00930C7A">
        <w:rPr>
          <w:lang w:eastAsia="zh-CN"/>
        </w:rPr>
        <w:t>own value, and deepening the exploration of the industry may be the future of all the persons of Ucommune and the future of the development of this industry.”</w:t>
      </w:r>
    </w:p>
    <w:p w14:paraId="6EA0F3C5" w14:textId="4207825E" w:rsidR="009406AC" w:rsidRDefault="00465F47" w:rsidP="00DC6AA5">
      <w:pPr>
        <w:pStyle w:val="BodyTextMain"/>
        <w:rPr>
          <w:lang w:eastAsia="zh-CN"/>
        </w:rPr>
      </w:pPr>
      <w:r>
        <w:rPr>
          <w:noProof/>
          <w:lang w:eastAsia="zh-CN"/>
        </w:rPr>
        <mc:AlternateContent>
          <mc:Choice Requires="wps">
            <w:drawing>
              <wp:anchor distT="45720" distB="45720" distL="114300" distR="114300" simplePos="0" relativeHeight="251661312" behindDoc="0" locked="0" layoutInCell="1" allowOverlap="1" wp14:anchorId="657B623F" wp14:editId="4A6608E3">
                <wp:simplePos x="0" y="0"/>
                <wp:positionH relativeFrom="column">
                  <wp:posOffset>1104900</wp:posOffset>
                </wp:positionH>
                <wp:positionV relativeFrom="paragraph">
                  <wp:posOffset>151765</wp:posOffset>
                </wp:positionV>
                <wp:extent cx="3583305" cy="1404620"/>
                <wp:effectExtent l="0" t="0" r="1714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3305" cy="1404620"/>
                        </a:xfrm>
                        <a:prstGeom prst="rect">
                          <a:avLst/>
                        </a:prstGeom>
                        <a:solidFill>
                          <a:srgbClr val="FFFFFF"/>
                        </a:solidFill>
                        <a:ln w="9525">
                          <a:solidFill>
                            <a:srgbClr val="000000"/>
                          </a:solidFill>
                          <a:miter lim="800000"/>
                          <a:headEnd/>
                          <a:tailEnd/>
                        </a:ln>
                      </wps:spPr>
                      <wps:txbx>
                        <w:txbxContent>
                          <w:p w14:paraId="65448A47" w14:textId="010B89EA" w:rsidR="00465F47" w:rsidRDefault="00465F47" w:rsidP="00465F47">
                            <w:pPr>
                              <w:pStyle w:val="Footnote"/>
                            </w:pPr>
                            <w:r w:rsidRPr="00D076E5">
                              <w:t>For the development of this case, the authors gratefully acknowledge the support of the Bob &amp; Raye Briscoe Centre in Business Ownership Studies, John Molson School of Business, Concordia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7B623F" id="_x0000_t202" coordsize="21600,21600" o:spt="202" path="m,l,21600r21600,l21600,xe">
                <v:stroke joinstyle="miter"/>
                <v:path gradientshapeok="t" o:connecttype="rect"/>
              </v:shapetype>
              <v:shape id="Text Box 2" o:spid="_x0000_s1026" type="#_x0000_t202" style="position:absolute;left:0;text-align:left;margin-left:87pt;margin-top:11.95pt;width:282.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">
                <v:textbox style="mso-fit-shape-to-text:t">
                  <w:txbxContent>
                    <w:p w14:paraId="65448A47" w14:textId="010B89EA" w:rsidR="00465F47" w:rsidRDefault="00465F47" w:rsidP="00465F47">
                      <w:pPr>
                        <w:pStyle w:val="Footnote"/>
                      </w:pPr>
                      <w:r w:rsidRPr="00D076E5">
                        <w:t>For the development of this case, the authors gratefully acknowledge the support of the Bob &amp; Raye Briscoe Centre in Business Ownership Studies, John Molson School of Business, Concordia University.</w:t>
                      </w:r>
                    </w:p>
                  </w:txbxContent>
                </v:textbox>
                <w10:wrap type="square"/>
              </v:shape>
            </w:pict>
          </mc:Fallback>
        </mc:AlternateContent>
      </w:r>
    </w:p>
    <w:p w14:paraId="5C621EEA" w14:textId="02DBB6FC" w:rsidR="009406AC" w:rsidRDefault="009406AC" w:rsidP="00DC6AA5">
      <w:pPr>
        <w:pStyle w:val="BodyTextMain"/>
        <w:rPr>
          <w:lang w:eastAsia="zh-CN"/>
        </w:rPr>
      </w:pPr>
    </w:p>
    <w:p w14:paraId="75E52AF4" w14:textId="476FC7CD" w:rsidR="009406AC" w:rsidRDefault="009406AC" w:rsidP="00DC6AA5">
      <w:pPr>
        <w:pStyle w:val="BodyTextMain"/>
        <w:rPr>
          <w:lang w:eastAsia="zh-CN"/>
        </w:rPr>
      </w:pPr>
    </w:p>
    <w:p w14:paraId="2650ED6C" w14:textId="77777777" w:rsidR="00465F47" w:rsidRPr="00930C7A" w:rsidRDefault="00465F47" w:rsidP="00DC6AA5">
      <w:pPr>
        <w:pStyle w:val="BodyTextMain"/>
        <w:rPr>
          <w:lang w:eastAsia="zh-CN"/>
        </w:rPr>
      </w:pPr>
      <w:bookmarkStart w:id="61" w:name="_GoBack"/>
      <w:bookmarkEnd w:id="61"/>
    </w:p>
    <w:p w14:paraId="3425828D" w14:textId="77777777" w:rsidR="009E686F" w:rsidRPr="00930C7A" w:rsidRDefault="000C5A62" w:rsidP="008A5F7C">
      <w:pPr>
        <w:pStyle w:val="BodyTextMain"/>
        <w:rPr>
          <w:lang w:eastAsia="zh-CN"/>
        </w:rPr>
      </w:pPr>
      <w:r w:rsidRPr="00930C7A">
        <w:br w:type="page"/>
      </w:r>
    </w:p>
    <w:p w14:paraId="1E0E3331" w14:textId="59292AD8" w:rsidR="00C044CC" w:rsidRPr="00930C7A" w:rsidRDefault="00C044CC" w:rsidP="00C044CC">
      <w:pPr>
        <w:pStyle w:val="ExhibitHeading"/>
      </w:pPr>
      <w:r w:rsidRPr="00930C7A">
        <w:rPr>
          <w:rFonts w:eastAsia="DengXian"/>
          <w:lang w:eastAsia="zh-CN"/>
        </w:rPr>
        <w:lastRenderedPageBreak/>
        <w:t xml:space="preserve">EXHIBIT 1: Comparison of leasing the co-working space </w:t>
      </w:r>
      <w:r w:rsidRPr="00930C7A">
        <w:t>and</w:t>
      </w:r>
    </w:p>
    <w:p w14:paraId="21CE9BB8" w14:textId="77777777" w:rsidR="00C044CC" w:rsidRPr="00930C7A" w:rsidRDefault="00C044CC" w:rsidP="00C044CC">
      <w:pPr>
        <w:pStyle w:val="ExhibitHeading"/>
      </w:pPr>
      <w:r w:rsidRPr="00930C7A">
        <w:t>THE traditional office space</w:t>
      </w:r>
    </w:p>
    <w:p w14:paraId="0E38AF2C" w14:textId="77777777" w:rsidR="00C044CC" w:rsidRPr="00930C7A" w:rsidRDefault="00C044CC" w:rsidP="00C044CC">
      <w:pPr>
        <w:pStyle w:val="ExhibitText"/>
        <w:rPr>
          <w:rFonts w:eastAsia="DengXian"/>
          <w:lang w:eastAsia="zh-CN"/>
        </w:rPr>
      </w:pPr>
    </w:p>
    <w:tbl>
      <w:tblPr>
        <w:tblStyle w:val="TableGrid"/>
        <w:tblW w:w="5000" w:type="pct"/>
        <w:tblLook w:val="04A0" w:firstRow="1" w:lastRow="0" w:firstColumn="1" w:lastColumn="0" w:noHBand="0" w:noVBand="1"/>
        <w:tblCaption w:val="EXHIBIT 1"/>
        <w:tblDescription w:val="COMPARISON OF LEASING THE CO-WORKING SPACE AND&#10;THE TRADITIONAL OFFICE SPACE&#10;"/>
      </w:tblPr>
      <w:tblGrid>
        <w:gridCol w:w="2320"/>
        <w:gridCol w:w="3471"/>
        <w:gridCol w:w="3559"/>
      </w:tblGrid>
      <w:tr w:rsidR="00C044CC" w:rsidRPr="00930C7A" w14:paraId="533D329D" w14:textId="77777777" w:rsidTr="004258D6">
        <w:trPr>
          <w:trHeight w:val="527"/>
          <w:tblHeader/>
        </w:trPr>
        <w:tc>
          <w:tcPr>
            <w:tcW w:w="1241" w:type="pct"/>
            <w:tcBorders>
              <w:tl2br w:val="nil"/>
            </w:tcBorders>
            <w:vAlign w:val="center"/>
          </w:tcPr>
          <w:p w14:paraId="2E5E4C28" w14:textId="73C698B8" w:rsidR="00C044CC" w:rsidRPr="00DD4976" w:rsidRDefault="00FF7635" w:rsidP="0083002D">
            <w:pPr>
              <w:pStyle w:val="ExhibitText"/>
              <w:jc w:val="left"/>
              <w:rPr>
                <w:rFonts w:eastAsia="SimSun"/>
                <w:b/>
                <w:bCs/>
                <w:sz w:val="18"/>
                <w:szCs w:val="18"/>
                <w:lang w:eastAsia="zh-CN"/>
              </w:rPr>
            </w:pPr>
            <w:r>
              <w:rPr>
                <w:rFonts w:eastAsia="SimSun"/>
                <w:b/>
                <w:bCs/>
                <w:sz w:val="18"/>
                <w:szCs w:val="18"/>
                <w:lang w:eastAsia="zh-CN"/>
              </w:rPr>
              <w:t>Type</w:t>
            </w:r>
            <w:r w:rsidR="002351EB" w:rsidRPr="00DD4976">
              <w:rPr>
                <w:rFonts w:eastAsia="SimSun"/>
                <w:b/>
                <w:bCs/>
                <w:sz w:val="18"/>
                <w:szCs w:val="18"/>
                <w:lang w:eastAsia="zh-CN"/>
              </w:rPr>
              <w:t xml:space="preserve"> of Workspace, and </w:t>
            </w:r>
            <w:r w:rsidR="00F8069C">
              <w:rPr>
                <w:rFonts w:eastAsia="SimSun"/>
                <w:b/>
                <w:bCs/>
                <w:sz w:val="18"/>
                <w:szCs w:val="18"/>
                <w:lang w:eastAsia="zh-CN"/>
              </w:rPr>
              <w:t>Aspect</w:t>
            </w:r>
            <w:r w:rsidR="002351EB" w:rsidRPr="00DD4976">
              <w:rPr>
                <w:rFonts w:eastAsia="SimSun"/>
                <w:b/>
                <w:bCs/>
                <w:sz w:val="18"/>
                <w:szCs w:val="18"/>
                <w:lang w:eastAsia="zh-CN"/>
              </w:rPr>
              <w:t xml:space="preserve"> of Comparison</w:t>
            </w:r>
          </w:p>
        </w:tc>
        <w:tc>
          <w:tcPr>
            <w:tcW w:w="1856" w:type="pct"/>
            <w:vAlign w:val="center"/>
          </w:tcPr>
          <w:p w14:paraId="729C72F2" w14:textId="3FE166DB" w:rsidR="00C044CC" w:rsidRPr="00DD4976" w:rsidRDefault="00C044CC" w:rsidP="00C044CC">
            <w:pPr>
              <w:pStyle w:val="ExhibitText"/>
              <w:jc w:val="center"/>
              <w:rPr>
                <w:rFonts w:eastAsia="SimSun"/>
                <w:b/>
                <w:bCs/>
                <w:sz w:val="18"/>
                <w:szCs w:val="18"/>
                <w:lang w:eastAsia="zh-CN"/>
              </w:rPr>
            </w:pPr>
            <w:r w:rsidRPr="00DD4976">
              <w:rPr>
                <w:rFonts w:eastAsia="SimSun"/>
                <w:b/>
                <w:bCs/>
                <w:sz w:val="18"/>
                <w:szCs w:val="18"/>
                <w:lang w:eastAsia="zh-CN"/>
              </w:rPr>
              <w:t>Co-</w:t>
            </w:r>
            <w:r w:rsidR="001F39AE">
              <w:rPr>
                <w:rFonts w:eastAsia="SimSun"/>
                <w:b/>
                <w:bCs/>
                <w:sz w:val="18"/>
                <w:szCs w:val="18"/>
                <w:lang w:eastAsia="zh-CN"/>
              </w:rPr>
              <w:t>W</w:t>
            </w:r>
            <w:r w:rsidRPr="00DD4976">
              <w:rPr>
                <w:rFonts w:eastAsia="SimSun"/>
                <w:b/>
                <w:bCs/>
                <w:sz w:val="18"/>
                <w:szCs w:val="18"/>
                <w:lang w:eastAsia="zh-CN"/>
              </w:rPr>
              <w:t xml:space="preserve">orking </w:t>
            </w:r>
            <w:r w:rsidR="002351EB" w:rsidRPr="00DD4976">
              <w:rPr>
                <w:rFonts w:eastAsia="SimSun"/>
                <w:b/>
                <w:bCs/>
                <w:sz w:val="18"/>
                <w:szCs w:val="18"/>
                <w:lang w:eastAsia="zh-CN"/>
              </w:rPr>
              <w:t>Space</w:t>
            </w:r>
          </w:p>
        </w:tc>
        <w:tc>
          <w:tcPr>
            <w:tcW w:w="1903" w:type="pct"/>
            <w:vAlign w:val="center"/>
          </w:tcPr>
          <w:p w14:paraId="76F294A3" w14:textId="6A702C5D" w:rsidR="00C044CC" w:rsidRPr="00DD4976" w:rsidRDefault="00C044CC" w:rsidP="00C044CC">
            <w:pPr>
              <w:pStyle w:val="ExhibitText"/>
              <w:jc w:val="center"/>
              <w:rPr>
                <w:rFonts w:eastAsia="SimSun"/>
                <w:b/>
                <w:bCs/>
                <w:sz w:val="18"/>
                <w:szCs w:val="18"/>
                <w:lang w:eastAsia="zh-CN"/>
              </w:rPr>
            </w:pPr>
            <w:r w:rsidRPr="00DD4976">
              <w:rPr>
                <w:rFonts w:eastAsia="SimSun"/>
                <w:b/>
                <w:bCs/>
                <w:sz w:val="18"/>
                <w:szCs w:val="18"/>
                <w:lang w:eastAsia="zh-CN"/>
              </w:rPr>
              <w:t xml:space="preserve">Traditional </w:t>
            </w:r>
            <w:r w:rsidR="002351EB" w:rsidRPr="00DD4976">
              <w:rPr>
                <w:rFonts w:eastAsia="SimSun"/>
                <w:b/>
                <w:bCs/>
                <w:sz w:val="18"/>
                <w:szCs w:val="18"/>
                <w:lang w:eastAsia="zh-CN"/>
              </w:rPr>
              <w:t>Office Space</w:t>
            </w:r>
          </w:p>
        </w:tc>
      </w:tr>
      <w:tr w:rsidR="00C044CC" w:rsidRPr="00930C7A" w14:paraId="0C6B39E8" w14:textId="77777777" w:rsidTr="004258D6">
        <w:trPr>
          <w:trHeight w:val="1176"/>
          <w:tblHeader/>
        </w:trPr>
        <w:tc>
          <w:tcPr>
            <w:tcW w:w="1241" w:type="pct"/>
            <w:vAlign w:val="center"/>
          </w:tcPr>
          <w:p w14:paraId="6DCBA58C" w14:textId="6C62E611" w:rsidR="00C044CC" w:rsidRPr="00930C7A" w:rsidRDefault="00C044CC" w:rsidP="00DD4976">
            <w:pPr>
              <w:pStyle w:val="ExhibitText"/>
              <w:jc w:val="left"/>
              <w:rPr>
                <w:rFonts w:eastAsia="SimSun"/>
                <w:sz w:val="18"/>
                <w:szCs w:val="18"/>
                <w:lang w:eastAsia="zh-CN"/>
              </w:rPr>
            </w:pPr>
            <w:r w:rsidRPr="00930C7A">
              <w:rPr>
                <w:rFonts w:eastAsia="SimSun"/>
                <w:sz w:val="18"/>
                <w:szCs w:val="18"/>
                <w:lang w:eastAsia="zh-CN"/>
              </w:rPr>
              <w:t xml:space="preserve">Office </w:t>
            </w:r>
            <w:r w:rsidR="0090314E">
              <w:rPr>
                <w:rFonts w:eastAsia="SimSun"/>
                <w:sz w:val="18"/>
                <w:szCs w:val="18"/>
                <w:lang w:eastAsia="zh-CN"/>
              </w:rPr>
              <w:t>Costs</w:t>
            </w:r>
          </w:p>
        </w:tc>
        <w:tc>
          <w:tcPr>
            <w:tcW w:w="1856" w:type="pct"/>
            <w:vAlign w:val="center"/>
          </w:tcPr>
          <w:p w14:paraId="389AD702" w14:textId="4790472C" w:rsidR="00C044CC" w:rsidRPr="001F39AE" w:rsidRDefault="00C044CC" w:rsidP="00E97E70">
            <w:pPr>
              <w:pStyle w:val="ExhibitText"/>
              <w:jc w:val="left"/>
              <w:rPr>
                <w:rFonts w:eastAsia="SimSun"/>
                <w:spacing w:val="-2"/>
                <w:sz w:val="18"/>
                <w:szCs w:val="18"/>
                <w:lang w:eastAsia="zh-CN"/>
              </w:rPr>
            </w:pPr>
            <w:r w:rsidRPr="001F39AE">
              <w:rPr>
                <w:rFonts w:eastAsia="SimSun"/>
                <w:spacing w:val="-2"/>
                <w:sz w:val="18"/>
                <w:szCs w:val="18"/>
                <w:lang w:eastAsia="zh-CN"/>
              </w:rPr>
              <w:t>Enterprises</w:t>
            </w:r>
            <w:r w:rsidR="005D61E1" w:rsidRPr="001F39AE">
              <w:rPr>
                <w:rFonts w:eastAsia="SimSun"/>
                <w:spacing w:val="-2"/>
                <w:sz w:val="18"/>
                <w:szCs w:val="18"/>
                <w:lang w:eastAsia="zh-CN"/>
              </w:rPr>
              <w:t>,</w:t>
            </w:r>
            <w:r w:rsidRPr="001F39AE">
              <w:rPr>
                <w:rFonts w:eastAsia="SimSun"/>
                <w:spacing w:val="-2"/>
                <w:sz w:val="18"/>
                <w:szCs w:val="18"/>
                <w:lang w:eastAsia="zh-CN"/>
              </w:rPr>
              <w:t xml:space="preserve"> as tenants</w:t>
            </w:r>
            <w:r w:rsidR="005D61E1" w:rsidRPr="001F39AE">
              <w:rPr>
                <w:rFonts w:eastAsia="SimSun"/>
                <w:spacing w:val="-2"/>
                <w:sz w:val="18"/>
                <w:szCs w:val="18"/>
                <w:lang w:eastAsia="zh-CN"/>
              </w:rPr>
              <w:t>,</w:t>
            </w:r>
            <w:r w:rsidRPr="001F39AE">
              <w:rPr>
                <w:rFonts w:eastAsia="SimSun"/>
                <w:spacing w:val="-2"/>
                <w:sz w:val="18"/>
                <w:szCs w:val="18"/>
                <w:lang w:eastAsia="zh-CN"/>
              </w:rPr>
              <w:t xml:space="preserve"> are required to bear the rent but </w:t>
            </w:r>
            <w:r w:rsidR="00AE0F2A" w:rsidRPr="001F39AE">
              <w:rPr>
                <w:rFonts w:eastAsia="SimSun"/>
                <w:spacing w:val="-2"/>
                <w:sz w:val="18"/>
                <w:szCs w:val="18"/>
                <w:lang w:eastAsia="zh-CN"/>
              </w:rPr>
              <w:t xml:space="preserve">are </w:t>
            </w:r>
            <w:r w:rsidRPr="001F39AE">
              <w:rPr>
                <w:rFonts w:eastAsia="SimSun"/>
                <w:spacing w:val="-2"/>
                <w:sz w:val="18"/>
                <w:szCs w:val="18"/>
                <w:lang w:eastAsia="zh-CN"/>
              </w:rPr>
              <w:t>not required to pay for space decoration, furniture purchase</w:t>
            </w:r>
            <w:r w:rsidR="005D61E1" w:rsidRPr="001F39AE">
              <w:rPr>
                <w:rFonts w:eastAsia="SimSun"/>
                <w:spacing w:val="-2"/>
                <w:sz w:val="18"/>
                <w:szCs w:val="18"/>
                <w:lang w:eastAsia="zh-CN"/>
              </w:rPr>
              <w:t>s</w:t>
            </w:r>
            <w:r w:rsidRPr="001F39AE">
              <w:rPr>
                <w:rFonts w:eastAsia="SimSun"/>
                <w:spacing w:val="-2"/>
                <w:sz w:val="18"/>
                <w:szCs w:val="18"/>
                <w:lang w:eastAsia="zh-CN"/>
              </w:rPr>
              <w:t xml:space="preserve">, water, electricity, and </w:t>
            </w:r>
            <w:r w:rsidR="005D61E1" w:rsidRPr="001F39AE">
              <w:rPr>
                <w:rFonts w:eastAsia="SimSun"/>
                <w:spacing w:val="-2"/>
                <w:sz w:val="18"/>
                <w:szCs w:val="18"/>
                <w:lang w:eastAsia="zh-CN"/>
              </w:rPr>
              <w:t>I</w:t>
            </w:r>
            <w:r w:rsidRPr="001F39AE">
              <w:rPr>
                <w:rFonts w:eastAsia="SimSun"/>
                <w:spacing w:val="-2"/>
                <w:sz w:val="18"/>
                <w:szCs w:val="18"/>
                <w:lang w:eastAsia="zh-CN"/>
              </w:rPr>
              <w:t>nternet</w:t>
            </w:r>
            <w:r w:rsidR="00A2346C" w:rsidRPr="001F39AE">
              <w:rPr>
                <w:rFonts w:eastAsia="SimSun"/>
                <w:spacing w:val="-2"/>
                <w:sz w:val="18"/>
                <w:szCs w:val="18"/>
                <w:lang w:eastAsia="zh-CN"/>
              </w:rPr>
              <w:t>.</w:t>
            </w:r>
          </w:p>
        </w:tc>
        <w:tc>
          <w:tcPr>
            <w:tcW w:w="1903" w:type="pct"/>
            <w:vAlign w:val="center"/>
          </w:tcPr>
          <w:p w14:paraId="273737FA" w14:textId="7E7A35AA" w:rsidR="00C044CC" w:rsidRPr="00930C7A" w:rsidRDefault="00B110B8" w:rsidP="004E6754">
            <w:pPr>
              <w:pStyle w:val="ExhibitText"/>
              <w:jc w:val="left"/>
              <w:rPr>
                <w:rFonts w:eastAsia="SimSun"/>
                <w:sz w:val="18"/>
                <w:szCs w:val="18"/>
                <w:lang w:eastAsia="zh-CN"/>
              </w:rPr>
            </w:pPr>
            <w:r w:rsidRPr="00930C7A">
              <w:rPr>
                <w:rFonts w:eastAsia="SimSun"/>
                <w:sz w:val="18"/>
                <w:szCs w:val="18"/>
                <w:lang w:eastAsia="zh-CN"/>
              </w:rPr>
              <w:t>E</w:t>
            </w:r>
            <w:r w:rsidR="00C044CC" w:rsidRPr="00930C7A">
              <w:rPr>
                <w:rFonts w:eastAsia="SimSun"/>
                <w:sz w:val="18"/>
                <w:szCs w:val="18"/>
                <w:lang w:eastAsia="zh-CN"/>
              </w:rPr>
              <w:t>nterprises</w:t>
            </w:r>
            <w:r w:rsidRPr="00930C7A">
              <w:rPr>
                <w:rFonts w:eastAsia="SimSun"/>
                <w:sz w:val="18"/>
                <w:szCs w:val="18"/>
                <w:lang w:eastAsia="zh-CN"/>
              </w:rPr>
              <w:t>,</w:t>
            </w:r>
            <w:r w:rsidR="00C044CC" w:rsidRPr="00930C7A">
              <w:rPr>
                <w:rFonts w:eastAsia="SimSun"/>
                <w:sz w:val="18"/>
                <w:szCs w:val="18"/>
                <w:lang w:eastAsia="zh-CN"/>
              </w:rPr>
              <w:t xml:space="preserve"> as tenants</w:t>
            </w:r>
            <w:r w:rsidRPr="00930C7A">
              <w:rPr>
                <w:rFonts w:eastAsia="SimSun"/>
                <w:sz w:val="18"/>
                <w:szCs w:val="18"/>
                <w:lang w:eastAsia="zh-CN"/>
              </w:rPr>
              <w:t>,</w:t>
            </w:r>
            <w:r w:rsidR="00C044CC" w:rsidRPr="00930C7A">
              <w:rPr>
                <w:rFonts w:eastAsia="SimSun"/>
                <w:sz w:val="18"/>
                <w:szCs w:val="18"/>
                <w:lang w:eastAsia="zh-CN"/>
              </w:rPr>
              <w:t xml:space="preserve"> </w:t>
            </w:r>
            <w:r w:rsidRPr="00930C7A">
              <w:rPr>
                <w:rFonts w:eastAsia="SimSun"/>
                <w:sz w:val="18"/>
                <w:szCs w:val="18"/>
                <w:lang w:eastAsia="zh-CN"/>
              </w:rPr>
              <w:t>must</w:t>
            </w:r>
            <w:r w:rsidR="00C044CC" w:rsidRPr="00930C7A">
              <w:rPr>
                <w:rFonts w:eastAsia="SimSun"/>
                <w:sz w:val="18"/>
                <w:szCs w:val="18"/>
                <w:lang w:eastAsia="zh-CN"/>
              </w:rPr>
              <w:t xml:space="preserve"> bear </w:t>
            </w:r>
            <w:r w:rsidRPr="00930C7A">
              <w:rPr>
                <w:rFonts w:eastAsia="SimSun"/>
                <w:sz w:val="18"/>
                <w:szCs w:val="18"/>
                <w:lang w:eastAsia="zh-CN"/>
              </w:rPr>
              <w:t xml:space="preserve">the </w:t>
            </w:r>
            <w:r w:rsidR="00C044CC" w:rsidRPr="00930C7A">
              <w:rPr>
                <w:rFonts w:eastAsia="SimSun"/>
                <w:sz w:val="18"/>
                <w:szCs w:val="18"/>
                <w:lang w:eastAsia="zh-CN"/>
              </w:rPr>
              <w:t>costs of space decoration, furniture purchase</w:t>
            </w:r>
            <w:r w:rsidRPr="00930C7A">
              <w:rPr>
                <w:rFonts w:eastAsia="SimSun"/>
                <w:sz w:val="18"/>
                <w:szCs w:val="18"/>
                <w:lang w:eastAsia="zh-CN"/>
              </w:rPr>
              <w:t>s</w:t>
            </w:r>
            <w:r w:rsidR="00C044CC" w:rsidRPr="00930C7A">
              <w:rPr>
                <w:rFonts w:eastAsia="SimSun"/>
                <w:sz w:val="18"/>
                <w:szCs w:val="18"/>
                <w:lang w:eastAsia="zh-CN"/>
              </w:rPr>
              <w:t xml:space="preserve">, water, electricity, and </w:t>
            </w:r>
            <w:r w:rsidRPr="00930C7A">
              <w:rPr>
                <w:rFonts w:eastAsia="SimSun"/>
                <w:sz w:val="18"/>
                <w:szCs w:val="18"/>
                <w:lang w:eastAsia="zh-CN"/>
              </w:rPr>
              <w:t>I</w:t>
            </w:r>
            <w:r w:rsidR="00C044CC" w:rsidRPr="00930C7A">
              <w:rPr>
                <w:rFonts w:eastAsia="SimSun"/>
                <w:sz w:val="18"/>
                <w:szCs w:val="18"/>
                <w:lang w:eastAsia="zh-CN"/>
              </w:rPr>
              <w:t>nternet</w:t>
            </w:r>
            <w:r w:rsidRPr="00930C7A">
              <w:rPr>
                <w:rFonts w:eastAsia="SimSun"/>
                <w:sz w:val="18"/>
                <w:szCs w:val="18"/>
                <w:lang w:eastAsia="zh-CN"/>
              </w:rPr>
              <w:sym w:font="Symbol" w:char="F0BE"/>
            </w:r>
            <w:r w:rsidRPr="00930C7A">
              <w:rPr>
                <w:rFonts w:eastAsia="SimSun"/>
                <w:sz w:val="18"/>
                <w:szCs w:val="18"/>
                <w:lang w:eastAsia="zh-CN"/>
              </w:rPr>
              <w:t>in addition to rent</w:t>
            </w:r>
            <w:r w:rsidR="00A74976">
              <w:rPr>
                <w:rFonts w:eastAsia="SimSun"/>
                <w:sz w:val="18"/>
                <w:szCs w:val="18"/>
                <w:lang w:eastAsia="zh-CN"/>
              </w:rPr>
              <w:t>.</w:t>
            </w:r>
          </w:p>
        </w:tc>
      </w:tr>
      <w:tr w:rsidR="00C044CC" w:rsidRPr="00930C7A" w14:paraId="6E16B04A" w14:textId="77777777" w:rsidTr="004258D6">
        <w:trPr>
          <w:trHeight w:val="980"/>
          <w:tblHeader/>
        </w:trPr>
        <w:tc>
          <w:tcPr>
            <w:tcW w:w="1241" w:type="pct"/>
            <w:vAlign w:val="center"/>
          </w:tcPr>
          <w:p w14:paraId="089922B8" w14:textId="292104CD" w:rsidR="00C044CC" w:rsidRPr="00930C7A" w:rsidRDefault="00C044CC" w:rsidP="00DD4976">
            <w:pPr>
              <w:pStyle w:val="ExhibitText"/>
              <w:jc w:val="left"/>
              <w:rPr>
                <w:rFonts w:eastAsia="SimSun"/>
                <w:sz w:val="18"/>
                <w:szCs w:val="18"/>
                <w:lang w:eastAsia="zh-CN"/>
              </w:rPr>
            </w:pPr>
            <w:r w:rsidRPr="00930C7A">
              <w:rPr>
                <w:rFonts w:eastAsia="SimSun"/>
                <w:sz w:val="18"/>
                <w:szCs w:val="18"/>
                <w:lang w:eastAsia="zh-CN"/>
              </w:rPr>
              <w:t xml:space="preserve">Associated </w:t>
            </w:r>
            <w:r w:rsidR="0090314E">
              <w:rPr>
                <w:rFonts w:eastAsia="SimSun"/>
                <w:sz w:val="18"/>
                <w:szCs w:val="18"/>
                <w:lang w:eastAsia="zh-CN"/>
              </w:rPr>
              <w:t>Services</w:t>
            </w:r>
          </w:p>
        </w:tc>
        <w:tc>
          <w:tcPr>
            <w:tcW w:w="1856" w:type="pct"/>
            <w:vAlign w:val="center"/>
          </w:tcPr>
          <w:p w14:paraId="75D5B17A" w14:textId="05074EA9" w:rsidR="00C044CC" w:rsidRPr="00930C7A" w:rsidRDefault="00C044CC" w:rsidP="00E97E70">
            <w:pPr>
              <w:pStyle w:val="ExhibitText"/>
              <w:jc w:val="left"/>
              <w:rPr>
                <w:rFonts w:eastAsia="SimSun"/>
                <w:sz w:val="18"/>
                <w:szCs w:val="18"/>
                <w:lang w:eastAsia="zh-CN"/>
              </w:rPr>
            </w:pPr>
            <w:r w:rsidRPr="00930C7A">
              <w:rPr>
                <w:rFonts w:eastAsia="SimSun"/>
                <w:sz w:val="18"/>
                <w:szCs w:val="18"/>
                <w:lang w:eastAsia="zh-CN"/>
              </w:rPr>
              <w:t>In addition to office-related services, co-working space operators may provide some types of general corporate services and individual services</w:t>
            </w:r>
            <w:r w:rsidR="00A2346C">
              <w:rPr>
                <w:rFonts w:eastAsia="SimSun"/>
                <w:sz w:val="18"/>
                <w:szCs w:val="18"/>
                <w:lang w:eastAsia="zh-CN"/>
              </w:rPr>
              <w:t>.</w:t>
            </w:r>
          </w:p>
        </w:tc>
        <w:tc>
          <w:tcPr>
            <w:tcW w:w="1903" w:type="pct"/>
            <w:vAlign w:val="center"/>
          </w:tcPr>
          <w:p w14:paraId="22067DD9" w14:textId="3169C574" w:rsidR="00C044CC" w:rsidRPr="00930C7A" w:rsidRDefault="00C044CC" w:rsidP="00C044CC">
            <w:pPr>
              <w:pStyle w:val="ExhibitText"/>
              <w:jc w:val="left"/>
              <w:rPr>
                <w:rFonts w:eastAsia="SimSun"/>
                <w:sz w:val="18"/>
                <w:szCs w:val="18"/>
                <w:lang w:eastAsia="zh-CN"/>
              </w:rPr>
            </w:pPr>
            <w:r w:rsidRPr="00930C7A">
              <w:rPr>
                <w:rFonts w:eastAsia="SimSun"/>
                <w:sz w:val="18"/>
                <w:szCs w:val="18"/>
                <w:lang w:eastAsia="zh-CN"/>
              </w:rPr>
              <w:t>Service items are fewer and simpler</w:t>
            </w:r>
            <w:r w:rsidR="00A74976">
              <w:rPr>
                <w:rFonts w:eastAsia="SimSun"/>
                <w:sz w:val="18"/>
                <w:szCs w:val="18"/>
                <w:lang w:eastAsia="zh-CN"/>
              </w:rPr>
              <w:t>.</w:t>
            </w:r>
          </w:p>
        </w:tc>
      </w:tr>
      <w:tr w:rsidR="00C044CC" w:rsidRPr="00930C7A" w14:paraId="5F4CBEA5" w14:textId="77777777" w:rsidTr="004258D6">
        <w:trPr>
          <w:trHeight w:val="555"/>
          <w:tblHeader/>
        </w:trPr>
        <w:tc>
          <w:tcPr>
            <w:tcW w:w="1241" w:type="pct"/>
            <w:vAlign w:val="center"/>
          </w:tcPr>
          <w:p w14:paraId="77760B81" w14:textId="72C1F23A" w:rsidR="00C044CC" w:rsidRPr="00930C7A" w:rsidRDefault="00C044CC" w:rsidP="00DD4976">
            <w:pPr>
              <w:pStyle w:val="ExhibitText"/>
              <w:jc w:val="left"/>
              <w:rPr>
                <w:rFonts w:eastAsia="SimSun"/>
                <w:sz w:val="18"/>
                <w:szCs w:val="18"/>
                <w:lang w:eastAsia="zh-CN"/>
              </w:rPr>
            </w:pPr>
            <w:r w:rsidRPr="00930C7A">
              <w:rPr>
                <w:rFonts w:eastAsia="SimSun"/>
                <w:sz w:val="18"/>
                <w:szCs w:val="18"/>
                <w:lang w:eastAsia="zh-CN"/>
              </w:rPr>
              <w:t xml:space="preserve">Lease </w:t>
            </w:r>
            <w:r w:rsidR="0090314E">
              <w:rPr>
                <w:rFonts w:eastAsia="SimSun"/>
                <w:sz w:val="18"/>
                <w:szCs w:val="18"/>
                <w:lang w:eastAsia="zh-CN"/>
              </w:rPr>
              <w:t>Term</w:t>
            </w:r>
          </w:p>
        </w:tc>
        <w:tc>
          <w:tcPr>
            <w:tcW w:w="1856" w:type="pct"/>
            <w:vAlign w:val="center"/>
          </w:tcPr>
          <w:p w14:paraId="06A44130" w14:textId="15769F66" w:rsidR="00C044CC" w:rsidRPr="00930C7A" w:rsidRDefault="00A2346C" w:rsidP="00E97E70">
            <w:pPr>
              <w:pStyle w:val="ExhibitText"/>
              <w:jc w:val="left"/>
              <w:rPr>
                <w:rFonts w:eastAsia="SimSun"/>
                <w:sz w:val="18"/>
                <w:szCs w:val="18"/>
                <w:lang w:eastAsia="zh-CN"/>
              </w:rPr>
            </w:pPr>
            <w:r>
              <w:rPr>
                <w:rFonts w:eastAsia="SimSun"/>
                <w:sz w:val="18"/>
                <w:szCs w:val="18"/>
                <w:lang w:eastAsia="zh-CN"/>
              </w:rPr>
              <w:t>A flexible</w:t>
            </w:r>
            <w:r w:rsidRPr="00930C7A">
              <w:rPr>
                <w:rFonts w:eastAsia="SimSun"/>
                <w:sz w:val="18"/>
                <w:szCs w:val="18"/>
                <w:lang w:eastAsia="zh-CN"/>
              </w:rPr>
              <w:t xml:space="preserve"> </w:t>
            </w:r>
            <w:r w:rsidR="00C044CC" w:rsidRPr="00930C7A">
              <w:rPr>
                <w:rFonts w:eastAsia="SimSun"/>
                <w:sz w:val="18"/>
                <w:szCs w:val="18"/>
                <w:lang w:eastAsia="zh-CN"/>
              </w:rPr>
              <w:t xml:space="preserve">leased term, such as </w:t>
            </w:r>
            <w:r w:rsidR="005D61E1" w:rsidRPr="00930C7A">
              <w:rPr>
                <w:rFonts w:eastAsia="SimSun"/>
                <w:sz w:val="18"/>
                <w:szCs w:val="18"/>
                <w:lang w:eastAsia="zh-CN"/>
              </w:rPr>
              <w:t xml:space="preserve">a one-month </w:t>
            </w:r>
            <w:r w:rsidR="00C044CC" w:rsidRPr="00930C7A">
              <w:rPr>
                <w:rFonts w:eastAsia="SimSun"/>
                <w:sz w:val="18"/>
                <w:szCs w:val="18"/>
                <w:lang w:eastAsia="zh-CN"/>
              </w:rPr>
              <w:t>leas</w:t>
            </w:r>
            <w:r w:rsidR="005D61E1" w:rsidRPr="00930C7A">
              <w:rPr>
                <w:rFonts w:eastAsia="SimSun"/>
                <w:sz w:val="18"/>
                <w:szCs w:val="18"/>
                <w:lang w:eastAsia="zh-CN"/>
              </w:rPr>
              <w:t>e</w:t>
            </w:r>
            <w:r>
              <w:rPr>
                <w:rFonts w:eastAsia="SimSun"/>
                <w:sz w:val="18"/>
                <w:szCs w:val="18"/>
                <w:lang w:eastAsia="zh-CN"/>
              </w:rPr>
              <w:t>.</w:t>
            </w:r>
            <w:r w:rsidR="00C044CC" w:rsidRPr="00930C7A">
              <w:rPr>
                <w:rFonts w:eastAsia="SimSun"/>
                <w:sz w:val="18"/>
                <w:szCs w:val="18"/>
                <w:lang w:eastAsia="zh-CN"/>
              </w:rPr>
              <w:t xml:space="preserve"> </w:t>
            </w:r>
          </w:p>
        </w:tc>
        <w:tc>
          <w:tcPr>
            <w:tcW w:w="1903" w:type="pct"/>
            <w:vAlign w:val="center"/>
          </w:tcPr>
          <w:p w14:paraId="66658283" w14:textId="41C8AF02" w:rsidR="00C044CC" w:rsidRPr="00930C7A" w:rsidRDefault="00C044CC" w:rsidP="004E6754">
            <w:pPr>
              <w:pStyle w:val="ExhibitText"/>
              <w:jc w:val="left"/>
              <w:rPr>
                <w:rFonts w:eastAsia="SimSun"/>
                <w:sz w:val="18"/>
                <w:szCs w:val="18"/>
                <w:lang w:eastAsia="zh-CN"/>
              </w:rPr>
            </w:pPr>
            <w:r w:rsidRPr="00930C7A">
              <w:rPr>
                <w:rFonts w:eastAsia="SimSun"/>
                <w:sz w:val="18"/>
                <w:szCs w:val="18"/>
                <w:lang w:eastAsia="zh-CN"/>
              </w:rPr>
              <w:t xml:space="preserve">Relatively fixed lease term, generally requiring </w:t>
            </w:r>
            <w:r w:rsidR="00B110B8" w:rsidRPr="00930C7A">
              <w:rPr>
                <w:rFonts w:eastAsia="SimSun"/>
                <w:sz w:val="18"/>
                <w:szCs w:val="18"/>
                <w:lang w:eastAsia="zh-CN"/>
              </w:rPr>
              <w:t>a</w:t>
            </w:r>
            <w:r w:rsidRPr="00930C7A">
              <w:rPr>
                <w:rFonts w:eastAsia="SimSun"/>
                <w:sz w:val="18"/>
                <w:szCs w:val="18"/>
                <w:lang w:eastAsia="zh-CN"/>
              </w:rPr>
              <w:t xml:space="preserve"> lease </w:t>
            </w:r>
            <w:r w:rsidR="00B110B8" w:rsidRPr="00930C7A">
              <w:rPr>
                <w:rFonts w:eastAsia="SimSun"/>
                <w:sz w:val="18"/>
                <w:szCs w:val="18"/>
                <w:lang w:eastAsia="zh-CN"/>
              </w:rPr>
              <w:t>of longer</w:t>
            </w:r>
            <w:r w:rsidRPr="00930C7A">
              <w:rPr>
                <w:rFonts w:eastAsia="SimSun"/>
                <w:sz w:val="18"/>
                <w:szCs w:val="18"/>
                <w:lang w:eastAsia="zh-CN"/>
              </w:rPr>
              <w:t xml:space="preserve"> than one year</w:t>
            </w:r>
            <w:r w:rsidR="00A74976">
              <w:rPr>
                <w:rFonts w:eastAsia="SimSun"/>
                <w:sz w:val="18"/>
                <w:szCs w:val="18"/>
                <w:lang w:eastAsia="zh-CN"/>
              </w:rPr>
              <w:t>.</w:t>
            </w:r>
          </w:p>
        </w:tc>
      </w:tr>
      <w:tr w:rsidR="00C044CC" w:rsidRPr="00930C7A" w14:paraId="2EFB29E4" w14:textId="77777777" w:rsidTr="004258D6">
        <w:trPr>
          <w:trHeight w:val="1683"/>
          <w:tblHeader/>
        </w:trPr>
        <w:tc>
          <w:tcPr>
            <w:tcW w:w="1241" w:type="pct"/>
            <w:vAlign w:val="center"/>
          </w:tcPr>
          <w:p w14:paraId="1E3A9EBA" w14:textId="02CDB724" w:rsidR="00C044CC" w:rsidRPr="00930C7A" w:rsidRDefault="00C044CC" w:rsidP="00DD4976">
            <w:pPr>
              <w:pStyle w:val="ExhibitText"/>
              <w:jc w:val="left"/>
              <w:rPr>
                <w:rFonts w:eastAsia="SimSun"/>
                <w:sz w:val="18"/>
                <w:szCs w:val="18"/>
                <w:lang w:eastAsia="zh-CN"/>
              </w:rPr>
            </w:pPr>
            <w:r w:rsidRPr="00930C7A">
              <w:rPr>
                <w:rFonts w:eastAsia="SimSun"/>
                <w:sz w:val="18"/>
                <w:szCs w:val="18"/>
                <w:lang w:eastAsia="zh-CN"/>
              </w:rPr>
              <w:t xml:space="preserve">Leased </w:t>
            </w:r>
            <w:r w:rsidR="0090314E">
              <w:rPr>
                <w:rFonts w:eastAsia="SimSun"/>
                <w:sz w:val="18"/>
                <w:szCs w:val="18"/>
                <w:lang w:eastAsia="zh-CN"/>
              </w:rPr>
              <w:t>Area</w:t>
            </w:r>
          </w:p>
        </w:tc>
        <w:tc>
          <w:tcPr>
            <w:tcW w:w="1856" w:type="pct"/>
            <w:vAlign w:val="center"/>
          </w:tcPr>
          <w:p w14:paraId="49E816CB" w14:textId="0E1EF546" w:rsidR="00C044CC" w:rsidRPr="00930C7A" w:rsidRDefault="00C044CC" w:rsidP="00E97E70">
            <w:pPr>
              <w:pStyle w:val="ExhibitText"/>
              <w:jc w:val="left"/>
              <w:rPr>
                <w:rFonts w:eastAsia="SimSun"/>
                <w:sz w:val="18"/>
                <w:szCs w:val="18"/>
                <w:lang w:eastAsia="zh-CN"/>
              </w:rPr>
            </w:pPr>
            <w:r w:rsidRPr="00930C7A">
              <w:rPr>
                <w:rFonts w:eastAsia="SimSun"/>
                <w:sz w:val="18"/>
                <w:szCs w:val="18"/>
                <w:lang w:eastAsia="zh-CN"/>
              </w:rPr>
              <w:t>There are generally no requirements for customers’ leased areas, and the co-working space operator can even agree with customers to lease only one workstation</w:t>
            </w:r>
            <w:r w:rsidR="005D61E1" w:rsidRPr="00930C7A">
              <w:rPr>
                <w:rFonts w:eastAsia="SimSun"/>
                <w:sz w:val="18"/>
                <w:szCs w:val="18"/>
                <w:lang w:eastAsia="zh-CN"/>
              </w:rPr>
              <w:t>;</w:t>
            </w:r>
            <w:r w:rsidRPr="00930C7A">
              <w:rPr>
                <w:rFonts w:eastAsia="SimSun"/>
                <w:sz w:val="18"/>
                <w:szCs w:val="18"/>
                <w:lang w:eastAsia="zh-CN"/>
              </w:rPr>
              <w:t xml:space="preserve"> </w:t>
            </w:r>
            <w:r w:rsidR="005D61E1" w:rsidRPr="00930C7A">
              <w:rPr>
                <w:rFonts w:eastAsia="SimSun"/>
                <w:sz w:val="18"/>
                <w:szCs w:val="18"/>
                <w:lang w:eastAsia="zh-CN"/>
              </w:rPr>
              <w:t>e</w:t>
            </w:r>
            <w:r w:rsidRPr="00930C7A">
              <w:rPr>
                <w:rFonts w:eastAsia="SimSun"/>
                <w:sz w:val="18"/>
                <w:szCs w:val="18"/>
                <w:lang w:eastAsia="zh-CN"/>
              </w:rPr>
              <w:t>nterprises</w:t>
            </w:r>
            <w:r w:rsidR="005D61E1" w:rsidRPr="00930C7A">
              <w:rPr>
                <w:rFonts w:eastAsia="SimSun"/>
                <w:sz w:val="18"/>
                <w:szCs w:val="18"/>
                <w:lang w:eastAsia="zh-CN"/>
              </w:rPr>
              <w:t>,</w:t>
            </w:r>
            <w:r w:rsidRPr="00930C7A">
              <w:rPr>
                <w:rFonts w:eastAsia="SimSun"/>
                <w:sz w:val="18"/>
                <w:szCs w:val="18"/>
                <w:lang w:eastAsia="zh-CN"/>
              </w:rPr>
              <w:t xml:space="preserve"> as tenants</w:t>
            </w:r>
            <w:r w:rsidR="005D61E1" w:rsidRPr="00930C7A">
              <w:rPr>
                <w:rFonts w:eastAsia="SimSun"/>
                <w:sz w:val="18"/>
                <w:szCs w:val="18"/>
                <w:lang w:eastAsia="zh-CN"/>
              </w:rPr>
              <w:t>,</w:t>
            </w:r>
            <w:r w:rsidRPr="00930C7A">
              <w:rPr>
                <w:rFonts w:eastAsia="SimSun"/>
                <w:sz w:val="18"/>
                <w:szCs w:val="18"/>
                <w:lang w:eastAsia="zh-CN"/>
              </w:rPr>
              <w:t xml:space="preserve"> can flexibly adjust the leased area according to their own scale changes</w:t>
            </w:r>
            <w:r w:rsidR="00880B13">
              <w:rPr>
                <w:rFonts w:eastAsia="SimSun"/>
                <w:sz w:val="18"/>
                <w:szCs w:val="18"/>
                <w:lang w:eastAsia="zh-CN"/>
              </w:rPr>
              <w:t>.</w:t>
            </w:r>
          </w:p>
        </w:tc>
        <w:tc>
          <w:tcPr>
            <w:tcW w:w="1903" w:type="pct"/>
            <w:vAlign w:val="center"/>
          </w:tcPr>
          <w:p w14:paraId="67BF3FB0" w14:textId="4AEEBE96" w:rsidR="00C044CC" w:rsidRPr="001F39AE" w:rsidRDefault="00C044CC" w:rsidP="004E6754">
            <w:pPr>
              <w:pStyle w:val="ExhibitText"/>
              <w:jc w:val="left"/>
              <w:rPr>
                <w:rFonts w:eastAsia="SimSun"/>
                <w:spacing w:val="-4"/>
                <w:sz w:val="18"/>
                <w:szCs w:val="18"/>
                <w:lang w:eastAsia="zh-CN"/>
              </w:rPr>
            </w:pPr>
            <w:r w:rsidRPr="001F39AE">
              <w:rPr>
                <w:rFonts w:eastAsia="SimSun"/>
                <w:spacing w:val="-4"/>
                <w:sz w:val="18"/>
                <w:szCs w:val="18"/>
                <w:lang w:eastAsia="zh-CN"/>
              </w:rPr>
              <w:t xml:space="preserve">There are generally clear requirements for customers’ leased area, which varies according to the difference in office building grades, and customers </w:t>
            </w:r>
            <w:r w:rsidR="00B110B8" w:rsidRPr="001F39AE">
              <w:rPr>
                <w:rFonts w:eastAsia="SimSun"/>
                <w:spacing w:val="-4"/>
                <w:sz w:val="18"/>
                <w:szCs w:val="18"/>
                <w:lang w:eastAsia="zh-CN"/>
              </w:rPr>
              <w:t>must</w:t>
            </w:r>
            <w:r w:rsidRPr="001F39AE">
              <w:rPr>
                <w:rFonts w:eastAsia="SimSun"/>
                <w:spacing w:val="-4"/>
                <w:sz w:val="18"/>
                <w:szCs w:val="18"/>
                <w:lang w:eastAsia="zh-CN"/>
              </w:rPr>
              <w:t xml:space="preserve"> pay a deposit</w:t>
            </w:r>
            <w:r w:rsidR="00A74976" w:rsidRPr="001F39AE">
              <w:rPr>
                <w:rFonts w:eastAsia="SimSun"/>
                <w:spacing w:val="-4"/>
                <w:sz w:val="18"/>
                <w:szCs w:val="18"/>
                <w:lang w:eastAsia="zh-CN"/>
              </w:rPr>
              <w:t>.</w:t>
            </w:r>
          </w:p>
        </w:tc>
      </w:tr>
      <w:tr w:rsidR="00C044CC" w:rsidRPr="00930C7A" w14:paraId="303E17BD" w14:textId="77777777" w:rsidTr="004258D6">
        <w:trPr>
          <w:trHeight w:val="571"/>
          <w:tblHeader/>
        </w:trPr>
        <w:tc>
          <w:tcPr>
            <w:tcW w:w="1241" w:type="pct"/>
            <w:vAlign w:val="center"/>
          </w:tcPr>
          <w:p w14:paraId="7482D954" w14:textId="28F7A490" w:rsidR="00C044CC" w:rsidRPr="00930C7A" w:rsidRDefault="00C044CC" w:rsidP="00DD4976">
            <w:pPr>
              <w:pStyle w:val="ExhibitText"/>
              <w:jc w:val="left"/>
              <w:rPr>
                <w:rFonts w:eastAsia="SimSun"/>
                <w:sz w:val="18"/>
                <w:szCs w:val="18"/>
                <w:lang w:eastAsia="zh-CN"/>
              </w:rPr>
            </w:pPr>
            <w:r w:rsidRPr="00930C7A">
              <w:rPr>
                <w:rFonts w:eastAsia="SimSun"/>
                <w:sz w:val="18"/>
                <w:szCs w:val="18"/>
                <w:lang w:eastAsia="zh-CN"/>
              </w:rPr>
              <w:t xml:space="preserve">Initial </w:t>
            </w:r>
            <w:r w:rsidR="0090314E">
              <w:rPr>
                <w:rFonts w:eastAsia="SimSun"/>
                <w:sz w:val="18"/>
                <w:szCs w:val="18"/>
                <w:lang w:eastAsia="zh-CN"/>
              </w:rPr>
              <w:t>Property Type</w:t>
            </w:r>
          </w:p>
        </w:tc>
        <w:tc>
          <w:tcPr>
            <w:tcW w:w="1856" w:type="pct"/>
            <w:vAlign w:val="center"/>
          </w:tcPr>
          <w:p w14:paraId="5AD872FC" w14:textId="54B42D2F" w:rsidR="00C044CC" w:rsidRPr="00930C7A" w:rsidRDefault="00C044CC" w:rsidP="00C044CC">
            <w:pPr>
              <w:pStyle w:val="ExhibitText"/>
              <w:jc w:val="left"/>
              <w:rPr>
                <w:rFonts w:eastAsia="SimSun"/>
                <w:sz w:val="18"/>
                <w:szCs w:val="18"/>
                <w:lang w:eastAsia="zh-CN"/>
              </w:rPr>
            </w:pPr>
            <w:r w:rsidRPr="00930C7A">
              <w:rPr>
                <w:rFonts w:eastAsia="SimSun"/>
                <w:sz w:val="18"/>
                <w:szCs w:val="18"/>
                <w:lang w:eastAsia="zh-CN"/>
              </w:rPr>
              <w:t>Various types</w:t>
            </w:r>
            <w:r w:rsidR="005D61E1" w:rsidRPr="00930C7A">
              <w:rPr>
                <w:rFonts w:eastAsia="SimSun"/>
                <w:sz w:val="18"/>
                <w:szCs w:val="18"/>
                <w:lang w:eastAsia="zh-CN"/>
              </w:rPr>
              <w:t>,</w:t>
            </w:r>
            <w:r w:rsidRPr="00930C7A">
              <w:rPr>
                <w:rFonts w:eastAsia="SimSun"/>
                <w:sz w:val="18"/>
                <w:szCs w:val="18"/>
                <w:lang w:eastAsia="zh-CN"/>
              </w:rPr>
              <w:t xml:space="preserve"> such as office buildings, appropriate warehouses, and malls</w:t>
            </w:r>
            <w:r w:rsidR="00880B13">
              <w:rPr>
                <w:rFonts w:eastAsia="SimSun"/>
                <w:sz w:val="18"/>
                <w:szCs w:val="18"/>
                <w:lang w:eastAsia="zh-CN"/>
              </w:rPr>
              <w:t>.</w:t>
            </w:r>
          </w:p>
        </w:tc>
        <w:tc>
          <w:tcPr>
            <w:tcW w:w="1903" w:type="pct"/>
            <w:vAlign w:val="center"/>
          </w:tcPr>
          <w:p w14:paraId="3CC016F9" w14:textId="441258AF" w:rsidR="00C044CC" w:rsidRPr="00930C7A" w:rsidRDefault="00C044CC" w:rsidP="00C044CC">
            <w:pPr>
              <w:pStyle w:val="ExhibitText"/>
              <w:jc w:val="left"/>
              <w:rPr>
                <w:rFonts w:eastAsia="SimSun"/>
                <w:sz w:val="18"/>
                <w:szCs w:val="18"/>
                <w:lang w:eastAsia="zh-CN"/>
              </w:rPr>
            </w:pPr>
            <w:r w:rsidRPr="00930C7A">
              <w:rPr>
                <w:rFonts w:eastAsia="SimSun"/>
                <w:sz w:val="18"/>
                <w:szCs w:val="18"/>
                <w:lang w:eastAsia="zh-CN"/>
              </w:rPr>
              <w:t>Office buildings</w:t>
            </w:r>
            <w:r w:rsidR="00A74976">
              <w:rPr>
                <w:rFonts w:eastAsia="SimSun"/>
                <w:sz w:val="18"/>
                <w:szCs w:val="18"/>
                <w:lang w:eastAsia="zh-CN"/>
              </w:rPr>
              <w:t>.</w:t>
            </w:r>
          </w:p>
        </w:tc>
      </w:tr>
      <w:tr w:rsidR="00C044CC" w:rsidRPr="00930C7A" w14:paraId="1BEFDC46" w14:textId="77777777" w:rsidTr="004258D6">
        <w:trPr>
          <w:trHeight w:val="268"/>
          <w:tblHeader/>
        </w:trPr>
        <w:tc>
          <w:tcPr>
            <w:tcW w:w="1241" w:type="pct"/>
            <w:vAlign w:val="center"/>
          </w:tcPr>
          <w:p w14:paraId="592179DC" w14:textId="3F7102E7" w:rsidR="00C044CC" w:rsidRPr="00930C7A" w:rsidRDefault="00C044CC" w:rsidP="00DD4976">
            <w:pPr>
              <w:pStyle w:val="ExhibitText"/>
              <w:jc w:val="left"/>
              <w:rPr>
                <w:rFonts w:eastAsia="SimSun"/>
                <w:sz w:val="18"/>
                <w:szCs w:val="18"/>
                <w:lang w:eastAsia="zh-CN"/>
              </w:rPr>
            </w:pPr>
            <w:r w:rsidRPr="00930C7A">
              <w:rPr>
                <w:rFonts w:eastAsia="SimSun"/>
                <w:sz w:val="18"/>
                <w:szCs w:val="18"/>
                <w:lang w:eastAsia="zh-CN"/>
              </w:rPr>
              <w:t xml:space="preserve">Internal </w:t>
            </w:r>
            <w:r w:rsidR="0090314E">
              <w:rPr>
                <w:rFonts w:eastAsia="SimSun"/>
                <w:sz w:val="18"/>
                <w:szCs w:val="18"/>
                <w:lang w:eastAsia="zh-CN"/>
              </w:rPr>
              <w:t>Layout</w:t>
            </w:r>
          </w:p>
        </w:tc>
        <w:tc>
          <w:tcPr>
            <w:tcW w:w="1856" w:type="pct"/>
            <w:vAlign w:val="center"/>
          </w:tcPr>
          <w:p w14:paraId="744CE2B5" w14:textId="1F364B1A" w:rsidR="00C044CC" w:rsidRPr="00930C7A" w:rsidRDefault="00C044CC" w:rsidP="00C044CC">
            <w:pPr>
              <w:pStyle w:val="ExhibitText"/>
              <w:jc w:val="left"/>
              <w:rPr>
                <w:rFonts w:eastAsia="SimSun"/>
                <w:sz w:val="18"/>
                <w:szCs w:val="18"/>
                <w:lang w:eastAsia="zh-CN"/>
              </w:rPr>
            </w:pPr>
            <w:r w:rsidRPr="00930C7A">
              <w:rPr>
                <w:rFonts w:eastAsia="SimSun"/>
                <w:sz w:val="18"/>
                <w:szCs w:val="18"/>
                <w:lang w:eastAsia="zh-CN"/>
              </w:rPr>
              <w:t>Many shared or common areas</w:t>
            </w:r>
            <w:r w:rsidR="00880B13">
              <w:rPr>
                <w:rFonts w:eastAsia="SimSun"/>
                <w:sz w:val="18"/>
                <w:szCs w:val="18"/>
                <w:lang w:eastAsia="zh-CN"/>
              </w:rPr>
              <w:t>.</w:t>
            </w:r>
          </w:p>
        </w:tc>
        <w:tc>
          <w:tcPr>
            <w:tcW w:w="1903" w:type="pct"/>
            <w:vAlign w:val="center"/>
          </w:tcPr>
          <w:p w14:paraId="44A22846" w14:textId="0EE10366" w:rsidR="00C044CC" w:rsidRPr="00930C7A" w:rsidRDefault="00C044CC" w:rsidP="00C044CC">
            <w:pPr>
              <w:pStyle w:val="ExhibitText"/>
              <w:jc w:val="left"/>
              <w:rPr>
                <w:rFonts w:eastAsia="SimSun"/>
                <w:sz w:val="18"/>
                <w:szCs w:val="18"/>
                <w:lang w:eastAsia="zh-CN"/>
              </w:rPr>
            </w:pPr>
            <w:r w:rsidRPr="00930C7A">
              <w:rPr>
                <w:rFonts w:eastAsia="SimSun"/>
                <w:sz w:val="18"/>
                <w:szCs w:val="18"/>
                <w:lang w:eastAsia="zh-CN"/>
              </w:rPr>
              <w:t>Few shared or common areas</w:t>
            </w:r>
            <w:r w:rsidR="00A74976">
              <w:rPr>
                <w:rFonts w:eastAsia="SimSun"/>
                <w:sz w:val="18"/>
                <w:szCs w:val="18"/>
                <w:lang w:eastAsia="zh-CN"/>
              </w:rPr>
              <w:t>.</w:t>
            </w:r>
          </w:p>
        </w:tc>
      </w:tr>
      <w:tr w:rsidR="00C044CC" w:rsidRPr="00930C7A" w14:paraId="6BFCB245" w14:textId="77777777" w:rsidTr="004258D6">
        <w:trPr>
          <w:trHeight w:val="839"/>
          <w:tblHeader/>
        </w:trPr>
        <w:tc>
          <w:tcPr>
            <w:tcW w:w="1241" w:type="pct"/>
            <w:vAlign w:val="center"/>
          </w:tcPr>
          <w:p w14:paraId="5BE230E9" w14:textId="6D89398C" w:rsidR="00C044CC" w:rsidRPr="00930C7A" w:rsidRDefault="00C044CC" w:rsidP="00DD4976">
            <w:pPr>
              <w:pStyle w:val="ExhibitText"/>
              <w:jc w:val="left"/>
              <w:rPr>
                <w:rFonts w:eastAsia="SimSun"/>
                <w:sz w:val="18"/>
                <w:szCs w:val="18"/>
                <w:lang w:eastAsia="zh-CN"/>
              </w:rPr>
            </w:pPr>
            <w:r w:rsidRPr="00930C7A">
              <w:rPr>
                <w:rFonts w:eastAsia="SimSun"/>
                <w:sz w:val="18"/>
                <w:szCs w:val="18"/>
                <w:lang w:eastAsia="zh-CN"/>
              </w:rPr>
              <w:t xml:space="preserve">Relevant </w:t>
            </w:r>
            <w:r w:rsidR="0090314E">
              <w:rPr>
                <w:rFonts w:eastAsia="SimSun"/>
                <w:sz w:val="18"/>
                <w:szCs w:val="18"/>
                <w:lang w:eastAsia="zh-CN"/>
              </w:rPr>
              <w:t>Activities</w:t>
            </w:r>
          </w:p>
        </w:tc>
        <w:tc>
          <w:tcPr>
            <w:tcW w:w="1856" w:type="pct"/>
            <w:vAlign w:val="center"/>
          </w:tcPr>
          <w:p w14:paraId="0F7B3F6D" w14:textId="56A1DCF9" w:rsidR="00C044CC" w:rsidRPr="00930C7A" w:rsidRDefault="005D61E1" w:rsidP="00E97E70">
            <w:pPr>
              <w:pStyle w:val="ExhibitText"/>
              <w:jc w:val="left"/>
              <w:rPr>
                <w:rFonts w:eastAsia="SimSun"/>
                <w:sz w:val="18"/>
                <w:szCs w:val="18"/>
                <w:lang w:eastAsia="zh-CN"/>
              </w:rPr>
            </w:pPr>
            <w:r w:rsidRPr="00930C7A">
              <w:rPr>
                <w:rFonts w:eastAsia="SimSun"/>
                <w:sz w:val="18"/>
                <w:szCs w:val="18"/>
                <w:lang w:eastAsia="zh-CN"/>
              </w:rPr>
              <w:t>E</w:t>
            </w:r>
            <w:r w:rsidR="00C044CC" w:rsidRPr="00930C7A">
              <w:rPr>
                <w:rFonts w:eastAsia="SimSun"/>
                <w:sz w:val="18"/>
                <w:szCs w:val="18"/>
                <w:lang w:eastAsia="zh-CN"/>
              </w:rPr>
              <w:t>nterprise</w:t>
            </w:r>
            <w:r w:rsidRPr="00930C7A">
              <w:rPr>
                <w:rFonts w:eastAsia="SimSun"/>
                <w:sz w:val="18"/>
                <w:szCs w:val="18"/>
                <w:lang w:eastAsia="zh-CN"/>
              </w:rPr>
              <w:t xml:space="preserve"> tenants</w:t>
            </w:r>
            <w:r w:rsidR="00C044CC" w:rsidRPr="00930C7A">
              <w:rPr>
                <w:rFonts w:eastAsia="SimSun"/>
                <w:sz w:val="18"/>
                <w:szCs w:val="18"/>
                <w:lang w:eastAsia="zh-CN"/>
              </w:rPr>
              <w:t xml:space="preserve"> </w:t>
            </w:r>
            <w:r w:rsidR="005D078C">
              <w:rPr>
                <w:rFonts w:eastAsia="SimSun"/>
                <w:sz w:val="18"/>
                <w:szCs w:val="18"/>
                <w:lang w:eastAsia="zh-CN"/>
              </w:rPr>
              <w:t>as well as</w:t>
            </w:r>
            <w:r w:rsidR="005D078C" w:rsidRPr="00930C7A">
              <w:rPr>
                <w:rFonts w:eastAsia="SimSun"/>
                <w:sz w:val="18"/>
                <w:szCs w:val="18"/>
                <w:lang w:eastAsia="zh-CN"/>
              </w:rPr>
              <w:t xml:space="preserve"> </w:t>
            </w:r>
            <w:r w:rsidR="00C044CC" w:rsidRPr="00930C7A">
              <w:rPr>
                <w:rFonts w:eastAsia="SimSun"/>
                <w:sz w:val="18"/>
                <w:szCs w:val="18"/>
                <w:lang w:eastAsia="zh-CN"/>
              </w:rPr>
              <w:t>individuals from different backgrounds</w:t>
            </w:r>
            <w:r w:rsidR="00880B13">
              <w:rPr>
                <w:rFonts w:eastAsia="SimSun"/>
                <w:sz w:val="18"/>
                <w:szCs w:val="18"/>
                <w:lang w:eastAsia="zh-CN"/>
              </w:rPr>
              <w:t xml:space="preserve"> and </w:t>
            </w:r>
            <w:r w:rsidR="00C044CC" w:rsidRPr="00930C7A">
              <w:rPr>
                <w:rFonts w:eastAsia="SimSun"/>
                <w:sz w:val="18"/>
                <w:szCs w:val="18"/>
                <w:lang w:eastAsia="zh-CN"/>
              </w:rPr>
              <w:t>fields both participate in the activities</w:t>
            </w:r>
            <w:r w:rsidR="00397984">
              <w:rPr>
                <w:rFonts w:eastAsia="SimSun"/>
                <w:sz w:val="18"/>
                <w:szCs w:val="18"/>
                <w:lang w:eastAsia="zh-CN"/>
              </w:rPr>
              <w:t>.</w:t>
            </w:r>
            <w:r w:rsidR="00C044CC" w:rsidRPr="00930C7A">
              <w:rPr>
                <w:rFonts w:eastAsia="SimSun"/>
                <w:sz w:val="18"/>
                <w:szCs w:val="18"/>
                <w:lang w:eastAsia="zh-CN"/>
              </w:rPr>
              <w:t xml:space="preserve"> </w:t>
            </w:r>
          </w:p>
        </w:tc>
        <w:tc>
          <w:tcPr>
            <w:tcW w:w="1903" w:type="pct"/>
            <w:vAlign w:val="center"/>
          </w:tcPr>
          <w:p w14:paraId="063CF7D7" w14:textId="694C2104" w:rsidR="00C044CC" w:rsidRPr="00930C7A" w:rsidRDefault="00C044CC" w:rsidP="00C044CC">
            <w:pPr>
              <w:pStyle w:val="ExhibitText"/>
              <w:jc w:val="left"/>
              <w:rPr>
                <w:rFonts w:eastAsia="SimSun"/>
                <w:sz w:val="18"/>
                <w:szCs w:val="18"/>
                <w:lang w:eastAsia="zh-CN"/>
              </w:rPr>
            </w:pPr>
            <w:r w:rsidRPr="00930C7A">
              <w:rPr>
                <w:rFonts w:eastAsia="SimSun"/>
                <w:sz w:val="18"/>
                <w:szCs w:val="18"/>
                <w:lang w:eastAsia="zh-CN"/>
              </w:rPr>
              <w:t>Generally limited to activities within a single tenant enterprise</w:t>
            </w:r>
            <w:r w:rsidR="00A74976">
              <w:rPr>
                <w:rFonts w:eastAsia="SimSun"/>
                <w:sz w:val="18"/>
                <w:szCs w:val="18"/>
                <w:lang w:eastAsia="zh-CN"/>
              </w:rPr>
              <w:t>.</w:t>
            </w:r>
          </w:p>
        </w:tc>
      </w:tr>
      <w:tr w:rsidR="00C044CC" w:rsidRPr="00930C7A" w14:paraId="6C4E52AF" w14:textId="77777777" w:rsidTr="004258D6">
        <w:trPr>
          <w:trHeight w:val="567"/>
          <w:tblHeader/>
        </w:trPr>
        <w:tc>
          <w:tcPr>
            <w:tcW w:w="1241" w:type="pct"/>
            <w:vAlign w:val="center"/>
          </w:tcPr>
          <w:p w14:paraId="584FDFA0" w14:textId="1AA71939" w:rsidR="00C044CC" w:rsidRPr="00930C7A" w:rsidRDefault="00C044CC" w:rsidP="00DD4976">
            <w:pPr>
              <w:pStyle w:val="ExhibitText"/>
              <w:jc w:val="left"/>
              <w:rPr>
                <w:rFonts w:eastAsia="SimSun"/>
                <w:sz w:val="18"/>
                <w:szCs w:val="18"/>
                <w:lang w:eastAsia="zh-CN"/>
              </w:rPr>
            </w:pPr>
            <w:r w:rsidRPr="00930C7A">
              <w:rPr>
                <w:rFonts w:eastAsia="SimSun"/>
                <w:sz w:val="18"/>
                <w:szCs w:val="18"/>
                <w:lang w:eastAsia="zh-CN"/>
              </w:rPr>
              <w:t xml:space="preserve">Office </w:t>
            </w:r>
            <w:r w:rsidR="0090314E">
              <w:rPr>
                <w:rFonts w:eastAsia="SimSun"/>
                <w:sz w:val="18"/>
                <w:szCs w:val="18"/>
                <w:lang w:eastAsia="zh-CN"/>
              </w:rPr>
              <w:t>Atmosphere</w:t>
            </w:r>
          </w:p>
        </w:tc>
        <w:tc>
          <w:tcPr>
            <w:tcW w:w="1856" w:type="pct"/>
            <w:vAlign w:val="center"/>
          </w:tcPr>
          <w:p w14:paraId="0B42DFF5" w14:textId="6EBA5C77" w:rsidR="00C044CC" w:rsidRPr="00930C7A" w:rsidRDefault="00C044CC" w:rsidP="00C044CC">
            <w:pPr>
              <w:pStyle w:val="ExhibitText"/>
              <w:jc w:val="left"/>
              <w:rPr>
                <w:rFonts w:eastAsia="SimSun"/>
                <w:sz w:val="18"/>
                <w:szCs w:val="18"/>
                <w:lang w:eastAsia="zh-CN"/>
              </w:rPr>
            </w:pPr>
            <w:r w:rsidRPr="00930C7A">
              <w:rPr>
                <w:rFonts w:eastAsia="SimSun"/>
                <w:sz w:val="18"/>
                <w:szCs w:val="18"/>
                <w:lang w:eastAsia="zh-CN"/>
              </w:rPr>
              <w:t>Open, collaborative, and dynamic, with community characteristics</w:t>
            </w:r>
            <w:r w:rsidR="00A74976">
              <w:rPr>
                <w:rFonts w:eastAsia="SimSun"/>
                <w:sz w:val="18"/>
                <w:szCs w:val="18"/>
                <w:lang w:eastAsia="zh-CN"/>
              </w:rPr>
              <w:t>.</w:t>
            </w:r>
          </w:p>
        </w:tc>
        <w:tc>
          <w:tcPr>
            <w:tcW w:w="1903" w:type="pct"/>
            <w:vAlign w:val="center"/>
          </w:tcPr>
          <w:p w14:paraId="1F9683E3" w14:textId="289B82CD" w:rsidR="00C044CC" w:rsidRPr="00930C7A" w:rsidRDefault="00C044CC" w:rsidP="00C044CC">
            <w:pPr>
              <w:pStyle w:val="ExhibitText"/>
              <w:jc w:val="left"/>
              <w:rPr>
                <w:rFonts w:eastAsia="SimSun"/>
                <w:sz w:val="18"/>
                <w:szCs w:val="18"/>
                <w:lang w:eastAsia="zh-CN"/>
              </w:rPr>
            </w:pPr>
            <w:r w:rsidRPr="00930C7A">
              <w:rPr>
                <w:rFonts w:eastAsia="SimSun"/>
                <w:sz w:val="18"/>
                <w:szCs w:val="18"/>
                <w:lang w:eastAsia="zh-CN"/>
              </w:rPr>
              <w:t>Private, quiet, and serious; there is basically no community atmosphere</w:t>
            </w:r>
            <w:r w:rsidR="00A74976">
              <w:rPr>
                <w:rFonts w:eastAsia="SimSun"/>
                <w:sz w:val="18"/>
                <w:szCs w:val="18"/>
                <w:lang w:eastAsia="zh-CN"/>
              </w:rPr>
              <w:t>.</w:t>
            </w:r>
          </w:p>
        </w:tc>
      </w:tr>
    </w:tbl>
    <w:p w14:paraId="13C6FEC2" w14:textId="77777777" w:rsidR="00C044CC" w:rsidRPr="00930C7A" w:rsidRDefault="00C044CC" w:rsidP="00C044CC">
      <w:pPr>
        <w:pStyle w:val="ExhibitText"/>
        <w:jc w:val="left"/>
        <w:rPr>
          <w:rFonts w:eastAsia="SimSun"/>
          <w:lang w:eastAsia="zh-CN"/>
        </w:rPr>
      </w:pPr>
    </w:p>
    <w:p w14:paraId="36F54AEC" w14:textId="09A839FE" w:rsidR="00536985" w:rsidRPr="00536985" w:rsidRDefault="00C044CC" w:rsidP="00C044CC">
      <w:pPr>
        <w:pStyle w:val="Footnote"/>
        <w:rPr>
          <w:rFonts w:eastAsia="SimSun"/>
          <w:lang w:eastAsia="zh-CN"/>
        </w:rPr>
      </w:pPr>
      <w:r w:rsidRPr="00930C7A">
        <w:rPr>
          <w:rFonts w:eastAsia="SimSun"/>
          <w:lang w:eastAsia="zh-CN"/>
        </w:rPr>
        <w:t xml:space="preserve">Source: Created by the case authors with information from </w:t>
      </w:r>
      <w:r w:rsidRPr="00930C7A">
        <w:rPr>
          <w:rFonts w:eastAsia="DengXian"/>
          <w:lang w:eastAsia="zh-CN"/>
        </w:rPr>
        <w:t>“2018 China’s Co-working Space Industry Monitoring Report</w:t>
      </w:r>
      <w:r w:rsidR="00425354">
        <w:rPr>
          <w:rFonts w:eastAsia="DengXian"/>
          <w:lang w:eastAsia="zh-CN"/>
        </w:rPr>
        <w:t>”</w:t>
      </w:r>
      <w:r w:rsidRPr="00930C7A">
        <w:rPr>
          <w:rFonts w:eastAsia="DengXian"/>
          <w:lang w:eastAsia="zh-CN"/>
        </w:rPr>
        <w:t xml:space="preserve"> [in Chinese], </w:t>
      </w:r>
      <w:proofErr w:type="spellStart"/>
      <w:r w:rsidRPr="00930C7A">
        <w:rPr>
          <w:rFonts w:eastAsia="DengXian"/>
          <w:lang w:eastAsia="zh-CN"/>
        </w:rPr>
        <w:t>iiMedia</w:t>
      </w:r>
      <w:proofErr w:type="spellEnd"/>
      <w:r w:rsidRPr="00930C7A">
        <w:rPr>
          <w:rFonts w:eastAsia="DengXian"/>
          <w:lang w:eastAsia="zh-CN"/>
        </w:rPr>
        <w:t xml:space="preserve"> Research, August 6, 2018, accessed August 10, 2020, https://www.iimedia.cn/c400/62056.html; </w:t>
      </w:r>
      <w:r w:rsidRPr="00930C7A">
        <w:t xml:space="preserve">Ucommune Group Holdings Limited, </w:t>
      </w:r>
      <w:r w:rsidRPr="00930C7A">
        <w:rPr>
          <w:i/>
          <w:iCs/>
        </w:rPr>
        <w:t>Form F-1: Registration Statement</w:t>
      </w:r>
      <w:r w:rsidRPr="00930C7A">
        <w:t xml:space="preserve">, </w:t>
      </w:r>
      <w:r w:rsidR="00536985" w:rsidRPr="00536985">
        <w:t xml:space="preserve">December </w:t>
      </w:r>
      <w:r w:rsidRPr="00930C7A">
        <w:t xml:space="preserve">11, 2019, accessed May 14, 2020, https://www.sec.gov/Archives/edgar/data/1785841/000104746919006800/a2240122zf-1.htm; </w:t>
      </w:r>
      <w:r w:rsidRPr="00930C7A">
        <w:rPr>
          <w:rFonts w:eastAsia="DengXian"/>
          <w:lang w:eastAsia="zh-CN"/>
        </w:rPr>
        <w:t>“The Difference between Co-working Office Buildings and Traditional Office Buildings</w:t>
      </w:r>
      <w:r w:rsidR="00425354">
        <w:rPr>
          <w:rFonts w:eastAsia="DengXian"/>
          <w:lang w:eastAsia="zh-CN"/>
        </w:rPr>
        <w:t>”</w:t>
      </w:r>
      <w:r w:rsidRPr="00930C7A">
        <w:rPr>
          <w:rFonts w:eastAsia="DengXian"/>
          <w:lang w:eastAsia="zh-CN"/>
        </w:rPr>
        <w:t xml:space="preserve"> [in Chinese], </w:t>
      </w:r>
      <w:proofErr w:type="spellStart"/>
      <w:r w:rsidRPr="00930C7A">
        <w:rPr>
          <w:rFonts w:eastAsia="DengXian"/>
          <w:lang w:eastAsia="zh-CN"/>
        </w:rPr>
        <w:t>Kuaibangong</w:t>
      </w:r>
      <w:proofErr w:type="spellEnd"/>
      <w:r w:rsidRPr="00930C7A">
        <w:rPr>
          <w:rFonts w:eastAsia="DengXian"/>
          <w:lang w:eastAsia="zh-CN"/>
        </w:rPr>
        <w:t xml:space="preserve">, June 7, 2019, accessed June 10, 2020, </w:t>
      </w:r>
      <w:r w:rsidR="007A53CB" w:rsidRPr="007A53CB">
        <w:rPr>
          <w:rFonts w:eastAsia="SimSun"/>
          <w:lang w:eastAsia="zh-CN"/>
        </w:rPr>
        <w:t>https://www.kbgok.com/news/1327</w:t>
      </w:r>
      <w:r w:rsidR="00630A37">
        <w:t>.</w:t>
      </w:r>
    </w:p>
    <w:p w14:paraId="22EBB873" w14:textId="77777777" w:rsidR="00D215C6" w:rsidRPr="00930C7A" w:rsidRDefault="00D215C6" w:rsidP="001A6066">
      <w:pPr>
        <w:pStyle w:val="Footnote"/>
        <w:jc w:val="left"/>
        <w:rPr>
          <w:rFonts w:eastAsia="SimSun"/>
          <w:b/>
          <w:caps/>
          <w:lang w:eastAsia="zh-CN"/>
        </w:rPr>
      </w:pPr>
      <w:r w:rsidRPr="00930C7A">
        <w:rPr>
          <w:rFonts w:eastAsia="SimSun"/>
          <w:lang w:eastAsia="zh-CN"/>
        </w:rPr>
        <w:br w:type="page"/>
      </w:r>
    </w:p>
    <w:p w14:paraId="480FC8E7" w14:textId="77777777" w:rsidR="00C044CC" w:rsidRPr="00930C7A" w:rsidRDefault="00C044CC" w:rsidP="00C044CC">
      <w:pPr>
        <w:pStyle w:val="ExhibitHeading"/>
        <w:rPr>
          <w:rFonts w:eastAsia="SimSun"/>
          <w:lang w:eastAsia="zh-CN"/>
        </w:rPr>
      </w:pPr>
      <w:r w:rsidRPr="00930C7A">
        <w:rPr>
          <w:rFonts w:eastAsia="SimSun"/>
          <w:lang w:eastAsia="zh-CN"/>
        </w:rPr>
        <w:lastRenderedPageBreak/>
        <w:t>EXHIBIT 2: Ucommune’S Office space operation model</w:t>
      </w:r>
    </w:p>
    <w:p w14:paraId="209B1771" w14:textId="77777777" w:rsidR="00C044CC" w:rsidRPr="00930C7A" w:rsidRDefault="00C044CC" w:rsidP="00C044CC">
      <w:pPr>
        <w:pStyle w:val="ExhibitText"/>
        <w:rPr>
          <w:rFonts w:eastAsia="SimSun"/>
          <w:lang w:eastAsia="zh-CN"/>
        </w:rPr>
      </w:pPr>
    </w:p>
    <w:tbl>
      <w:tblPr>
        <w:tblStyle w:val="TableGrid"/>
        <w:tblW w:w="5000" w:type="pct"/>
        <w:tblLook w:val="04A0" w:firstRow="1" w:lastRow="0" w:firstColumn="1" w:lastColumn="0" w:noHBand="0" w:noVBand="1"/>
        <w:tblCaption w:val="EXHIBIT 2"/>
        <w:tblDescription w:val="UCOMMUNE’S OFFICE SPACE OPERATION MODEL"/>
      </w:tblPr>
      <w:tblGrid>
        <w:gridCol w:w="1556"/>
        <w:gridCol w:w="1416"/>
        <w:gridCol w:w="4054"/>
        <w:gridCol w:w="2324"/>
      </w:tblGrid>
      <w:tr w:rsidR="00C044CC" w:rsidRPr="00930C7A" w14:paraId="252A1CEB" w14:textId="77777777" w:rsidTr="003051F5">
        <w:trPr>
          <w:tblHeader/>
        </w:trPr>
        <w:tc>
          <w:tcPr>
            <w:tcW w:w="832" w:type="pct"/>
            <w:vAlign w:val="center"/>
          </w:tcPr>
          <w:p w14:paraId="78DF1580" w14:textId="77B45E32" w:rsidR="00C044CC" w:rsidRPr="00DD4976" w:rsidRDefault="00C044CC" w:rsidP="00DD4976">
            <w:pPr>
              <w:rPr>
                <w:rFonts w:ascii="Arial" w:eastAsia="SimSun" w:hAnsi="Arial" w:cs="Arial"/>
                <w:b/>
                <w:bCs/>
                <w:sz w:val="18"/>
                <w:szCs w:val="18"/>
              </w:rPr>
            </w:pPr>
            <w:r w:rsidRPr="00DD4976">
              <w:rPr>
                <w:rFonts w:ascii="Arial" w:eastAsia="SimSun" w:hAnsi="Arial" w:cs="Arial"/>
                <w:b/>
                <w:bCs/>
                <w:sz w:val="18"/>
                <w:szCs w:val="18"/>
              </w:rPr>
              <w:t xml:space="preserve">Overall </w:t>
            </w:r>
            <w:r w:rsidR="0090314E" w:rsidRPr="00DD4976">
              <w:rPr>
                <w:rFonts w:ascii="Arial" w:eastAsia="SimSun" w:hAnsi="Arial" w:cs="Arial"/>
                <w:b/>
                <w:bCs/>
                <w:sz w:val="18"/>
                <w:szCs w:val="18"/>
              </w:rPr>
              <w:t>Model of Office Space Business</w:t>
            </w:r>
          </w:p>
        </w:tc>
        <w:tc>
          <w:tcPr>
            <w:tcW w:w="757" w:type="pct"/>
            <w:vAlign w:val="center"/>
          </w:tcPr>
          <w:p w14:paraId="2148CC55" w14:textId="40C963FD" w:rsidR="00C044CC" w:rsidRPr="00DD4976" w:rsidRDefault="0090314E" w:rsidP="00C044CC">
            <w:pPr>
              <w:jc w:val="center"/>
              <w:rPr>
                <w:rFonts w:ascii="Arial" w:eastAsia="SimSun" w:hAnsi="Arial" w:cs="Arial"/>
                <w:b/>
                <w:bCs/>
                <w:sz w:val="18"/>
                <w:szCs w:val="18"/>
              </w:rPr>
            </w:pPr>
            <w:r w:rsidRPr="00DD4976">
              <w:rPr>
                <w:rFonts w:ascii="Arial" w:hAnsi="Arial" w:cs="Arial"/>
                <w:b/>
                <w:bCs/>
                <w:sz w:val="18"/>
                <w:szCs w:val="18"/>
              </w:rPr>
              <w:t>Specific Categories of Co-working Spaces</w:t>
            </w:r>
          </w:p>
        </w:tc>
        <w:tc>
          <w:tcPr>
            <w:tcW w:w="2168" w:type="pct"/>
            <w:vAlign w:val="center"/>
          </w:tcPr>
          <w:p w14:paraId="5248A7DD" w14:textId="6D31D540" w:rsidR="00C044CC" w:rsidRPr="00930C7A" w:rsidRDefault="0090314E" w:rsidP="00C044CC">
            <w:pPr>
              <w:jc w:val="center"/>
              <w:rPr>
                <w:rFonts w:ascii="Arial" w:eastAsia="SimSun" w:hAnsi="Arial" w:cs="Arial"/>
                <w:sz w:val="18"/>
                <w:szCs w:val="18"/>
              </w:rPr>
            </w:pPr>
            <w:r w:rsidRPr="00DD4976">
              <w:rPr>
                <w:rFonts w:ascii="Arial" w:eastAsia="SimSun" w:hAnsi="Arial" w:cs="Arial"/>
                <w:b/>
                <w:bCs/>
                <w:sz w:val="18"/>
                <w:szCs w:val="18"/>
              </w:rPr>
              <w:t>Detailed Characteristics of Co-working Space Categories</w:t>
            </w:r>
          </w:p>
        </w:tc>
        <w:tc>
          <w:tcPr>
            <w:tcW w:w="1243" w:type="pct"/>
            <w:vAlign w:val="center"/>
          </w:tcPr>
          <w:p w14:paraId="485CA4C6" w14:textId="2BCEFA8D" w:rsidR="00C044CC" w:rsidRPr="00DD4976" w:rsidRDefault="00C044CC" w:rsidP="00C044CC">
            <w:pPr>
              <w:jc w:val="center"/>
              <w:rPr>
                <w:rFonts w:ascii="Arial" w:eastAsia="SimSun" w:hAnsi="Arial" w:cs="Arial"/>
                <w:b/>
                <w:bCs/>
                <w:sz w:val="18"/>
                <w:szCs w:val="18"/>
              </w:rPr>
            </w:pPr>
            <w:r w:rsidRPr="00DD4976">
              <w:rPr>
                <w:rFonts w:ascii="Arial" w:eastAsia="SimSun" w:hAnsi="Arial" w:cs="Arial"/>
                <w:b/>
                <w:bCs/>
                <w:sz w:val="18"/>
                <w:szCs w:val="18"/>
              </w:rPr>
              <w:t xml:space="preserve">Revenue </w:t>
            </w:r>
            <w:r w:rsidR="0090314E" w:rsidRPr="00DD4976">
              <w:rPr>
                <w:rFonts w:ascii="Arial" w:eastAsia="SimSun" w:hAnsi="Arial" w:cs="Arial"/>
                <w:b/>
                <w:bCs/>
                <w:sz w:val="18"/>
                <w:szCs w:val="18"/>
              </w:rPr>
              <w:t>Pattern</w:t>
            </w:r>
          </w:p>
        </w:tc>
      </w:tr>
      <w:tr w:rsidR="00C044CC" w:rsidRPr="00930C7A" w14:paraId="19EF7688" w14:textId="77777777" w:rsidTr="003051F5">
        <w:trPr>
          <w:trHeight w:val="1106"/>
          <w:tblHeader/>
        </w:trPr>
        <w:tc>
          <w:tcPr>
            <w:tcW w:w="832" w:type="pct"/>
            <w:vMerge w:val="restart"/>
            <w:vAlign w:val="center"/>
          </w:tcPr>
          <w:p w14:paraId="5BA426CE" w14:textId="3E6EC844" w:rsidR="00C044CC" w:rsidRPr="00930C7A" w:rsidRDefault="00C044CC" w:rsidP="00DD4976">
            <w:pPr>
              <w:rPr>
                <w:rFonts w:ascii="Arial" w:eastAsia="SimSun" w:hAnsi="Arial" w:cs="Arial"/>
                <w:sz w:val="18"/>
                <w:szCs w:val="18"/>
              </w:rPr>
            </w:pPr>
            <w:r w:rsidRPr="00930C7A">
              <w:rPr>
                <w:rFonts w:ascii="Arial" w:eastAsia="SimSun" w:hAnsi="Arial" w:cs="Arial"/>
                <w:sz w:val="18"/>
                <w:szCs w:val="18"/>
              </w:rPr>
              <w:t>Self-</w:t>
            </w:r>
            <w:r w:rsidR="00413A63">
              <w:rPr>
                <w:rFonts w:ascii="Arial" w:eastAsia="SimSun" w:hAnsi="Arial" w:cs="Arial"/>
                <w:sz w:val="18"/>
                <w:szCs w:val="18"/>
              </w:rPr>
              <w:t>Operated Model</w:t>
            </w:r>
          </w:p>
        </w:tc>
        <w:tc>
          <w:tcPr>
            <w:tcW w:w="757" w:type="pct"/>
            <w:vAlign w:val="center"/>
          </w:tcPr>
          <w:p w14:paraId="437198F5" w14:textId="77777777" w:rsidR="00C044CC" w:rsidRPr="00930C7A" w:rsidRDefault="00C044CC" w:rsidP="00C044CC">
            <w:pPr>
              <w:jc w:val="center"/>
              <w:rPr>
                <w:rFonts w:ascii="Arial" w:eastAsia="SimSun" w:hAnsi="Arial" w:cs="Arial"/>
                <w:sz w:val="18"/>
                <w:szCs w:val="18"/>
              </w:rPr>
            </w:pPr>
            <w:r w:rsidRPr="00930C7A">
              <w:rPr>
                <w:rFonts w:ascii="Arial" w:eastAsia="SimSun" w:hAnsi="Arial" w:cs="Arial"/>
                <w:sz w:val="18"/>
                <w:szCs w:val="18"/>
              </w:rPr>
              <w:t>U Space</w:t>
            </w:r>
          </w:p>
        </w:tc>
        <w:tc>
          <w:tcPr>
            <w:tcW w:w="2168" w:type="pct"/>
            <w:vAlign w:val="center"/>
          </w:tcPr>
          <w:p w14:paraId="7805CCF6" w14:textId="0FA7AFF0" w:rsidR="00C044CC" w:rsidRPr="00930C7A" w:rsidRDefault="00C044CC" w:rsidP="00E97E70">
            <w:pPr>
              <w:rPr>
                <w:rFonts w:ascii="Arial" w:eastAsia="SimSun" w:hAnsi="Arial" w:cs="Arial"/>
                <w:sz w:val="18"/>
                <w:szCs w:val="18"/>
              </w:rPr>
            </w:pPr>
            <w:r w:rsidRPr="00930C7A">
              <w:rPr>
                <w:rFonts w:ascii="Arial" w:eastAsia="SimSun" w:hAnsi="Arial" w:cs="Arial"/>
                <w:sz w:val="18"/>
                <w:szCs w:val="18"/>
              </w:rPr>
              <w:t xml:space="preserve">Ucommune enters into long-term leases </w:t>
            </w:r>
            <w:r w:rsidR="00505424">
              <w:rPr>
                <w:rFonts w:ascii="Arial" w:eastAsia="SimSun" w:hAnsi="Arial" w:cs="Arial"/>
                <w:sz w:val="18"/>
                <w:szCs w:val="18"/>
              </w:rPr>
              <w:t xml:space="preserve">with landlords </w:t>
            </w:r>
            <w:r w:rsidRPr="00930C7A">
              <w:rPr>
                <w:rFonts w:ascii="Arial" w:eastAsia="SimSun" w:hAnsi="Arial" w:cs="Arial"/>
                <w:sz w:val="18"/>
                <w:szCs w:val="18"/>
              </w:rPr>
              <w:t xml:space="preserve">for spaces with an area generally over 200 </w:t>
            </w:r>
            <w:r w:rsidR="003C57B2" w:rsidRPr="00930C7A">
              <w:rPr>
                <w:rFonts w:ascii="Arial" w:eastAsia="SimSun" w:hAnsi="Arial" w:cs="Arial"/>
                <w:sz w:val="18"/>
                <w:szCs w:val="18"/>
              </w:rPr>
              <w:t>square metres</w:t>
            </w:r>
            <w:r w:rsidRPr="00930C7A">
              <w:rPr>
                <w:rFonts w:ascii="Arial" w:eastAsia="SimSun" w:hAnsi="Arial" w:cs="Arial"/>
                <w:sz w:val="18"/>
                <w:szCs w:val="18"/>
              </w:rPr>
              <w:t>, designs and builds the spaces, and then directly leases the space</w:t>
            </w:r>
            <w:r w:rsidR="001E6799" w:rsidRPr="00930C7A">
              <w:rPr>
                <w:rFonts w:ascii="Arial" w:eastAsia="SimSun" w:hAnsi="Arial" w:cs="Arial"/>
                <w:sz w:val="18"/>
                <w:szCs w:val="18"/>
              </w:rPr>
              <w:t>s</w:t>
            </w:r>
            <w:r w:rsidRPr="00930C7A">
              <w:rPr>
                <w:rFonts w:ascii="Arial" w:eastAsia="SimSun" w:hAnsi="Arial" w:cs="Arial"/>
                <w:sz w:val="18"/>
                <w:szCs w:val="18"/>
              </w:rPr>
              <w:t xml:space="preserve"> and workstations to its members</w:t>
            </w:r>
            <w:r w:rsidR="001245A7">
              <w:rPr>
                <w:rFonts w:ascii="Arial" w:eastAsia="SimSun" w:hAnsi="Arial" w:cs="Arial"/>
                <w:sz w:val="18"/>
                <w:szCs w:val="18"/>
              </w:rPr>
              <w:t>.</w:t>
            </w:r>
          </w:p>
        </w:tc>
        <w:tc>
          <w:tcPr>
            <w:tcW w:w="1243" w:type="pct"/>
            <w:vAlign w:val="center"/>
          </w:tcPr>
          <w:p w14:paraId="1194F108" w14:textId="1738242D" w:rsidR="00C044CC" w:rsidRPr="00930C7A" w:rsidRDefault="00C044CC" w:rsidP="00C044CC">
            <w:pPr>
              <w:rPr>
                <w:rFonts w:ascii="Arial" w:eastAsia="SimSun" w:hAnsi="Arial" w:cs="Arial"/>
                <w:sz w:val="18"/>
                <w:szCs w:val="18"/>
              </w:rPr>
            </w:pPr>
            <w:r w:rsidRPr="00930C7A">
              <w:rPr>
                <w:rFonts w:ascii="Arial" w:eastAsia="SimSun" w:hAnsi="Arial" w:cs="Arial"/>
                <w:sz w:val="18"/>
                <w:szCs w:val="18"/>
              </w:rPr>
              <w:t>Deriving revenue principally from directly leasing spaces to members and charging membership fees</w:t>
            </w:r>
            <w:r w:rsidR="00E36644">
              <w:rPr>
                <w:rFonts w:ascii="Arial" w:eastAsia="SimSun" w:hAnsi="Arial" w:cs="Arial"/>
                <w:sz w:val="18"/>
                <w:szCs w:val="18"/>
              </w:rPr>
              <w:t>.</w:t>
            </w:r>
          </w:p>
        </w:tc>
      </w:tr>
      <w:tr w:rsidR="00C044CC" w:rsidRPr="00930C7A" w14:paraId="6828B8CD" w14:textId="77777777" w:rsidTr="003051F5">
        <w:trPr>
          <w:trHeight w:val="1206"/>
          <w:tblHeader/>
        </w:trPr>
        <w:tc>
          <w:tcPr>
            <w:tcW w:w="832" w:type="pct"/>
            <w:vMerge/>
            <w:vAlign w:val="center"/>
          </w:tcPr>
          <w:p w14:paraId="12A302D8" w14:textId="77777777" w:rsidR="00C044CC" w:rsidRPr="00930C7A" w:rsidRDefault="00C044CC" w:rsidP="00DD4976">
            <w:pPr>
              <w:rPr>
                <w:rFonts w:ascii="Arial" w:eastAsia="SimSun" w:hAnsi="Arial" w:cs="Arial"/>
                <w:sz w:val="18"/>
                <w:szCs w:val="18"/>
              </w:rPr>
            </w:pPr>
          </w:p>
        </w:tc>
        <w:tc>
          <w:tcPr>
            <w:tcW w:w="757" w:type="pct"/>
            <w:vAlign w:val="center"/>
          </w:tcPr>
          <w:p w14:paraId="12B0DE3B" w14:textId="77777777" w:rsidR="00C044CC" w:rsidRPr="00930C7A" w:rsidRDefault="00C044CC" w:rsidP="00C044CC">
            <w:pPr>
              <w:jc w:val="center"/>
              <w:rPr>
                <w:rFonts w:ascii="Arial" w:eastAsia="SimSun" w:hAnsi="Arial" w:cs="Arial"/>
                <w:sz w:val="18"/>
                <w:szCs w:val="18"/>
              </w:rPr>
            </w:pPr>
            <w:r w:rsidRPr="00930C7A">
              <w:rPr>
                <w:rFonts w:ascii="Arial" w:eastAsia="SimSun" w:hAnsi="Arial" w:cs="Arial"/>
                <w:sz w:val="18"/>
                <w:szCs w:val="18"/>
              </w:rPr>
              <w:t>U Studio</w:t>
            </w:r>
          </w:p>
        </w:tc>
        <w:tc>
          <w:tcPr>
            <w:tcW w:w="2168" w:type="pct"/>
            <w:vAlign w:val="center"/>
          </w:tcPr>
          <w:p w14:paraId="264A3508" w14:textId="2F155125" w:rsidR="00C044CC" w:rsidRPr="00930C7A" w:rsidRDefault="00C044CC" w:rsidP="00C044CC">
            <w:pPr>
              <w:rPr>
                <w:rFonts w:ascii="Arial" w:eastAsia="SimSun" w:hAnsi="Arial" w:cs="Arial"/>
                <w:sz w:val="18"/>
                <w:szCs w:val="18"/>
              </w:rPr>
            </w:pPr>
            <w:r w:rsidRPr="00930C7A">
              <w:rPr>
                <w:rFonts w:ascii="Arial" w:eastAsia="SimSun" w:hAnsi="Arial" w:cs="Arial"/>
                <w:sz w:val="18"/>
                <w:szCs w:val="18"/>
              </w:rPr>
              <w:t>Ucommune leases scattered and small office spaces</w:t>
            </w:r>
            <w:r w:rsidR="001245A7">
              <w:rPr>
                <w:rFonts w:ascii="Arial" w:eastAsia="SimSun" w:hAnsi="Arial" w:cs="Arial"/>
                <w:sz w:val="18"/>
                <w:szCs w:val="18"/>
              </w:rPr>
              <w:t xml:space="preserve"> </w:t>
            </w:r>
            <w:r w:rsidR="001E6799" w:rsidRPr="00930C7A">
              <w:rPr>
                <w:rFonts w:ascii="Arial" w:eastAsia="SimSun" w:hAnsi="Arial" w:cs="Arial"/>
                <w:sz w:val="18"/>
                <w:szCs w:val="18"/>
              </w:rPr>
              <w:t>(</w:t>
            </w:r>
            <w:r w:rsidRPr="00930C7A">
              <w:rPr>
                <w:rFonts w:ascii="Arial" w:eastAsia="SimSun" w:hAnsi="Arial" w:cs="Arial"/>
                <w:sz w:val="18"/>
                <w:szCs w:val="18"/>
              </w:rPr>
              <w:t xml:space="preserve">with an area </w:t>
            </w:r>
            <w:r w:rsidR="001E6799" w:rsidRPr="00930C7A">
              <w:rPr>
                <w:rFonts w:ascii="Arial" w:eastAsia="SimSun" w:hAnsi="Arial" w:cs="Arial"/>
                <w:sz w:val="18"/>
                <w:szCs w:val="18"/>
              </w:rPr>
              <w:t xml:space="preserve">of </w:t>
            </w:r>
            <w:r w:rsidRPr="00930C7A">
              <w:rPr>
                <w:rFonts w:ascii="Arial" w:eastAsia="SimSun" w:hAnsi="Arial" w:cs="Arial"/>
                <w:sz w:val="18"/>
                <w:szCs w:val="18"/>
              </w:rPr>
              <w:t xml:space="preserve">generally less than 200 </w:t>
            </w:r>
            <w:r w:rsidR="003C57B2" w:rsidRPr="00930C7A">
              <w:rPr>
                <w:rFonts w:ascii="Arial" w:eastAsia="SimSun" w:hAnsi="Arial" w:cs="Arial"/>
                <w:sz w:val="18"/>
                <w:szCs w:val="18"/>
              </w:rPr>
              <w:t>square metres</w:t>
            </w:r>
            <w:r w:rsidR="001E6799" w:rsidRPr="00930C7A">
              <w:rPr>
                <w:rFonts w:ascii="Arial" w:eastAsia="SimSun" w:hAnsi="Arial" w:cs="Arial"/>
                <w:sz w:val="18"/>
                <w:szCs w:val="18"/>
              </w:rPr>
              <w:t>)</w:t>
            </w:r>
            <w:r w:rsidRPr="00930C7A">
              <w:rPr>
                <w:rFonts w:ascii="Arial" w:eastAsia="SimSun" w:hAnsi="Arial" w:cs="Arial"/>
                <w:sz w:val="18"/>
                <w:szCs w:val="18"/>
              </w:rPr>
              <w:t xml:space="preserve"> from landlords and then conducts moderate alterations and offers streamlined operation services to its members</w:t>
            </w:r>
            <w:r w:rsidR="00616620">
              <w:rPr>
                <w:rFonts w:ascii="Arial" w:eastAsia="SimSun" w:hAnsi="Arial" w:cs="Arial"/>
                <w:sz w:val="18"/>
                <w:szCs w:val="18"/>
              </w:rPr>
              <w:t>.</w:t>
            </w:r>
          </w:p>
        </w:tc>
        <w:tc>
          <w:tcPr>
            <w:tcW w:w="1243" w:type="pct"/>
            <w:vAlign w:val="center"/>
          </w:tcPr>
          <w:p w14:paraId="07E14535" w14:textId="5FD07DE2" w:rsidR="00C044CC" w:rsidRPr="001F39AE" w:rsidRDefault="00C044CC" w:rsidP="00C044CC">
            <w:pPr>
              <w:rPr>
                <w:rFonts w:ascii="Arial" w:eastAsia="SimSun" w:hAnsi="Arial" w:cs="Arial"/>
                <w:spacing w:val="-4"/>
                <w:sz w:val="18"/>
                <w:szCs w:val="18"/>
              </w:rPr>
            </w:pPr>
            <w:r w:rsidRPr="001F39AE">
              <w:rPr>
                <w:rFonts w:ascii="Arial" w:eastAsia="SimSun" w:hAnsi="Arial" w:cs="Arial"/>
                <w:spacing w:val="-4"/>
                <w:sz w:val="18"/>
                <w:szCs w:val="18"/>
              </w:rPr>
              <w:t>Generating revenue mainly by directly leasing spaces to members and charging membership fees</w:t>
            </w:r>
            <w:r w:rsidR="00E36644" w:rsidRPr="001F39AE">
              <w:rPr>
                <w:rFonts w:ascii="Arial" w:eastAsia="SimSun" w:hAnsi="Arial" w:cs="Arial"/>
                <w:spacing w:val="-4"/>
                <w:sz w:val="18"/>
                <w:szCs w:val="18"/>
              </w:rPr>
              <w:t>.</w:t>
            </w:r>
          </w:p>
        </w:tc>
      </w:tr>
      <w:tr w:rsidR="00C044CC" w:rsidRPr="00930C7A" w14:paraId="25891213" w14:textId="77777777" w:rsidTr="003051F5">
        <w:trPr>
          <w:trHeight w:val="1845"/>
          <w:tblHeader/>
        </w:trPr>
        <w:tc>
          <w:tcPr>
            <w:tcW w:w="832" w:type="pct"/>
            <w:vMerge/>
            <w:vAlign w:val="center"/>
          </w:tcPr>
          <w:p w14:paraId="7D46734D" w14:textId="77777777" w:rsidR="00C044CC" w:rsidRPr="00930C7A" w:rsidRDefault="00C044CC" w:rsidP="00DD4976">
            <w:pPr>
              <w:rPr>
                <w:rFonts w:ascii="Arial" w:eastAsia="SimSun" w:hAnsi="Arial" w:cs="Arial"/>
                <w:sz w:val="18"/>
                <w:szCs w:val="18"/>
              </w:rPr>
            </w:pPr>
          </w:p>
        </w:tc>
        <w:tc>
          <w:tcPr>
            <w:tcW w:w="757" w:type="pct"/>
            <w:vAlign w:val="center"/>
          </w:tcPr>
          <w:p w14:paraId="12C24138" w14:textId="77777777" w:rsidR="00C044CC" w:rsidRPr="00930C7A" w:rsidRDefault="00C044CC" w:rsidP="00C044CC">
            <w:pPr>
              <w:jc w:val="center"/>
              <w:rPr>
                <w:rFonts w:ascii="Arial" w:eastAsia="SimSun" w:hAnsi="Arial" w:cs="Arial"/>
                <w:sz w:val="18"/>
                <w:szCs w:val="18"/>
              </w:rPr>
            </w:pPr>
            <w:r w:rsidRPr="00930C7A">
              <w:rPr>
                <w:rFonts w:ascii="Arial" w:eastAsia="SimSun" w:hAnsi="Arial" w:cs="Arial"/>
                <w:sz w:val="18"/>
                <w:szCs w:val="18"/>
              </w:rPr>
              <w:t>U Design</w:t>
            </w:r>
          </w:p>
        </w:tc>
        <w:tc>
          <w:tcPr>
            <w:tcW w:w="2168" w:type="pct"/>
            <w:vAlign w:val="center"/>
          </w:tcPr>
          <w:p w14:paraId="414CB8B7" w14:textId="4F6204EC" w:rsidR="00C044CC" w:rsidRPr="00930C7A" w:rsidRDefault="00C044CC" w:rsidP="00C044CC">
            <w:pPr>
              <w:rPr>
                <w:rFonts w:ascii="Arial" w:eastAsia="SimSun" w:hAnsi="Arial" w:cs="Arial"/>
                <w:sz w:val="18"/>
                <w:szCs w:val="18"/>
              </w:rPr>
            </w:pPr>
            <w:r w:rsidRPr="00930C7A">
              <w:rPr>
                <w:rFonts w:ascii="Arial" w:eastAsia="SimSun" w:hAnsi="Arial" w:cs="Arial"/>
                <w:sz w:val="18"/>
                <w:szCs w:val="18"/>
              </w:rPr>
              <w:t>Ucommune provides one-stop customized services</w:t>
            </w:r>
            <w:r w:rsidR="001A1BD2">
              <w:rPr>
                <w:rFonts w:ascii="Arial" w:eastAsia="SimSun" w:hAnsi="Arial" w:cs="Arial"/>
                <w:sz w:val="18"/>
                <w:szCs w:val="18"/>
              </w:rPr>
              <w:t>—</w:t>
            </w:r>
            <w:r w:rsidRPr="00930C7A">
              <w:rPr>
                <w:rFonts w:ascii="Arial" w:eastAsia="SimSun" w:hAnsi="Arial" w:cs="Arial"/>
                <w:sz w:val="18"/>
                <w:szCs w:val="18"/>
              </w:rPr>
              <w:t>from location selection to daily operation</w:t>
            </w:r>
            <w:r w:rsidR="00EB7D96">
              <w:rPr>
                <w:rFonts w:ascii="Arial" w:eastAsia="SimSun" w:hAnsi="Arial" w:cs="Arial"/>
                <w:sz w:val="18"/>
                <w:szCs w:val="18"/>
              </w:rPr>
              <w:t>—</w:t>
            </w:r>
            <w:r w:rsidRPr="00930C7A">
              <w:rPr>
                <w:rFonts w:ascii="Arial" w:eastAsia="SimSun" w:hAnsi="Arial" w:cs="Arial"/>
                <w:sz w:val="18"/>
                <w:szCs w:val="18"/>
              </w:rPr>
              <w:t>in conformity with the specifications of its members</w:t>
            </w:r>
            <w:r w:rsidR="00E36644">
              <w:rPr>
                <w:rFonts w:ascii="Arial" w:eastAsia="SimSun" w:hAnsi="Arial" w:cs="Arial"/>
                <w:sz w:val="18"/>
                <w:szCs w:val="18"/>
              </w:rPr>
              <w:t>.</w:t>
            </w:r>
          </w:p>
        </w:tc>
        <w:tc>
          <w:tcPr>
            <w:tcW w:w="1243" w:type="pct"/>
            <w:vAlign w:val="center"/>
          </w:tcPr>
          <w:p w14:paraId="3757273D" w14:textId="5C7A2609" w:rsidR="00C044CC" w:rsidRPr="00930C7A" w:rsidRDefault="00C044CC" w:rsidP="00E97E70">
            <w:pPr>
              <w:rPr>
                <w:rFonts w:ascii="Arial" w:eastAsia="SimSun" w:hAnsi="Arial" w:cs="Arial"/>
                <w:sz w:val="18"/>
                <w:szCs w:val="18"/>
              </w:rPr>
            </w:pPr>
            <w:r w:rsidRPr="00930C7A">
              <w:rPr>
                <w:rFonts w:ascii="Arial" w:eastAsia="SimSun" w:hAnsi="Arial" w:cs="Arial"/>
                <w:sz w:val="18"/>
                <w:szCs w:val="18"/>
              </w:rPr>
              <w:t xml:space="preserve">Deriving revenue principally from services that are provided </w:t>
            </w:r>
            <w:r w:rsidR="001E6799" w:rsidRPr="00930C7A">
              <w:rPr>
                <w:rFonts w:ascii="Arial" w:eastAsia="SimSun" w:hAnsi="Arial" w:cs="Arial"/>
                <w:sz w:val="18"/>
                <w:szCs w:val="18"/>
              </w:rPr>
              <w:t xml:space="preserve">practically </w:t>
            </w:r>
            <w:r w:rsidRPr="00930C7A">
              <w:rPr>
                <w:rFonts w:ascii="Arial" w:eastAsia="SimSun" w:hAnsi="Arial" w:cs="Arial"/>
                <w:sz w:val="18"/>
                <w:szCs w:val="18"/>
              </w:rPr>
              <w:t>for members in the forms of operation fee</w:t>
            </w:r>
            <w:r w:rsidR="001E6799" w:rsidRPr="00930C7A">
              <w:rPr>
                <w:rFonts w:ascii="Arial" w:eastAsia="SimSun" w:hAnsi="Arial" w:cs="Arial"/>
                <w:sz w:val="18"/>
                <w:szCs w:val="18"/>
              </w:rPr>
              <w:t>s</w:t>
            </w:r>
            <w:r w:rsidRPr="00930C7A">
              <w:rPr>
                <w:rFonts w:ascii="Arial" w:eastAsia="SimSun" w:hAnsi="Arial" w:cs="Arial"/>
                <w:sz w:val="18"/>
                <w:szCs w:val="18"/>
              </w:rPr>
              <w:t>, advisory fee</w:t>
            </w:r>
            <w:r w:rsidR="001E6799" w:rsidRPr="00930C7A">
              <w:rPr>
                <w:rFonts w:ascii="Arial" w:eastAsia="SimSun" w:hAnsi="Arial" w:cs="Arial"/>
                <w:sz w:val="18"/>
                <w:szCs w:val="18"/>
              </w:rPr>
              <w:t>s</w:t>
            </w:r>
            <w:r w:rsidRPr="00930C7A">
              <w:rPr>
                <w:rFonts w:ascii="Arial" w:eastAsia="SimSun" w:hAnsi="Arial" w:cs="Arial"/>
                <w:sz w:val="18"/>
                <w:szCs w:val="18"/>
              </w:rPr>
              <w:t>, and fees related to the design and build of the spaces</w:t>
            </w:r>
            <w:r w:rsidR="00E36644">
              <w:rPr>
                <w:rFonts w:ascii="Arial" w:eastAsia="SimSun" w:hAnsi="Arial" w:cs="Arial"/>
                <w:sz w:val="18"/>
                <w:szCs w:val="18"/>
              </w:rPr>
              <w:t>.</w:t>
            </w:r>
          </w:p>
        </w:tc>
      </w:tr>
      <w:tr w:rsidR="00C044CC" w:rsidRPr="00930C7A" w14:paraId="2B36F0A3" w14:textId="77777777" w:rsidTr="003051F5">
        <w:trPr>
          <w:trHeight w:val="2606"/>
          <w:tblHeader/>
        </w:trPr>
        <w:tc>
          <w:tcPr>
            <w:tcW w:w="832" w:type="pct"/>
            <w:vMerge w:val="restart"/>
            <w:vAlign w:val="center"/>
          </w:tcPr>
          <w:p w14:paraId="16871E40" w14:textId="7E63B4A3" w:rsidR="00C044CC" w:rsidRPr="00930C7A" w:rsidRDefault="00C044CC" w:rsidP="00DD4976">
            <w:pPr>
              <w:rPr>
                <w:rFonts w:ascii="Arial" w:eastAsia="SimSun" w:hAnsi="Arial" w:cs="Arial"/>
                <w:sz w:val="18"/>
                <w:szCs w:val="18"/>
              </w:rPr>
            </w:pPr>
            <w:r w:rsidRPr="00930C7A">
              <w:rPr>
                <w:rFonts w:ascii="Arial" w:eastAsia="SimSun" w:hAnsi="Arial" w:cs="Arial"/>
                <w:sz w:val="18"/>
                <w:szCs w:val="18"/>
              </w:rPr>
              <w:t>Asset-</w:t>
            </w:r>
            <w:r w:rsidR="00413A63">
              <w:rPr>
                <w:rFonts w:ascii="Arial" w:eastAsia="SimSun" w:hAnsi="Arial" w:cs="Arial"/>
                <w:sz w:val="18"/>
                <w:szCs w:val="18"/>
              </w:rPr>
              <w:t>Light Model</w:t>
            </w:r>
          </w:p>
        </w:tc>
        <w:tc>
          <w:tcPr>
            <w:tcW w:w="757" w:type="pct"/>
            <w:vAlign w:val="center"/>
          </w:tcPr>
          <w:p w14:paraId="58A02B54" w14:textId="77777777" w:rsidR="00C044CC" w:rsidRPr="00930C7A" w:rsidRDefault="00C044CC" w:rsidP="00C044CC">
            <w:pPr>
              <w:jc w:val="center"/>
              <w:rPr>
                <w:rFonts w:ascii="Arial" w:eastAsia="SimSun" w:hAnsi="Arial" w:cs="Arial"/>
                <w:sz w:val="18"/>
                <w:szCs w:val="18"/>
              </w:rPr>
            </w:pPr>
            <w:r w:rsidRPr="00930C7A">
              <w:rPr>
                <w:rFonts w:ascii="Arial" w:eastAsia="SimSun" w:hAnsi="Arial" w:cs="Arial"/>
                <w:sz w:val="18"/>
                <w:szCs w:val="18"/>
              </w:rPr>
              <w:t>U Brand</w:t>
            </w:r>
          </w:p>
        </w:tc>
        <w:tc>
          <w:tcPr>
            <w:tcW w:w="2168" w:type="pct"/>
            <w:vAlign w:val="center"/>
          </w:tcPr>
          <w:p w14:paraId="13AB2A8F" w14:textId="5215C86D" w:rsidR="00C044CC" w:rsidRPr="00930C7A" w:rsidRDefault="00C044CC" w:rsidP="00E97E70">
            <w:pPr>
              <w:rPr>
                <w:rFonts w:ascii="Arial" w:eastAsia="SimSun" w:hAnsi="Arial" w:cs="Arial"/>
                <w:sz w:val="18"/>
                <w:szCs w:val="18"/>
              </w:rPr>
            </w:pPr>
            <w:r w:rsidRPr="00930C7A">
              <w:rPr>
                <w:rFonts w:ascii="Arial" w:eastAsia="SimSun" w:hAnsi="Arial" w:cs="Arial"/>
                <w:sz w:val="18"/>
                <w:szCs w:val="18"/>
              </w:rPr>
              <w:t>Entrusted by landlords, Ucommune provides a full range of operation and management services for landlords’ spaces</w:t>
            </w:r>
            <w:r w:rsidR="00E36644">
              <w:rPr>
                <w:rFonts w:ascii="Arial" w:eastAsia="SimSun" w:hAnsi="Arial" w:cs="Arial"/>
                <w:sz w:val="18"/>
                <w:szCs w:val="18"/>
              </w:rPr>
              <w:t xml:space="preserve">, </w:t>
            </w:r>
            <w:r w:rsidRPr="00930C7A">
              <w:rPr>
                <w:rFonts w:ascii="Arial" w:eastAsia="SimSun" w:hAnsi="Arial" w:cs="Arial"/>
                <w:sz w:val="18"/>
                <w:szCs w:val="18"/>
              </w:rPr>
              <w:t>including design, remode</w:t>
            </w:r>
            <w:r w:rsidR="001E6799" w:rsidRPr="00930C7A">
              <w:rPr>
                <w:rFonts w:ascii="Arial" w:eastAsia="SimSun" w:hAnsi="Arial" w:cs="Arial"/>
                <w:sz w:val="18"/>
                <w:szCs w:val="18"/>
              </w:rPr>
              <w:t>l</w:t>
            </w:r>
            <w:r w:rsidRPr="00930C7A">
              <w:rPr>
                <w:rFonts w:ascii="Arial" w:eastAsia="SimSun" w:hAnsi="Arial" w:cs="Arial"/>
                <w:sz w:val="18"/>
                <w:szCs w:val="18"/>
              </w:rPr>
              <w:t>ling, customer acquisition, intelligent system, community activities, and value-added services for enterprise tenants, enabling landlords’ spaces to achieve the standard of Ucommune’s own spaces</w:t>
            </w:r>
            <w:r w:rsidR="00E36644">
              <w:rPr>
                <w:rFonts w:ascii="Arial" w:eastAsia="SimSun" w:hAnsi="Arial" w:cs="Arial"/>
                <w:sz w:val="18"/>
                <w:szCs w:val="18"/>
              </w:rPr>
              <w:t>.</w:t>
            </w:r>
          </w:p>
        </w:tc>
        <w:tc>
          <w:tcPr>
            <w:tcW w:w="1243" w:type="pct"/>
            <w:vAlign w:val="center"/>
          </w:tcPr>
          <w:p w14:paraId="288C58C9" w14:textId="5512066D" w:rsidR="00C044CC" w:rsidRPr="001F39AE" w:rsidRDefault="00C044CC" w:rsidP="004E6754">
            <w:pPr>
              <w:rPr>
                <w:rFonts w:ascii="Arial" w:eastAsia="SimSun" w:hAnsi="Arial" w:cs="Arial"/>
                <w:spacing w:val="-2"/>
                <w:sz w:val="18"/>
                <w:szCs w:val="18"/>
              </w:rPr>
            </w:pPr>
            <w:r w:rsidRPr="001F39AE">
              <w:rPr>
                <w:rFonts w:ascii="Arial" w:eastAsia="SimSun" w:hAnsi="Arial" w:cs="Arial"/>
                <w:spacing w:val="-2"/>
                <w:sz w:val="18"/>
                <w:szCs w:val="18"/>
              </w:rPr>
              <w:t>Deriving revenue from sources such as consultation fees related to branding, design</w:t>
            </w:r>
            <w:r w:rsidR="00E31753" w:rsidRPr="001F39AE">
              <w:rPr>
                <w:rFonts w:ascii="Arial" w:eastAsia="SimSun" w:hAnsi="Arial" w:cs="Arial"/>
                <w:spacing w:val="-2"/>
                <w:sz w:val="18"/>
                <w:szCs w:val="18"/>
              </w:rPr>
              <w:t>,</w:t>
            </w:r>
            <w:r w:rsidRPr="001F39AE">
              <w:rPr>
                <w:rFonts w:ascii="Arial" w:eastAsia="SimSun" w:hAnsi="Arial" w:cs="Arial"/>
                <w:spacing w:val="-2"/>
                <w:sz w:val="18"/>
                <w:szCs w:val="18"/>
              </w:rPr>
              <w:t xml:space="preserve"> and build services</w:t>
            </w:r>
            <w:r w:rsidR="00E31753" w:rsidRPr="001F39AE">
              <w:rPr>
                <w:rFonts w:ascii="Arial" w:eastAsia="SimSun" w:hAnsi="Arial" w:cs="Arial"/>
                <w:spacing w:val="-2"/>
                <w:sz w:val="18"/>
                <w:szCs w:val="18"/>
              </w:rPr>
              <w:t>;</w:t>
            </w:r>
            <w:r w:rsidRPr="001F39AE">
              <w:rPr>
                <w:rFonts w:ascii="Arial" w:eastAsia="SimSun" w:hAnsi="Arial" w:cs="Arial"/>
                <w:spacing w:val="-2"/>
                <w:sz w:val="18"/>
                <w:szCs w:val="18"/>
              </w:rPr>
              <w:t xml:space="preserve"> management fees for operation services</w:t>
            </w:r>
            <w:r w:rsidR="00E31753" w:rsidRPr="001F39AE">
              <w:rPr>
                <w:rFonts w:ascii="Arial" w:eastAsia="SimSun" w:hAnsi="Arial" w:cs="Arial"/>
                <w:spacing w:val="-2"/>
                <w:sz w:val="18"/>
                <w:szCs w:val="18"/>
              </w:rPr>
              <w:t>;</w:t>
            </w:r>
            <w:r w:rsidRPr="001F39AE">
              <w:rPr>
                <w:rFonts w:ascii="Arial" w:eastAsia="SimSun" w:hAnsi="Arial" w:cs="Arial"/>
                <w:spacing w:val="-2"/>
                <w:sz w:val="18"/>
                <w:szCs w:val="18"/>
              </w:rPr>
              <w:t xml:space="preserve"> and incentive fees on the basis of the financial performance of the spaces under certain contracts</w:t>
            </w:r>
            <w:r w:rsidR="00E36644" w:rsidRPr="001F39AE">
              <w:rPr>
                <w:rFonts w:ascii="Arial" w:eastAsia="SimSun" w:hAnsi="Arial" w:cs="Arial"/>
                <w:spacing w:val="-2"/>
                <w:sz w:val="18"/>
                <w:szCs w:val="18"/>
              </w:rPr>
              <w:t>.</w:t>
            </w:r>
          </w:p>
        </w:tc>
      </w:tr>
      <w:tr w:rsidR="00C044CC" w:rsidRPr="00930C7A" w14:paraId="4CFC8BBD" w14:textId="77777777" w:rsidTr="003051F5">
        <w:trPr>
          <w:trHeight w:val="1663"/>
          <w:tblHeader/>
        </w:trPr>
        <w:tc>
          <w:tcPr>
            <w:tcW w:w="832" w:type="pct"/>
            <w:vMerge/>
            <w:vAlign w:val="center"/>
          </w:tcPr>
          <w:p w14:paraId="75BA59FB" w14:textId="77777777" w:rsidR="00C044CC" w:rsidRPr="00930C7A" w:rsidRDefault="00C044CC" w:rsidP="00C044CC">
            <w:pPr>
              <w:jc w:val="center"/>
              <w:rPr>
                <w:rFonts w:ascii="Arial" w:eastAsia="SimSun" w:hAnsi="Arial" w:cs="Arial"/>
                <w:sz w:val="18"/>
                <w:szCs w:val="18"/>
              </w:rPr>
            </w:pPr>
          </w:p>
        </w:tc>
        <w:tc>
          <w:tcPr>
            <w:tcW w:w="757" w:type="pct"/>
            <w:vAlign w:val="center"/>
          </w:tcPr>
          <w:p w14:paraId="091AD7F1" w14:textId="77777777" w:rsidR="00C044CC" w:rsidRPr="00930C7A" w:rsidRDefault="00C044CC" w:rsidP="00C044CC">
            <w:pPr>
              <w:jc w:val="center"/>
              <w:rPr>
                <w:rFonts w:ascii="Arial" w:eastAsia="SimSun" w:hAnsi="Arial" w:cs="Arial"/>
                <w:sz w:val="18"/>
                <w:szCs w:val="18"/>
              </w:rPr>
            </w:pPr>
            <w:r w:rsidRPr="00930C7A">
              <w:rPr>
                <w:rFonts w:ascii="Arial" w:eastAsia="SimSun" w:hAnsi="Arial" w:cs="Arial"/>
                <w:sz w:val="18"/>
                <w:szCs w:val="18"/>
              </w:rPr>
              <w:t>U Partner</w:t>
            </w:r>
          </w:p>
        </w:tc>
        <w:tc>
          <w:tcPr>
            <w:tcW w:w="2168" w:type="pct"/>
            <w:vAlign w:val="center"/>
          </w:tcPr>
          <w:p w14:paraId="65DADF70" w14:textId="01CC5727" w:rsidR="00C044CC" w:rsidRPr="00930C7A" w:rsidRDefault="00C044CC" w:rsidP="00E97E70">
            <w:pPr>
              <w:rPr>
                <w:rFonts w:ascii="Arial" w:eastAsia="SimSun" w:hAnsi="Arial" w:cs="Arial"/>
                <w:sz w:val="18"/>
                <w:szCs w:val="18"/>
              </w:rPr>
            </w:pPr>
            <w:r w:rsidRPr="00930C7A">
              <w:rPr>
                <w:rFonts w:ascii="Arial" w:eastAsia="SimSun" w:hAnsi="Arial" w:cs="Arial"/>
                <w:sz w:val="18"/>
                <w:szCs w:val="18"/>
              </w:rPr>
              <w:t>Ucommune enters into partnerships with landlords. Landlords generally provide Ucommune with the right to utilize their office spaces that have already met the criteria for being leased to customers</w:t>
            </w:r>
            <w:r w:rsidR="00E31753" w:rsidRPr="00930C7A">
              <w:rPr>
                <w:rFonts w:ascii="Arial" w:eastAsia="SimSun" w:hAnsi="Arial" w:cs="Arial"/>
                <w:sz w:val="18"/>
                <w:szCs w:val="18"/>
              </w:rPr>
              <w:t>;</w:t>
            </w:r>
            <w:r w:rsidRPr="00930C7A">
              <w:rPr>
                <w:rFonts w:ascii="Arial" w:eastAsia="SimSun" w:hAnsi="Arial" w:cs="Arial"/>
                <w:sz w:val="18"/>
                <w:szCs w:val="18"/>
              </w:rPr>
              <w:t xml:space="preserve"> </w:t>
            </w:r>
            <w:r w:rsidR="00E31753" w:rsidRPr="00930C7A">
              <w:rPr>
                <w:rFonts w:ascii="Arial" w:eastAsia="SimSun" w:hAnsi="Arial" w:cs="Arial"/>
                <w:sz w:val="18"/>
                <w:szCs w:val="18"/>
              </w:rPr>
              <w:t>a</w:t>
            </w:r>
            <w:r w:rsidRPr="00930C7A">
              <w:rPr>
                <w:rFonts w:ascii="Arial" w:eastAsia="SimSun" w:hAnsi="Arial" w:cs="Arial"/>
                <w:sz w:val="18"/>
                <w:szCs w:val="18"/>
              </w:rPr>
              <w:t>ccordingly, Ucommune operates and manages these spaces under its Ucommune brand</w:t>
            </w:r>
            <w:r w:rsidR="00E36644">
              <w:rPr>
                <w:rFonts w:ascii="Arial" w:eastAsia="SimSun" w:hAnsi="Arial" w:cs="Arial"/>
                <w:sz w:val="18"/>
                <w:szCs w:val="18"/>
              </w:rPr>
              <w:t>.</w:t>
            </w:r>
          </w:p>
        </w:tc>
        <w:tc>
          <w:tcPr>
            <w:tcW w:w="1243" w:type="pct"/>
            <w:vAlign w:val="center"/>
          </w:tcPr>
          <w:p w14:paraId="18BAAFF2" w14:textId="28B6D724" w:rsidR="00C044CC" w:rsidRPr="00930C7A" w:rsidRDefault="00C044CC" w:rsidP="00C044CC">
            <w:pPr>
              <w:rPr>
                <w:rFonts w:ascii="Arial" w:eastAsia="SimSun" w:hAnsi="Arial" w:cs="Arial"/>
                <w:sz w:val="18"/>
                <w:szCs w:val="18"/>
              </w:rPr>
            </w:pPr>
            <w:r w:rsidRPr="00930C7A">
              <w:rPr>
                <w:rFonts w:ascii="Arial" w:eastAsia="SimSun" w:hAnsi="Arial" w:cs="Arial"/>
                <w:sz w:val="18"/>
                <w:szCs w:val="18"/>
              </w:rPr>
              <w:t xml:space="preserve">Generating revenue in conformity with the </w:t>
            </w:r>
            <w:r w:rsidR="00E36644">
              <w:rPr>
                <w:rFonts w:ascii="Arial" w:eastAsia="SimSun" w:hAnsi="Arial" w:cs="Arial"/>
                <w:sz w:val="18"/>
                <w:szCs w:val="18"/>
              </w:rPr>
              <w:t>revenue-sharing</w:t>
            </w:r>
            <w:r w:rsidRPr="00930C7A">
              <w:rPr>
                <w:rFonts w:ascii="Arial" w:eastAsia="SimSun" w:hAnsi="Arial" w:cs="Arial"/>
                <w:sz w:val="18"/>
                <w:szCs w:val="18"/>
              </w:rPr>
              <w:t xml:space="preserve"> mechanism under the agreement with landlords</w:t>
            </w:r>
            <w:r w:rsidR="00460280">
              <w:rPr>
                <w:rFonts w:ascii="Arial" w:eastAsia="SimSun" w:hAnsi="Arial" w:cs="Arial"/>
                <w:sz w:val="18"/>
                <w:szCs w:val="18"/>
              </w:rPr>
              <w:t>.</w:t>
            </w:r>
          </w:p>
        </w:tc>
      </w:tr>
    </w:tbl>
    <w:p w14:paraId="0F89ADAD" w14:textId="77777777" w:rsidR="00C044CC" w:rsidRPr="00930C7A" w:rsidRDefault="00C044CC" w:rsidP="00C044CC">
      <w:pPr>
        <w:pStyle w:val="ExhibitText"/>
        <w:rPr>
          <w:rFonts w:eastAsia="SimSun"/>
          <w:lang w:eastAsia="zh-CN"/>
        </w:rPr>
      </w:pPr>
    </w:p>
    <w:p w14:paraId="2FD87B6C" w14:textId="77777777" w:rsidR="00E75B55" w:rsidRPr="00930C7A" w:rsidRDefault="00C044CC" w:rsidP="00C044CC">
      <w:pPr>
        <w:pStyle w:val="Footnote"/>
        <w:rPr>
          <w:rFonts w:eastAsia="SimSun"/>
          <w:lang w:eastAsia="zh-CN"/>
        </w:rPr>
      </w:pPr>
      <w:r w:rsidRPr="00930C7A">
        <w:rPr>
          <w:rFonts w:eastAsia="SimSun"/>
          <w:lang w:eastAsia="zh-CN"/>
        </w:rPr>
        <w:t>Source: Created by the case authors based on company documents.</w:t>
      </w:r>
    </w:p>
    <w:p w14:paraId="1F03B335" w14:textId="77777777" w:rsidR="00E31913" w:rsidRPr="00930C7A" w:rsidRDefault="00E31913" w:rsidP="00E679FD">
      <w:pPr>
        <w:pStyle w:val="Footnote"/>
        <w:rPr>
          <w:rFonts w:eastAsia="DengXian"/>
          <w:lang w:eastAsia="zh-CN"/>
        </w:rPr>
      </w:pPr>
      <w:r w:rsidRPr="00930C7A">
        <w:rPr>
          <w:rFonts w:eastAsia="DengXian"/>
          <w:lang w:eastAsia="zh-CN"/>
        </w:rPr>
        <w:br w:type="page"/>
      </w:r>
    </w:p>
    <w:p w14:paraId="6BFEAAFA" w14:textId="77777777" w:rsidR="00C044CC" w:rsidRPr="00930C7A" w:rsidRDefault="00C044CC" w:rsidP="00C044CC">
      <w:pPr>
        <w:pStyle w:val="ExhibitHeading"/>
      </w:pPr>
      <w:r w:rsidRPr="00930C7A">
        <w:lastRenderedPageBreak/>
        <w:t>EXHIBIT 3: Technologies applied in Ucommune’S space operation and related service provision</w:t>
      </w:r>
    </w:p>
    <w:p w14:paraId="23F237E7" w14:textId="77777777" w:rsidR="00C044CC" w:rsidRPr="00930C7A" w:rsidRDefault="00C044CC" w:rsidP="00C044CC">
      <w:pPr>
        <w:pStyle w:val="ExhibitText"/>
        <w:rPr>
          <w:rFonts w:eastAsia="DengXian"/>
          <w:lang w:eastAsia="zh-CN"/>
        </w:rPr>
      </w:pPr>
    </w:p>
    <w:tbl>
      <w:tblPr>
        <w:tblStyle w:val="TableGrid"/>
        <w:tblW w:w="5000" w:type="pct"/>
        <w:jc w:val="center"/>
        <w:tblLook w:val="04A0" w:firstRow="1" w:lastRow="0" w:firstColumn="1" w:lastColumn="0" w:noHBand="0" w:noVBand="1"/>
        <w:tblCaption w:val="EXHIBIT 3"/>
        <w:tblDescription w:val="TECHNOLOGIES APPLIED IN UCOMMUNE’S SPACE OPERATION AND RELATED SERVICE PROVISION"/>
      </w:tblPr>
      <w:tblGrid>
        <w:gridCol w:w="1593"/>
        <w:gridCol w:w="2111"/>
        <w:gridCol w:w="5646"/>
      </w:tblGrid>
      <w:tr w:rsidR="00C044CC" w:rsidRPr="00930C7A" w14:paraId="3E59A810" w14:textId="77777777" w:rsidTr="003051F5">
        <w:trPr>
          <w:tblHeader/>
          <w:jc w:val="center"/>
        </w:trPr>
        <w:tc>
          <w:tcPr>
            <w:tcW w:w="852" w:type="pct"/>
            <w:vAlign w:val="center"/>
          </w:tcPr>
          <w:p w14:paraId="1E574ECB" w14:textId="096835E1" w:rsidR="00C044CC" w:rsidRPr="00DD4976" w:rsidRDefault="00FE43C1" w:rsidP="00DD4976">
            <w:pPr>
              <w:rPr>
                <w:rFonts w:ascii="Arial" w:eastAsia="SimSun" w:hAnsi="Arial" w:cs="Arial"/>
                <w:b/>
                <w:bCs/>
                <w:sz w:val="18"/>
                <w:szCs w:val="18"/>
              </w:rPr>
            </w:pPr>
            <w:r w:rsidRPr="00DD4976">
              <w:rPr>
                <w:rFonts w:ascii="Arial" w:eastAsia="SimSun" w:hAnsi="Arial" w:cs="Arial"/>
                <w:b/>
                <w:bCs/>
                <w:sz w:val="18"/>
                <w:szCs w:val="18"/>
              </w:rPr>
              <w:t>Key Technolog</w:t>
            </w:r>
            <w:r w:rsidR="0011060B">
              <w:rPr>
                <w:rFonts w:ascii="Arial" w:eastAsia="SimSun" w:hAnsi="Arial" w:cs="Arial"/>
                <w:b/>
                <w:bCs/>
                <w:sz w:val="18"/>
                <w:szCs w:val="18"/>
              </w:rPr>
              <w:t>y</w:t>
            </w:r>
          </w:p>
        </w:tc>
        <w:tc>
          <w:tcPr>
            <w:tcW w:w="1129" w:type="pct"/>
            <w:vAlign w:val="center"/>
          </w:tcPr>
          <w:p w14:paraId="16768C3A" w14:textId="7DE7BC3F" w:rsidR="00C044CC" w:rsidRPr="00DD4976" w:rsidRDefault="00FE43C1" w:rsidP="00C044CC">
            <w:pPr>
              <w:jc w:val="center"/>
              <w:rPr>
                <w:rFonts w:ascii="Arial" w:eastAsia="SimSun" w:hAnsi="Arial" w:cs="Arial"/>
                <w:b/>
                <w:bCs/>
                <w:sz w:val="18"/>
                <w:szCs w:val="18"/>
              </w:rPr>
            </w:pPr>
            <w:r w:rsidRPr="00DD4976">
              <w:rPr>
                <w:rFonts w:ascii="Arial" w:eastAsia="SimSun" w:hAnsi="Arial" w:cs="Arial"/>
                <w:b/>
                <w:bCs/>
                <w:sz w:val="18"/>
                <w:szCs w:val="18"/>
              </w:rPr>
              <w:t>Fundamental Positioning</w:t>
            </w:r>
          </w:p>
        </w:tc>
        <w:tc>
          <w:tcPr>
            <w:tcW w:w="3019" w:type="pct"/>
            <w:vAlign w:val="center"/>
          </w:tcPr>
          <w:p w14:paraId="5CEE55AD" w14:textId="3E2DAFFA" w:rsidR="00C044CC" w:rsidRPr="00DD4976" w:rsidRDefault="00C044CC" w:rsidP="00C044CC">
            <w:pPr>
              <w:jc w:val="center"/>
              <w:rPr>
                <w:rFonts w:ascii="Arial" w:eastAsia="SimSun" w:hAnsi="Arial" w:cs="Arial"/>
                <w:b/>
                <w:bCs/>
                <w:sz w:val="18"/>
                <w:szCs w:val="18"/>
              </w:rPr>
            </w:pPr>
            <w:r w:rsidRPr="00DD4976">
              <w:rPr>
                <w:rFonts w:ascii="Arial" w:eastAsia="SimSun" w:hAnsi="Arial" w:cs="Arial"/>
                <w:b/>
                <w:bCs/>
                <w:sz w:val="18"/>
                <w:szCs w:val="18"/>
              </w:rPr>
              <w:t xml:space="preserve">Concrete </w:t>
            </w:r>
            <w:r w:rsidR="00FE43C1" w:rsidRPr="00DD4976">
              <w:rPr>
                <w:rFonts w:ascii="Arial" w:eastAsia="SimSun" w:hAnsi="Arial" w:cs="Arial"/>
                <w:b/>
                <w:bCs/>
                <w:sz w:val="18"/>
                <w:szCs w:val="18"/>
              </w:rPr>
              <w:t>Function</w:t>
            </w:r>
          </w:p>
        </w:tc>
      </w:tr>
      <w:tr w:rsidR="00C044CC" w:rsidRPr="00930C7A" w14:paraId="09223A3C" w14:textId="77777777" w:rsidTr="003051F5">
        <w:trPr>
          <w:trHeight w:val="1713"/>
          <w:tblHeader/>
          <w:jc w:val="center"/>
        </w:trPr>
        <w:tc>
          <w:tcPr>
            <w:tcW w:w="852" w:type="pct"/>
            <w:vAlign w:val="center"/>
          </w:tcPr>
          <w:p w14:paraId="10913BF7" w14:textId="79C4E3A8" w:rsidR="00C044CC" w:rsidRPr="00930C7A" w:rsidRDefault="00C044CC" w:rsidP="00DD4976">
            <w:pPr>
              <w:rPr>
                <w:rFonts w:ascii="Arial" w:eastAsia="SimSun" w:hAnsi="Arial" w:cs="Arial"/>
                <w:sz w:val="18"/>
                <w:szCs w:val="18"/>
              </w:rPr>
            </w:pPr>
            <w:r w:rsidRPr="00930C7A">
              <w:rPr>
                <w:rFonts w:ascii="Arial" w:eastAsia="SimSun" w:hAnsi="Arial" w:cs="Arial"/>
                <w:sz w:val="18"/>
                <w:szCs w:val="18"/>
              </w:rPr>
              <w:t xml:space="preserve">Intelligent </w:t>
            </w:r>
            <w:r w:rsidR="003D7BF8">
              <w:rPr>
                <w:rFonts w:ascii="Arial" w:eastAsia="SimSun" w:hAnsi="Arial" w:cs="Arial"/>
                <w:sz w:val="18"/>
                <w:szCs w:val="18"/>
              </w:rPr>
              <w:t>Access Control System</w:t>
            </w:r>
          </w:p>
        </w:tc>
        <w:tc>
          <w:tcPr>
            <w:tcW w:w="1129" w:type="pct"/>
            <w:vAlign w:val="center"/>
          </w:tcPr>
          <w:p w14:paraId="2EB63784" w14:textId="3786D014" w:rsidR="00C044CC" w:rsidRPr="00930C7A" w:rsidRDefault="00C044CC" w:rsidP="00C044CC">
            <w:pPr>
              <w:rPr>
                <w:rFonts w:ascii="Arial" w:eastAsia="SimSun" w:hAnsi="Arial" w:cs="Arial"/>
                <w:sz w:val="18"/>
                <w:szCs w:val="18"/>
              </w:rPr>
            </w:pPr>
            <w:r w:rsidRPr="00930C7A">
              <w:rPr>
                <w:rFonts w:ascii="Arial" w:eastAsia="SimSun" w:hAnsi="Arial" w:cs="Arial"/>
                <w:sz w:val="18"/>
                <w:szCs w:val="18"/>
              </w:rPr>
              <w:t>The technological solution for access control management</w:t>
            </w:r>
            <w:r w:rsidR="002F5098">
              <w:rPr>
                <w:rFonts w:ascii="Arial" w:eastAsia="SimSun" w:hAnsi="Arial" w:cs="Arial"/>
                <w:sz w:val="18"/>
                <w:szCs w:val="18"/>
              </w:rPr>
              <w:t>.</w:t>
            </w:r>
          </w:p>
        </w:tc>
        <w:tc>
          <w:tcPr>
            <w:tcW w:w="3019" w:type="pct"/>
            <w:vAlign w:val="center"/>
          </w:tcPr>
          <w:p w14:paraId="1F7C930E" w14:textId="415C74E6" w:rsidR="00C044CC" w:rsidRPr="00930C7A" w:rsidRDefault="00C044CC" w:rsidP="00E97E70">
            <w:pPr>
              <w:rPr>
                <w:rFonts w:ascii="Arial" w:eastAsia="SimSun" w:hAnsi="Arial" w:cs="Arial"/>
                <w:sz w:val="18"/>
                <w:szCs w:val="18"/>
              </w:rPr>
            </w:pPr>
            <w:r w:rsidRPr="00930C7A">
              <w:rPr>
                <w:rFonts w:ascii="Arial" w:eastAsia="SimSun" w:hAnsi="Arial" w:cs="Arial"/>
                <w:sz w:val="18"/>
                <w:szCs w:val="18"/>
              </w:rPr>
              <w:t>Based on the application of an intelligent access control system in office space operation, the members can unlock doors of different places through face recognition, instead of the traditional mode of using keys. Besides</w:t>
            </w:r>
            <w:r w:rsidR="00E31753" w:rsidRPr="00930C7A">
              <w:rPr>
                <w:rFonts w:ascii="Arial" w:eastAsia="SimSun" w:hAnsi="Arial" w:cs="Arial"/>
                <w:sz w:val="18"/>
                <w:szCs w:val="18"/>
              </w:rPr>
              <w:t xml:space="preserve"> this</w:t>
            </w:r>
            <w:r w:rsidRPr="00930C7A">
              <w:rPr>
                <w:rFonts w:ascii="Arial" w:eastAsia="SimSun" w:hAnsi="Arial" w:cs="Arial"/>
                <w:sz w:val="18"/>
                <w:szCs w:val="18"/>
              </w:rPr>
              <w:t xml:space="preserve">, the intelligent access control system also contributes to the realization of the security of the space. In general, Ucommune </w:t>
            </w:r>
            <w:r w:rsidR="00752E27" w:rsidRPr="00930C7A">
              <w:rPr>
                <w:rFonts w:ascii="Arial" w:eastAsia="SimSun" w:hAnsi="Arial" w:cs="Arial"/>
                <w:sz w:val="18"/>
                <w:szCs w:val="18"/>
              </w:rPr>
              <w:t>is responsible for</w:t>
            </w:r>
            <w:r w:rsidRPr="00930C7A">
              <w:rPr>
                <w:rFonts w:ascii="Arial" w:eastAsia="SimSun" w:hAnsi="Arial" w:cs="Arial"/>
                <w:sz w:val="18"/>
                <w:szCs w:val="18"/>
              </w:rPr>
              <w:t xml:space="preserve"> the security, stability, integration, and scalability of this system.</w:t>
            </w:r>
          </w:p>
        </w:tc>
      </w:tr>
      <w:tr w:rsidR="00C044CC" w:rsidRPr="00930C7A" w14:paraId="5FEA4290" w14:textId="77777777" w:rsidTr="003051F5">
        <w:trPr>
          <w:trHeight w:val="1680"/>
          <w:tblHeader/>
          <w:jc w:val="center"/>
        </w:trPr>
        <w:tc>
          <w:tcPr>
            <w:tcW w:w="852" w:type="pct"/>
            <w:vAlign w:val="center"/>
          </w:tcPr>
          <w:p w14:paraId="0120C17A" w14:textId="115E9C12" w:rsidR="00C044CC" w:rsidRPr="00930C7A" w:rsidRDefault="00C044CC" w:rsidP="00DD4976">
            <w:pPr>
              <w:rPr>
                <w:rFonts w:ascii="Arial" w:eastAsia="SimSun" w:hAnsi="Arial" w:cs="Arial"/>
                <w:sz w:val="18"/>
                <w:szCs w:val="18"/>
              </w:rPr>
            </w:pPr>
            <w:r w:rsidRPr="00930C7A">
              <w:rPr>
                <w:rFonts w:ascii="Arial" w:eastAsia="SimSun" w:hAnsi="Arial" w:cs="Arial"/>
                <w:sz w:val="18"/>
                <w:szCs w:val="18"/>
              </w:rPr>
              <w:t xml:space="preserve">Cloud </w:t>
            </w:r>
            <w:r w:rsidR="003D7BF8">
              <w:rPr>
                <w:rFonts w:ascii="Arial" w:eastAsia="SimSun" w:hAnsi="Arial" w:cs="Arial"/>
                <w:sz w:val="18"/>
                <w:szCs w:val="18"/>
              </w:rPr>
              <w:t>Printing</w:t>
            </w:r>
          </w:p>
        </w:tc>
        <w:tc>
          <w:tcPr>
            <w:tcW w:w="1129" w:type="pct"/>
            <w:vAlign w:val="center"/>
          </w:tcPr>
          <w:p w14:paraId="60AB2934" w14:textId="49E96FA0" w:rsidR="00C044CC" w:rsidRPr="001F39AE" w:rsidRDefault="00E97E70" w:rsidP="00E97E70">
            <w:pPr>
              <w:rPr>
                <w:rFonts w:ascii="Arial" w:eastAsia="SimSun" w:hAnsi="Arial" w:cs="Arial"/>
                <w:spacing w:val="-2"/>
                <w:sz w:val="18"/>
                <w:szCs w:val="18"/>
              </w:rPr>
            </w:pPr>
            <w:r w:rsidRPr="001F39AE">
              <w:rPr>
                <w:rFonts w:ascii="Arial" w:eastAsia="SimSun" w:hAnsi="Arial" w:cs="Arial"/>
                <w:spacing w:val="-2"/>
                <w:sz w:val="18"/>
                <w:szCs w:val="18"/>
              </w:rPr>
              <w:t>A</w:t>
            </w:r>
            <w:r w:rsidR="00C044CC" w:rsidRPr="001F39AE">
              <w:rPr>
                <w:rFonts w:ascii="Arial" w:eastAsia="SimSun" w:hAnsi="Arial" w:cs="Arial"/>
                <w:spacing w:val="-2"/>
                <w:sz w:val="18"/>
                <w:szCs w:val="18"/>
              </w:rPr>
              <w:t xml:space="preserve"> convenient and efficient printing solution provided </w:t>
            </w:r>
            <w:r w:rsidRPr="001F39AE">
              <w:rPr>
                <w:rFonts w:ascii="Arial" w:eastAsia="SimSun" w:hAnsi="Arial" w:cs="Arial"/>
                <w:spacing w:val="-2"/>
                <w:sz w:val="18"/>
                <w:szCs w:val="18"/>
              </w:rPr>
              <w:t>to</w:t>
            </w:r>
            <w:r w:rsidR="00C044CC" w:rsidRPr="001F39AE">
              <w:rPr>
                <w:rFonts w:ascii="Arial" w:eastAsia="SimSun" w:hAnsi="Arial" w:cs="Arial"/>
                <w:spacing w:val="-2"/>
                <w:sz w:val="18"/>
                <w:szCs w:val="18"/>
              </w:rPr>
              <w:t xml:space="preserve"> members</w:t>
            </w:r>
            <w:r w:rsidR="002F5098" w:rsidRPr="001F39AE">
              <w:rPr>
                <w:rFonts w:ascii="Arial" w:eastAsia="SimSun" w:hAnsi="Arial" w:cs="Arial"/>
                <w:spacing w:val="-2"/>
                <w:sz w:val="18"/>
                <w:szCs w:val="18"/>
              </w:rPr>
              <w:t>.</w:t>
            </w:r>
          </w:p>
        </w:tc>
        <w:tc>
          <w:tcPr>
            <w:tcW w:w="3019" w:type="pct"/>
            <w:vAlign w:val="center"/>
          </w:tcPr>
          <w:p w14:paraId="21589F76" w14:textId="2B7BC654" w:rsidR="00C044CC" w:rsidRPr="00930C7A" w:rsidRDefault="00C044CC" w:rsidP="004E6754">
            <w:pPr>
              <w:rPr>
                <w:rFonts w:ascii="Arial" w:eastAsia="SimSun" w:hAnsi="Arial" w:cs="Arial"/>
                <w:sz w:val="18"/>
                <w:szCs w:val="18"/>
              </w:rPr>
            </w:pPr>
            <w:r w:rsidRPr="00930C7A">
              <w:rPr>
                <w:rFonts w:ascii="Arial" w:eastAsia="SimSun" w:hAnsi="Arial" w:cs="Arial"/>
                <w:sz w:val="18"/>
                <w:szCs w:val="18"/>
              </w:rPr>
              <w:t xml:space="preserve">Ucommune provides cloud printing services for members. </w:t>
            </w:r>
            <w:r w:rsidR="00E97E70" w:rsidRPr="00930C7A">
              <w:rPr>
                <w:rFonts w:ascii="Arial" w:eastAsia="SimSun" w:hAnsi="Arial" w:cs="Arial"/>
                <w:sz w:val="18"/>
                <w:szCs w:val="18"/>
              </w:rPr>
              <w:t>Through it</w:t>
            </w:r>
            <w:r w:rsidRPr="00930C7A">
              <w:rPr>
                <w:rFonts w:ascii="Arial" w:eastAsia="SimSun" w:hAnsi="Arial" w:cs="Arial"/>
                <w:sz w:val="18"/>
                <w:szCs w:val="18"/>
              </w:rPr>
              <w:t xml:space="preserve">, members can complete </w:t>
            </w:r>
            <w:r w:rsidR="00E97E70" w:rsidRPr="00930C7A">
              <w:rPr>
                <w:rFonts w:ascii="Arial" w:eastAsia="SimSun" w:hAnsi="Arial" w:cs="Arial"/>
                <w:sz w:val="18"/>
                <w:szCs w:val="18"/>
              </w:rPr>
              <w:t xml:space="preserve">a </w:t>
            </w:r>
            <w:r w:rsidRPr="00930C7A">
              <w:rPr>
                <w:rFonts w:ascii="Arial" w:eastAsia="SimSun" w:hAnsi="Arial" w:cs="Arial"/>
                <w:sz w:val="18"/>
                <w:szCs w:val="18"/>
              </w:rPr>
              <w:t xml:space="preserve">printing task conveniently and quickly. According to back-end data analysis, Ucommune can also obtain specific information about printer usage frequency and consumables and then adjust the number and location distribution of printers in real time </w:t>
            </w:r>
            <w:r w:rsidR="00E97E70" w:rsidRPr="00930C7A">
              <w:rPr>
                <w:rFonts w:ascii="Arial" w:eastAsia="SimSun" w:hAnsi="Arial" w:cs="Arial"/>
                <w:sz w:val="18"/>
                <w:szCs w:val="18"/>
              </w:rPr>
              <w:t>as well as</w:t>
            </w:r>
            <w:r w:rsidRPr="00930C7A">
              <w:rPr>
                <w:rFonts w:ascii="Arial" w:eastAsia="SimSun" w:hAnsi="Arial" w:cs="Arial"/>
                <w:sz w:val="18"/>
                <w:szCs w:val="18"/>
              </w:rPr>
              <w:t xml:space="preserve"> perform maintenance work such as consumable compensation and machine repair.</w:t>
            </w:r>
          </w:p>
        </w:tc>
      </w:tr>
      <w:tr w:rsidR="00C044CC" w:rsidRPr="00930C7A" w14:paraId="538B4D73" w14:textId="77777777" w:rsidTr="003051F5">
        <w:trPr>
          <w:trHeight w:val="1202"/>
          <w:tblHeader/>
          <w:jc w:val="center"/>
        </w:trPr>
        <w:tc>
          <w:tcPr>
            <w:tcW w:w="852" w:type="pct"/>
            <w:vAlign w:val="center"/>
          </w:tcPr>
          <w:p w14:paraId="39088034" w14:textId="759611B6" w:rsidR="00C044CC" w:rsidRPr="00930C7A" w:rsidRDefault="00C044CC" w:rsidP="00DD4976">
            <w:pPr>
              <w:rPr>
                <w:rFonts w:ascii="Arial" w:eastAsia="SimSun" w:hAnsi="Arial" w:cs="Arial"/>
                <w:sz w:val="18"/>
                <w:szCs w:val="18"/>
              </w:rPr>
            </w:pPr>
            <w:r w:rsidRPr="00930C7A">
              <w:rPr>
                <w:rFonts w:ascii="Arial" w:eastAsia="SimSun" w:hAnsi="Arial" w:cs="Arial"/>
                <w:sz w:val="18"/>
                <w:szCs w:val="18"/>
              </w:rPr>
              <w:t xml:space="preserve">Smart </w:t>
            </w:r>
            <w:r w:rsidR="003D7BF8">
              <w:rPr>
                <w:rFonts w:ascii="Arial" w:eastAsia="SimSun" w:hAnsi="Arial" w:cs="Arial"/>
                <w:sz w:val="18"/>
                <w:szCs w:val="18"/>
              </w:rPr>
              <w:t>Conferencing System</w:t>
            </w:r>
          </w:p>
        </w:tc>
        <w:tc>
          <w:tcPr>
            <w:tcW w:w="1129" w:type="pct"/>
            <w:vAlign w:val="center"/>
          </w:tcPr>
          <w:p w14:paraId="162B2854" w14:textId="1B6C173B" w:rsidR="00C044CC" w:rsidRPr="00930C7A" w:rsidRDefault="00E97E70" w:rsidP="00E97E70">
            <w:pPr>
              <w:rPr>
                <w:rFonts w:ascii="Arial" w:eastAsia="SimSun" w:hAnsi="Arial" w:cs="Arial"/>
                <w:sz w:val="18"/>
                <w:szCs w:val="18"/>
              </w:rPr>
            </w:pPr>
            <w:r w:rsidRPr="00930C7A">
              <w:rPr>
                <w:rFonts w:ascii="Arial" w:eastAsia="SimSun" w:hAnsi="Arial" w:cs="Arial"/>
                <w:sz w:val="18"/>
                <w:szCs w:val="18"/>
              </w:rPr>
              <w:t>A</w:t>
            </w:r>
            <w:r w:rsidR="00C044CC" w:rsidRPr="00930C7A">
              <w:rPr>
                <w:rFonts w:ascii="Arial" w:eastAsia="SimSun" w:hAnsi="Arial" w:cs="Arial"/>
                <w:sz w:val="18"/>
                <w:szCs w:val="18"/>
              </w:rPr>
              <w:t xml:space="preserve"> technological tool provided </w:t>
            </w:r>
            <w:r w:rsidRPr="00930C7A">
              <w:rPr>
                <w:rFonts w:ascii="Arial" w:eastAsia="SimSun" w:hAnsi="Arial" w:cs="Arial"/>
                <w:sz w:val="18"/>
                <w:szCs w:val="18"/>
              </w:rPr>
              <w:t>to</w:t>
            </w:r>
            <w:r w:rsidR="00C044CC" w:rsidRPr="00930C7A">
              <w:rPr>
                <w:rFonts w:ascii="Arial" w:eastAsia="SimSun" w:hAnsi="Arial" w:cs="Arial"/>
                <w:sz w:val="18"/>
                <w:szCs w:val="18"/>
              </w:rPr>
              <w:t xml:space="preserve"> members to manage conferences</w:t>
            </w:r>
            <w:r w:rsidR="002F5098">
              <w:rPr>
                <w:rFonts w:ascii="Arial" w:eastAsia="SimSun" w:hAnsi="Arial" w:cs="Arial"/>
                <w:sz w:val="18"/>
                <w:szCs w:val="18"/>
              </w:rPr>
              <w:t>.</w:t>
            </w:r>
          </w:p>
        </w:tc>
        <w:tc>
          <w:tcPr>
            <w:tcW w:w="3019" w:type="pct"/>
            <w:vAlign w:val="center"/>
          </w:tcPr>
          <w:p w14:paraId="10B6E567" w14:textId="77777777" w:rsidR="00C044CC" w:rsidRPr="00930C7A" w:rsidRDefault="00C044CC" w:rsidP="00C044CC">
            <w:pPr>
              <w:rPr>
                <w:rFonts w:ascii="Arial" w:eastAsia="SimSun" w:hAnsi="Arial" w:cs="Arial"/>
                <w:sz w:val="18"/>
                <w:szCs w:val="18"/>
              </w:rPr>
            </w:pPr>
            <w:r w:rsidRPr="00930C7A">
              <w:rPr>
                <w:rFonts w:ascii="Arial" w:eastAsia="SimSun" w:hAnsi="Arial" w:cs="Arial"/>
                <w:sz w:val="18"/>
                <w:szCs w:val="18"/>
              </w:rPr>
              <w:t>The system plays a role in the notification of participants, visitor reception, conference recording, conference sharing, conference summary, remote conference, conference privacy,</w:t>
            </w:r>
            <w:r w:rsidRPr="00930C7A">
              <w:rPr>
                <w:rFonts w:ascii="Arial" w:hAnsi="Arial" w:cs="Arial"/>
              </w:rPr>
              <w:t xml:space="preserve"> </w:t>
            </w:r>
            <w:r w:rsidRPr="00930C7A">
              <w:rPr>
                <w:rFonts w:ascii="Arial" w:eastAsia="SimSun" w:hAnsi="Arial" w:cs="Arial"/>
                <w:sz w:val="18"/>
                <w:szCs w:val="18"/>
              </w:rPr>
              <w:t>and other aspects to ensure the smooth progress of the conference, save</w:t>
            </w:r>
            <w:r w:rsidRPr="00930C7A">
              <w:rPr>
                <w:rFonts w:ascii="Arial" w:hAnsi="Arial" w:cs="Arial"/>
              </w:rPr>
              <w:t xml:space="preserve"> </w:t>
            </w:r>
            <w:r w:rsidRPr="00930C7A">
              <w:rPr>
                <w:rFonts w:ascii="Arial" w:eastAsia="SimSun" w:hAnsi="Arial" w:cs="Arial"/>
                <w:sz w:val="18"/>
                <w:szCs w:val="18"/>
              </w:rPr>
              <w:t>conference time, and improve conference efficiency.</w:t>
            </w:r>
          </w:p>
        </w:tc>
      </w:tr>
      <w:tr w:rsidR="00C044CC" w:rsidRPr="00930C7A" w14:paraId="10EC95ED" w14:textId="77777777" w:rsidTr="003051F5">
        <w:trPr>
          <w:trHeight w:val="1713"/>
          <w:tblHeader/>
          <w:jc w:val="center"/>
        </w:trPr>
        <w:tc>
          <w:tcPr>
            <w:tcW w:w="852" w:type="pct"/>
            <w:vAlign w:val="center"/>
          </w:tcPr>
          <w:p w14:paraId="222714FD" w14:textId="193275A5" w:rsidR="00C044CC" w:rsidRPr="00930C7A" w:rsidRDefault="00C044CC" w:rsidP="00DD4976">
            <w:pPr>
              <w:rPr>
                <w:rFonts w:ascii="Arial" w:eastAsia="SimSun" w:hAnsi="Arial" w:cs="Arial"/>
                <w:sz w:val="18"/>
                <w:szCs w:val="18"/>
              </w:rPr>
            </w:pPr>
            <w:r w:rsidRPr="00930C7A">
              <w:rPr>
                <w:rFonts w:ascii="Arial" w:eastAsia="SimSun" w:hAnsi="Arial" w:cs="Arial"/>
                <w:sz w:val="18"/>
                <w:szCs w:val="18"/>
              </w:rPr>
              <w:t xml:space="preserve">UDA </w:t>
            </w:r>
            <w:r w:rsidR="00132FB5">
              <w:rPr>
                <w:rFonts w:ascii="Arial" w:eastAsia="SimSun" w:hAnsi="Arial" w:cs="Arial"/>
                <w:sz w:val="18"/>
                <w:szCs w:val="18"/>
              </w:rPr>
              <w:t>System</w:t>
            </w:r>
          </w:p>
        </w:tc>
        <w:tc>
          <w:tcPr>
            <w:tcW w:w="1129" w:type="pct"/>
            <w:vAlign w:val="center"/>
          </w:tcPr>
          <w:p w14:paraId="505CEA14" w14:textId="1CC3FE90" w:rsidR="00C044CC" w:rsidRPr="001F39AE" w:rsidRDefault="00C044CC" w:rsidP="00C044CC">
            <w:pPr>
              <w:rPr>
                <w:rFonts w:ascii="Arial" w:eastAsia="SimSun" w:hAnsi="Arial" w:cs="Arial"/>
                <w:spacing w:val="-4"/>
                <w:sz w:val="18"/>
                <w:szCs w:val="18"/>
              </w:rPr>
            </w:pPr>
            <w:r w:rsidRPr="001F39AE">
              <w:rPr>
                <w:rFonts w:ascii="Arial" w:eastAsia="SimSun" w:hAnsi="Arial" w:cs="Arial"/>
                <w:spacing w:val="-4"/>
                <w:sz w:val="18"/>
                <w:szCs w:val="18"/>
              </w:rPr>
              <w:t>Ucommune’s proprietary co-working space operation system</w:t>
            </w:r>
            <w:r w:rsidR="002F5098" w:rsidRPr="001F39AE">
              <w:rPr>
                <w:rFonts w:ascii="Arial" w:eastAsia="SimSun" w:hAnsi="Arial" w:cs="Arial"/>
                <w:spacing w:val="-4"/>
                <w:sz w:val="18"/>
                <w:szCs w:val="18"/>
              </w:rPr>
              <w:t>.</w:t>
            </w:r>
          </w:p>
        </w:tc>
        <w:tc>
          <w:tcPr>
            <w:tcW w:w="3019" w:type="pct"/>
            <w:vAlign w:val="center"/>
          </w:tcPr>
          <w:p w14:paraId="178CD5A3" w14:textId="77777777" w:rsidR="00C044CC" w:rsidRPr="00930C7A" w:rsidRDefault="00C044CC" w:rsidP="00C044CC">
            <w:pPr>
              <w:rPr>
                <w:rFonts w:ascii="Arial" w:eastAsia="SimSun" w:hAnsi="Arial" w:cs="Arial"/>
                <w:sz w:val="18"/>
                <w:szCs w:val="18"/>
              </w:rPr>
            </w:pPr>
            <w:r w:rsidRPr="00930C7A">
              <w:rPr>
                <w:rFonts w:ascii="Arial" w:eastAsia="SimSun" w:hAnsi="Arial" w:cs="Arial"/>
                <w:sz w:val="18"/>
                <w:szCs w:val="18"/>
              </w:rPr>
              <w:t>UDA can be regarded as a customized solution designed for Ucommune’s co-working space operation. UDA enables Ucommune to simultaneously monitor the operation and occupancy of workstations and conference rooms in hundreds of co-working spaces and provides real-time insights into the performance of Ucommune’s business. UDA is also integrated with the customer relationship management and financial reporting systems.</w:t>
            </w:r>
          </w:p>
        </w:tc>
      </w:tr>
      <w:tr w:rsidR="00C044CC" w:rsidRPr="00930C7A" w14:paraId="3DDB8CD5" w14:textId="77777777" w:rsidTr="003051F5">
        <w:trPr>
          <w:trHeight w:val="1189"/>
          <w:tblHeader/>
          <w:jc w:val="center"/>
        </w:trPr>
        <w:tc>
          <w:tcPr>
            <w:tcW w:w="852" w:type="pct"/>
            <w:vAlign w:val="center"/>
          </w:tcPr>
          <w:p w14:paraId="5F40520E" w14:textId="3FD7FE9A" w:rsidR="00C044CC" w:rsidRPr="00930C7A" w:rsidRDefault="00C044CC" w:rsidP="00DD4976">
            <w:pPr>
              <w:rPr>
                <w:rFonts w:ascii="Arial" w:eastAsia="SimSun" w:hAnsi="Arial" w:cs="Arial"/>
                <w:sz w:val="18"/>
                <w:szCs w:val="18"/>
              </w:rPr>
            </w:pPr>
            <w:proofErr w:type="spellStart"/>
            <w:r w:rsidRPr="00930C7A">
              <w:rPr>
                <w:rFonts w:ascii="Arial" w:eastAsia="SimSun" w:hAnsi="Arial" w:cs="Arial"/>
                <w:sz w:val="18"/>
                <w:szCs w:val="18"/>
              </w:rPr>
              <w:t>Udata</w:t>
            </w:r>
            <w:proofErr w:type="spellEnd"/>
            <w:r w:rsidRPr="00930C7A">
              <w:rPr>
                <w:rFonts w:ascii="Arial" w:eastAsia="SimSun" w:hAnsi="Arial" w:cs="Arial"/>
                <w:sz w:val="18"/>
                <w:szCs w:val="18"/>
              </w:rPr>
              <w:t xml:space="preserve"> </w:t>
            </w:r>
            <w:r w:rsidR="005D61EB">
              <w:rPr>
                <w:rFonts w:ascii="Arial" w:eastAsia="SimSun" w:hAnsi="Arial" w:cs="Arial"/>
                <w:sz w:val="18"/>
                <w:szCs w:val="18"/>
              </w:rPr>
              <w:t>System</w:t>
            </w:r>
          </w:p>
        </w:tc>
        <w:tc>
          <w:tcPr>
            <w:tcW w:w="1129" w:type="pct"/>
            <w:vAlign w:val="center"/>
          </w:tcPr>
          <w:p w14:paraId="4198BC53" w14:textId="2609A2C5" w:rsidR="00C044CC" w:rsidRPr="00930C7A" w:rsidRDefault="00C044CC" w:rsidP="00C044CC">
            <w:pPr>
              <w:rPr>
                <w:rFonts w:ascii="Arial" w:eastAsia="SimSun" w:hAnsi="Arial" w:cs="Arial"/>
                <w:sz w:val="18"/>
                <w:szCs w:val="18"/>
              </w:rPr>
            </w:pPr>
            <w:r w:rsidRPr="00930C7A">
              <w:rPr>
                <w:rFonts w:ascii="Arial" w:eastAsia="SimSun" w:hAnsi="Arial" w:cs="Arial"/>
                <w:sz w:val="18"/>
                <w:szCs w:val="18"/>
              </w:rPr>
              <w:t>Ucommune’s proprietary data management system for storing, cleaning, and processing data</w:t>
            </w:r>
            <w:r w:rsidR="002F5098">
              <w:rPr>
                <w:rFonts w:ascii="Arial" w:eastAsia="SimSun" w:hAnsi="Arial" w:cs="Arial"/>
                <w:sz w:val="18"/>
                <w:szCs w:val="18"/>
              </w:rPr>
              <w:t>.</w:t>
            </w:r>
          </w:p>
        </w:tc>
        <w:tc>
          <w:tcPr>
            <w:tcW w:w="3019" w:type="pct"/>
            <w:vAlign w:val="center"/>
          </w:tcPr>
          <w:p w14:paraId="1B7DA2CF" w14:textId="4E8A15BC" w:rsidR="00C044CC" w:rsidRPr="001F39AE" w:rsidRDefault="00C044CC" w:rsidP="00C044CC">
            <w:pPr>
              <w:rPr>
                <w:rFonts w:ascii="Arial" w:eastAsia="SimSun" w:hAnsi="Arial" w:cs="Arial"/>
                <w:spacing w:val="-2"/>
                <w:sz w:val="18"/>
                <w:szCs w:val="18"/>
              </w:rPr>
            </w:pPr>
            <w:r w:rsidRPr="001F39AE">
              <w:rPr>
                <w:rFonts w:ascii="Arial" w:eastAsia="SimSun" w:hAnsi="Arial" w:cs="Arial"/>
                <w:spacing w:val="-2"/>
                <w:sz w:val="18"/>
                <w:szCs w:val="18"/>
              </w:rPr>
              <w:t>Udata enables Ucommune to better understand members’ demands and preferences based on data analysis</w:t>
            </w:r>
            <w:r w:rsidR="00E97E70" w:rsidRPr="001F39AE">
              <w:rPr>
                <w:rFonts w:ascii="Arial" w:eastAsia="SimSun" w:hAnsi="Arial" w:cs="Arial"/>
                <w:spacing w:val="-2"/>
                <w:sz w:val="18"/>
                <w:szCs w:val="18"/>
              </w:rPr>
              <w:t>,</w:t>
            </w:r>
            <w:r w:rsidRPr="001F39AE">
              <w:rPr>
                <w:rFonts w:ascii="Arial" w:eastAsia="SimSun" w:hAnsi="Arial" w:cs="Arial"/>
                <w:spacing w:val="-2"/>
                <w:sz w:val="18"/>
                <w:szCs w:val="18"/>
              </w:rPr>
              <w:t xml:space="preserve"> and supports Ucommune to further provide customized and satisfactory services for members.</w:t>
            </w:r>
          </w:p>
        </w:tc>
      </w:tr>
      <w:tr w:rsidR="00C044CC" w:rsidRPr="00930C7A" w14:paraId="57B90A27" w14:textId="77777777" w:rsidTr="003051F5">
        <w:trPr>
          <w:trHeight w:val="1679"/>
          <w:tblHeader/>
          <w:jc w:val="center"/>
        </w:trPr>
        <w:tc>
          <w:tcPr>
            <w:tcW w:w="852" w:type="pct"/>
            <w:vAlign w:val="center"/>
          </w:tcPr>
          <w:p w14:paraId="2AB6929C" w14:textId="77777777" w:rsidR="00C044CC" w:rsidRPr="00930C7A" w:rsidRDefault="00C044CC" w:rsidP="00DD4976">
            <w:pPr>
              <w:rPr>
                <w:rFonts w:ascii="Arial" w:eastAsia="SimSun" w:hAnsi="Arial" w:cs="Arial"/>
                <w:sz w:val="18"/>
                <w:szCs w:val="18"/>
              </w:rPr>
            </w:pPr>
            <w:proofErr w:type="spellStart"/>
            <w:r w:rsidRPr="00930C7A">
              <w:rPr>
                <w:rFonts w:ascii="Arial" w:eastAsia="SimSun" w:hAnsi="Arial" w:cs="Arial"/>
                <w:sz w:val="18"/>
                <w:szCs w:val="18"/>
              </w:rPr>
              <w:t>UcomOS</w:t>
            </w:r>
            <w:proofErr w:type="spellEnd"/>
          </w:p>
        </w:tc>
        <w:tc>
          <w:tcPr>
            <w:tcW w:w="1129" w:type="pct"/>
            <w:vAlign w:val="center"/>
          </w:tcPr>
          <w:p w14:paraId="39232C3C" w14:textId="53D6C7CC" w:rsidR="00C044CC" w:rsidRPr="00930C7A" w:rsidRDefault="00C044CC" w:rsidP="00C044CC">
            <w:pPr>
              <w:rPr>
                <w:rFonts w:ascii="Arial" w:eastAsia="SimSun" w:hAnsi="Arial" w:cs="Arial"/>
                <w:sz w:val="18"/>
                <w:szCs w:val="18"/>
              </w:rPr>
            </w:pPr>
            <w:r w:rsidRPr="00930C7A">
              <w:rPr>
                <w:rFonts w:ascii="Arial" w:eastAsia="SimSun" w:hAnsi="Arial" w:cs="Arial"/>
                <w:sz w:val="18"/>
                <w:szCs w:val="18"/>
              </w:rPr>
              <w:t>Cloud-based operating system developed based on the underlying technology of Chromium OS</w:t>
            </w:r>
            <w:r w:rsidR="002F5098">
              <w:rPr>
                <w:rFonts w:ascii="Arial" w:eastAsia="SimSun" w:hAnsi="Arial" w:cs="Arial"/>
                <w:sz w:val="18"/>
                <w:szCs w:val="18"/>
              </w:rPr>
              <w:t>.</w:t>
            </w:r>
          </w:p>
        </w:tc>
        <w:tc>
          <w:tcPr>
            <w:tcW w:w="3019" w:type="pct"/>
            <w:vAlign w:val="center"/>
          </w:tcPr>
          <w:p w14:paraId="1564D12B" w14:textId="246BAAF6" w:rsidR="00C044CC" w:rsidRPr="00930C7A" w:rsidRDefault="00C044CC" w:rsidP="00E97E70">
            <w:pPr>
              <w:rPr>
                <w:rFonts w:ascii="Arial" w:eastAsia="SimSun" w:hAnsi="Arial" w:cs="Arial"/>
                <w:sz w:val="18"/>
                <w:szCs w:val="18"/>
              </w:rPr>
            </w:pPr>
            <w:r w:rsidRPr="00930C7A">
              <w:rPr>
                <w:rFonts w:ascii="Arial" w:eastAsia="SimSun" w:hAnsi="Arial" w:cs="Arial"/>
                <w:sz w:val="18"/>
                <w:szCs w:val="18"/>
              </w:rPr>
              <w:t>All usage data of the system</w:t>
            </w:r>
            <w:r w:rsidR="00E97E70" w:rsidRPr="00930C7A">
              <w:rPr>
                <w:rFonts w:ascii="Arial" w:eastAsia="SimSun" w:hAnsi="Arial" w:cs="Arial"/>
                <w:sz w:val="18"/>
                <w:szCs w:val="18"/>
              </w:rPr>
              <w:t>’s users</w:t>
            </w:r>
            <w:r w:rsidRPr="00930C7A">
              <w:rPr>
                <w:rFonts w:ascii="Arial" w:eastAsia="SimSun" w:hAnsi="Arial" w:cs="Arial"/>
                <w:sz w:val="18"/>
                <w:szCs w:val="18"/>
              </w:rPr>
              <w:t xml:space="preserve"> is stored in the cloud and does not depend on the storage of the hardware itself. If the user logs in to the system with a computer, user preferences, applications, and data will be automatically synchronized, aiming to achieve a consistent office experience almost anywhere, any</w:t>
            </w:r>
            <w:r w:rsidR="00E97E70" w:rsidRPr="00930C7A">
              <w:rPr>
                <w:rFonts w:ascii="Arial" w:eastAsia="SimSun" w:hAnsi="Arial" w:cs="Arial"/>
                <w:sz w:val="18"/>
                <w:szCs w:val="18"/>
              </w:rPr>
              <w:t xml:space="preserve"> </w:t>
            </w:r>
            <w:r w:rsidRPr="00930C7A">
              <w:rPr>
                <w:rFonts w:ascii="Arial" w:eastAsia="SimSun" w:hAnsi="Arial" w:cs="Arial"/>
                <w:sz w:val="18"/>
                <w:szCs w:val="18"/>
              </w:rPr>
              <w:t>time after the user logs in. UcomOS can also be fully integrated with commonly used office systems and software.</w:t>
            </w:r>
          </w:p>
        </w:tc>
      </w:tr>
    </w:tbl>
    <w:p w14:paraId="70C76876" w14:textId="77777777" w:rsidR="00C044CC" w:rsidRPr="00930C7A" w:rsidRDefault="00C044CC" w:rsidP="00C044CC">
      <w:pPr>
        <w:pStyle w:val="Footnote"/>
        <w:rPr>
          <w:rFonts w:eastAsia="SimSun"/>
          <w:sz w:val="20"/>
          <w:szCs w:val="20"/>
          <w:lang w:eastAsia="zh-CN"/>
        </w:rPr>
      </w:pPr>
    </w:p>
    <w:p w14:paraId="2CFF5F18" w14:textId="77777777" w:rsidR="00C044CC" w:rsidRPr="00930C7A" w:rsidRDefault="00C044CC" w:rsidP="00C044CC">
      <w:pPr>
        <w:pStyle w:val="Footnote"/>
        <w:rPr>
          <w:rFonts w:eastAsia="SimSun"/>
          <w:lang w:eastAsia="zh-CN"/>
        </w:rPr>
      </w:pPr>
      <w:r w:rsidRPr="00930C7A">
        <w:rPr>
          <w:rFonts w:eastAsia="SimSun"/>
          <w:lang w:eastAsia="zh-CN"/>
        </w:rPr>
        <w:t>Source: Created by the case authors based on company documents.</w:t>
      </w:r>
    </w:p>
    <w:p w14:paraId="5BEFE8AB" w14:textId="77777777" w:rsidR="00C044CC" w:rsidRPr="00930C7A" w:rsidRDefault="00C044CC" w:rsidP="00C044CC">
      <w:pPr>
        <w:pStyle w:val="Footnote"/>
        <w:rPr>
          <w:rFonts w:eastAsia="DengXian"/>
          <w:lang w:eastAsia="zh-CN"/>
        </w:rPr>
      </w:pPr>
      <w:r w:rsidRPr="00930C7A">
        <w:rPr>
          <w:rFonts w:eastAsia="DengXian"/>
          <w:lang w:eastAsia="zh-CN"/>
        </w:rPr>
        <w:br w:type="page"/>
      </w:r>
    </w:p>
    <w:p w14:paraId="1FA4AE41" w14:textId="6A3E5234" w:rsidR="00D36125" w:rsidRPr="00930C7A" w:rsidRDefault="00D36125" w:rsidP="00D36125">
      <w:pPr>
        <w:pStyle w:val="ExhibitHeading"/>
      </w:pPr>
      <w:bookmarkStart w:id="62" w:name="_Hlk63417322"/>
      <w:r w:rsidRPr="00930C7A">
        <w:rPr>
          <w:lang w:eastAsia="en-GB"/>
        </w:rPr>
        <w:lastRenderedPageBreak/>
        <w:t xml:space="preserve">EXHIBIT </w:t>
      </w:r>
      <w:r w:rsidR="00582A46" w:rsidRPr="00930C7A">
        <w:rPr>
          <w:rFonts w:eastAsiaTheme="minorEastAsia"/>
          <w:lang w:eastAsia="zh-CN"/>
        </w:rPr>
        <w:t>4</w:t>
      </w:r>
      <w:r w:rsidRPr="00930C7A">
        <w:rPr>
          <w:lang w:eastAsia="en-GB"/>
        </w:rPr>
        <w:t xml:space="preserve">: </w:t>
      </w:r>
      <w:bookmarkStart w:id="63" w:name="_Hlk63417228"/>
      <w:r w:rsidRPr="00930C7A">
        <w:rPr>
          <w:lang w:eastAsia="en-GB"/>
        </w:rPr>
        <w:t>UCOMMUNE’s Combined and Consolidated Statements of Operation (Summary)</w:t>
      </w:r>
      <w:bookmarkEnd w:id="63"/>
    </w:p>
    <w:p w14:paraId="0BBDC66A" w14:textId="77777777" w:rsidR="00D36125" w:rsidRPr="00930C7A" w:rsidRDefault="00D36125" w:rsidP="00D36125">
      <w:pPr>
        <w:pStyle w:val="ExhibitText"/>
        <w:rPr>
          <w:rFonts w:ascii="DengXian" w:eastAsia="DengXian" w:hAnsi="DengXi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EXHIBIT 4"/>
        <w:tblDescription w:val="UCOMMUNE’S COMBINED AND CONSOLIDATED STATEMENTS OF OPERATION (SUMMARY)"/>
      </w:tblPr>
      <w:tblGrid>
        <w:gridCol w:w="1931"/>
        <w:gridCol w:w="1213"/>
        <w:gridCol w:w="1249"/>
        <w:gridCol w:w="1272"/>
        <w:gridCol w:w="1170"/>
        <w:gridCol w:w="1243"/>
        <w:gridCol w:w="1277"/>
      </w:tblGrid>
      <w:tr w:rsidR="00D36125" w:rsidRPr="00930C7A" w14:paraId="6D63A1B7" w14:textId="77777777" w:rsidTr="004258D6">
        <w:trPr>
          <w:trHeight w:val="360"/>
          <w:tblHeader/>
          <w:jc w:val="center"/>
        </w:trPr>
        <w:tc>
          <w:tcPr>
            <w:tcW w:w="1931" w:type="dxa"/>
            <w:noWrap/>
            <w:vAlign w:val="center"/>
          </w:tcPr>
          <w:p w14:paraId="0A7178F9" w14:textId="77777777" w:rsidR="00D36125" w:rsidRPr="00930C7A" w:rsidRDefault="00D36125" w:rsidP="007749E7">
            <w:pPr>
              <w:pStyle w:val="ExhibitText"/>
              <w:jc w:val="left"/>
              <w:rPr>
                <w:sz w:val="18"/>
                <w:szCs w:val="18"/>
              </w:rPr>
            </w:pPr>
            <w:bookmarkStart w:id="64" w:name="_Hlk51746507"/>
          </w:p>
        </w:tc>
        <w:tc>
          <w:tcPr>
            <w:tcW w:w="3734" w:type="dxa"/>
            <w:gridSpan w:val="3"/>
            <w:noWrap/>
            <w:vAlign w:val="center"/>
          </w:tcPr>
          <w:p w14:paraId="3E3A9F3B" w14:textId="77777777" w:rsidR="00D36125" w:rsidRPr="00930C7A" w:rsidRDefault="00D36125" w:rsidP="007749E7">
            <w:pPr>
              <w:pStyle w:val="ExhibitText"/>
              <w:jc w:val="center"/>
              <w:rPr>
                <w:b/>
                <w:sz w:val="18"/>
                <w:szCs w:val="18"/>
              </w:rPr>
            </w:pPr>
            <w:r w:rsidRPr="00930C7A">
              <w:rPr>
                <w:b/>
                <w:sz w:val="18"/>
                <w:szCs w:val="18"/>
              </w:rPr>
              <w:t>Year Ending December 31</w:t>
            </w:r>
          </w:p>
        </w:tc>
        <w:tc>
          <w:tcPr>
            <w:tcW w:w="3690" w:type="dxa"/>
            <w:gridSpan w:val="3"/>
            <w:noWrap/>
            <w:vAlign w:val="center"/>
          </w:tcPr>
          <w:p w14:paraId="69FB6BCE" w14:textId="77777777" w:rsidR="00D36125" w:rsidRPr="00930C7A" w:rsidRDefault="00D36125" w:rsidP="007749E7">
            <w:pPr>
              <w:pStyle w:val="ExhibitText"/>
              <w:jc w:val="center"/>
              <w:rPr>
                <w:b/>
                <w:sz w:val="18"/>
                <w:szCs w:val="18"/>
              </w:rPr>
            </w:pPr>
            <w:r w:rsidRPr="00930C7A">
              <w:rPr>
                <w:b/>
                <w:sz w:val="18"/>
                <w:szCs w:val="18"/>
              </w:rPr>
              <w:t>Nine Months Ending September 30</w:t>
            </w:r>
          </w:p>
        </w:tc>
      </w:tr>
      <w:tr w:rsidR="00D36125" w:rsidRPr="00930C7A" w14:paraId="5B86FCD6" w14:textId="77777777" w:rsidTr="004258D6">
        <w:trPr>
          <w:trHeight w:val="360"/>
          <w:tblHeader/>
          <w:jc w:val="center"/>
        </w:trPr>
        <w:tc>
          <w:tcPr>
            <w:tcW w:w="1931" w:type="dxa"/>
            <w:vAlign w:val="center"/>
          </w:tcPr>
          <w:p w14:paraId="223FC831" w14:textId="77777777" w:rsidR="00D36125" w:rsidRPr="00930C7A" w:rsidRDefault="00D36125" w:rsidP="007749E7">
            <w:pPr>
              <w:pStyle w:val="ExhibitText"/>
              <w:jc w:val="left"/>
              <w:rPr>
                <w:sz w:val="18"/>
                <w:szCs w:val="18"/>
              </w:rPr>
            </w:pPr>
          </w:p>
        </w:tc>
        <w:tc>
          <w:tcPr>
            <w:tcW w:w="1213" w:type="dxa"/>
            <w:vAlign w:val="center"/>
          </w:tcPr>
          <w:p w14:paraId="03EFCA0F" w14:textId="77777777" w:rsidR="00D36125" w:rsidRPr="00930C7A" w:rsidRDefault="00D36125" w:rsidP="007749E7">
            <w:pPr>
              <w:pStyle w:val="ExhibitText"/>
              <w:jc w:val="center"/>
              <w:rPr>
                <w:b/>
                <w:sz w:val="18"/>
                <w:szCs w:val="18"/>
              </w:rPr>
            </w:pPr>
            <w:r w:rsidRPr="00930C7A">
              <w:rPr>
                <w:b/>
                <w:sz w:val="18"/>
                <w:szCs w:val="18"/>
              </w:rPr>
              <w:t>201</w:t>
            </w:r>
            <w:r w:rsidRPr="00930C7A">
              <w:rPr>
                <w:rFonts w:eastAsia="DengXian"/>
                <w:b/>
                <w:sz w:val="18"/>
                <w:szCs w:val="18"/>
                <w:lang w:eastAsia="zh-CN"/>
              </w:rPr>
              <w:t>7</w:t>
            </w:r>
          </w:p>
        </w:tc>
        <w:tc>
          <w:tcPr>
            <w:tcW w:w="2521" w:type="dxa"/>
            <w:gridSpan w:val="2"/>
            <w:vAlign w:val="center"/>
          </w:tcPr>
          <w:p w14:paraId="21275527" w14:textId="77777777" w:rsidR="00D36125" w:rsidRPr="00930C7A" w:rsidRDefault="00D36125" w:rsidP="007749E7">
            <w:pPr>
              <w:pStyle w:val="ExhibitText"/>
              <w:jc w:val="center"/>
              <w:rPr>
                <w:b/>
                <w:sz w:val="18"/>
                <w:szCs w:val="18"/>
              </w:rPr>
            </w:pPr>
            <w:r w:rsidRPr="00930C7A">
              <w:rPr>
                <w:b/>
                <w:sz w:val="18"/>
                <w:szCs w:val="18"/>
              </w:rPr>
              <w:t>201</w:t>
            </w:r>
            <w:r w:rsidRPr="00930C7A">
              <w:rPr>
                <w:rFonts w:eastAsia="DengXian"/>
                <w:b/>
                <w:sz w:val="18"/>
                <w:szCs w:val="18"/>
                <w:lang w:eastAsia="zh-CN"/>
              </w:rPr>
              <w:t>8</w:t>
            </w:r>
          </w:p>
        </w:tc>
        <w:tc>
          <w:tcPr>
            <w:tcW w:w="1170" w:type="dxa"/>
            <w:vAlign w:val="center"/>
          </w:tcPr>
          <w:p w14:paraId="7CFA7961" w14:textId="77777777" w:rsidR="00D36125" w:rsidRPr="00930C7A" w:rsidRDefault="00D36125" w:rsidP="007749E7">
            <w:pPr>
              <w:pStyle w:val="ExhibitText"/>
              <w:jc w:val="center"/>
              <w:rPr>
                <w:b/>
                <w:sz w:val="18"/>
                <w:szCs w:val="18"/>
              </w:rPr>
            </w:pPr>
            <w:r w:rsidRPr="00930C7A">
              <w:rPr>
                <w:b/>
                <w:sz w:val="18"/>
                <w:szCs w:val="18"/>
              </w:rPr>
              <w:t>2018</w:t>
            </w:r>
          </w:p>
        </w:tc>
        <w:tc>
          <w:tcPr>
            <w:tcW w:w="2520" w:type="dxa"/>
            <w:gridSpan w:val="2"/>
            <w:vAlign w:val="center"/>
          </w:tcPr>
          <w:p w14:paraId="300F71A1" w14:textId="77777777" w:rsidR="00D36125" w:rsidRPr="00930C7A" w:rsidRDefault="00D36125" w:rsidP="007749E7">
            <w:pPr>
              <w:pStyle w:val="ExhibitText"/>
              <w:jc w:val="center"/>
              <w:rPr>
                <w:b/>
                <w:sz w:val="18"/>
                <w:szCs w:val="18"/>
              </w:rPr>
            </w:pPr>
            <w:r w:rsidRPr="00930C7A">
              <w:rPr>
                <w:b/>
                <w:sz w:val="18"/>
                <w:szCs w:val="18"/>
              </w:rPr>
              <w:t>2019</w:t>
            </w:r>
          </w:p>
        </w:tc>
      </w:tr>
      <w:tr w:rsidR="00D36125" w:rsidRPr="00930C7A" w14:paraId="313FF292" w14:textId="77777777" w:rsidTr="004258D6">
        <w:trPr>
          <w:trHeight w:val="360"/>
          <w:tblHeader/>
          <w:jc w:val="center"/>
        </w:trPr>
        <w:tc>
          <w:tcPr>
            <w:tcW w:w="1931" w:type="dxa"/>
            <w:vAlign w:val="center"/>
          </w:tcPr>
          <w:p w14:paraId="649E854B" w14:textId="5C4F349B" w:rsidR="00D36125" w:rsidRPr="00930C7A" w:rsidRDefault="00D36125" w:rsidP="007749E7">
            <w:pPr>
              <w:pStyle w:val="ExhibitText"/>
              <w:jc w:val="right"/>
              <w:rPr>
                <w:i/>
                <w:iCs/>
                <w:sz w:val="18"/>
                <w:szCs w:val="18"/>
              </w:rPr>
            </w:pPr>
            <w:r w:rsidRPr="00930C7A">
              <w:rPr>
                <w:i/>
                <w:iCs/>
                <w:sz w:val="18"/>
                <w:szCs w:val="18"/>
              </w:rPr>
              <w:t>In thousands,</w:t>
            </w:r>
          </w:p>
          <w:p w14:paraId="306C6923" w14:textId="65A21644" w:rsidR="00D36125" w:rsidRPr="00930C7A" w:rsidRDefault="00D36125" w:rsidP="007749E7">
            <w:pPr>
              <w:pStyle w:val="ExhibitText"/>
              <w:jc w:val="right"/>
              <w:rPr>
                <w:i/>
                <w:iCs/>
                <w:sz w:val="18"/>
                <w:szCs w:val="18"/>
              </w:rPr>
            </w:pPr>
            <w:r w:rsidRPr="00930C7A">
              <w:rPr>
                <w:i/>
                <w:iCs/>
                <w:sz w:val="18"/>
                <w:szCs w:val="18"/>
              </w:rPr>
              <w:t xml:space="preserve">except for percentages, shares, and </w:t>
            </w:r>
            <w:r w:rsidR="006178D1">
              <w:rPr>
                <w:i/>
                <w:iCs/>
                <w:sz w:val="18"/>
                <w:szCs w:val="18"/>
              </w:rPr>
              <w:t>per-share</w:t>
            </w:r>
            <w:r w:rsidRPr="00930C7A">
              <w:rPr>
                <w:i/>
                <w:iCs/>
                <w:sz w:val="18"/>
                <w:szCs w:val="18"/>
              </w:rPr>
              <w:t xml:space="preserve"> data</w:t>
            </w:r>
          </w:p>
        </w:tc>
        <w:tc>
          <w:tcPr>
            <w:tcW w:w="1213" w:type="dxa"/>
            <w:vAlign w:val="center"/>
          </w:tcPr>
          <w:p w14:paraId="4A0A23DA" w14:textId="77777777" w:rsidR="00D36125" w:rsidRPr="00930C7A" w:rsidRDefault="00D36125" w:rsidP="007749E7">
            <w:pPr>
              <w:pStyle w:val="ExhibitText"/>
              <w:jc w:val="center"/>
              <w:rPr>
                <w:b/>
                <w:sz w:val="18"/>
                <w:szCs w:val="18"/>
              </w:rPr>
            </w:pPr>
            <w:r w:rsidRPr="00930C7A">
              <w:rPr>
                <w:b/>
                <w:sz w:val="18"/>
                <w:szCs w:val="18"/>
              </w:rPr>
              <w:t>CNY</w:t>
            </w:r>
          </w:p>
        </w:tc>
        <w:tc>
          <w:tcPr>
            <w:tcW w:w="1249" w:type="dxa"/>
            <w:vAlign w:val="center"/>
          </w:tcPr>
          <w:p w14:paraId="020E4E9F" w14:textId="77777777" w:rsidR="00D36125" w:rsidRPr="00930C7A" w:rsidRDefault="00D36125" w:rsidP="007749E7">
            <w:pPr>
              <w:pStyle w:val="ExhibitText"/>
              <w:jc w:val="center"/>
              <w:rPr>
                <w:b/>
                <w:sz w:val="18"/>
                <w:szCs w:val="18"/>
              </w:rPr>
            </w:pPr>
            <w:r w:rsidRPr="00930C7A">
              <w:rPr>
                <w:b/>
                <w:sz w:val="18"/>
                <w:szCs w:val="18"/>
              </w:rPr>
              <w:t>CNY</w:t>
            </w:r>
          </w:p>
        </w:tc>
        <w:tc>
          <w:tcPr>
            <w:tcW w:w="1272" w:type="dxa"/>
            <w:vAlign w:val="center"/>
          </w:tcPr>
          <w:p w14:paraId="79EAD6DE" w14:textId="163D277E" w:rsidR="00D36125" w:rsidRPr="00930C7A" w:rsidRDefault="006178D1" w:rsidP="007749E7">
            <w:pPr>
              <w:pStyle w:val="ExhibitText"/>
              <w:jc w:val="center"/>
              <w:rPr>
                <w:b/>
                <w:sz w:val="18"/>
                <w:szCs w:val="18"/>
              </w:rPr>
            </w:pPr>
            <w:r>
              <w:rPr>
                <w:b/>
                <w:sz w:val="18"/>
                <w:szCs w:val="18"/>
              </w:rPr>
              <w:t>USD</w:t>
            </w:r>
          </w:p>
        </w:tc>
        <w:tc>
          <w:tcPr>
            <w:tcW w:w="1170" w:type="dxa"/>
            <w:vAlign w:val="center"/>
          </w:tcPr>
          <w:p w14:paraId="4141E9D4" w14:textId="77777777" w:rsidR="00D36125" w:rsidRPr="00930C7A" w:rsidRDefault="00D36125" w:rsidP="007749E7">
            <w:pPr>
              <w:pStyle w:val="ExhibitText"/>
              <w:jc w:val="center"/>
              <w:rPr>
                <w:b/>
                <w:sz w:val="18"/>
                <w:szCs w:val="18"/>
              </w:rPr>
            </w:pPr>
            <w:r w:rsidRPr="00930C7A">
              <w:rPr>
                <w:b/>
                <w:sz w:val="18"/>
                <w:szCs w:val="18"/>
              </w:rPr>
              <w:t>CNY</w:t>
            </w:r>
          </w:p>
        </w:tc>
        <w:tc>
          <w:tcPr>
            <w:tcW w:w="1243" w:type="dxa"/>
            <w:vAlign w:val="center"/>
          </w:tcPr>
          <w:p w14:paraId="18B43911" w14:textId="77777777" w:rsidR="00D36125" w:rsidRPr="00930C7A" w:rsidRDefault="00D36125" w:rsidP="007749E7">
            <w:pPr>
              <w:pStyle w:val="ExhibitText"/>
              <w:jc w:val="center"/>
              <w:rPr>
                <w:b/>
                <w:sz w:val="18"/>
                <w:szCs w:val="18"/>
              </w:rPr>
            </w:pPr>
            <w:r w:rsidRPr="00930C7A">
              <w:rPr>
                <w:b/>
                <w:sz w:val="18"/>
                <w:szCs w:val="18"/>
              </w:rPr>
              <w:t>CNY</w:t>
            </w:r>
          </w:p>
        </w:tc>
        <w:tc>
          <w:tcPr>
            <w:tcW w:w="1277" w:type="dxa"/>
            <w:vAlign w:val="center"/>
          </w:tcPr>
          <w:p w14:paraId="54FE0CDA" w14:textId="4320B8C2" w:rsidR="00D36125" w:rsidRPr="00930C7A" w:rsidRDefault="006178D1" w:rsidP="007749E7">
            <w:pPr>
              <w:pStyle w:val="ExhibitText"/>
              <w:jc w:val="center"/>
              <w:rPr>
                <w:b/>
                <w:sz w:val="18"/>
                <w:szCs w:val="18"/>
              </w:rPr>
            </w:pPr>
            <w:r>
              <w:rPr>
                <w:b/>
                <w:sz w:val="18"/>
                <w:szCs w:val="18"/>
              </w:rPr>
              <w:t>USD</w:t>
            </w:r>
          </w:p>
        </w:tc>
      </w:tr>
      <w:bookmarkEnd w:id="64"/>
      <w:tr w:rsidR="00D36125" w:rsidRPr="00930C7A" w14:paraId="2D8832C2" w14:textId="77777777" w:rsidTr="004258D6">
        <w:trPr>
          <w:trHeight w:val="360"/>
          <w:tblHeader/>
          <w:jc w:val="center"/>
        </w:trPr>
        <w:tc>
          <w:tcPr>
            <w:tcW w:w="1931" w:type="dxa"/>
            <w:vAlign w:val="center"/>
          </w:tcPr>
          <w:p w14:paraId="7D4989AD" w14:textId="77777777" w:rsidR="00D36125" w:rsidRPr="00930C7A" w:rsidRDefault="00D36125" w:rsidP="007749E7">
            <w:pPr>
              <w:pStyle w:val="ExhibitText"/>
              <w:jc w:val="left"/>
              <w:rPr>
                <w:sz w:val="18"/>
                <w:szCs w:val="18"/>
              </w:rPr>
            </w:pPr>
            <w:r w:rsidRPr="00930C7A">
              <w:rPr>
                <w:sz w:val="18"/>
                <w:szCs w:val="18"/>
              </w:rPr>
              <w:t>Net revenue</w:t>
            </w:r>
          </w:p>
        </w:tc>
        <w:tc>
          <w:tcPr>
            <w:tcW w:w="1213" w:type="dxa"/>
            <w:vAlign w:val="center"/>
          </w:tcPr>
          <w:p w14:paraId="0933AC5C" w14:textId="77777777" w:rsidR="00D36125" w:rsidRPr="00930C7A" w:rsidRDefault="00D36125" w:rsidP="007749E7">
            <w:pPr>
              <w:pStyle w:val="ExhibitText"/>
              <w:jc w:val="center"/>
              <w:rPr>
                <w:sz w:val="18"/>
                <w:szCs w:val="18"/>
              </w:rPr>
            </w:pPr>
          </w:p>
        </w:tc>
        <w:tc>
          <w:tcPr>
            <w:tcW w:w="1249" w:type="dxa"/>
            <w:vAlign w:val="center"/>
          </w:tcPr>
          <w:p w14:paraId="1E67F84D" w14:textId="77777777" w:rsidR="00D36125" w:rsidRPr="00930C7A" w:rsidRDefault="00D36125" w:rsidP="007749E7">
            <w:pPr>
              <w:pStyle w:val="ExhibitText"/>
              <w:jc w:val="center"/>
              <w:rPr>
                <w:sz w:val="18"/>
                <w:szCs w:val="18"/>
              </w:rPr>
            </w:pPr>
          </w:p>
        </w:tc>
        <w:tc>
          <w:tcPr>
            <w:tcW w:w="1272" w:type="dxa"/>
            <w:vAlign w:val="center"/>
          </w:tcPr>
          <w:p w14:paraId="15AD6244" w14:textId="77777777" w:rsidR="00D36125" w:rsidRPr="00930C7A" w:rsidRDefault="00D36125" w:rsidP="007749E7">
            <w:pPr>
              <w:pStyle w:val="ExhibitText"/>
              <w:jc w:val="center"/>
              <w:rPr>
                <w:sz w:val="18"/>
                <w:szCs w:val="18"/>
              </w:rPr>
            </w:pPr>
          </w:p>
        </w:tc>
        <w:tc>
          <w:tcPr>
            <w:tcW w:w="1170" w:type="dxa"/>
            <w:vAlign w:val="center"/>
          </w:tcPr>
          <w:p w14:paraId="379F7856" w14:textId="77777777" w:rsidR="00D36125" w:rsidRPr="00930C7A" w:rsidRDefault="00D36125" w:rsidP="007749E7">
            <w:pPr>
              <w:pStyle w:val="ExhibitText"/>
              <w:jc w:val="center"/>
              <w:rPr>
                <w:sz w:val="18"/>
                <w:szCs w:val="18"/>
              </w:rPr>
            </w:pPr>
          </w:p>
        </w:tc>
        <w:tc>
          <w:tcPr>
            <w:tcW w:w="1243" w:type="dxa"/>
            <w:vAlign w:val="center"/>
          </w:tcPr>
          <w:p w14:paraId="7BD84678" w14:textId="77777777" w:rsidR="00D36125" w:rsidRPr="00930C7A" w:rsidRDefault="00D36125" w:rsidP="007749E7">
            <w:pPr>
              <w:pStyle w:val="ExhibitText"/>
              <w:jc w:val="center"/>
              <w:rPr>
                <w:sz w:val="18"/>
                <w:szCs w:val="18"/>
              </w:rPr>
            </w:pPr>
          </w:p>
        </w:tc>
        <w:tc>
          <w:tcPr>
            <w:tcW w:w="1277" w:type="dxa"/>
            <w:vAlign w:val="center"/>
          </w:tcPr>
          <w:p w14:paraId="33145185" w14:textId="77777777" w:rsidR="00D36125" w:rsidRPr="00930C7A" w:rsidRDefault="00D36125" w:rsidP="007749E7">
            <w:pPr>
              <w:pStyle w:val="ExhibitText"/>
              <w:jc w:val="center"/>
              <w:rPr>
                <w:sz w:val="18"/>
                <w:szCs w:val="18"/>
              </w:rPr>
            </w:pPr>
          </w:p>
        </w:tc>
      </w:tr>
      <w:tr w:rsidR="00D36125" w:rsidRPr="00930C7A" w14:paraId="44D9390D" w14:textId="77777777" w:rsidTr="004258D6">
        <w:trPr>
          <w:trHeight w:val="360"/>
          <w:tblHeader/>
          <w:jc w:val="center"/>
        </w:trPr>
        <w:tc>
          <w:tcPr>
            <w:tcW w:w="1931" w:type="dxa"/>
            <w:vAlign w:val="center"/>
          </w:tcPr>
          <w:p w14:paraId="5D101557" w14:textId="77777777" w:rsidR="00D36125" w:rsidRPr="00930C7A" w:rsidRDefault="00D36125" w:rsidP="007749E7">
            <w:pPr>
              <w:pStyle w:val="ExhibitText"/>
              <w:ind w:leftChars="100" w:left="200"/>
              <w:jc w:val="left"/>
              <w:rPr>
                <w:sz w:val="18"/>
                <w:szCs w:val="18"/>
              </w:rPr>
            </w:pPr>
            <w:r w:rsidRPr="00930C7A">
              <w:rPr>
                <w:sz w:val="18"/>
                <w:szCs w:val="18"/>
              </w:rPr>
              <w:t>Workspace membership</w:t>
            </w:r>
          </w:p>
        </w:tc>
        <w:tc>
          <w:tcPr>
            <w:tcW w:w="1213" w:type="dxa"/>
            <w:vAlign w:val="center"/>
          </w:tcPr>
          <w:p w14:paraId="4D0F94C7" w14:textId="77777777" w:rsidR="00D36125" w:rsidRPr="00930C7A" w:rsidRDefault="00D36125" w:rsidP="007749E7">
            <w:pPr>
              <w:pStyle w:val="ExhibitText"/>
              <w:jc w:val="right"/>
              <w:rPr>
                <w:sz w:val="18"/>
                <w:szCs w:val="18"/>
              </w:rPr>
            </w:pPr>
            <w:r w:rsidRPr="00930C7A">
              <w:rPr>
                <w:sz w:val="18"/>
                <w:szCs w:val="18"/>
              </w:rPr>
              <w:t>154,470</w:t>
            </w:r>
          </w:p>
        </w:tc>
        <w:tc>
          <w:tcPr>
            <w:tcW w:w="1249" w:type="dxa"/>
            <w:vAlign w:val="center"/>
          </w:tcPr>
          <w:p w14:paraId="69CB7EE4" w14:textId="77777777" w:rsidR="00D36125" w:rsidRPr="00930C7A" w:rsidRDefault="00D36125" w:rsidP="007749E7">
            <w:pPr>
              <w:pStyle w:val="ExhibitText"/>
              <w:jc w:val="right"/>
              <w:rPr>
                <w:sz w:val="18"/>
                <w:szCs w:val="18"/>
              </w:rPr>
            </w:pPr>
            <w:r w:rsidRPr="00930C7A">
              <w:rPr>
                <w:sz w:val="18"/>
                <w:szCs w:val="18"/>
              </w:rPr>
              <w:t>394,356</w:t>
            </w:r>
          </w:p>
        </w:tc>
        <w:tc>
          <w:tcPr>
            <w:tcW w:w="1272" w:type="dxa"/>
            <w:vAlign w:val="center"/>
          </w:tcPr>
          <w:p w14:paraId="3ECFE08C" w14:textId="77777777" w:rsidR="00D36125" w:rsidRPr="00930C7A" w:rsidRDefault="00D36125" w:rsidP="007749E7">
            <w:pPr>
              <w:pStyle w:val="ExhibitText"/>
              <w:jc w:val="right"/>
              <w:rPr>
                <w:sz w:val="18"/>
                <w:szCs w:val="18"/>
              </w:rPr>
            </w:pPr>
            <w:r w:rsidRPr="00930C7A">
              <w:rPr>
                <w:sz w:val="18"/>
                <w:szCs w:val="18"/>
              </w:rPr>
              <w:t>55,172</w:t>
            </w:r>
          </w:p>
        </w:tc>
        <w:tc>
          <w:tcPr>
            <w:tcW w:w="1170" w:type="dxa"/>
            <w:vAlign w:val="center"/>
          </w:tcPr>
          <w:p w14:paraId="47E62E08" w14:textId="77777777" w:rsidR="00D36125" w:rsidRPr="00930C7A" w:rsidRDefault="00D36125" w:rsidP="007749E7">
            <w:pPr>
              <w:pStyle w:val="ExhibitText"/>
              <w:jc w:val="right"/>
              <w:rPr>
                <w:sz w:val="18"/>
                <w:szCs w:val="18"/>
              </w:rPr>
            </w:pPr>
            <w:r w:rsidRPr="00930C7A">
              <w:rPr>
                <w:sz w:val="18"/>
                <w:szCs w:val="18"/>
              </w:rPr>
              <w:t>263,588</w:t>
            </w:r>
          </w:p>
        </w:tc>
        <w:tc>
          <w:tcPr>
            <w:tcW w:w="1243" w:type="dxa"/>
            <w:vAlign w:val="center"/>
          </w:tcPr>
          <w:p w14:paraId="6480B435" w14:textId="77777777" w:rsidR="00D36125" w:rsidRPr="00930C7A" w:rsidRDefault="00D36125" w:rsidP="007749E7">
            <w:pPr>
              <w:pStyle w:val="ExhibitText"/>
              <w:jc w:val="right"/>
              <w:rPr>
                <w:sz w:val="18"/>
                <w:szCs w:val="18"/>
              </w:rPr>
            </w:pPr>
            <w:r w:rsidRPr="00930C7A">
              <w:rPr>
                <w:sz w:val="18"/>
                <w:szCs w:val="18"/>
              </w:rPr>
              <w:t>419,634</w:t>
            </w:r>
          </w:p>
        </w:tc>
        <w:tc>
          <w:tcPr>
            <w:tcW w:w="1277" w:type="dxa"/>
            <w:vAlign w:val="center"/>
          </w:tcPr>
          <w:p w14:paraId="388E4426" w14:textId="77777777" w:rsidR="00D36125" w:rsidRPr="00930C7A" w:rsidRDefault="00D36125" w:rsidP="007749E7">
            <w:pPr>
              <w:pStyle w:val="ExhibitText"/>
              <w:jc w:val="right"/>
              <w:rPr>
                <w:sz w:val="18"/>
                <w:szCs w:val="18"/>
              </w:rPr>
            </w:pPr>
            <w:r w:rsidRPr="00930C7A">
              <w:rPr>
                <w:sz w:val="18"/>
                <w:szCs w:val="18"/>
              </w:rPr>
              <w:t>58,709</w:t>
            </w:r>
          </w:p>
        </w:tc>
      </w:tr>
      <w:tr w:rsidR="00D36125" w:rsidRPr="00930C7A" w14:paraId="47195530" w14:textId="77777777" w:rsidTr="004258D6">
        <w:trPr>
          <w:trHeight w:val="360"/>
          <w:tblHeader/>
          <w:jc w:val="center"/>
        </w:trPr>
        <w:tc>
          <w:tcPr>
            <w:tcW w:w="1931" w:type="dxa"/>
            <w:vAlign w:val="center"/>
          </w:tcPr>
          <w:p w14:paraId="5C6E79FE" w14:textId="77777777" w:rsidR="00D36125" w:rsidRPr="00930C7A" w:rsidRDefault="00D36125" w:rsidP="007749E7">
            <w:pPr>
              <w:pStyle w:val="ExhibitText"/>
              <w:ind w:leftChars="100" w:left="200"/>
              <w:jc w:val="left"/>
              <w:rPr>
                <w:sz w:val="18"/>
                <w:szCs w:val="18"/>
              </w:rPr>
            </w:pPr>
            <w:r w:rsidRPr="00930C7A">
              <w:rPr>
                <w:sz w:val="18"/>
                <w:szCs w:val="18"/>
              </w:rPr>
              <w:t>Marketing and branding</w:t>
            </w:r>
            <w:r w:rsidRPr="00930C7A">
              <w:rPr>
                <w:rFonts w:eastAsia="DengXian"/>
                <w:sz w:val="18"/>
                <w:szCs w:val="18"/>
                <w:lang w:eastAsia="zh-CN"/>
              </w:rPr>
              <w:t xml:space="preserve"> </w:t>
            </w:r>
            <w:r w:rsidRPr="00930C7A">
              <w:rPr>
                <w:sz w:val="18"/>
                <w:szCs w:val="18"/>
              </w:rPr>
              <w:t>services</w:t>
            </w:r>
          </w:p>
        </w:tc>
        <w:tc>
          <w:tcPr>
            <w:tcW w:w="1213" w:type="dxa"/>
            <w:vAlign w:val="center"/>
          </w:tcPr>
          <w:p w14:paraId="154AF00D" w14:textId="6E5A1DA0" w:rsidR="00D36125" w:rsidRPr="00930C7A" w:rsidRDefault="008F011B" w:rsidP="007749E7">
            <w:pPr>
              <w:pStyle w:val="ExhibitText"/>
              <w:jc w:val="right"/>
              <w:rPr>
                <w:sz w:val="18"/>
                <w:szCs w:val="18"/>
              </w:rPr>
            </w:pPr>
            <w:r w:rsidRPr="008F011B">
              <w:rPr>
                <w:rFonts w:eastAsia="SimSun" w:hint="eastAsia"/>
                <w:sz w:val="18"/>
                <w:szCs w:val="18"/>
                <w:lang w:eastAsia="zh-CN"/>
              </w:rPr>
              <w:t>…</w:t>
            </w:r>
          </w:p>
        </w:tc>
        <w:tc>
          <w:tcPr>
            <w:tcW w:w="1249" w:type="dxa"/>
            <w:vAlign w:val="center"/>
          </w:tcPr>
          <w:p w14:paraId="76E7CFFA" w14:textId="77777777" w:rsidR="00D36125" w:rsidRPr="00930C7A" w:rsidRDefault="00D36125" w:rsidP="007749E7">
            <w:pPr>
              <w:pStyle w:val="ExhibitText"/>
              <w:jc w:val="right"/>
              <w:rPr>
                <w:sz w:val="18"/>
                <w:szCs w:val="18"/>
              </w:rPr>
            </w:pPr>
            <w:r w:rsidRPr="00930C7A">
              <w:rPr>
                <w:sz w:val="18"/>
                <w:szCs w:val="18"/>
              </w:rPr>
              <w:t>24,617</w:t>
            </w:r>
          </w:p>
        </w:tc>
        <w:tc>
          <w:tcPr>
            <w:tcW w:w="1272" w:type="dxa"/>
            <w:vAlign w:val="center"/>
          </w:tcPr>
          <w:p w14:paraId="36229EEF" w14:textId="77777777" w:rsidR="00D36125" w:rsidRPr="00930C7A" w:rsidRDefault="00D36125" w:rsidP="007749E7">
            <w:pPr>
              <w:pStyle w:val="ExhibitText"/>
              <w:jc w:val="right"/>
              <w:rPr>
                <w:sz w:val="18"/>
                <w:szCs w:val="18"/>
              </w:rPr>
            </w:pPr>
            <w:r w:rsidRPr="00930C7A">
              <w:rPr>
                <w:sz w:val="18"/>
                <w:szCs w:val="18"/>
              </w:rPr>
              <w:t>3,444</w:t>
            </w:r>
          </w:p>
        </w:tc>
        <w:tc>
          <w:tcPr>
            <w:tcW w:w="1170" w:type="dxa"/>
            <w:vAlign w:val="center"/>
          </w:tcPr>
          <w:p w14:paraId="69380D11" w14:textId="77777777" w:rsidR="00D36125" w:rsidRPr="00930C7A" w:rsidRDefault="00D36125" w:rsidP="007749E7">
            <w:pPr>
              <w:pStyle w:val="ExhibitText"/>
              <w:jc w:val="right"/>
              <w:rPr>
                <w:sz w:val="18"/>
                <w:szCs w:val="18"/>
              </w:rPr>
            </w:pPr>
            <w:r w:rsidRPr="00930C7A">
              <w:rPr>
                <w:sz w:val="18"/>
                <w:szCs w:val="18"/>
              </w:rPr>
              <w:t>855</w:t>
            </w:r>
          </w:p>
        </w:tc>
        <w:tc>
          <w:tcPr>
            <w:tcW w:w="1243" w:type="dxa"/>
            <w:vAlign w:val="center"/>
          </w:tcPr>
          <w:p w14:paraId="265A21A4" w14:textId="77777777" w:rsidR="00D36125" w:rsidRPr="00930C7A" w:rsidRDefault="00D36125" w:rsidP="007749E7">
            <w:pPr>
              <w:pStyle w:val="ExhibitText"/>
              <w:jc w:val="right"/>
              <w:rPr>
                <w:sz w:val="18"/>
                <w:szCs w:val="18"/>
              </w:rPr>
            </w:pPr>
            <w:r w:rsidRPr="00930C7A">
              <w:rPr>
                <w:sz w:val="18"/>
                <w:szCs w:val="18"/>
              </w:rPr>
              <w:t>403,484</w:t>
            </w:r>
          </w:p>
        </w:tc>
        <w:tc>
          <w:tcPr>
            <w:tcW w:w="1277" w:type="dxa"/>
            <w:vAlign w:val="center"/>
          </w:tcPr>
          <w:p w14:paraId="6AC94999" w14:textId="77777777" w:rsidR="00D36125" w:rsidRPr="00930C7A" w:rsidRDefault="00D36125" w:rsidP="007749E7">
            <w:pPr>
              <w:pStyle w:val="ExhibitText"/>
              <w:jc w:val="right"/>
              <w:rPr>
                <w:sz w:val="18"/>
                <w:szCs w:val="18"/>
              </w:rPr>
            </w:pPr>
            <w:r w:rsidRPr="00930C7A">
              <w:rPr>
                <w:sz w:val="18"/>
                <w:szCs w:val="18"/>
              </w:rPr>
              <w:t>56,449</w:t>
            </w:r>
          </w:p>
        </w:tc>
      </w:tr>
      <w:tr w:rsidR="00D36125" w:rsidRPr="00930C7A" w14:paraId="456FFAB1" w14:textId="77777777" w:rsidTr="004258D6">
        <w:trPr>
          <w:trHeight w:val="360"/>
          <w:tblHeader/>
          <w:jc w:val="center"/>
        </w:trPr>
        <w:tc>
          <w:tcPr>
            <w:tcW w:w="1931" w:type="dxa"/>
            <w:vAlign w:val="center"/>
          </w:tcPr>
          <w:p w14:paraId="31E5EDC7" w14:textId="77777777" w:rsidR="00D36125" w:rsidRPr="00930C7A" w:rsidRDefault="00D36125" w:rsidP="007749E7">
            <w:pPr>
              <w:pStyle w:val="ExhibitText"/>
              <w:ind w:left="144"/>
              <w:jc w:val="left"/>
              <w:rPr>
                <w:sz w:val="18"/>
                <w:szCs w:val="18"/>
              </w:rPr>
            </w:pPr>
            <w:r w:rsidRPr="00930C7A">
              <w:rPr>
                <w:sz w:val="18"/>
                <w:szCs w:val="18"/>
              </w:rPr>
              <w:t>Other services</w:t>
            </w:r>
          </w:p>
        </w:tc>
        <w:tc>
          <w:tcPr>
            <w:tcW w:w="1213" w:type="dxa"/>
            <w:vAlign w:val="center"/>
          </w:tcPr>
          <w:p w14:paraId="5CDFAEE0" w14:textId="77777777" w:rsidR="00D36125" w:rsidRPr="00930C7A" w:rsidRDefault="00D36125" w:rsidP="007749E7">
            <w:pPr>
              <w:pStyle w:val="ExhibitText"/>
              <w:jc w:val="right"/>
              <w:rPr>
                <w:sz w:val="18"/>
                <w:szCs w:val="18"/>
              </w:rPr>
            </w:pPr>
            <w:r w:rsidRPr="00930C7A">
              <w:rPr>
                <w:sz w:val="18"/>
                <w:szCs w:val="18"/>
              </w:rPr>
              <w:t>12,924</w:t>
            </w:r>
          </w:p>
        </w:tc>
        <w:tc>
          <w:tcPr>
            <w:tcW w:w="1249" w:type="dxa"/>
            <w:vAlign w:val="center"/>
          </w:tcPr>
          <w:p w14:paraId="0C44C170" w14:textId="77777777" w:rsidR="00D36125" w:rsidRPr="00930C7A" w:rsidRDefault="00D36125" w:rsidP="007749E7">
            <w:pPr>
              <w:pStyle w:val="ExhibitText"/>
              <w:jc w:val="right"/>
              <w:rPr>
                <w:sz w:val="18"/>
                <w:szCs w:val="18"/>
              </w:rPr>
            </w:pPr>
            <w:r w:rsidRPr="00930C7A">
              <w:rPr>
                <w:sz w:val="18"/>
                <w:szCs w:val="18"/>
              </w:rPr>
              <w:t>29,535</w:t>
            </w:r>
          </w:p>
        </w:tc>
        <w:tc>
          <w:tcPr>
            <w:tcW w:w="1272" w:type="dxa"/>
            <w:vAlign w:val="center"/>
          </w:tcPr>
          <w:p w14:paraId="44BD950B" w14:textId="77777777" w:rsidR="00D36125" w:rsidRPr="00930C7A" w:rsidRDefault="00D36125" w:rsidP="007749E7">
            <w:pPr>
              <w:pStyle w:val="ExhibitText"/>
              <w:jc w:val="right"/>
              <w:rPr>
                <w:sz w:val="18"/>
                <w:szCs w:val="18"/>
              </w:rPr>
            </w:pPr>
            <w:r w:rsidRPr="00930C7A">
              <w:rPr>
                <w:sz w:val="18"/>
                <w:szCs w:val="18"/>
              </w:rPr>
              <w:t>4,132</w:t>
            </w:r>
          </w:p>
        </w:tc>
        <w:tc>
          <w:tcPr>
            <w:tcW w:w="1170" w:type="dxa"/>
            <w:vAlign w:val="center"/>
          </w:tcPr>
          <w:p w14:paraId="380B990B" w14:textId="77777777" w:rsidR="00D36125" w:rsidRPr="00930C7A" w:rsidRDefault="00D36125" w:rsidP="007749E7">
            <w:pPr>
              <w:pStyle w:val="ExhibitText"/>
              <w:jc w:val="right"/>
              <w:rPr>
                <w:sz w:val="18"/>
                <w:szCs w:val="18"/>
              </w:rPr>
            </w:pPr>
            <w:r w:rsidRPr="00930C7A">
              <w:rPr>
                <w:sz w:val="18"/>
                <w:szCs w:val="18"/>
              </w:rPr>
              <w:t>17,730</w:t>
            </w:r>
          </w:p>
        </w:tc>
        <w:tc>
          <w:tcPr>
            <w:tcW w:w="1243" w:type="dxa"/>
            <w:vAlign w:val="center"/>
          </w:tcPr>
          <w:p w14:paraId="2FFB10DD" w14:textId="77777777" w:rsidR="00D36125" w:rsidRPr="00930C7A" w:rsidRDefault="00D36125" w:rsidP="007749E7">
            <w:pPr>
              <w:pStyle w:val="ExhibitText"/>
              <w:jc w:val="right"/>
              <w:rPr>
                <w:sz w:val="18"/>
                <w:szCs w:val="18"/>
              </w:rPr>
            </w:pPr>
            <w:r w:rsidRPr="00930C7A">
              <w:rPr>
                <w:sz w:val="18"/>
                <w:szCs w:val="18"/>
              </w:rPr>
              <w:t>51,451</w:t>
            </w:r>
          </w:p>
        </w:tc>
        <w:tc>
          <w:tcPr>
            <w:tcW w:w="1277" w:type="dxa"/>
            <w:vAlign w:val="center"/>
          </w:tcPr>
          <w:p w14:paraId="4DC2CE45" w14:textId="77777777" w:rsidR="00D36125" w:rsidRPr="00930C7A" w:rsidRDefault="00D36125" w:rsidP="007749E7">
            <w:pPr>
              <w:pStyle w:val="ExhibitText"/>
              <w:jc w:val="right"/>
              <w:rPr>
                <w:sz w:val="18"/>
                <w:szCs w:val="18"/>
              </w:rPr>
            </w:pPr>
            <w:r w:rsidRPr="00930C7A">
              <w:rPr>
                <w:sz w:val="18"/>
                <w:szCs w:val="18"/>
              </w:rPr>
              <w:t>7,198</w:t>
            </w:r>
          </w:p>
        </w:tc>
      </w:tr>
      <w:tr w:rsidR="00D36125" w:rsidRPr="00930C7A" w14:paraId="2BA11119" w14:textId="77777777" w:rsidTr="004258D6">
        <w:trPr>
          <w:trHeight w:val="360"/>
          <w:tblHeader/>
          <w:jc w:val="center"/>
        </w:trPr>
        <w:tc>
          <w:tcPr>
            <w:tcW w:w="1931" w:type="dxa"/>
            <w:vAlign w:val="center"/>
          </w:tcPr>
          <w:p w14:paraId="73F13908" w14:textId="77777777" w:rsidR="00D36125" w:rsidRPr="00930C7A" w:rsidRDefault="00D36125" w:rsidP="007749E7">
            <w:pPr>
              <w:pStyle w:val="ExhibitText"/>
              <w:jc w:val="left"/>
              <w:rPr>
                <w:b/>
                <w:bCs/>
                <w:sz w:val="18"/>
                <w:szCs w:val="18"/>
              </w:rPr>
            </w:pPr>
            <w:r w:rsidRPr="00930C7A">
              <w:rPr>
                <w:b/>
                <w:bCs/>
                <w:sz w:val="18"/>
                <w:szCs w:val="18"/>
              </w:rPr>
              <w:t>Total net revenue</w:t>
            </w:r>
          </w:p>
        </w:tc>
        <w:tc>
          <w:tcPr>
            <w:tcW w:w="1213" w:type="dxa"/>
            <w:vAlign w:val="center"/>
          </w:tcPr>
          <w:p w14:paraId="0825D4DB" w14:textId="77777777" w:rsidR="00D36125" w:rsidRPr="00930C7A" w:rsidRDefault="00D36125" w:rsidP="007749E7">
            <w:pPr>
              <w:pStyle w:val="ExhibitText"/>
              <w:jc w:val="right"/>
              <w:rPr>
                <w:sz w:val="18"/>
                <w:szCs w:val="18"/>
              </w:rPr>
            </w:pPr>
            <w:r w:rsidRPr="00930C7A">
              <w:rPr>
                <w:sz w:val="18"/>
                <w:szCs w:val="18"/>
              </w:rPr>
              <w:t>167,394</w:t>
            </w:r>
          </w:p>
        </w:tc>
        <w:tc>
          <w:tcPr>
            <w:tcW w:w="1249" w:type="dxa"/>
            <w:vAlign w:val="center"/>
          </w:tcPr>
          <w:p w14:paraId="2E638D3B" w14:textId="77777777" w:rsidR="00D36125" w:rsidRPr="00930C7A" w:rsidRDefault="00D36125" w:rsidP="007749E7">
            <w:pPr>
              <w:pStyle w:val="ExhibitText"/>
              <w:jc w:val="right"/>
              <w:rPr>
                <w:sz w:val="18"/>
                <w:szCs w:val="18"/>
              </w:rPr>
            </w:pPr>
            <w:r w:rsidRPr="00930C7A">
              <w:rPr>
                <w:sz w:val="18"/>
                <w:szCs w:val="18"/>
              </w:rPr>
              <w:t>448,508</w:t>
            </w:r>
          </w:p>
        </w:tc>
        <w:tc>
          <w:tcPr>
            <w:tcW w:w="1272" w:type="dxa"/>
            <w:vAlign w:val="center"/>
          </w:tcPr>
          <w:p w14:paraId="3C2DE8B3" w14:textId="77777777" w:rsidR="00D36125" w:rsidRPr="00930C7A" w:rsidRDefault="00D36125" w:rsidP="007749E7">
            <w:pPr>
              <w:pStyle w:val="ExhibitText"/>
              <w:jc w:val="right"/>
              <w:rPr>
                <w:sz w:val="18"/>
                <w:szCs w:val="18"/>
              </w:rPr>
            </w:pPr>
            <w:r w:rsidRPr="00930C7A">
              <w:rPr>
                <w:sz w:val="18"/>
                <w:szCs w:val="18"/>
              </w:rPr>
              <w:t>62,748</w:t>
            </w:r>
          </w:p>
        </w:tc>
        <w:tc>
          <w:tcPr>
            <w:tcW w:w="1170" w:type="dxa"/>
            <w:vAlign w:val="center"/>
          </w:tcPr>
          <w:p w14:paraId="4844F3D1" w14:textId="77777777" w:rsidR="00D36125" w:rsidRPr="00930C7A" w:rsidRDefault="00D36125" w:rsidP="007749E7">
            <w:pPr>
              <w:pStyle w:val="ExhibitText"/>
              <w:jc w:val="right"/>
              <w:rPr>
                <w:sz w:val="18"/>
                <w:szCs w:val="18"/>
              </w:rPr>
            </w:pPr>
            <w:r w:rsidRPr="00930C7A">
              <w:rPr>
                <w:sz w:val="18"/>
                <w:szCs w:val="18"/>
              </w:rPr>
              <w:t>282,173</w:t>
            </w:r>
          </w:p>
        </w:tc>
        <w:tc>
          <w:tcPr>
            <w:tcW w:w="1243" w:type="dxa"/>
            <w:vAlign w:val="center"/>
          </w:tcPr>
          <w:p w14:paraId="184A7C22" w14:textId="77777777" w:rsidR="00D36125" w:rsidRPr="00930C7A" w:rsidRDefault="00D36125" w:rsidP="007749E7">
            <w:pPr>
              <w:pStyle w:val="ExhibitText"/>
              <w:jc w:val="right"/>
              <w:rPr>
                <w:sz w:val="18"/>
                <w:szCs w:val="18"/>
              </w:rPr>
            </w:pPr>
            <w:r w:rsidRPr="00930C7A">
              <w:rPr>
                <w:sz w:val="18"/>
                <w:szCs w:val="18"/>
              </w:rPr>
              <w:t>874,569</w:t>
            </w:r>
          </w:p>
        </w:tc>
        <w:tc>
          <w:tcPr>
            <w:tcW w:w="1277" w:type="dxa"/>
            <w:vAlign w:val="center"/>
          </w:tcPr>
          <w:p w14:paraId="7C88EAB5" w14:textId="77777777" w:rsidR="00D36125" w:rsidRPr="00930C7A" w:rsidRDefault="00D36125" w:rsidP="007749E7">
            <w:pPr>
              <w:pStyle w:val="ExhibitText"/>
              <w:jc w:val="right"/>
              <w:rPr>
                <w:sz w:val="18"/>
                <w:szCs w:val="18"/>
              </w:rPr>
            </w:pPr>
            <w:r w:rsidRPr="00930C7A">
              <w:rPr>
                <w:sz w:val="18"/>
                <w:szCs w:val="18"/>
              </w:rPr>
              <w:t>122,356</w:t>
            </w:r>
          </w:p>
        </w:tc>
      </w:tr>
      <w:tr w:rsidR="00D36125" w:rsidRPr="00930C7A" w14:paraId="371F3547" w14:textId="77777777" w:rsidTr="004258D6">
        <w:trPr>
          <w:trHeight w:val="360"/>
          <w:tblHeader/>
          <w:jc w:val="center"/>
        </w:trPr>
        <w:tc>
          <w:tcPr>
            <w:tcW w:w="1931" w:type="dxa"/>
            <w:vAlign w:val="center"/>
          </w:tcPr>
          <w:p w14:paraId="5D19C2EC" w14:textId="77777777" w:rsidR="00D36125" w:rsidRPr="00930C7A" w:rsidRDefault="00D36125" w:rsidP="007749E7">
            <w:pPr>
              <w:pStyle w:val="ExhibitText"/>
              <w:jc w:val="left"/>
              <w:rPr>
                <w:b/>
                <w:bCs/>
                <w:sz w:val="18"/>
                <w:szCs w:val="18"/>
              </w:rPr>
            </w:pPr>
            <w:r w:rsidRPr="00930C7A">
              <w:rPr>
                <w:b/>
                <w:bCs/>
                <w:sz w:val="18"/>
                <w:szCs w:val="18"/>
              </w:rPr>
              <w:t>Cost of revenue (excluding impairment</w:t>
            </w:r>
            <w:r w:rsidRPr="00930C7A">
              <w:rPr>
                <w:rFonts w:eastAsia="DengXian"/>
                <w:b/>
                <w:bCs/>
                <w:sz w:val="18"/>
                <w:szCs w:val="18"/>
                <w:lang w:eastAsia="zh-CN"/>
              </w:rPr>
              <w:t xml:space="preserve"> </w:t>
            </w:r>
            <w:r w:rsidRPr="00930C7A">
              <w:rPr>
                <w:b/>
                <w:bCs/>
                <w:sz w:val="18"/>
                <w:szCs w:val="18"/>
              </w:rPr>
              <w:t>loss)</w:t>
            </w:r>
          </w:p>
        </w:tc>
        <w:tc>
          <w:tcPr>
            <w:tcW w:w="1213" w:type="dxa"/>
            <w:vAlign w:val="center"/>
          </w:tcPr>
          <w:p w14:paraId="4057C594" w14:textId="77777777" w:rsidR="00D36125" w:rsidRPr="00930C7A" w:rsidRDefault="00D36125" w:rsidP="007749E7">
            <w:pPr>
              <w:pStyle w:val="ExhibitText"/>
              <w:jc w:val="right"/>
              <w:rPr>
                <w:b/>
                <w:bCs/>
                <w:sz w:val="18"/>
                <w:szCs w:val="18"/>
              </w:rPr>
            </w:pPr>
          </w:p>
        </w:tc>
        <w:tc>
          <w:tcPr>
            <w:tcW w:w="1249" w:type="dxa"/>
            <w:vAlign w:val="center"/>
          </w:tcPr>
          <w:p w14:paraId="0243A38C" w14:textId="77777777" w:rsidR="00D36125" w:rsidRPr="00930C7A" w:rsidRDefault="00D36125" w:rsidP="007749E7">
            <w:pPr>
              <w:pStyle w:val="ExhibitText"/>
              <w:jc w:val="right"/>
              <w:rPr>
                <w:b/>
                <w:bCs/>
                <w:sz w:val="18"/>
                <w:szCs w:val="18"/>
              </w:rPr>
            </w:pPr>
          </w:p>
        </w:tc>
        <w:tc>
          <w:tcPr>
            <w:tcW w:w="1272" w:type="dxa"/>
            <w:vAlign w:val="center"/>
          </w:tcPr>
          <w:p w14:paraId="77E5F119" w14:textId="77777777" w:rsidR="00D36125" w:rsidRPr="00930C7A" w:rsidRDefault="00D36125" w:rsidP="007749E7">
            <w:pPr>
              <w:pStyle w:val="ExhibitText"/>
              <w:jc w:val="right"/>
              <w:rPr>
                <w:b/>
                <w:bCs/>
                <w:sz w:val="18"/>
                <w:szCs w:val="18"/>
              </w:rPr>
            </w:pPr>
          </w:p>
        </w:tc>
        <w:tc>
          <w:tcPr>
            <w:tcW w:w="1170" w:type="dxa"/>
            <w:vAlign w:val="center"/>
          </w:tcPr>
          <w:p w14:paraId="4B5F319D" w14:textId="77777777" w:rsidR="00D36125" w:rsidRPr="00930C7A" w:rsidRDefault="00D36125" w:rsidP="007749E7">
            <w:pPr>
              <w:pStyle w:val="ExhibitText"/>
              <w:jc w:val="right"/>
              <w:rPr>
                <w:b/>
                <w:bCs/>
                <w:sz w:val="18"/>
                <w:szCs w:val="18"/>
              </w:rPr>
            </w:pPr>
          </w:p>
        </w:tc>
        <w:tc>
          <w:tcPr>
            <w:tcW w:w="1243" w:type="dxa"/>
            <w:vAlign w:val="center"/>
          </w:tcPr>
          <w:p w14:paraId="1DFF233D" w14:textId="77777777" w:rsidR="00D36125" w:rsidRPr="00930C7A" w:rsidRDefault="00D36125" w:rsidP="007749E7">
            <w:pPr>
              <w:pStyle w:val="ExhibitText"/>
              <w:jc w:val="right"/>
              <w:rPr>
                <w:b/>
                <w:bCs/>
                <w:sz w:val="18"/>
                <w:szCs w:val="18"/>
              </w:rPr>
            </w:pPr>
          </w:p>
        </w:tc>
        <w:tc>
          <w:tcPr>
            <w:tcW w:w="1277" w:type="dxa"/>
            <w:vAlign w:val="center"/>
          </w:tcPr>
          <w:p w14:paraId="5FF78E69" w14:textId="77777777" w:rsidR="00D36125" w:rsidRPr="00930C7A" w:rsidRDefault="00D36125" w:rsidP="007749E7">
            <w:pPr>
              <w:pStyle w:val="ExhibitText"/>
              <w:jc w:val="right"/>
              <w:rPr>
                <w:b/>
                <w:bCs/>
                <w:sz w:val="18"/>
                <w:szCs w:val="18"/>
              </w:rPr>
            </w:pPr>
          </w:p>
        </w:tc>
      </w:tr>
      <w:tr w:rsidR="00D36125" w:rsidRPr="00930C7A" w14:paraId="72F016EE" w14:textId="77777777" w:rsidTr="004258D6">
        <w:trPr>
          <w:trHeight w:val="360"/>
          <w:tblHeader/>
          <w:jc w:val="center"/>
        </w:trPr>
        <w:tc>
          <w:tcPr>
            <w:tcW w:w="1931" w:type="dxa"/>
            <w:vAlign w:val="center"/>
          </w:tcPr>
          <w:p w14:paraId="434BA42F" w14:textId="77777777" w:rsidR="00D36125" w:rsidRPr="00930C7A" w:rsidRDefault="00D36125" w:rsidP="007749E7">
            <w:pPr>
              <w:pStyle w:val="ExhibitText"/>
              <w:ind w:leftChars="100" w:left="200"/>
              <w:jc w:val="left"/>
              <w:rPr>
                <w:sz w:val="18"/>
                <w:szCs w:val="18"/>
              </w:rPr>
            </w:pPr>
            <w:r w:rsidRPr="00930C7A">
              <w:rPr>
                <w:sz w:val="18"/>
                <w:szCs w:val="18"/>
              </w:rPr>
              <w:t>Workspace membership</w:t>
            </w:r>
          </w:p>
        </w:tc>
        <w:tc>
          <w:tcPr>
            <w:tcW w:w="1213" w:type="dxa"/>
            <w:vAlign w:val="center"/>
          </w:tcPr>
          <w:p w14:paraId="47E66C2D" w14:textId="77777777" w:rsidR="00D36125" w:rsidRPr="00930C7A" w:rsidRDefault="00D36125" w:rsidP="007749E7">
            <w:pPr>
              <w:pStyle w:val="ExhibitText"/>
              <w:jc w:val="right"/>
              <w:rPr>
                <w:sz w:val="18"/>
                <w:szCs w:val="18"/>
              </w:rPr>
            </w:pPr>
            <w:r w:rsidRPr="00930C7A">
              <w:rPr>
                <w:sz w:val="18"/>
                <w:szCs w:val="18"/>
              </w:rPr>
              <w:t>(308,689)</w:t>
            </w:r>
          </w:p>
        </w:tc>
        <w:tc>
          <w:tcPr>
            <w:tcW w:w="1249" w:type="dxa"/>
            <w:vAlign w:val="center"/>
          </w:tcPr>
          <w:p w14:paraId="6DD0D0AA" w14:textId="77777777" w:rsidR="00D36125" w:rsidRPr="00930C7A" w:rsidRDefault="00D36125" w:rsidP="007749E7">
            <w:pPr>
              <w:pStyle w:val="ExhibitText"/>
              <w:jc w:val="right"/>
              <w:rPr>
                <w:sz w:val="18"/>
                <w:szCs w:val="18"/>
              </w:rPr>
            </w:pPr>
            <w:r w:rsidRPr="00930C7A">
              <w:rPr>
                <w:sz w:val="18"/>
                <w:szCs w:val="18"/>
              </w:rPr>
              <w:t>(624,844)</w:t>
            </w:r>
          </w:p>
        </w:tc>
        <w:tc>
          <w:tcPr>
            <w:tcW w:w="1272" w:type="dxa"/>
            <w:vAlign w:val="center"/>
          </w:tcPr>
          <w:p w14:paraId="7EE1ED2F" w14:textId="77777777" w:rsidR="00D36125" w:rsidRPr="00930C7A" w:rsidRDefault="00D36125" w:rsidP="007749E7">
            <w:pPr>
              <w:pStyle w:val="ExhibitText"/>
              <w:jc w:val="right"/>
              <w:rPr>
                <w:sz w:val="18"/>
                <w:szCs w:val="18"/>
              </w:rPr>
            </w:pPr>
            <w:r w:rsidRPr="00930C7A">
              <w:rPr>
                <w:sz w:val="18"/>
                <w:szCs w:val="18"/>
              </w:rPr>
              <w:t>(87,419)</w:t>
            </w:r>
          </w:p>
        </w:tc>
        <w:tc>
          <w:tcPr>
            <w:tcW w:w="1170" w:type="dxa"/>
            <w:vAlign w:val="center"/>
          </w:tcPr>
          <w:p w14:paraId="3C5525C7" w14:textId="77777777" w:rsidR="00D36125" w:rsidRPr="00930C7A" w:rsidRDefault="00D36125" w:rsidP="007749E7">
            <w:pPr>
              <w:pStyle w:val="ExhibitText"/>
              <w:jc w:val="right"/>
              <w:rPr>
                <w:sz w:val="18"/>
                <w:szCs w:val="18"/>
              </w:rPr>
            </w:pPr>
            <w:r w:rsidRPr="00930C7A">
              <w:rPr>
                <w:sz w:val="18"/>
                <w:szCs w:val="18"/>
              </w:rPr>
              <w:t>(435,287)</w:t>
            </w:r>
          </w:p>
        </w:tc>
        <w:tc>
          <w:tcPr>
            <w:tcW w:w="1243" w:type="dxa"/>
            <w:vAlign w:val="center"/>
          </w:tcPr>
          <w:p w14:paraId="299706F4" w14:textId="77777777" w:rsidR="00D36125" w:rsidRPr="00930C7A" w:rsidRDefault="00D36125" w:rsidP="007749E7">
            <w:pPr>
              <w:pStyle w:val="ExhibitText"/>
              <w:jc w:val="right"/>
              <w:rPr>
                <w:sz w:val="18"/>
                <w:szCs w:val="18"/>
              </w:rPr>
            </w:pPr>
            <w:r w:rsidRPr="00930C7A">
              <w:rPr>
                <w:sz w:val="18"/>
                <w:szCs w:val="18"/>
              </w:rPr>
              <w:t>(596,269)</w:t>
            </w:r>
          </w:p>
        </w:tc>
        <w:tc>
          <w:tcPr>
            <w:tcW w:w="1277" w:type="dxa"/>
            <w:vAlign w:val="center"/>
          </w:tcPr>
          <w:p w14:paraId="21F2994E" w14:textId="77777777" w:rsidR="00D36125" w:rsidRPr="00930C7A" w:rsidRDefault="00D36125" w:rsidP="007749E7">
            <w:pPr>
              <w:pStyle w:val="ExhibitText"/>
              <w:jc w:val="right"/>
              <w:rPr>
                <w:sz w:val="18"/>
                <w:szCs w:val="18"/>
              </w:rPr>
            </w:pPr>
            <w:r w:rsidRPr="00930C7A">
              <w:rPr>
                <w:sz w:val="18"/>
                <w:szCs w:val="18"/>
              </w:rPr>
              <w:t>(83,421)</w:t>
            </w:r>
          </w:p>
        </w:tc>
      </w:tr>
      <w:tr w:rsidR="00D36125" w:rsidRPr="00930C7A" w14:paraId="59C346C3" w14:textId="77777777" w:rsidTr="004258D6">
        <w:trPr>
          <w:trHeight w:val="360"/>
          <w:tblHeader/>
          <w:jc w:val="center"/>
        </w:trPr>
        <w:tc>
          <w:tcPr>
            <w:tcW w:w="1931" w:type="dxa"/>
            <w:vAlign w:val="center"/>
          </w:tcPr>
          <w:p w14:paraId="7FACA13E" w14:textId="77777777" w:rsidR="00D36125" w:rsidRPr="00930C7A" w:rsidRDefault="00D36125" w:rsidP="007749E7">
            <w:pPr>
              <w:pStyle w:val="ExhibitText"/>
              <w:ind w:leftChars="100" w:left="200"/>
              <w:jc w:val="left"/>
              <w:rPr>
                <w:sz w:val="18"/>
                <w:szCs w:val="18"/>
              </w:rPr>
            </w:pPr>
            <w:r w:rsidRPr="00930C7A">
              <w:rPr>
                <w:sz w:val="18"/>
                <w:szCs w:val="18"/>
              </w:rPr>
              <w:t>Marketing and branding</w:t>
            </w:r>
            <w:r w:rsidRPr="00930C7A">
              <w:rPr>
                <w:rFonts w:eastAsia="DengXian"/>
                <w:sz w:val="18"/>
                <w:szCs w:val="18"/>
                <w:lang w:eastAsia="zh-CN"/>
              </w:rPr>
              <w:t xml:space="preserve"> </w:t>
            </w:r>
            <w:r w:rsidRPr="00930C7A">
              <w:rPr>
                <w:sz w:val="18"/>
                <w:szCs w:val="18"/>
              </w:rPr>
              <w:t>services</w:t>
            </w:r>
          </w:p>
        </w:tc>
        <w:tc>
          <w:tcPr>
            <w:tcW w:w="1213" w:type="dxa"/>
            <w:vAlign w:val="center"/>
          </w:tcPr>
          <w:p w14:paraId="1CB2C03C" w14:textId="122F8368" w:rsidR="00D36125" w:rsidRPr="00930C7A" w:rsidRDefault="0078582A" w:rsidP="007749E7">
            <w:pPr>
              <w:pStyle w:val="ExhibitText"/>
              <w:jc w:val="right"/>
              <w:rPr>
                <w:sz w:val="18"/>
                <w:szCs w:val="18"/>
              </w:rPr>
            </w:pPr>
            <w:r w:rsidRPr="0078582A">
              <w:rPr>
                <w:rFonts w:eastAsia="SimSun" w:hint="eastAsia"/>
                <w:sz w:val="18"/>
                <w:szCs w:val="18"/>
                <w:lang w:eastAsia="zh-CN"/>
              </w:rPr>
              <w:t>…</w:t>
            </w:r>
          </w:p>
        </w:tc>
        <w:tc>
          <w:tcPr>
            <w:tcW w:w="1249" w:type="dxa"/>
            <w:vAlign w:val="center"/>
          </w:tcPr>
          <w:p w14:paraId="10858941" w14:textId="77777777" w:rsidR="00D36125" w:rsidRPr="00930C7A" w:rsidRDefault="00D36125" w:rsidP="007749E7">
            <w:pPr>
              <w:pStyle w:val="ExhibitText"/>
              <w:jc w:val="right"/>
              <w:rPr>
                <w:sz w:val="18"/>
                <w:szCs w:val="18"/>
              </w:rPr>
            </w:pPr>
            <w:r w:rsidRPr="00930C7A">
              <w:rPr>
                <w:sz w:val="18"/>
                <w:szCs w:val="18"/>
              </w:rPr>
              <w:t>(22,481)</w:t>
            </w:r>
          </w:p>
        </w:tc>
        <w:tc>
          <w:tcPr>
            <w:tcW w:w="1272" w:type="dxa"/>
            <w:vAlign w:val="center"/>
          </w:tcPr>
          <w:p w14:paraId="6DEF32B7" w14:textId="77777777" w:rsidR="00D36125" w:rsidRPr="00930C7A" w:rsidRDefault="00D36125" w:rsidP="007749E7">
            <w:pPr>
              <w:pStyle w:val="ExhibitText"/>
              <w:jc w:val="right"/>
              <w:rPr>
                <w:sz w:val="18"/>
                <w:szCs w:val="18"/>
              </w:rPr>
            </w:pPr>
            <w:r w:rsidRPr="00930C7A">
              <w:rPr>
                <w:sz w:val="18"/>
                <w:szCs w:val="18"/>
              </w:rPr>
              <w:t>(3,145)</w:t>
            </w:r>
          </w:p>
        </w:tc>
        <w:tc>
          <w:tcPr>
            <w:tcW w:w="1170" w:type="dxa"/>
            <w:vAlign w:val="center"/>
          </w:tcPr>
          <w:p w14:paraId="0C7987DA" w14:textId="77777777" w:rsidR="00D36125" w:rsidRPr="00930C7A" w:rsidRDefault="00D36125" w:rsidP="007749E7">
            <w:pPr>
              <w:pStyle w:val="ExhibitText"/>
              <w:jc w:val="right"/>
              <w:rPr>
                <w:sz w:val="18"/>
                <w:szCs w:val="18"/>
              </w:rPr>
            </w:pPr>
            <w:r w:rsidRPr="00930C7A">
              <w:rPr>
                <w:sz w:val="18"/>
                <w:szCs w:val="18"/>
              </w:rPr>
              <w:t>(508)</w:t>
            </w:r>
          </w:p>
        </w:tc>
        <w:tc>
          <w:tcPr>
            <w:tcW w:w="1243" w:type="dxa"/>
            <w:vAlign w:val="center"/>
          </w:tcPr>
          <w:p w14:paraId="2D5D62EE" w14:textId="77777777" w:rsidR="00D36125" w:rsidRPr="00930C7A" w:rsidRDefault="00D36125" w:rsidP="007749E7">
            <w:pPr>
              <w:pStyle w:val="ExhibitText"/>
              <w:jc w:val="right"/>
              <w:rPr>
                <w:sz w:val="18"/>
                <w:szCs w:val="18"/>
              </w:rPr>
            </w:pPr>
            <w:r w:rsidRPr="00930C7A">
              <w:rPr>
                <w:sz w:val="18"/>
                <w:szCs w:val="18"/>
              </w:rPr>
              <w:t>(364,442)</w:t>
            </w:r>
          </w:p>
        </w:tc>
        <w:tc>
          <w:tcPr>
            <w:tcW w:w="1277" w:type="dxa"/>
            <w:vAlign w:val="center"/>
          </w:tcPr>
          <w:p w14:paraId="72A908CB" w14:textId="77777777" w:rsidR="00D36125" w:rsidRPr="00930C7A" w:rsidRDefault="00D36125" w:rsidP="007749E7">
            <w:pPr>
              <w:pStyle w:val="ExhibitText"/>
              <w:jc w:val="right"/>
              <w:rPr>
                <w:sz w:val="18"/>
                <w:szCs w:val="18"/>
              </w:rPr>
            </w:pPr>
            <w:r w:rsidRPr="00930C7A">
              <w:rPr>
                <w:sz w:val="18"/>
                <w:szCs w:val="18"/>
              </w:rPr>
              <w:t>(50,987)</w:t>
            </w:r>
          </w:p>
        </w:tc>
      </w:tr>
      <w:tr w:rsidR="00D36125" w:rsidRPr="00930C7A" w14:paraId="586A087E" w14:textId="77777777" w:rsidTr="004258D6">
        <w:trPr>
          <w:trHeight w:val="360"/>
          <w:tblHeader/>
          <w:jc w:val="center"/>
        </w:trPr>
        <w:tc>
          <w:tcPr>
            <w:tcW w:w="1931" w:type="dxa"/>
            <w:vAlign w:val="center"/>
          </w:tcPr>
          <w:p w14:paraId="337E79C9" w14:textId="77777777" w:rsidR="00D36125" w:rsidRPr="00930C7A" w:rsidRDefault="00D36125" w:rsidP="007749E7">
            <w:pPr>
              <w:pStyle w:val="ExhibitText"/>
              <w:ind w:firstLineChars="100" w:firstLine="180"/>
              <w:jc w:val="left"/>
              <w:rPr>
                <w:sz w:val="18"/>
                <w:szCs w:val="18"/>
              </w:rPr>
            </w:pPr>
            <w:r w:rsidRPr="00930C7A">
              <w:rPr>
                <w:sz w:val="18"/>
                <w:szCs w:val="18"/>
              </w:rPr>
              <w:t>Other services</w:t>
            </w:r>
          </w:p>
        </w:tc>
        <w:tc>
          <w:tcPr>
            <w:tcW w:w="1213" w:type="dxa"/>
            <w:vAlign w:val="center"/>
          </w:tcPr>
          <w:p w14:paraId="1612F0C9" w14:textId="77777777" w:rsidR="00D36125" w:rsidRPr="00930C7A" w:rsidRDefault="00D36125" w:rsidP="007749E7">
            <w:pPr>
              <w:pStyle w:val="ExhibitText"/>
              <w:jc w:val="right"/>
              <w:rPr>
                <w:sz w:val="18"/>
                <w:szCs w:val="18"/>
              </w:rPr>
            </w:pPr>
            <w:r w:rsidRPr="00930C7A">
              <w:rPr>
                <w:sz w:val="18"/>
                <w:szCs w:val="18"/>
              </w:rPr>
              <w:t>(1,733)</w:t>
            </w:r>
          </w:p>
        </w:tc>
        <w:tc>
          <w:tcPr>
            <w:tcW w:w="1249" w:type="dxa"/>
            <w:vAlign w:val="center"/>
          </w:tcPr>
          <w:p w14:paraId="6FABFD8C" w14:textId="77777777" w:rsidR="00D36125" w:rsidRPr="00930C7A" w:rsidRDefault="00D36125" w:rsidP="007749E7">
            <w:pPr>
              <w:pStyle w:val="ExhibitText"/>
              <w:jc w:val="right"/>
              <w:rPr>
                <w:sz w:val="18"/>
                <w:szCs w:val="18"/>
              </w:rPr>
            </w:pPr>
            <w:r w:rsidRPr="00930C7A">
              <w:rPr>
                <w:sz w:val="18"/>
                <w:szCs w:val="18"/>
              </w:rPr>
              <w:t>(16,284)</w:t>
            </w:r>
          </w:p>
        </w:tc>
        <w:tc>
          <w:tcPr>
            <w:tcW w:w="1272" w:type="dxa"/>
            <w:vAlign w:val="center"/>
          </w:tcPr>
          <w:p w14:paraId="342ADC58" w14:textId="77777777" w:rsidR="00D36125" w:rsidRPr="00930C7A" w:rsidRDefault="00D36125" w:rsidP="007749E7">
            <w:pPr>
              <w:pStyle w:val="ExhibitText"/>
              <w:jc w:val="right"/>
              <w:rPr>
                <w:sz w:val="18"/>
                <w:szCs w:val="18"/>
              </w:rPr>
            </w:pPr>
            <w:r w:rsidRPr="00930C7A">
              <w:rPr>
                <w:sz w:val="18"/>
                <w:szCs w:val="18"/>
              </w:rPr>
              <w:t>(2,278)</w:t>
            </w:r>
          </w:p>
        </w:tc>
        <w:tc>
          <w:tcPr>
            <w:tcW w:w="1170" w:type="dxa"/>
            <w:vAlign w:val="center"/>
          </w:tcPr>
          <w:p w14:paraId="6B53F8CD" w14:textId="77777777" w:rsidR="00D36125" w:rsidRPr="00930C7A" w:rsidRDefault="00D36125" w:rsidP="007749E7">
            <w:pPr>
              <w:pStyle w:val="ExhibitText"/>
              <w:jc w:val="right"/>
              <w:rPr>
                <w:sz w:val="18"/>
                <w:szCs w:val="18"/>
              </w:rPr>
            </w:pPr>
            <w:r w:rsidRPr="00930C7A">
              <w:rPr>
                <w:sz w:val="18"/>
                <w:szCs w:val="18"/>
              </w:rPr>
              <w:t>(8,290)</w:t>
            </w:r>
          </w:p>
        </w:tc>
        <w:tc>
          <w:tcPr>
            <w:tcW w:w="1243" w:type="dxa"/>
            <w:vAlign w:val="center"/>
          </w:tcPr>
          <w:p w14:paraId="0F7CD2B4" w14:textId="77777777" w:rsidR="00D36125" w:rsidRPr="00930C7A" w:rsidRDefault="00D36125" w:rsidP="007749E7">
            <w:pPr>
              <w:pStyle w:val="ExhibitText"/>
              <w:jc w:val="right"/>
              <w:rPr>
                <w:sz w:val="18"/>
                <w:szCs w:val="18"/>
              </w:rPr>
            </w:pPr>
            <w:r w:rsidRPr="00930C7A">
              <w:rPr>
                <w:sz w:val="18"/>
                <w:szCs w:val="18"/>
              </w:rPr>
              <w:t>(47,722)</w:t>
            </w:r>
          </w:p>
        </w:tc>
        <w:tc>
          <w:tcPr>
            <w:tcW w:w="1277" w:type="dxa"/>
            <w:vAlign w:val="center"/>
          </w:tcPr>
          <w:p w14:paraId="42ABEB2D" w14:textId="77777777" w:rsidR="00D36125" w:rsidRPr="00930C7A" w:rsidRDefault="00D36125" w:rsidP="007749E7">
            <w:pPr>
              <w:pStyle w:val="ExhibitText"/>
              <w:jc w:val="right"/>
              <w:rPr>
                <w:sz w:val="18"/>
                <w:szCs w:val="18"/>
              </w:rPr>
            </w:pPr>
            <w:r w:rsidRPr="00930C7A">
              <w:rPr>
                <w:sz w:val="18"/>
                <w:szCs w:val="18"/>
              </w:rPr>
              <w:t>(6,676)</w:t>
            </w:r>
          </w:p>
        </w:tc>
      </w:tr>
      <w:tr w:rsidR="00D36125" w:rsidRPr="00930C7A" w14:paraId="2CC314E9" w14:textId="77777777" w:rsidTr="004258D6">
        <w:trPr>
          <w:trHeight w:val="360"/>
          <w:tblHeader/>
          <w:jc w:val="center"/>
        </w:trPr>
        <w:tc>
          <w:tcPr>
            <w:tcW w:w="1931" w:type="dxa"/>
            <w:vAlign w:val="center"/>
          </w:tcPr>
          <w:p w14:paraId="76D4C03B" w14:textId="77777777" w:rsidR="00D36125" w:rsidRPr="00930C7A" w:rsidRDefault="00D36125" w:rsidP="007749E7">
            <w:pPr>
              <w:pStyle w:val="ExhibitText"/>
              <w:jc w:val="left"/>
              <w:rPr>
                <w:b/>
                <w:bCs/>
                <w:sz w:val="18"/>
                <w:szCs w:val="18"/>
              </w:rPr>
            </w:pPr>
            <w:r w:rsidRPr="00930C7A">
              <w:rPr>
                <w:b/>
                <w:bCs/>
                <w:sz w:val="18"/>
                <w:szCs w:val="18"/>
              </w:rPr>
              <w:t>Total cost of revenue (excluding impairment</w:t>
            </w:r>
            <w:r w:rsidRPr="00930C7A">
              <w:rPr>
                <w:rFonts w:eastAsia="DengXian"/>
                <w:b/>
                <w:bCs/>
                <w:sz w:val="18"/>
                <w:szCs w:val="18"/>
                <w:lang w:eastAsia="zh-CN"/>
              </w:rPr>
              <w:t xml:space="preserve"> </w:t>
            </w:r>
            <w:r w:rsidRPr="00930C7A">
              <w:rPr>
                <w:b/>
                <w:bCs/>
                <w:sz w:val="18"/>
                <w:szCs w:val="18"/>
              </w:rPr>
              <w:t>loss)</w:t>
            </w:r>
          </w:p>
        </w:tc>
        <w:tc>
          <w:tcPr>
            <w:tcW w:w="1213" w:type="dxa"/>
            <w:vAlign w:val="center"/>
          </w:tcPr>
          <w:p w14:paraId="5ADF9E4E" w14:textId="77777777" w:rsidR="00D36125" w:rsidRPr="00930C7A" w:rsidRDefault="00D36125" w:rsidP="007749E7">
            <w:pPr>
              <w:pStyle w:val="ExhibitText"/>
              <w:jc w:val="right"/>
              <w:rPr>
                <w:sz w:val="18"/>
                <w:szCs w:val="18"/>
              </w:rPr>
            </w:pPr>
            <w:r w:rsidRPr="00930C7A">
              <w:rPr>
                <w:sz w:val="18"/>
                <w:szCs w:val="18"/>
              </w:rPr>
              <w:t>(310,422)</w:t>
            </w:r>
          </w:p>
        </w:tc>
        <w:tc>
          <w:tcPr>
            <w:tcW w:w="1249" w:type="dxa"/>
            <w:vAlign w:val="center"/>
          </w:tcPr>
          <w:p w14:paraId="4FC8EE60" w14:textId="77777777" w:rsidR="00D36125" w:rsidRPr="00930C7A" w:rsidRDefault="00D36125" w:rsidP="007749E7">
            <w:pPr>
              <w:pStyle w:val="ExhibitText"/>
              <w:jc w:val="right"/>
              <w:rPr>
                <w:sz w:val="18"/>
                <w:szCs w:val="18"/>
              </w:rPr>
            </w:pPr>
            <w:r w:rsidRPr="00930C7A">
              <w:rPr>
                <w:sz w:val="18"/>
                <w:szCs w:val="18"/>
              </w:rPr>
              <w:t>(663,609)</w:t>
            </w:r>
          </w:p>
        </w:tc>
        <w:tc>
          <w:tcPr>
            <w:tcW w:w="1272" w:type="dxa"/>
            <w:vAlign w:val="center"/>
          </w:tcPr>
          <w:p w14:paraId="6A6DC31F" w14:textId="77777777" w:rsidR="00D36125" w:rsidRPr="00930C7A" w:rsidRDefault="00D36125" w:rsidP="007749E7">
            <w:pPr>
              <w:pStyle w:val="ExhibitText"/>
              <w:jc w:val="right"/>
              <w:rPr>
                <w:sz w:val="18"/>
                <w:szCs w:val="18"/>
              </w:rPr>
            </w:pPr>
            <w:r w:rsidRPr="00930C7A">
              <w:rPr>
                <w:sz w:val="18"/>
                <w:szCs w:val="18"/>
              </w:rPr>
              <w:t>(92,842)</w:t>
            </w:r>
          </w:p>
        </w:tc>
        <w:tc>
          <w:tcPr>
            <w:tcW w:w="1170" w:type="dxa"/>
            <w:vAlign w:val="center"/>
          </w:tcPr>
          <w:p w14:paraId="0FE36BD5" w14:textId="77777777" w:rsidR="00D36125" w:rsidRPr="00930C7A" w:rsidRDefault="00D36125" w:rsidP="007749E7">
            <w:pPr>
              <w:pStyle w:val="ExhibitText"/>
              <w:jc w:val="right"/>
              <w:rPr>
                <w:sz w:val="18"/>
                <w:szCs w:val="18"/>
              </w:rPr>
            </w:pPr>
            <w:r w:rsidRPr="00930C7A">
              <w:rPr>
                <w:sz w:val="18"/>
                <w:szCs w:val="18"/>
              </w:rPr>
              <w:t>(444,085)</w:t>
            </w:r>
          </w:p>
        </w:tc>
        <w:tc>
          <w:tcPr>
            <w:tcW w:w="1243" w:type="dxa"/>
            <w:vAlign w:val="center"/>
          </w:tcPr>
          <w:p w14:paraId="22AC8F9D" w14:textId="77777777" w:rsidR="00D36125" w:rsidRPr="00930C7A" w:rsidRDefault="00D36125" w:rsidP="007749E7">
            <w:pPr>
              <w:pStyle w:val="ExhibitText"/>
              <w:jc w:val="right"/>
              <w:rPr>
                <w:sz w:val="18"/>
                <w:szCs w:val="18"/>
              </w:rPr>
            </w:pPr>
            <w:r w:rsidRPr="00930C7A">
              <w:rPr>
                <w:sz w:val="18"/>
                <w:szCs w:val="18"/>
              </w:rPr>
              <w:t>(1,008,433)</w:t>
            </w:r>
          </w:p>
        </w:tc>
        <w:tc>
          <w:tcPr>
            <w:tcW w:w="1277" w:type="dxa"/>
            <w:vAlign w:val="center"/>
          </w:tcPr>
          <w:p w14:paraId="510E4D94" w14:textId="77777777" w:rsidR="00D36125" w:rsidRPr="00930C7A" w:rsidRDefault="00D36125" w:rsidP="007749E7">
            <w:pPr>
              <w:pStyle w:val="ExhibitText"/>
              <w:jc w:val="right"/>
              <w:rPr>
                <w:sz w:val="18"/>
                <w:szCs w:val="18"/>
              </w:rPr>
            </w:pPr>
            <w:r w:rsidRPr="00930C7A">
              <w:rPr>
                <w:sz w:val="18"/>
                <w:szCs w:val="18"/>
              </w:rPr>
              <w:t>(141,084)</w:t>
            </w:r>
          </w:p>
        </w:tc>
      </w:tr>
      <w:tr w:rsidR="00D36125" w:rsidRPr="00930C7A" w14:paraId="626B311D" w14:textId="77777777" w:rsidTr="004258D6">
        <w:trPr>
          <w:trHeight w:val="360"/>
          <w:tblHeader/>
          <w:jc w:val="center"/>
        </w:trPr>
        <w:tc>
          <w:tcPr>
            <w:tcW w:w="1931" w:type="dxa"/>
            <w:vAlign w:val="center"/>
          </w:tcPr>
          <w:p w14:paraId="530608EF" w14:textId="77777777" w:rsidR="00D36125" w:rsidRPr="00930C7A" w:rsidRDefault="00D36125" w:rsidP="007749E7">
            <w:pPr>
              <w:pStyle w:val="ExhibitText"/>
              <w:jc w:val="left"/>
              <w:rPr>
                <w:sz w:val="18"/>
                <w:szCs w:val="18"/>
              </w:rPr>
            </w:pPr>
            <w:r w:rsidRPr="00930C7A">
              <w:rPr>
                <w:sz w:val="18"/>
                <w:szCs w:val="18"/>
              </w:rPr>
              <w:t>Impairment loss on long</w:t>
            </w:r>
            <w:r w:rsidRPr="00930C7A">
              <w:rPr>
                <w:rFonts w:ascii="DengXian" w:eastAsia="DengXian" w:hAnsi="DengXian"/>
                <w:sz w:val="18"/>
                <w:szCs w:val="18"/>
                <w:lang w:eastAsia="zh-CN"/>
              </w:rPr>
              <w:t>-</w:t>
            </w:r>
            <w:r w:rsidRPr="00930C7A">
              <w:rPr>
                <w:sz w:val="18"/>
                <w:szCs w:val="18"/>
              </w:rPr>
              <w:t>lived assets</w:t>
            </w:r>
          </w:p>
        </w:tc>
        <w:tc>
          <w:tcPr>
            <w:tcW w:w="1213" w:type="dxa"/>
            <w:vAlign w:val="center"/>
          </w:tcPr>
          <w:p w14:paraId="29918DF2" w14:textId="77777777" w:rsidR="00D36125" w:rsidRPr="00930C7A" w:rsidRDefault="00D36125" w:rsidP="007749E7">
            <w:pPr>
              <w:pStyle w:val="ExhibitText"/>
              <w:jc w:val="right"/>
              <w:rPr>
                <w:sz w:val="18"/>
                <w:szCs w:val="18"/>
              </w:rPr>
            </w:pPr>
            <w:r w:rsidRPr="00930C7A">
              <w:rPr>
                <w:sz w:val="18"/>
                <w:szCs w:val="18"/>
              </w:rPr>
              <w:t>(148,692)</w:t>
            </w:r>
          </w:p>
        </w:tc>
        <w:tc>
          <w:tcPr>
            <w:tcW w:w="1249" w:type="dxa"/>
            <w:vAlign w:val="center"/>
          </w:tcPr>
          <w:p w14:paraId="4FFF3D94" w14:textId="77777777" w:rsidR="00D36125" w:rsidRPr="00930C7A" w:rsidRDefault="00D36125" w:rsidP="007749E7">
            <w:pPr>
              <w:pStyle w:val="ExhibitText"/>
              <w:jc w:val="right"/>
              <w:rPr>
                <w:sz w:val="18"/>
                <w:szCs w:val="18"/>
              </w:rPr>
            </w:pPr>
            <w:r w:rsidRPr="00930C7A">
              <w:rPr>
                <w:sz w:val="18"/>
                <w:szCs w:val="18"/>
              </w:rPr>
              <w:t>(111,203)</w:t>
            </w:r>
          </w:p>
        </w:tc>
        <w:tc>
          <w:tcPr>
            <w:tcW w:w="1272" w:type="dxa"/>
            <w:vAlign w:val="center"/>
          </w:tcPr>
          <w:p w14:paraId="0DEA273E" w14:textId="77777777" w:rsidR="00D36125" w:rsidRPr="00930C7A" w:rsidRDefault="00D36125" w:rsidP="007749E7">
            <w:pPr>
              <w:pStyle w:val="ExhibitText"/>
              <w:jc w:val="right"/>
              <w:rPr>
                <w:sz w:val="18"/>
                <w:szCs w:val="18"/>
              </w:rPr>
            </w:pPr>
            <w:r w:rsidRPr="00930C7A">
              <w:rPr>
                <w:sz w:val="18"/>
                <w:szCs w:val="18"/>
              </w:rPr>
              <w:t>(15,558)</w:t>
            </w:r>
          </w:p>
        </w:tc>
        <w:tc>
          <w:tcPr>
            <w:tcW w:w="1170" w:type="dxa"/>
            <w:vAlign w:val="center"/>
          </w:tcPr>
          <w:p w14:paraId="6AF02C25" w14:textId="77777777" w:rsidR="00D36125" w:rsidRPr="00930C7A" w:rsidRDefault="00D36125" w:rsidP="007749E7">
            <w:pPr>
              <w:pStyle w:val="ExhibitText"/>
              <w:jc w:val="right"/>
              <w:rPr>
                <w:sz w:val="18"/>
                <w:szCs w:val="18"/>
              </w:rPr>
            </w:pPr>
            <w:r w:rsidRPr="00930C7A">
              <w:rPr>
                <w:sz w:val="18"/>
                <w:szCs w:val="18"/>
              </w:rPr>
              <w:t>(22,882)</w:t>
            </w:r>
          </w:p>
        </w:tc>
        <w:tc>
          <w:tcPr>
            <w:tcW w:w="1243" w:type="dxa"/>
            <w:vAlign w:val="center"/>
          </w:tcPr>
          <w:p w14:paraId="1ADA713E" w14:textId="77777777" w:rsidR="00D36125" w:rsidRPr="00930C7A" w:rsidRDefault="00D36125" w:rsidP="007749E7">
            <w:pPr>
              <w:pStyle w:val="ExhibitText"/>
              <w:jc w:val="right"/>
              <w:rPr>
                <w:sz w:val="18"/>
                <w:szCs w:val="18"/>
              </w:rPr>
            </w:pPr>
            <w:r w:rsidRPr="00930C7A">
              <w:rPr>
                <w:sz w:val="18"/>
                <w:szCs w:val="18"/>
              </w:rPr>
              <w:t>(86,500)</w:t>
            </w:r>
          </w:p>
        </w:tc>
        <w:tc>
          <w:tcPr>
            <w:tcW w:w="1277" w:type="dxa"/>
            <w:vAlign w:val="center"/>
          </w:tcPr>
          <w:p w14:paraId="49371D48" w14:textId="77777777" w:rsidR="00D36125" w:rsidRPr="00930C7A" w:rsidRDefault="00D36125" w:rsidP="007749E7">
            <w:pPr>
              <w:pStyle w:val="ExhibitText"/>
              <w:jc w:val="right"/>
              <w:rPr>
                <w:sz w:val="18"/>
                <w:szCs w:val="18"/>
              </w:rPr>
            </w:pPr>
            <w:r w:rsidRPr="00930C7A">
              <w:rPr>
                <w:sz w:val="18"/>
                <w:szCs w:val="18"/>
              </w:rPr>
              <w:t>(12,102)</w:t>
            </w:r>
          </w:p>
        </w:tc>
      </w:tr>
      <w:tr w:rsidR="00D36125" w:rsidRPr="00930C7A" w14:paraId="09A66F0C" w14:textId="77777777" w:rsidTr="004258D6">
        <w:trPr>
          <w:trHeight w:val="360"/>
          <w:tblHeader/>
          <w:jc w:val="center"/>
        </w:trPr>
        <w:tc>
          <w:tcPr>
            <w:tcW w:w="1931" w:type="dxa"/>
            <w:vAlign w:val="center"/>
          </w:tcPr>
          <w:p w14:paraId="45481D32" w14:textId="77777777" w:rsidR="00D36125" w:rsidRPr="00930C7A" w:rsidRDefault="00D36125" w:rsidP="007749E7">
            <w:pPr>
              <w:pStyle w:val="ExhibitText"/>
              <w:jc w:val="left"/>
              <w:rPr>
                <w:sz w:val="18"/>
                <w:szCs w:val="18"/>
              </w:rPr>
            </w:pPr>
            <w:r w:rsidRPr="00930C7A">
              <w:rPr>
                <w:sz w:val="18"/>
                <w:szCs w:val="18"/>
              </w:rPr>
              <w:t>Pre-opening expenses</w:t>
            </w:r>
          </w:p>
        </w:tc>
        <w:tc>
          <w:tcPr>
            <w:tcW w:w="1213" w:type="dxa"/>
            <w:vAlign w:val="center"/>
          </w:tcPr>
          <w:p w14:paraId="7A94E412" w14:textId="77777777" w:rsidR="00D36125" w:rsidRPr="00930C7A" w:rsidRDefault="00D36125" w:rsidP="007749E7">
            <w:pPr>
              <w:pStyle w:val="ExhibitText"/>
              <w:jc w:val="right"/>
              <w:rPr>
                <w:sz w:val="18"/>
                <w:szCs w:val="18"/>
              </w:rPr>
            </w:pPr>
            <w:r w:rsidRPr="00930C7A">
              <w:rPr>
                <w:sz w:val="18"/>
                <w:szCs w:val="18"/>
              </w:rPr>
              <w:t>(24,059)</w:t>
            </w:r>
          </w:p>
        </w:tc>
        <w:tc>
          <w:tcPr>
            <w:tcW w:w="1249" w:type="dxa"/>
            <w:vAlign w:val="center"/>
          </w:tcPr>
          <w:p w14:paraId="3CFE8FBC" w14:textId="77777777" w:rsidR="00D36125" w:rsidRPr="00930C7A" w:rsidRDefault="00D36125" w:rsidP="007749E7">
            <w:pPr>
              <w:pStyle w:val="ExhibitText"/>
              <w:jc w:val="right"/>
              <w:rPr>
                <w:sz w:val="18"/>
                <w:szCs w:val="18"/>
              </w:rPr>
            </w:pPr>
            <w:r w:rsidRPr="00930C7A">
              <w:rPr>
                <w:sz w:val="18"/>
                <w:szCs w:val="18"/>
              </w:rPr>
              <w:t>(20,165)</w:t>
            </w:r>
          </w:p>
        </w:tc>
        <w:tc>
          <w:tcPr>
            <w:tcW w:w="1272" w:type="dxa"/>
            <w:vAlign w:val="center"/>
          </w:tcPr>
          <w:p w14:paraId="0CDCE941" w14:textId="77777777" w:rsidR="00D36125" w:rsidRPr="00930C7A" w:rsidRDefault="00D36125" w:rsidP="007749E7">
            <w:pPr>
              <w:pStyle w:val="ExhibitText"/>
              <w:jc w:val="right"/>
              <w:rPr>
                <w:sz w:val="18"/>
                <w:szCs w:val="18"/>
              </w:rPr>
            </w:pPr>
            <w:r w:rsidRPr="00930C7A">
              <w:rPr>
                <w:sz w:val="18"/>
                <w:szCs w:val="18"/>
              </w:rPr>
              <w:t>(2,821)</w:t>
            </w:r>
          </w:p>
        </w:tc>
        <w:tc>
          <w:tcPr>
            <w:tcW w:w="1170" w:type="dxa"/>
            <w:vAlign w:val="center"/>
          </w:tcPr>
          <w:p w14:paraId="11ED20CF" w14:textId="77777777" w:rsidR="00D36125" w:rsidRPr="00930C7A" w:rsidRDefault="00D36125" w:rsidP="007749E7">
            <w:pPr>
              <w:pStyle w:val="ExhibitText"/>
              <w:jc w:val="right"/>
              <w:rPr>
                <w:sz w:val="18"/>
                <w:szCs w:val="18"/>
              </w:rPr>
            </w:pPr>
            <w:r w:rsidRPr="00930C7A">
              <w:rPr>
                <w:sz w:val="18"/>
                <w:szCs w:val="18"/>
              </w:rPr>
              <w:t>(14,013)</w:t>
            </w:r>
          </w:p>
        </w:tc>
        <w:tc>
          <w:tcPr>
            <w:tcW w:w="1243" w:type="dxa"/>
            <w:vAlign w:val="center"/>
          </w:tcPr>
          <w:p w14:paraId="51104F88" w14:textId="77777777" w:rsidR="00D36125" w:rsidRPr="00930C7A" w:rsidRDefault="00D36125" w:rsidP="007749E7">
            <w:pPr>
              <w:pStyle w:val="ExhibitText"/>
              <w:jc w:val="right"/>
              <w:rPr>
                <w:sz w:val="18"/>
                <w:szCs w:val="18"/>
              </w:rPr>
            </w:pPr>
            <w:r w:rsidRPr="00930C7A">
              <w:rPr>
                <w:sz w:val="18"/>
                <w:szCs w:val="18"/>
              </w:rPr>
              <w:t>(23,069)</w:t>
            </w:r>
          </w:p>
        </w:tc>
        <w:tc>
          <w:tcPr>
            <w:tcW w:w="1277" w:type="dxa"/>
            <w:vAlign w:val="center"/>
          </w:tcPr>
          <w:p w14:paraId="79C8064B" w14:textId="77777777" w:rsidR="00D36125" w:rsidRPr="00930C7A" w:rsidRDefault="00D36125" w:rsidP="007749E7">
            <w:pPr>
              <w:pStyle w:val="ExhibitText"/>
              <w:jc w:val="right"/>
              <w:rPr>
                <w:sz w:val="18"/>
                <w:szCs w:val="18"/>
              </w:rPr>
            </w:pPr>
            <w:r w:rsidRPr="00930C7A">
              <w:rPr>
                <w:sz w:val="18"/>
                <w:szCs w:val="18"/>
              </w:rPr>
              <w:t>(3,227)</w:t>
            </w:r>
          </w:p>
        </w:tc>
      </w:tr>
      <w:tr w:rsidR="00D36125" w:rsidRPr="00930C7A" w14:paraId="0ED322F9" w14:textId="77777777" w:rsidTr="004258D6">
        <w:trPr>
          <w:trHeight w:val="360"/>
          <w:tblHeader/>
          <w:jc w:val="center"/>
        </w:trPr>
        <w:tc>
          <w:tcPr>
            <w:tcW w:w="1931" w:type="dxa"/>
            <w:vAlign w:val="center"/>
          </w:tcPr>
          <w:p w14:paraId="50FEE651" w14:textId="77777777" w:rsidR="00D36125" w:rsidRPr="00930C7A" w:rsidRDefault="00D36125" w:rsidP="007749E7">
            <w:pPr>
              <w:pStyle w:val="ExhibitText"/>
              <w:jc w:val="left"/>
              <w:rPr>
                <w:sz w:val="18"/>
                <w:szCs w:val="18"/>
              </w:rPr>
            </w:pPr>
            <w:r w:rsidRPr="00930C7A">
              <w:rPr>
                <w:sz w:val="18"/>
                <w:szCs w:val="18"/>
              </w:rPr>
              <w:t>Sales and marketing</w:t>
            </w:r>
            <w:r w:rsidRPr="00930C7A">
              <w:rPr>
                <w:rFonts w:eastAsia="DengXian"/>
                <w:sz w:val="18"/>
                <w:szCs w:val="18"/>
                <w:lang w:eastAsia="zh-CN"/>
              </w:rPr>
              <w:t xml:space="preserve"> </w:t>
            </w:r>
            <w:r w:rsidRPr="00930C7A">
              <w:rPr>
                <w:sz w:val="18"/>
                <w:szCs w:val="18"/>
              </w:rPr>
              <w:t>expenses</w:t>
            </w:r>
          </w:p>
        </w:tc>
        <w:tc>
          <w:tcPr>
            <w:tcW w:w="1213" w:type="dxa"/>
            <w:vAlign w:val="center"/>
          </w:tcPr>
          <w:p w14:paraId="5DD68BCA" w14:textId="77777777" w:rsidR="00D36125" w:rsidRPr="00930C7A" w:rsidRDefault="00D36125" w:rsidP="007749E7">
            <w:pPr>
              <w:pStyle w:val="ExhibitText"/>
              <w:jc w:val="right"/>
              <w:rPr>
                <w:sz w:val="18"/>
                <w:szCs w:val="18"/>
              </w:rPr>
            </w:pPr>
            <w:r w:rsidRPr="00930C7A">
              <w:rPr>
                <w:sz w:val="18"/>
                <w:szCs w:val="18"/>
              </w:rPr>
              <w:t>(24,693)</w:t>
            </w:r>
          </w:p>
        </w:tc>
        <w:tc>
          <w:tcPr>
            <w:tcW w:w="1249" w:type="dxa"/>
            <w:vAlign w:val="center"/>
          </w:tcPr>
          <w:p w14:paraId="0ABDA079" w14:textId="77777777" w:rsidR="00D36125" w:rsidRPr="00930C7A" w:rsidRDefault="00D36125" w:rsidP="007749E7">
            <w:pPr>
              <w:pStyle w:val="ExhibitText"/>
              <w:jc w:val="right"/>
              <w:rPr>
                <w:sz w:val="18"/>
                <w:szCs w:val="18"/>
              </w:rPr>
            </w:pPr>
            <w:r w:rsidRPr="00930C7A">
              <w:rPr>
                <w:sz w:val="18"/>
                <w:szCs w:val="18"/>
              </w:rPr>
              <w:t>(44,783)</w:t>
            </w:r>
          </w:p>
        </w:tc>
        <w:tc>
          <w:tcPr>
            <w:tcW w:w="1272" w:type="dxa"/>
            <w:vAlign w:val="center"/>
          </w:tcPr>
          <w:p w14:paraId="27C1FE80" w14:textId="77777777" w:rsidR="00D36125" w:rsidRPr="00930C7A" w:rsidRDefault="00D36125" w:rsidP="007749E7">
            <w:pPr>
              <w:pStyle w:val="ExhibitText"/>
              <w:jc w:val="right"/>
              <w:rPr>
                <w:sz w:val="18"/>
                <w:szCs w:val="18"/>
              </w:rPr>
            </w:pPr>
            <w:r w:rsidRPr="00930C7A">
              <w:rPr>
                <w:sz w:val="18"/>
                <w:szCs w:val="18"/>
              </w:rPr>
              <w:t>(6,265)</w:t>
            </w:r>
          </w:p>
        </w:tc>
        <w:tc>
          <w:tcPr>
            <w:tcW w:w="1170" w:type="dxa"/>
            <w:vAlign w:val="center"/>
          </w:tcPr>
          <w:p w14:paraId="584D4559" w14:textId="77777777" w:rsidR="00D36125" w:rsidRPr="00930C7A" w:rsidRDefault="00D36125" w:rsidP="007749E7">
            <w:pPr>
              <w:pStyle w:val="ExhibitText"/>
              <w:jc w:val="right"/>
              <w:rPr>
                <w:sz w:val="18"/>
                <w:szCs w:val="18"/>
              </w:rPr>
            </w:pPr>
            <w:r w:rsidRPr="00930C7A">
              <w:rPr>
                <w:sz w:val="18"/>
                <w:szCs w:val="18"/>
              </w:rPr>
              <w:t>(22,139)</w:t>
            </w:r>
          </w:p>
        </w:tc>
        <w:tc>
          <w:tcPr>
            <w:tcW w:w="1243" w:type="dxa"/>
            <w:vAlign w:val="center"/>
          </w:tcPr>
          <w:p w14:paraId="276A40CC" w14:textId="77777777" w:rsidR="00D36125" w:rsidRPr="00930C7A" w:rsidRDefault="00D36125" w:rsidP="007749E7">
            <w:pPr>
              <w:pStyle w:val="ExhibitText"/>
              <w:jc w:val="right"/>
              <w:rPr>
                <w:sz w:val="18"/>
                <w:szCs w:val="18"/>
              </w:rPr>
            </w:pPr>
            <w:r w:rsidRPr="00930C7A">
              <w:rPr>
                <w:sz w:val="18"/>
                <w:szCs w:val="18"/>
              </w:rPr>
              <w:t>(48,344)</w:t>
            </w:r>
          </w:p>
        </w:tc>
        <w:tc>
          <w:tcPr>
            <w:tcW w:w="1277" w:type="dxa"/>
            <w:vAlign w:val="center"/>
          </w:tcPr>
          <w:p w14:paraId="3244A74E" w14:textId="77777777" w:rsidR="00D36125" w:rsidRPr="00930C7A" w:rsidRDefault="00D36125" w:rsidP="007749E7">
            <w:pPr>
              <w:pStyle w:val="ExhibitText"/>
              <w:jc w:val="right"/>
              <w:rPr>
                <w:sz w:val="18"/>
                <w:szCs w:val="18"/>
              </w:rPr>
            </w:pPr>
            <w:r w:rsidRPr="00930C7A">
              <w:rPr>
                <w:sz w:val="18"/>
                <w:szCs w:val="18"/>
              </w:rPr>
              <w:t>(6,764)</w:t>
            </w:r>
          </w:p>
        </w:tc>
      </w:tr>
      <w:tr w:rsidR="00D36125" w:rsidRPr="00930C7A" w14:paraId="45340CDA" w14:textId="77777777" w:rsidTr="004258D6">
        <w:trPr>
          <w:trHeight w:val="360"/>
          <w:tblHeader/>
          <w:jc w:val="center"/>
        </w:trPr>
        <w:tc>
          <w:tcPr>
            <w:tcW w:w="1931" w:type="dxa"/>
            <w:vAlign w:val="center"/>
          </w:tcPr>
          <w:p w14:paraId="54F15072" w14:textId="77777777" w:rsidR="00D36125" w:rsidRPr="00930C7A" w:rsidRDefault="00D36125" w:rsidP="007749E7">
            <w:pPr>
              <w:pStyle w:val="ExhibitText"/>
              <w:jc w:val="left"/>
              <w:rPr>
                <w:sz w:val="18"/>
                <w:szCs w:val="18"/>
              </w:rPr>
            </w:pPr>
            <w:r w:rsidRPr="00930C7A">
              <w:rPr>
                <w:sz w:val="18"/>
                <w:szCs w:val="18"/>
              </w:rPr>
              <w:t>General and</w:t>
            </w:r>
            <w:r w:rsidRPr="00930C7A">
              <w:rPr>
                <w:rFonts w:eastAsia="DengXian"/>
                <w:sz w:val="18"/>
                <w:szCs w:val="18"/>
                <w:lang w:eastAsia="zh-CN"/>
              </w:rPr>
              <w:t xml:space="preserve"> </w:t>
            </w:r>
            <w:r w:rsidRPr="00930C7A">
              <w:rPr>
                <w:sz w:val="18"/>
                <w:szCs w:val="18"/>
              </w:rPr>
              <w:t>administrative expenses</w:t>
            </w:r>
          </w:p>
        </w:tc>
        <w:tc>
          <w:tcPr>
            <w:tcW w:w="1213" w:type="dxa"/>
            <w:vAlign w:val="center"/>
          </w:tcPr>
          <w:p w14:paraId="48A802C6" w14:textId="77777777" w:rsidR="00D36125" w:rsidRPr="00930C7A" w:rsidRDefault="00D36125" w:rsidP="007749E7">
            <w:pPr>
              <w:pStyle w:val="ExhibitText"/>
              <w:jc w:val="right"/>
              <w:rPr>
                <w:sz w:val="18"/>
                <w:szCs w:val="18"/>
              </w:rPr>
            </w:pPr>
            <w:r w:rsidRPr="00930C7A">
              <w:rPr>
                <w:sz w:val="18"/>
                <w:szCs w:val="18"/>
              </w:rPr>
              <w:t>(93,153)</w:t>
            </w:r>
          </w:p>
        </w:tc>
        <w:tc>
          <w:tcPr>
            <w:tcW w:w="1249" w:type="dxa"/>
            <w:vAlign w:val="center"/>
          </w:tcPr>
          <w:p w14:paraId="707F4C34" w14:textId="77777777" w:rsidR="00D36125" w:rsidRPr="00930C7A" w:rsidRDefault="00D36125" w:rsidP="007749E7">
            <w:pPr>
              <w:pStyle w:val="ExhibitText"/>
              <w:jc w:val="right"/>
              <w:rPr>
                <w:sz w:val="18"/>
                <w:szCs w:val="18"/>
              </w:rPr>
            </w:pPr>
            <w:r w:rsidRPr="00930C7A">
              <w:rPr>
                <w:sz w:val="18"/>
                <w:szCs w:val="18"/>
              </w:rPr>
              <w:t>(118,798)</w:t>
            </w:r>
          </w:p>
        </w:tc>
        <w:tc>
          <w:tcPr>
            <w:tcW w:w="1272" w:type="dxa"/>
            <w:vAlign w:val="center"/>
          </w:tcPr>
          <w:p w14:paraId="5E9B64C5" w14:textId="77777777" w:rsidR="00D36125" w:rsidRPr="00930C7A" w:rsidRDefault="00D36125" w:rsidP="007749E7">
            <w:pPr>
              <w:pStyle w:val="ExhibitText"/>
              <w:jc w:val="right"/>
              <w:rPr>
                <w:sz w:val="18"/>
                <w:szCs w:val="18"/>
              </w:rPr>
            </w:pPr>
            <w:r w:rsidRPr="00930C7A">
              <w:rPr>
                <w:sz w:val="18"/>
                <w:szCs w:val="18"/>
              </w:rPr>
              <w:t>(16,620)</w:t>
            </w:r>
          </w:p>
        </w:tc>
        <w:tc>
          <w:tcPr>
            <w:tcW w:w="1170" w:type="dxa"/>
            <w:vAlign w:val="center"/>
          </w:tcPr>
          <w:p w14:paraId="0A75B967" w14:textId="77777777" w:rsidR="00D36125" w:rsidRPr="00930C7A" w:rsidRDefault="00D36125" w:rsidP="007749E7">
            <w:pPr>
              <w:pStyle w:val="ExhibitText"/>
              <w:jc w:val="right"/>
              <w:rPr>
                <w:sz w:val="18"/>
                <w:szCs w:val="18"/>
              </w:rPr>
            </w:pPr>
            <w:r w:rsidRPr="00930C7A">
              <w:rPr>
                <w:sz w:val="18"/>
                <w:szCs w:val="18"/>
              </w:rPr>
              <w:t>(63,273)</w:t>
            </w:r>
          </w:p>
        </w:tc>
        <w:tc>
          <w:tcPr>
            <w:tcW w:w="1243" w:type="dxa"/>
            <w:vAlign w:val="center"/>
          </w:tcPr>
          <w:p w14:paraId="6156641B" w14:textId="77777777" w:rsidR="00D36125" w:rsidRPr="00930C7A" w:rsidRDefault="00D36125" w:rsidP="007749E7">
            <w:pPr>
              <w:pStyle w:val="ExhibitText"/>
              <w:jc w:val="right"/>
              <w:rPr>
                <w:sz w:val="18"/>
                <w:szCs w:val="18"/>
              </w:rPr>
            </w:pPr>
            <w:r w:rsidRPr="00930C7A">
              <w:rPr>
                <w:sz w:val="18"/>
                <w:szCs w:val="18"/>
              </w:rPr>
              <w:t>(128,836)</w:t>
            </w:r>
          </w:p>
        </w:tc>
        <w:tc>
          <w:tcPr>
            <w:tcW w:w="1277" w:type="dxa"/>
            <w:vAlign w:val="center"/>
          </w:tcPr>
          <w:p w14:paraId="4A4B48C8" w14:textId="77777777" w:rsidR="00D36125" w:rsidRPr="00930C7A" w:rsidRDefault="00D36125" w:rsidP="007749E7">
            <w:pPr>
              <w:pStyle w:val="ExhibitText"/>
              <w:jc w:val="right"/>
              <w:rPr>
                <w:sz w:val="18"/>
                <w:szCs w:val="18"/>
              </w:rPr>
            </w:pPr>
            <w:r w:rsidRPr="00930C7A">
              <w:rPr>
                <w:sz w:val="18"/>
                <w:szCs w:val="18"/>
              </w:rPr>
              <w:t>(18,025)</w:t>
            </w:r>
          </w:p>
        </w:tc>
      </w:tr>
      <w:tr w:rsidR="00D36125" w:rsidRPr="00930C7A" w14:paraId="2E92BFF2" w14:textId="77777777" w:rsidTr="004258D6">
        <w:trPr>
          <w:trHeight w:val="360"/>
          <w:tblHeader/>
          <w:jc w:val="center"/>
        </w:trPr>
        <w:tc>
          <w:tcPr>
            <w:tcW w:w="1931" w:type="dxa"/>
            <w:vAlign w:val="center"/>
          </w:tcPr>
          <w:p w14:paraId="78DDEC1F" w14:textId="77777777" w:rsidR="00D36125" w:rsidRPr="00930C7A" w:rsidRDefault="00D36125" w:rsidP="007749E7">
            <w:pPr>
              <w:pStyle w:val="ExhibitText"/>
              <w:jc w:val="left"/>
              <w:rPr>
                <w:sz w:val="18"/>
                <w:szCs w:val="18"/>
              </w:rPr>
            </w:pPr>
            <w:r w:rsidRPr="00930C7A">
              <w:rPr>
                <w:sz w:val="18"/>
                <w:szCs w:val="18"/>
              </w:rPr>
              <w:t>Remeasurement gain of</w:t>
            </w:r>
            <w:r w:rsidRPr="00930C7A">
              <w:rPr>
                <w:rFonts w:eastAsia="DengXian"/>
                <w:sz w:val="18"/>
                <w:szCs w:val="18"/>
                <w:lang w:eastAsia="zh-CN"/>
              </w:rPr>
              <w:t xml:space="preserve"> </w:t>
            </w:r>
            <w:r w:rsidRPr="00930C7A">
              <w:rPr>
                <w:sz w:val="18"/>
                <w:szCs w:val="18"/>
              </w:rPr>
              <w:t>previously held equity</w:t>
            </w:r>
            <w:r w:rsidRPr="00930C7A">
              <w:rPr>
                <w:rFonts w:eastAsia="DengXian"/>
                <w:sz w:val="18"/>
                <w:szCs w:val="18"/>
                <w:lang w:eastAsia="zh-CN"/>
              </w:rPr>
              <w:t xml:space="preserve"> </w:t>
            </w:r>
            <w:r w:rsidRPr="00930C7A">
              <w:rPr>
                <w:sz w:val="18"/>
                <w:szCs w:val="18"/>
              </w:rPr>
              <w:t>interests in connection</w:t>
            </w:r>
            <w:r w:rsidRPr="00930C7A">
              <w:rPr>
                <w:rFonts w:eastAsia="DengXian"/>
                <w:sz w:val="18"/>
                <w:szCs w:val="18"/>
                <w:lang w:eastAsia="zh-CN"/>
              </w:rPr>
              <w:t xml:space="preserve"> </w:t>
            </w:r>
            <w:r w:rsidRPr="00930C7A">
              <w:rPr>
                <w:sz w:val="18"/>
                <w:szCs w:val="18"/>
              </w:rPr>
              <w:t>with step acquisitions</w:t>
            </w:r>
          </w:p>
        </w:tc>
        <w:tc>
          <w:tcPr>
            <w:tcW w:w="1213" w:type="dxa"/>
            <w:vAlign w:val="center"/>
          </w:tcPr>
          <w:p w14:paraId="74B854CC" w14:textId="43D0DF0F" w:rsidR="00D36125" w:rsidRPr="00930C7A" w:rsidRDefault="0078582A" w:rsidP="007749E7">
            <w:pPr>
              <w:pStyle w:val="ExhibitText"/>
              <w:jc w:val="right"/>
              <w:rPr>
                <w:sz w:val="18"/>
                <w:szCs w:val="18"/>
              </w:rPr>
            </w:pPr>
            <w:r w:rsidRPr="0078582A">
              <w:rPr>
                <w:rFonts w:eastAsia="SimSun" w:hint="eastAsia"/>
                <w:sz w:val="18"/>
                <w:szCs w:val="18"/>
                <w:lang w:eastAsia="zh-CN"/>
              </w:rPr>
              <w:t>…</w:t>
            </w:r>
          </w:p>
        </w:tc>
        <w:tc>
          <w:tcPr>
            <w:tcW w:w="1249" w:type="dxa"/>
            <w:vAlign w:val="center"/>
          </w:tcPr>
          <w:p w14:paraId="5E9A19E8" w14:textId="77777777" w:rsidR="00D36125" w:rsidRPr="00930C7A" w:rsidRDefault="00D36125" w:rsidP="007749E7">
            <w:pPr>
              <w:pStyle w:val="ExhibitText"/>
              <w:jc w:val="right"/>
              <w:rPr>
                <w:sz w:val="18"/>
                <w:szCs w:val="18"/>
              </w:rPr>
            </w:pPr>
            <w:r w:rsidRPr="00930C7A">
              <w:rPr>
                <w:sz w:val="18"/>
                <w:szCs w:val="18"/>
              </w:rPr>
              <w:t>27,543</w:t>
            </w:r>
          </w:p>
        </w:tc>
        <w:tc>
          <w:tcPr>
            <w:tcW w:w="1272" w:type="dxa"/>
            <w:vAlign w:val="center"/>
          </w:tcPr>
          <w:p w14:paraId="58E0C69A" w14:textId="77777777" w:rsidR="00D36125" w:rsidRPr="00930C7A" w:rsidRDefault="00D36125" w:rsidP="007749E7">
            <w:pPr>
              <w:pStyle w:val="ExhibitText"/>
              <w:jc w:val="right"/>
              <w:rPr>
                <w:sz w:val="18"/>
                <w:szCs w:val="18"/>
              </w:rPr>
            </w:pPr>
            <w:r w:rsidRPr="00930C7A">
              <w:rPr>
                <w:sz w:val="18"/>
                <w:szCs w:val="18"/>
              </w:rPr>
              <w:t>3,853</w:t>
            </w:r>
          </w:p>
        </w:tc>
        <w:tc>
          <w:tcPr>
            <w:tcW w:w="1170" w:type="dxa"/>
            <w:vAlign w:val="center"/>
          </w:tcPr>
          <w:p w14:paraId="422FDC4F" w14:textId="77777777" w:rsidR="00D36125" w:rsidRPr="00930C7A" w:rsidRDefault="00D36125" w:rsidP="007749E7">
            <w:pPr>
              <w:pStyle w:val="ExhibitText"/>
              <w:jc w:val="right"/>
              <w:rPr>
                <w:sz w:val="18"/>
                <w:szCs w:val="18"/>
              </w:rPr>
            </w:pPr>
            <w:r w:rsidRPr="00930C7A">
              <w:rPr>
                <w:sz w:val="18"/>
                <w:szCs w:val="18"/>
              </w:rPr>
              <w:t>27,543</w:t>
            </w:r>
          </w:p>
        </w:tc>
        <w:tc>
          <w:tcPr>
            <w:tcW w:w="1243" w:type="dxa"/>
            <w:vAlign w:val="center"/>
          </w:tcPr>
          <w:p w14:paraId="41239EC9" w14:textId="77777777" w:rsidR="00D36125" w:rsidRPr="00930C7A" w:rsidRDefault="00D36125" w:rsidP="007749E7">
            <w:pPr>
              <w:pStyle w:val="ExhibitText"/>
              <w:jc w:val="right"/>
              <w:rPr>
                <w:sz w:val="18"/>
                <w:szCs w:val="18"/>
              </w:rPr>
            </w:pPr>
            <w:r w:rsidRPr="00930C7A">
              <w:rPr>
                <w:sz w:val="18"/>
                <w:szCs w:val="18"/>
              </w:rPr>
              <w:t>386</w:t>
            </w:r>
          </w:p>
        </w:tc>
        <w:tc>
          <w:tcPr>
            <w:tcW w:w="1277" w:type="dxa"/>
            <w:vAlign w:val="center"/>
          </w:tcPr>
          <w:p w14:paraId="0E8F67EE" w14:textId="77777777" w:rsidR="00D36125" w:rsidRPr="00930C7A" w:rsidRDefault="00D36125" w:rsidP="007749E7">
            <w:pPr>
              <w:pStyle w:val="ExhibitText"/>
              <w:jc w:val="right"/>
              <w:rPr>
                <w:sz w:val="18"/>
                <w:szCs w:val="18"/>
              </w:rPr>
            </w:pPr>
            <w:r w:rsidRPr="00930C7A">
              <w:rPr>
                <w:sz w:val="18"/>
                <w:szCs w:val="18"/>
              </w:rPr>
              <w:t>54</w:t>
            </w:r>
          </w:p>
        </w:tc>
      </w:tr>
      <w:tr w:rsidR="00D36125" w:rsidRPr="00930C7A" w14:paraId="11C9EBA0" w14:textId="77777777" w:rsidTr="004258D6">
        <w:trPr>
          <w:trHeight w:val="360"/>
          <w:tblHeader/>
          <w:jc w:val="center"/>
        </w:trPr>
        <w:tc>
          <w:tcPr>
            <w:tcW w:w="1931" w:type="dxa"/>
            <w:vAlign w:val="center"/>
          </w:tcPr>
          <w:p w14:paraId="4EDA8061" w14:textId="77777777" w:rsidR="00D36125" w:rsidRPr="00930C7A" w:rsidRDefault="00D36125" w:rsidP="007749E7">
            <w:pPr>
              <w:pStyle w:val="ExhibitText"/>
              <w:jc w:val="left"/>
              <w:rPr>
                <w:sz w:val="18"/>
                <w:szCs w:val="18"/>
              </w:rPr>
            </w:pPr>
            <w:r w:rsidRPr="00930C7A">
              <w:rPr>
                <w:sz w:val="18"/>
                <w:szCs w:val="18"/>
              </w:rPr>
              <w:t>Change in fair value of</w:t>
            </w:r>
            <w:r w:rsidRPr="00930C7A">
              <w:rPr>
                <w:rFonts w:eastAsia="DengXian"/>
                <w:sz w:val="18"/>
                <w:szCs w:val="18"/>
                <w:lang w:eastAsia="zh-CN"/>
              </w:rPr>
              <w:t xml:space="preserve"> </w:t>
            </w:r>
            <w:r w:rsidRPr="00930C7A">
              <w:rPr>
                <w:sz w:val="18"/>
                <w:szCs w:val="18"/>
              </w:rPr>
              <w:t>liabilities to be settled in</w:t>
            </w:r>
            <w:r w:rsidRPr="00930C7A">
              <w:rPr>
                <w:rFonts w:eastAsia="DengXian"/>
                <w:sz w:val="18"/>
                <w:szCs w:val="18"/>
                <w:lang w:eastAsia="zh-CN"/>
              </w:rPr>
              <w:t xml:space="preserve"> </w:t>
            </w:r>
            <w:r w:rsidRPr="00930C7A">
              <w:rPr>
                <w:sz w:val="18"/>
                <w:szCs w:val="18"/>
              </w:rPr>
              <w:t>shares</w:t>
            </w:r>
          </w:p>
        </w:tc>
        <w:tc>
          <w:tcPr>
            <w:tcW w:w="1213" w:type="dxa"/>
            <w:vAlign w:val="center"/>
          </w:tcPr>
          <w:p w14:paraId="2F7BDE6F" w14:textId="77777777" w:rsidR="00D36125" w:rsidRPr="00930C7A" w:rsidRDefault="00D36125" w:rsidP="007749E7">
            <w:pPr>
              <w:pStyle w:val="ExhibitText"/>
              <w:jc w:val="right"/>
              <w:rPr>
                <w:sz w:val="18"/>
                <w:szCs w:val="18"/>
              </w:rPr>
            </w:pPr>
            <w:r w:rsidRPr="00930C7A">
              <w:rPr>
                <w:sz w:val="18"/>
                <w:szCs w:val="18"/>
              </w:rPr>
              <w:t>33,755</w:t>
            </w:r>
          </w:p>
        </w:tc>
        <w:tc>
          <w:tcPr>
            <w:tcW w:w="1249" w:type="dxa"/>
            <w:vAlign w:val="center"/>
          </w:tcPr>
          <w:p w14:paraId="3E110FF5" w14:textId="77777777" w:rsidR="00D36125" w:rsidRPr="00930C7A" w:rsidRDefault="00D36125" w:rsidP="007749E7">
            <w:pPr>
              <w:pStyle w:val="ExhibitText"/>
              <w:jc w:val="right"/>
              <w:rPr>
                <w:sz w:val="18"/>
                <w:szCs w:val="18"/>
              </w:rPr>
            </w:pPr>
            <w:r w:rsidRPr="00930C7A">
              <w:rPr>
                <w:sz w:val="18"/>
                <w:szCs w:val="18"/>
              </w:rPr>
              <w:t>25,607</w:t>
            </w:r>
          </w:p>
        </w:tc>
        <w:tc>
          <w:tcPr>
            <w:tcW w:w="1272" w:type="dxa"/>
            <w:vAlign w:val="center"/>
          </w:tcPr>
          <w:p w14:paraId="2F9DF65B" w14:textId="77777777" w:rsidR="00D36125" w:rsidRPr="00930C7A" w:rsidRDefault="00D36125" w:rsidP="007749E7">
            <w:pPr>
              <w:pStyle w:val="ExhibitText"/>
              <w:jc w:val="right"/>
              <w:rPr>
                <w:sz w:val="18"/>
                <w:szCs w:val="18"/>
              </w:rPr>
            </w:pPr>
            <w:r w:rsidRPr="00930C7A">
              <w:rPr>
                <w:sz w:val="18"/>
                <w:szCs w:val="18"/>
              </w:rPr>
              <w:t>3,583</w:t>
            </w:r>
          </w:p>
        </w:tc>
        <w:tc>
          <w:tcPr>
            <w:tcW w:w="1170" w:type="dxa"/>
            <w:vAlign w:val="center"/>
          </w:tcPr>
          <w:p w14:paraId="5A00DE6B" w14:textId="77777777" w:rsidR="00D36125" w:rsidRPr="00930C7A" w:rsidRDefault="00D36125" w:rsidP="007749E7">
            <w:pPr>
              <w:pStyle w:val="ExhibitText"/>
              <w:jc w:val="right"/>
              <w:rPr>
                <w:sz w:val="18"/>
                <w:szCs w:val="18"/>
              </w:rPr>
            </w:pPr>
            <w:r w:rsidRPr="00930C7A">
              <w:rPr>
                <w:sz w:val="18"/>
                <w:szCs w:val="18"/>
              </w:rPr>
              <w:t>(31,958)</w:t>
            </w:r>
          </w:p>
        </w:tc>
        <w:tc>
          <w:tcPr>
            <w:tcW w:w="1243" w:type="dxa"/>
            <w:vAlign w:val="center"/>
          </w:tcPr>
          <w:p w14:paraId="6E619525" w14:textId="77777777" w:rsidR="00D36125" w:rsidRPr="00930C7A" w:rsidRDefault="00D36125" w:rsidP="007749E7">
            <w:pPr>
              <w:pStyle w:val="ExhibitText"/>
              <w:jc w:val="right"/>
              <w:rPr>
                <w:sz w:val="18"/>
                <w:szCs w:val="18"/>
              </w:rPr>
            </w:pPr>
            <w:r w:rsidRPr="00930C7A">
              <w:rPr>
                <w:sz w:val="18"/>
                <w:szCs w:val="18"/>
              </w:rPr>
              <w:t>(141,164)</w:t>
            </w:r>
          </w:p>
        </w:tc>
        <w:tc>
          <w:tcPr>
            <w:tcW w:w="1277" w:type="dxa"/>
            <w:vAlign w:val="center"/>
          </w:tcPr>
          <w:p w14:paraId="30A3AA52" w14:textId="77777777" w:rsidR="00D36125" w:rsidRPr="00930C7A" w:rsidRDefault="00D36125" w:rsidP="007749E7">
            <w:pPr>
              <w:pStyle w:val="ExhibitText"/>
              <w:jc w:val="right"/>
              <w:rPr>
                <w:sz w:val="18"/>
                <w:szCs w:val="18"/>
              </w:rPr>
            </w:pPr>
            <w:r w:rsidRPr="00930C7A">
              <w:rPr>
                <w:sz w:val="18"/>
                <w:szCs w:val="18"/>
              </w:rPr>
              <w:t>(19,750)</w:t>
            </w:r>
          </w:p>
        </w:tc>
      </w:tr>
      <w:tr w:rsidR="00D36125" w:rsidRPr="00930C7A" w14:paraId="68C4D681" w14:textId="77777777" w:rsidTr="004258D6">
        <w:trPr>
          <w:trHeight w:val="360"/>
          <w:tblHeader/>
          <w:jc w:val="center"/>
        </w:trPr>
        <w:tc>
          <w:tcPr>
            <w:tcW w:w="1931" w:type="dxa"/>
            <w:vAlign w:val="center"/>
          </w:tcPr>
          <w:p w14:paraId="0A6118D1" w14:textId="77777777" w:rsidR="00D36125" w:rsidRPr="00930C7A" w:rsidRDefault="00D36125" w:rsidP="007749E7">
            <w:pPr>
              <w:pStyle w:val="ExhibitText"/>
              <w:jc w:val="left"/>
              <w:rPr>
                <w:b/>
                <w:bCs/>
                <w:sz w:val="18"/>
                <w:szCs w:val="18"/>
              </w:rPr>
            </w:pPr>
            <w:r w:rsidRPr="00930C7A">
              <w:rPr>
                <w:b/>
                <w:bCs/>
                <w:sz w:val="18"/>
                <w:szCs w:val="18"/>
              </w:rPr>
              <w:t>Loss from operations</w:t>
            </w:r>
          </w:p>
        </w:tc>
        <w:tc>
          <w:tcPr>
            <w:tcW w:w="1213" w:type="dxa"/>
            <w:vAlign w:val="center"/>
          </w:tcPr>
          <w:p w14:paraId="4A01CC89" w14:textId="77777777" w:rsidR="00D36125" w:rsidRPr="00930C7A" w:rsidRDefault="00D36125" w:rsidP="007749E7">
            <w:pPr>
              <w:pStyle w:val="ExhibitText"/>
              <w:jc w:val="right"/>
              <w:rPr>
                <w:sz w:val="18"/>
                <w:szCs w:val="18"/>
              </w:rPr>
            </w:pPr>
            <w:r w:rsidRPr="00930C7A">
              <w:rPr>
                <w:sz w:val="18"/>
                <w:szCs w:val="18"/>
              </w:rPr>
              <w:t>(399,870)</w:t>
            </w:r>
          </w:p>
        </w:tc>
        <w:tc>
          <w:tcPr>
            <w:tcW w:w="1249" w:type="dxa"/>
            <w:vAlign w:val="center"/>
          </w:tcPr>
          <w:p w14:paraId="42108FF7" w14:textId="77777777" w:rsidR="00D36125" w:rsidRPr="00930C7A" w:rsidRDefault="00D36125" w:rsidP="007749E7">
            <w:pPr>
              <w:pStyle w:val="ExhibitText"/>
              <w:jc w:val="right"/>
              <w:rPr>
                <w:sz w:val="18"/>
                <w:szCs w:val="18"/>
              </w:rPr>
            </w:pPr>
            <w:r w:rsidRPr="00930C7A">
              <w:rPr>
                <w:sz w:val="18"/>
                <w:szCs w:val="18"/>
              </w:rPr>
              <w:t>(456,900)</w:t>
            </w:r>
          </w:p>
        </w:tc>
        <w:tc>
          <w:tcPr>
            <w:tcW w:w="1272" w:type="dxa"/>
            <w:vAlign w:val="center"/>
          </w:tcPr>
          <w:p w14:paraId="106FDBA9" w14:textId="77777777" w:rsidR="00D36125" w:rsidRPr="00930C7A" w:rsidRDefault="00D36125" w:rsidP="007749E7">
            <w:pPr>
              <w:pStyle w:val="ExhibitText"/>
              <w:jc w:val="right"/>
              <w:rPr>
                <w:sz w:val="18"/>
                <w:szCs w:val="18"/>
              </w:rPr>
            </w:pPr>
            <w:r w:rsidRPr="00930C7A">
              <w:rPr>
                <w:sz w:val="18"/>
                <w:szCs w:val="18"/>
              </w:rPr>
              <w:t>(63,922)</w:t>
            </w:r>
          </w:p>
        </w:tc>
        <w:tc>
          <w:tcPr>
            <w:tcW w:w="1170" w:type="dxa"/>
            <w:vAlign w:val="center"/>
          </w:tcPr>
          <w:p w14:paraId="2E4AAF92" w14:textId="77777777" w:rsidR="00D36125" w:rsidRPr="00930C7A" w:rsidRDefault="00D36125" w:rsidP="007749E7">
            <w:pPr>
              <w:pStyle w:val="ExhibitText"/>
              <w:jc w:val="right"/>
              <w:rPr>
                <w:sz w:val="18"/>
                <w:szCs w:val="18"/>
              </w:rPr>
            </w:pPr>
            <w:r w:rsidRPr="00930C7A">
              <w:rPr>
                <w:sz w:val="18"/>
                <w:szCs w:val="18"/>
              </w:rPr>
              <w:t>(288,634)</w:t>
            </w:r>
          </w:p>
        </w:tc>
        <w:tc>
          <w:tcPr>
            <w:tcW w:w="1243" w:type="dxa"/>
            <w:vAlign w:val="center"/>
          </w:tcPr>
          <w:p w14:paraId="023E5154" w14:textId="77777777" w:rsidR="00D36125" w:rsidRPr="00930C7A" w:rsidRDefault="00D36125" w:rsidP="007749E7">
            <w:pPr>
              <w:pStyle w:val="ExhibitText"/>
              <w:jc w:val="right"/>
              <w:rPr>
                <w:sz w:val="18"/>
                <w:szCs w:val="18"/>
              </w:rPr>
            </w:pPr>
            <w:r w:rsidRPr="00930C7A">
              <w:rPr>
                <w:sz w:val="18"/>
                <w:szCs w:val="18"/>
              </w:rPr>
              <w:t>(561,391)</w:t>
            </w:r>
          </w:p>
        </w:tc>
        <w:tc>
          <w:tcPr>
            <w:tcW w:w="1277" w:type="dxa"/>
            <w:vAlign w:val="center"/>
          </w:tcPr>
          <w:p w14:paraId="2BC2BC76" w14:textId="77777777" w:rsidR="00D36125" w:rsidRPr="00930C7A" w:rsidRDefault="00D36125" w:rsidP="007749E7">
            <w:pPr>
              <w:pStyle w:val="ExhibitText"/>
              <w:jc w:val="right"/>
              <w:rPr>
                <w:sz w:val="18"/>
                <w:szCs w:val="18"/>
              </w:rPr>
            </w:pPr>
            <w:r w:rsidRPr="00930C7A">
              <w:rPr>
                <w:sz w:val="18"/>
                <w:szCs w:val="18"/>
              </w:rPr>
              <w:t>(78,542)</w:t>
            </w:r>
          </w:p>
        </w:tc>
      </w:tr>
      <w:tr w:rsidR="00D36125" w:rsidRPr="00930C7A" w14:paraId="54CE0099" w14:textId="77777777" w:rsidTr="004258D6">
        <w:trPr>
          <w:trHeight w:val="360"/>
          <w:tblHeader/>
          <w:jc w:val="center"/>
        </w:trPr>
        <w:tc>
          <w:tcPr>
            <w:tcW w:w="1931" w:type="dxa"/>
            <w:tcMar>
              <w:top w:w="29" w:type="dxa"/>
              <w:left w:w="115" w:type="dxa"/>
              <w:bottom w:w="29" w:type="dxa"/>
              <w:right w:w="115" w:type="dxa"/>
            </w:tcMar>
            <w:vAlign w:val="center"/>
          </w:tcPr>
          <w:p w14:paraId="62660953" w14:textId="77777777" w:rsidR="00D36125" w:rsidRPr="00930C7A" w:rsidRDefault="00D36125" w:rsidP="007749E7">
            <w:pPr>
              <w:pStyle w:val="ExhibitText"/>
              <w:jc w:val="left"/>
              <w:rPr>
                <w:sz w:val="18"/>
                <w:szCs w:val="18"/>
              </w:rPr>
            </w:pPr>
            <w:r w:rsidRPr="00930C7A">
              <w:rPr>
                <w:sz w:val="18"/>
                <w:szCs w:val="18"/>
              </w:rPr>
              <w:t>Interest income</w:t>
            </w:r>
          </w:p>
        </w:tc>
        <w:tc>
          <w:tcPr>
            <w:tcW w:w="1213" w:type="dxa"/>
            <w:tcMar>
              <w:top w:w="29" w:type="dxa"/>
              <w:left w:w="115" w:type="dxa"/>
              <w:bottom w:w="29" w:type="dxa"/>
              <w:right w:w="115" w:type="dxa"/>
            </w:tcMar>
            <w:vAlign w:val="center"/>
          </w:tcPr>
          <w:p w14:paraId="7F8095A8" w14:textId="77777777" w:rsidR="00D36125" w:rsidRPr="00930C7A" w:rsidRDefault="00D36125" w:rsidP="007749E7">
            <w:pPr>
              <w:pStyle w:val="ExhibitText"/>
              <w:jc w:val="right"/>
              <w:rPr>
                <w:sz w:val="18"/>
                <w:szCs w:val="18"/>
              </w:rPr>
            </w:pPr>
            <w:r w:rsidRPr="00930C7A">
              <w:rPr>
                <w:sz w:val="18"/>
                <w:szCs w:val="18"/>
              </w:rPr>
              <w:t>15,329</w:t>
            </w:r>
          </w:p>
        </w:tc>
        <w:tc>
          <w:tcPr>
            <w:tcW w:w="1249" w:type="dxa"/>
            <w:tcMar>
              <w:top w:w="29" w:type="dxa"/>
              <w:left w:w="115" w:type="dxa"/>
              <w:bottom w:w="29" w:type="dxa"/>
              <w:right w:w="115" w:type="dxa"/>
            </w:tcMar>
            <w:vAlign w:val="center"/>
          </w:tcPr>
          <w:p w14:paraId="02FA4C70" w14:textId="77777777" w:rsidR="00D36125" w:rsidRPr="00930C7A" w:rsidRDefault="00D36125" w:rsidP="007749E7">
            <w:pPr>
              <w:pStyle w:val="ExhibitText"/>
              <w:jc w:val="right"/>
              <w:rPr>
                <w:sz w:val="18"/>
                <w:szCs w:val="18"/>
              </w:rPr>
            </w:pPr>
            <w:r w:rsidRPr="00930C7A">
              <w:rPr>
                <w:sz w:val="18"/>
                <w:szCs w:val="18"/>
              </w:rPr>
              <w:t>21,574</w:t>
            </w:r>
          </w:p>
        </w:tc>
        <w:tc>
          <w:tcPr>
            <w:tcW w:w="1272" w:type="dxa"/>
            <w:tcMar>
              <w:top w:w="29" w:type="dxa"/>
              <w:left w:w="115" w:type="dxa"/>
              <w:bottom w:w="29" w:type="dxa"/>
              <w:right w:w="115" w:type="dxa"/>
            </w:tcMar>
            <w:vAlign w:val="center"/>
          </w:tcPr>
          <w:p w14:paraId="575328A5" w14:textId="77777777" w:rsidR="00D36125" w:rsidRPr="00930C7A" w:rsidRDefault="00D36125" w:rsidP="007749E7">
            <w:pPr>
              <w:pStyle w:val="ExhibitText"/>
              <w:jc w:val="right"/>
              <w:rPr>
                <w:sz w:val="18"/>
                <w:szCs w:val="18"/>
              </w:rPr>
            </w:pPr>
            <w:r w:rsidRPr="00930C7A">
              <w:rPr>
                <w:sz w:val="18"/>
                <w:szCs w:val="18"/>
              </w:rPr>
              <w:t>3,018</w:t>
            </w:r>
          </w:p>
        </w:tc>
        <w:tc>
          <w:tcPr>
            <w:tcW w:w="1170" w:type="dxa"/>
            <w:tcMar>
              <w:top w:w="29" w:type="dxa"/>
              <w:left w:w="115" w:type="dxa"/>
              <w:bottom w:w="29" w:type="dxa"/>
              <w:right w:w="115" w:type="dxa"/>
            </w:tcMar>
            <w:vAlign w:val="center"/>
          </w:tcPr>
          <w:p w14:paraId="2C4B387B" w14:textId="77777777" w:rsidR="00D36125" w:rsidRPr="00930C7A" w:rsidRDefault="00D36125" w:rsidP="007749E7">
            <w:pPr>
              <w:pStyle w:val="ExhibitText"/>
              <w:jc w:val="right"/>
              <w:rPr>
                <w:sz w:val="18"/>
                <w:szCs w:val="18"/>
              </w:rPr>
            </w:pPr>
            <w:r w:rsidRPr="00930C7A">
              <w:rPr>
                <w:sz w:val="18"/>
                <w:szCs w:val="18"/>
              </w:rPr>
              <w:t>17,707</w:t>
            </w:r>
          </w:p>
        </w:tc>
        <w:tc>
          <w:tcPr>
            <w:tcW w:w="1243" w:type="dxa"/>
            <w:tcMar>
              <w:top w:w="29" w:type="dxa"/>
              <w:left w:w="115" w:type="dxa"/>
              <w:bottom w:w="29" w:type="dxa"/>
              <w:right w:w="115" w:type="dxa"/>
            </w:tcMar>
            <w:vAlign w:val="center"/>
          </w:tcPr>
          <w:p w14:paraId="5CC29ECC" w14:textId="77777777" w:rsidR="00D36125" w:rsidRPr="00930C7A" w:rsidRDefault="00D36125" w:rsidP="007749E7">
            <w:pPr>
              <w:pStyle w:val="ExhibitText"/>
              <w:jc w:val="right"/>
              <w:rPr>
                <w:sz w:val="18"/>
                <w:szCs w:val="18"/>
              </w:rPr>
            </w:pPr>
            <w:r w:rsidRPr="00930C7A">
              <w:rPr>
                <w:sz w:val="18"/>
                <w:szCs w:val="18"/>
              </w:rPr>
              <w:t>4,901</w:t>
            </w:r>
          </w:p>
        </w:tc>
        <w:tc>
          <w:tcPr>
            <w:tcW w:w="1277" w:type="dxa"/>
            <w:tcMar>
              <w:top w:w="29" w:type="dxa"/>
              <w:left w:w="115" w:type="dxa"/>
              <w:bottom w:w="29" w:type="dxa"/>
              <w:right w:w="115" w:type="dxa"/>
            </w:tcMar>
            <w:vAlign w:val="center"/>
          </w:tcPr>
          <w:p w14:paraId="3152E954" w14:textId="77777777" w:rsidR="00D36125" w:rsidRPr="00930C7A" w:rsidRDefault="00D36125" w:rsidP="007749E7">
            <w:pPr>
              <w:pStyle w:val="ExhibitText"/>
              <w:jc w:val="right"/>
              <w:rPr>
                <w:sz w:val="18"/>
                <w:szCs w:val="18"/>
              </w:rPr>
            </w:pPr>
            <w:r w:rsidRPr="00930C7A">
              <w:rPr>
                <w:sz w:val="18"/>
                <w:szCs w:val="18"/>
              </w:rPr>
              <w:t>686</w:t>
            </w:r>
          </w:p>
        </w:tc>
      </w:tr>
      <w:tr w:rsidR="00D36125" w:rsidRPr="00930C7A" w14:paraId="1DF70D72" w14:textId="77777777" w:rsidTr="004258D6">
        <w:trPr>
          <w:trHeight w:val="360"/>
          <w:tblHeader/>
          <w:jc w:val="center"/>
        </w:trPr>
        <w:tc>
          <w:tcPr>
            <w:tcW w:w="1931" w:type="dxa"/>
            <w:tcMar>
              <w:top w:w="29" w:type="dxa"/>
              <w:left w:w="115" w:type="dxa"/>
              <w:bottom w:w="29" w:type="dxa"/>
              <w:right w:w="115" w:type="dxa"/>
            </w:tcMar>
            <w:vAlign w:val="center"/>
          </w:tcPr>
          <w:p w14:paraId="7DF9D98D" w14:textId="77777777" w:rsidR="00D36125" w:rsidRPr="00930C7A" w:rsidRDefault="00D36125" w:rsidP="007749E7">
            <w:pPr>
              <w:pStyle w:val="ExhibitText"/>
              <w:jc w:val="left"/>
              <w:rPr>
                <w:sz w:val="18"/>
                <w:szCs w:val="18"/>
              </w:rPr>
            </w:pPr>
            <w:r w:rsidRPr="00930C7A">
              <w:rPr>
                <w:sz w:val="18"/>
                <w:szCs w:val="18"/>
              </w:rPr>
              <w:t>Interest expense</w:t>
            </w:r>
          </w:p>
        </w:tc>
        <w:tc>
          <w:tcPr>
            <w:tcW w:w="1213" w:type="dxa"/>
            <w:tcMar>
              <w:top w:w="29" w:type="dxa"/>
              <w:left w:w="115" w:type="dxa"/>
              <w:bottom w:w="29" w:type="dxa"/>
              <w:right w:w="115" w:type="dxa"/>
            </w:tcMar>
            <w:vAlign w:val="center"/>
          </w:tcPr>
          <w:p w14:paraId="751BEC9B" w14:textId="77777777" w:rsidR="00D36125" w:rsidRPr="00930C7A" w:rsidRDefault="00D36125" w:rsidP="007749E7">
            <w:pPr>
              <w:pStyle w:val="ExhibitText"/>
              <w:jc w:val="right"/>
              <w:rPr>
                <w:sz w:val="18"/>
                <w:szCs w:val="18"/>
              </w:rPr>
            </w:pPr>
            <w:r w:rsidRPr="00930C7A">
              <w:rPr>
                <w:sz w:val="18"/>
                <w:szCs w:val="18"/>
              </w:rPr>
              <w:t>(78)</w:t>
            </w:r>
          </w:p>
        </w:tc>
        <w:tc>
          <w:tcPr>
            <w:tcW w:w="1249" w:type="dxa"/>
            <w:tcMar>
              <w:top w:w="29" w:type="dxa"/>
              <w:left w:w="115" w:type="dxa"/>
              <w:bottom w:w="29" w:type="dxa"/>
              <w:right w:w="115" w:type="dxa"/>
            </w:tcMar>
            <w:vAlign w:val="center"/>
          </w:tcPr>
          <w:p w14:paraId="4B50F636" w14:textId="77777777" w:rsidR="00D36125" w:rsidRPr="00930C7A" w:rsidRDefault="00D36125" w:rsidP="007749E7">
            <w:pPr>
              <w:pStyle w:val="ExhibitText"/>
              <w:jc w:val="right"/>
              <w:rPr>
                <w:sz w:val="18"/>
                <w:szCs w:val="18"/>
              </w:rPr>
            </w:pPr>
            <w:r w:rsidRPr="00930C7A">
              <w:rPr>
                <w:sz w:val="18"/>
                <w:szCs w:val="18"/>
              </w:rPr>
              <w:t>(9,902)</w:t>
            </w:r>
          </w:p>
        </w:tc>
        <w:tc>
          <w:tcPr>
            <w:tcW w:w="1272" w:type="dxa"/>
            <w:tcMar>
              <w:top w:w="29" w:type="dxa"/>
              <w:left w:w="115" w:type="dxa"/>
              <w:bottom w:w="29" w:type="dxa"/>
              <w:right w:w="115" w:type="dxa"/>
            </w:tcMar>
            <w:vAlign w:val="center"/>
          </w:tcPr>
          <w:p w14:paraId="7C0251DA" w14:textId="77777777" w:rsidR="00D36125" w:rsidRPr="00930C7A" w:rsidRDefault="00D36125" w:rsidP="007749E7">
            <w:pPr>
              <w:pStyle w:val="ExhibitText"/>
              <w:jc w:val="right"/>
              <w:rPr>
                <w:sz w:val="18"/>
                <w:szCs w:val="18"/>
              </w:rPr>
            </w:pPr>
            <w:r w:rsidRPr="00930C7A">
              <w:rPr>
                <w:sz w:val="18"/>
                <w:szCs w:val="18"/>
              </w:rPr>
              <w:t>(1,385)</w:t>
            </w:r>
          </w:p>
        </w:tc>
        <w:tc>
          <w:tcPr>
            <w:tcW w:w="1170" w:type="dxa"/>
            <w:tcMar>
              <w:top w:w="29" w:type="dxa"/>
              <w:left w:w="115" w:type="dxa"/>
              <w:bottom w:w="29" w:type="dxa"/>
              <w:right w:w="115" w:type="dxa"/>
            </w:tcMar>
            <w:vAlign w:val="center"/>
          </w:tcPr>
          <w:p w14:paraId="000B090B" w14:textId="77777777" w:rsidR="00D36125" w:rsidRPr="00930C7A" w:rsidRDefault="00D36125" w:rsidP="007749E7">
            <w:pPr>
              <w:pStyle w:val="ExhibitText"/>
              <w:jc w:val="right"/>
              <w:rPr>
                <w:sz w:val="18"/>
                <w:szCs w:val="18"/>
              </w:rPr>
            </w:pPr>
            <w:r w:rsidRPr="00930C7A">
              <w:rPr>
                <w:sz w:val="18"/>
                <w:szCs w:val="18"/>
              </w:rPr>
              <w:t>(6,722)</w:t>
            </w:r>
          </w:p>
        </w:tc>
        <w:tc>
          <w:tcPr>
            <w:tcW w:w="1243" w:type="dxa"/>
            <w:tcMar>
              <w:top w:w="29" w:type="dxa"/>
              <w:left w:w="115" w:type="dxa"/>
              <w:bottom w:w="29" w:type="dxa"/>
              <w:right w:w="115" w:type="dxa"/>
            </w:tcMar>
            <w:vAlign w:val="center"/>
          </w:tcPr>
          <w:p w14:paraId="42668D63" w14:textId="77777777" w:rsidR="00D36125" w:rsidRPr="00930C7A" w:rsidRDefault="00D36125" w:rsidP="007749E7">
            <w:pPr>
              <w:pStyle w:val="ExhibitText"/>
              <w:jc w:val="right"/>
              <w:rPr>
                <w:sz w:val="18"/>
                <w:szCs w:val="18"/>
              </w:rPr>
            </w:pPr>
            <w:r w:rsidRPr="00930C7A">
              <w:rPr>
                <w:sz w:val="18"/>
                <w:szCs w:val="18"/>
              </w:rPr>
              <w:t>(7,960)</w:t>
            </w:r>
          </w:p>
        </w:tc>
        <w:tc>
          <w:tcPr>
            <w:tcW w:w="1277" w:type="dxa"/>
            <w:tcMar>
              <w:top w:w="29" w:type="dxa"/>
              <w:left w:w="115" w:type="dxa"/>
              <w:bottom w:w="29" w:type="dxa"/>
              <w:right w:w="115" w:type="dxa"/>
            </w:tcMar>
            <w:vAlign w:val="center"/>
          </w:tcPr>
          <w:p w14:paraId="734AF71D" w14:textId="77777777" w:rsidR="00D36125" w:rsidRPr="00930C7A" w:rsidRDefault="00D36125" w:rsidP="007749E7">
            <w:pPr>
              <w:pStyle w:val="ExhibitText"/>
              <w:jc w:val="right"/>
              <w:rPr>
                <w:sz w:val="18"/>
                <w:szCs w:val="18"/>
              </w:rPr>
            </w:pPr>
            <w:r w:rsidRPr="00930C7A">
              <w:rPr>
                <w:sz w:val="18"/>
                <w:szCs w:val="18"/>
              </w:rPr>
              <w:t>(1,114)</w:t>
            </w:r>
          </w:p>
        </w:tc>
      </w:tr>
      <w:tr w:rsidR="00D36125" w:rsidRPr="00930C7A" w14:paraId="432F6AA5" w14:textId="77777777" w:rsidTr="004258D6">
        <w:trPr>
          <w:trHeight w:val="360"/>
          <w:tblHeader/>
          <w:jc w:val="center"/>
        </w:trPr>
        <w:tc>
          <w:tcPr>
            <w:tcW w:w="1931" w:type="dxa"/>
            <w:tcMar>
              <w:top w:w="29" w:type="dxa"/>
              <w:left w:w="115" w:type="dxa"/>
              <w:bottom w:w="29" w:type="dxa"/>
              <w:right w:w="115" w:type="dxa"/>
            </w:tcMar>
            <w:vAlign w:val="center"/>
          </w:tcPr>
          <w:p w14:paraId="29CB9646" w14:textId="77777777" w:rsidR="00D36125" w:rsidRPr="00930C7A" w:rsidRDefault="00D36125" w:rsidP="007749E7">
            <w:pPr>
              <w:pStyle w:val="ExhibitText"/>
              <w:jc w:val="left"/>
              <w:rPr>
                <w:sz w:val="18"/>
                <w:szCs w:val="18"/>
              </w:rPr>
            </w:pPr>
            <w:r w:rsidRPr="00930C7A">
              <w:rPr>
                <w:sz w:val="18"/>
                <w:szCs w:val="18"/>
              </w:rPr>
              <w:t>Subsidy income</w:t>
            </w:r>
          </w:p>
        </w:tc>
        <w:tc>
          <w:tcPr>
            <w:tcW w:w="1213" w:type="dxa"/>
            <w:tcMar>
              <w:top w:w="29" w:type="dxa"/>
              <w:left w:w="115" w:type="dxa"/>
              <w:bottom w:w="29" w:type="dxa"/>
              <w:right w:w="115" w:type="dxa"/>
            </w:tcMar>
            <w:vAlign w:val="center"/>
          </w:tcPr>
          <w:p w14:paraId="0250B654" w14:textId="77777777" w:rsidR="00D36125" w:rsidRPr="00930C7A" w:rsidRDefault="00D36125" w:rsidP="007749E7">
            <w:pPr>
              <w:pStyle w:val="ExhibitText"/>
              <w:jc w:val="right"/>
              <w:rPr>
                <w:sz w:val="18"/>
                <w:szCs w:val="18"/>
              </w:rPr>
            </w:pPr>
            <w:r w:rsidRPr="00930C7A">
              <w:rPr>
                <w:sz w:val="18"/>
                <w:szCs w:val="18"/>
              </w:rPr>
              <w:t>18,159</w:t>
            </w:r>
          </w:p>
        </w:tc>
        <w:tc>
          <w:tcPr>
            <w:tcW w:w="1249" w:type="dxa"/>
            <w:tcMar>
              <w:top w:w="29" w:type="dxa"/>
              <w:left w:w="115" w:type="dxa"/>
              <w:bottom w:w="29" w:type="dxa"/>
              <w:right w:w="115" w:type="dxa"/>
            </w:tcMar>
            <w:vAlign w:val="center"/>
          </w:tcPr>
          <w:p w14:paraId="6D6F5F26" w14:textId="77777777" w:rsidR="00D36125" w:rsidRPr="00930C7A" w:rsidRDefault="00D36125" w:rsidP="007749E7">
            <w:pPr>
              <w:pStyle w:val="ExhibitText"/>
              <w:jc w:val="right"/>
              <w:rPr>
                <w:sz w:val="18"/>
                <w:szCs w:val="18"/>
              </w:rPr>
            </w:pPr>
            <w:r w:rsidRPr="00930C7A">
              <w:rPr>
                <w:sz w:val="18"/>
                <w:szCs w:val="18"/>
              </w:rPr>
              <w:t>31,783</w:t>
            </w:r>
          </w:p>
        </w:tc>
        <w:tc>
          <w:tcPr>
            <w:tcW w:w="1272" w:type="dxa"/>
            <w:tcMar>
              <w:top w:w="29" w:type="dxa"/>
              <w:left w:w="115" w:type="dxa"/>
              <w:bottom w:w="29" w:type="dxa"/>
              <w:right w:w="115" w:type="dxa"/>
            </w:tcMar>
            <w:vAlign w:val="center"/>
          </w:tcPr>
          <w:p w14:paraId="64A21C35" w14:textId="77777777" w:rsidR="00D36125" w:rsidRPr="00930C7A" w:rsidRDefault="00D36125" w:rsidP="007749E7">
            <w:pPr>
              <w:pStyle w:val="ExhibitText"/>
              <w:jc w:val="right"/>
              <w:rPr>
                <w:sz w:val="18"/>
                <w:szCs w:val="18"/>
              </w:rPr>
            </w:pPr>
            <w:r w:rsidRPr="00930C7A">
              <w:rPr>
                <w:sz w:val="18"/>
                <w:szCs w:val="18"/>
              </w:rPr>
              <w:t>4,447</w:t>
            </w:r>
          </w:p>
        </w:tc>
        <w:tc>
          <w:tcPr>
            <w:tcW w:w="1170" w:type="dxa"/>
            <w:tcMar>
              <w:top w:w="29" w:type="dxa"/>
              <w:left w:w="115" w:type="dxa"/>
              <w:bottom w:w="29" w:type="dxa"/>
              <w:right w:w="115" w:type="dxa"/>
            </w:tcMar>
            <w:vAlign w:val="center"/>
          </w:tcPr>
          <w:p w14:paraId="3A210149" w14:textId="77777777" w:rsidR="00D36125" w:rsidRPr="00930C7A" w:rsidRDefault="00D36125" w:rsidP="007749E7">
            <w:pPr>
              <w:pStyle w:val="ExhibitText"/>
              <w:jc w:val="right"/>
              <w:rPr>
                <w:sz w:val="18"/>
                <w:szCs w:val="18"/>
              </w:rPr>
            </w:pPr>
            <w:r w:rsidRPr="00930C7A">
              <w:rPr>
                <w:sz w:val="18"/>
                <w:szCs w:val="18"/>
              </w:rPr>
              <w:t>14,869</w:t>
            </w:r>
          </w:p>
        </w:tc>
        <w:tc>
          <w:tcPr>
            <w:tcW w:w="1243" w:type="dxa"/>
            <w:tcMar>
              <w:top w:w="29" w:type="dxa"/>
              <w:left w:w="115" w:type="dxa"/>
              <w:bottom w:w="29" w:type="dxa"/>
              <w:right w:w="115" w:type="dxa"/>
            </w:tcMar>
            <w:vAlign w:val="center"/>
          </w:tcPr>
          <w:p w14:paraId="1F3B13CE" w14:textId="77777777" w:rsidR="00D36125" w:rsidRPr="00930C7A" w:rsidRDefault="00D36125" w:rsidP="007749E7">
            <w:pPr>
              <w:pStyle w:val="ExhibitText"/>
              <w:jc w:val="right"/>
              <w:rPr>
                <w:sz w:val="18"/>
                <w:szCs w:val="18"/>
              </w:rPr>
            </w:pPr>
            <w:r w:rsidRPr="00930C7A">
              <w:rPr>
                <w:sz w:val="18"/>
                <w:szCs w:val="18"/>
              </w:rPr>
              <w:t>20,521</w:t>
            </w:r>
          </w:p>
        </w:tc>
        <w:tc>
          <w:tcPr>
            <w:tcW w:w="1277" w:type="dxa"/>
            <w:tcMar>
              <w:top w:w="29" w:type="dxa"/>
              <w:left w:w="115" w:type="dxa"/>
              <w:bottom w:w="29" w:type="dxa"/>
              <w:right w:w="115" w:type="dxa"/>
            </w:tcMar>
            <w:vAlign w:val="center"/>
          </w:tcPr>
          <w:p w14:paraId="387387D9" w14:textId="77777777" w:rsidR="00D36125" w:rsidRPr="00930C7A" w:rsidRDefault="00D36125" w:rsidP="007749E7">
            <w:pPr>
              <w:pStyle w:val="ExhibitText"/>
              <w:jc w:val="right"/>
              <w:rPr>
                <w:sz w:val="18"/>
                <w:szCs w:val="18"/>
              </w:rPr>
            </w:pPr>
            <w:r w:rsidRPr="00930C7A">
              <w:rPr>
                <w:sz w:val="18"/>
                <w:szCs w:val="18"/>
              </w:rPr>
              <w:t>2,871</w:t>
            </w:r>
          </w:p>
        </w:tc>
      </w:tr>
    </w:tbl>
    <w:p w14:paraId="0D1B1B7A" w14:textId="73E48F05" w:rsidR="00D36125" w:rsidRPr="00930C7A" w:rsidRDefault="00D36125" w:rsidP="00D36125">
      <w:pPr>
        <w:pStyle w:val="ExhibitHeading"/>
        <w:rPr>
          <w:lang w:eastAsia="en-GB"/>
        </w:rPr>
      </w:pPr>
      <w:r w:rsidRPr="00930C7A">
        <w:rPr>
          <w:rFonts w:eastAsia="DengXian"/>
          <w:lang w:eastAsia="zh-CN"/>
        </w:rPr>
        <w:br w:type="page"/>
      </w:r>
      <w:r w:rsidRPr="00930C7A">
        <w:rPr>
          <w:lang w:eastAsia="en-GB"/>
        </w:rPr>
        <w:lastRenderedPageBreak/>
        <w:t xml:space="preserve">EXHIBIT </w:t>
      </w:r>
      <w:r w:rsidR="00582A46" w:rsidRPr="00930C7A">
        <w:rPr>
          <w:lang w:eastAsia="en-GB"/>
        </w:rPr>
        <w:t>4</w:t>
      </w:r>
      <w:r w:rsidRPr="00930C7A">
        <w:rPr>
          <w:lang w:eastAsia="en-GB"/>
        </w:rPr>
        <w:t>: CONTINUED</w:t>
      </w:r>
    </w:p>
    <w:p w14:paraId="63F9E17F" w14:textId="77777777" w:rsidR="00D36125" w:rsidRPr="00930C7A" w:rsidRDefault="00D36125" w:rsidP="00D36125">
      <w:pPr>
        <w:pStyle w:val="ExhibitText"/>
        <w:rPr>
          <w:rFonts w:ascii="DengXian" w:eastAsia="DengXian" w:hAnsi="DengXian"/>
          <w:lang w:eastAsia="en-GB"/>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EXHIBIT 4"/>
        <w:tblDescription w:val="(Continued) "/>
      </w:tblPr>
      <w:tblGrid>
        <w:gridCol w:w="1931"/>
        <w:gridCol w:w="1213"/>
        <w:gridCol w:w="1249"/>
        <w:gridCol w:w="1272"/>
        <w:gridCol w:w="1170"/>
        <w:gridCol w:w="1243"/>
        <w:gridCol w:w="1277"/>
      </w:tblGrid>
      <w:tr w:rsidR="00D36125" w:rsidRPr="00930C7A" w14:paraId="77B9DC0C" w14:textId="77777777" w:rsidTr="004258D6">
        <w:trPr>
          <w:trHeight w:val="360"/>
          <w:tblHeader/>
          <w:jc w:val="center"/>
        </w:trPr>
        <w:tc>
          <w:tcPr>
            <w:tcW w:w="1931" w:type="dxa"/>
            <w:noWrap/>
            <w:vAlign w:val="center"/>
          </w:tcPr>
          <w:p w14:paraId="044CBE99" w14:textId="77777777" w:rsidR="00D36125" w:rsidRPr="00930C7A" w:rsidRDefault="00D36125" w:rsidP="007749E7">
            <w:pPr>
              <w:pStyle w:val="ExhibitText"/>
              <w:jc w:val="left"/>
              <w:rPr>
                <w:sz w:val="18"/>
                <w:szCs w:val="18"/>
              </w:rPr>
            </w:pPr>
          </w:p>
        </w:tc>
        <w:tc>
          <w:tcPr>
            <w:tcW w:w="3734" w:type="dxa"/>
            <w:gridSpan w:val="3"/>
            <w:noWrap/>
            <w:vAlign w:val="center"/>
          </w:tcPr>
          <w:p w14:paraId="0F38B7EC" w14:textId="77777777" w:rsidR="00D36125" w:rsidRPr="00930C7A" w:rsidRDefault="00D36125" w:rsidP="007749E7">
            <w:pPr>
              <w:pStyle w:val="ExhibitText"/>
              <w:jc w:val="center"/>
              <w:rPr>
                <w:b/>
                <w:sz w:val="18"/>
                <w:szCs w:val="18"/>
              </w:rPr>
            </w:pPr>
            <w:r w:rsidRPr="00930C7A">
              <w:rPr>
                <w:b/>
                <w:sz w:val="18"/>
                <w:szCs w:val="18"/>
              </w:rPr>
              <w:t>Year Ending December 31</w:t>
            </w:r>
          </w:p>
        </w:tc>
        <w:tc>
          <w:tcPr>
            <w:tcW w:w="3690" w:type="dxa"/>
            <w:gridSpan w:val="3"/>
            <w:noWrap/>
            <w:vAlign w:val="center"/>
          </w:tcPr>
          <w:p w14:paraId="0DF47F07" w14:textId="77777777" w:rsidR="00D36125" w:rsidRPr="00930C7A" w:rsidRDefault="00D36125" w:rsidP="007749E7">
            <w:pPr>
              <w:pStyle w:val="ExhibitText"/>
              <w:jc w:val="center"/>
              <w:rPr>
                <w:b/>
                <w:sz w:val="18"/>
                <w:szCs w:val="18"/>
              </w:rPr>
            </w:pPr>
            <w:r w:rsidRPr="00930C7A">
              <w:rPr>
                <w:b/>
                <w:sz w:val="18"/>
                <w:szCs w:val="18"/>
              </w:rPr>
              <w:t>Nine Months Ending September 30</w:t>
            </w:r>
          </w:p>
        </w:tc>
      </w:tr>
      <w:tr w:rsidR="00D36125" w:rsidRPr="00930C7A" w14:paraId="231E4CBE" w14:textId="77777777" w:rsidTr="004258D6">
        <w:trPr>
          <w:trHeight w:val="360"/>
          <w:tblHeader/>
          <w:jc w:val="center"/>
        </w:trPr>
        <w:tc>
          <w:tcPr>
            <w:tcW w:w="1931" w:type="dxa"/>
            <w:vAlign w:val="center"/>
          </w:tcPr>
          <w:p w14:paraId="303BB484" w14:textId="77777777" w:rsidR="00D36125" w:rsidRPr="00930C7A" w:rsidRDefault="00D36125" w:rsidP="007749E7">
            <w:pPr>
              <w:pStyle w:val="ExhibitText"/>
              <w:jc w:val="left"/>
              <w:rPr>
                <w:sz w:val="18"/>
                <w:szCs w:val="18"/>
              </w:rPr>
            </w:pPr>
          </w:p>
        </w:tc>
        <w:tc>
          <w:tcPr>
            <w:tcW w:w="1213" w:type="dxa"/>
            <w:vAlign w:val="center"/>
          </w:tcPr>
          <w:p w14:paraId="7D89050A" w14:textId="77777777" w:rsidR="00D36125" w:rsidRPr="00930C7A" w:rsidRDefault="00D36125" w:rsidP="007749E7">
            <w:pPr>
              <w:pStyle w:val="ExhibitText"/>
              <w:jc w:val="center"/>
              <w:rPr>
                <w:b/>
                <w:sz w:val="18"/>
                <w:szCs w:val="18"/>
              </w:rPr>
            </w:pPr>
            <w:r w:rsidRPr="00930C7A">
              <w:rPr>
                <w:b/>
                <w:sz w:val="18"/>
                <w:szCs w:val="18"/>
              </w:rPr>
              <w:t>201</w:t>
            </w:r>
            <w:r w:rsidRPr="00930C7A">
              <w:rPr>
                <w:rFonts w:eastAsia="DengXian"/>
                <w:b/>
                <w:sz w:val="18"/>
                <w:szCs w:val="18"/>
                <w:lang w:eastAsia="zh-CN"/>
              </w:rPr>
              <w:t>7</w:t>
            </w:r>
          </w:p>
        </w:tc>
        <w:tc>
          <w:tcPr>
            <w:tcW w:w="2521" w:type="dxa"/>
            <w:gridSpan w:val="2"/>
            <w:vAlign w:val="center"/>
          </w:tcPr>
          <w:p w14:paraId="0C934FB7" w14:textId="77777777" w:rsidR="00D36125" w:rsidRPr="00930C7A" w:rsidRDefault="00D36125" w:rsidP="007749E7">
            <w:pPr>
              <w:pStyle w:val="ExhibitText"/>
              <w:jc w:val="center"/>
              <w:rPr>
                <w:b/>
                <w:sz w:val="18"/>
                <w:szCs w:val="18"/>
              </w:rPr>
            </w:pPr>
            <w:r w:rsidRPr="00930C7A">
              <w:rPr>
                <w:b/>
                <w:sz w:val="18"/>
                <w:szCs w:val="18"/>
              </w:rPr>
              <w:t>201</w:t>
            </w:r>
            <w:r w:rsidRPr="00930C7A">
              <w:rPr>
                <w:rFonts w:eastAsia="DengXian"/>
                <w:b/>
                <w:sz w:val="18"/>
                <w:szCs w:val="18"/>
                <w:lang w:eastAsia="zh-CN"/>
              </w:rPr>
              <w:t>8</w:t>
            </w:r>
          </w:p>
        </w:tc>
        <w:tc>
          <w:tcPr>
            <w:tcW w:w="1170" w:type="dxa"/>
            <w:vAlign w:val="center"/>
          </w:tcPr>
          <w:p w14:paraId="0A65D55C" w14:textId="77777777" w:rsidR="00D36125" w:rsidRPr="00930C7A" w:rsidRDefault="00D36125" w:rsidP="007749E7">
            <w:pPr>
              <w:pStyle w:val="ExhibitText"/>
              <w:jc w:val="center"/>
              <w:rPr>
                <w:b/>
                <w:sz w:val="18"/>
                <w:szCs w:val="18"/>
              </w:rPr>
            </w:pPr>
            <w:r w:rsidRPr="00930C7A">
              <w:rPr>
                <w:b/>
                <w:sz w:val="18"/>
                <w:szCs w:val="18"/>
              </w:rPr>
              <w:t>2018</w:t>
            </w:r>
          </w:p>
        </w:tc>
        <w:tc>
          <w:tcPr>
            <w:tcW w:w="2520" w:type="dxa"/>
            <w:gridSpan w:val="2"/>
            <w:vAlign w:val="center"/>
          </w:tcPr>
          <w:p w14:paraId="7FB6CE89" w14:textId="77777777" w:rsidR="00D36125" w:rsidRPr="00930C7A" w:rsidRDefault="00D36125" w:rsidP="007749E7">
            <w:pPr>
              <w:pStyle w:val="ExhibitText"/>
              <w:jc w:val="center"/>
              <w:rPr>
                <w:b/>
                <w:sz w:val="18"/>
                <w:szCs w:val="18"/>
              </w:rPr>
            </w:pPr>
            <w:r w:rsidRPr="00930C7A">
              <w:rPr>
                <w:b/>
                <w:sz w:val="18"/>
                <w:szCs w:val="18"/>
              </w:rPr>
              <w:t>2019</w:t>
            </w:r>
          </w:p>
        </w:tc>
      </w:tr>
      <w:tr w:rsidR="00D36125" w:rsidRPr="00930C7A" w14:paraId="32143FB7" w14:textId="77777777" w:rsidTr="004258D6">
        <w:trPr>
          <w:trHeight w:val="360"/>
          <w:tblHeader/>
          <w:jc w:val="center"/>
        </w:trPr>
        <w:tc>
          <w:tcPr>
            <w:tcW w:w="1931" w:type="dxa"/>
            <w:vAlign w:val="center"/>
          </w:tcPr>
          <w:p w14:paraId="5C72C8F3" w14:textId="595CB5DA" w:rsidR="00D36125" w:rsidRPr="00930C7A" w:rsidRDefault="00D36125" w:rsidP="007749E7">
            <w:pPr>
              <w:pStyle w:val="ExhibitText"/>
              <w:jc w:val="right"/>
              <w:rPr>
                <w:i/>
                <w:iCs/>
                <w:sz w:val="18"/>
                <w:szCs w:val="18"/>
              </w:rPr>
            </w:pPr>
            <w:r w:rsidRPr="00930C7A">
              <w:rPr>
                <w:i/>
                <w:iCs/>
                <w:sz w:val="18"/>
                <w:szCs w:val="18"/>
              </w:rPr>
              <w:t>In thousands,</w:t>
            </w:r>
          </w:p>
          <w:p w14:paraId="3A93E766" w14:textId="54B9620E" w:rsidR="00D36125" w:rsidRPr="00930C7A" w:rsidRDefault="00D36125" w:rsidP="007749E7">
            <w:pPr>
              <w:pStyle w:val="ExhibitText"/>
              <w:jc w:val="right"/>
              <w:rPr>
                <w:i/>
                <w:iCs/>
                <w:sz w:val="18"/>
                <w:szCs w:val="18"/>
              </w:rPr>
            </w:pPr>
            <w:r w:rsidRPr="00930C7A">
              <w:rPr>
                <w:i/>
                <w:iCs/>
                <w:sz w:val="18"/>
                <w:szCs w:val="18"/>
              </w:rPr>
              <w:t xml:space="preserve">except for percentages, shares, and </w:t>
            </w:r>
            <w:r w:rsidR="002730B4">
              <w:rPr>
                <w:i/>
                <w:iCs/>
                <w:sz w:val="18"/>
                <w:szCs w:val="18"/>
              </w:rPr>
              <w:t>per-share</w:t>
            </w:r>
            <w:r w:rsidRPr="00930C7A">
              <w:rPr>
                <w:i/>
                <w:iCs/>
                <w:sz w:val="18"/>
                <w:szCs w:val="18"/>
              </w:rPr>
              <w:t xml:space="preserve"> data</w:t>
            </w:r>
          </w:p>
        </w:tc>
        <w:tc>
          <w:tcPr>
            <w:tcW w:w="1213" w:type="dxa"/>
            <w:vAlign w:val="center"/>
          </w:tcPr>
          <w:p w14:paraId="5720F4B7" w14:textId="77777777" w:rsidR="00D36125" w:rsidRPr="00930C7A" w:rsidRDefault="00D36125" w:rsidP="007749E7">
            <w:pPr>
              <w:pStyle w:val="ExhibitText"/>
              <w:jc w:val="center"/>
              <w:rPr>
                <w:b/>
                <w:sz w:val="18"/>
                <w:szCs w:val="18"/>
              </w:rPr>
            </w:pPr>
            <w:r w:rsidRPr="00930C7A">
              <w:rPr>
                <w:b/>
                <w:sz w:val="18"/>
                <w:szCs w:val="18"/>
              </w:rPr>
              <w:t>CNY</w:t>
            </w:r>
          </w:p>
        </w:tc>
        <w:tc>
          <w:tcPr>
            <w:tcW w:w="1249" w:type="dxa"/>
            <w:vAlign w:val="center"/>
          </w:tcPr>
          <w:p w14:paraId="26590752" w14:textId="77777777" w:rsidR="00D36125" w:rsidRPr="00930C7A" w:rsidRDefault="00D36125" w:rsidP="007749E7">
            <w:pPr>
              <w:pStyle w:val="ExhibitText"/>
              <w:jc w:val="center"/>
              <w:rPr>
                <w:b/>
                <w:sz w:val="18"/>
                <w:szCs w:val="18"/>
              </w:rPr>
            </w:pPr>
            <w:r w:rsidRPr="00930C7A">
              <w:rPr>
                <w:b/>
                <w:sz w:val="18"/>
                <w:szCs w:val="18"/>
              </w:rPr>
              <w:t>CNY</w:t>
            </w:r>
          </w:p>
        </w:tc>
        <w:tc>
          <w:tcPr>
            <w:tcW w:w="1272" w:type="dxa"/>
            <w:vAlign w:val="center"/>
          </w:tcPr>
          <w:p w14:paraId="407A8B69" w14:textId="66F3A892" w:rsidR="00D36125" w:rsidRPr="00930C7A" w:rsidRDefault="006178D1" w:rsidP="007749E7">
            <w:pPr>
              <w:pStyle w:val="ExhibitText"/>
              <w:jc w:val="center"/>
              <w:rPr>
                <w:b/>
                <w:sz w:val="18"/>
                <w:szCs w:val="18"/>
              </w:rPr>
            </w:pPr>
            <w:r>
              <w:rPr>
                <w:b/>
                <w:sz w:val="18"/>
                <w:szCs w:val="18"/>
              </w:rPr>
              <w:t>USD</w:t>
            </w:r>
          </w:p>
        </w:tc>
        <w:tc>
          <w:tcPr>
            <w:tcW w:w="1170" w:type="dxa"/>
            <w:vAlign w:val="center"/>
          </w:tcPr>
          <w:p w14:paraId="384324F2" w14:textId="77777777" w:rsidR="00D36125" w:rsidRPr="00930C7A" w:rsidRDefault="00D36125" w:rsidP="007749E7">
            <w:pPr>
              <w:pStyle w:val="ExhibitText"/>
              <w:jc w:val="center"/>
              <w:rPr>
                <w:b/>
                <w:sz w:val="18"/>
                <w:szCs w:val="18"/>
              </w:rPr>
            </w:pPr>
            <w:r w:rsidRPr="00930C7A">
              <w:rPr>
                <w:b/>
                <w:sz w:val="18"/>
                <w:szCs w:val="18"/>
              </w:rPr>
              <w:t>CNY</w:t>
            </w:r>
          </w:p>
        </w:tc>
        <w:tc>
          <w:tcPr>
            <w:tcW w:w="1243" w:type="dxa"/>
            <w:vAlign w:val="center"/>
          </w:tcPr>
          <w:p w14:paraId="02ED1DAD" w14:textId="77777777" w:rsidR="00D36125" w:rsidRPr="00930C7A" w:rsidRDefault="00D36125" w:rsidP="007749E7">
            <w:pPr>
              <w:pStyle w:val="ExhibitText"/>
              <w:jc w:val="center"/>
              <w:rPr>
                <w:b/>
                <w:sz w:val="18"/>
                <w:szCs w:val="18"/>
              </w:rPr>
            </w:pPr>
            <w:r w:rsidRPr="00930C7A">
              <w:rPr>
                <w:b/>
                <w:sz w:val="18"/>
                <w:szCs w:val="18"/>
              </w:rPr>
              <w:t>CNY</w:t>
            </w:r>
          </w:p>
        </w:tc>
        <w:tc>
          <w:tcPr>
            <w:tcW w:w="1277" w:type="dxa"/>
            <w:vAlign w:val="center"/>
          </w:tcPr>
          <w:p w14:paraId="5D982D71" w14:textId="2C96E20D" w:rsidR="00D36125" w:rsidRPr="00930C7A" w:rsidRDefault="006178D1" w:rsidP="007749E7">
            <w:pPr>
              <w:pStyle w:val="ExhibitText"/>
              <w:jc w:val="center"/>
              <w:rPr>
                <w:b/>
                <w:sz w:val="18"/>
                <w:szCs w:val="18"/>
              </w:rPr>
            </w:pPr>
            <w:r>
              <w:rPr>
                <w:b/>
                <w:sz w:val="18"/>
                <w:szCs w:val="18"/>
              </w:rPr>
              <w:t>USD</w:t>
            </w:r>
          </w:p>
        </w:tc>
      </w:tr>
      <w:tr w:rsidR="00D36125" w:rsidRPr="00930C7A" w14:paraId="20136182" w14:textId="77777777" w:rsidTr="004258D6">
        <w:trPr>
          <w:trHeight w:val="360"/>
          <w:tblHeader/>
          <w:jc w:val="center"/>
        </w:trPr>
        <w:tc>
          <w:tcPr>
            <w:tcW w:w="1931" w:type="dxa"/>
            <w:tcBorders>
              <w:top w:val="single" w:sz="4" w:space="0" w:color="auto"/>
              <w:left w:val="single" w:sz="4" w:space="0" w:color="auto"/>
              <w:bottom w:val="single" w:sz="4" w:space="0" w:color="auto"/>
              <w:right w:val="single" w:sz="4" w:space="0" w:color="auto"/>
            </w:tcBorders>
            <w:vAlign w:val="center"/>
          </w:tcPr>
          <w:p w14:paraId="4DDD1D08" w14:textId="77777777" w:rsidR="00D36125" w:rsidRPr="00930C7A" w:rsidRDefault="00D36125" w:rsidP="007749E7">
            <w:pPr>
              <w:pStyle w:val="ExhibitText"/>
              <w:jc w:val="left"/>
              <w:rPr>
                <w:sz w:val="18"/>
                <w:szCs w:val="18"/>
              </w:rPr>
            </w:pPr>
            <w:r w:rsidRPr="00930C7A">
              <w:rPr>
                <w:sz w:val="18"/>
                <w:szCs w:val="18"/>
              </w:rPr>
              <w:t>Impairment loss on long-term investments</w:t>
            </w:r>
          </w:p>
        </w:tc>
        <w:tc>
          <w:tcPr>
            <w:tcW w:w="1213" w:type="dxa"/>
            <w:tcBorders>
              <w:top w:val="single" w:sz="4" w:space="0" w:color="auto"/>
              <w:left w:val="single" w:sz="4" w:space="0" w:color="auto"/>
              <w:bottom w:val="single" w:sz="4" w:space="0" w:color="auto"/>
              <w:right w:val="single" w:sz="4" w:space="0" w:color="auto"/>
            </w:tcBorders>
            <w:vAlign w:val="center"/>
          </w:tcPr>
          <w:p w14:paraId="36AF95AC" w14:textId="77777777" w:rsidR="00D36125" w:rsidRPr="00930C7A" w:rsidRDefault="00D36125" w:rsidP="007749E7">
            <w:pPr>
              <w:pStyle w:val="ExhibitText"/>
              <w:jc w:val="right"/>
              <w:rPr>
                <w:sz w:val="18"/>
                <w:szCs w:val="18"/>
              </w:rPr>
            </w:pPr>
            <w:r w:rsidRPr="00930C7A">
              <w:rPr>
                <w:sz w:val="18"/>
                <w:szCs w:val="18"/>
              </w:rPr>
              <w:t>(8,000)</w:t>
            </w:r>
          </w:p>
        </w:tc>
        <w:tc>
          <w:tcPr>
            <w:tcW w:w="1249" w:type="dxa"/>
            <w:tcBorders>
              <w:top w:val="single" w:sz="4" w:space="0" w:color="auto"/>
              <w:left w:val="single" w:sz="4" w:space="0" w:color="auto"/>
              <w:bottom w:val="single" w:sz="4" w:space="0" w:color="auto"/>
              <w:right w:val="single" w:sz="4" w:space="0" w:color="auto"/>
            </w:tcBorders>
            <w:vAlign w:val="center"/>
          </w:tcPr>
          <w:p w14:paraId="090DB231" w14:textId="77777777" w:rsidR="00D36125" w:rsidRPr="00930C7A" w:rsidRDefault="00D36125" w:rsidP="007749E7">
            <w:pPr>
              <w:pStyle w:val="ExhibitText"/>
              <w:jc w:val="right"/>
              <w:rPr>
                <w:sz w:val="18"/>
                <w:szCs w:val="18"/>
              </w:rPr>
            </w:pPr>
            <w:r w:rsidRPr="00930C7A">
              <w:rPr>
                <w:sz w:val="18"/>
                <w:szCs w:val="18"/>
              </w:rPr>
              <w:t>(18,990)</w:t>
            </w:r>
          </w:p>
        </w:tc>
        <w:tc>
          <w:tcPr>
            <w:tcW w:w="1272" w:type="dxa"/>
            <w:tcBorders>
              <w:top w:val="single" w:sz="4" w:space="0" w:color="auto"/>
              <w:left w:val="single" w:sz="4" w:space="0" w:color="auto"/>
              <w:bottom w:val="single" w:sz="4" w:space="0" w:color="auto"/>
              <w:right w:val="single" w:sz="4" w:space="0" w:color="auto"/>
            </w:tcBorders>
            <w:vAlign w:val="center"/>
          </w:tcPr>
          <w:p w14:paraId="6D79B8F2" w14:textId="77777777" w:rsidR="00D36125" w:rsidRPr="00930C7A" w:rsidRDefault="00D36125" w:rsidP="007749E7">
            <w:pPr>
              <w:pStyle w:val="ExhibitText"/>
              <w:jc w:val="right"/>
              <w:rPr>
                <w:sz w:val="18"/>
                <w:szCs w:val="18"/>
              </w:rPr>
            </w:pPr>
            <w:r w:rsidRPr="00930C7A">
              <w:rPr>
                <w:sz w:val="18"/>
                <w:szCs w:val="18"/>
              </w:rPr>
              <w:t>(2,657)</w:t>
            </w:r>
          </w:p>
        </w:tc>
        <w:tc>
          <w:tcPr>
            <w:tcW w:w="1170" w:type="dxa"/>
            <w:tcBorders>
              <w:top w:val="single" w:sz="4" w:space="0" w:color="auto"/>
              <w:left w:val="single" w:sz="4" w:space="0" w:color="auto"/>
              <w:bottom w:val="single" w:sz="4" w:space="0" w:color="auto"/>
              <w:right w:val="single" w:sz="4" w:space="0" w:color="auto"/>
            </w:tcBorders>
            <w:vAlign w:val="center"/>
          </w:tcPr>
          <w:p w14:paraId="71B91020" w14:textId="77777777" w:rsidR="00D36125" w:rsidRPr="00930C7A" w:rsidRDefault="00D36125" w:rsidP="007749E7">
            <w:pPr>
              <w:pStyle w:val="ExhibitText"/>
              <w:jc w:val="right"/>
              <w:rPr>
                <w:sz w:val="18"/>
                <w:szCs w:val="18"/>
              </w:rPr>
            </w:pPr>
            <w:r w:rsidRPr="00930C7A">
              <w:rPr>
                <w:sz w:val="18"/>
                <w:szCs w:val="18"/>
              </w:rPr>
              <w:t>(1,000)</w:t>
            </w:r>
          </w:p>
        </w:tc>
        <w:tc>
          <w:tcPr>
            <w:tcW w:w="1243" w:type="dxa"/>
            <w:tcBorders>
              <w:top w:val="single" w:sz="4" w:space="0" w:color="auto"/>
              <w:left w:val="single" w:sz="4" w:space="0" w:color="auto"/>
              <w:bottom w:val="single" w:sz="4" w:space="0" w:color="auto"/>
              <w:right w:val="single" w:sz="4" w:space="0" w:color="auto"/>
            </w:tcBorders>
            <w:vAlign w:val="center"/>
          </w:tcPr>
          <w:p w14:paraId="63AC9156" w14:textId="77777777" w:rsidR="00D36125" w:rsidRPr="00930C7A" w:rsidRDefault="00D36125" w:rsidP="007749E7">
            <w:pPr>
              <w:pStyle w:val="ExhibitText"/>
              <w:jc w:val="right"/>
              <w:rPr>
                <w:sz w:val="18"/>
                <w:szCs w:val="18"/>
              </w:rPr>
            </w:pPr>
            <w:r w:rsidRPr="00930C7A">
              <w:rPr>
                <w:sz w:val="18"/>
                <w:szCs w:val="18"/>
              </w:rPr>
              <w:t>(2,000)</w:t>
            </w:r>
          </w:p>
        </w:tc>
        <w:tc>
          <w:tcPr>
            <w:tcW w:w="1277" w:type="dxa"/>
            <w:tcBorders>
              <w:top w:val="single" w:sz="4" w:space="0" w:color="auto"/>
              <w:left w:val="single" w:sz="4" w:space="0" w:color="auto"/>
              <w:bottom w:val="single" w:sz="4" w:space="0" w:color="auto"/>
              <w:right w:val="single" w:sz="4" w:space="0" w:color="auto"/>
            </w:tcBorders>
            <w:vAlign w:val="center"/>
          </w:tcPr>
          <w:p w14:paraId="6E5077DE" w14:textId="77777777" w:rsidR="00D36125" w:rsidRPr="00930C7A" w:rsidRDefault="00D36125" w:rsidP="007749E7">
            <w:pPr>
              <w:pStyle w:val="ExhibitText"/>
              <w:jc w:val="right"/>
              <w:rPr>
                <w:sz w:val="18"/>
                <w:szCs w:val="18"/>
              </w:rPr>
            </w:pPr>
            <w:r w:rsidRPr="00930C7A">
              <w:rPr>
                <w:sz w:val="18"/>
                <w:szCs w:val="18"/>
              </w:rPr>
              <w:t>(280)</w:t>
            </w:r>
          </w:p>
        </w:tc>
      </w:tr>
      <w:tr w:rsidR="00D36125" w:rsidRPr="00930C7A" w14:paraId="721FEA40" w14:textId="77777777" w:rsidTr="004258D6">
        <w:trPr>
          <w:trHeight w:val="360"/>
          <w:tblHeader/>
          <w:jc w:val="center"/>
        </w:trPr>
        <w:tc>
          <w:tcPr>
            <w:tcW w:w="1931" w:type="dxa"/>
            <w:vAlign w:val="center"/>
          </w:tcPr>
          <w:p w14:paraId="22907465" w14:textId="77777777" w:rsidR="00D36125" w:rsidRPr="00930C7A" w:rsidRDefault="00D36125" w:rsidP="007749E7">
            <w:pPr>
              <w:pStyle w:val="ExhibitText"/>
              <w:jc w:val="left"/>
              <w:rPr>
                <w:sz w:val="18"/>
                <w:szCs w:val="18"/>
              </w:rPr>
            </w:pPr>
            <w:r w:rsidRPr="00930C7A">
              <w:rPr>
                <w:sz w:val="18"/>
                <w:szCs w:val="18"/>
              </w:rPr>
              <w:t>Gain on disposal of long-term investments</w:t>
            </w:r>
          </w:p>
        </w:tc>
        <w:tc>
          <w:tcPr>
            <w:tcW w:w="1213" w:type="dxa"/>
            <w:vAlign w:val="center"/>
          </w:tcPr>
          <w:p w14:paraId="1ACE1B10" w14:textId="77777777" w:rsidR="00D36125" w:rsidRPr="00930C7A" w:rsidRDefault="00D36125" w:rsidP="007749E7">
            <w:pPr>
              <w:pStyle w:val="ExhibitText"/>
              <w:jc w:val="right"/>
              <w:rPr>
                <w:sz w:val="18"/>
                <w:szCs w:val="18"/>
              </w:rPr>
            </w:pPr>
            <w:r w:rsidRPr="00930C7A">
              <w:rPr>
                <w:sz w:val="18"/>
                <w:szCs w:val="18"/>
              </w:rPr>
              <w:t>100</w:t>
            </w:r>
          </w:p>
        </w:tc>
        <w:tc>
          <w:tcPr>
            <w:tcW w:w="1249" w:type="dxa"/>
            <w:vAlign w:val="center"/>
          </w:tcPr>
          <w:p w14:paraId="6FF0FC84" w14:textId="77777777" w:rsidR="00D36125" w:rsidRPr="00930C7A" w:rsidRDefault="00D36125" w:rsidP="007749E7">
            <w:pPr>
              <w:pStyle w:val="ExhibitText"/>
              <w:jc w:val="right"/>
              <w:rPr>
                <w:sz w:val="18"/>
                <w:szCs w:val="18"/>
              </w:rPr>
            </w:pPr>
            <w:r w:rsidRPr="00930C7A">
              <w:rPr>
                <w:sz w:val="18"/>
                <w:szCs w:val="18"/>
              </w:rPr>
              <w:t>2,030</w:t>
            </w:r>
          </w:p>
        </w:tc>
        <w:tc>
          <w:tcPr>
            <w:tcW w:w="1272" w:type="dxa"/>
            <w:vAlign w:val="center"/>
          </w:tcPr>
          <w:p w14:paraId="0B144DA4" w14:textId="77777777" w:rsidR="00D36125" w:rsidRPr="00930C7A" w:rsidRDefault="00D36125" w:rsidP="007749E7">
            <w:pPr>
              <w:pStyle w:val="ExhibitText"/>
              <w:jc w:val="right"/>
              <w:rPr>
                <w:sz w:val="18"/>
                <w:szCs w:val="18"/>
              </w:rPr>
            </w:pPr>
            <w:r w:rsidRPr="00930C7A">
              <w:rPr>
                <w:sz w:val="18"/>
                <w:szCs w:val="18"/>
              </w:rPr>
              <w:t>284</w:t>
            </w:r>
          </w:p>
        </w:tc>
        <w:tc>
          <w:tcPr>
            <w:tcW w:w="1170" w:type="dxa"/>
            <w:vAlign w:val="center"/>
          </w:tcPr>
          <w:p w14:paraId="24F33F75" w14:textId="3F0A17B8" w:rsidR="00D36125" w:rsidRPr="00930C7A" w:rsidRDefault="0078582A" w:rsidP="007749E7">
            <w:pPr>
              <w:pStyle w:val="ExhibitText"/>
              <w:jc w:val="right"/>
              <w:rPr>
                <w:sz w:val="18"/>
                <w:szCs w:val="18"/>
              </w:rPr>
            </w:pPr>
            <w:r w:rsidRPr="0078582A">
              <w:rPr>
                <w:rFonts w:eastAsia="SimSun" w:hint="eastAsia"/>
                <w:sz w:val="18"/>
                <w:szCs w:val="18"/>
              </w:rPr>
              <w:t>…</w:t>
            </w:r>
          </w:p>
        </w:tc>
        <w:tc>
          <w:tcPr>
            <w:tcW w:w="1243" w:type="dxa"/>
            <w:vAlign w:val="center"/>
          </w:tcPr>
          <w:p w14:paraId="22D62BCB" w14:textId="013CBC73" w:rsidR="00D36125" w:rsidRPr="00930C7A" w:rsidRDefault="0078582A" w:rsidP="007749E7">
            <w:pPr>
              <w:pStyle w:val="ExhibitText"/>
              <w:jc w:val="right"/>
              <w:rPr>
                <w:sz w:val="18"/>
                <w:szCs w:val="18"/>
              </w:rPr>
            </w:pPr>
            <w:r w:rsidRPr="0078582A">
              <w:rPr>
                <w:rFonts w:eastAsia="SimSun" w:hint="eastAsia"/>
                <w:sz w:val="18"/>
                <w:szCs w:val="18"/>
              </w:rPr>
              <w:t>…</w:t>
            </w:r>
          </w:p>
        </w:tc>
        <w:tc>
          <w:tcPr>
            <w:tcW w:w="1277" w:type="dxa"/>
            <w:vAlign w:val="center"/>
          </w:tcPr>
          <w:p w14:paraId="0D5ADEBE" w14:textId="121629A6" w:rsidR="00D36125" w:rsidRPr="00930C7A" w:rsidRDefault="0078582A" w:rsidP="007749E7">
            <w:pPr>
              <w:pStyle w:val="ExhibitText"/>
              <w:jc w:val="right"/>
              <w:rPr>
                <w:sz w:val="18"/>
                <w:szCs w:val="18"/>
              </w:rPr>
            </w:pPr>
            <w:r w:rsidRPr="0078582A">
              <w:rPr>
                <w:rFonts w:eastAsia="SimSun" w:hint="eastAsia"/>
                <w:sz w:val="18"/>
                <w:szCs w:val="18"/>
              </w:rPr>
              <w:t>…</w:t>
            </w:r>
          </w:p>
        </w:tc>
      </w:tr>
      <w:tr w:rsidR="00D36125" w:rsidRPr="00930C7A" w14:paraId="20B87180" w14:textId="77777777" w:rsidTr="004258D6">
        <w:trPr>
          <w:trHeight w:val="360"/>
          <w:tblHeader/>
          <w:jc w:val="center"/>
        </w:trPr>
        <w:tc>
          <w:tcPr>
            <w:tcW w:w="1931" w:type="dxa"/>
            <w:vAlign w:val="center"/>
          </w:tcPr>
          <w:p w14:paraId="4D6A812D" w14:textId="77777777" w:rsidR="00D36125" w:rsidRPr="00930C7A" w:rsidRDefault="00D36125" w:rsidP="007749E7">
            <w:pPr>
              <w:pStyle w:val="ExhibitText"/>
              <w:jc w:val="left"/>
              <w:rPr>
                <w:sz w:val="18"/>
                <w:szCs w:val="18"/>
              </w:rPr>
            </w:pPr>
            <w:r w:rsidRPr="00930C7A">
              <w:rPr>
                <w:sz w:val="18"/>
                <w:szCs w:val="18"/>
              </w:rPr>
              <w:t>Other income (expense),</w:t>
            </w:r>
            <w:r w:rsidRPr="00930C7A">
              <w:rPr>
                <w:rFonts w:eastAsia="DengXian"/>
                <w:sz w:val="18"/>
                <w:szCs w:val="18"/>
              </w:rPr>
              <w:t xml:space="preserve"> </w:t>
            </w:r>
            <w:r w:rsidRPr="00930C7A">
              <w:rPr>
                <w:sz w:val="18"/>
                <w:szCs w:val="18"/>
              </w:rPr>
              <w:t>net</w:t>
            </w:r>
          </w:p>
        </w:tc>
        <w:tc>
          <w:tcPr>
            <w:tcW w:w="1213" w:type="dxa"/>
            <w:vAlign w:val="center"/>
          </w:tcPr>
          <w:p w14:paraId="09EA72CB" w14:textId="77777777" w:rsidR="00D36125" w:rsidRPr="00930C7A" w:rsidRDefault="00D36125" w:rsidP="007749E7">
            <w:pPr>
              <w:pStyle w:val="ExhibitText"/>
              <w:jc w:val="right"/>
              <w:rPr>
                <w:sz w:val="18"/>
                <w:szCs w:val="18"/>
              </w:rPr>
            </w:pPr>
            <w:r w:rsidRPr="00930C7A">
              <w:rPr>
                <w:sz w:val="18"/>
                <w:szCs w:val="18"/>
              </w:rPr>
              <w:t>3,101</w:t>
            </w:r>
          </w:p>
        </w:tc>
        <w:tc>
          <w:tcPr>
            <w:tcW w:w="1249" w:type="dxa"/>
            <w:vAlign w:val="center"/>
          </w:tcPr>
          <w:p w14:paraId="02428840" w14:textId="77777777" w:rsidR="00D36125" w:rsidRPr="00930C7A" w:rsidRDefault="00D36125" w:rsidP="007749E7">
            <w:pPr>
              <w:pStyle w:val="ExhibitText"/>
              <w:jc w:val="right"/>
              <w:rPr>
                <w:sz w:val="18"/>
                <w:szCs w:val="18"/>
              </w:rPr>
            </w:pPr>
            <w:r w:rsidRPr="00930C7A">
              <w:rPr>
                <w:sz w:val="18"/>
                <w:szCs w:val="18"/>
              </w:rPr>
              <w:t>(11,715)</w:t>
            </w:r>
          </w:p>
        </w:tc>
        <w:tc>
          <w:tcPr>
            <w:tcW w:w="1272" w:type="dxa"/>
            <w:vAlign w:val="center"/>
          </w:tcPr>
          <w:p w14:paraId="4D71C30F" w14:textId="77777777" w:rsidR="00D36125" w:rsidRPr="00930C7A" w:rsidRDefault="00D36125" w:rsidP="007749E7">
            <w:pPr>
              <w:pStyle w:val="ExhibitText"/>
              <w:jc w:val="right"/>
              <w:rPr>
                <w:sz w:val="18"/>
                <w:szCs w:val="18"/>
              </w:rPr>
            </w:pPr>
            <w:r w:rsidRPr="00930C7A">
              <w:rPr>
                <w:sz w:val="18"/>
                <w:szCs w:val="18"/>
              </w:rPr>
              <w:t>(1,639)</w:t>
            </w:r>
          </w:p>
        </w:tc>
        <w:tc>
          <w:tcPr>
            <w:tcW w:w="1170" w:type="dxa"/>
            <w:vAlign w:val="center"/>
          </w:tcPr>
          <w:p w14:paraId="2054FF0E" w14:textId="77777777" w:rsidR="00D36125" w:rsidRPr="00930C7A" w:rsidRDefault="00D36125" w:rsidP="007749E7">
            <w:pPr>
              <w:pStyle w:val="ExhibitText"/>
              <w:jc w:val="right"/>
              <w:rPr>
                <w:sz w:val="18"/>
                <w:szCs w:val="18"/>
              </w:rPr>
            </w:pPr>
            <w:r w:rsidRPr="00930C7A">
              <w:rPr>
                <w:sz w:val="18"/>
                <w:szCs w:val="18"/>
              </w:rPr>
              <w:t>(4,727)</w:t>
            </w:r>
          </w:p>
        </w:tc>
        <w:tc>
          <w:tcPr>
            <w:tcW w:w="1243" w:type="dxa"/>
            <w:vAlign w:val="center"/>
          </w:tcPr>
          <w:p w14:paraId="77C97614" w14:textId="77777777" w:rsidR="00D36125" w:rsidRPr="00930C7A" w:rsidRDefault="00D36125" w:rsidP="007749E7">
            <w:pPr>
              <w:pStyle w:val="ExhibitText"/>
              <w:jc w:val="right"/>
              <w:rPr>
                <w:sz w:val="18"/>
                <w:szCs w:val="18"/>
              </w:rPr>
            </w:pPr>
            <w:r w:rsidRPr="00930C7A">
              <w:rPr>
                <w:sz w:val="18"/>
                <w:szCs w:val="18"/>
              </w:rPr>
              <w:t>(20,469)</w:t>
            </w:r>
          </w:p>
        </w:tc>
        <w:tc>
          <w:tcPr>
            <w:tcW w:w="1277" w:type="dxa"/>
            <w:vAlign w:val="center"/>
          </w:tcPr>
          <w:p w14:paraId="06C3CDBD" w14:textId="77777777" w:rsidR="00D36125" w:rsidRPr="00930C7A" w:rsidRDefault="00D36125" w:rsidP="007749E7">
            <w:pPr>
              <w:pStyle w:val="ExhibitText"/>
              <w:jc w:val="right"/>
              <w:rPr>
                <w:sz w:val="18"/>
                <w:szCs w:val="18"/>
              </w:rPr>
            </w:pPr>
            <w:r w:rsidRPr="00930C7A">
              <w:rPr>
                <w:sz w:val="18"/>
                <w:szCs w:val="18"/>
              </w:rPr>
              <w:t>(2,864)</w:t>
            </w:r>
          </w:p>
        </w:tc>
      </w:tr>
      <w:tr w:rsidR="00D36125" w:rsidRPr="00930C7A" w14:paraId="4B7AC21A" w14:textId="77777777" w:rsidTr="004258D6">
        <w:trPr>
          <w:trHeight w:val="360"/>
          <w:tblHeader/>
          <w:jc w:val="center"/>
        </w:trPr>
        <w:tc>
          <w:tcPr>
            <w:tcW w:w="1931" w:type="dxa"/>
            <w:vAlign w:val="center"/>
          </w:tcPr>
          <w:p w14:paraId="5EE70AEC" w14:textId="3081B770" w:rsidR="00D36125" w:rsidRPr="00930C7A" w:rsidRDefault="00D36125" w:rsidP="00E97E70">
            <w:pPr>
              <w:pStyle w:val="ExhibitText"/>
              <w:jc w:val="left"/>
              <w:rPr>
                <w:sz w:val="18"/>
                <w:szCs w:val="18"/>
              </w:rPr>
            </w:pPr>
            <w:r w:rsidRPr="00930C7A">
              <w:rPr>
                <w:sz w:val="18"/>
                <w:szCs w:val="18"/>
              </w:rPr>
              <w:t>Loss before income tax</w:t>
            </w:r>
            <w:r w:rsidRPr="00930C7A">
              <w:rPr>
                <w:rFonts w:eastAsia="DengXian"/>
                <w:sz w:val="18"/>
                <w:szCs w:val="18"/>
              </w:rPr>
              <w:t xml:space="preserve"> </w:t>
            </w:r>
            <w:r w:rsidRPr="00930C7A">
              <w:rPr>
                <w:sz w:val="18"/>
                <w:szCs w:val="18"/>
              </w:rPr>
              <w:t>and loss from equity</w:t>
            </w:r>
            <w:r w:rsidRPr="00930C7A">
              <w:rPr>
                <w:rFonts w:eastAsia="DengXian"/>
                <w:sz w:val="18"/>
                <w:szCs w:val="18"/>
              </w:rPr>
              <w:t xml:space="preserve"> </w:t>
            </w:r>
            <w:r w:rsidRPr="00930C7A">
              <w:rPr>
                <w:sz w:val="18"/>
                <w:szCs w:val="18"/>
              </w:rPr>
              <w:t>method investments</w:t>
            </w:r>
          </w:p>
        </w:tc>
        <w:tc>
          <w:tcPr>
            <w:tcW w:w="1213" w:type="dxa"/>
            <w:vAlign w:val="center"/>
          </w:tcPr>
          <w:p w14:paraId="609AEE40" w14:textId="77777777" w:rsidR="00D36125" w:rsidRPr="00930C7A" w:rsidRDefault="00D36125" w:rsidP="007749E7">
            <w:pPr>
              <w:pStyle w:val="ExhibitText"/>
              <w:jc w:val="right"/>
              <w:rPr>
                <w:sz w:val="18"/>
                <w:szCs w:val="18"/>
              </w:rPr>
            </w:pPr>
            <w:r w:rsidRPr="00930C7A">
              <w:rPr>
                <w:sz w:val="18"/>
                <w:szCs w:val="18"/>
              </w:rPr>
              <w:t>(371,259)</w:t>
            </w:r>
          </w:p>
        </w:tc>
        <w:tc>
          <w:tcPr>
            <w:tcW w:w="1249" w:type="dxa"/>
            <w:vAlign w:val="center"/>
          </w:tcPr>
          <w:p w14:paraId="32B30A62" w14:textId="77777777" w:rsidR="00D36125" w:rsidRPr="00930C7A" w:rsidRDefault="00D36125" w:rsidP="007749E7">
            <w:pPr>
              <w:pStyle w:val="ExhibitText"/>
              <w:jc w:val="right"/>
              <w:rPr>
                <w:sz w:val="18"/>
                <w:szCs w:val="18"/>
              </w:rPr>
            </w:pPr>
            <w:r w:rsidRPr="00930C7A">
              <w:rPr>
                <w:sz w:val="18"/>
                <w:szCs w:val="18"/>
              </w:rPr>
              <w:t>(442,120)</w:t>
            </w:r>
          </w:p>
        </w:tc>
        <w:tc>
          <w:tcPr>
            <w:tcW w:w="1272" w:type="dxa"/>
            <w:vAlign w:val="center"/>
          </w:tcPr>
          <w:p w14:paraId="19A2121E" w14:textId="77777777" w:rsidR="00D36125" w:rsidRPr="00930C7A" w:rsidRDefault="00D36125" w:rsidP="007749E7">
            <w:pPr>
              <w:pStyle w:val="ExhibitText"/>
              <w:jc w:val="right"/>
              <w:rPr>
                <w:sz w:val="18"/>
                <w:szCs w:val="18"/>
              </w:rPr>
            </w:pPr>
            <w:r w:rsidRPr="00930C7A">
              <w:rPr>
                <w:sz w:val="18"/>
                <w:szCs w:val="18"/>
              </w:rPr>
              <w:t>(61,854)</w:t>
            </w:r>
          </w:p>
        </w:tc>
        <w:tc>
          <w:tcPr>
            <w:tcW w:w="1170" w:type="dxa"/>
            <w:vAlign w:val="center"/>
          </w:tcPr>
          <w:p w14:paraId="799DCB6E" w14:textId="77777777" w:rsidR="00D36125" w:rsidRPr="00930C7A" w:rsidRDefault="00D36125" w:rsidP="007749E7">
            <w:pPr>
              <w:pStyle w:val="ExhibitText"/>
              <w:jc w:val="right"/>
              <w:rPr>
                <w:sz w:val="18"/>
                <w:szCs w:val="18"/>
              </w:rPr>
            </w:pPr>
            <w:r w:rsidRPr="00930C7A">
              <w:rPr>
                <w:sz w:val="18"/>
                <w:szCs w:val="18"/>
              </w:rPr>
              <w:t>(268,507)</w:t>
            </w:r>
          </w:p>
        </w:tc>
        <w:tc>
          <w:tcPr>
            <w:tcW w:w="1243" w:type="dxa"/>
            <w:vAlign w:val="center"/>
          </w:tcPr>
          <w:p w14:paraId="3592468E" w14:textId="77777777" w:rsidR="00D36125" w:rsidRPr="00930C7A" w:rsidRDefault="00D36125" w:rsidP="007749E7">
            <w:pPr>
              <w:pStyle w:val="ExhibitText"/>
              <w:jc w:val="right"/>
              <w:rPr>
                <w:sz w:val="18"/>
                <w:szCs w:val="18"/>
              </w:rPr>
            </w:pPr>
            <w:r w:rsidRPr="00930C7A">
              <w:rPr>
                <w:sz w:val="18"/>
                <w:szCs w:val="18"/>
              </w:rPr>
              <w:t>(566,398)</w:t>
            </w:r>
          </w:p>
        </w:tc>
        <w:tc>
          <w:tcPr>
            <w:tcW w:w="1277" w:type="dxa"/>
            <w:vAlign w:val="center"/>
          </w:tcPr>
          <w:p w14:paraId="47A97859" w14:textId="77777777" w:rsidR="00D36125" w:rsidRPr="00930C7A" w:rsidRDefault="00D36125" w:rsidP="007749E7">
            <w:pPr>
              <w:pStyle w:val="ExhibitText"/>
              <w:jc w:val="right"/>
              <w:rPr>
                <w:sz w:val="18"/>
                <w:szCs w:val="18"/>
              </w:rPr>
            </w:pPr>
            <w:r w:rsidRPr="00930C7A">
              <w:rPr>
                <w:sz w:val="18"/>
                <w:szCs w:val="18"/>
              </w:rPr>
              <w:t>(79,243)</w:t>
            </w:r>
          </w:p>
        </w:tc>
      </w:tr>
      <w:tr w:rsidR="00D36125" w:rsidRPr="00930C7A" w14:paraId="350F1279" w14:textId="77777777" w:rsidTr="004258D6">
        <w:trPr>
          <w:trHeight w:val="360"/>
          <w:tblHeader/>
          <w:jc w:val="center"/>
        </w:trPr>
        <w:tc>
          <w:tcPr>
            <w:tcW w:w="1931" w:type="dxa"/>
            <w:vAlign w:val="center"/>
          </w:tcPr>
          <w:p w14:paraId="3F753C22" w14:textId="7B670120" w:rsidR="00D36125" w:rsidRPr="00930C7A" w:rsidRDefault="00D36125" w:rsidP="00E97E70">
            <w:pPr>
              <w:pStyle w:val="ExhibitText"/>
              <w:jc w:val="left"/>
              <w:rPr>
                <w:sz w:val="18"/>
                <w:szCs w:val="18"/>
              </w:rPr>
            </w:pPr>
            <w:r w:rsidRPr="00930C7A">
              <w:rPr>
                <w:sz w:val="18"/>
                <w:szCs w:val="18"/>
              </w:rPr>
              <w:t>Provision for income</w:t>
            </w:r>
            <w:r w:rsidRPr="00930C7A">
              <w:rPr>
                <w:rFonts w:eastAsia="DengXian"/>
                <w:sz w:val="18"/>
                <w:szCs w:val="18"/>
              </w:rPr>
              <w:t xml:space="preserve"> </w:t>
            </w:r>
            <w:r w:rsidRPr="00930C7A">
              <w:rPr>
                <w:sz w:val="18"/>
                <w:szCs w:val="18"/>
              </w:rPr>
              <w:t>tax</w:t>
            </w:r>
          </w:p>
        </w:tc>
        <w:tc>
          <w:tcPr>
            <w:tcW w:w="1213" w:type="dxa"/>
            <w:vAlign w:val="center"/>
          </w:tcPr>
          <w:p w14:paraId="0F90B248" w14:textId="77777777" w:rsidR="00D36125" w:rsidRPr="00930C7A" w:rsidRDefault="00D36125" w:rsidP="007749E7">
            <w:pPr>
              <w:pStyle w:val="ExhibitText"/>
              <w:jc w:val="right"/>
              <w:rPr>
                <w:sz w:val="18"/>
                <w:szCs w:val="18"/>
              </w:rPr>
            </w:pPr>
            <w:r w:rsidRPr="00930C7A">
              <w:rPr>
                <w:sz w:val="18"/>
                <w:szCs w:val="18"/>
              </w:rPr>
              <w:t>(61)</w:t>
            </w:r>
          </w:p>
        </w:tc>
        <w:tc>
          <w:tcPr>
            <w:tcW w:w="1249" w:type="dxa"/>
            <w:vAlign w:val="center"/>
          </w:tcPr>
          <w:p w14:paraId="3D142409" w14:textId="77777777" w:rsidR="00D36125" w:rsidRPr="00930C7A" w:rsidRDefault="00D36125" w:rsidP="007749E7">
            <w:pPr>
              <w:pStyle w:val="ExhibitText"/>
              <w:jc w:val="right"/>
              <w:rPr>
                <w:sz w:val="18"/>
                <w:szCs w:val="18"/>
              </w:rPr>
            </w:pPr>
            <w:r w:rsidRPr="00930C7A">
              <w:rPr>
                <w:sz w:val="18"/>
                <w:szCs w:val="18"/>
              </w:rPr>
              <w:t>(2,087)</w:t>
            </w:r>
          </w:p>
        </w:tc>
        <w:tc>
          <w:tcPr>
            <w:tcW w:w="1272" w:type="dxa"/>
            <w:vAlign w:val="center"/>
          </w:tcPr>
          <w:p w14:paraId="48B749BB" w14:textId="77777777" w:rsidR="00D36125" w:rsidRPr="00930C7A" w:rsidRDefault="00D36125" w:rsidP="007749E7">
            <w:pPr>
              <w:pStyle w:val="ExhibitText"/>
              <w:jc w:val="right"/>
              <w:rPr>
                <w:sz w:val="18"/>
                <w:szCs w:val="18"/>
              </w:rPr>
            </w:pPr>
            <w:r w:rsidRPr="00930C7A">
              <w:rPr>
                <w:sz w:val="18"/>
                <w:szCs w:val="18"/>
              </w:rPr>
              <w:t>(292)</w:t>
            </w:r>
          </w:p>
        </w:tc>
        <w:tc>
          <w:tcPr>
            <w:tcW w:w="1170" w:type="dxa"/>
            <w:vAlign w:val="center"/>
          </w:tcPr>
          <w:p w14:paraId="3A946A51" w14:textId="77777777" w:rsidR="00D36125" w:rsidRPr="00930C7A" w:rsidRDefault="00D36125" w:rsidP="007749E7">
            <w:pPr>
              <w:pStyle w:val="ExhibitText"/>
              <w:jc w:val="right"/>
              <w:rPr>
                <w:sz w:val="18"/>
                <w:szCs w:val="18"/>
              </w:rPr>
            </w:pPr>
            <w:r w:rsidRPr="00930C7A">
              <w:rPr>
                <w:sz w:val="18"/>
                <w:szCs w:val="18"/>
              </w:rPr>
              <w:t>(1,173)</w:t>
            </w:r>
          </w:p>
        </w:tc>
        <w:tc>
          <w:tcPr>
            <w:tcW w:w="1243" w:type="dxa"/>
            <w:vAlign w:val="center"/>
          </w:tcPr>
          <w:p w14:paraId="6ABF8807" w14:textId="77777777" w:rsidR="00D36125" w:rsidRPr="00930C7A" w:rsidRDefault="00D36125" w:rsidP="007749E7">
            <w:pPr>
              <w:pStyle w:val="ExhibitText"/>
              <w:jc w:val="right"/>
              <w:rPr>
                <w:sz w:val="18"/>
                <w:szCs w:val="18"/>
              </w:rPr>
            </w:pPr>
            <w:r w:rsidRPr="00930C7A">
              <w:rPr>
                <w:sz w:val="18"/>
                <w:szCs w:val="18"/>
              </w:rPr>
              <w:t>(4,780)</w:t>
            </w:r>
          </w:p>
        </w:tc>
        <w:tc>
          <w:tcPr>
            <w:tcW w:w="1277" w:type="dxa"/>
            <w:vAlign w:val="center"/>
          </w:tcPr>
          <w:p w14:paraId="50D2763E" w14:textId="77777777" w:rsidR="00D36125" w:rsidRPr="00930C7A" w:rsidRDefault="00D36125" w:rsidP="007749E7">
            <w:pPr>
              <w:pStyle w:val="ExhibitText"/>
              <w:jc w:val="right"/>
              <w:rPr>
                <w:sz w:val="18"/>
                <w:szCs w:val="18"/>
              </w:rPr>
            </w:pPr>
            <w:r w:rsidRPr="00930C7A">
              <w:rPr>
                <w:sz w:val="18"/>
                <w:szCs w:val="18"/>
              </w:rPr>
              <w:t>(669)</w:t>
            </w:r>
          </w:p>
        </w:tc>
      </w:tr>
      <w:tr w:rsidR="00D36125" w:rsidRPr="00930C7A" w14:paraId="01D3B773" w14:textId="77777777" w:rsidTr="004258D6">
        <w:trPr>
          <w:trHeight w:val="360"/>
          <w:tblHeader/>
          <w:jc w:val="center"/>
        </w:trPr>
        <w:tc>
          <w:tcPr>
            <w:tcW w:w="1931" w:type="dxa"/>
            <w:vAlign w:val="center"/>
          </w:tcPr>
          <w:p w14:paraId="1E447FA8" w14:textId="77777777" w:rsidR="00D36125" w:rsidRPr="00930C7A" w:rsidRDefault="00D36125" w:rsidP="007749E7">
            <w:pPr>
              <w:pStyle w:val="ExhibitText"/>
              <w:jc w:val="left"/>
              <w:rPr>
                <w:b/>
                <w:bCs/>
                <w:sz w:val="18"/>
                <w:szCs w:val="18"/>
              </w:rPr>
            </w:pPr>
            <w:r w:rsidRPr="00930C7A">
              <w:rPr>
                <w:sz w:val="18"/>
                <w:szCs w:val="18"/>
              </w:rPr>
              <w:t>Loss from equity method</w:t>
            </w:r>
            <w:r w:rsidRPr="00930C7A">
              <w:rPr>
                <w:rFonts w:eastAsia="DengXian"/>
                <w:sz w:val="18"/>
                <w:szCs w:val="18"/>
              </w:rPr>
              <w:t xml:space="preserve"> </w:t>
            </w:r>
            <w:r w:rsidRPr="00930C7A">
              <w:rPr>
                <w:sz w:val="18"/>
                <w:szCs w:val="18"/>
              </w:rPr>
              <w:t>investments</w:t>
            </w:r>
          </w:p>
        </w:tc>
        <w:tc>
          <w:tcPr>
            <w:tcW w:w="1213" w:type="dxa"/>
            <w:vAlign w:val="center"/>
          </w:tcPr>
          <w:p w14:paraId="44E1FF63" w14:textId="77777777" w:rsidR="00D36125" w:rsidRPr="00930C7A" w:rsidRDefault="00D36125" w:rsidP="007749E7">
            <w:pPr>
              <w:pStyle w:val="ExhibitText"/>
              <w:jc w:val="right"/>
              <w:rPr>
                <w:sz w:val="18"/>
                <w:szCs w:val="18"/>
              </w:rPr>
            </w:pPr>
            <w:r w:rsidRPr="00930C7A">
              <w:rPr>
                <w:sz w:val="18"/>
                <w:szCs w:val="18"/>
              </w:rPr>
              <w:t>(1,556)</w:t>
            </w:r>
          </w:p>
        </w:tc>
        <w:tc>
          <w:tcPr>
            <w:tcW w:w="1249" w:type="dxa"/>
            <w:vAlign w:val="center"/>
          </w:tcPr>
          <w:p w14:paraId="2D0F4B03" w14:textId="77777777" w:rsidR="00D36125" w:rsidRPr="00930C7A" w:rsidRDefault="00D36125" w:rsidP="007749E7">
            <w:pPr>
              <w:pStyle w:val="ExhibitText"/>
              <w:jc w:val="right"/>
              <w:rPr>
                <w:sz w:val="18"/>
                <w:szCs w:val="18"/>
              </w:rPr>
            </w:pPr>
            <w:r w:rsidRPr="00930C7A">
              <w:rPr>
                <w:sz w:val="18"/>
                <w:szCs w:val="18"/>
              </w:rPr>
              <w:t>(948)</w:t>
            </w:r>
          </w:p>
        </w:tc>
        <w:tc>
          <w:tcPr>
            <w:tcW w:w="1272" w:type="dxa"/>
            <w:vAlign w:val="center"/>
          </w:tcPr>
          <w:p w14:paraId="3EBD87F5" w14:textId="77777777" w:rsidR="00D36125" w:rsidRPr="00930C7A" w:rsidRDefault="00D36125" w:rsidP="007749E7">
            <w:pPr>
              <w:pStyle w:val="ExhibitText"/>
              <w:jc w:val="right"/>
              <w:rPr>
                <w:sz w:val="18"/>
                <w:szCs w:val="18"/>
              </w:rPr>
            </w:pPr>
            <w:r w:rsidRPr="00930C7A">
              <w:rPr>
                <w:sz w:val="18"/>
                <w:szCs w:val="18"/>
              </w:rPr>
              <w:t>(133)</w:t>
            </w:r>
          </w:p>
        </w:tc>
        <w:tc>
          <w:tcPr>
            <w:tcW w:w="1170" w:type="dxa"/>
            <w:vAlign w:val="center"/>
          </w:tcPr>
          <w:p w14:paraId="0815A1FE" w14:textId="77777777" w:rsidR="00D36125" w:rsidRPr="00930C7A" w:rsidRDefault="00D36125" w:rsidP="007749E7">
            <w:pPr>
              <w:pStyle w:val="ExhibitText"/>
              <w:jc w:val="right"/>
              <w:rPr>
                <w:sz w:val="18"/>
                <w:szCs w:val="18"/>
              </w:rPr>
            </w:pPr>
            <w:r w:rsidRPr="00930C7A">
              <w:rPr>
                <w:sz w:val="18"/>
                <w:szCs w:val="18"/>
              </w:rPr>
              <w:t>(1,193)</w:t>
            </w:r>
          </w:p>
        </w:tc>
        <w:tc>
          <w:tcPr>
            <w:tcW w:w="1243" w:type="dxa"/>
            <w:vAlign w:val="center"/>
          </w:tcPr>
          <w:p w14:paraId="40F43489" w14:textId="77777777" w:rsidR="00D36125" w:rsidRPr="00930C7A" w:rsidRDefault="00D36125" w:rsidP="007749E7">
            <w:pPr>
              <w:pStyle w:val="ExhibitText"/>
              <w:jc w:val="right"/>
              <w:rPr>
                <w:sz w:val="18"/>
                <w:szCs w:val="18"/>
              </w:rPr>
            </w:pPr>
            <w:r w:rsidRPr="00930C7A">
              <w:rPr>
                <w:sz w:val="18"/>
                <w:szCs w:val="18"/>
              </w:rPr>
              <w:t>(1,600)</w:t>
            </w:r>
          </w:p>
        </w:tc>
        <w:tc>
          <w:tcPr>
            <w:tcW w:w="1277" w:type="dxa"/>
            <w:vAlign w:val="center"/>
          </w:tcPr>
          <w:p w14:paraId="73904C80" w14:textId="77777777" w:rsidR="00D36125" w:rsidRPr="00930C7A" w:rsidRDefault="00D36125" w:rsidP="007749E7">
            <w:pPr>
              <w:pStyle w:val="ExhibitText"/>
              <w:jc w:val="right"/>
              <w:rPr>
                <w:sz w:val="18"/>
                <w:szCs w:val="18"/>
              </w:rPr>
            </w:pPr>
            <w:r w:rsidRPr="00930C7A">
              <w:rPr>
                <w:sz w:val="18"/>
                <w:szCs w:val="18"/>
              </w:rPr>
              <w:t>(224)</w:t>
            </w:r>
          </w:p>
        </w:tc>
      </w:tr>
      <w:tr w:rsidR="00D36125" w:rsidRPr="00930C7A" w14:paraId="7F5803B5" w14:textId="77777777" w:rsidTr="004258D6">
        <w:trPr>
          <w:trHeight w:val="360"/>
          <w:tblHeader/>
          <w:jc w:val="center"/>
        </w:trPr>
        <w:tc>
          <w:tcPr>
            <w:tcW w:w="1931" w:type="dxa"/>
            <w:vAlign w:val="center"/>
          </w:tcPr>
          <w:p w14:paraId="32316E73" w14:textId="77777777" w:rsidR="00D36125" w:rsidRPr="00930C7A" w:rsidRDefault="00D36125" w:rsidP="007749E7">
            <w:pPr>
              <w:pStyle w:val="ExhibitText"/>
              <w:jc w:val="left"/>
              <w:rPr>
                <w:b/>
                <w:bCs/>
                <w:sz w:val="18"/>
                <w:szCs w:val="18"/>
              </w:rPr>
            </w:pPr>
            <w:r w:rsidRPr="00930C7A">
              <w:rPr>
                <w:b/>
                <w:bCs/>
                <w:sz w:val="18"/>
                <w:szCs w:val="18"/>
              </w:rPr>
              <w:t>Net loss</w:t>
            </w:r>
          </w:p>
        </w:tc>
        <w:tc>
          <w:tcPr>
            <w:tcW w:w="1213" w:type="dxa"/>
            <w:vAlign w:val="center"/>
          </w:tcPr>
          <w:p w14:paraId="2D670A0C" w14:textId="77777777" w:rsidR="00D36125" w:rsidRPr="00930C7A" w:rsidRDefault="00D36125" w:rsidP="007749E7">
            <w:pPr>
              <w:pStyle w:val="ExhibitText"/>
              <w:jc w:val="right"/>
              <w:rPr>
                <w:b/>
                <w:bCs/>
                <w:sz w:val="18"/>
                <w:szCs w:val="18"/>
              </w:rPr>
            </w:pPr>
            <w:r w:rsidRPr="00930C7A">
              <w:rPr>
                <w:sz w:val="18"/>
                <w:szCs w:val="18"/>
              </w:rPr>
              <w:t>(372,876)</w:t>
            </w:r>
          </w:p>
        </w:tc>
        <w:tc>
          <w:tcPr>
            <w:tcW w:w="1249" w:type="dxa"/>
            <w:vAlign w:val="center"/>
          </w:tcPr>
          <w:p w14:paraId="64F937CA" w14:textId="77777777" w:rsidR="00D36125" w:rsidRPr="00930C7A" w:rsidRDefault="00D36125" w:rsidP="007749E7">
            <w:pPr>
              <w:pStyle w:val="ExhibitText"/>
              <w:jc w:val="right"/>
              <w:rPr>
                <w:b/>
                <w:bCs/>
                <w:sz w:val="18"/>
                <w:szCs w:val="18"/>
              </w:rPr>
            </w:pPr>
            <w:r w:rsidRPr="00930C7A">
              <w:rPr>
                <w:sz w:val="18"/>
                <w:szCs w:val="18"/>
              </w:rPr>
              <w:t>(445,155)</w:t>
            </w:r>
          </w:p>
        </w:tc>
        <w:tc>
          <w:tcPr>
            <w:tcW w:w="1272" w:type="dxa"/>
            <w:vAlign w:val="center"/>
          </w:tcPr>
          <w:p w14:paraId="47DE1A85" w14:textId="77777777" w:rsidR="00D36125" w:rsidRPr="00930C7A" w:rsidRDefault="00D36125" w:rsidP="007749E7">
            <w:pPr>
              <w:pStyle w:val="ExhibitText"/>
              <w:jc w:val="right"/>
              <w:rPr>
                <w:b/>
                <w:bCs/>
                <w:sz w:val="18"/>
                <w:szCs w:val="18"/>
              </w:rPr>
            </w:pPr>
            <w:r w:rsidRPr="00930C7A">
              <w:rPr>
                <w:sz w:val="18"/>
                <w:szCs w:val="18"/>
              </w:rPr>
              <w:t>(62,279)</w:t>
            </w:r>
          </w:p>
        </w:tc>
        <w:tc>
          <w:tcPr>
            <w:tcW w:w="1170" w:type="dxa"/>
            <w:vAlign w:val="center"/>
          </w:tcPr>
          <w:p w14:paraId="2EAC4DDD" w14:textId="77777777" w:rsidR="00D36125" w:rsidRPr="00930C7A" w:rsidRDefault="00D36125" w:rsidP="007749E7">
            <w:pPr>
              <w:pStyle w:val="ExhibitText"/>
              <w:jc w:val="right"/>
              <w:rPr>
                <w:b/>
                <w:bCs/>
                <w:sz w:val="18"/>
                <w:szCs w:val="18"/>
              </w:rPr>
            </w:pPr>
            <w:r w:rsidRPr="00930C7A">
              <w:rPr>
                <w:sz w:val="18"/>
                <w:szCs w:val="18"/>
              </w:rPr>
              <w:t>(270,873)</w:t>
            </w:r>
          </w:p>
        </w:tc>
        <w:tc>
          <w:tcPr>
            <w:tcW w:w="1243" w:type="dxa"/>
            <w:vAlign w:val="center"/>
          </w:tcPr>
          <w:p w14:paraId="2333E031" w14:textId="77777777" w:rsidR="00D36125" w:rsidRPr="00930C7A" w:rsidRDefault="00D36125" w:rsidP="007749E7">
            <w:pPr>
              <w:pStyle w:val="ExhibitText"/>
              <w:jc w:val="right"/>
              <w:rPr>
                <w:b/>
                <w:bCs/>
                <w:sz w:val="18"/>
                <w:szCs w:val="18"/>
              </w:rPr>
            </w:pPr>
            <w:r w:rsidRPr="00930C7A">
              <w:rPr>
                <w:sz w:val="18"/>
                <w:szCs w:val="18"/>
              </w:rPr>
              <w:t>(572,778)</w:t>
            </w:r>
          </w:p>
        </w:tc>
        <w:tc>
          <w:tcPr>
            <w:tcW w:w="1277" w:type="dxa"/>
            <w:vAlign w:val="center"/>
          </w:tcPr>
          <w:p w14:paraId="182C8787" w14:textId="77777777" w:rsidR="00D36125" w:rsidRPr="00930C7A" w:rsidRDefault="00D36125" w:rsidP="007749E7">
            <w:pPr>
              <w:pStyle w:val="ExhibitText"/>
              <w:jc w:val="right"/>
              <w:rPr>
                <w:b/>
                <w:bCs/>
                <w:sz w:val="18"/>
                <w:szCs w:val="18"/>
              </w:rPr>
            </w:pPr>
            <w:r w:rsidRPr="00930C7A">
              <w:rPr>
                <w:sz w:val="18"/>
                <w:szCs w:val="18"/>
              </w:rPr>
              <w:t>(80,136)</w:t>
            </w:r>
          </w:p>
        </w:tc>
      </w:tr>
      <w:tr w:rsidR="00D36125" w:rsidRPr="00930C7A" w14:paraId="490DC0CA" w14:textId="77777777" w:rsidTr="004258D6">
        <w:trPr>
          <w:trHeight w:val="360"/>
          <w:tblHeader/>
          <w:jc w:val="center"/>
        </w:trPr>
        <w:tc>
          <w:tcPr>
            <w:tcW w:w="1931" w:type="dxa"/>
            <w:vAlign w:val="center"/>
          </w:tcPr>
          <w:p w14:paraId="6E932366" w14:textId="336ACD9D" w:rsidR="00D36125" w:rsidRPr="00930C7A" w:rsidRDefault="00D36125" w:rsidP="007749E7">
            <w:pPr>
              <w:pStyle w:val="ExhibitText"/>
              <w:jc w:val="left"/>
              <w:rPr>
                <w:sz w:val="18"/>
                <w:szCs w:val="18"/>
              </w:rPr>
            </w:pPr>
            <w:r w:rsidRPr="00930C7A">
              <w:rPr>
                <w:sz w:val="18"/>
                <w:szCs w:val="18"/>
              </w:rPr>
              <w:t xml:space="preserve">Less: net loss attributable to </w:t>
            </w:r>
            <w:r w:rsidR="00854CB1">
              <w:rPr>
                <w:sz w:val="18"/>
                <w:szCs w:val="18"/>
              </w:rPr>
              <w:t>non-controlling</w:t>
            </w:r>
            <w:r w:rsidR="00854CB1" w:rsidRPr="00930C7A">
              <w:rPr>
                <w:sz w:val="18"/>
                <w:szCs w:val="18"/>
              </w:rPr>
              <w:t xml:space="preserve"> </w:t>
            </w:r>
            <w:r w:rsidRPr="00930C7A">
              <w:rPr>
                <w:sz w:val="18"/>
                <w:szCs w:val="18"/>
              </w:rPr>
              <w:t>interests</w:t>
            </w:r>
          </w:p>
        </w:tc>
        <w:tc>
          <w:tcPr>
            <w:tcW w:w="1213" w:type="dxa"/>
            <w:vAlign w:val="center"/>
          </w:tcPr>
          <w:p w14:paraId="1DC1E895" w14:textId="77777777" w:rsidR="00D36125" w:rsidRPr="00930C7A" w:rsidRDefault="00D36125" w:rsidP="007749E7">
            <w:pPr>
              <w:pStyle w:val="ExhibitText"/>
              <w:jc w:val="right"/>
              <w:rPr>
                <w:sz w:val="18"/>
                <w:szCs w:val="18"/>
              </w:rPr>
            </w:pPr>
            <w:r w:rsidRPr="00930C7A">
              <w:rPr>
                <w:sz w:val="18"/>
                <w:szCs w:val="18"/>
              </w:rPr>
              <w:t>(17,123)</w:t>
            </w:r>
          </w:p>
        </w:tc>
        <w:tc>
          <w:tcPr>
            <w:tcW w:w="1249" w:type="dxa"/>
            <w:vAlign w:val="center"/>
          </w:tcPr>
          <w:p w14:paraId="33045E97" w14:textId="77777777" w:rsidR="00D36125" w:rsidRPr="00930C7A" w:rsidRDefault="00D36125" w:rsidP="007749E7">
            <w:pPr>
              <w:pStyle w:val="ExhibitText"/>
              <w:jc w:val="right"/>
              <w:rPr>
                <w:sz w:val="18"/>
                <w:szCs w:val="18"/>
              </w:rPr>
            </w:pPr>
            <w:r w:rsidRPr="00930C7A">
              <w:rPr>
                <w:sz w:val="18"/>
                <w:szCs w:val="18"/>
              </w:rPr>
              <w:t>(15,563)</w:t>
            </w:r>
          </w:p>
        </w:tc>
        <w:tc>
          <w:tcPr>
            <w:tcW w:w="1272" w:type="dxa"/>
            <w:vAlign w:val="center"/>
          </w:tcPr>
          <w:p w14:paraId="49ADA51D" w14:textId="77777777" w:rsidR="00D36125" w:rsidRPr="00930C7A" w:rsidRDefault="00D36125" w:rsidP="007749E7">
            <w:pPr>
              <w:pStyle w:val="ExhibitText"/>
              <w:jc w:val="right"/>
              <w:rPr>
                <w:sz w:val="18"/>
                <w:szCs w:val="18"/>
              </w:rPr>
            </w:pPr>
            <w:r w:rsidRPr="00930C7A">
              <w:rPr>
                <w:sz w:val="18"/>
                <w:szCs w:val="18"/>
              </w:rPr>
              <w:t>(2,177)</w:t>
            </w:r>
          </w:p>
        </w:tc>
        <w:tc>
          <w:tcPr>
            <w:tcW w:w="1170" w:type="dxa"/>
            <w:vAlign w:val="center"/>
          </w:tcPr>
          <w:p w14:paraId="25A436B5" w14:textId="77777777" w:rsidR="00D36125" w:rsidRPr="00930C7A" w:rsidRDefault="00D36125" w:rsidP="007749E7">
            <w:pPr>
              <w:pStyle w:val="ExhibitText"/>
              <w:jc w:val="right"/>
              <w:rPr>
                <w:sz w:val="18"/>
                <w:szCs w:val="18"/>
              </w:rPr>
            </w:pPr>
            <w:r w:rsidRPr="00930C7A">
              <w:rPr>
                <w:sz w:val="18"/>
                <w:szCs w:val="18"/>
              </w:rPr>
              <w:t>(11,142)</w:t>
            </w:r>
          </w:p>
        </w:tc>
        <w:tc>
          <w:tcPr>
            <w:tcW w:w="1243" w:type="dxa"/>
            <w:vAlign w:val="center"/>
          </w:tcPr>
          <w:p w14:paraId="27D38A2F" w14:textId="77777777" w:rsidR="00D36125" w:rsidRPr="00930C7A" w:rsidRDefault="00D36125" w:rsidP="007749E7">
            <w:pPr>
              <w:pStyle w:val="ExhibitText"/>
              <w:jc w:val="right"/>
              <w:rPr>
                <w:sz w:val="18"/>
                <w:szCs w:val="18"/>
              </w:rPr>
            </w:pPr>
            <w:r w:rsidRPr="00930C7A">
              <w:rPr>
                <w:sz w:val="18"/>
                <w:szCs w:val="18"/>
              </w:rPr>
              <w:t>(18,763)</w:t>
            </w:r>
          </w:p>
        </w:tc>
        <w:tc>
          <w:tcPr>
            <w:tcW w:w="1277" w:type="dxa"/>
            <w:vAlign w:val="center"/>
          </w:tcPr>
          <w:p w14:paraId="7968EB09" w14:textId="77777777" w:rsidR="00D36125" w:rsidRPr="00930C7A" w:rsidRDefault="00D36125" w:rsidP="007749E7">
            <w:pPr>
              <w:pStyle w:val="ExhibitText"/>
              <w:jc w:val="right"/>
              <w:rPr>
                <w:sz w:val="18"/>
                <w:szCs w:val="18"/>
              </w:rPr>
            </w:pPr>
            <w:r w:rsidRPr="00930C7A">
              <w:rPr>
                <w:sz w:val="18"/>
                <w:szCs w:val="18"/>
              </w:rPr>
              <w:t>(2,625)</w:t>
            </w:r>
          </w:p>
        </w:tc>
      </w:tr>
      <w:tr w:rsidR="00D36125" w:rsidRPr="00930C7A" w14:paraId="62C9DDED" w14:textId="77777777" w:rsidTr="004258D6">
        <w:trPr>
          <w:trHeight w:val="360"/>
          <w:tblHeader/>
          <w:jc w:val="center"/>
        </w:trPr>
        <w:tc>
          <w:tcPr>
            <w:tcW w:w="1931" w:type="dxa"/>
            <w:vAlign w:val="center"/>
          </w:tcPr>
          <w:p w14:paraId="2FA9DD6D" w14:textId="77777777" w:rsidR="00D36125" w:rsidRPr="00930C7A" w:rsidRDefault="00D36125" w:rsidP="007749E7">
            <w:pPr>
              <w:pStyle w:val="ExhibitText"/>
              <w:jc w:val="left"/>
              <w:rPr>
                <w:sz w:val="18"/>
                <w:szCs w:val="18"/>
              </w:rPr>
            </w:pPr>
            <w:r w:rsidRPr="00930C7A">
              <w:rPr>
                <w:sz w:val="18"/>
                <w:szCs w:val="18"/>
              </w:rPr>
              <w:t>Net loss attributable to</w:t>
            </w:r>
            <w:r w:rsidRPr="00930C7A">
              <w:rPr>
                <w:rFonts w:eastAsia="DengXian"/>
                <w:sz w:val="18"/>
                <w:szCs w:val="18"/>
                <w:lang w:eastAsia="zh-CN"/>
              </w:rPr>
              <w:t xml:space="preserve"> </w:t>
            </w:r>
            <w:r w:rsidRPr="00930C7A">
              <w:rPr>
                <w:sz w:val="18"/>
                <w:szCs w:val="18"/>
              </w:rPr>
              <w:t>Ucommune Group Holdings</w:t>
            </w:r>
            <w:r w:rsidRPr="00930C7A">
              <w:rPr>
                <w:rFonts w:eastAsia="DengXian"/>
                <w:sz w:val="18"/>
                <w:szCs w:val="18"/>
                <w:lang w:eastAsia="zh-CN"/>
              </w:rPr>
              <w:t xml:space="preserve"> </w:t>
            </w:r>
            <w:r w:rsidRPr="00930C7A">
              <w:rPr>
                <w:sz w:val="18"/>
                <w:szCs w:val="18"/>
              </w:rPr>
              <w:t>Limited</w:t>
            </w:r>
          </w:p>
        </w:tc>
        <w:tc>
          <w:tcPr>
            <w:tcW w:w="1213" w:type="dxa"/>
            <w:vAlign w:val="center"/>
          </w:tcPr>
          <w:p w14:paraId="22A0627C" w14:textId="77777777" w:rsidR="00D36125" w:rsidRPr="00930C7A" w:rsidRDefault="00D36125" w:rsidP="007749E7">
            <w:pPr>
              <w:pStyle w:val="ExhibitText"/>
              <w:jc w:val="right"/>
              <w:rPr>
                <w:sz w:val="18"/>
                <w:szCs w:val="18"/>
              </w:rPr>
            </w:pPr>
            <w:r w:rsidRPr="00930C7A">
              <w:rPr>
                <w:rFonts w:eastAsia="SimSun"/>
                <w:sz w:val="18"/>
                <w:szCs w:val="18"/>
                <w:lang w:eastAsia="zh-CN"/>
              </w:rPr>
              <w:t>(355,753)</w:t>
            </w:r>
          </w:p>
        </w:tc>
        <w:tc>
          <w:tcPr>
            <w:tcW w:w="1249" w:type="dxa"/>
            <w:vAlign w:val="center"/>
          </w:tcPr>
          <w:p w14:paraId="7DEEF840" w14:textId="77777777" w:rsidR="00D36125" w:rsidRPr="00930C7A" w:rsidRDefault="00D36125" w:rsidP="007749E7">
            <w:pPr>
              <w:pStyle w:val="ExhibitText"/>
              <w:jc w:val="right"/>
              <w:rPr>
                <w:sz w:val="18"/>
                <w:szCs w:val="18"/>
              </w:rPr>
            </w:pPr>
            <w:r w:rsidRPr="00930C7A">
              <w:rPr>
                <w:sz w:val="18"/>
                <w:szCs w:val="18"/>
              </w:rPr>
              <w:t>(429,592)</w:t>
            </w:r>
          </w:p>
        </w:tc>
        <w:tc>
          <w:tcPr>
            <w:tcW w:w="1272" w:type="dxa"/>
            <w:vAlign w:val="center"/>
          </w:tcPr>
          <w:p w14:paraId="53B69AD9" w14:textId="77777777" w:rsidR="00D36125" w:rsidRPr="00930C7A" w:rsidRDefault="00D36125" w:rsidP="007749E7">
            <w:pPr>
              <w:pStyle w:val="ExhibitText"/>
              <w:jc w:val="right"/>
              <w:rPr>
                <w:sz w:val="18"/>
                <w:szCs w:val="18"/>
              </w:rPr>
            </w:pPr>
            <w:r w:rsidRPr="00930C7A">
              <w:rPr>
                <w:sz w:val="18"/>
                <w:szCs w:val="18"/>
              </w:rPr>
              <w:t>(60,102)</w:t>
            </w:r>
          </w:p>
        </w:tc>
        <w:tc>
          <w:tcPr>
            <w:tcW w:w="1170" w:type="dxa"/>
            <w:vAlign w:val="center"/>
          </w:tcPr>
          <w:p w14:paraId="1F5F4A61" w14:textId="77777777" w:rsidR="00D36125" w:rsidRPr="00930C7A" w:rsidRDefault="00D36125" w:rsidP="007749E7">
            <w:pPr>
              <w:pStyle w:val="ExhibitText"/>
              <w:jc w:val="right"/>
              <w:rPr>
                <w:sz w:val="18"/>
                <w:szCs w:val="18"/>
              </w:rPr>
            </w:pPr>
            <w:r w:rsidRPr="00930C7A">
              <w:rPr>
                <w:sz w:val="18"/>
                <w:szCs w:val="18"/>
              </w:rPr>
              <w:t>(259,731)</w:t>
            </w:r>
          </w:p>
        </w:tc>
        <w:tc>
          <w:tcPr>
            <w:tcW w:w="1243" w:type="dxa"/>
            <w:vAlign w:val="center"/>
          </w:tcPr>
          <w:p w14:paraId="25B53306" w14:textId="77777777" w:rsidR="00D36125" w:rsidRPr="00930C7A" w:rsidRDefault="00D36125" w:rsidP="007749E7">
            <w:pPr>
              <w:pStyle w:val="ExhibitText"/>
              <w:jc w:val="right"/>
              <w:rPr>
                <w:sz w:val="18"/>
                <w:szCs w:val="18"/>
              </w:rPr>
            </w:pPr>
            <w:r w:rsidRPr="00930C7A">
              <w:rPr>
                <w:sz w:val="18"/>
                <w:szCs w:val="18"/>
              </w:rPr>
              <w:t>(554,015)</w:t>
            </w:r>
          </w:p>
        </w:tc>
        <w:tc>
          <w:tcPr>
            <w:tcW w:w="1277" w:type="dxa"/>
            <w:vAlign w:val="center"/>
          </w:tcPr>
          <w:p w14:paraId="3373211B" w14:textId="77777777" w:rsidR="00D36125" w:rsidRPr="00930C7A" w:rsidRDefault="00D36125" w:rsidP="007749E7">
            <w:pPr>
              <w:pStyle w:val="ExhibitText"/>
              <w:jc w:val="right"/>
              <w:rPr>
                <w:sz w:val="18"/>
                <w:szCs w:val="18"/>
              </w:rPr>
            </w:pPr>
            <w:r w:rsidRPr="00930C7A">
              <w:rPr>
                <w:sz w:val="18"/>
                <w:szCs w:val="18"/>
              </w:rPr>
              <w:t>(77,511)</w:t>
            </w:r>
          </w:p>
        </w:tc>
      </w:tr>
      <w:tr w:rsidR="00817880" w:rsidRPr="00930C7A" w14:paraId="5DE4575F" w14:textId="77777777" w:rsidTr="004258D6">
        <w:trPr>
          <w:trHeight w:val="360"/>
          <w:tblHeader/>
          <w:jc w:val="center"/>
        </w:trPr>
        <w:tc>
          <w:tcPr>
            <w:tcW w:w="1931" w:type="dxa"/>
            <w:vAlign w:val="center"/>
          </w:tcPr>
          <w:p w14:paraId="7553B41F" w14:textId="77777777" w:rsidR="00817880" w:rsidRPr="00930C7A" w:rsidRDefault="00817880" w:rsidP="00817880">
            <w:pPr>
              <w:pStyle w:val="ExhibitText"/>
              <w:jc w:val="left"/>
              <w:rPr>
                <w:sz w:val="18"/>
                <w:szCs w:val="18"/>
              </w:rPr>
            </w:pPr>
            <w:r w:rsidRPr="00930C7A">
              <w:rPr>
                <w:sz w:val="18"/>
                <w:szCs w:val="18"/>
              </w:rPr>
              <w:t>Net loss per share attributable</w:t>
            </w:r>
            <w:r w:rsidRPr="00930C7A">
              <w:rPr>
                <w:rFonts w:eastAsia="DengXian"/>
                <w:sz w:val="18"/>
                <w:szCs w:val="18"/>
                <w:lang w:eastAsia="zh-CN"/>
              </w:rPr>
              <w:t xml:space="preserve"> </w:t>
            </w:r>
            <w:r w:rsidRPr="00930C7A">
              <w:rPr>
                <w:sz w:val="18"/>
                <w:szCs w:val="18"/>
              </w:rPr>
              <w:t>to ordinary shareholders of</w:t>
            </w:r>
            <w:r w:rsidRPr="00930C7A">
              <w:rPr>
                <w:rFonts w:eastAsia="DengXian"/>
                <w:sz w:val="18"/>
                <w:szCs w:val="18"/>
                <w:lang w:eastAsia="zh-CN"/>
              </w:rPr>
              <w:t xml:space="preserve"> </w:t>
            </w:r>
            <w:r w:rsidRPr="00930C7A">
              <w:rPr>
                <w:sz w:val="18"/>
                <w:szCs w:val="18"/>
              </w:rPr>
              <w:t>Ucommune Group Holdings</w:t>
            </w:r>
            <w:r w:rsidRPr="00930C7A">
              <w:rPr>
                <w:rFonts w:eastAsia="DengXian"/>
                <w:sz w:val="18"/>
                <w:szCs w:val="18"/>
                <w:lang w:eastAsia="zh-CN"/>
              </w:rPr>
              <w:t xml:space="preserve"> </w:t>
            </w:r>
            <w:r w:rsidRPr="00930C7A">
              <w:rPr>
                <w:sz w:val="18"/>
                <w:szCs w:val="18"/>
              </w:rPr>
              <w:t>Limited</w:t>
            </w:r>
          </w:p>
        </w:tc>
        <w:tc>
          <w:tcPr>
            <w:tcW w:w="1213" w:type="dxa"/>
            <w:vAlign w:val="center"/>
          </w:tcPr>
          <w:p w14:paraId="2732001A" w14:textId="76D292BB" w:rsidR="00817880" w:rsidRPr="00930C7A" w:rsidRDefault="00817880" w:rsidP="00817880">
            <w:pPr>
              <w:pStyle w:val="ExhibitText"/>
              <w:jc w:val="right"/>
              <w:rPr>
                <w:sz w:val="18"/>
                <w:szCs w:val="18"/>
              </w:rPr>
            </w:pPr>
            <w:r w:rsidRPr="00930C7A">
              <w:rPr>
                <w:sz w:val="18"/>
                <w:szCs w:val="18"/>
              </w:rPr>
              <w:t>(3.92)</w:t>
            </w:r>
          </w:p>
        </w:tc>
        <w:tc>
          <w:tcPr>
            <w:tcW w:w="1249" w:type="dxa"/>
            <w:vAlign w:val="center"/>
          </w:tcPr>
          <w:p w14:paraId="443A9C38" w14:textId="075409D9" w:rsidR="00817880" w:rsidRPr="00930C7A" w:rsidRDefault="00817880" w:rsidP="00817880">
            <w:pPr>
              <w:pStyle w:val="ExhibitText"/>
              <w:jc w:val="right"/>
              <w:rPr>
                <w:sz w:val="18"/>
                <w:szCs w:val="18"/>
              </w:rPr>
            </w:pPr>
            <w:r w:rsidRPr="00930C7A">
              <w:rPr>
                <w:sz w:val="18"/>
                <w:szCs w:val="18"/>
              </w:rPr>
              <w:t>(4.74)</w:t>
            </w:r>
          </w:p>
        </w:tc>
        <w:tc>
          <w:tcPr>
            <w:tcW w:w="1272" w:type="dxa"/>
            <w:vAlign w:val="center"/>
          </w:tcPr>
          <w:p w14:paraId="1787E1B8" w14:textId="3E0A6B53" w:rsidR="00817880" w:rsidRPr="00930C7A" w:rsidRDefault="00817880" w:rsidP="00817880">
            <w:pPr>
              <w:pStyle w:val="ExhibitText"/>
              <w:jc w:val="right"/>
              <w:rPr>
                <w:sz w:val="18"/>
                <w:szCs w:val="18"/>
              </w:rPr>
            </w:pPr>
            <w:r w:rsidRPr="00930C7A">
              <w:rPr>
                <w:sz w:val="18"/>
                <w:szCs w:val="18"/>
              </w:rPr>
              <w:t>(0.66)</w:t>
            </w:r>
          </w:p>
        </w:tc>
        <w:tc>
          <w:tcPr>
            <w:tcW w:w="1170" w:type="dxa"/>
            <w:vAlign w:val="center"/>
          </w:tcPr>
          <w:p w14:paraId="52EB0D5C" w14:textId="30C43069" w:rsidR="00817880" w:rsidRPr="00930C7A" w:rsidRDefault="00817880" w:rsidP="00817880">
            <w:pPr>
              <w:pStyle w:val="ExhibitText"/>
              <w:jc w:val="right"/>
              <w:rPr>
                <w:sz w:val="18"/>
                <w:szCs w:val="18"/>
              </w:rPr>
            </w:pPr>
            <w:r w:rsidRPr="00930C7A">
              <w:rPr>
                <w:sz w:val="18"/>
                <w:szCs w:val="18"/>
              </w:rPr>
              <w:t>(2.87)</w:t>
            </w:r>
          </w:p>
        </w:tc>
        <w:tc>
          <w:tcPr>
            <w:tcW w:w="1243" w:type="dxa"/>
            <w:vAlign w:val="center"/>
          </w:tcPr>
          <w:p w14:paraId="1E6C6122" w14:textId="7181FD24" w:rsidR="00817880" w:rsidRPr="00930C7A" w:rsidRDefault="00817880" w:rsidP="00817880">
            <w:pPr>
              <w:pStyle w:val="ExhibitText"/>
              <w:jc w:val="right"/>
              <w:rPr>
                <w:sz w:val="18"/>
                <w:szCs w:val="18"/>
              </w:rPr>
            </w:pPr>
            <w:r w:rsidRPr="00930C7A">
              <w:rPr>
                <w:sz w:val="18"/>
                <w:szCs w:val="18"/>
              </w:rPr>
              <w:t>(5.80)</w:t>
            </w:r>
          </w:p>
        </w:tc>
        <w:tc>
          <w:tcPr>
            <w:tcW w:w="1277" w:type="dxa"/>
            <w:vAlign w:val="center"/>
          </w:tcPr>
          <w:p w14:paraId="3ED71F9B" w14:textId="22D9357B" w:rsidR="00817880" w:rsidRPr="00930C7A" w:rsidRDefault="00817880" w:rsidP="00817880">
            <w:pPr>
              <w:pStyle w:val="ExhibitText"/>
              <w:jc w:val="right"/>
              <w:rPr>
                <w:sz w:val="18"/>
                <w:szCs w:val="18"/>
              </w:rPr>
            </w:pPr>
            <w:r w:rsidRPr="00930C7A">
              <w:rPr>
                <w:sz w:val="18"/>
                <w:szCs w:val="18"/>
              </w:rPr>
              <w:t>(0.81)</w:t>
            </w:r>
          </w:p>
        </w:tc>
      </w:tr>
      <w:tr w:rsidR="00817880" w:rsidRPr="00930C7A" w14:paraId="068949A6" w14:textId="77777777" w:rsidTr="004258D6">
        <w:trPr>
          <w:trHeight w:val="360"/>
          <w:tblHeader/>
          <w:jc w:val="center"/>
        </w:trPr>
        <w:tc>
          <w:tcPr>
            <w:tcW w:w="1931" w:type="dxa"/>
            <w:vAlign w:val="center"/>
          </w:tcPr>
          <w:p w14:paraId="0615A6CF" w14:textId="77777777" w:rsidR="00817880" w:rsidRPr="00930C7A" w:rsidRDefault="00817880" w:rsidP="00817880">
            <w:pPr>
              <w:pStyle w:val="ExhibitText"/>
              <w:jc w:val="left"/>
              <w:rPr>
                <w:sz w:val="18"/>
                <w:szCs w:val="18"/>
              </w:rPr>
            </w:pPr>
            <w:r w:rsidRPr="00930C7A">
              <w:rPr>
                <w:sz w:val="18"/>
                <w:szCs w:val="18"/>
              </w:rPr>
              <w:t>Weighted average shares used</w:t>
            </w:r>
            <w:r w:rsidRPr="00930C7A">
              <w:rPr>
                <w:rFonts w:eastAsia="DengXian"/>
                <w:sz w:val="18"/>
                <w:szCs w:val="18"/>
                <w:lang w:eastAsia="zh-CN"/>
              </w:rPr>
              <w:t xml:space="preserve"> </w:t>
            </w:r>
            <w:r w:rsidRPr="00930C7A">
              <w:rPr>
                <w:sz w:val="18"/>
                <w:szCs w:val="18"/>
              </w:rPr>
              <w:t>in calculating net loss per</w:t>
            </w:r>
            <w:r w:rsidRPr="00930C7A">
              <w:rPr>
                <w:rFonts w:eastAsia="DengXian"/>
                <w:sz w:val="18"/>
                <w:szCs w:val="18"/>
                <w:lang w:eastAsia="zh-CN"/>
              </w:rPr>
              <w:t xml:space="preserve"> </w:t>
            </w:r>
            <w:r w:rsidRPr="00930C7A">
              <w:rPr>
                <w:sz w:val="18"/>
                <w:szCs w:val="18"/>
              </w:rPr>
              <w:t>share</w:t>
            </w:r>
          </w:p>
        </w:tc>
        <w:tc>
          <w:tcPr>
            <w:tcW w:w="1213" w:type="dxa"/>
            <w:vAlign w:val="center"/>
          </w:tcPr>
          <w:p w14:paraId="07AD0BC6" w14:textId="7CDE631C" w:rsidR="00817880" w:rsidRPr="00930C7A" w:rsidRDefault="00817880" w:rsidP="00817880">
            <w:pPr>
              <w:pStyle w:val="ExhibitText"/>
              <w:jc w:val="right"/>
              <w:rPr>
                <w:sz w:val="18"/>
                <w:szCs w:val="18"/>
              </w:rPr>
            </w:pPr>
            <w:r w:rsidRPr="00930C7A">
              <w:rPr>
                <w:sz w:val="18"/>
                <w:szCs w:val="18"/>
              </w:rPr>
              <w:t>90,646,360</w:t>
            </w:r>
          </w:p>
        </w:tc>
        <w:tc>
          <w:tcPr>
            <w:tcW w:w="1249" w:type="dxa"/>
            <w:vAlign w:val="center"/>
          </w:tcPr>
          <w:p w14:paraId="14A963BA" w14:textId="7A8D1BE2" w:rsidR="00817880" w:rsidRPr="00930C7A" w:rsidRDefault="00817880" w:rsidP="00817880">
            <w:pPr>
              <w:pStyle w:val="ExhibitText"/>
              <w:jc w:val="right"/>
              <w:rPr>
                <w:sz w:val="18"/>
                <w:szCs w:val="18"/>
              </w:rPr>
            </w:pPr>
            <w:r w:rsidRPr="00930C7A">
              <w:rPr>
                <w:sz w:val="18"/>
                <w:szCs w:val="18"/>
              </w:rPr>
              <w:t>90,646,360</w:t>
            </w:r>
          </w:p>
        </w:tc>
        <w:tc>
          <w:tcPr>
            <w:tcW w:w="1272" w:type="dxa"/>
            <w:vAlign w:val="center"/>
          </w:tcPr>
          <w:p w14:paraId="4163A445" w14:textId="1273B0E7" w:rsidR="00817880" w:rsidRPr="00930C7A" w:rsidRDefault="00817880" w:rsidP="00817880">
            <w:pPr>
              <w:pStyle w:val="ExhibitText"/>
              <w:jc w:val="right"/>
              <w:rPr>
                <w:sz w:val="18"/>
                <w:szCs w:val="18"/>
              </w:rPr>
            </w:pPr>
            <w:r w:rsidRPr="00930C7A">
              <w:rPr>
                <w:sz w:val="18"/>
                <w:szCs w:val="18"/>
              </w:rPr>
              <w:t>90,646,360</w:t>
            </w:r>
          </w:p>
        </w:tc>
        <w:tc>
          <w:tcPr>
            <w:tcW w:w="1170" w:type="dxa"/>
            <w:vAlign w:val="center"/>
          </w:tcPr>
          <w:p w14:paraId="26A1D2C5" w14:textId="7B5654DF" w:rsidR="00817880" w:rsidRPr="00930C7A" w:rsidRDefault="00817880" w:rsidP="00817880">
            <w:pPr>
              <w:pStyle w:val="ExhibitText"/>
              <w:jc w:val="right"/>
              <w:rPr>
                <w:sz w:val="18"/>
                <w:szCs w:val="18"/>
              </w:rPr>
            </w:pPr>
            <w:r w:rsidRPr="00930C7A">
              <w:rPr>
                <w:sz w:val="18"/>
                <w:szCs w:val="18"/>
              </w:rPr>
              <w:t>90,646,360</w:t>
            </w:r>
          </w:p>
        </w:tc>
        <w:tc>
          <w:tcPr>
            <w:tcW w:w="1243" w:type="dxa"/>
            <w:vAlign w:val="center"/>
          </w:tcPr>
          <w:p w14:paraId="291F9208" w14:textId="3A02EFBD" w:rsidR="00817880" w:rsidRPr="00930C7A" w:rsidRDefault="00817880" w:rsidP="00817880">
            <w:pPr>
              <w:pStyle w:val="ExhibitText"/>
              <w:jc w:val="right"/>
              <w:rPr>
                <w:sz w:val="18"/>
                <w:szCs w:val="18"/>
              </w:rPr>
            </w:pPr>
            <w:r w:rsidRPr="00930C7A">
              <w:rPr>
                <w:sz w:val="18"/>
                <w:szCs w:val="18"/>
              </w:rPr>
              <w:t>95,580,178</w:t>
            </w:r>
          </w:p>
        </w:tc>
        <w:tc>
          <w:tcPr>
            <w:tcW w:w="1277" w:type="dxa"/>
            <w:vAlign w:val="center"/>
          </w:tcPr>
          <w:p w14:paraId="3B31F4CE" w14:textId="1DB401E6" w:rsidR="00817880" w:rsidRPr="00930C7A" w:rsidRDefault="00817880" w:rsidP="00817880">
            <w:pPr>
              <w:pStyle w:val="ExhibitText"/>
              <w:jc w:val="right"/>
              <w:rPr>
                <w:sz w:val="18"/>
                <w:szCs w:val="18"/>
              </w:rPr>
            </w:pPr>
            <w:r w:rsidRPr="00930C7A">
              <w:rPr>
                <w:sz w:val="18"/>
                <w:szCs w:val="18"/>
              </w:rPr>
              <w:t>95,580,178</w:t>
            </w:r>
          </w:p>
        </w:tc>
      </w:tr>
    </w:tbl>
    <w:p w14:paraId="4FE17AD4" w14:textId="77777777" w:rsidR="00D36125" w:rsidRPr="00930C7A" w:rsidRDefault="00D36125" w:rsidP="00D36125">
      <w:pPr>
        <w:pStyle w:val="Footnote"/>
        <w:rPr>
          <w:rFonts w:eastAsia="DengXian"/>
          <w:sz w:val="20"/>
          <w:szCs w:val="20"/>
          <w:lang w:eastAsia="zh-CN"/>
        </w:rPr>
      </w:pPr>
    </w:p>
    <w:p w14:paraId="1831F6B4" w14:textId="4311A262" w:rsidR="00D36125" w:rsidRPr="00930C7A" w:rsidRDefault="00D36125" w:rsidP="00D36125">
      <w:pPr>
        <w:pStyle w:val="Footnote"/>
        <w:rPr>
          <w:rFonts w:eastAsia="DengXian"/>
          <w:lang w:eastAsia="zh-CN"/>
        </w:rPr>
      </w:pPr>
      <w:r w:rsidRPr="00930C7A">
        <w:rPr>
          <w:rFonts w:eastAsia="DengXian"/>
          <w:lang w:eastAsia="zh-CN"/>
        </w:rPr>
        <w:t xml:space="preserve">Note: </w:t>
      </w:r>
      <w:bookmarkStart w:id="65" w:name="_Hlk53706970"/>
      <w:r w:rsidRPr="00930C7A">
        <w:t xml:space="preserve">CNY = </w:t>
      </w:r>
      <w:r w:rsidR="00D9147D" w:rsidRPr="00930C7A">
        <w:t xml:space="preserve">¥ = </w:t>
      </w:r>
      <w:r w:rsidRPr="00930C7A">
        <w:t>Chinese yuan renminbi;</w:t>
      </w:r>
      <w:r w:rsidRPr="00930C7A">
        <w:rPr>
          <w:rFonts w:eastAsia="SimSun"/>
          <w:lang w:eastAsia="zh-CN"/>
        </w:rPr>
        <w:t xml:space="preserve"> US$1 = ¥7.1477 </w:t>
      </w:r>
      <w:r w:rsidR="005D61E1" w:rsidRPr="00930C7A">
        <w:rPr>
          <w:rFonts w:eastAsia="SimSun"/>
          <w:lang w:eastAsia="zh-CN"/>
        </w:rPr>
        <w:t>on</w:t>
      </w:r>
      <w:r w:rsidRPr="00930C7A">
        <w:rPr>
          <w:rFonts w:eastAsia="SimSun"/>
          <w:lang w:eastAsia="zh-CN"/>
        </w:rPr>
        <w:t xml:space="preserve"> September 30, 2019</w:t>
      </w:r>
      <w:bookmarkEnd w:id="65"/>
      <w:r w:rsidRPr="00930C7A">
        <w:rPr>
          <w:rFonts w:eastAsia="SimSun"/>
          <w:lang w:eastAsia="zh-CN"/>
        </w:rPr>
        <w:t>.</w:t>
      </w:r>
    </w:p>
    <w:p w14:paraId="4FD20924" w14:textId="235EBF0D" w:rsidR="00017F23" w:rsidRPr="00930C7A" w:rsidRDefault="00D36125" w:rsidP="00D36125">
      <w:pPr>
        <w:pStyle w:val="Footnote"/>
      </w:pPr>
      <w:r w:rsidRPr="00930C7A">
        <w:rPr>
          <w:rFonts w:eastAsia="SimSun"/>
          <w:lang w:eastAsia="zh-CN"/>
        </w:rPr>
        <w:t>Source:</w:t>
      </w:r>
      <w:r w:rsidRPr="00930C7A">
        <w:tab/>
        <w:t xml:space="preserve">Ucommune Group Holdings Limited, </w:t>
      </w:r>
      <w:r w:rsidRPr="00930C7A">
        <w:rPr>
          <w:i/>
          <w:iCs/>
        </w:rPr>
        <w:t>Form F-1: Registration Statement</w:t>
      </w:r>
      <w:r w:rsidRPr="00930C7A">
        <w:t>, December 11, 2019, accessed May 14, 2020, https://www.sec.gov/Archives/edgar/data/1785841/000104746919006800/a2240122zf-1.htm.</w:t>
      </w:r>
    </w:p>
    <w:p w14:paraId="47B59B4B" w14:textId="77777777" w:rsidR="001C33A0" w:rsidRPr="00930C7A" w:rsidRDefault="00017F23" w:rsidP="003A73FD">
      <w:pPr>
        <w:pStyle w:val="Footnote"/>
        <w:rPr>
          <w:rFonts w:eastAsia="DengXian"/>
          <w:lang w:eastAsia="zh-CN"/>
        </w:rPr>
      </w:pPr>
      <w:r w:rsidRPr="00930C7A">
        <w:rPr>
          <w:rFonts w:eastAsia="DengXian"/>
          <w:lang w:eastAsia="zh-CN"/>
        </w:rPr>
        <w:br w:type="page"/>
      </w:r>
    </w:p>
    <w:bookmarkEnd w:id="62"/>
    <w:p w14:paraId="1D1377B2" w14:textId="77777777" w:rsidR="000C5A62" w:rsidRPr="00930C7A" w:rsidRDefault="000C5A62" w:rsidP="002B40FF">
      <w:pPr>
        <w:pStyle w:val="Casehead1"/>
      </w:pPr>
      <w:r w:rsidRPr="00930C7A">
        <w:lastRenderedPageBreak/>
        <w:t>ENDNOTES</w:t>
      </w:r>
    </w:p>
    <w:sectPr w:rsidR="000C5A62" w:rsidRPr="00930C7A"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78D1" w16cex:dateUtc="2021-06-09T09:28:00Z"/>
  <w16cex:commentExtensible w16cex:durableId="24326C72" w16cex:dateUtc="2021-04-27T14:56:00Z"/>
  <w16cex:commentExtensible w16cex:durableId="246B4863" w16cex:dateUtc="2021-06-09T06: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0182A" w14:textId="77777777" w:rsidR="009406AC" w:rsidRDefault="009406AC" w:rsidP="00D75295">
      <w:r>
        <w:separator/>
      </w:r>
    </w:p>
  </w:endnote>
  <w:endnote w:type="continuationSeparator" w:id="0">
    <w:p w14:paraId="576C9461" w14:textId="77777777" w:rsidR="009406AC" w:rsidRDefault="009406AC" w:rsidP="00D75295">
      <w:r>
        <w:continuationSeparator/>
      </w:r>
    </w:p>
  </w:endnote>
  <w:endnote w:id="1">
    <w:p w14:paraId="7F03EA66" w14:textId="77777777" w:rsidR="009406AC" w:rsidRPr="00930C7A" w:rsidRDefault="009406AC" w:rsidP="00174F72">
      <w:pPr>
        <w:pStyle w:val="Footnote"/>
        <w:rPr>
          <w:lang w:eastAsia="zh-CN"/>
        </w:rPr>
      </w:pPr>
      <w:r w:rsidRPr="00930C7A">
        <w:rPr>
          <w:vertAlign w:val="superscript"/>
        </w:rPr>
        <w:endnoteRef/>
      </w:r>
      <w:r w:rsidRPr="00930C7A">
        <w:t xml:space="preserve"> Benjamin C. Halliburton, “COVID-19 Is a Black Swan,” </w:t>
      </w:r>
      <w:r w:rsidRPr="00930C7A">
        <w:rPr>
          <w:i/>
        </w:rPr>
        <w:t>Forbes</w:t>
      </w:r>
      <w:r w:rsidRPr="00930C7A">
        <w:t>, March 19, 2020, accessed M</w:t>
      </w:r>
      <w:r w:rsidRPr="00930C7A">
        <w:rPr>
          <w:rFonts w:eastAsiaTheme="minorEastAsia"/>
          <w:lang w:eastAsia="zh-CN"/>
        </w:rPr>
        <w:t>ay</w:t>
      </w:r>
      <w:r w:rsidRPr="00930C7A">
        <w:t xml:space="preserve"> 10, 2020, https://www.forbes.com/sites/forbesbooksauthors/2020/03/19/COVID-19-is-a-black-swan/#36397bd77b4b</w:t>
      </w:r>
      <w:r w:rsidRPr="00930C7A">
        <w:rPr>
          <w:rFonts w:ascii="SimSun" w:eastAsia="SimSun" w:hAnsi="SimSun" w:cs="SimSun"/>
          <w:lang w:eastAsia="zh-CN"/>
        </w:rPr>
        <w:t>.</w:t>
      </w:r>
    </w:p>
  </w:endnote>
  <w:endnote w:id="2">
    <w:p w14:paraId="54443C45" w14:textId="59CFE8E4" w:rsidR="009406AC" w:rsidRPr="00930C7A" w:rsidRDefault="009406AC" w:rsidP="00174F72">
      <w:pPr>
        <w:pStyle w:val="Footnote"/>
      </w:pPr>
      <w:r w:rsidRPr="00930C7A">
        <w:rPr>
          <w:vertAlign w:val="superscript"/>
        </w:rPr>
        <w:endnoteRef/>
      </w:r>
      <w:r w:rsidRPr="00930C7A">
        <w:t xml:space="preserve"> </w:t>
      </w:r>
      <w:r w:rsidRPr="001F39AE">
        <w:rPr>
          <w:spacing w:val="-4"/>
        </w:rPr>
        <w:t>“Preliminary Calculation Results of Gross Domestic Product (GDP) for the First Quarter of 2020” [in Chinese], National Bureau of Statistics of China, April 18, 2020, accessed J</w:t>
      </w:r>
      <w:r w:rsidRPr="001F39AE">
        <w:rPr>
          <w:rFonts w:eastAsiaTheme="minorEastAsia"/>
          <w:spacing w:val="-4"/>
          <w:lang w:eastAsia="zh-CN"/>
        </w:rPr>
        <w:t>une</w:t>
      </w:r>
      <w:r w:rsidRPr="001F39AE">
        <w:rPr>
          <w:spacing w:val="-4"/>
        </w:rPr>
        <w:t xml:space="preserve"> 10, 2020, www.stats.gov.cn/tjsj/zxfb/202004/t20200417_1739602.html.</w:t>
      </w:r>
    </w:p>
  </w:endnote>
  <w:endnote w:id="3">
    <w:p w14:paraId="58C90E96" w14:textId="18265463" w:rsidR="009406AC" w:rsidRPr="00930C7A" w:rsidRDefault="009406AC" w:rsidP="00174F72">
      <w:pPr>
        <w:pStyle w:val="Footnote"/>
      </w:pPr>
      <w:r w:rsidRPr="00930C7A">
        <w:rPr>
          <w:vertAlign w:val="superscript"/>
        </w:rPr>
        <w:endnoteRef/>
      </w:r>
      <w:r w:rsidRPr="00930C7A">
        <w:t xml:space="preserve"> Ucommune Group Holdings Limited, </w:t>
      </w:r>
      <w:r w:rsidRPr="00930C7A">
        <w:rPr>
          <w:i/>
          <w:iCs/>
        </w:rPr>
        <w:t>Form F-1: Registration Statement</w:t>
      </w:r>
      <w:r w:rsidRPr="00930C7A">
        <w:t>, December 11, 2019, accessed May 14, 2020, https://www.sec.gov/Archives/edgar/data/1785841/000104746919006800/a2240122zf-1.htm.</w:t>
      </w:r>
    </w:p>
  </w:endnote>
  <w:endnote w:id="4">
    <w:p w14:paraId="3441836F" w14:textId="7B6A98DF" w:rsidR="009406AC" w:rsidRPr="00930C7A" w:rsidRDefault="009406AC" w:rsidP="0095484E">
      <w:pPr>
        <w:pStyle w:val="Footnote"/>
      </w:pPr>
      <w:r w:rsidRPr="00930C7A">
        <w:rPr>
          <w:vertAlign w:val="superscript"/>
        </w:rPr>
        <w:endnoteRef/>
      </w:r>
      <w:r w:rsidRPr="00930C7A">
        <w:t xml:space="preserve"> Mikko Jakonen</w:t>
      </w:r>
      <w:r>
        <w:t xml:space="preserve"> et al., </w:t>
      </w:r>
      <w:r w:rsidRPr="00930C7A">
        <w:t xml:space="preserve">“Towards an Economy of Encounters? A Critical Study of Affectual Assemblages in Coworking,” </w:t>
      </w:r>
      <w:r w:rsidRPr="00930C7A">
        <w:rPr>
          <w:i/>
          <w:iCs/>
        </w:rPr>
        <w:t>Scandinavian Journal of Management</w:t>
      </w:r>
      <w:r w:rsidRPr="00930C7A">
        <w:t xml:space="preserve"> 33, no 4 (October 2017): 235–242.</w:t>
      </w:r>
    </w:p>
  </w:endnote>
  <w:endnote w:id="5">
    <w:p w14:paraId="505C053A" w14:textId="1C8557C2" w:rsidR="009406AC" w:rsidRPr="00930C7A" w:rsidRDefault="009406AC" w:rsidP="00DD4976">
      <w:pPr>
        <w:pStyle w:val="Footnote"/>
        <w:tabs>
          <w:tab w:val="center" w:pos="4680"/>
        </w:tabs>
      </w:pPr>
      <w:r w:rsidRPr="00930C7A">
        <w:rPr>
          <w:vertAlign w:val="superscript"/>
        </w:rPr>
        <w:endnoteRef/>
      </w:r>
      <w:r w:rsidRPr="00930C7A">
        <w:t xml:space="preserve"> Ucommune Group Holdings Limited, op. cit.</w:t>
      </w:r>
      <w:r>
        <w:tab/>
      </w:r>
    </w:p>
  </w:endnote>
  <w:endnote w:id="6">
    <w:p w14:paraId="75415BFB" w14:textId="437797D3" w:rsidR="009406AC" w:rsidRPr="00930C7A" w:rsidRDefault="009406AC" w:rsidP="0095484E">
      <w:pPr>
        <w:pStyle w:val="Footnote"/>
      </w:pPr>
      <w:r w:rsidRPr="00930C7A">
        <w:rPr>
          <w:vertAlign w:val="superscript"/>
        </w:rPr>
        <w:endnoteRef/>
      </w:r>
      <w:r w:rsidRPr="00930C7A">
        <w:t xml:space="preserve"> </w:t>
      </w:r>
      <w:bookmarkStart w:id="4" w:name="_Hlk53663953"/>
      <w:r w:rsidRPr="00930C7A">
        <w:t>“The Rise, Advantages and Disadvantages of the Co-working Space Industry</w:t>
      </w:r>
      <w:r>
        <w:t>”</w:t>
      </w:r>
      <w:r w:rsidRPr="00930C7A">
        <w:t xml:space="preserve"> [in Chinese], Sohu, May 25, 2018, accessed J</w:t>
      </w:r>
      <w:r w:rsidRPr="00930C7A">
        <w:rPr>
          <w:rFonts w:eastAsiaTheme="minorEastAsia"/>
          <w:lang w:eastAsia="zh-CN"/>
        </w:rPr>
        <w:t>une</w:t>
      </w:r>
      <w:r w:rsidRPr="00930C7A">
        <w:t xml:space="preserve"> </w:t>
      </w:r>
      <w:r w:rsidRPr="00930C7A">
        <w:rPr>
          <w:rFonts w:eastAsiaTheme="minorEastAsia"/>
          <w:lang w:eastAsia="zh-CN"/>
        </w:rPr>
        <w:t>2</w:t>
      </w:r>
      <w:r w:rsidRPr="00930C7A">
        <w:t>, 2020, https://www.sohu.com/a/232864196_422190</w:t>
      </w:r>
      <w:bookmarkEnd w:id="4"/>
      <w:r w:rsidRPr="00930C7A">
        <w:t>.</w:t>
      </w:r>
    </w:p>
  </w:endnote>
  <w:endnote w:id="7">
    <w:p w14:paraId="6772AB2F" w14:textId="77777777" w:rsidR="009406AC" w:rsidRPr="00930C7A" w:rsidRDefault="009406AC" w:rsidP="0095484E">
      <w:pPr>
        <w:pStyle w:val="Footnote"/>
      </w:pPr>
      <w:r w:rsidRPr="00930C7A">
        <w:rPr>
          <w:vertAlign w:val="superscript"/>
        </w:rPr>
        <w:endnoteRef/>
      </w:r>
      <w:r w:rsidRPr="00930C7A">
        <w:t xml:space="preserve"> Alberto Di Risio, “The History of Coworking,” CoworkingResources, March 12, 2019, accessed J</w:t>
      </w:r>
      <w:r w:rsidRPr="00930C7A">
        <w:rPr>
          <w:rFonts w:eastAsiaTheme="minorEastAsia"/>
          <w:lang w:eastAsia="zh-CN"/>
        </w:rPr>
        <w:t>uly</w:t>
      </w:r>
      <w:r w:rsidRPr="00930C7A">
        <w:t xml:space="preserve"> </w:t>
      </w:r>
      <w:r w:rsidRPr="00930C7A">
        <w:rPr>
          <w:rFonts w:eastAsiaTheme="minorEastAsia"/>
          <w:lang w:eastAsia="zh-CN"/>
        </w:rPr>
        <w:t>8</w:t>
      </w:r>
      <w:r w:rsidRPr="00930C7A">
        <w:t>, 2020, https://www.coworkingresources.org/blog/history-of-coworking.</w:t>
      </w:r>
    </w:p>
  </w:endnote>
  <w:endnote w:id="8">
    <w:p w14:paraId="351E25C8" w14:textId="77777777" w:rsidR="009406AC" w:rsidRPr="00930C7A" w:rsidRDefault="009406AC" w:rsidP="0095484E">
      <w:pPr>
        <w:pStyle w:val="Footnote"/>
      </w:pPr>
      <w:r w:rsidRPr="00930C7A">
        <w:rPr>
          <w:vertAlign w:val="superscript"/>
        </w:rPr>
        <w:endnoteRef/>
      </w:r>
      <w:r w:rsidRPr="00930C7A">
        <w:t xml:space="preserve"> “Number of Coworking Spaces and Members Worldwide,” Deskmag, accessed J</w:t>
      </w:r>
      <w:r w:rsidRPr="00930C7A">
        <w:rPr>
          <w:rFonts w:eastAsiaTheme="minorEastAsia"/>
          <w:lang w:eastAsia="zh-CN"/>
        </w:rPr>
        <w:t>une</w:t>
      </w:r>
      <w:r w:rsidRPr="00930C7A">
        <w:t xml:space="preserve"> </w:t>
      </w:r>
      <w:r w:rsidRPr="00930C7A">
        <w:rPr>
          <w:rFonts w:eastAsiaTheme="minorEastAsia"/>
          <w:lang w:eastAsia="zh-CN"/>
        </w:rPr>
        <w:t>8</w:t>
      </w:r>
      <w:r w:rsidRPr="00930C7A">
        <w:t>, 2020, https://coworkingstatistics.com/number-of-coworking-spaces-and-members-worldwide-througout-the-years.</w:t>
      </w:r>
    </w:p>
  </w:endnote>
  <w:endnote w:id="9">
    <w:p w14:paraId="609C3F39" w14:textId="77777777" w:rsidR="009406AC" w:rsidRPr="00930C7A" w:rsidRDefault="009406AC" w:rsidP="0095484E">
      <w:pPr>
        <w:pStyle w:val="Footnote"/>
      </w:pPr>
      <w:r w:rsidRPr="00930C7A">
        <w:rPr>
          <w:vertAlign w:val="superscript"/>
        </w:rPr>
        <w:endnoteRef/>
      </w:r>
      <w:r w:rsidRPr="00930C7A">
        <w:rPr>
          <w:vertAlign w:val="superscript"/>
        </w:rPr>
        <w:t xml:space="preserve"> </w:t>
      </w:r>
      <w:r w:rsidRPr="00930C7A">
        <w:t xml:space="preserve">Alberto Di Risio, </w:t>
      </w:r>
      <w:r w:rsidRPr="00930C7A">
        <w:rPr>
          <w:lang w:eastAsia="zh-CN"/>
        </w:rPr>
        <w:t>“</w:t>
      </w:r>
      <w:r w:rsidRPr="00930C7A">
        <w:t>Global Coworking Growth Study 2020,</w:t>
      </w:r>
      <w:r w:rsidRPr="00930C7A">
        <w:rPr>
          <w:rFonts w:eastAsia="SimSun"/>
          <w:lang w:eastAsia="zh-CN"/>
        </w:rPr>
        <w:t xml:space="preserve">” CoworkingResources, July 3, 2020, </w:t>
      </w:r>
      <w:r w:rsidRPr="00930C7A">
        <w:t>accessed J</w:t>
      </w:r>
      <w:r w:rsidRPr="00930C7A">
        <w:rPr>
          <w:rFonts w:eastAsiaTheme="minorEastAsia"/>
          <w:lang w:eastAsia="zh-CN"/>
        </w:rPr>
        <w:t>une</w:t>
      </w:r>
      <w:r w:rsidRPr="00930C7A">
        <w:t xml:space="preserve"> </w:t>
      </w:r>
      <w:r w:rsidRPr="00930C7A">
        <w:rPr>
          <w:rFonts w:eastAsiaTheme="minorEastAsia"/>
          <w:lang w:eastAsia="zh-CN"/>
        </w:rPr>
        <w:t>9</w:t>
      </w:r>
      <w:r w:rsidRPr="00930C7A">
        <w:rPr>
          <w:rFonts w:eastAsia="SimSun"/>
          <w:lang w:eastAsia="zh-CN"/>
        </w:rPr>
        <w:t>, 2020, https://www.coworkingresources.org/blog/key-figures-coworking-growth.</w:t>
      </w:r>
    </w:p>
  </w:endnote>
  <w:endnote w:id="10">
    <w:p w14:paraId="6532582E" w14:textId="77777777" w:rsidR="009406AC" w:rsidRPr="00930C7A" w:rsidRDefault="009406AC" w:rsidP="0095484E">
      <w:pPr>
        <w:pStyle w:val="Footnote"/>
      </w:pPr>
      <w:r w:rsidRPr="00930C7A">
        <w:rPr>
          <w:vertAlign w:val="superscript"/>
        </w:rPr>
        <w:endnoteRef/>
      </w:r>
      <w:r w:rsidRPr="00930C7A">
        <w:t xml:space="preserve"> Ivan Stevanovic, </w:t>
      </w:r>
      <w:r w:rsidRPr="00930C7A">
        <w:rPr>
          <w:lang w:eastAsia="zh-CN"/>
        </w:rPr>
        <w:t>“Coworking Statistics You Need to Know in 2020</w:t>
      </w:r>
      <w:r w:rsidRPr="00930C7A">
        <w:t>,</w:t>
      </w:r>
      <w:r w:rsidRPr="00930C7A">
        <w:rPr>
          <w:rFonts w:eastAsia="SimSun"/>
          <w:lang w:eastAsia="zh-CN"/>
        </w:rPr>
        <w:t xml:space="preserve">” SmallBizGenius, August 12, 2020, </w:t>
      </w:r>
      <w:r w:rsidRPr="00930C7A">
        <w:t>accessed J</w:t>
      </w:r>
      <w:r w:rsidRPr="00930C7A">
        <w:rPr>
          <w:rFonts w:eastAsiaTheme="minorEastAsia"/>
          <w:lang w:eastAsia="zh-CN"/>
        </w:rPr>
        <w:t>une</w:t>
      </w:r>
      <w:r w:rsidRPr="00930C7A">
        <w:t xml:space="preserve"> </w:t>
      </w:r>
      <w:r w:rsidRPr="00930C7A">
        <w:rPr>
          <w:rFonts w:eastAsiaTheme="minorEastAsia"/>
          <w:lang w:eastAsia="zh-CN"/>
        </w:rPr>
        <w:t>9</w:t>
      </w:r>
      <w:r w:rsidRPr="00930C7A">
        <w:rPr>
          <w:rFonts w:eastAsia="SimSun"/>
          <w:lang w:eastAsia="zh-CN"/>
        </w:rPr>
        <w:t>, 2020, https://www.smallbizgenius.net/by-the-numbers/coworking-statistics/#gref.</w:t>
      </w:r>
    </w:p>
  </w:endnote>
  <w:endnote w:id="11">
    <w:p w14:paraId="4B1EB0A0" w14:textId="2D42B0D8" w:rsidR="009406AC" w:rsidRPr="00930C7A" w:rsidRDefault="009406AC">
      <w:pPr>
        <w:pStyle w:val="EndnoteText"/>
      </w:pPr>
      <w:r w:rsidRPr="00DD4976">
        <w:rPr>
          <w:rStyle w:val="FootnoteChar"/>
          <w:rFonts w:eastAsia="Calibri"/>
          <w:vertAlign w:val="superscript"/>
        </w:rPr>
        <w:endnoteRef/>
      </w:r>
      <w:r w:rsidRPr="00DD4976">
        <w:rPr>
          <w:vertAlign w:val="superscript"/>
        </w:rPr>
        <w:t xml:space="preserve"> </w:t>
      </w:r>
      <w:r w:rsidRPr="00930C7A">
        <w:rPr>
          <w:rFonts w:ascii="Arial" w:hAnsi="Arial" w:cs="Arial"/>
          <w:sz w:val="17"/>
          <w:szCs w:val="17"/>
        </w:rPr>
        <w:t>¥ = CNY = Chinese yuan renminbi; US$1</w:t>
      </w:r>
      <w:r>
        <w:rPr>
          <w:rFonts w:ascii="Arial" w:hAnsi="Arial" w:cs="Arial"/>
          <w:sz w:val="17"/>
          <w:szCs w:val="17"/>
        </w:rPr>
        <w:t xml:space="preserve"> </w:t>
      </w:r>
      <w:r w:rsidRPr="00930C7A">
        <w:rPr>
          <w:rFonts w:ascii="Arial" w:hAnsi="Arial" w:cs="Arial"/>
          <w:sz w:val="17"/>
          <w:szCs w:val="17"/>
        </w:rPr>
        <w:t>=</w:t>
      </w:r>
      <w:r>
        <w:rPr>
          <w:rFonts w:ascii="Arial" w:hAnsi="Arial" w:cs="Arial"/>
          <w:sz w:val="17"/>
          <w:szCs w:val="17"/>
        </w:rPr>
        <w:t xml:space="preserve"> </w:t>
      </w:r>
      <w:r w:rsidRPr="00930C7A">
        <w:rPr>
          <w:rFonts w:ascii="Arial" w:hAnsi="Arial" w:cs="Arial"/>
          <w:sz w:val="17"/>
          <w:szCs w:val="17"/>
        </w:rPr>
        <w:t>¥7.1477 on September 30, 2019.</w:t>
      </w:r>
    </w:p>
  </w:endnote>
  <w:endnote w:id="12">
    <w:p w14:paraId="576DBAD2" w14:textId="3AEDF742" w:rsidR="009406AC" w:rsidRPr="00930C7A" w:rsidRDefault="009406AC" w:rsidP="00B82FE8">
      <w:pPr>
        <w:pStyle w:val="Footnote"/>
      </w:pPr>
      <w:r w:rsidRPr="00930C7A">
        <w:rPr>
          <w:vertAlign w:val="superscript"/>
        </w:rPr>
        <w:endnoteRef/>
      </w:r>
      <w:r w:rsidRPr="00930C7A">
        <w:rPr>
          <w:vertAlign w:val="superscript"/>
        </w:rPr>
        <w:t xml:space="preserve"> </w:t>
      </w:r>
      <w:r w:rsidRPr="00930C7A">
        <w:t>Ucommune Group Holdings Limited, op. cit.</w:t>
      </w:r>
    </w:p>
  </w:endnote>
  <w:endnote w:id="13">
    <w:p w14:paraId="27A4E986" w14:textId="15D81FB8" w:rsidR="009406AC" w:rsidRPr="00930C7A" w:rsidRDefault="009406AC" w:rsidP="00B82FE8">
      <w:pPr>
        <w:pStyle w:val="Footnote"/>
      </w:pPr>
      <w:r w:rsidRPr="00930C7A">
        <w:rPr>
          <w:vertAlign w:val="superscript"/>
        </w:rPr>
        <w:endnoteRef/>
      </w:r>
      <w:r w:rsidRPr="00930C7A">
        <w:t xml:space="preserve"> </w:t>
      </w:r>
      <w:bookmarkStart w:id="8" w:name="_Hlk53664881"/>
      <w:r w:rsidRPr="001F39AE">
        <w:rPr>
          <w:spacing w:val="-4"/>
          <w:lang w:eastAsia="zh-CN"/>
        </w:rPr>
        <w:t>“</w:t>
      </w:r>
      <w:r w:rsidRPr="001F39AE">
        <w:rPr>
          <w:spacing w:val="-4"/>
        </w:rPr>
        <w:t xml:space="preserve">Ucommune Plans to Go Public in the US with </w:t>
      </w:r>
      <w:bookmarkStart w:id="9" w:name="_Hlk53666605"/>
      <w:r w:rsidRPr="001F39AE">
        <w:rPr>
          <w:spacing w:val="-4"/>
        </w:rPr>
        <w:t>the Way of SPAC Deal</w:t>
      </w:r>
      <w:bookmarkEnd w:id="9"/>
      <w:r w:rsidRPr="001F39AE">
        <w:rPr>
          <w:spacing w:val="-4"/>
        </w:rPr>
        <w:t xml:space="preserve"> and Might Become the First Listed Company in the Co-working Space Industry (with Analysis of Roadshow PPT)” [in Chinese],</w:t>
      </w:r>
      <w:r w:rsidRPr="001F39AE">
        <w:rPr>
          <w:rFonts w:eastAsia="SimSun"/>
          <w:spacing w:val="-4"/>
          <w:lang w:eastAsia="zh-CN"/>
        </w:rPr>
        <w:t xml:space="preserve"> 36KR, July 9, 2020, </w:t>
      </w:r>
      <w:r w:rsidRPr="001F39AE">
        <w:rPr>
          <w:spacing w:val="-4"/>
        </w:rPr>
        <w:t xml:space="preserve">accessed </w:t>
      </w:r>
      <w:bookmarkStart w:id="10" w:name="_Hlk53701753"/>
      <w:r w:rsidRPr="001F39AE">
        <w:rPr>
          <w:rFonts w:eastAsia="SimSun"/>
          <w:spacing w:val="-4"/>
          <w:lang w:eastAsia="zh-CN"/>
        </w:rPr>
        <w:t>September 22</w:t>
      </w:r>
      <w:bookmarkEnd w:id="10"/>
      <w:r w:rsidRPr="001F39AE">
        <w:rPr>
          <w:rFonts w:eastAsia="SimSun"/>
          <w:spacing w:val="-4"/>
          <w:lang w:eastAsia="zh-CN"/>
        </w:rPr>
        <w:t>, 2020, https://36kr.com/p/786291888451973</w:t>
      </w:r>
      <w:bookmarkEnd w:id="8"/>
      <w:r w:rsidRPr="001F39AE">
        <w:rPr>
          <w:rFonts w:eastAsia="SimSun"/>
          <w:spacing w:val="-4"/>
          <w:lang w:eastAsia="zh-CN"/>
        </w:rPr>
        <w:t>.</w:t>
      </w:r>
    </w:p>
  </w:endnote>
  <w:endnote w:id="14">
    <w:p w14:paraId="7C9F8E58" w14:textId="52E26901" w:rsidR="009406AC" w:rsidRPr="00930C7A" w:rsidRDefault="009406AC" w:rsidP="00B82FE8">
      <w:pPr>
        <w:pStyle w:val="Footnote"/>
      </w:pPr>
      <w:r w:rsidRPr="00930C7A">
        <w:rPr>
          <w:vertAlign w:val="superscript"/>
        </w:rPr>
        <w:endnoteRef/>
      </w:r>
      <w:r w:rsidRPr="00930C7A">
        <w:rPr>
          <w:vertAlign w:val="superscript"/>
        </w:rPr>
        <w:t xml:space="preserve"> </w:t>
      </w:r>
      <w:r w:rsidRPr="00930C7A">
        <w:t>Ibid.</w:t>
      </w:r>
    </w:p>
  </w:endnote>
  <w:endnote w:id="15">
    <w:p w14:paraId="1024CFEA" w14:textId="52E33A68" w:rsidR="009406AC" w:rsidRPr="00930C7A" w:rsidRDefault="009406AC" w:rsidP="00B82FE8">
      <w:pPr>
        <w:pStyle w:val="Footnote"/>
      </w:pPr>
      <w:r w:rsidRPr="00930C7A">
        <w:rPr>
          <w:vertAlign w:val="superscript"/>
        </w:rPr>
        <w:endnoteRef/>
      </w:r>
      <w:r w:rsidRPr="00930C7A">
        <w:t xml:space="preserve"> </w:t>
      </w:r>
      <w:r w:rsidRPr="00930C7A">
        <w:rPr>
          <w:lang w:eastAsia="zh-CN"/>
        </w:rPr>
        <w:t xml:space="preserve">“2019-2020 </w:t>
      </w:r>
      <w:r w:rsidRPr="00930C7A">
        <w:t>China</w:t>
      </w:r>
      <w:r w:rsidRPr="00930C7A">
        <w:rPr>
          <w:rFonts w:eastAsiaTheme="minorEastAsia"/>
          <w:lang w:eastAsia="zh-CN"/>
        </w:rPr>
        <w:t>’</w:t>
      </w:r>
      <w:r w:rsidRPr="00930C7A">
        <w:t>s Co-working Space Industry White Paper</w:t>
      </w:r>
      <w:r>
        <w:t>”</w:t>
      </w:r>
      <w:r w:rsidRPr="00930C7A">
        <w:t xml:space="preserve"> [in Chinese],</w:t>
      </w:r>
      <w:r w:rsidRPr="00930C7A">
        <w:rPr>
          <w:rFonts w:eastAsia="SimSun"/>
          <w:lang w:eastAsia="zh-CN"/>
        </w:rPr>
        <w:t xml:space="preserve"> iiMedia Research, February 25, 2020, </w:t>
      </w:r>
      <w:r w:rsidRPr="00930C7A">
        <w:t>accessed</w:t>
      </w:r>
      <w:r w:rsidRPr="00930C7A">
        <w:rPr>
          <w:rFonts w:eastAsia="SimSun"/>
          <w:lang w:eastAsia="zh-CN"/>
        </w:rPr>
        <w:t xml:space="preserve"> August 9, 2020, </w:t>
      </w:r>
      <w:r w:rsidRPr="00930C7A">
        <w:t>https://www.iimedia.cn/c400/69264.html.</w:t>
      </w:r>
    </w:p>
  </w:endnote>
  <w:endnote w:id="16">
    <w:p w14:paraId="6F4906EB" w14:textId="724488F6" w:rsidR="009406AC" w:rsidRPr="00930C7A" w:rsidRDefault="009406AC" w:rsidP="00B82FE8">
      <w:pPr>
        <w:pStyle w:val="Footnote"/>
      </w:pPr>
      <w:r w:rsidRPr="00930C7A">
        <w:rPr>
          <w:vertAlign w:val="superscript"/>
        </w:rPr>
        <w:endnoteRef/>
      </w:r>
      <w:r w:rsidRPr="00930C7A">
        <w:rPr>
          <w:vertAlign w:val="superscript"/>
        </w:rPr>
        <w:t xml:space="preserve"> </w:t>
      </w:r>
      <w:r w:rsidRPr="00930C7A">
        <w:rPr>
          <w:lang w:eastAsia="zh-CN"/>
        </w:rPr>
        <w:t xml:space="preserve">“2018 </w:t>
      </w:r>
      <w:r w:rsidRPr="00930C7A">
        <w:t>China</w:t>
      </w:r>
      <w:r w:rsidRPr="00930C7A">
        <w:rPr>
          <w:rFonts w:eastAsiaTheme="minorEastAsia"/>
          <w:lang w:eastAsia="zh-CN"/>
        </w:rPr>
        <w:t>’</w:t>
      </w:r>
      <w:r w:rsidRPr="00930C7A">
        <w:t>s Co-working Space Industry Monitoring Report</w:t>
      </w:r>
      <w:r>
        <w:t>”</w:t>
      </w:r>
      <w:r w:rsidRPr="00930C7A">
        <w:t xml:space="preserve"> [in Chinese],</w:t>
      </w:r>
      <w:r w:rsidRPr="00930C7A">
        <w:rPr>
          <w:rFonts w:eastAsia="SimSun"/>
          <w:lang w:eastAsia="zh-CN"/>
        </w:rPr>
        <w:t xml:space="preserve"> </w:t>
      </w:r>
      <w:bookmarkStart w:id="12" w:name="_Hlk53657731"/>
      <w:r w:rsidRPr="00930C7A">
        <w:rPr>
          <w:rFonts w:eastAsia="SimSun"/>
          <w:lang w:eastAsia="zh-CN"/>
        </w:rPr>
        <w:t>iiMedia Research</w:t>
      </w:r>
      <w:bookmarkEnd w:id="12"/>
      <w:r w:rsidRPr="00930C7A">
        <w:rPr>
          <w:rFonts w:eastAsia="SimSun"/>
          <w:lang w:eastAsia="zh-CN"/>
        </w:rPr>
        <w:t xml:space="preserve">, August 6, 2018, </w:t>
      </w:r>
      <w:r w:rsidRPr="00930C7A">
        <w:t xml:space="preserve">accessed </w:t>
      </w:r>
      <w:r w:rsidRPr="00930C7A">
        <w:rPr>
          <w:rFonts w:eastAsia="SimSun"/>
          <w:lang w:eastAsia="zh-CN"/>
        </w:rPr>
        <w:t>August 10, 2020, https://www.iimedia.cn/c400/62056.html.</w:t>
      </w:r>
    </w:p>
  </w:endnote>
  <w:endnote w:id="17">
    <w:p w14:paraId="5F9B4713" w14:textId="4A4735C2" w:rsidR="009406AC" w:rsidRPr="00930C7A" w:rsidRDefault="009406AC" w:rsidP="00B82FE8">
      <w:pPr>
        <w:pStyle w:val="Footnote"/>
      </w:pPr>
      <w:r w:rsidRPr="00930C7A">
        <w:rPr>
          <w:vertAlign w:val="superscript"/>
        </w:rPr>
        <w:endnoteRef/>
      </w:r>
      <w:r w:rsidRPr="00930C7A">
        <w:t xml:space="preserve"> Shenzhen Shengshihuayan Business Management Co., Ltd</w:t>
      </w:r>
      <w:r w:rsidRPr="00930C7A">
        <w:rPr>
          <w:lang w:eastAsia="zh-CN"/>
        </w:rPr>
        <w:t>,</w:t>
      </w:r>
      <w:r w:rsidRPr="00930C7A">
        <w:t xml:space="preserve"> </w:t>
      </w:r>
      <w:r w:rsidRPr="00930C7A">
        <w:rPr>
          <w:lang w:eastAsia="zh-CN"/>
        </w:rPr>
        <w:t xml:space="preserve">“2019-2025 </w:t>
      </w:r>
      <w:r w:rsidRPr="00930C7A">
        <w:t>Research Report on the Problems and Countermeasures of the Development of China</w:t>
      </w:r>
      <w:r w:rsidRPr="00930C7A">
        <w:rPr>
          <w:rFonts w:eastAsiaTheme="minorEastAsia"/>
          <w:lang w:eastAsia="zh-CN"/>
        </w:rPr>
        <w:t>’</w:t>
      </w:r>
      <w:r w:rsidRPr="00930C7A">
        <w:t>s Co-working Space Industry</w:t>
      </w:r>
      <w:r>
        <w:t>”</w:t>
      </w:r>
      <w:r w:rsidRPr="00930C7A">
        <w:t xml:space="preserve"> [in Chinese],</w:t>
      </w:r>
      <w:r w:rsidRPr="00930C7A">
        <w:rPr>
          <w:rFonts w:eastAsia="SimSun"/>
          <w:lang w:eastAsia="zh-CN"/>
        </w:rPr>
        <w:t xml:space="preserve"> Doc88, September 24, 2019, </w:t>
      </w:r>
      <w:r w:rsidRPr="00930C7A">
        <w:t>accessed</w:t>
      </w:r>
      <w:r w:rsidRPr="00930C7A">
        <w:rPr>
          <w:rFonts w:eastAsia="SimSun"/>
          <w:lang w:eastAsia="zh-CN"/>
        </w:rPr>
        <w:t xml:space="preserve"> August 10, 2020, https://www.doc88.com/p-3911681744361.html.</w:t>
      </w:r>
    </w:p>
  </w:endnote>
  <w:endnote w:id="18">
    <w:p w14:paraId="63029EB5" w14:textId="6F5B8CAA" w:rsidR="009406AC" w:rsidRPr="00930C7A" w:rsidRDefault="009406AC" w:rsidP="00B82FE8">
      <w:pPr>
        <w:pStyle w:val="Footnote"/>
      </w:pPr>
      <w:r w:rsidRPr="00930C7A">
        <w:rPr>
          <w:vertAlign w:val="superscript"/>
        </w:rPr>
        <w:endnoteRef/>
      </w:r>
      <w:r w:rsidRPr="00930C7A">
        <w:t xml:space="preserve"> </w:t>
      </w:r>
      <w:r w:rsidRPr="005D07E8">
        <w:rPr>
          <w:lang w:eastAsia="zh-CN"/>
        </w:rPr>
        <w:t>“</w:t>
      </w:r>
      <w:r w:rsidRPr="005D07E8">
        <w:t xml:space="preserve">Opinions of the State Council on Strengthening the Implementation of the Innovation-Driven Development Strategy and Further Promoting the In-Depth Development of Mass Entrepreneurship and Innovation </w:t>
      </w:r>
      <w:r w:rsidRPr="005D07E8">
        <w:rPr>
          <w:rFonts w:eastAsia="SimSun"/>
          <w:lang w:eastAsia="zh-CN"/>
        </w:rPr>
        <w:t>Campaign”</w:t>
      </w:r>
      <w:r w:rsidRPr="005D07E8">
        <w:t xml:space="preserve"> [in Chinese],</w:t>
      </w:r>
      <w:r w:rsidRPr="005D07E8">
        <w:rPr>
          <w:rFonts w:eastAsia="SimSun"/>
          <w:lang w:eastAsia="zh-CN"/>
        </w:rPr>
        <w:t xml:space="preserve"> The State Council of the People’s Republic of China, July 27, 2017, </w:t>
      </w:r>
      <w:r w:rsidRPr="005D07E8">
        <w:t xml:space="preserve">accessed </w:t>
      </w:r>
      <w:r w:rsidRPr="005D07E8">
        <w:rPr>
          <w:rFonts w:eastAsia="SimSun"/>
          <w:lang w:eastAsia="zh-CN"/>
        </w:rPr>
        <w:t>August 16, 2020, www.gov.cn/zhengce/content/2017-07/27/content_5213735.htm?trs=1.</w:t>
      </w:r>
    </w:p>
  </w:endnote>
  <w:endnote w:id="19">
    <w:p w14:paraId="768F7ACA" w14:textId="26305609" w:rsidR="009406AC" w:rsidRPr="00930C7A" w:rsidRDefault="009406AC" w:rsidP="00B82FE8">
      <w:pPr>
        <w:pStyle w:val="Footnote"/>
      </w:pPr>
      <w:r w:rsidRPr="00930C7A">
        <w:rPr>
          <w:vertAlign w:val="superscript"/>
        </w:rPr>
        <w:endnoteRef/>
      </w:r>
      <w:r w:rsidRPr="00930C7A">
        <w:t xml:space="preserve"> </w:t>
      </w:r>
      <w:r w:rsidRPr="00930C7A">
        <w:rPr>
          <w:lang w:eastAsia="zh-CN"/>
        </w:rPr>
        <w:t xml:space="preserve">“2019-2020 </w:t>
      </w:r>
      <w:r w:rsidRPr="00930C7A">
        <w:t>China</w:t>
      </w:r>
      <w:r w:rsidRPr="00930C7A">
        <w:rPr>
          <w:rFonts w:eastAsiaTheme="minorEastAsia"/>
          <w:lang w:eastAsia="zh-CN"/>
        </w:rPr>
        <w:t>’</w:t>
      </w:r>
      <w:r w:rsidRPr="00930C7A">
        <w:t>s Co-working Space Industry White Paper</w:t>
      </w:r>
      <w:r>
        <w:t>”</w:t>
      </w:r>
      <w:r w:rsidRPr="00930C7A">
        <w:t xml:space="preserve"> [in Chinese],</w:t>
      </w:r>
      <w:r w:rsidRPr="00930C7A">
        <w:rPr>
          <w:rFonts w:eastAsia="SimSun"/>
          <w:lang w:eastAsia="zh-CN"/>
        </w:rPr>
        <w:t xml:space="preserve"> </w:t>
      </w:r>
      <w:r w:rsidRPr="00930C7A">
        <w:t>op. cit.</w:t>
      </w:r>
    </w:p>
  </w:endnote>
  <w:endnote w:id="20">
    <w:p w14:paraId="79668CF1" w14:textId="600F12E9" w:rsidR="009406AC" w:rsidRPr="00930C7A" w:rsidRDefault="009406AC" w:rsidP="00355942">
      <w:pPr>
        <w:pStyle w:val="Footnote"/>
      </w:pPr>
      <w:r w:rsidRPr="00930C7A">
        <w:rPr>
          <w:vertAlign w:val="superscript"/>
        </w:rPr>
        <w:endnoteRef/>
      </w:r>
      <w:r w:rsidRPr="00930C7A">
        <w:t xml:space="preserve"> </w:t>
      </w:r>
      <w:bookmarkStart w:id="26" w:name="_Hlk53664386"/>
      <w:r w:rsidRPr="00930C7A">
        <w:rPr>
          <w:lang w:eastAsia="zh-CN"/>
        </w:rPr>
        <w:t>“</w:t>
      </w:r>
      <w:r w:rsidRPr="00930C7A">
        <w:t xml:space="preserve">Ucommune Submitted the Prospectus in the </w:t>
      </w:r>
      <w:r>
        <w:t>US</w:t>
      </w:r>
      <w:r w:rsidRPr="00930C7A">
        <w:t xml:space="preserve"> and Planned to List on the NYSE</w:t>
      </w:r>
      <w:r>
        <w:t>”</w:t>
      </w:r>
      <w:r w:rsidRPr="00930C7A">
        <w:t xml:space="preserve"> [in Chinese],</w:t>
      </w:r>
      <w:r w:rsidRPr="00930C7A">
        <w:rPr>
          <w:rFonts w:eastAsia="SimSun"/>
          <w:lang w:eastAsia="zh-CN"/>
        </w:rPr>
        <w:t xml:space="preserve"> Ryanben Capital, December 12, 2019, </w:t>
      </w:r>
      <w:r w:rsidRPr="00930C7A">
        <w:t>accessed</w:t>
      </w:r>
      <w:r w:rsidRPr="00930C7A">
        <w:rPr>
          <w:rFonts w:eastAsia="SimSun"/>
          <w:lang w:eastAsia="zh-CN"/>
        </w:rPr>
        <w:t xml:space="preserve"> May 23, 2020, https://www.ryanbencapital.com/2019/12/12/62f17dfc8a/</w:t>
      </w:r>
      <w:bookmarkEnd w:id="26"/>
      <w:r w:rsidRPr="00930C7A">
        <w:rPr>
          <w:rFonts w:eastAsia="SimSun"/>
          <w:lang w:eastAsia="zh-CN"/>
        </w:rPr>
        <w:t>.</w:t>
      </w:r>
    </w:p>
  </w:endnote>
  <w:endnote w:id="21">
    <w:p w14:paraId="6E39F99A" w14:textId="3D55699C" w:rsidR="009406AC" w:rsidRPr="00930C7A" w:rsidRDefault="009406AC" w:rsidP="003C54A3">
      <w:pPr>
        <w:pStyle w:val="Footnote"/>
      </w:pPr>
      <w:r w:rsidRPr="00930C7A">
        <w:rPr>
          <w:vertAlign w:val="superscript"/>
        </w:rPr>
        <w:endnoteRef/>
      </w:r>
      <w:r w:rsidRPr="00930C7A">
        <w:rPr>
          <w:vertAlign w:val="superscript"/>
        </w:rPr>
        <w:t xml:space="preserve"> </w:t>
      </w:r>
      <w:r w:rsidRPr="00930C7A">
        <w:rPr>
          <w:lang w:eastAsia="zh-CN"/>
        </w:rPr>
        <w:t>“</w:t>
      </w:r>
      <w:r w:rsidRPr="00930C7A">
        <w:t>The Changing and Unchanging of Ucommune: Progress of Co-working Technology and Ecosystem</w:t>
      </w:r>
      <w:r>
        <w:t>”</w:t>
      </w:r>
      <w:r w:rsidRPr="00930C7A">
        <w:t xml:space="preserve"> [in Chinese],</w:t>
      </w:r>
      <w:r w:rsidRPr="00930C7A">
        <w:rPr>
          <w:rFonts w:eastAsia="SimSun"/>
          <w:lang w:eastAsia="zh-CN"/>
        </w:rPr>
        <w:t xml:space="preserve"> Sohu, May 9, 2019, </w:t>
      </w:r>
      <w:r w:rsidRPr="00930C7A">
        <w:t xml:space="preserve">accessed </w:t>
      </w:r>
      <w:r w:rsidRPr="00930C7A">
        <w:rPr>
          <w:rFonts w:eastAsia="SimSun"/>
          <w:lang w:eastAsia="zh-CN"/>
        </w:rPr>
        <w:t xml:space="preserve">September 5, 2020, </w:t>
      </w:r>
      <w:r w:rsidRPr="00930C7A">
        <w:t>https://www.sohu.com/a/312964367_362001?sec=wd.</w:t>
      </w:r>
    </w:p>
  </w:endnote>
  <w:endnote w:id="22">
    <w:p w14:paraId="4129731E" w14:textId="1149E01C" w:rsidR="009406AC" w:rsidRPr="00930C7A" w:rsidRDefault="009406AC" w:rsidP="00290188">
      <w:pPr>
        <w:pStyle w:val="Footnote"/>
      </w:pPr>
      <w:r w:rsidRPr="00930C7A">
        <w:rPr>
          <w:vertAlign w:val="superscript"/>
        </w:rPr>
        <w:endnoteRef/>
      </w:r>
      <w:r w:rsidRPr="00930C7A">
        <w:rPr>
          <w:vertAlign w:val="superscript"/>
        </w:rPr>
        <w:t xml:space="preserve"> </w:t>
      </w:r>
      <w:r w:rsidRPr="00930C7A">
        <w:t>Ucommune Group Holdings Limited, op. cit.</w:t>
      </w:r>
    </w:p>
  </w:endnote>
  <w:endnote w:id="23">
    <w:p w14:paraId="6E322E92" w14:textId="10C14DE8" w:rsidR="009406AC" w:rsidRPr="00930C7A" w:rsidRDefault="009406AC" w:rsidP="00290188">
      <w:pPr>
        <w:pStyle w:val="Footnote"/>
        <w:rPr>
          <w:rFonts w:eastAsiaTheme="minorEastAsia"/>
          <w:lang w:eastAsia="zh-CN"/>
        </w:rPr>
      </w:pPr>
      <w:r w:rsidRPr="00930C7A">
        <w:rPr>
          <w:vertAlign w:val="superscript"/>
        </w:rPr>
        <w:endnoteRef/>
      </w:r>
      <w:r w:rsidRPr="00930C7A">
        <w:rPr>
          <w:vertAlign w:val="superscript"/>
        </w:rPr>
        <w:t xml:space="preserve"> </w:t>
      </w:r>
      <w:r w:rsidRPr="00930C7A">
        <w:rPr>
          <w:rFonts w:eastAsia="SimSun"/>
          <w:lang w:eastAsia="zh-CN"/>
        </w:rPr>
        <w:t>“</w:t>
      </w:r>
      <w:r w:rsidRPr="00930C7A">
        <w:t>Ucommune Explores the Potential of Digital Marketing and Upgrades the Value of Scenes</w:t>
      </w:r>
      <w:r>
        <w:t>”</w:t>
      </w:r>
      <w:r w:rsidRPr="00930C7A">
        <w:rPr>
          <w:lang w:eastAsia="zh-CN"/>
        </w:rPr>
        <w:t xml:space="preserve"> [in Chinese], Sohu, January 21, 2019, </w:t>
      </w:r>
      <w:r w:rsidRPr="00930C7A">
        <w:t xml:space="preserve">accessed </w:t>
      </w:r>
      <w:r w:rsidRPr="00930C7A">
        <w:rPr>
          <w:rFonts w:eastAsia="SimSun"/>
          <w:lang w:eastAsia="zh-CN"/>
        </w:rPr>
        <w:t xml:space="preserve">September 14, 2020, </w:t>
      </w:r>
      <w:r w:rsidRPr="00930C7A">
        <w:t>https://www.sohu.com/a/290395045_362001.</w:t>
      </w:r>
    </w:p>
  </w:endnote>
  <w:endnote w:id="24">
    <w:p w14:paraId="16318DBA" w14:textId="62D674A7" w:rsidR="009406AC" w:rsidRPr="00930C7A" w:rsidRDefault="009406AC" w:rsidP="00290188">
      <w:pPr>
        <w:pStyle w:val="Footnote"/>
      </w:pPr>
      <w:r w:rsidRPr="00930C7A">
        <w:rPr>
          <w:vertAlign w:val="superscript"/>
        </w:rPr>
        <w:endnoteRef/>
      </w:r>
      <w:r w:rsidRPr="00930C7A">
        <w:rPr>
          <w:vertAlign w:val="superscript"/>
        </w:rPr>
        <w:t xml:space="preserve"> </w:t>
      </w:r>
      <w:r w:rsidRPr="005D07E8">
        <w:t xml:space="preserve">Huaye, </w:t>
      </w:r>
      <w:r w:rsidRPr="005D07E8">
        <w:rPr>
          <w:rFonts w:eastAsia="SimSun"/>
          <w:lang w:eastAsia="zh-CN"/>
        </w:rPr>
        <w:t>“</w:t>
      </w:r>
      <w:r w:rsidRPr="005D07E8">
        <w:t>The Co-working Space Contains Strong Power of Publicity? Marketing Based on the Scenes May Be the Secret Behind”</w:t>
      </w:r>
      <w:r w:rsidRPr="005D07E8">
        <w:rPr>
          <w:lang w:eastAsia="zh-CN"/>
        </w:rPr>
        <w:t xml:space="preserve"> [in Chinese], Sohu, August 10, 2020, </w:t>
      </w:r>
      <w:r w:rsidRPr="005D07E8">
        <w:t>accessed</w:t>
      </w:r>
      <w:r w:rsidRPr="005D07E8">
        <w:rPr>
          <w:rFonts w:eastAsia="SimSun"/>
          <w:lang w:eastAsia="zh-CN"/>
        </w:rPr>
        <w:t xml:space="preserve"> September 16, 2020, </w:t>
      </w:r>
      <w:r w:rsidRPr="005D07E8">
        <w:rPr>
          <w:lang w:eastAsia="zh-CN"/>
        </w:rPr>
        <w:t>https://www.sohu.com/a/412417703_120022955?_trans_=000014_bdss_dklzxbpcg.</w:t>
      </w:r>
    </w:p>
  </w:endnote>
  <w:endnote w:id="25">
    <w:p w14:paraId="37C08A71" w14:textId="58460D6C" w:rsidR="009406AC" w:rsidRPr="00930C7A" w:rsidRDefault="009406AC" w:rsidP="00290188">
      <w:pPr>
        <w:pStyle w:val="Footnote"/>
      </w:pPr>
      <w:r w:rsidRPr="00930C7A">
        <w:rPr>
          <w:vertAlign w:val="superscript"/>
        </w:rPr>
        <w:endnoteRef/>
      </w:r>
      <w:r w:rsidRPr="00930C7A">
        <w:t xml:space="preserve"> </w:t>
      </w:r>
      <w:r w:rsidRPr="00930C7A">
        <w:rPr>
          <w:rFonts w:eastAsia="SimSun"/>
          <w:lang w:eastAsia="zh-CN"/>
        </w:rPr>
        <w:t>“</w:t>
      </w:r>
      <w:r w:rsidRPr="00930C7A">
        <w:t>The Profit Model of Co-working Space Needs to Be Adjusted</w:t>
      </w:r>
      <w:r>
        <w:t>”</w:t>
      </w:r>
      <w:r w:rsidRPr="00930C7A">
        <w:t xml:space="preserve"> </w:t>
      </w:r>
      <w:r w:rsidRPr="00930C7A">
        <w:rPr>
          <w:lang w:eastAsia="zh-CN"/>
        </w:rPr>
        <w:t xml:space="preserve">[in Chinese], Sina, May 3, 2017, </w:t>
      </w:r>
      <w:r w:rsidRPr="00930C7A">
        <w:t xml:space="preserve">accessed </w:t>
      </w:r>
      <w:r w:rsidRPr="00930C7A">
        <w:rPr>
          <w:rFonts w:eastAsia="SimSun"/>
          <w:lang w:eastAsia="zh-CN"/>
        </w:rPr>
        <w:t xml:space="preserve">June 10, 2020, </w:t>
      </w:r>
      <w:r w:rsidRPr="00930C7A">
        <w:rPr>
          <w:lang w:eastAsia="zh-CN"/>
        </w:rPr>
        <w:t>http://finance.sina.com.cn/roll/2017-05-03/doc-ifyetwsm1832309.shtml.</w:t>
      </w:r>
    </w:p>
  </w:endnote>
  <w:endnote w:id="26">
    <w:p w14:paraId="708BD60F" w14:textId="4CD23705" w:rsidR="009406AC" w:rsidRPr="00930C7A" w:rsidRDefault="009406AC" w:rsidP="00290188">
      <w:pPr>
        <w:pStyle w:val="Footnote"/>
      </w:pPr>
      <w:r w:rsidRPr="00930C7A">
        <w:rPr>
          <w:vertAlign w:val="superscript"/>
        </w:rPr>
        <w:endnoteRef/>
      </w:r>
      <w:r w:rsidRPr="00930C7A">
        <w:t xml:space="preserve"> Ucommune Group Holdings Limited, op. cit.</w:t>
      </w:r>
    </w:p>
  </w:endnote>
  <w:endnote w:id="27">
    <w:p w14:paraId="3F9FE274" w14:textId="127DD183" w:rsidR="009406AC" w:rsidRPr="00930C7A" w:rsidRDefault="009406AC" w:rsidP="00DC6AA5">
      <w:pPr>
        <w:pStyle w:val="Footnote"/>
      </w:pPr>
      <w:r w:rsidRPr="00930C7A">
        <w:rPr>
          <w:vertAlign w:val="superscript"/>
        </w:rPr>
        <w:endnoteRef/>
      </w:r>
      <w:r w:rsidRPr="00930C7A">
        <w:rPr>
          <w:rFonts w:eastAsia="SimSun"/>
          <w:lang w:eastAsia="zh-CN"/>
        </w:rPr>
        <w:t xml:space="preserve"> Baoge, “</w:t>
      </w:r>
      <w:r w:rsidRPr="00930C7A">
        <w:t>How High Is the Vacancy Rate of Chinese Real Estate? The Answer Is Here</w:t>
      </w:r>
      <w:r>
        <w:t>”</w:t>
      </w:r>
      <w:r w:rsidRPr="00930C7A">
        <w:rPr>
          <w:lang w:eastAsia="zh-CN"/>
        </w:rPr>
        <w:t xml:space="preserve"> [in Chinese], Tencent, May 24, 2017, </w:t>
      </w:r>
      <w:r w:rsidRPr="00930C7A">
        <w:t>accessed</w:t>
      </w:r>
      <w:r w:rsidRPr="00930C7A">
        <w:rPr>
          <w:rFonts w:eastAsia="SimSun"/>
          <w:lang w:eastAsia="zh-CN"/>
        </w:rPr>
        <w:t xml:space="preserve"> August 5, 2020, </w:t>
      </w:r>
      <w:r w:rsidRPr="00930C7A">
        <w:rPr>
          <w:lang w:eastAsia="zh-CN"/>
        </w:rPr>
        <w:t>https://finance.qq.com/a/20170524/006846.htm.</w:t>
      </w:r>
    </w:p>
  </w:endnote>
  <w:endnote w:id="28">
    <w:p w14:paraId="73BF5048" w14:textId="77777777" w:rsidR="009406AC" w:rsidRPr="00930C7A" w:rsidRDefault="009406AC" w:rsidP="00D36125">
      <w:pPr>
        <w:pStyle w:val="Footnote"/>
        <w:rPr>
          <w:rFonts w:eastAsiaTheme="minorEastAsia"/>
          <w:lang w:eastAsia="zh-CN"/>
        </w:rPr>
      </w:pPr>
      <w:r w:rsidRPr="00930C7A">
        <w:rPr>
          <w:vertAlign w:val="superscript"/>
        </w:rPr>
        <w:endnoteRef/>
      </w:r>
      <w:r w:rsidRPr="00930C7A">
        <w:t xml:space="preserve"> </w:t>
      </w:r>
      <w:r w:rsidRPr="001F39AE">
        <w:rPr>
          <w:rFonts w:eastAsia="SimSun"/>
          <w:spacing w:val="-2"/>
          <w:lang w:eastAsia="zh-CN"/>
        </w:rPr>
        <w:t>Kathy Gurchiek, “</w:t>
      </w:r>
      <w:r w:rsidRPr="001F39AE">
        <w:rPr>
          <w:spacing w:val="-2"/>
        </w:rPr>
        <w:t>COVID-19 and Deciding Who Continues Working from Home</w:t>
      </w:r>
      <w:r w:rsidRPr="001F39AE">
        <w:rPr>
          <w:spacing w:val="-2"/>
          <w:lang w:eastAsia="zh-CN"/>
        </w:rPr>
        <w:t xml:space="preserve">,” SHRM, October 7, 2020, </w:t>
      </w:r>
      <w:r w:rsidRPr="001F39AE">
        <w:rPr>
          <w:spacing w:val="-2"/>
        </w:rPr>
        <w:t>accessed</w:t>
      </w:r>
      <w:r w:rsidRPr="001F39AE">
        <w:rPr>
          <w:rFonts w:eastAsia="SimSun"/>
          <w:spacing w:val="-2"/>
          <w:lang w:eastAsia="zh-CN"/>
        </w:rPr>
        <w:t xml:space="preserve"> September 20, 2020, </w:t>
      </w:r>
      <w:r w:rsidRPr="001F39AE">
        <w:rPr>
          <w:spacing w:val="-2"/>
        </w:rPr>
        <w:t>https://www.shrm.org/hr-today/news/hr-news/pages/covid19-and-deciding-who-continues-working-from-home.aspx.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_GB2312"/>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16712" w14:textId="77777777" w:rsidR="009406AC" w:rsidRDefault="009406AC" w:rsidP="00D75295">
      <w:r>
        <w:separator/>
      </w:r>
    </w:p>
  </w:footnote>
  <w:footnote w:type="continuationSeparator" w:id="0">
    <w:p w14:paraId="570A670A" w14:textId="77777777" w:rsidR="009406AC" w:rsidRDefault="009406AC"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B3C16" w14:textId="4FD78B45" w:rsidR="009406AC" w:rsidRPr="00C92CC4" w:rsidRDefault="009406A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7</w:t>
    </w:r>
    <w:r>
      <w:rPr>
        <w:rFonts w:ascii="Arial" w:hAnsi="Arial"/>
        <w:b/>
      </w:rPr>
      <w:fldChar w:fldCharType="end"/>
    </w:r>
    <w:r>
      <w:rPr>
        <w:rFonts w:ascii="Arial" w:hAnsi="Arial"/>
        <w:b/>
      </w:rPr>
      <w:tab/>
      <w:t>9B21M061</w:t>
    </w:r>
  </w:p>
  <w:p w14:paraId="51AD0A55" w14:textId="77777777" w:rsidR="009406AC" w:rsidRDefault="009406AC" w:rsidP="00D13667">
    <w:pPr>
      <w:pStyle w:val="Header"/>
      <w:tabs>
        <w:tab w:val="clear" w:pos="4680"/>
      </w:tabs>
      <w:rPr>
        <w:sz w:val="18"/>
        <w:szCs w:val="18"/>
      </w:rPr>
    </w:pPr>
  </w:p>
  <w:p w14:paraId="76723FE8" w14:textId="77777777" w:rsidR="009406AC" w:rsidRPr="00C92CC4" w:rsidRDefault="009406A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3CE1A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0CE5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20B0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806F7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2AFA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088F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ACBE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DC47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229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56C6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272265"/>
    <w:multiLevelType w:val="hybridMultilevel"/>
    <w:tmpl w:val="7BFCCDD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F2B17"/>
    <w:multiLevelType w:val="multilevel"/>
    <w:tmpl w:val="35AF2B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7D11A83"/>
    <w:multiLevelType w:val="multilevel"/>
    <w:tmpl w:val="37D11A8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AD6E06"/>
    <w:multiLevelType w:val="hybridMultilevel"/>
    <w:tmpl w:val="4D6C9AF2"/>
    <w:lvl w:ilvl="0" w:tplc="A5D8D4B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D5287"/>
    <w:multiLevelType w:val="hybridMultilevel"/>
    <w:tmpl w:val="D1B80FEC"/>
    <w:lvl w:ilvl="0" w:tplc="A5D8D4B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1661F"/>
    <w:multiLevelType w:val="hybridMultilevel"/>
    <w:tmpl w:val="0958B0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122E19"/>
    <w:multiLevelType w:val="hybridMultilevel"/>
    <w:tmpl w:val="6FF0DC22"/>
    <w:lvl w:ilvl="0" w:tplc="A5D8D4B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5"/>
  </w:num>
  <w:num w:numId="4">
    <w:abstractNumId w:val="26"/>
  </w:num>
  <w:num w:numId="5">
    <w:abstractNumId w:val="16"/>
  </w:num>
  <w:num w:numId="6">
    <w:abstractNumId w:val="24"/>
  </w:num>
  <w:num w:numId="7">
    <w:abstractNumId w:val="11"/>
  </w:num>
  <w:num w:numId="8">
    <w:abstractNumId w:val="28"/>
  </w:num>
  <w:num w:numId="9">
    <w:abstractNumId w:val="25"/>
  </w:num>
  <w:num w:numId="10">
    <w:abstractNumId w:val="12"/>
  </w:num>
  <w:num w:numId="11">
    <w:abstractNumId w:val="22"/>
  </w:num>
  <w:num w:numId="12">
    <w:abstractNumId w:val="2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14"/>
  </w:num>
  <w:num w:numId="24">
    <w:abstractNumId w:val="13"/>
  </w:num>
  <w:num w:numId="25">
    <w:abstractNumId w:val="19"/>
  </w:num>
  <w:num w:numId="26">
    <w:abstractNumId w:val="10"/>
  </w:num>
  <w:num w:numId="27">
    <w:abstractNumId w:val="17"/>
  </w:num>
  <w:num w:numId="28">
    <w:abstractNumId w:val="21"/>
  </w:num>
  <w:num w:numId="2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0CC"/>
    <w:rsid w:val="000046B4"/>
    <w:rsid w:val="00004C2F"/>
    <w:rsid w:val="00007929"/>
    <w:rsid w:val="0001003E"/>
    <w:rsid w:val="00010680"/>
    <w:rsid w:val="00010A0B"/>
    <w:rsid w:val="00010FC3"/>
    <w:rsid w:val="00011826"/>
    <w:rsid w:val="00013360"/>
    <w:rsid w:val="00015B58"/>
    <w:rsid w:val="00016759"/>
    <w:rsid w:val="00017F23"/>
    <w:rsid w:val="000216CE"/>
    <w:rsid w:val="00024ED4"/>
    <w:rsid w:val="00025DC7"/>
    <w:rsid w:val="000271D4"/>
    <w:rsid w:val="00027B48"/>
    <w:rsid w:val="000314ED"/>
    <w:rsid w:val="00031F77"/>
    <w:rsid w:val="00035F09"/>
    <w:rsid w:val="00036327"/>
    <w:rsid w:val="00036687"/>
    <w:rsid w:val="00040D6D"/>
    <w:rsid w:val="00041119"/>
    <w:rsid w:val="00043BE0"/>
    <w:rsid w:val="00044677"/>
    <w:rsid w:val="0004494E"/>
    <w:rsid w:val="00044ECC"/>
    <w:rsid w:val="00045A2E"/>
    <w:rsid w:val="00045BE8"/>
    <w:rsid w:val="00052004"/>
    <w:rsid w:val="000531D3"/>
    <w:rsid w:val="00053E95"/>
    <w:rsid w:val="000556E1"/>
    <w:rsid w:val="0005646B"/>
    <w:rsid w:val="000615D1"/>
    <w:rsid w:val="00062929"/>
    <w:rsid w:val="00062CE2"/>
    <w:rsid w:val="00065478"/>
    <w:rsid w:val="00067B81"/>
    <w:rsid w:val="00071E09"/>
    <w:rsid w:val="00071EBE"/>
    <w:rsid w:val="00073126"/>
    <w:rsid w:val="00074132"/>
    <w:rsid w:val="0008102D"/>
    <w:rsid w:val="00082C63"/>
    <w:rsid w:val="000850FD"/>
    <w:rsid w:val="00086B26"/>
    <w:rsid w:val="0009393C"/>
    <w:rsid w:val="000942D9"/>
    <w:rsid w:val="000947FB"/>
    <w:rsid w:val="00094C0E"/>
    <w:rsid w:val="000A0BF2"/>
    <w:rsid w:val="000A146D"/>
    <w:rsid w:val="000A1DBE"/>
    <w:rsid w:val="000A48E7"/>
    <w:rsid w:val="000A4B9E"/>
    <w:rsid w:val="000A57C4"/>
    <w:rsid w:val="000A5FB5"/>
    <w:rsid w:val="000B2CAB"/>
    <w:rsid w:val="000B4645"/>
    <w:rsid w:val="000B4F17"/>
    <w:rsid w:val="000B7BA5"/>
    <w:rsid w:val="000C0497"/>
    <w:rsid w:val="000C0865"/>
    <w:rsid w:val="000C112A"/>
    <w:rsid w:val="000C16F0"/>
    <w:rsid w:val="000C4D95"/>
    <w:rsid w:val="000C5A62"/>
    <w:rsid w:val="000C5D5F"/>
    <w:rsid w:val="000C6DB7"/>
    <w:rsid w:val="000D2A2F"/>
    <w:rsid w:val="000D7091"/>
    <w:rsid w:val="000E008E"/>
    <w:rsid w:val="000E018D"/>
    <w:rsid w:val="000E0E7F"/>
    <w:rsid w:val="000E2FD5"/>
    <w:rsid w:val="000E4B8D"/>
    <w:rsid w:val="000E74B6"/>
    <w:rsid w:val="000E7BD2"/>
    <w:rsid w:val="000F0C22"/>
    <w:rsid w:val="000F4465"/>
    <w:rsid w:val="000F55E2"/>
    <w:rsid w:val="000F6B09"/>
    <w:rsid w:val="000F6FDC"/>
    <w:rsid w:val="00100245"/>
    <w:rsid w:val="001020AF"/>
    <w:rsid w:val="00104564"/>
    <w:rsid w:val="00104567"/>
    <w:rsid w:val="001047E7"/>
    <w:rsid w:val="00104916"/>
    <w:rsid w:val="00104AA7"/>
    <w:rsid w:val="00107646"/>
    <w:rsid w:val="0010769E"/>
    <w:rsid w:val="0011060B"/>
    <w:rsid w:val="00115411"/>
    <w:rsid w:val="00115BF8"/>
    <w:rsid w:val="001245A7"/>
    <w:rsid w:val="001264FE"/>
    <w:rsid w:val="00126843"/>
    <w:rsid w:val="0012732D"/>
    <w:rsid w:val="00127BB0"/>
    <w:rsid w:val="00130324"/>
    <w:rsid w:val="00130DAD"/>
    <w:rsid w:val="00130FDA"/>
    <w:rsid w:val="0013250F"/>
    <w:rsid w:val="00132C6B"/>
    <w:rsid w:val="00132FB5"/>
    <w:rsid w:val="00135B69"/>
    <w:rsid w:val="00135B8B"/>
    <w:rsid w:val="00140524"/>
    <w:rsid w:val="00143F25"/>
    <w:rsid w:val="00144F09"/>
    <w:rsid w:val="00145718"/>
    <w:rsid w:val="001507D8"/>
    <w:rsid w:val="00151BB6"/>
    <w:rsid w:val="00151EC6"/>
    <w:rsid w:val="00152682"/>
    <w:rsid w:val="001531BA"/>
    <w:rsid w:val="00154ADA"/>
    <w:rsid w:val="00154FC9"/>
    <w:rsid w:val="001600AF"/>
    <w:rsid w:val="00165F02"/>
    <w:rsid w:val="00167488"/>
    <w:rsid w:val="00167F3E"/>
    <w:rsid w:val="00174464"/>
    <w:rsid w:val="00174F72"/>
    <w:rsid w:val="00176192"/>
    <w:rsid w:val="00176DB0"/>
    <w:rsid w:val="001771E9"/>
    <w:rsid w:val="00177955"/>
    <w:rsid w:val="00182A2E"/>
    <w:rsid w:val="00184A93"/>
    <w:rsid w:val="00186CE0"/>
    <w:rsid w:val="001877CE"/>
    <w:rsid w:val="001901C0"/>
    <w:rsid w:val="001902F2"/>
    <w:rsid w:val="0019241A"/>
    <w:rsid w:val="00192A18"/>
    <w:rsid w:val="00194119"/>
    <w:rsid w:val="001972B7"/>
    <w:rsid w:val="001A1BD2"/>
    <w:rsid w:val="001A1BFA"/>
    <w:rsid w:val="001A22D1"/>
    <w:rsid w:val="001A2D91"/>
    <w:rsid w:val="001A5351"/>
    <w:rsid w:val="001A6066"/>
    <w:rsid w:val="001A752D"/>
    <w:rsid w:val="001A757E"/>
    <w:rsid w:val="001B0EE5"/>
    <w:rsid w:val="001B2910"/>
    <w:rsid w:val="001B5032"/>
    <w:rsid w:val="001B61DE"/>
    <w:rsid w:val="001B75EA"/>
    <w:rsid w:val="001C07FC"/>
    <w:rsid w:val="001C16FA"/>
    <w:rsid w:val="001C2A3A"/>
    <w:rsid w:val="001C33A0"/>
    <w:rsid w:val="001C3DC3"/>
    <w:rsid w:val="001C486C"/>
    <w:rsid w:val="001C4A3B"/>
    <w:rsid w:val="001C536F"/>
    <w:rsid w:val="001C6AC6"/>
    <w:rsid w:val="001C7777"/>
    <w:rsid w:val="001D04E9"/>
    <w:rsid w:val="001D12C3"/>
    <w:rsid w:val="001D344B"/>
    <w:rsid w:val="001D3F72"/>
    <w:rsid w:val="001D66A6"/>
    <w:rsid w:val="001D6F6C"/>
    <w:rsid w:val="001E333F"/>
    <w:rsid w:val="001E364F"/>
    <w:rsid w:val="001E6799"/>
    <w:rsid w:val="001F1CF4"/>
    <w:rsid w:val="001F39AE"/>
    <w:rsid w:val="001F3A45"/>
    <w:rsid w:val="001F4222"/>
    <w:rsid w:val="00200080"/>
    <w:rsid w:val="00203AA1"/>
    <w:rsid w:val="00203BFC"/>
    <w:rsid w:val="00203F55"/>
    <w:rsid w:val="002057B0"/>
    <w:rsid w:val="002060B8"/>
    <w:rsid w:val="0020646D"/>
    <w:rsid w:val="00206EE9"/>
    <w:rsid w:val="00213E98"/>
    <w:rsid w:val="00222FB3"/>
    <w:rsid w:val="00223EA3"/>
    <w:rsid w:val="00230150"/>
    <w:rsid w:val="0023081A"/>
    <w:rsid w:val="00231AB1"/>
    <w:rsid w:val="00233111"/>
    <w:rsid w:val="00233D95"/>
    <w:rsid w:val="00234D39"/>
    <w:rsid w:val="002351EB"/>
    <w:rsid w:val="002370BF"/>
    <w:rsid w:val="00237DCA"/>
    <w:rsid w:val="00242D7A"/>
    <w:rsid w:val="00251FFC"/>
    <w:rsid w:val="00253ACC"/>
    <w:rsid w:val="00254667"/>
    <w:rsid w:val="00265FA8"/>
    <w:rsid w:val="00267EB1"/>
    <w:rsid w:val="002730B4"/>
    <w:rsid w:val="002822A6"/>
    <w:rsid w:val="00286504"/>
    <w:rsid w:val="00290188"/>
    <w:rsid w:val="002904BF"/>
    <w:rsid w:val="002953F3"/>
    <w:rsid w:val="002956A9"/>
    <w:rsid w:val="00296194"/>
    <w:rsid w:val="00296269"/>
    <w:rsid w:val="00297BC0"/>
    <w:rsid w:val="002A242E"/>
    <w:rsid w:val="002A3D88"/>
    <w:rsid w:val="002A6839"/>
    <w:rsid w:val="002A76AF"/>
    <w:rsid w:val="002A7805"/>
    <w:rsid w:val="002A7E9C"/>
    <w:rsid w:val="002B16FD"/>
    <w:rsid w:val="002B1DF9"/>
    <w:rsid w:val="002B40FF"/>
    <w:rsid w:val="002B6B2B"/>
    <w:rsid w:val="002C25EE"/>
    <w:rsid w:val="002C4E29"/>
    <w:rsid w:val="002C72E3"/>
    <w:rsid w:val="002D2711"/>
    <w:rsid w:val="002E431B"/>
    <w:rsid w:val="002F137F"/>
    <w:rsid w:val="002F460C"/>
    <w:rsid w:val="002F48D6"/>
    <w:rsid w:val="002F5098"/>
    <w:rsid w:val="002F6590"/>
    <w:rsid w:val="00300DB8"/>
    <w:rsid w:val="00302626"/>
    <w:rsid w:val="00304A40"/>
    <w:rsid w:val="003051F5"/>
    <w:rsid w:val="00307DC1"/>
    <w:rsid w:val="00310F4A"/>
    <w:rsid w:val="003121AB"/>
    <w:rsid w:val="0031319F"/>
    <w:rsid w:val="00314FDA"/>
    <w:rsid w:val="00317391"/>
    <w:rsid w:val="003174A8"/>
    <w:rsid w:val="00323812"/>
    <w:rsid w:val="0032504D"/>
    <w:rsid w:val="00326208"/>
    <w:rsid w:val="00326216"/>
    <w:rsid w:val="00327E89"/>
    <w:rsid w:val="00331A52"/>
    <w:rsid w:val="00332527"/>
    <w:rsid w:val="003337D8"/>
    <w:rsid w:val="00334B79"/>
    <w:rsid w:val="00336580"/>
    <w:rsid w:val="0034070B"/>
    <w:rsid w:val="003422F3"/>
    <w:rsid w:val="003427F2"/>
    <w:rsid w:val="00346964"/>
    <w:rsid w:val="00347EA2"/>
    <w:rsid w:val="003515A2"/>
    <w:rsid w:val="00354899"/>
    <w:rsid w:val="00355942"/>
    <w:rsid w:val="00355FD6"/>
    <w:rsid w:val="00357542"/>
    <w:rsid w:val="00363E32"/>
    <w:rsid w:val="00364A5C"/>
    <w:rsid w:val="00366F47"/>
    <w:rsid w:val="00367AE9"/>
    <w:rsid w:val="00367BFC"/>
    <w:rsid w:val="00372362"/>
    <w:rsid w:val="00372CFA"/>
    <w:rsid w:val="00373FB1"/>
    <w:rsid w:val="00377818"/>
    <w:rsid w:val="00380730"/>
    <w:rsid w:val="003856E7"/>
    <w:rsid w:val="00386F17"/>
    <w:rsid w:val="003903E5"/>
    <w:rsid w:val="00390661"/>
    <w:rsid w:val="003920C5"/>
    <w:rsid w:val="003928AF"/>
    <w:rsid w:val="00396C76"/>
    <w:rsid w:val="00397984"/>
    <w:rsid w:val="003A3674"/>
    <w:rsid w:val="003A73FD"/>
    <w:rsid w:val="003A785B"/>
    <w:rsid w:val="003B1244"/>
    <w:rsid w:val="003B309E"/>
    <w:rsid w:val="003B30D8"/>
    <w:rsid w:val="003B546F"/>
    <w:rsid w:val="003B78C7"/>
    <w:rsid w:val="003B7EC2"/>
    <w:rsid w:val="003B7EF2"/>
    <w:rsid w:val="003C1775"/>
    <w:rsid w:val="003C3067"/>
    <w:rsid w:val="003C32AB"/>
    <w:rsid w:val="003C3FA4"/>
    <w:rsid w:val="003C4DC3"/>
    <w:rsid w:val="003C54A3"/>
    <w:rsid w:val="003C57B2"/>
    <w:rsid w:val="003C598B"/>
    <w:rsid w:val="003D0BA1"/>
    <w:rsid w:val="003D4F7F"/>
    <w:rsid w:val="003D650F"/>
    <w:rsid w:val="003D7BF8"/>
    <w:rsid w:val="003D7CD1"/>
    <w:rsid w:val="003D7E22"/>
    <w:rsid w:val="003E4565"/>
    <w:rsid w:val="003E783A"/>
    <w:rsid w:val="003F2B0C"/>
    <w:rsid w:val="003F2F45"/>
    <w:rsid w:val="003F3EF8"/>
    <w:rsid w:val="003F6FE8"/>
    <w:rsid w:val="00403ED3"/>
    <w:rsid w:val="00404A0B"/>
    <w:rsid w:val="00404DDB"/>
    <w:rsid w:val="004105B2"/>
    <w:rsid w:val="0041145A"/>
    <w:rsid w:val="00412900"/>
    <w:rsid w:val="00413A63"/>
    <w:rsid w:val="00415707"/>
    <w:rsid w:val="00416633"/>
    <w:rsid w:val="004175D6"/>
    <w:rsid w:val="004221E4"/>
    <w:rsid w:val="004247C2"/>
    <w:rsid w:val="00425354"/>
    <w:rsid w:val="004258D6"/>
    <w:rsid w:val="004273F8"/>
    <w:rsid w:val="00427E23"/>
    <w:rsid w:val="00432CC5"/>
    <w:rsid w:val="00434614"/>
    <w:rsid w:val="004355A3"/>
    <w:rsid w:val="004378B7"/>
    <w:rsid w:val="004412BC"/>
    <w:rsid w:val="004436BA"/>
    <w:rsid w:val="00443E8F"/>
    <w:rsid w:val="004463D5"/>
    <w:rsid w:val="00446546"/>
    <w:rsid w:val="00450317"/>
    <w:rsid w:val="00452769"/>
    <w:rsid w:val="0045354F"/>
    <w:rsid w:val="00454FA7"/>
    <w:rsid w:val="004554E8"/>
    <w:rsid w:val="00456725"/>
    <w:rsid w:val="00456DA2"/>
    <w:rsid w:val="004573DA"/>
    <w:rsid w:val="00460280"/>
    <w:rsid w:val="00460BF7"/>
    <w:rsid w:val="00460C47"/>
    <w:rsid w:val="00464DB4"/>
    <w:rsid w:val="00464FF9"/>
    <w:rsid w:val="00465348"/>
    <w:rsid w:val="00465F47"/>
    <w:rsid w:val="00467B6D"/>
    <w:rsid w:val="0047026E"/>
    <w:rsid w:val="00472B2B"/>
    <w:rsid w:val="0047408A"/>
    <w:rsid w:val="004751B8"/>
    <w:rsid w:val="004778C2"/>
    <w:rsid w:val="004873B1"/>
    <w:rsid w:val="004970BD"/>
    <w:rsid w:val="004979A5"/>
    <w:rsid w:val="004A137A"/>
    <w:rsid w:val="004A21EF"/>
    <w:rsid w:val="004A25E0"/>
    <w:rsid w:val="004A3A92"/>
    <w:rsid w:val="004A4442"/>
    <w:rsid w:val="004A50E2"/>
    <w:rsid w:val="004A5A2E"/>
    <w:rsid w:val="004B0196"/>
    <w:rsid w:val="004B1CCB"/>
    <w:rsid w:val="004B3A9C"/>
    <w:rsid w:val="004B632F"/>
    <w:rsid w:val="004C04F5"/>
    <w:rsid w:val="004C0935"/>
    <w:rsid w:val="004C3A77"/>
    <w:rsid w:val="004C601C"/>
    <w:rsid w:val="004C73A6"/>
    <w:rsid w:val="004D01E3"/>
    <w:rsid w:val="004D0761"/>
    <w:rsid w:val="004D1205"/>
    <w:rsid w:val="004D1834"/>
    <w:rsid w:val="004D3FB1"/>
    <w:rsid w:val="004D6AAA"/>
    <w:rsid w:val="004D6F21"/>
    <w:rsid w:val="004D73A5"/>
    <w:rsid w:val="004E434A"/>
    <w:rsid w:val="004E4896"/>
    <w:rsid w:val="004E4935"/>
    <w:rsid w:val="004E6754"/>
    <w:rsid w:val="004F289B"/>
    <w:rsid w:val="004F73CB"/>
    <w:rsid w:val="005006AC"/>
    <w:rsid w:val="00501E37"/>
    <w:rsid w:val="00505424"/>
    <w:rsid w:val="005105AF"/>
    <w:rsid w:val="00511152"/>
    <w:rsid w:val="005123C4"/>
    <w:rsid w:val="00515EC5"/>
    <w:rsid w:val="005160F1"/>
    <w:rsid w:val="00522E8B"/>
    <w:rsid w:val="00523E7F"/>
    <w:rsid w:val="00524AAB"/>
    <w:rsid w:val="00524F2F"/>
    <w:rsid w:val="00525B26"/>
    <w:rsid w:val="00527E5C"/>
    <w:rsid w:val="005304DC"/>
    <w:rsid w:val="00531579"/>
    <w:rsid w:val="00531694"/>
    <w:rsid w:val="00532CF5"/>
    <w:rsid w:val="005346E2"/>
    <w:rsid w:val="00536985"/>
    <w:rsid w:val="00536E6F"/>
    <w:rsid w:val="00543841"/>
    <w:rsid w:val="00543D24"/>
    <w:rsid w:val="00545F8B"/>
    <w:rsid w:val="005528CB"/>
    <w:rsid w:val="00554C54"/>
    <w:rsid w:val="00556127"/>
    <w:rsid w:val="00556AB0"/>
    <w:rsid w:val="00557895"/>
    <w:rsid w:val="005633D7"/>
    <w:rsid w:val="00565FE3"/>
    <w:rsid w:val="00566771"/>
    <w:rsid w:val="0057046B"/>
    <w:rsid w:val="005738FB"/>
    <w:rsid w:val="00573C2A"/>
    <w:rsid w:val="00577E8E"/>
    <w:rsid w:val="00580D50"/>
    <w:rsid w:val="00580E2A"/>
    <w:rsid w:val="00581CB5"/>
    <w:rsid w:val="00581E2E"/>
    <w:rsid w:val="00582A46"/>
    <w:rsid w:val="00584F15"/>
    <w:rsid w:val="00585521"/>
    <w:rsid w:val="00592483"/>
    <w:rsid w:val="0059514B"/>
    <w:rsid w:val="005A18B1"/>
    <w:rsid w:val="005A19C4"/>
    <w:rsid w:val="005A1B0F"/>
    <w:rsid w:val="005A32AD"/>
    <w:rsid w:val="005A4E09"/>
    <w:rsid w:val="005A5FA8"/>
    <w:rsid w:val="005B31B5"/>
    <w:rsid w:val="005B3FF7"/>
    <w:rsid w:val="005B4B76"/>
    <w:rsid w:val="005B4BC7"/>
    <w:rsid w:val="005B4CE6"/>
    <w:rsid w:val="005B57E3"/>
    <w:rsid w:val="005B5EFE"/>
    <w:rsid w:val="005B5F07"/>
    <w:rsid w:val="005C5B6F"/>
    <w:rsid w:val="005D078C"/>
    <w:rsid w:val="005D07E8"/>
    <w:rsid w:val="005D61E1"/>
    <w:rsid w:val="005D61EB"/>
    <w:rsid w:val="005D7A16"/>
    <w:rsid w:val="005E5A35"/>
    <w:rsid w:val="005F2E8F"/>
    <w:rsid w:val="005F6EAB"/>
    <w:rsid w:val="005F7B9D"/>
    <w:rsid w:val="005F7FC9"/>
    <w:rsid w:val="00600017"/>
    <w:rsid w:val="00601899"/>
    <w:rsid w:val="00611807"/>
    <w:rsid w:val="0061225C"/>
    <w:rsid w:val="00613A7A"/>
    <w:rsid w:val="006163F7"/>
    <w:rsid w:val="006164D7"/>
    <w:rsid w:val="00616620"/>
    <w:rsid w:val="006178D1"/>
    <w:rsid w:val="00622BD4"/>
    <w:rsid w:val="00623F16"/>
    <w:rsid w:val="00627C63"/>
    <w:rsid w:val="006307F9"/>
    <w:rsid w:val="00630A37"/>
    <w:rsid w:val="00632B3E"/>
    <w:rsid w:val="0063307A"/>
    <w:rsid w:val="0063350B"/>
    <w:rsid w:val="00634A0D"/>
    <w:rsid w:val="00635CDB"/>
    <w:rsid w:val="00641A85"/>
    <w:rsid w:val="00642544"/>
    <w:rsid w:val="0064419C"/>
    <w:rsid w:val="006506E2"/>
    <w:rsid w:val="00650F1D"/>
    <w:rsid w:val="00651AF2"/>
    <w:rsid w:val="00652606"/>
    <w:rsid w:val="0065631A"/>
    <w:rsid w:val="006566D4"/>
    <w:rsid w:val="006567D1"/>
    <w:rsid w:val="00663ADD"/>
    <w:rsid w:val="006646F5"/>
    <w:rsid w:val="006723F4"/>
    <w:rsid w:val="00672CBA"/>
    <w:rsid w:val="00674882"/>
    <w:rsid w:val="006906A5"/>
    <w:rsid w:val="006908F9"/>
    <w:rsid w:val="0069292C"/>
    <w:rsid w:val="00693B99"/>
    <w:rsid w:val="0069435B"/>
    <w:rsid w:val="006946EE"/>
    <w:rsid w:val="00694707"/>
    <w:rsid w:val="0069526D"/>
    <w:rsid w:val="006A10B7"/>
    <w:rsid w:val="006A1B6A"/>
    <w:rsid w:val="006A58A9"/>
    <w:rsid w:val="006A606D"/>
    <w:rsid w:val="006A7554"/>
    <w:rsid w:val="006A7723"/>
    <w:rsid w:val="006B1A6B"/>
    <w:rsid w:val="006B479F"/>
    <w:rsid w:val="006B7BFD"/>
    <w:rsid w:val="006C0371"/>
    <w:rsid w:val="006C08B6"/>
    <w:rsid w:val="006C0B1A"/>
    <w:rsid w:val="006C1C25"/>
    <w:rsid w:val="006C348C"/>
    <w:rsid w:val="006C5088"/>
    <w:rsid w:val="006C6065"/>
    <w:rsid w:val="006C7F9F"/>
    <w:rsid w:val="006D028A"/>
    <w:rsid w:val="006D092A"/>
    <w:rsid w:val="006D4CB8"/>
    <w:rsid w:val="006D6D66"/>
    <w:rsid w:val="006E0EEE"/>
    <w:rsid w:val="006E16E7"/>
    <w:rsid w:val="006E2F6D"/>
    <w:rsid w:val="006E30CE"/>
    <w:rsid w:val="006E33A1"/>
    <w:rsid w:val="006E4819"/>
    <w:rsid w:val="006E5658"/>
    <w:rsid w:val="006E58F6"/>
    <w:rsid w:val="006E77E1"/>
    <w:rsid w:val="006F131D"/>
    <w:rsid w:val="006F3C18"/>
    <w:rsid w:val="006F69B0"/>
    <w:rsid w:val="00706FF7"/>
    <w:rsid w:val="007110EA"/>
    <w:rsid w:val="00711642"/>
    <w:rsid w:val="007135C1"/>
    <w:rsid w:val="00716A45"/>
    <w:rsid w:val="00716DF3"/>
    <w:rsid w:val="00717930"/>
    <w:rsid w:val="007320E8"/>
    <w:rsid w:val="0073289D"/>
    <w:rsid w:val="0073391C"/>
    <w:rsid w:val="00733A88"/>
    <w:rsid w:val="007355A6"/>
    <w:rsid w:val="00737A04"/>
    <w:rsid w:val="007402CB"/>
    <w:rsid w:val="007406A1"/>
    <w:rsid w:val="007411F1"/>
    <w:rsid w:val="00741B4A"/>
    <w:rsid w:val="007447C8"/>
    <w:rsid w:val="00744A5A"/>
    <w:rsid w:val="00747D42"/>
    <w:rsid w:val="00747E14"/>
    <w:rsid w:val="007504FE"/>
    <w:rsid w:val="007507C6"/>
    <w:rsid w:val="00751E0B"/>
    <w:rsid w:val="00752BCD"/>
    <w:rsid w:val="00752E27"/>
    <w:rsid w:val="007538C5"/>
    <w:rsid w:val="00762E83"/>
    <w:rsid w:val="00763DD1"/>
    <w:rsid w:val="0076680F"/>
    <w:rsid w:val="00766DA1"/>
    <w:rsid w:val="00767226"/>
    <w:rsid w:val="007737F3"/>
    <w:rsid w:val="007749E7"/>
    <w:rsid w:val="00774A28"/>
    <w:rsid w:val="00775F6C"/>
    <w:rsid w:val="00776A25"/>
    <w:rsid w:val="007805F9"/>
    <w:rsid w:val="00780D94"/>
    <w:rsid w:val="00782C4D"/>
    <w:rsid w:val="00784FE8"/>
    <w:rsid w:val="0078582A"/>
    <w:rsid w:val="007866A6"/>
    <w:rsid w:val="00787FC0"/>
    <w:rsid w:val="00790034"/>
    <w:rsid w:val="0079072E"/>
    <w:rsid w:val="00792C55"/>
    <w:rsid w:val="007934B4"/>
    <w:rsid w:val="00797311"/>
    <w:rsid w:val="007A130D"/>
    <w:rsid w:val="007A2A7B"/>
    <w:rsid w:val="007A421C"/>
    <w:rsid w:val="007A49B7"/>
    <w:rsid w:val="007A53CB"/>
    <w:rsid w:val="007B1990"/>
    <w:rsid w:val="007B31FA"/>
    <w:rsid w:val="007B4EE3"/>
    <w:rsid w:val="007B6E79"/>
    <w:rsid w:val="007C0556"/>
    <w:rsid w:val="007C7448"/>
    <w:rsid w:val="007D1A2D"/>
    <w:rsid w:val="007D1F30"/>
    <w:rsid w:val="007D32E6"/>
    <w:rsid w:val="007D35B7"/>
    <w:rsid w:val="007D368F"/>
    <w:rsid w:val="007D4102"/>
    <w:rsid w:val="007D5CD8"/>
    <w:rsid w:val="007E0559"/>
    <w:rsid w:val="007E0A4C"/>
    <w:rsid w:val="007E0AD1"/>
    <w:rsid w:val="007E1F82"/>
    <w:rsid w:val="007E2417"/>
    <w:rsid w:val="007E54A7"/>
    <w:rsid w:val="007E5EED"/>
    <w:rsid w:val="007F36A6"/>
    <w:rsid w:val="007F43B7"/>
    <w:rsid w:val="008010C3"/>
    <w:rsid w:val="008012C3"/>
    <w:rsid w:val="00802082"/>
    <w:rsid w:val="00803B00"/>
    <w:rsid w:val="00805DA7"/>
    <w:rsid w:val="00810125"/>
    <w:rsid w:val="00811135"/>
    <w:rsid w:val="00811237"/>
    <w:rsid w:val="00811B9A"/>
    <w:rsid w:val="00811DC1"/>
    <w:rsid w:val="008155B7"/>
    <w:rsid w:val="00815F05"/>
    <w:rsid w:val="008165C8"/>
    <w:rsid w:val="00817880"/>
    <w:rsid w:val="00821FFC"/>
    <w:rsid w:val="00825000"/>
    <w:rsid w:val="008267B7"/>
    <w:rsid w:val="00826F4A"/>
    <w:rsid w:val="008271CA"/>
    <w:rsid w:val="0083002D"/>
    <w:rsid w:val="00834076"/>
    <w:rsid w:val="00837630"/>
    <w:rsid w:val="00840EE9"/>
    <w:rsid w:val="0084397A"/>
    <w:rsid w:val="00843DD3"/>
    <w:rsid w:val="00844CE9"/>
    <w:rsid w:val="008454E2"/>
    <w:rsid w:val="008467D5"/>
    <w:rsid w:val="008476E0"/>
    <w:rsid w:val="00854CB1"/>
    <w:rsid w:val="008554AA"/>
    <w:rsid w:val="00855AF4"/>
    <w:rsid w:val="00857E65"/>
    <w:rsid w:val="0086320D"/>
    <w:rsid w:val="008636CC"/>
    <w:rsid w:val="0086417B"/>
    <w:rsid w:val="00864339"/>
    <w:rsid w:val="00866A20"/>
    <w:rsid w:val="008671F4"/>
    <w:rsid w:val="00867338"/>
    <w:rsid w:val="008743A5"/>
    <w:rsid w:val="00875F4F"/>
    <w:rsid w:val="00880B13"/>
    <w:rsid w:val="00884FBC"/>
    <w:rsid w:val="00885D36"/>
    <w:rsid w:val="00885F73"/>
    <w:rsid w:val="00887FF1"/>
    <w:rsid w:val="008906E1"/>
    <w:rsid w:val="008908DF"/>
    <w:rsid w:val="0089141C"/>
    <w:rsid w:val="008927B1"/>
    <w:rsid w:val="008931F1"/>
    <w:rsid w:val="00893BBC"/>
    <w:rsid w:val="008941FA"/>
    <w:rsid w:val="0089633A"/>
    <w:rsid w:val="008A001A"/>
    <w:rsid w:val="008A3BB4"/>
    <w:rsid w:val="008A4222"/>
    <w:rsid w:val="008A4DC4"/>
    <w:rsid w:val="008A5F7C"/>
    <w:rsid w:val="008A77FF"/>
    <w:rsid w:val="008B0E76"/>
    <w:rsid w:val="008B11CF"/>
    <w:rsid w:val="008B31D9"/>
    <w:rsid w:val="008B438C"/>
    <w:rsid w:val="008B7D25"/>
    <w:rsid w:val="008C2FCC"/>
    <w:rsid w:val="008C3246"/>
    <w:rsid w:val="008C4E1B"/>
    <w:rsid w:val="008C610A"/>
    <w:rsid w:val="008D06CA"/>
    <w:rsid w:val="008D09C2"/>
    <w:rsid w:val="008D0A70"/>
    <w:rsid w:val="008D0A85"/>
    <w:rsid w:val="008D0AB6"/>
    <w:rsid w:val="008D2225"/>
    <w:rsid w:val="008D3A46"/>
    <w:rsid w:val="008D3AEE"/>
    <w:rsid w:val="008D697A"/>
    <w:rsid w:val="008E142F"/>
    <w:rsid w:val="008E2858"/>
    <w:rsid w:val="008E458B"/>
    <w:rsid w:val="008E784F"/>
    <w:rsid w:val="008F011B"/>
    <w:rsid w:val="008F036E"/>
    <w:rsid w:val="008F0CAD"/>
    <w:rsid w:val="008F2385"/>
    <w:rsid w:val="0090239A"/>
    <w:rsid w:val="0090314E"/>
    <w:rsid w:val="00906603"/>
    <w:rsid w:val="009067A4"/>
    <w:rsid w:val="00906B4F"/>
    <w:rsid w:val="00910447"/>
    <w:rsid w:val="00910E95"/>
    <w:rsid w:val="00912972"/>
    <w:rsid w:val="00913432"/>
    <w:rsid w:val="009146FF"/>
    <w:rsid w:val="00915C56"/>
    <w:rsid w:val="009170CC"/>
    <w:rsid w:val="00927260"/>
    <w:rsid w:val="00930885"/>
    <w:rsid w:val="00930C7A"/>
    <w:rsid w:val="00933D68"/>
    <w:rsid w:val="009340DB"/>
    <w:rsid w:val="009406AC"/>
    <w:rsid w:val="00940D00"/>
    <w:rsid w:val="00943AEC"/>
    <w:rsid w:val="0094618C"/>
    <w:rsid w:val="009462F6"/>
    <w:rsid w:val="0094655B"/>
    <w:rsid w:val="00946767"/>
    <w:rsid w:val="00947A19"/>
    <w:rsid w:val="0095297F"/>
    <w:rsid w:val="00954342"/>
    <w:rsid w:val="0095484E"/>
    <w:rsid w:val="00955471"/>
    <w:rsid w:val="0095684B"/>
    <w:rsid w:val="00963B78"/>
    <w:rsid w:val="009642B9"/>
    <w:rsid w:val="0096556A"/>
    <w:rsid w:val="00965819"/>
    <w:rsid w:val="00965EE6"/>
    <w:rsid w:val="00972004"/>
    <w:rsid w:val="00972498"/>
    <w:rsid w:val="00972C56"/>
    <w:rsid w:val="0097481F"/>
    <w:rsid w:val="00974CC6"/>
    <w:rsid w:val="00976AD4"/>
    <w:rsid w:val="00980415"/>
    <w:rsid w:val="009809D5"/>
    <w:rsid w:val="00980A5D"/>
    <w:rsid w:val="0098330B"/>
    <w:rsid w:val="00986068"/>
    <w:rsid w:val="00986DFB"/>
    <w:rsid w:val="00987A9D"/>
    <w:rsid w:val="00990BB6"/>
    <w:rsid w:val="00991E4F"/>
    <w:rsid w:val="00992705"/>
    <w:rsid w:val="00995547"/>
    <w:rsid w:val="00996C28"/>
    <w:rsid w:val="009A312F"/>
    <w:rsid w:val="009A5348"/>
    <w:rsid w:val="009A73D8"/>
    <w:rsid w:val="009B0AB7"/>
    <w:rsid w:val="009B47BA"/>
    <w:rsid w:val="009B78E1"/>
    <w:rsid w:val="009C327A"/>
    <w:rsid w:val="009C3A77"/>
    <w:rsid w:val="009C76D5"/>
    <w:rsid w:val="009D1F7C"/>
    <w:rsid w:val="009D4143"/>
    <w:rsid w:val="009D61E7"/>
    <w:rsid w:val="009E3A33"/>
    <w:rsid w:val="009E686F"/>
    <w:rsid w:val="009E7326"/>
    <w:rsid w:val="009E75C9"/>
    <w:rsid w:val="009F13F8"/>
    <w:rsid w:val="009F3B65"/>
    <w:rsid w:val="009F53AC"/>
    <w:rsid w:val="009F731E"/>
    <w:rsid w:val="009F7AA4"/>
    <w:rsid w:val="009F7F2F"/>
    <w:rsid w:val="00A00ACC"/>
    <w:rsid w:val="00A07449"/>
    <w:rsid w:val="00A10AD7"/>
    <w:rsid w:val="00A12504"/>
    <w:rsid w:val="00A13DF4"/>
    <w:rsid w:val="00A2044D"/>
    <w:rsid w:val="00A2346C"/>
    <w:rsid w:val="00A266AE"/>
    <w:rsid w:val="00A309D9"/>
    <w:rsid w:val="00A31F44"/>
    <w:rsid w:val="00A320B7"/>
    <w:rsid w:val="00A323B0"/>
    <w:rsid w:val="00A3458C"/>
    <w:rsid w:val="00A35460"/>
    <w:rsid w:val="00A368DA"/>
    <w:rsid w:val="00A36BFF"/>
    <w:rsid w:val="00A43275"/>
    <w:rsid w:val="00A436B3"/>
    <w:rsid w:val="00A47951"/>
    <w:rsid w:val="00A5346F"/>
    <w:rsid w:val="00A559DB"/>
    <w:rsid w:val="00A56200"/>
    <w:rsid w:val="00A569EA"/>
    <w:rsid w:val="00A604D0"/>
    <w:rsid w:val="00A606E5"/>
    <w:rsid w:val="00A61A48"/>
    <w:rsid w:val="00A61D32"/>
    <w:rsid w:val="00A646CE"/>
    <w:rsid w:val="00A662DA"/>
    <w:rsid w:val="00A676A0"/>
    <w:rsid w:val="00A67A61"/>
    <w:rsid w:val="00A70720"/>
    <w:rsid w:val="00A72030"/>
    <w:rsid w:val="00A74976"/>
    <w:rsid w:val="00A77A3B"/>
    <w:rsid w:val="00A80C00"/>
    <w:rsid w:val="00A85A6C"/>
    <w:rsid w:val="00A907A2"/>
    <w:rsid w:val="00A9413C"/>
    <w:rsid w:val="00A953BB"/>
    <w:rsid w:val="00AA4879"/>
    <w:rsid w:val="00AA70D6"/>
    <w:rsid w:val="00AB377C"/>
    <w:rsid w:val="00AB4817"/>
    <w:rsid w:val="00AB63FD"/>
    <w:rsid w:val="00AD1D35"/>
    <w:rsid w:val="00AD6536"/>
    <w:rsid w:val="00AE0F2A"/>
    <w:rsid w:val="00AE201E"/>
    <w:rsid w:val="00AE5DF6"/>
    <w:rsid w:val="00AF25DD"/>
    <w:rsid w:val="00AF35FC"/>
    <w:rsid w:val="00AF5556"/>
    <w:rsid w:val="00B019C9"/>
    <w:rsid w:val="00B02261"/>
    <w:rsid w:val="00B03639"/>
    <w:rsid w:val="00B062B3"/>
    <w:rsid w:val="00B0652A"/>
    <w:rsid w:val="00B110B8"/>
    <w:rsid w:val="00B116E8"/>
    <w:rsid w:val="00B12D8C"/>
    <w:rsid w:val="00B140E4"/>
    <w:rsid w:val="00B24090"/>
    <w:rsid w:val="00B24BF1"/>
    <w:rsid w:val="00B27B18"/>
    <w:rsid w:val="00B30320"/>
    <w:rsid w:val="00B326E2"/>
    <w:rsid w:val="00B34028"/>
    <w:rsid w:val="00B361F9"/>
    <w:rsid w:val="00B36324"/>
    <w:rsid w:val="00B40937"/>
    <w:rsid w:val="00B423EF"/>
    <w:rsid w:val="00B427A5"/>
    <w:rsid w:val="00B453DE"/>
    <w:rsid w:val="00B5130E"/>
    <w:rsid w:val="00B534D6"/>
    <w:rsid w:val="00B53B6E"/>
    <w:rsid w:val="00B546D7"/>
    <w:rsid w:val="00B62497"/>
    <w:rsid w:val="00B62DE3"/>
    <w:rsid w:val="00B62E3C"/>
    <w:rsid w:val="00B6307C"/>
    <w:rsid w:val="00B638E6"/>
    <w:rsid w:val="00B64CCF"/>
    <w:rsid w:val="00B6569F"/>
    <w:rsid w:val="00B65C87"/>
    <w:rsid w:val="00B72597"/>
    <w:rsid w:val="00B744BD"/>
    <w:rsid w:val="00B82FE8"/>
    <w:rsid w:val="00B84D1E"/>
    <w:rsid w:val="00B87DC0"/>
    <w:rsid w:val="00B901F9"/>
    <w:rsid w:val="00B93DB3"/>
    <w:rsid w:val="00B940B5"/>
    <w:rsid w:val="00B97E17"/>
    <w:rsid w:val="00BA186D"/>
    <w:rsid w:val="00BA67F8"/>
    <w:rsid w:val="00BB2E3A"/>
    <w:rsid w:val="00BB3292"/>
    <w:rsid w:val="00BB3313"/>
    <w:rsid w:val="00BB5226"/>
    <w:rsid w:val="00BB7B7B"/>
    <w:rsid w:val="00BC1FEF"/>
    <w:rsid w:val="00BC26EA"/>
    <w:rsid w:val="00BC4943"/>
    <w:rsid w:val="00BC4D98"/>
    <w:rsid w:val="00BD1710"/>
    <w:rsid w:val="00BD296F"/>
    <w:rsid w:val="00BD3AA4"/>
    <w:rsid w:val="00BD3FAE"/>
    <w:rsid w:val="00BD6EFB"/>
    <w:rsid w:val="00BE0280"/>
    <w:rsid w:val="00BE03BC"/>
    <w:rsid w:val="00BE3DF5"/>
    <w:rsid w:val="00BE6F97"/>
    <w:rsid w:val="00BF5EAB"/>
    <w:rsid w:val="00BF7AAC"/>
    <w:rsid w:val="00C00B64"/>
    <w:rsid w:val="00C02410"/>
    <w:rsid w:val="00C044CC"/>
    <w:rsid w:val="00C07929"/>
    <w:rsid w:val="00C11DC9"/>
    <w:rsid w:val="00C1584D"/>
    <w:rsid w:val="00C15BE2"/>
    <w:rsid w:val="00C175CD"/>
    <w:rsid w:val="00C20182"/>
    <w:rsid w:val="00C22308"/>
    <w:rsid w:val="00C22A05"/>
    <w:rsid w:val="00C24E0D"/>
    <w:rsid w:val="00C26F52"/>
    <w:rsid w:val="00C3100F"/>
    <w:rsid w:val="00C3128C"/>
    <w:rsid w:val="00C3447F"/>
    <w:rsid w:val="00C35341"/>
    <w:rsid w:val="00C35FDC"/>
    <w:rsid w:val="00C40CC6"/>
    <w:rsid w:val="00C40F2A"/>
    <w:rsid w:val="00C41CD1"/>
    <w:rsid w:val="00C42755"/>
    <w:rsid w:val="00C44714"/>
    <w:rsid w:val="00C4550F"/>
    <w:rsid w:val="00C5296C"/>
    <w:rsid w:val="00C5373E"/>
    <w:rsid w:val="00C57444"/>
    <w:rsid w:val="00C57FE8"/>
    <w:rsid w:val="00C623B2"/>
    <w:rsid w:val="00C63D44"/>
    <w:rsid w:val="00C64885"/>
    <w:rsid w:val="00C67102"/>
    <w:rsid w:val="00C6721D"/>
    <w:rsid w:val="00C70264"/>
    <w:rsid w:val="00C702E8"/>
    <w:rsid w:val="00C74A98"/>
    <w:rsid w:val="00C7566B"/>
    <w:rsid w:val="00C80439"/>
    <w:rsid w:val="00C81491"/>
    <w:rsid w:val="00C81676"/>
    <w:rsid w:val="00C84B37"/>
    <w:rsid w:val="00C84EF5"/>
    <w:rsid w:val="00C85C5D"/>
    <w:rsid w:val="00C865F3"/>
    <w:rsid w:val="00C86995"/>
    <w:rsid w:val="00C92CC4"/>
    <w:rsid w:val="00C9528B"/>
    <w:rsid w:val="00C95FEF"/>
    <w:rsid w:val="00CA0AFB"/>
    <w:rsid w:val="00CA2CE1"/>
    <w:rsid w:val="00CA3976"/>
    <w:rsid w:val="00CA50E3"/>
    <w:rsid w:val="00CA5E76"/>
    <w:rsid w:val="00CA757B"/>
    <w:rsid w:val="00CB1C6F"/>
    <w:rsid w:val="00CB3122"/>
    <w:rsid w:val="00CB3C8B"/>
    <w:rsid w:val="00CB4C26"/>
    <w:rsid w:val="00CB5502"/>
    <w:rsid w:val="00CC1787"/>
    <w:rsid w:val="00CC182C"/>
    <w:rsid w:val="00CC551C"/>
    <w:rsid w:val="00CC5874"/>
    <w:rsid w:val="00CD0824"/>
    <w:rsid w:val="00CD08DE"/>
    <w:rsid w:val="00CD2908"/>
    <w:rsid w:val="00CD2979"/>
    <w:rsid w:val="00CD3A0B"/>
    <w:rsid w:val="00CD692A"/>
    <w:rsid w:val="00CD700A"/>
    <w:rsid w:val="00CD7D75"/>
    <w:rsid w:val="00CE0A20"/>
    <w:rsid w:val="00CE2047"/>
    <w:rsid w:val="00CE241C"/>
    <w:rsid w:val="00CE5797"/>
    <w:rsid w:val="00CE6490"/>
    <w:rsid w:val="00CE711E"/>
    <w:rsid w:val="00CF0F57"/>
    <w:rsid w:val="00CF2C45"/>
    <w:rsid w:val="00CF4616"/>
    <w:rsid w:val="00CF6176"/>
    <w:rsid w:val="00D001F9"/>
    <w:rsid w:val="00D00B31"/>
    <w:rsid w:val="00D0323D"/>
    <w:rsid w:val="00D03415"/>
    <w:rsid w:val="00D03A82"/>
    <w:rsid w:val="00D0549F"/>
    <w:rsid w:val="00D05D17"/>
    <w:rsid w:val="00D10E32"/>
    <w:rsid w:val="00D11F85"/>
    <w:rsid w:val="00D13667"/>
    <w:rsid w:val="00D14319"/>
    <w:rsid w:val="00D15344"/>
    <w:rsid w:val="00D15903"/>
    <w:rsid w:val="00D16B4B"/>
    <w:rsid w:val="00D16EF5"/>
    <w:rsid w:val="00D20BEC"/>
    <w:rsid w:val="00D215C6"/>
    <w:rsid w:val="00D2343A"/>
    <w:rsid w:val="00D23D5F"/>
    <w:rsid w:val="00D23F57"/>
    <w:rsid w:val="00D255C1"/>
    <w:rsid w:val="00D265A0"/>
    <w:rsid w:val="00D318EA"/>
    <w:rsid w:val="00D31BEC"/>
    <w:rsid w:val="00D35366"/>
    <w:rsid w:val="00D36125"/>
    <w:rsid w:val="00D42BA0"/>
    <w:rsid w:val="00D4415D"/>
    <w:rsid w:val="00D45694"/>
    <w:rsid w:val="00D502B1"/>
    <w:rsid w:val="00D50DD5"/>
    <w:rsid w:val="00D550AF"/>
    <w:rsid w:val="00D61124"/>
    <w:rsid w:val="00D627A9"/>
    <w:rsid w:val="00D63150"/>
    <w:rsid w:val="00D636BA"/>
    <w:rsid w:val="00D63B59"/>
    <w:rsid w:val="00D64807"/>
    <w:rsid w:val="00D64A32"/>
    <w:rsid w:val="00D64EFC"/>
    <w:rsid w:val="00D665E0"/>
    <w:rsid w:val="00D6740F"/>
    <w:rsid w:val="00D678EC"/>
    <w:rsid w:val="00D67AE1"/>
    <w:rsid w:val="00D75295"/>
    <w:rsid w:val="00D76CE9"/>
    <w:rsid w:val="00D808CD"/>
    <w:rsid w:val="00D856A8"/>
    <w:rsid w:val="00D85DDA"/>
    <w:rsid w:val="00D863DE"/>
    <w:rsid w:val="00D9147D"/>
    <w:rsid w:val="00D92DCB"/>
    <w:rsid w:val="00D939BF"/>
    <w:rsid w:val="00D93C94"/>
    <w:rsid w:val="00D94C9E"/>
    <w:rsid w:val="00D97F12"/>
    <w:rsid w:val="00DA0157"/>
    <w:rsid w:val="00DA1B50"/>
    <w:rsid w:val="00DA21E2"/>
    <w:rsid w:val="00DA2B1F"/>
    <w:rsid w:val="00DA6095"/>
    <w:rsid w:val="00DB043A"/>
    <w:rsid w:val="00DB0644"/>
    <w:rsid w:val="00DB1A1B"/>
    <w:rsid w:val="00DB33DB"/>
    <w:rsid w:val="00DB3FF9"/>
    <w:rsid w:val="00DB42E7"/>
    <w:rsid w:val="00DB5410"/>
    <w:rsid w:val="00DB6634"/>
    <w:rsid w:val="00DC09D8"/>
    <w:rsid w:val="00DC156C"/>
    <w:rsid w:val="00DC356A"/>
    <w:rsid w:val="00DC4EFF"/>
    <w:rsid w:val="00DC558B"/>
    <w:rsid w:val="00DC6AA5"/>
    <w:rsid w:val="00DC734C"/>
    <w:rsid w:val="00DC7C0D"/>
    <w:rsid w:val="00DD1947"/>
    <w:rsid w:val="00DD2527"/>
    <w:rsid w:val="00DD370F"/>
    <w:rsid w:val="00DD4976"/>
    <w:rsid w:val="00DD6844"/>
    <w:rsid w:val="00DE01A6"/>
    <w:rsid w:val="00DE0F53"/>
    <w:rsid w:val="00DE493C"/>
    <w:rsid w:val="00DE4EBA"/>
    <w:rsid w:val="00DE7A98"/>
    <w:rsid w:val="00DF32C2"/>
    <w:rsid w:val="00DF350B"/>
    <w:rsid w:val="00DF6013"/>
    <w:rsid w:val="00E051B5"/>
    <w:rsid w:val="00E07809"/>
    <w:rsid w:val="00E12F3A"/>
    <w:rsid w:val="00E153AA"/>
    <w:rsid w:val="00E170F3"/>
    <w:rsid w:val="00E21B5B"/>
    <w:rsid w:val="00E22D5A"/>
    <w:rsid w:val="00E238A7"/>
    <w:rsid w:val="00E23AA5"/>
    <w:rsid w:val="00E249A6"/>
    <w:rsid w:val="00E26A77"/>
    <w:rsid w:val="00E27EBD"/>
    <w:rsid w:val="00E31753"/>
    <w:rsid w:val="00E31913"/>
    <w:rsid w:val="00E32154"/>
    <w:rsid w:val="00E3410C"/>
    <w:rsid w:val="00E3461E"/>
    <w:rsid w:val="00E348B5"/>
    <w:rsid w:val="00E36644"/>
    <w:rsid w:val="00E42418"/>
    <w:rsid w:val="00E42EF3"/>
    <w:rsid w:val="00E451F6"/>
    <w:rsid w:val="00E471A7"/>
    <w:rsid w:val="00E5082A"/>
    <w:rsid w:val="00E50B2C"/>
    <w:rsid w:val="00E57CC7"/>
    <w:rsid w:val="00E615D5"/>
    <w:rsid w:val="00E623A5"/>
    <w:rsid w:val="00E635CF"/>
    <w:rsid w:val="00E65083"/>
    <w:rsid w:val="00E679FD"/>
    <w:rsid w:val="00E70339"/>
    <w:rsid w:val="00E74345"/>
    <w:rsid w:val="00E75B55"/>
    <w:rsid w:val="00E8048D"/>
    <w:rsid w:val="00E819FD"/>
    <w:rsid w:val="00E82CF3"/>
    <w:rsid w:val="00E83FDF"/>
    <w:rsid w:val="00E86C67"/>
    <w:rsid w:val="00E87B55"/>
    <w:rsid w:val="00E91F70"/>
    <w:rsid w:val="00E9548E"/>
    <w:rsid w:val="00E968EA"/>
    <w:rsid w:val="00E97E70"/>
    <w:rsid w:val="00EA5308"/>
    <w:rsid w:val="00EA6194"/>
    <w:rsid w:val="00EB08BE"/>
    <w:rsid w:val="00EB1E3B"/>
    <w:rsid w:val="00EB1F13"/>
    <w:rsid w:val="00EB29FD"/>
    <w:rsid w:val="00EB6F7D"/>
    <w:rsid w:val="00EB6F97"/>
    <w:rsid w:val="00EB7971"/>
    <w:rsid w:val="00EB7D96"/>
    <w:rsid w:val="00EC3732"/>
    <w:rsid w:val="00EC6E0A"/>
    <w:rsid w:val="00ED2FCA"/>
    <w:rsid w:val="00ED4E18"/>
    <w:rsid w:val="00ED7922"/>
    <w:rsid w:val="00EE0215"/>
    <w:rsid w:val="00EE02C4"/>
    <w:rsid w:val="00EE1F37"/>
    <w:rsid w:val="00EF2E28"/>
    <w:rsid w:val="00EF5142"/>
    <w:rsid w:val="00EF5529"/>
    <w:rsid w:val="00EF65C7"/>
    <w:rsid w:val="00EF7668"/>
    <w:rsid w:val="00F00FD6"/>
    <w:rsid w:val="00F0159C"/>
    <w:rsid w:val="00F01A90"/>
    <w:rsid w:val="00F037AA"/>
    <w:rsid w:val="00F057E3"/>
    <w:rsid w:val="00F061B1"/>
    <w:rsid w:val="00F064EA"/>
    <w:rsid w:val="00F103C9"/>
    <w:rsid w:val="00F105B7"/>
    <w:rsid w:val="00F13220"/>
    <w:rsid w:val="00F141DA"/>
    <w:rsid w:val="00F166DB"/>
    <w:rsid w:val="00F168F6"/>
    <w:rsid w:val="00F17A21"/>
    <w:rsid w:val="00F2227C"/>
    <w:rsid w:val="00F22A20"/>
    <w:rsid w:val="00F2467B"/>
    <w:rsid w:val="00F27DBA"/>
    <w:rsid w:val="00F31F60"/>
    <w:rsid w:val="00F32611"/>
    <w:rsid w:val="00F32669"/>
    <w:rsid w:val="00F34DB1"/>
    <w:rsid w:val="00F35ACD"/>
    <w:rsid w:val="00F36FC2"/>
    <w:rsid w:val="00F37B27"/>
    <w:rsid w:val="00F41A43"/>
    <w:rsid w:val="00F44C7F"/>
    <w:rsid w:val="00F46556"/>
    <w:rsid w:val="00F46F62"/>
    <w:rsid w:val="00F47AE9"/>
    <w:rsid w:val="00F47C17"/>
    <w:rsid w:val="00F502DA"/>
    <w:rsid w:val="00F50E91"/>
    <w:rsid w:val="00F52090"/>
    <w:rsid w:val="00F546B1"/>
    <w:rsid w:val="00F56799"/>
    <w:rsid w:val="00F579C8"/>
    <w:rsid w:val="00F57D29"/>
    <w:rsid w:val="00F60786"/>
    <w:rsid w:val="00F60B5C"/>
    <w:rsid w:val="00F61B9D"/>
    <w:rsid w:val="00F63430"/>
    <w:rsid w:val="00F65B1D"/>
    <w:rsid w:val="00F73293"/>
    <w:rsid w:val="00F774DC"/>
    <w:rsid w:val="00F80457"/>
    <w:rsid w:val="00F8069C"/>
    <w:rsid w:val="00F8214C"/>
    <w:rsid w:val="00F82814"/>
    <w:rsid w:val="00F82898"/>
    <w:rsid w:val="00F836A5"/>
    <w:rsid w:val="00F86615"/>
    <w:rsid w:val="00F91BC7"/>
    <w:rsid w:val="00F92778"/>
    <w:rsid w:val="00F92F97"/>
    <w:rsid w:val="00F955C4"/>
    <w:rsid w:val="00F95F89"/>
    <w:rsid w:val="00F96201"/>
    <w:rsid w:val="00F9742F"/>
    <w:rsid w:val="00FA1BBC"/>
    <w:rsid w:val="00FA576B"/>
    <w:rsid w:val="00FB1151"/>
    <w:rsid w:val="00FB7ADB"/>
    <w:rsid w:val="00FC05CD"/>
    <w:rsid w:val="00FD0B18"/>
    <w:rsid w:val="00FD2FAD"/>
    <w:rsid w:val="00FD57D1"/>
    <w:rsid w:val="00FD704A"/>
    <w:rsid w:val="00FE0758"/>
    <w:rsid w:val="00FE22E8"/>
    <w:rsid w:val="00FE3176"/>
    <w:rsid w:val="00FE3BD4"/>
    <w:rsid w:val="00FE43C1"/>
    <w:rsid w:val="00FE4B32"/>
    <w:rsid w:val="00FE5A0D"/>
    <w:rsid w:val="00FE6034"/>
    <w:rsid w:val="00FE63F7"/>
    <w:rsid w:val="00FE6574"/>
    <w:rsid w:val="00FE714F"/>
    <w:rsid w:val="00FE75D6"/>
    <w:rsid w:val="00FF293A"/>
    <w:rsid w:val="00FF76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54F1D6"/>
  <w15:docId w15:val="{15EFB006-1476-418D-B0C5-87B48055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E285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qFormat/>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8E2858"/>
    <w:pPr>
      <w:keepNext/>
    </w:pPr>
    <w:rPr>
      <w:rFonts w:ascii="Arial" w:hAnsi="Arial" w:cs="Arial"/>
      <w:b/>
      <w:caps/>
      <w:sz w:val="20"/>
      <w:szCs w:val="20"/>
    </w:rPr>
  </w:style>
  <w:style w:type="character" w:customStyle="1" w:styleId="Casehead1Char">
    <w:name w:val="Casehead 1 Char"/>
    <w:basedOn w:val="BodyTextMainChar"/>
    <w:link w:val="Casehead1"/>
    <w:qFormat/>
    <w:rsid w:val="008E285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qFormat/>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qFormat/>
    <w:rsid w:val="006C0B1A"/>
  </w:style>
  <w:style w:type="character" w:customStyle="1" w:styleId="FootnoteTextChar">
    <w:name w:val="Footnote Text Char"/>
    <w:basedOn w:val="DefaultParagraphFont"/>
    <w:link w:val="FootnoteText"/>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F60B5C"/>
    <w:pPr>
      <w:jc w:val="both"/>
    </w:pPr>
    <w:rPr>
      <w:rFonts w:ascii="Arial" w:hAnsi="Arial" w:cs="Arial"/>
      <w:sz w:val="17"/>
      <w:szCs w:val="17"/>
    </w:rPr>
  </w:style>
  <w:style w:type="character" w:customStyle="1" w:styleId="FootnoteChar">
    <w:name w:val="Footnote Char"/>
    <w:basedOn w:val="FootnoteTextChar"/>
    <w:link w:val="Footnote"/>
    <w:qFormat/>
    <w:rsid w:val="00F60B5C"/>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8E2858"/>
    <w:pPr>
      <w:keepNext/>
      <w:jc w:val="center"/>
    </w:pPr>
    <w:rPr>
      <w:rFonts w:ascii="Arial" w:hAnsi="Arial" w:cs="Arial"/>
      <w:b/>
      <w:caps/>
      <w:sz w:val="20"/>
      <w:szCs w:val="20"/>
    </w:rPr>
  </w:style>
  <w:style w:type="character" w:customStyle="1" w:styleId="ExhibitHeadingChar">
    <w:name w:val="Exhibit Heading Char"/>
    <w:basedOn w:val="BodyTextMainChar"/>
    <w:link w:val="ExhibitHeading"/>
    <w:qFormat/>
    <w:rsid w:val="008E2858"/>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qFormat/>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qForma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F60B5C"/>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1">
    <w:name w:val="未处理的提及1"/>
    <w:basedOn w:val="DefaultParagraphFont"/>
    <w:uiPriority w:val="99"/>
    <w:semiHidden/>
    <w:unhideWhenUsed/>
    <w:rsid w:val="00972004"/>
    <w:rPr>
      <w:color w:val="605E5C"/>
      <w:shd w:val="clear" w:color="auto" w:fill="E1DFDD"/>
    </w:rPr>
  </w:style>
  <w:style w:type="character" w:customStyle="1" w:styleId="UnresolvedMention1">
    <w:name w:val="Unresolved Mention1"/>
    <w:basedOn w:val="DefaultParagraphFont"/>
    <w:uiPriority w:val="99"/>
    <w:semiHidden/>
    <w:unhideWhenUsed/>
    <w:rsid w:val="009E686F"/>
    <w:rPr>
      <w:color w:val="605E5C"/>
      <w:shd w:val="clear" w:color="auto" w:fill="E1DFDD"/>
    </w:rPr>
  </w:style>
  <w:style w:type="table" w:customStyle="1" w:styleId="MediumList11">
    <w:name w:val="Medium List 11"/>
    <w:basedOn w:val="TableNormal"/>
    <w:uiPriority w:val="65"/>
    <w:rsid w:val="00DC6AA5"/>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UnresolvedMention10">
    <w:name w:val="Unresolved Mention1"/>
    <w:basedOn w:val="DefaultParagraphFont"/>
    <w:uiPriority w:val="99"/>
    <w:semiHidden/>
    <w:unhideWhenUsed/>
    <w:rsid w:val="00DC6AA5"/>
    <w:rPr>
      <w:color w:val="605E5C"/>
      <w:shd w:val="clear" w:color="auto" w:fill="E1DFDD"/>
    </w:rPr>
  </w:style>
  <w:style w:type="character" w:styleId="UnresolvedMention">
    <w:name w:val="Unresolved Mention"/>
    <w:basedOn w:val="DefaultParagraphFont"/>
    <w:uiPriority w:val="99"/>
    <w:semiHidden/>
    <w:unhideWhenUsed/>
    <w:rsid w:val="00536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7384">
      <w:bodyDiv w:val="1"/>
      <w:marLeft w:val="0"/>
      <w:marRight w:val="0"/>
      <w:marTop w:val="0"/>
      <w:marBottom w:val="0"/>
      <w:divBdr>
        <w:top w:val="none" w:sz="0" w:space="0" w:color="auto"/>
        <w:left w:val="none" w:sz="0" w:space="0" w:color="auto"/>
        <w:bottom w:val="none" w:sz="0" w:space="0" w:color="auto"/>
        <w:right w:val="none" w:sz="0" w:space="0" w:color="auto"/>
      </w:divBdr>
    </w:div>
    <w:div w:id="476143727">
      <w:bodyDiv w:val="1"/>
      <w:marLeft w:val="0"/>
      <w:marRight w:val="0"/>
      <w:marTop w:val="0"/>
      <w:marBottom w:val="0"/>
      <w:divBdr>
        <w:top w:val="none" w:sz="0" w:space="0" w:color="auto"/>
        <w:left w:val="none" w:sz="0" w:space="0" w:color="auto"/>
        <w:bottom w:val="none" w:sz="0" w:space="0" w:color="auto"/>
        <w:right w:val="none" w:sz="0" w:space="0" w:color="auto"/>
      </w:divBdr>
    </w:div>
    <w:div w:id="758331492">
      <w:bodyDiv w:val="1"/>
      <w:marLeft w:val="0"/>
      <w:marRight w:val="0"/>
      <w:marTop w:val="0"/>
      <w:marBottom w:val="0"/>
      <w:divBdr>
        <w:top w:val="none" w:sz="0" w:space="0" w:color="auto"/>
        <w:left w:val="none" w:sz="0" w:space="0" w:color="auto"/>
        <w:bottom w:val="none" w:sz="0" w:space="0" w:color="auto"/>
        <w:right w:val="none" w:sz="0" w:space="0" w:color="auto"/>
      </w:divBdr>
    </w:div>
    <w:div w:id="770903801">
      <w:bodyDiv w:val="1"/>
      <w:marLeft w:val="0"/>
      <w:marRight w:val="0"/>
      <w:marTop w:val="0"/>
      <w:marBottom w:val="0"/>
      <w:divBdr>
        <w:top w:val="none" w:sz="0" w:space="0" w:color="auto"/>
        <w:left w:val="none" w:sz="0" w:space="0" w:color="auto"/>
        <w:bottom w:val="none" w:sz="0" w:space="0" w:color="auto"/>
        <w:right w:val="none" w:sz="0" w:space="0" w:color="auto"/>
      </w:divBdr>
    </w:div>
    <w:div w:id="110634274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3016179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7950A-9EEF-41DD-ABBC-48848A47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6212</Words>
  <Characters>35412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4</cp:revision>
  <cp:lastPrinted>2021-06-11T20:04:00Z</cp:lastPrinted>
  <dcterms:created xsi:type="dcterms:W3CDTF">2021-06-11T20:01:00Z</dcterms:created>
  <dcterms:modified xsi:type="dcterms:W3CDTF">2021-06-11T20:39:00Z</dcterms:modified>
</cp:coreProperties>
</file>