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50D51" w14:textId="350EDC54" w:rsidR="000C14B8" w:rsidRPr="008D0AE1" w:rsidRDefault="00F81037" w:rsidP="00C02410">
      <w:pPr>
        <w:pBdr>
          <w:bottom w:val="single" w:sz="18" w:space="1" w:color="auto"/>
        </w:pBdr>
        <w:tabs>
          <w:tab w:val="left" w:pos="-1440"/>
          <w:tab w:val="left" w:pos="-720"/>
          <w:tab w:val="left" w:pos="1"/>
        </w:tabs>
        <w:jc w:val="both"/>
        <w:rPr>
          <w:rFonts w:ascii="Arial" w:hAnsi="Arial"/>
          <w:b/>
          <w:lang w:val="en-GB"/>
        </w:rPr>
      </w:pPr>
      <w:r w:rsidRPr="00F81037">
        <w:rPr>
          <w:rFonts w:ascii="Arial" w:hAnsi="Arial"/>
          <w:b/>
          <w:noProof/>
          <w:lang w:eastAsia="en-CA"/>
        </w:rPr>
        <w:drawing>
          <wp:inline distT="0" distB="0" distL="0" distR="0" wp14:anchorId="7D88C1D7" wp14:editId="02814A5F">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A6E8A3C" w:rsidR="00C02410" w:rsidRPr="008D0AE1" w:rsidRDefault="00F81037" w:rsidP="00C02410">
      <w:pPr>
        <w:pStyle w:val="ProductNumber"/>
        <w:rPr>
          <w:lang w:val="en-GB"/>
        </w:rPr>
      </w:pPr>
      <w:r>
        <w:rPr>
          <w:lang w:val="en-GB"/>
        </w:rPr>
        <w:t>9B21M062</w:t>
      </w:r>
    </w:p>
    <w:p w14:paraId="4E057522" w14:textId="7A113CB1" w:rsidR="00D75295" w:rsidRPr="008D0AE1" w:rsidRDefault="00D75295" w:rsidP="00D75295">
      <w:pPr>
        <w:jc w:val="right"/>
        <w:rPr>
          <w:rFonts w:ascii="Arial" w:hAnsi="Arial"/>
          <w:b/>
          <w:lang w:val="en-GB"/>
        </w:rPr>
      </w:pPr>
    </w:p>
    <w:p w14:paraId="02524312" w14:textId="77777777" w:rsidR="001901C0" w:rsidRPr="008D0AE1" w:rsidRDefault="001901C0" w:rsidP="00D75295">
      <w:pPr>
        <w:jc w:val="right"/>
        <w:rPr>
          <w:rFonts w:ascii="Arial" w:hAnsi="Arial"/>
          <w:b/>
          <w:lang w:val="en-GB"/>
        </w:rPr>
      </w:pPr>
    </w:p>
    <w:p w14:paraId="2F03D26A" w14:textId="6B6BEB66" w:rsidR="000C14B8" w:rsidRPr="008D0AE1" w:rsidRDefault="006F3C58" w:rsidP="00013360">
      <w:pPr>
        <w:pStyle w:val="CaseTitle"/>
        <w:spacing w:after="0" w:line="240" w:lineRule="auto"/>
        <w:rPr>
          <w:sz w:val="20"/>
          <w:szCs w:val="20"/>
          <w:lang w:val="en-GB"/>
        </w:rPr>
      </w:pPr>
      <w:r w:rsidRPr="008D0AE1">
        <w:rPr>
          <w:lang w:val="en-GB"/>
        </w:rPr>
        <w:t>AMAZON IN CHINA</w:t>
      </w:r>
      <w:r w:rsidR="000C14B8">
        <w:rPr>
          <w:rStyle w:val="EndnoteReference"/>
          <w:lang w:val="en-GB"/>
        </w:rPr>
        <w:endnoteReference w:id="1"/>
      </w:r>
    </w:p>
    <w:p w14:paraId="40ABF6FD" w14:textId="77777777" w:rsidR="000C14B8" w:rsidRPr="008D0AE1" w:rsidRDefault="000C14B8" w:rsidP="00013360">
      <w:pPr>
        <w:pStyle w:val="CaseTitle"/>
        <w:spacing w:after="0" w:line="240" w:lineRule="auto"/>
        <w:rPr>
          <w:sz w:val="20"/>
          <w:szCs w:val="20"/>
          <w:lang w:val="en-GB"/>
        </w:rPr>
      </w:pPr>
    </w:p>
    <w:p w14:paraId="202F1085" w14:textId="77777777" w:rsidR="000C14B8" w:rsidRPr="008D0AE1" w:rsidRDefault="000C14B8" w:rsidP="00013360">
      <w:pPr>
        <w:pStyle w:val="CaseTitle"/>
        <w:spacing w:after="0" w:line="240" w:lineRule="auto"/>
        <w:rPr>
          <w:sz w:val="20"/>
          <w:szCs w:val="20"/>
          <w:lang w:val="en-GB"/>
        </w:rPr>
      </w:pPr>
    </w:p>
    <w:p w14:paraId="58B0C73F" w14:textId="103CFD09" w:rsidR="000C14B8" w:rsidRPr="008D0AE1" w:rsidRDefault="000C14B8" w:rsidP="00086B26">
      <w:pPr>
        <w:pStyle w:val="StyleCopyrightStatementAfter0ptBottomSinglesolidline1"/>
        <w:rPr>
          <w:lang w:val="en-GB"/>
        </w:rPr>
      </w:pPr>
      <w:r w:rsidRPr="008D0AE1">
        <w:rPr>
          <w:lang w:val="en-GB"/>
        </w:rPr>
        <w:t>Amy Ni</w:t>
      </w:r>
      <w:r w:rsidRPr="008D0AE1">
        <w:rPr>
          <w:rFonts w:cs="Arial"/>
          <w:szCs w:val="16"/>
          <w:lang w:val="en-GB"/>
        </w:rPr>
        <w:t xml:space="preserve"> </w:t>
      </w:r>
      <w:r w:rsidR="00F81037">
        <w:rPr>
          <w:rFonts w:cs="Arial"/>
          <w:szCs w:val="16"/>
          <w:lang w:val="en-GB"/>
        </w:rPr>
        <w:t xml:space="preserve">and Anna Fu </w:t>
      </w:r>
      <w:r w:rsidRPr="008D0AE1">
        <w:rPr>
          <w:lang w:val="en-GB"/>
        </w:rPr>
        <w:t>wrote this case under the supervision of Ning Su</w:t>
      </w:r>
      <w:r>
        <w:rPr>
          <w:lang w:val="en-GB"/>
        </w:rPr>
        <w:t xml:space="preserve"> and </w:t>
      </w:r>
      <w:r w:rsidRPr="008D0AE1">
        <w:rPr>
          <w:lang w:val="en-GB"/>
        </w:rPr>
        <w:t>Ming Dong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C14B8" w:rsidRPr="008D0AE1" w:rsidRDefault="000C14B8" w:rsidP="00086B26">
      <w:pPr>
        <w:pStyle w:val="StyleCopyrightStatementAfter0ptBottomSinglesolidline1"/>
        <w:rPr>
          <w:lang w:val="en-GB"/>
        </w:rPr>
      </w:pPr>
    </w:p>
    <w:p w14:paraId="332218FA" w14:textId="77777777" w:rsidR="00F81037" w:rsidRDefault="00F81037" w:rsidP="00A323B0">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CEF96E6" w14:textId="77777777" w:rsidR="00F81037" w:rsidRDefault="00F81037" w:rsidP="00A323B0">
      <w:pPr>
        <w:pStyle w:val="StyleStyleCopyrightStatementAfter0ptBottomSinglesolid"/>
        <w:rPr>
          <w:rFonts w:cs="Arial"/>
          <w:iCs w:val="0"/>
          <w:color w:val="auto"/>
          <w:szCs w:val="16"/>
        </w:rPr>
      </w:pPr>
    </w:p>
    <w:p w14:paraId="3922E14F" w14:textId="7E7CAEDF" w:rsidR="000C14B8" w:rsidRPr="00F81037" w:rsidRDefault="00F81037"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Ivey Business School Foundation</w:t>
      </w:r>
      <w:r w:rsidR="000C14B8" w:rsidRPr="008D0AE1">
        <w:rPr>
          <w:rFonts w:cs="Arial"/>
          <w:iCs w:val="0"/>
          <w:color w:val="auto"/>
          <w:szCs w:val="16"/>
          <w:lang w:val="en-GB"/>
        </w:rPr>
        <w:tab/>
        <w:t>Version: 20</w:t>
      </w:r>
      <w:r w:rsidR="000C14B8">
        <w:rPr>
          <w:rFonts w:cs="Arial"/>
          <w:iCs w:val="0"/>
          <w:color w:val="auto"/>
          <w:szCs w:val="16"/>
          <w:lang w:val="en-US"/>
        </w:rPr>
        <w:t>21</w:t>
      </w:r>
      <w:r w:rsidR="000C14B8" w:rsidRPr="008D0AE1">
        <w:rPr>
          <w:rFonts w:cs="Arial"/>
          <w:iCs w:val="0"/>
          <w:color w:val="auto"/>
          <w:szCs w:val="16"/>
          <w:lang w:val="en-GB"/>
        </w:rPr>
        <w:t>-0</w:t>
      </w:r>
      <w:r>
        <w:rPr>
          <w:rFonts w:cs="Arial"/>
          <w:iCs w:val="0"/>
          <w:color w:val="auto"/>
          <w:szCs w:val="16"/>
          <w:lang w:val="en-GB"/>
        </w:rPr>
        <w:t>7</w:t>
      </w:r>
      <w:r w:rsidR="000C14B8" w:rsidRPr="008D0AE1">
        <w:rPr>
          <w:rFonts w:cs="Arial"/>
          <w:iCs w:val="0"/>
          <w:color w:val="auto"/>
          <w:szCs w:val="16"/>
          <w:lang w:val="en-GB"/>
        </w:rPr>
        <w:t>-</w:t>
      </w:r>
      <w:r>
        <w:rPr>
          <w:rFonts w:cs="Arial"/>
          <w:iCs w:val="0"/>
          <w:color w:val="auto"/>
          <w:szCs w:val="16"/>
          <w:lang w:val="en-GB"/>
        </w:rPr>
        <w:t>13</w:t>
      </w:r>
    </w:p>
    <w:p w14:paraId="0A2A54E4" w14:textId="196E911C" w:rsidR="000C14B8" w:rsidRPr="008D0AE1" w:rsidRDefault="000C14B8" w:rsidP="00751E0B">
      <w:pPr>
        <w:pStyle w:val="StyleCopyrightStatementAfter0ptBottomSinglesolidline1"/>
        <w:rPr>
          <w:rFonts w:ascii="Times New Roman" w:hAnsi="Times New Roman"/>
          <w:sz w:val="20"/>
          <w:lang w:val="en-GB"/>
        </w:rPr>
      </w:pPr>
    </w:p>
    <w:p w14:paraId="598E2608" w14:textId="77777777" w:rsidR="000C14B8" w:rsidRPr="008D0AE1" w:rsidRDefault="000C14B8" w:rsidP="006F3C58">
      <w:pPr>
        <w:pStyle w:val="BodyTextMain"/>
        <w:rPr>
          <w:lang w:val="en-GB"/>
        </w:rPr>
      </w:pPr>
    </w:p>
    <w:p w14:paraId="2674BB5C" w14:textId="6F2FE464" w:rsidR="000C14B8" w:rsidRPr="008D0AE1" w:rsidRDefault="000C14B8" w:rsidP="00815F1C">
      <w:pPr>
        <w:pStyle w:val="BodyTextMain"/>
        <w:rPr>
          <w:lang w:val="en-GB"/>
        </w:rPr>
      </w:pPr>
      <w:r w:rsidRPr="008D0AE1">
        <w:rPr>
          <w:lang w:val="en-GB"/>
        </w:rPr>
        <w:t>Amazon.com Inc. (Amazon), an American electronic commerce and cloud computing company based in Seattle, Washington, was founded by Jeff Bezos on July 5, 1994. Amazon started as an online retailer of books and later grew to include seven product sections. First, the company expanded its product offerings on the Amazon website to include consumer goods such as housewares, video games, electronics, software, apparel, furniture, food, toys, and jewellery. Second, the firm established Amazon Basics as its in-house brand, sold on Amazon.com. Third, the company formed a publishing arm, Amazon Publishing, to produce content that it could sell on its retail website. Once published, the content would be sold and viewed via Amazon’s consumer electronics products, including Kindle e-readers, Fire tablets, Fire TV digital media players, and Echo smart speakers. Content such as films and television were produced at Amazon Studios. Amazon Prime was a paid subscription service that gave users access to free two-day delivery (and one-day delivery in some areas), and Amazon Prime Video allowed users to view video content generated through Amazon Studios and other producers. Last, through its Amazon Web Services (AWS) subsidiary, the company was the world’s largest provider of cloud infrastructure services: infrastructure as a service (IaaS) and platform as a service (PaaS). By the start of 2016, Amazon was attract</w:t>
      </w:r>
      <w:r w:rsidR="001643EF">
        <w:rPr>
          <w:lang w:val="en-GB"/>
        </w:rPr>
        <w:t>ing</w:t>
      </w:r>
      <w:r w:rsidRPr="008D0AE1">
        <w:rPr>
          <w:lang w:val="en-GB"/>
        </w:rPr>
        <w:t xml:space="preserve"> over 130 million customers to its US website each month.</w:t>
      </w:r>
      <w:r w:rsidRPr="008D0AE1">
        <w:rPr>
          <w:vertAlign w:val="superscript"/>
          <w:lang w:val="en-GB"/>
        </w:rPr>
        <w:endnoteReference w:id="2"/>
      </w:r>
    </w:p>
    <w:p w14:paraId="67447569" w14:textId="77777777" w:rsidR="000C14B8" w:rsidRPr="008D0AE1" w:rsidRDefault="000C14B8" w:rsidP="00815F1C">
      <w:pPr>
        <w:pStyle w:val="BodyTextMain"/>
        <w:rPr>
          <w:lang w:val="en-GB"/>
        </w:rPr>
      </w:pPr>
    </w:p>
    <w:p w14:paraId="485937CD" w14:textId="1DE5B99D" w:rsidR="000C14B8" w:rsidRPr="008D0AE1" w:rsidRDefault="000C14B8" w:rsidP="00815F1C">
      <w:pPr>
        <w:pStyle w:val="BodyTextMain"/>
        <w:rPr>
          <w:lang w:val="en-GB"/>
        </w:rPr>
      </w:pPr>
      <w:r w:rsidRPr="008D0AE1">
        <w:rPr>
          <w:lang w:val="en-GB"/>
        </w:rPr>
        <w:t>Over the past two decades, Amazon had further expanded its company through an initial public offering (IPO), mergers and acquisitions, and development of its product lines. On May 15, 1997, Amazon issued an IPO at $1</w:t>
      </w:r>
      <w:r>
        <w:rPr>
          <w:lang w:val="en-GB"/>
        </w:rPr>
        <w:t>6</w:t>
      </w:r>
      <w:r w:rsidRPr="008D0AE1">
        <w:rPr>
          <w:lang w:val="en-GB"/>
        </w:rPr>
        <w:t xml:space="preserve"> per share.</w:t>
      </w:r>
      <w:r w:rsidRPr="008D0AE1">
        <w:rPr>
          <w:vertAlign w:val="superscript"/>
          <w:lang w:val="en-GB"/>
        </w:rPr>
        <w:endnoteReference w:id="3"/>
      </w:r>
      <w:r w:rsidRPr="008D0AE1">
        <w:rPr>
          <w:lang w:val="en-GB"/>
        </w:rPr>
        <w:t xml:space="preserve"> In 2015, Amazon became the third-most-valuable public company in the United States, behind Apple Inc. (Apple) and Microsoft Corporation (Microsoft).</w:t>
      </w:r>
      <w:r w:rsidRPr="008D0AE1">
        <w:rPr>
          <w:vertAlign w:val="superscript"/>
          <w:lang w:val="en-GB"/>
        </w:rPr>
        <w:endnoteReference w:id="4"/>
      </w:r>
      <w:r w:rsidRPr="008D0AE1">
        <w:rPr>
          <w:lang w:val="en-GB"/>
        </w:rPr>
        <w:t xml:space="preserve"> In 2017, Amazon acquired Whole Foods Market Inc. for $13.4 billion, which vastly increased Amazon’s presence as a brick-and-mortar retailer.</w:t>
      </w:r>
      <w:r>
        <w:rPr>
          <w:rStyle w:val="EndnoteReference"/>
          <w:lang w:val="en-GB"/>
        </w:rPr>
        <w:endnoteReference w:id="5"/>
      </w:r>
      <w:r w:rsidRPr="008D0AE1">
        <w:rPr>
          <w:lang w:val="en-GB"/>
        </w:rPr>
        <w:t xml:space="preserve"> In April 2018, Amazon reported that Prime Video had more than 100 million subscribers </w:t>
      </w:r>
      <w:r>
        <w:rPr>
          <w:lang w:val="en-GB"/>
        </w:rPr>
        <w:t xml:space="preserve">in the </w:t>
      </w:r>
      <w:r w:rsidR="00934CDC">
        <w:rPr>
          <w:lang w:val="en-GB"/>
        </w:rPr>
        <w:t>United S</w:t>
      </w:r>
      <w:r>
        <w:rPr>
          <w:lang w:val="en-GB"/>
        </w:rPr>
        <w:t>tates</w:t>
      </w:r>
      <w:r w:rsidRPr="008D0AE1">
        <w:rPr>
          <w:lang w:val="en-GB"/>
        </w:rPr>
        <w:t>.</w:t>
      </w:r>
      <w:r>
        <w:rPr>
          <w:rStyle w:val="EndnoteReference"/>
          <w:lang w:val="en-GB"/>
        </w:rPr>
        <w:endnoteReference w:id="6"/>
      </w:r>
      <w:r w:rsidRPr="008D0AE1">
        <w:rPr>
          <w:lang w:val="en-GB"/>
        </w:rPr>
        <w:t xml:space="preserve"> For the fiscal year 2017, Amazon reported earnings of $3.03 billion, with an annual revenue of $177.87 billion, an increase of 30.8 per cent over the previous fiscal cycle. Since 2007, the company’s sales performance had increased from $14.84 billion to $177.87 billion (see Exhibit 1) due to its continued business expansions in Europe, Asia, South America, and Oceania (see Exhibit 2). Amazon’s market capitalization was valued at over $803 billion in early November 2018.</w:t>
      </w:r>
      <w:r>
        <w:rPr>
          <w:rStyle w:val="EndnoteReference"/>
          <w:lang w:val="en-GB"/>
        </w:rPr>
        <w:endnoteReference w:id="7"/>
      </w:r>
    </w:p>
    <w:p w14:paraId="21BE9A93" w14:textId="77777777" w:rsidR="000C14B8" w:rsidRPr="008D0AE1" w:rsidRDefault="000C14B8" w:rsidP="00815F1C">
      <w:pPr>
        <w:pStyle w:val="BodyTextMain"/>
        <w:rPr>
          <w:lang w:val="en-GB"/>
        </w:rPr>
      </w:pPr>
    </w:p>
    <w:p w14:paraId="79E337D5" w14:textId="77777777" w:rsidR="000C14B8" w:rsidRPr="008D0AE1" w:rsidRDefault="000C14B8" w:rsidP="009F2501">
      <w:pPr>
        <w:pStyle w:val="BodyTextMain"/>
        <w:rPr>
          <w:lang w:val="en-GB"/>
        </w:rPr>
      </w:pPr>
    </w:p>
    <w:p w14:paraId="283CD0D8" w14:textId="77777777" w:rsidR="000C14B8" w:rsidRPr="008D0AE1" w:rsidRDefault="000C14B8" w:rsidP="000C14B8">
      <w:pPr>
        <w:pStyle w:val="Casehead1"/>
        <w:keepNext/>
        <w:rPr>
          <w:lang w:val="en-GB"/>
        </w:rPr>
      </w:pPr>
      <w:r w:rsidRPr="008D0AE1">
        <w:rPr>
          <w:lang w:val="en-GB"/>
        </w:rPr>
        <w:lastRenderedPageBreak/>
        <w:t>Amazon’s China Strategy</w:t>
      </w:r>
    </w:p>
    <w:p w14:paraId="4024C756" w14:textId="77777777" w:rsidR="000C14B8" w:rsidRPr="008D0AE1" w:rsidRDefault="000C14B8" w:rsidP="000C14B8">
      <w:pPr>
        <w:pStyle w:val="BodyTextMain"/>
        <w:keepNext/>
        <w:rPr>
          <w:lang w:val="en-GB"/>
        </w:rPr>
      </w:pPr>
    </w:p>
    <w:p w14:paraId="5DFFF20D" w14:textId="3BAA983F" w:rsidR="000C14B8" w:rsidRPr="0056630E" w:rsidRDefault="000C14B8" w:rsidP="000C14B8">
      <w:pPr>
        <w:pStyle w:val="BodyTextMain"/>
        <w:keepNext/>
        <w:rPr>
          <w:spacing w:val="-2"/>
          <w:lang w:val="en-GB"/>
        </w:rPr>
      </w:pPr>
      <w:r w:rsidRPr="0056630E">
        <w:rPr>
          <w:spacing w:val="-2"/>
          <w:lang w:val="en-GB"/>
        </w:rPr>
        <w:t>On August 19, 2004, Amazon leaped into the Chinese market with a $75 million buyout of Joyo.com Limited (Joyo)—China’s largest online book, music, and video retailer.</w:t>
      </w:r>
      <w:r w:rsidRPr="0056630E">
        <w:rPr>
          <w:spacing w:val="-2"/>
          <w:vertAlign w:val="superscript"/>
          <w:lang w:val="en-GB"/>
        </w:rPr>
        <w:endnoteReference w:id="8"/>
      </w:r>
      <w:r w:rsidRPr="0056630E">
        <w:rPr>
          <w:spacing w:val="-2"/>
          <w:lang w:val="en-GB"/>
        </w:rPr>
        <w:t xml:space="preserve"> Before the acquisition, Joyo, which was founded under </w:t>
      </w:r>
      <w:r w:rsidR="00934CDC" w:rsidRPr="001769BF">
        <w:rPr>
          <w:spacing w:val="-2"/>
          <w:lang w:val="en-GB"/>
        </w:rPr>
        <w:t>C</w:t>
      </w:r>
      <w:r w:rsidRPr="001769BF">
        <w:rPr>
          <w:spacing w:val="-2"/>
          <w:lang w:val="en-GB"/>
        </w:rPr>
        <w:t xml:space="preserve">hief </w:t>
      </w:r>
      <w:r w:rsidR="00934CDC" w:rsidRPr="001769BF">
        <w:rPr>
          <w:spacing w:val="-2"/>
          <w:lang w:val="en-GB"/>
        </w:rPr>
        <w:t>E</w:t>
      </w:r>
      <w:r w:rsidRPr="001769BF">
        <w:rPr>
          <w:spacing w:val="-2"/>
          <w:lang w:val="en-GB"/>
        </w:rPr>
        <w:t xml:space="preserve">xecutive </w:t>
      </w:r>
      <w:r w:rsidR="00934CDC" w:rsidRPr="001769BF">
        <w:rPr>
          <w:spacing w:val="-2"/>
          <w:lang w:val="en-GB"/>
        </w:rPr>
        <w:t>O</w:t>
      </w:r>
      <w:r w:rsidRPr="001769BF">
        <w:rPr>
          <w:spacing w:val="-2"/>
          <w:lang w:val="en-GB"/>
        </w:rPr>
        <w:t xml:space="preserve">fficer </w:t>
      </w:r>
      <w:r w:rsidRPr="0056630E">
        <w:rPr>
          <w:spacing w:val="-2"/>
          <w:lang w:val="en-GB"/>
        </w:rPr>
        <w:t xml:space="preserve">Jun Lei in May 2000, had </w:t>
      </w:r>
      <w:r w:rsidR="00934CDC" w:rsidRPr="0056630E">
        <w:rPr>
          <w:spacing w:val="-2"/>
          <w:lang w:val="en-GB"/>
        </w:rPr>
        <w:t xml:space="preserve">recorded </w:t>
      </w:r>
      <w:r w:rsidRPr="0056630E">
        <w:rPr>
          <w:spacing w:val="-2"/>
          <w:lang w:val="en-GB"/>
        </w:rPr>
        <w:t>sales of $12.69 million</w:t>
      </w:r>
      <w:r w:rsidRPr="0056630E">
        <w:rPr>
          <w:spacing w:val="-2"/>
          <w:vertAlign w:val="superscript"/>
          <w:lang w:val="en-GB"/>
        </w:rPr>
        <w:endnoteReference w:id="9"/>
      </w:r>
      <w:r w:rsidRPr="0056630E">
        <w:rPr>
          <w:spacing w:val="-2"/>
          <w:lang w:val="en-GB"/>
        </w:rPr>
        <w:t xml:space="preserve"> during the first half of the year. The acquisition represented a revolution </w:t>
      </w:r>
      <w:r w:rsidR="00934CDC" w:rsidRPr="0056630E">
        <w:rPr>
          <w:spacing w:val="-2"/>
          <w:lang w:val="en-GB"/>
        </w:rPr>
        <w:t>for</w:t>
      </w:r>
      <w:r w:rsidRPr="0056630E">
        <w:rPr>
          <w:spacing w:val="-2"/>
          <w:lang w:val="en-GB"/>
        </w:rPr>
        <w:t xml:space="preserve"> the online business-to-consumer (B2C) model in </w:t>
      </w:r>
      <w:r w:rsidR="00934CDC" w:rsidRPr="0056630E">
        <w:rPr>
          <w:spacing w:val="-2"/>
          <w:lang w:val="en-GB"/>
        </w:rPr>
        <w:t xml:space="preserve">the </w:t>
      </w:r>
      <w:r w:rsidRPr="0056630E">
        <w:rPr>
          <w:spacing w:val="-2"/>
          <w:lang w:val="en-GB"/>
        </w:rPr>
        <w:t>Chinese market. Amazon spokesperson Patty Smith said that Amazon would apply the same template for running the Chinese operation that it ha</w:t>
      </w:r>
      <w:r w:rsidR="00934CDC" w:rsidRPr="0056630E">
        <w:rPr>
          <w:spacing w:val="-2"/>
          <w:lang w:val="en-GB"/>
        </w:rPr>
        <w:t>d</w:t>
      </w:r>
      <w:r w:rsidRPr="0056630E">
        <w:rPr>
          <w:spacing w:val="-2"/>
          <w:lang w:val="en-GB"/>
        </w:rPr>
        <w:t xml:space="preserve"> implemented in other regions, making sure that it respect</w:t>
      </w:r>
      <w:r w:rsidR="00934CDC" w:rsidRPr="0056630E">
        <w:rPr>
          <w:spacing w:val="-2"/>
          <w:lang w:val="en-GB"/>
        </w:rPr>
        <w:t>ed</w:t>
      </w:r>
      <w:r w:rsidRPr="0056630E">
        <w:rPr>
          <w:spacing w:val="-2"/>
          <w:lang w:val="en-GB"/>
        </w:rPr>
        <w:t xml:space="preserve"> local customs and regulations regarding the products it s</w:t>
      </w:r>
      <w:r w:rsidR="00934CDC" w:rsidRPr="0056630E">
        <w:rPr>
          <w:spacing w:val="-2"/>
          <w:lang w:val="en-GB"/>
        </w:rPr>
        <w:t>old</w:t>
      </w:r>
      <w:r w:rsidRPr="0056630E">
        <w:rPr>
          <w:spacing w:val="-2"/>
          <w:lang w:val="en-GB"/>
        </w:rPr>
        <w:t xml:space="preserve"> in the region.</w:t>
      </w:r>
      <w:r w:rsidRPr="0056630E">
        <w:rPr>
          <w:rStyle w:val="EndnoteReference"/>
          <w:spacing w:val="-2"/>
          <w:lang w:val="en-GB"/>
        </w:rPr>
        <w:endnoteReference w:id="10"/>
      </w:r>
      <w:r w:rsidRPr="0056630E">
        <w:rPr>
          <w:spacing w:val="-2"/>
          <w:lang w:val="en-GB"/>
        </w:rPr>
        <w:t xml:space="preserve"> </w:t>
      </w:r>
    </w:p>
    <w:p w14:paraId="3EF5C553" w14:textId="77777777" w:rsidR="000C14B8" w:rsidRPr="008D0AE1" w:rsidRDefault="000C14B8" w:rsidP="009F2501">
      <w:pPr>
        <w:pStyle w:val="BodyTextMain"/>
        <w:rPr>
          <w:lang w:val="en-GB"/>
        </w:rPr>
      </w:pPr>
    </w:p>
    <w:p w14:paraId="759FCA81" w14:textId="1E0E8877" w:rsidR="000C14B8" w:rsidRPr="008D0AE1" w:rsidRDefault="000C14B8" w:rsidP="00815F1C">
      <w:pPr>
        <w:pStyle w:val="BodyTextMain"/>
        <w:rPr>
          <w:lang w:val="en-GB"/>
        </w:rPr>
      </w:pPr>
      <w:r w:rsidRPr="008D0AE1">
        <w:rPr>
          <w:lang w:val="en-GB"/>
        </w:rPr>
        <w:t>More than a year after the acquisition was completed, Amazon launched its own database system to replace Joyo’s</w:t>
      </w:r>
      <w:r w:rsidRPr="008D0AE1" w:rsidDel="00507A91">
        <w:rPr>
          <w:lang w:val="en-GB"/>
        </w:rPr>
        <w:t xml:space="preserve"> </w:t>
      </w:r>
      <w:r w:rsidRPr="008D0AE1">
        <w:rPr>
          <w:lang w:val="en-GB"/>
        </w:rPr>
        <w:t>previous system. This replacement process, which was intended to emphasize Amazon’s information technology (IT) systems, took Amazon three years</w:t>
      </w:r>
      <w:r w:rsidR="00934CDC">
        <w:rPr>
          <w:lang w:val="en-GB"/>
        </w:rPr>
        <w:t xml:space="preserve"> to carry out</w:t>
      </w:r>
      <w:r w:rsidRPr="008D0AE1">
        <w:rPr>
          <w:lang w:val="en-GB"/>
        </w:rPr>
        <w:t>. On June 5, 2007, Joyo officially changed its name from Joyo to Joyo-Amazon, and on October 27, 2011</w:t>
      </w:r>
      <w:r w:rsidR="00934CDC">
        <w:rPr>
          <w:lang w:val="en-GB"/>
        </w:rPr>
        <w:sym w:font="Symbol" w:char="F0BE"/>
      </w:r>
      <w:r w:rsidRPr="008D0AE1">
        <w:rPr>
          <w:lang w:val="en-GB"/>
        </w:rPr>
        <w:t xml:space="preserve">it </w:t>
      </w:r>
      <w:r w:rsidR="00B53598">
        <w:rPr>
          <w:lang w:val="en-GB"/>
        </w:rPr>
        <w:t>had taken</w:t>
      </w:r>
      <w:r w:rsidRPr="008D0AE1">
        <w:rPr>
          <w:lang w:val="en-GB"/>
        </w:rPr>
        <w:t xml:space="preserve"> an additional four years for the company to slowly erase the remaining traces of Joyo</w:t>
      </w:r>
      <w:r w:rsidR="00934CDC">
        <w:rPr>
          <w:lang w:val="en-GB"/>
        </w:rPr>
        <w:sym w:font="Symbol" w:char="F0BE"/>
      </w:r>
      <w:r w:rsidRPr="008D0AE1">
        <w:rPr>
          <w:lang w:val="en-GB"/>
        </w:rPr>
        <w:t>Joyo-Amazon became Amazon China.</w:t>
      </w:r>
      <w:r>
        <w:rPr>
          <w:rStyle w:val="EndnoteReference"/>
          <w:lang w:val="en-GB"/>
        </w:rPr>
        <w:endnoteReference w:id="11"/>
      </w:r>
      <w:r w:rsidRPr="008D0AE1">
        <w:rPr>
          <w:lang w:val="en-GB"/>
        </w:rPr>
        <w:t xml:space="preserve"> Amazon </w:t>
      </w:r>
      <w:r w:rsidR="00383213">
        <w:rPr>
          <w:lang w:val="en-GB"/>
        </w:rPr>
        <w:t xml:space="preserve">brought </w:t>
      </w:r>
      <w:r w:rsidRPr="008D0AE1">
        <w:rPr>
          <w:lang w:val="en-GB"/>
        </w:rPr>
        <w:t xml:space="preserve">not only its globally recognized brand and leading IT system to China, but </w:t>
      </w:r>
      <w:r w:rsidR="00383213">
        <w:rPr>
          <w:lang w:val="en-GB"/>
        </w:rPr>
        <w:t xml:space="preserve">also, </w:t>
      </w:r>
      <w:r w:rsidRPr="008D0AE1">
        <w:rPr>
          <w:lang w:val="en-GB"/>
        </w:rPr>
        <w:t xml:space="preserve">more importantly, its business philosophy. </w:t>
      </w:r>
    </w:p>
    <w:p w14:paraId="0E28B066" w14:textId="77777777" w:rsidR="000C14B8" w:rsidRPr="008D0AE1" w:rsidRDefault="000C14B8" w:rsidP="00815F1C">
      <w:pPr>
        <w:pStyle w:val="BodyTextMain"/>
        <w:rPr>
          <w:lang w:val="en-GB"/>
        </w:rPr>
      </w:pPr>
    </w:p>
    <w:p w14:paraId="4A040482" w14:textId="278F7BAB" w:rsidR="000C14B8" w:rsidRPr="008D0AE1" w:rsidRDefault="000C14B8" w:rsidP="00815F1C">
      <w:pPr>
        <w:pStyle w:val="BodyTextMain"/>
        <w:rPr>
          <w:lang w:val="en-GB"/>
        </w:rPr>
      </w:pPr>
      <w:r w:rsidRPr="008D0AE1">
        <w:rPr>
          <w:lang w:val="en-GB"/>
        </w:rPr>
        <w:t>Bezos had always adhered to the idea of Amazon as a company that focused on customer needs—</w:t>
      </w:r>
      <w:r w:rsidR="00383213">
        <w:rPr>
          <w:lang w:val="en-GB"/>
        </w:rPr>
        <w:t xml:space="preserve">a company </w:t>
      </w:r>
      <w:r w:rsidRPr="008D0AE1">
        <w:rPr>
          <w:lang w:val="en-GB"/>
        </w:rPr>
        <w:t>that was customer-centric rather than competitor-centric. During company meetings, Bezos often placed an empty chair near him to represent the most important person in the meeting: the consumer. In Amazon’s China operation, the opening remarks at executive meetings were often reminders to record and listen to customers. Executives also went to the front line to answer customer complaints from time to time.</w:t>
      </w:r>
      <w:r>
        <w:rPr>
          <w:rStyle w:val="EndnoteReference"/>
          <w:lang w:val="en-GB"/>
        </w:rPr>
        <w:endnoteReference w:id="12"/>
      </w:r>
      <w:r w:rsidRPr="008D0AE1">
        <w:rPr>
          <w:lang w:val="en-GB"/>
        </w:rPr>
        <w:t xml:space="preserve"> There was always a customer experience officer appointed at Amazon; before any product went on the market, it had to be approved by the customer experience officer, who could use their “one-vote veto” to stop any product from becoming available to the market</w:t>
      </w:r>
      <w:r>
        <w:rPr>
          <w:lang w:val="en-GB"/>
        </w:rPr>
        <w:t>.</w:t>
      </w:r>
      <w:r>
        <w:rPr>
          <w:rStyle w:val="EndnoteReference"/>
          <w:lang w:val="en-GB"/>
        </w:rPr>
        <w:endnoteReference w:id="13"/>
      </w:r>
      <w:r w:rsidRPr="008D0AE1">
        <w:rPr>
          <w:lang w:val="en-GB"/>
        </w:rPr>
        <w:t xml:space="preserve"> </w:t>
      </w:r>
    </w:p>
    <w:p w14:paraId="172DC5B2" w14:textId="77777777" w:rsidR="000C14B8" w:rsidRPr="008D0AE1" w:rsidRDefault="000C14B8" w:rsidP="00815F1C">
      <w:pPr>
        <w:pStyle w:val="BodyTextMain"/>
        <w:rPr>
          <w:lang w:val="en-GB"/>
        </w:rPr>
      </w:pPr>
    </w:p>
    <w:p w14:paraId="520608AB" w14:textId="2E960264" w:rsidR="000C14B8" w:rsidRPr="008D0AE1" w:rsidRDefault="000C14B8" w:rsidP="00815F1C">
      <w:pPr>
        <w:pStyle w:val="BodyTextMain"/>
        <w:rPr>
          <w:lang w:val="en-GB"/>
        </w:rPr>
      </w:pPr>
      <w:r w:rsidRPr="008D0AE1">
        <w:rPr>
          <w:lang w:val="en-GB"/>
        </w:rPr>
        <w:t>As an e-commerce company, Amazon thought highly of its supply chain management capabilities, which represented its long-term competitiveness. The company’s focus in the Chinese market was on its complete logistics process. It strived to find the most economical and efficient way to deliver goods from its warehouses into the hands of its end-consumers</w:t>
      </w:r>
      <w:r>
        <w:rPr>
          <w:lang w:val="en-GB"/>
        </w:rPr>
        <w:t>.</w:t>
      </w:r>
      <w:r>
        <w:rPr>
          <w:rStyle w:val="EndnoteReference"/>
          <w:lang w:val="en-GB"/>
        </w:rPr>
        <w:endnoteReference w:id="14"/>
      </w:r>
      <w:r w:rsidRPr="008D0AE1">
        <w:rPr>
          <w:lang w:val="en-GB"/>
        </w:rPr>
        <w:t xml:space="preserve"> </w:t>
      </w:r>
      <w:r>
        <w:rPr>
          <w:lang w:val="en-GB"/>
        </w:rPr>
        <w:t>While Amazon’s</w:t>
      </w:r>
      <w:r w:rsidRPr="008D0AE1">
        <w:rPr>
          <w:lang w:val="en-GB"/>
        </w:rPr>
        <w:t xml:space="preserve"> competitors in the Chinese market—Alibaba Group Holding Limited (Alibaba) and JD.com Inc. (JD), also known as </w:t>
      </w:r>
      <w:proofErr w:type="spellStart"/>
      <w:r w:rsidRPr="008D0AE1">
        <w:rPr>
          <w:lang w:val="en-GB"/>
        </w:rPr>
        <w:t>Jingdong</w:t>
      </w:r>
      <w:proofErr w:type="spellEnd"/>
      <w:r w:rsidRPr="008D0AE1">
        <w:rPr>
          <w:lang w:val="en-GB"/>
        </w:rPr>
        <w:t xml:space="preserve">—participated in price wars </w:t>
      </w:r>
      <w:r>
        <w:rPr>
          <w:lang w:val="en-GB"/>
        </w:rPr>
        <w:t xml:space="preserve">and rapid free delivery </w:t>
      </w:r>
      <w:r w:rsidRPr="008D0AE1">
        <w:rPr>
          <w:lang w:val="en-GB"/>
        </w:rPr>
        <w:t>to dramatically increase their active user bases</w:t>
      </w:r>
      <w:r>
        <w:rPr>
          <w:lang w:val="en-GB"/>
        </w:rPr>
        <w:t xml:space="preserve"> at the time, Amazon relied less on price-based competition.</w:t>
      </w:r>
      <w:r w:rsidRPr="008D0AE1">
        <w:rPr>
          <w:lang w:val="en-GB"/>
        </w:rPr>
        <w:t xml:space="preserve"> </w:t>
      </w:r>
    </w:p>
    <w:p w14:paraId="4C875B24" w14:textId="77777777" w:rsidR="000C14B8" w:rsidRPr="008D0AE1" w:rsidRDefault="000C14B8" w:rsidP="00815F1C">
      <w:pPr>
        <w:pStyle w:val="BodyTextMain"/>
        <w:rPr>
          <w:lang w:val="en-GB"/>
        </w:rPr>
      </w:pPr>
    </w:p>
    <w:p w14:paraId="7FC057CE" w14:textId="326FB684" w:rsidR="000C14B8" w:rsidRPr="008D0AE1" w:rsidRDefault="000C14B8" w:rsidP="00815F1C">
      <w:pPr>
        <w:pStyle w:val="BodyTextMain"/>
        <w:rPr>
          <w:lang w:val="en-GB"/>
        </w:rPr>
      </w:pPr>
      <w:r w:rsidRPr="008D0AE1">
        <w:rPr>
          <w:lang w:val="en-GB"/>
        </w:rPr>
        <w:t>In 2016, Amazon launched Amazon Prime in China, which allowed 70 per cent of its users in China to enjoy same-day or next-day domestic delivery and five- to</w:t>
      </w:r>
      <w:r>
        <w:rPr>
          <w:lang w:val="en-GB"/>
        </w:rPr>
        <w:t xml:space="preserve"> </w:t>
      </w:r>
      <w:r w:rsidRPr="008D0AE1">
        <w:rPr>
          <w:lang w:val="en-GB"/>
        </w:rPr>
        <w:t>12-day overseas delivery. There were three options for joining Prime: a monthly subscription of $15; an annual subscription of</w:t>
      </w:r>
      <w:r>
        <w:rPr>
          <w:lang w:val="en-GB"/>
        </w:rPr>
        <w:t xml:space="preserve"> </w:t>
      </w:r>
      <w:r w:rsidRPr="008D0AE1">
        <w:rPr>
          <w:lang w:val="en-GB"/>
        </w:rPr>
        <w:t>$55; or an annual package that combined services from Amazon and Tencent Holdings Limited (Tencent),</w:t>
      </w:r>
      <w:r w:rsidRPr="008D0AE1">
        <w:rPr>
          <w:vertAlign w:val="superscript"/>
          <w:lang w:val="en-GB"/>
        </w:rPr>
        <w:endnoteReference w:id="15"/>
      </w:r>
      <w:r w:rsidRPr="008D0AE1">
        <w:rPr>
          <w:lang w:val="en-GB"/>
        </w:rPr>
        <w:t xml:space="preserve"> for</w:t>
      </w:r>
      <w:r>
        <w:rPr>
          <w:lang w:val="en-GB"/>
        </w:rPr>
        <w:t xml:space="preserve"> </w:t>
      </w:r>
      <w:r w:rsidRPr="008D0AE1">
        <w:rPr>
          <w:lang w:val="en-GB"/>
        </w:rPr>
        <w:t>$56</w:t>
      </w:r>
      <w:r>
        <w:rPr>
          <w:rStyle w:val="EndnoteReference"/>
          <w:lang w:val="en-GB"/>
        </w:rPr>
        <w:endnoteReference w:id="16"/>
      </w:r>
      <w:r w:rsidRPr="008D0AE1">
        <w:rPr>
          <w:lang w:val="en-GB"/>
        </w:rPr>
        <w:t xml:space="preserve"> (see Exhibit 3). </w:t>
      </w:r>
    </w:p>
    <w:p w14:paraId="10F570FA" w14:textId="77777777" w:rsidR="000C14B8" w:rsidRPr="008D0AE1" w:rsidRDefault="000C14B8" w:rsidP="00815F1C">
      <w:pPr>
        <w:pStyle w:val="BodyTextMain"/>
        <w:rPr>
          <w:lang w:val="en-GB"/>
        </w:rPr>
      </w:pPr>
    </w:p>
    <w:p w14:paraId="32FBD31B" w14:textId="02B9A340" w:rsidR="000C14B8" w:rsidRPr="008D0AE1" w:rsidRDefault="000C14B8" w:rsidP="00815F1C">
      <w:pPr>
        <w:pStyle w:val="BodyTextMain"/>
        <w:rPr>
          <w:lang w:val="en-GB"/>
        </w:rPr>
      </w:pPr>
      <w:r w:rsidRPr="008D0AE1">
        <w:rPr>
          <w:lang w:val="en-GB"/>
        </w:rPr>
        <w:t>Despite its efforts, and in contrast to the company’s rapid development in the North American market, Amazon’s share of the Chinese market declined over the first 14 years. In 2008, the company had a market share of 15.4 per cent, which fell to 2.1 per cent in 2015, and then fell even further, to 0.6 per cent in 2018. Although there were no official financial figures reported, Amazon China</w:t>
      </w:r>
      <w:r>
        <w:rPr>
          <w:lang w:val="en-GB"/>
        </w:rPr>
        <w:t xml:space="preserve"> </w:t>
      </w:r>
      <w:r w:rsidRPr="004C1225">
        <w:rPr>
          <w:lang w:val="en-GB"/>
        </w:rPr>
        <w:t>was believed to have</w:t>
      </w:r>
      <w:r w:rsidRPr="008D0AE1">
        <w:rPr>
          <w:lang w:val="en-GB"/>
        </w:rPr>
        <w:t xml:space="preserve"> experienced an estimated loss of $</w:t>
      </w:r>
      <w:r>
        <w:rPr>
          <w:lang w:val="en-GB"/>
        </w:rPr>
        <w:t>600</w:t>
      </w:r>
      <w:r w:rsidRPr="008D0AE1">
        <w:rPr>
          <w:lang w:val="en-GB"/>
        </w:rPr>
        <w:t xml:space="preserve"> million in 2014.</w:t>
      </w:r>
      <w:r w:rsidRPr="00334576">
        <w:rPr>
          <w:vertAlign w:val="superscript"/>
          <w:lang w:val="en-GB"/>
        </w:rPr>
        <w:endnoteReference w:id="17"/>
      </w:r>
      <w:r w:rsidRPr="008D0AE1">
        <w:rPr>
          <w:lang w:val="en-GB"/>
        </w:rPr>
        <w:t xml:space="preserve"> </w:t>
      </w:r>
    </w:p>
    <w:p w14:paraId="01DE73B3" w14:textId="77777777" w:rsidR="000C14B8" w:rsidRPr="008D0AE1" w:rsidRDefault="000C14B8" w:rsidP="00815F1C">
      <w:pPr>
        <w:pStyle w:val="BodyTextMain"/>
        <w:rPr>
          <w:lang w:val="en-GB"/>
        </w:rPr>
      </w:pPr>
    </w:p>
    <w:p w14:paraId="783285C9" w14:textId="77777777" w:rsidR="000C14B8" w:rsidRPr="008D0AE1" w:rsidRDefault="000C14B8" w:rsidP="00815F1C">
      <w:pPr>
        <w:pStyle w:val="BodyTextMain"/>
        <w:rPr>
          <w:lang w:val="en-GB"/>
        </w:rPr>
      </w:pPr>
    </w:p>
    <w:p w14:paraId="4E09590B" w14:textId="77777777" w:rsidR="000C14B8" w:rsidRPr="008D0AE1" w:rsidRDefault="000C14B8" w:rsidP="000C14B8">
      <w:pPr>
        <w:pStyle w:val="Casehead1"/>
        <w:keepNext/>
        <w:rPr>
          <w:lang w:val="en-GB"/>
        </w:rPr>
      </w:pPr>
      <w:r w:rsidRPr="00012788">
        <w:rPr>
          <w:lang w:val="en-GB"/>
        </w:rPr>
        <w:lastRenderedPageBreak/>
        <w:t>China’s E-Commerce Industry</w:t>
      </w:r>
      <w:r w:rsidRPr="008D0AE1">
        <w:rPr>
          <w:lang w:val="en-GB"/>
        </w:rPr>
        <w:t xml:space="preserve"> </w:t>
      </w:r>
    </w:p>
    <w:p w14:paraId="57A9CB9F" w14:textId="77777777" w:rsidR="000C14B8" w:rsidRPr="008D0AE1" w:rsidRDefault="000C14B8" w:rsidP="000C14B8">
      <w:pPr>
        <w:pStyle w:val="BodyTextMain"/>
        <w:keepNext/>
        <w:rPr>
          <w:lang w:val="en-GB"/>
        </w:rPr>
      </w:pPr>
    </w:p>
    <w:p w14:paraId="27F56E53" w14:textId="2515D11A" w:rsidR="000C14B8" w:rsidRPr="008D0AE1" w:rsidRDefault="000C14B8" w:rsidP="000C14B8">
      <w:pPr>
        <w:pStyle w:val="BodyTextMain"/>
        <w:keepNext/>
        <w:rPr>
          <w:lang w:val="en-GB"/>
        </w:rPr>
      </w:pPr>
      <w:r w:rsidRPr="008D0AE1">
        <w:rPr>
          <w:lang w:val="en-GB"/>
        </w:rPr>
        <w:t>Since 2007, China’s e-commerce industry had been experiencing exponential growth due to the increased popularity of the Internet, and the country’s modernized telecommunications infrastructure, which made it affordable for people to access the Internet. The years 2007 through 2010 saw rapid growth in the number of consumers going online. In each of these years, China gained between 73 million and 88 million new Internet users—a volume that exceeded the populations of France, South Korea</w:t>
      </w:r>
      <w:r w:rsidR="004D1A11">
        <w:rPr>
          <w:lang w:val="en-GB"/>
        </w:rPr>
        <w:t>,</w:t>
      </w:r>
      <w:r w:rsidRPr="008D0AE1">
        <w:rPr>
          <w:lang w:val="en-GB"/>
        </w:rPr>
        <w:t xml:space="preserve"> and Canada</w:t>
      </w:r>
      <w:r>
        <w:rPr>
          <w:rStyle w:val="EndnoteReference"/>
          <w:lang w:val="en-GB"/>
        </w:rPr>
        <w:endnoteReference w:id="18"/>
      </w:r>
      <w:r w:rsidRPr="008D0AE1">
        <w:rPr>
          <w:lang w:val="en-GB"/>
        </w:rPr>
        <w:t xml:space="preserve"> (see Exhibit 4). Chinese consumers went from having little familiarity with online shopping to having a relatively high level of comfort and adoption. From 2011 to 2015, e-commerce also rapidly expanded from major hubs to penetrate suburban and rural areas in mainland China. </w:t>
      </w:r>
    </w:p>
    <w:p w14:paraId="0D963EA5" w14:textId="77777777" w:rsidR="000C14B8" w:rsidRPr="008D0AE1" w:rsidRDefault="000C14B8" w:rsidP="00815F1C">
      <w:pPr>
        <w:pStyle w:val="BodyTextMain"/>
        <w:rPr>
          <w:lang w:val="en-GB"/>
        </w:rPr>
      </w:pPr>
    </w:p>
    <w:p w14:paraId="57EE0746" w14:textId="6538CA2F" w:rsidR="000C14B8" w:rsidRPr="008D0AE1" w:rsidRDefault="000C14B8" w:rsidP="00815F1C">
      <w:pPr>
        <w:pStyle w:val="BodyTextMain"/>
        <w:rPr>
          <w:lang w:val="en-GB"/>
        </w:rPr>
      </w:pPr>
      <w:r w:rsidRPr="008D0AE1">
        <w:rPr>
          <w:lang w:val="en-GB"/>
        </w:rPr>
        <w:t xml:space="preserve">Chinese consumers could be divided into four segments based on their purchasing power, which was characterized as light, moderate, heavy, </w:t>
      </w:r>
      <w:r w:rsidR="00133A10">
        <w:rPr>
          <w:lang w:val="en-GB"/>
        </w:rPr>
        <w:t>and</w:t>
      </w:r>
      <w:r w:rsidRPr="008D0AE1">
        <w:rPr>
          <w:lang w:val="en-GB"/>
        </w:rPr>
        <w:t xml:space="preserve"> super-heavy. Annual online spending for light spenders was less than approximately $1,000–$2,000</w:t>
      </w:r>
      <w:r w:rsidR="00133A10">
        <w:rPr>
          <w:lang w:val="en-GB"/>
        </w:rPr>
        <w:t>,</w:t>
      </w:r>
      <w:r w:rsidRPr="008D0AE1">
        <w:rPr>
          <w:lang w:val="en-GB"/>
        </w:rPr>
        <w:t xml:space="preserve"> and super-heavy spenders spent more than approximately $2,000. Although super-heavy spenders accounted for only 7 per cent of total e-shoppers, they contributed 40 per cent of the total online spending amount (see Exhibit 5). By 2015, average annual online spending was approximately $1,200</w:t>
      </w:r>
      <w:r>
        <w:rPr>
          <w:lang w:val="en-GB"/>
        </w:rPr>
        <w:t xml:space="preserve"> per shopper</w:t>
      </w:r>
      <w:r w:rsidRPr="008D0AE1">
        <w:rPr>
          <w:lang w:val="en-GB"/>
        </w:rPr>
        <w:t>.</w:t>
      </w:r>
      <w:r>
        <w:rPr>
          <w:rStyle w:val="EndnoteReference"/>
          <w:lang w:val="en-GB"/>
        </w:rPr>
        <w:endnoteReference w:id="19"/>
      </w:r>
    </w:p>
    <w:p w14:paraId="6199DF45" w14:textId="77777777" w:rsidR="000C14B8" w:rsidRPr="008D0AE1" w:rsidRDefault="000C14B8" w:rsidP="00815F1C">
      <w:pPr>
        <w:pStyle w:val="BodyTextMain"/>
        <w:rPr>
          <w:lang w:val="en-GB"/>
        </w:rPr>
      </w:pPr>
    </w:p>
    <w:p w14:paraId="671747E9" w14:textId="4EB146FD" w:rsidR="000C14B8" w:rsidRPr="008D0AE1" w:rsidRDefault="000C14B8" w:rsidP="00815F1C">
      <w:pPr>
        <w:pStyle w:val="BodyTextMain"/>
        <w:rPr>
          <w:lang w:val="en-GB"/>
        </w:rPr>
      </w:pPr>
      <w:r w:rsidRPr="008D0AE1">
        <w:rPr>
          <w:lang w:val="en-GB"/>
        </w:rPr>
        <w:t>Chinese e-shoppers were able to access a wide range of goods through e-commerce sites, for example, apparel, appliances, skin care and cosmetics, baby products, health products, travel</w:t>
      </w:r>
      <w:r w:rsidR="00133A10">
        <w:rPr>
          <w:lang w:val="en-GB"/>
        </w:rPr>
        <w:t xml:space="preserve"> products</w:t>
      </w:r>
      <w:r w:rsidRPr="008D0AE1">
        <w:rPr>
          <w:lang w:val="en-GB"/>
        </w:rPr>
        <w:t>, and study materials. Of these, apparel—the first and biggest e-commerce category in China—accounted for approximately 50 per cent of the total market transaction value. The majority of consumer demand in China was linked to unique brands that were not found in brick-and-mortar shops. For example, in the case of skin</w:t>
      </w:r>
      <w:r w:rsidR="00133A10">
        <w:rPr>
          <w:lang w:val="en-GB"/>
        </w:rPr>
        <w:t xml:space="preserve"> </w:t>
      </w:r>
      <w:r w:rsidRPr="008D0AE1">
        <w:rPr>
          <w:lang w:val="en-GB"/>
        </w:rPr>
        <w:t xml:space="preserve">care and cosmetics products, 25–35 per cent of customers were shopping online because they could not find items in local retail stores. In urban centres, more cosmopolitan consumers were seeking out brands that had not yet entered China. In less densely populated areas, e-shoppers more often searched for brands with limited coverage that were not available in local retail stores. Chinese e-shoppers were </w:t>
      </w:r>
      <w:r>
        <w:rPr>
          <w:lang w:val="en-GB"/>
        </w:rPr>
        <w:t xml:space="preserve">relatively </w:t>
      </w:r>
      <w:r w:rsidRPr="008D0AE1">
        <w:rPr>
          <w:lang w:val="en-GB"/>
        </w:rPr>
        <w:t xml:space="preserve">price sensitive, and loved to spend time looking for deals. Without the fixed costs of operating retail stores, online shopping platforms were able to offer </w:t>
      </w:r>
      <w:r w:rsidR="00133A10">
        <w:rPr>
          <w:lang w:val="en-GB"/>
        </w:rPr>
        <w:t>shoppers</w:t>
      </w:r>
      <w:r w:rsidRPr="008D0AE1">
        <w:rPr>
          <w:lang w:val="en-GB"/>
        </w:rPr>
        <w:t xml:space="preserve"> the best deals across China.</w:t>
      </w:r>
      <w:r w:rsidRPr="008D0AE1">
        <w:rPr>
          <w:vertAlign w:val="superscript"/>
          <w:lang w:val="en-GB"/>
        </w:rPr>
        <w:endnoteReference w:id="20"/>
      </w:r>
    </w:p>
    <w:p w14:paraId="032E9A6D" w14:textId="77777777" w:rsidR="000C14B8" w:rsidRPr="008D0AE1" w:rsidRDefault="000C14B8" w:rsidP="00815F1C">
      <w:pPr>
        <w:pStyle w:val="BodyTextMain"/>
        <w:rPr>
          <w:lang w:val="en-GB"/>
        </w:rPr>
      </w:pPr>
    </w:p>
    <w:p w14:paraId="2DE706D7" w14:textId="7B78481B" w:rsidR="000C14B8" w:rsidRPr="008D0AE1" w:rsidRDefault="000C14B8" w:rsidP="00815F1C">
      <w:pPr>
        <w:pStyle w:val="BodyTextMain"/>
        <w:rPr>
          <w:lang w:val="en-GB"/>
        </w:rPr>
      </w:pPr>
      <w:r w:rsidRPr="008D0AE1">
        <w:rPr>
          <w:lang w:val="en-GB"/>
        </w:rPr>
        <w:t xml:space="preserve">Overall, the e-commerce market in China </w:t>
      </w:r>
      <w:r w:rsidR="00947CBB">
        <w:rPr>
          <w:lang w:val="en-GB"/>
        </w:rPr>
        <w:t>had grown</w:t>
      </w:r>
      <w:r w:rsidRPr="008D0AE1">
        <w:rPr>
          <w:lang w:val="en-GB"/>
        </w:rPr>
        <w:t xml:space="preserve"> dramatically. In 2017, the estimated market size surpassed approximately $380 billion</w:t>
      </w:r>
      <w:r w:rsidR="00947CBB">
        <w:rPr>
          <w:lang w:val="en-GB"/>
        </w:rPr>
        <w:t>.</w:t>
      </w:r>
      <w:r>
        <w:rPr>
          <w:rStyle w:val="EndnoteReference"/>
          <w:lang w:val="en-GB"/>
        </w:rPr>
        <w:endnoteReference w:id="21"/>
      </w:r>
      <w:r w:rsidRPr="008D0AE1">
        <w:rPr>
          <w:lang w:val="en-GB"/>
        </w:rPr>
        <w:t xml:space="preserve"> </w:t>
      </w:r>
      <w:proofErr w:type="spellStart"/>
      <w:r w:rsidRPr="008D0AE1">
        <w:rPr>
          <w:lang w:val="en-GB"/>
        </w:rPr>
        <w:t>Tmall</w:t>
      </w:r>
      <w:proofErr w:type="spellEnd"/>
      <w:r w:rsidRPr="008D0AE1">
        <w:rPr>
          <w:lang w:val="en-GB"/>
        </w:rPr>
        <w:t xml:space="preserve"> and Taobao, both owned by Alibaba, and JD were the three giant market leaders in China, accounting for an enormous portion of the local market share. In total, they represented approximately 88 per cent of the Chinese market in 2017: </w:t>
      </w:r>
      <w:proofErr w:type="spellStart"/>
      <w:r w:rsidRPr="008D0AE1">
        <w:rPr>
          <w:lang w:val="en-GB"/>
        </w:rPr>
        <w:t>Tmall</w:t>
      </w:r>
      <w:proofErr w:type="spellEnd"/>
      <w:r w:rsidRPr="008D0AE1">
        <w:rPr>
          <w:lang w:val="en-GB"/>
        </w:rPr>
        <w:t xml:space="preserve"> represented 38 per cent, Taobao represented 32</w:t>
      </w:r>
      <w:r>
        <w:rPr>
          <w:lang w:val="en-GB"/>
        </w:rPr>
        <w:t xml:space="preserve"> </w:t>
      </w:r>
      <w:r w:rsidRPr="008D0AE1">
        <w:rPr>
          <w:lang w:val="en-GB"/>
        </w:rPr>
        <w:t>per cent, and JD represented 18 per cent</w:t>
      </w:r>
      <w:r w:rsidR="00947CBB">
        <w:rPr>
          <w:lang w:val="en-GB"/>
        </w:rPr>
        <w:t>.</w:t>
      </w:r>
      <w:r>
        <w:rPr>
          <w:rStyle w:val="EndnoteReference"/>
          <w:lang w:val="en-GB"/>
        </w:rPr>
        <w:endnoteReference w:id="22"/>
      </w:r>
      <w:r w:rsidDel="00E06FD7">
        <w:rPr>
          <w:rStyle w:val="EndnoteReference"/>
          <w:lang w:val="en-GB"/>
        </w:rPr>
        <w:t xml:space="preserve"> </w:t>
      </w:r>
      <w:r w:rsidRPr="008D0AE1">
        <w:rPr>
          <w:lang w:val="en-GB"/>
        </w:rPr>
        <w:t xml:space="preserve">These companies had virtually defined the e-commerce landscape in China. </w:t>
      </w:r>
    </w:p>
    <w:p w14:paraId="12FE2547" w14:textId="77777777" w:rsidR="000C14B8" w:rsidRPr="008D0AE1" w:rsidRDefault="000C14B8" w:rsidP="00815F1C">
      <w:pPr>
        <w:pStyle w:val="BodyTextMain"/>
        <w:rPr>
          <w:b/>
          <w:lang w:val="en-GB"/>
        </w:rPr>
      </w:pPr>
    </w:p>
    <w:p w14:paraId="3AE8BDA1" w14:textId="31F6CF84" w:rsidR="000C14B8" w:rsidRPr="008D0AE1" w:rsidRDefault="000C14B8" w:rsidP="00980BB5">
      <w:pPr>
        <w:pStyle w:val="BodyTextMain"/>
        <w:rPr>
          <w:lang w:val="en-GB"/>
        </w:rPr>
      </w:pPr>
      <w:r w:rsidRPr="008D0AE1">
        <w:rPr>
          <w:lang w:val="en-GB"/>
        </w:rPr>
        <w:t>On Novem</w:t>
      </w:r>
      <w:bookmarkStart w:id="0" w:name="_GoBack"/>
      <w:bookmarkEnd w:id="0"/>
      <w:r w:rsidRPr="008D0AE1">
        <w:rPr>
          <w:lang w:val="en-GB"/>
        </w:rPr>
        <w:t>ber 11, 2018, Alibaba reported transaction volumes of $30.8 billion online over 24 hours</w:t>
      </w:r>
      <w:r>
        <w:rPr>
          <w:rStyle w:val="EndnoteReference"/>
          <w:lang w:val="en-GB"/>
        </w:rPr>
        <w:endnoteReference w:id="23"/>
      </w:r>
      <w:r w:rsidRPr="008D0AE1">
        <w:rPr>
          <w:lang w:val="en-GB"/>
        </w:rPr>
        <w:t xml:space="preserve"> for its Singles </w:t>
      </w:r>
      <w:r w:rsidRPr="00980BB5">
        <w:rPr>
          <w:lang w:val="en-GB"/>
        </w:rPr>
        <w:t>Day Celebration</w:t>
      </w:r>
      <w:r w:rsidRPr="00980BB5">
        <w:rPr>
          <w:highlight w:val="white"/>
          <w:lang w:val="en-GB"/>
        </w:rPr>
        <w:t xml:space="preserve">—a promotional event invented by Alibaba and held on that date because the digit “1” </w:t>
      </w:r>
      <w:r w:rsidRPr="00980BB5">
        <w:rPr>
          <w:lang w:val="en-GB"/>
        </w:rPr>
        <w:t>(in 11/11)</w:t>
      </w:r>
      <w:r w:rsidRPr="00980BB5">
        <w:rPr>
          <w:highlight w:val="white"/>
          <w:lang w:val="en-GB"/>
        </w:rPr>
        <w:t xml:space="preserve"> </w:t>
      </w:r>
      <w:r w:rsidRPr="00980BB5">
        <w:rPr>
          <w:lang w:val="en-GB"/>
        </w:rPr>
        <w:t>symbolized</w:t>
      </w:r>
      <w:r w:rsidRPr="00980BB5">
        <w:rPr>
          <w:highlight w:val="white"/>
          <w:lang w:val="en-GB"/>
        </w:rPr>
        <w:t xml:space="preserve"> a </w:t>
      </w:r>
      <w:r w:rsidRPr="00980BB5">
        <w:rPr>
          <w:lang w:val="en-GB"/>
        </w:rPr>
        <w:t>single person</w:t>
      </w:r>
      <w:r w:rsidRPr="00980BB5">
        <w:rPr>
          <w:highlight w:val="white"/>
          <w:lang w:val="en-GB"/>
        </w:rPr>
        <w:t xml:space="preserve">. The promotional event was meant to be about everyone—not just </w:t>
      </w:r>
      <w:r w:rsidRPr="00980BB5">
        <w:rPr>
          <w:lang w:val="en-GB"/>
        </w:rPr>
        <w:t>singles</w:t>
      </w:r>
      <w:r w:rsidRPr="00980BB5">
        <w:rPr>
          <w:highlight w:val="white"/>
          <w:lang w:val="en-GB"/>
        </w:rPr>
        <w:t>—and invited customers to treat themselves</w:t>
      </w:r>
      <w:r w:rsidRPr="00980BB5">
        <w:rPr>
          <w:lang w:val="en-GB"/>
        </w:rPr>
        <w:t xml:space="preserve"> to products they had always wanted. The 2018</w:t>
      </w:r>
      <w:r w:rsidRPr="008D0AE1">
        <w:rPr>
          <w:lang w:val="en-GB"/>
        </w:rPr>
        <w:t xml:space="preserve"> transaction volume was a significant increase of $25.3 billion in gross merchandise volume over the total spent by Alibaba shoppers in 2017. By now, China had the second-largest population of online shoppers—145 million, compared to 170 million in the United States—more than twice the number in Japan and five times th</w:t>
      </w:r>
      <w:r w:rsidR="00947CBB">
        <w:rPr>
          <w:lang w:val="en-GB"/>
        </w:rPr>
        <w:t>e number</w:t>
      </w:r>
      <w:r w:rsidRPr="008D0AE1">
        <w:rPr>
          <w:lang w:val="en-GB"/>
        </w:rPr>
        <w:t xml:space="preserve"> in the United Kingdom</w:t>
      </w:r>
      <w:r w:rsidR="00947CBB">
        <w:rPr>
          <w:lang w:val="en-GB"/>
        </w:rPr>
        <w:t>.</w:t>
      </w:r>
      <w:r>
        <w:rPr>
          <w:rStyle w:val="EndnoteReference"/>
          <w:lang w:val="en-GB"/>
        </w:rPr>
        <w:endnoteReference w:id="24"/>
      </w:r>
      <w:r w:rsidDel="00E06FD7">
        <w:rPr>
          <w:rStyle w:val="EndnoteReference"/>
          <w:lang w:val="en-GB"/>
        </w:rPr>
        <w:t xml:space="preserve"> </w:t>
      </w:r>
      <w:r w:rsidRPr="0068476B">
        <w:rPr>
          <w:vertAlign w:val="superscript"/>
          <w:lang w:val="en-GB"/>
        </w:rPr>
        <w:t xml:space="preserve"> </w:t>
      </w:r>
    </w:p>
    <w:p w14:paraId="0DBFA31B" w14:textId="77777777" w:rsidR="000C14B8" w:rsidRPr="008D0AE1" w:rsidRDefault="000C14B8" w:rsidP="00815F1C">
      <w:pPr>
        <w:pStyle w:val="BodyTextMain"/>
        <w:rPr>
          <w:lang w:val="en-GB"/>
        </w:rPr>
      </w:pPr>
    </w:p>
    <w:p w14:paraId="0BE0FF94" w14:textId="6483CD99" w:rsidR="000C14B8" w:rsidRPr="008D0AE1" w:rsidRDefault="000C14B8" w:rsidP="00815F1C">
      <w:pPr>
        <w:pStyle w:val="BodyTextMain"/>
        <w:rPr>
          <w:b/>
          <w:lang w:val="en-GB"/>
        </w:rPr>
      </w:pPr>
      <w:r w:rsidRPr="008D0AE1">
        <w:rPr>
          <w:lang w:val="en-GB"/>
        </w:rPr>
        <w:t>As e-commerce continued to be adopted</w:t>
      </w:r>
      <w:r w:rsidR="00947CBB">
        <w:rPr>
          <w:lang w:val="en-GB"/>
        </w:rPr>
        <w:t xml:space="preserve"> in China</w:t>
      </w:r>
      <w:r w:rsidRPr="008D0AE1">
        <w:rPr>
          <w:lang w:val="en-GB"/>
        </w:rPr>
        <w:t xml:space="preserve">, obstacles appeared. These included the lack of a satisfactory payment method, a low level of trust from a consumer population that was wary of counterfeit goods, and logistical challenges. However, 2003 saw the introduction of Alipay, an innovative escrow </w:t>
      </w:r>
      <w:r w:rsidRPr="008D0AE1">
        <w:rPr>
          <w:lang w:val="en-GB"/>
        </w:rPr>
        <w:lastRenderedPageBreak/>
        <w:t xml:space="preserve">account developed by Alibaba. Alipay quickly won over consumers’ confidence and trust because it allowed consumers to pay for their orders after they received their packages. This payment solution was different from the PayPal or credit card methods commonly used in North America, which required customers to pay merchants when they placed orders through platforms such as Amazon. In 2012, </w:t>
      </w:r>
      <w:proofErr w:type="spellStart"/>
      <w:r w:rsidRPr="008D0AE1">
        <w:rPr>
          <w:lang w:val="en-GB"/>
        </w:rPr>
        <w:t>Tmall</w:t>
      </w:r>
      <w:proofErr w:type="spellEnd"/>
      <w:r w:rsidRPr="008D0AE1">
        <w:rPr>
          <w:lang w:val="en-GB"/>
        </w:rPr>
        <w:t xml:space="preserve"> began to sell branded products to effectively address the issue of inferior goods. Alibaba relied on trusted third-party transportation companies such as </w:t>
      </w:r>
      <w:proofErr w:type="spellStart"/>
      <w:r w:rsidRPr="008D0AE1">
        <w:rPr>
          <w:lang w:val="en-GB"/>
        </w:rPr>
        <w:t>Cainiao</w:t>
      </w:r>
      <w:proofErr w:type="spellEnd"/>
      <w:r w:rsidRPr="008D0AE1">
        <w:rPr>
          <w:lang w:val="en-GB"/>
        </w:rPr>
        <w:t xml:space="preserve"> Smart Logistics Network Limited, and JD establish</w:t>
      </w:r>
      <w:r w:rsidR="00947CBB">
        <w:rPr>
          <w:lang w:val="en-GB"/>
        </w:rPr>
        <w:t>ed</w:t>
      </w:r>
      <w:r w:rsidRPr="008D0AE1">
        <w:rPr>
          <w:lang w:val="en-GB"/>
        </w:rPr>
        <w:t xml:space="preserve"> its own 100 per cent controlled digital logistics network to ensure that goods were delivered 24–72 hours after orders were placed.</w:t>
      </w:r>
    </w:p>
    <w:p w14:paraId="51B99027" w14:textId="77777777" w:rsidR="000C14B8" w:rsidRPr="008D0AE1" w:rsidRDefault="000C14B8" w:rsidP="00815F1C">
      <w:pPr>
        <w:pStyle w:val="BodyTextMain"/>
        <w:rPr>
          <w:b/>
          <w:lang w:val="en-GB"/>
        </w:rPr>
      </w:pPr>
    </w:p>
    <w:p w14:paraId="56DC1BA2" w14:textId="77777777" w:rsidR="000C14B8" w:rsidRPr="008D0AE1" w:rsidRDefault="000C14B8" w:rsidP="00815F1C">
      <w:pPr>
        <w:pStyle w:val="BodyTextMain"/>
        <w:rPr>
          <w:b/>
          <w:lang w:val="en-GB"/>
        </w:rPr>
      </w:pPr>
    </w:p>
    <w:p w14:paraId="551CEC2B" w14:textId="77777777" w:rsidR="000C14B8" w:rsidRPr="008D0AE1" w:rsidRDefault="000C14B8" w:rsidP="00815F1C">
      <w:pPr>
        <w:pStyle w:val="Casehead1"/>
        <w:rPr>
          <w:lang w:val="en-GB"/>
        </w:rPr>
      </w:pPr>
      <w:r w:rsidRPr="008D0AE1">
        <w:rPr>
          <w:lang w:val="en-GB"/>
        </w:rPr>
        <w:t>Competitive Landscape</w:t>
      </w:r>
    </w:p>
    <w:p w14:paraId="519D110D" w14:textId="77777777" w:rsidR="000C14B8" w:rsidRPr="008D0AE1" w:rsidRDefault="000C14B8" w:rsidP="00815F1C">
      <w:pPr>
        <w:pStyle w:val="BodyTextMain"/>
        <w:rPr>
          <w:lang w:val="en-GB"/>
        </w:rPr>
      </w:pPr>
    </w:p>
    <w:p w14:paraId="11A3FAFD" w14:textId="2F734DD6" w:rsidR="000C14B8" w:rsidRPr="008D0AE1" w:rsidRDefault="000C14B8" w:rsidP="00815F1C">
      <w:pPr>
        <w:pStyle w:val="BodyTextMain"/>
        <w:rPr>
          <w:lang w:val="en-GB"/>
        </w:rPr>
      </w:pPr>
      <w:r w:rsidRPr="008D0AE1">
        <w:rPr>
          <w:lang w:val="en-GB"/>
        </w:rPr>
        <w:t xml:space="preserve">Amazon, the </w:t>
      </w:r>
      <w:r>
        <w:rPr>
          <w:lang w:val="en-GB"/>
        </w:rPr>
        <w:t>leader</w:t>
      </w:r>
      <w:r w:rsidRPr="008D0AE1">
        <w:rPr>
          <w:lang w:val="en-GB"/>
        </w:rPr>
        <w:t xml:space="preserve"> of e-commerce in the global market, was challenged by local rivals when it came to the Chinese market. In China, Alibaba had risen by using the </w:t>
      </w:r>
      <w:r w:rsidR="00947CBB">
        <w:rPr>
          <w:lang w:val="en-GB"/>
        </w:rPr>
        <w:t>customer-to-customer</w:t>
      </w:r>
      <w:r w:rsidRPr="008D0AE1">
        <w:rPr>
          <w:lang w:val="en-GB"/>
        </w:rPr>
        <w:t xml:space="preserve"> model, and JD had established a self-operated digital logistics network; Amazon began its business through mergers and acquisitions. The vastly different business models and strategies</w:t>
      </w:r>
      <w:r w:rsidRPr="008D0AE1" w:rsidDel="00687ECA">
        <w:rPr>
          <w:lang w:val="en-GB"/>
        </w:rPr>
        <w:t xml:space="preserve"> </w:t>
      </w:r>
      <w:r w:rsidRPr="008D0AE1">
        <w:rPr>
          <w:lang w:val="en-GB"/>
        </w:rPr>
        <w:t>used by these three giants meant that they each achieved different results in terms of revenue growth, employees, active end-users, and stock price.</w:t>
      </w:r>
    </w:p>
    <w:p w14:paraId="5AE07887" w14:textId="77777777" w:rsidR="000C14B8" w:rsidRPr="008D0AE1" w:rsidRDefault="000C14B8" w:rsidP="00815F1C">
      <w:pPr>
        <w:pStyle w:val="BodyTextMain"/>
        <w:rPr>
          <w:b/>
          <w:lang w:val="en-GB"/>
        </w:rPr>
      </w:pPr>
    </w:p>
    <w:p w14:paraId="45437086" w14:textId="77777777" w:rsidR="000C14B8" w:rsidRPr="008D0AE1" w:rsidRDefault="000C14B8" w:rsidP="00815F1C">
      <w:pPr>
        <w:pStyle w:val="BodyTextMain"/>
        <w:rPr>
          <w:b/>
          <w:lang w:val="en-GB"/>
        </w:rPr>
      </w:pPr>
    </w:p>
    <w:p w14:paraId="707CAADB" w14:textId="2B9A7275" w:rsidR="000C14B8" w:rsidRPr="008D0AE1" w:rsidRDefault="000C14B8" w:rsidP="00815F1C">
      <w:pPr>
        <w:pStyle w:val="Casehead2"/>
        <w:rPr>
          <w:lang w:val="en-GB"/>
        </w:rPr>
      </w:pPr>
      <w:r w:rsidRPr="008D0AE1">
        <w:rPr>
          <w:lang w:val="en-GB"/>
        </w:rPr>
        <w:t>Alibaba</w:t>
      </w:r>
    </w:p>
    <w:p w14:paraId="79B38F43" w14:textId="77777777" w:rsidR="000C14B8" w:rsidRPr="00F81037" w:rsidRDefault="000C14B8" w:rsidP="00815F1C">
      <w:pPr>
        <w:pStyle w:val="BodyTextMain"/>
        <w:rPr>
          <w:sz w:val="14"/>
          <w:szCs w:val="14"/>
          <w:lang w:val="en-GB"/>
        </w:rPr>
      </w:pPr>
    </w:p>
    <w:p w14:paraId="788BF958" w14:textId="5F25CE84" w:rsidR="000C14B8" w:rsidRPr="008D0AE1" w:rsidRDefault="000C14B8" w:rsidP="00815F1C">
      <w:pPr>
        <w:pStyle w:val="BodyTextMain"/>
        <w:rPr>
          <w:lang w:val="en-GB"/>
        </w:rPr>
      </w:pPr>
      <w:r w:rsidRPr="008D0AE1">
        <w:rPr>
          <w:lang w:val="en-GB"/>
        </w:rPr>
        <w:t xml:space="preserve">Founded in 1998 by Jack Ma, Alibaba took 20 years to become </w:t>
      </w:r>
      <w:r>
        <w:rPr>
          <w:lang w:val="en-GB"/>
        </w:rPr>
        <w:t>a business empire</w:t>
      </w:r>
      <w:r w:rsidRPr="008D0AE1">
        <w:rPr>
          <w:lang w:val="en-GB"/>
        </w:rPr>
        <w:t xml:space="preserve"> covering industries such as e-commerce, retail, technology, cloud computing, entertainment, and financial services (see Exhibit 6).</w:t>
      </w:r>
    </w:p>
    <w:p w14:paraId="2CE9967D" w14:textId="77777777" w:rsidR="000C14B8" w:rsidRPr="00F81037" w:rsidRDefault="000C14B8" w:rsidP="00815F1C">
      <w:pPr>
        <w:pStyle w:val="BodyTextMain"/>
        <w:rPr>
          <w:sz w:val="14"/>
          <w:szCs w:val="14"/>
          <w:u w:val="single"/>
          <w:lang w:val="en-GB"/>
        </w:rPr>
      </w:pPr>
    </w:p>
    <w:p w14:paraId="47408BF0" w14:textId="77777777" w:rsidR="000C14B8" w:rsidRPr="00F81037" w:rsidRDefault="000C14B8" w:rsidP="00815F1C">
      <w:pPr>
        <w:pStyle w:val="BodyTextMain"/>
        <w:rPr>
          <w:sz w:val="14"/>
          <w:szCs w:val="14"/>
          <w:u w:val="single"/>
          <w:lang w:val="en-GB"/>
        </w:rPr>
      </w:pPr>
    </w:p>
    <w:p w14:paraId="183EF415" w14:textId="77777777" w:rsidR="000C14B8" w:rsidRPr="008D0AE1" w:rsidRDefault="000C14B8" w:rsidP="00815F1C">
      <w:pPr>
        <w:pStyle w:val="Casehead3"/>
        <w:rPr>
          <w:lang w:val="en-GB"/>
        </w:rPr>
      </w:pPr>
      <w:r w:rsidRPr="008D0AE1">
        <w:rPr>
          <w:lang w:val="en-GB"/>
        </w:rPr>
        <w:t xml:space="preserve">Revenue Growth </w:t>
      </w:r>
    </w:p>
    <w:p w14:paraId="3CED6D14" w14:textId="77777777" w:rsidR="000C14B8" w:rsidRPr="00F81037" w:rsidRDefault="000C14B8" w:rsidP="00815F1C">
      <w:pPr>
        <w:pStyle w:val="Casehead3"/>
        <w:rPr>
          <w:sz w:val="14"/>
          <w:szCs w:val="14"/>
          <w:lang w:val="en-GB"/>
        </w:rPr>
      </w:pPr>
    </w:p>
    <w:p w14:paraId="33CFD906" w14:textId="7850D854" w:rsidR="000C14B8" w:rsidRPr="00C240C1" w:rsidRDefault="000C14B8" w:rsidP="00961B10">
      <w:pPr>
        <w:pStyle w:val="BodyTextMain"/>
        <w:rPr>
          <w:lang w:val="en-GB"/>
        </w:rPr>
      </w:pPr>
      <w:r w:rsidRPr="00C240C1">
        <w:rPr>
          <w:lang w:val="en-GB"/>
        </w:rPr>
        <w:t>Based on a business model of charging web operating fees and advertising display fees from sellers, Alibaba realized exponential growth from 2010 to 2017. In 2010, its total revenue was only $6.67 million (see Exhibit 7)</w:t>
      </w:r>
      <w:r w:rsidR="00C240C1">
        <w:rPr>
          <w:spacing w:val="-2"/>
          <w:lang w:val="en-GB"/>
        </w:rPr>
        <w:t>,</w:t>
      </w:r>
      <w:r w:rsidRPr="00C240C1">
        <w:rPr>
          <w:lang w:val="en-GB"/>
        </w:rPr>
        <w:t xml:space="preserve"> </w:t>
      </w:r>
      <w:r w:rsidR="00C240C1">
        <w:rPr>
          <w:spacing w:val="-2"/>
          <w:lang w:val="en-GB"/>
        </w:rPr>
        <w:t>but</w:t>
      </w:r>
      <w:r w:rsidRPr="00C240C1">
        <w:rPr>
          <w:lang w:val="en-GB"/>
        </w:rPr>
        <w:t xml:space="preserve"> by 2017 its total revenue had soared to $158.273 million.</w:t>
      </w:r>
      <w:r w:rsidRPr="00C240C1">
        <w:rPr>
          <w:rStyle w:val="EndnoteReference"/>
          <w:lang w:val="en-GB"/>
        </w:rPr>
        <w:endnoteReference w:id="25"/>
      </w:r>
      <w:r w:rsidRPr="00C240C1">
        <w:rPr>
          <w:lang w:val="en-GB"/>
        </w:rPr>
        <w:t xml:space="preserve"> Alibaba </w:t>
      </w:r>
      <w:r w:rsidR="00947CBB" w:rsidRPr="00C240C1">
        <w:rPr>
          <w:lang w:val="en-GB"/>
        </w:rPr>
        <w:t xml:space="preserve">was able to </w:t>
      </w:r>
      <w:r w:rsidRPr="00C240C1">
        <w:rPr>
          <w:lang w:val="en-GB"/>
        </w:rPr>
        <w:t xml:space="preserve">maintain </w:t>
      </w:r>
      <w:r w:rsidR="00947CBB" w:rsidRPr="00C240C1">
        <w:rPr>
          <w:lang w:val="en-GB"/>
        </w:rPr>
        <w:t>a</w:t>
      </w:r>
      <w:r w:rsidRPr="00C240C1">
        <w:rPr>
          <w:lang w:val="en-GB"/>
        </w:rPr>
        <w:t xml:space="preserve"> positive growth rate trend of between 32.7 per cent and 78.5 per cent. With a compound annual growth rate of 57 per cent and a gross margin that was the highest among the three competitors, at approximately 60 per cent,</w:t>
      </w:r>
      <w:r w:rsidRPr="00C240C1">
        <w:rPr>
          <w:rStyle w:val="EndnoteReference"/>
          <w:lang w:val="en-GB"/>
        </w:rPr>
        <w:endnoteReference w:id="26"/>
      </w:r>
      <w:r w:rsidRPr="00C240C1">
        <w:rPr>
          <w:lang w:val="en-GB"/>
        </w:rPr>
        <w:t xml:space="preserve"> Alibaba crushed other online retailers in China. For example, more products were purchased on Taobao in 2010 than at China’s top five brick-and-mortar retailers combined, making it the biggest retailer in China. The site boasted more than 800 million products and sold 48,000 items per minute.</w:t>
      </w:r>
      <w:r w:rsidRPr="00C240C1">
        <w:rPr>
          <w:rStyle w:val="EndnoteReference"/>
          <w:lang w:val="en-GB"/>
        </w:rPr>
        <w:endnoteReference w:id="27"/>
      </w:r>
      <w:r w:rsidRPr="00C240C1">
        <w:rPr>
          <w:lang w:val="en-GB"/>
        </w:rPr>
        <w:t xml:space="preserve"> </w:t>
      </w:r>
    </w:p>
    <w:p w14:paraId="47C57F5D" w14:textId="77777777" w:rsidR="000C14B8" w:rsidRPr="00F81037" w:rsidRDefault="000C14B8" w:rsidP="00961B10">
      <w:pPr>
        <w:pStyle w:val="BodyTextMain"/>
        <w:rPr>
          <w:sz w:val="14"/>
          <w:szCs w:val="14"/>
          <w:lang w:val="en-GB"/>
        </w:rPr>
      </w:pPr>
    </w:p>
    <w:p w14:paraId="18304781" w14:textId="25BC0F33" w:rsidR="000C14B8" w:rsidRPr="008D0AE1" w:rsidRDefault="000C14B8" w:rsidP="00815F1C">
      <w:pPr>
        <w:pStyle w:val="BodyTextMain"/>
        <w:rPr>
          <w:lang w:val="en-GB"/>
        </w:rPr>
      </w:pPr>
      <w:r w:rsidRPr="008D0AE1">
        <w:rPr>
          <w:lang w:val="en-GB"/>
        </w:rPr>
        <w:t>In addition to focusing on maintaining its growth trend, the Alibaba group was also dedicated to a number of other projects, including research collaborations with stated-owned research organizations into quantum comput</w:t>
      </w:r>
      <w:r>
        <w:rPr>
          <w:lang w:val="en-GB"/>
        </w:rPr>
        <w:t>ing</w:t>
      </w:r>
      <w:r w:rsidRPr="008D0AE1">
        <w:rPr>
          <w:lang w:val="en-GB"/>
        </w:rPr>
        <w:t xml:space="preserve"> to develop artificial intelligence (AI) technology. The company also opened Hema supermarkets—which, like Amazon Go, brought technology-based convenience to Chinese consumers—and launched </w:t>
      </w:r>
      <w:proofErr w:type="spellStart"/>
      <w:r w:rsidRPr="008D0AE1">
        <w:rPr>
          <w:lang w:val="en-GB"/>
        </w:rPr>
        <w:t>FlyZoo</w:t>
      </w:r>
      <w:proofErr w:type="spellEnd"/>
      <w:r w:rsidRPr="008D0AE1">
        <w:rPr>
          <w:lang w:val="en-GB"/>
        </w:rPr>
        <w:t xml:space="preserve"> Future Hotel, equipped with the latest leading technology,</w:t>
      </w:r>
      <w:r w:rsidRPr="008D0AE1" w:rsidDel="000A72E6">
        <w:rPr>
          <w:lang w:val="en-GB"/>
        </w:rPr>
        <w:t xml:space="preserve"> </w:t>
      </w:r>
      <w:r w:rsidRPr="008D0AE1">
        <w:rPr>
          <w:lang w:val="en-GB"/>
        </w:rPr>
        <w:t>in October 2018. The hotel incorporated many futuristic features: guests were able to check in without talking to anyone, and they could walk straight to their rooms and gain entry via facial recognition at the door</w:t>
      </w:r>
      <w:r>
        <w:rPr>
          <w:lang w:val="en-GB"/>
        </w:rPr>
        <w:t>.</w:t>
      </w:r>
    </w:p>
    <w:p w14:paraId="0F33CC73" w14:textId="77777777" w:rsidR="000C14B8" w:rsidRPr="00F81037" w:rsidRDefault="000C14B8" w:rsidP="00815F1C">
      <w:pPr>
        <w:pStyle w:val="BodyTextMain"/>
        <w:rPr>
          <w:sz w:val="14"/>
          <w:szCs w:val="14"/>
          <w:lang w:val="en-GB"/>
        </w:rPr>
      </w:pPr>
    </w:p>
    <w:p w14:paraId="7B7E7420" w14:textId="77777777" w:rsidR="000C14B8" w:rsidRPr="00F81037" w:rsidRDefault="000C14B8" w:rsidP="00815F1C">
      <w:pPr>
        <w:pStyle w:val="BodyTextMain"/>
        <w:rPr>
          <w:sz w:val="14"/>
          <w:szCs w:val="14"/>
          <w:lang w:val="en-GB"/>
        </w:rPr>
      </w:pPr>
    </w:p>
    <w:p w14:paraId="51370E2D" w14:textId="77777777" w:rsidR="000C14B8" w:rsidRPr="008D0AE1" w:rsidRDefault="000C14B8" w:rsidP="000C14B8">
      <w:pPr>
        <w:pStyle w:val="Casehead3"/>
        <w:keepNext/>
        <w:rPr>
          <w:lang w:val="en-GB"/>
        </w:rPr>
      </w:pPr>
      <w:r w:rsidRPr="008D0AE1">
        <w:rPr>
          <w:lang w:val="en-GB"/>
        </w:rPr>
        <w:t>Number of Employees</w:t>
      </w:r>
    </w:p>
    <w:p w14:paraId="3D39E3FD" w14:textId="77777777" w:rsidR="000C14B8" w:rsidRPr="00F81037" w:rsidRDefault="000C14B8" w:rsidP="000C14B8">
      <w:pPr>
        <w:pStyle w:val="Casehead3"/>
        <w:keepNext/>
        <w:rPr>
          <w:sz w:val="14"/>
          <w:szCs w:val="14"/>
          <w:lang w:val="en-GB"/>
        </w:rPr>
      </w:pPr>
    </w:p>
    <w:p w14:paraId="4827A93E" w14:textId="0D02ED88" w:rsidR="000C14B8" w:rsidRPr="008D0AE1" w:rsidRDefault="000C14B8" w:rsidP="000C14B8">
      <w:pPr>
        <w:pStyle w:val="BodyTextMain"/>
        <w:keepNext/>
        <w:rPr>
          <w:lang w:val="en-GB"/>
        </w:rPr>
      </w:pPr>
      <w:r w:rsidRPr="008D0AE1">
        <w:rPr>
          <w:lang w:val="en-GB"/>
        </w:rPr>
        <w:t>Alibaba employed about 66,000 people globally</w:t>
      </w:r>
      <w:r>
        <w:rPr>
          <w:lang w:val="en-GB"/>
        </w:rPr>
        <w:t xml:space="preserve"> in 2018</w:t>
      </w:r>
      <w:r w:rsidRPr="008D0AE1">
        <w:rPr>
          <w:lang w:val="en-GB"/>
        </w:rPr>
        <w:t>.</w:t>
      </w:r>
      <w:r>
        <w:rPr>
          <w:rStyle w:val="EndnoteReference"/>
          <w:lang w:val="en-GB"/>
        </w:rPr>
        <w:endnoteReference w:id="28"/>
      </w:r>
      <w:r w:rsidRPr="008D0AE1">
        <w:rPr>
          <w:lang w:val="en-GB"/>
        </w:rPr>
        <w:t xml:space="preserve"> Although it had a relatively smaller talent pool than its two closest rivals, Alibaba was able to successfully attract the right talent to bring value to the business. For instance, the Alibaba Global Leadership Academy</w:t>
      </w:r>
      <w:r>
        <w:rPr>
          <w:lang w:val="en-GB"/>
        </w:rPr>
        <w:t xml:space="preserve"> </w:t>
      </w:r>
      <w:r w:rsidRPr="008D0AE1">
        <w:rPr>
          <w:lang w:val="en-GB"/>
        </w:rPr>
        <w:t xml:space="preserve">was responsible for developing unique talents and dedicated to nurturing </w:t>
      </w:r>
      <w:r w:rsidR="00C240C1">
        <w:rPr>
          <w:lang w:val="en-GB"/>
        </w:rPr>
        <w:t>a</w:t>
      </w:r>
      <w:r w:rsidRPr="008D0AE1">
        <w:rPr>
          <w:lang w:val="en-GB"/>
        </w:rPr>
        <w:t xml:space="preserve"> global mindset and </w:t>
      </w:r>
      <w:r w:rsidR="00C240C1">
        <w:rPr>
          <w:lang w:val="en-GB"/>
        </w:rPr>
        <w:t>the</w:t>
      </w:r>
      <w:r w:rsidRPr="008D0AE1">
        <w:rPr>
          <w:lang w:val="en-GB"/>
        </w:rPr>
        <w:t xml:space="preserve"> skills required for international growth.</w:t>
      </w:r>
      <w:r>
        <w:rPr>
          <w:rStyle w:val="EndnoteReference"/>
          <w:lang w:val="en-GB"/>
        </w:rPr>
        <w:endnoteReference w:id="29"/>
      </w:r>
    </w:p>
    <w:p w14:paraId="349481A5" w14:textId="77777777" w:rsidR="000C14B8" w:rsidRPr="008D0AE1" w:rsidRDefault="000C14B8" w:rsidP="00815F1C">
      <w:pPr>
        <w:pStyle w:val="BodyTextMain"/>
        <w:rPr>
          <w:lang w:val="en-GB"/>
        </w:rPr>
      </w:pPr>
    </w:p>
    <w:p w14:paraId="403E73C7" w14:textId="4986D68E" w:rsidR="000C14B8" w:rsidRPr="008D0AE1" w:rsidRDefault="000C14B8" w:rsidP="00815F1C">
      <w:pPr>
        <w:pStyle w:val="Casehead3"/>
        <w:rPr>
          <w:lang w:val="en-GB"/>
        </w:rPr>
      </w:pPr>
      <w:r w:rsidRPr="008D0AE1">
        <w:rPr>
          <w:lang w:val="en-GB"/>
        </w:rPr>
        <w:lastRenderedPageBreak/>
        <w:t>Active End-Users</w:t>
      </w:r>
    </w:p>
    <w:p w14:paraId="70EC3E31" w14:textId="77777777" w:rsidR="000C14B8" w:rsidRPr="008D0AE1" w:rsidRDefault="000C14B8" w:rsidP="00815F1C">
      <w:pPr>
        <w:pStyle w:val="Casehead3"/>
        <w:rPr>
          <w:lang w:val="en-GB"/>
        </w:rPr>
      </w:pPr>
    </w:p>
    <w:p w14:paraId="36EC7528" w14:textId="2DBFA183" w:rsidR="000C14B8" w:rsidRPr="008D0AE1" w:rsidRDefault="000C14B8" w:rsidP="00815F1C">
      <w:pPr>
        <w:pStyle w:val="BodyTextMain"/>
        <w:rPr>
          <w:lang w:val="en-GB"/>
        </w:rPr>
      </w:pPr>
      <w:r w:rsidRPr="008D0AE1">
        <w:rPr>
          <w:lang w:val="en-GB"/>
        </w:rPr>
        <w:t xml:space="preserve">The number of active end-users was a predominant indicator </w:t>
      </w:r>
      <w:r w:rsidR="00C240C1">
        <w:rPr>
          <w:lang w:val="en-GB"/>
        </w:rPr>
        <w:t>of</w:t>
      </w:r>
      <w:r w:rsidRPr="008D0AE1">
        <w:rPr>
          <w:lang w:val="en-GB"/>
        </w:rPr>
        <w:t xml:space="preserve"> the popularity of an e-commerce company because it indicated client stickiness and loyalty. The higher the quantity of active end-users, the higher the possibility of retaining customers and increasing gross merchandise volume</w:t>
      </w:r>
      <w:r w:rsidR="00C240C1">
        <w:rPr>
          <w:lang w:val="en-GB"/>
        </w:rPr>
        <w:t>.</w:t>
      </w:r>
      <w:r>
        <w:rPr>
          <w:rStyle w:val="EndnoteReference"/>
          <w:lang w:val="en-GB"/>
        </w:rPr>
        <w:endnoteReference w:id="30"/>
      </w:r>
      <w:r w:rsidRPr="008D0AE1">
        <w:rPr>
          <w:lang w:val="en-GB"/>
        </w:rPr>
        <w:t xml:space="preserve"> As the market leader in 2018, Alibaba had approximately 5.5 billion active end-users</w:t>
      </w:r>
      <w:r w:rsidR="00C240C1">
        <w:rPr>
          <w:lang w:val="en-GB"/>
        </w:rPr>
        <w:t xml:space="preserve"> (see Exhibit 8).</w:t>
      </w:r>
      <w:r>
        <w:rPr>
          <w:rStyle w:val="EndnoteReference"/>
          <w:lang w:val="en-GB"/>
        </w:rPr>
        <w:endnoteReference w:id="31"/>
      </w:r>
      <w:r w:rsidRPr="008D0AE1">
        <w:rPr>
          <w:lang w:val="en-GB"/>
        </w:rPr>
        <w:t xml:space="preserve"> </w:t>
      </w:r>
    </w:p>
    <w:p w14:paraId="28574D89" w14:textId="77777777" w:rsidR="000C14B8" w:rsidRPr="008D0AE1" w:rsidRDefault="000C14B8" w:rsidP="00815F1C">
      <w:pPr>
        <w:pStyle w:val="BodyTextMain"/>
        <w:rPr>
          <w:lang w:val="en-GB"/>
        </w:rPr>
      </w:pPr>
    </w:p>
    <w:p w14:paraId="4C957498" w14:textId="77777777" w:rsidR="000C14B8" w:rsidRPr="008D0AE1" w:rsidRDefault="000C14B8" w:rsidP="00815F1C">
      <w:pPr>
        <w:pStyle w:val="BodyTextMain"/>
        <w:rPr>
          <w:lang w:val="en-GB"/>
        </w:rPr>
      </w:pPr>
    </w:p>
    <w:p w14:paraId="3846379E" w14:textId="77777777" w:rsidR="000C14B8" w:rsidRPr="008D0AE1" w:rsidRDefault="000C14B8" w:rsidP="00815F1C">
      <w:pPr>
        <w:pStyle w:val="Casehead3"/>
        <w:rPr>
          <w:lang w:val="en-GB"/>
        </w:rPr>
      </w:pPr>
      <w:r w:rsidRPr="008D0AE1">
        <w:rPr>
          <w:lang w:val="en-GB"/>
        </w:rPr>
        <w:t>Business Strategy</w:t>
      </w:r>
    </w:p>
    <w:p w14:paraId="1CA6CAAE" w14:textId="77777777" w:rsidR="000C14B8" w:rsidRPr="008D0AE1" w:rsidRDefault="000C14B8" w:rsidP="00815F1C">
      <w:pPr>
        <w:pStyle w:val="Casehead3"/>
        <w:rPr>
          <w:lang w:val="en-GB"/>
        </w:rPr>
      </w:pPr>
    </w:p>
    <w:p w14:paraId="78D080BC" w14:textId="1E13AA05" w:rsidR="000C14B8" w:rsidRPr="008D0AE1" w:rsidRDefault="000C14B8" w:rsidP="00815F1C">
      <w:pPr>
        <w:pStyle w:val="BodyTextMain"/>
        <w:rPr>
          <w:lang w:val="en-GB"/>
        </w:rPr>
      </w:pPr>
      <w:r w:rsidRPr="008D0AE1">
        <w:rPr>
          <w:lang w:val="en-GB"/>
        </w:rPr>
        <w:t>As the e-commerce business gradually matured in China, Alibaba began to seek business diversification. Alibaba’s cloud services subsidiary,</w:t>
      </w:r>
      <w:r w:rsidR="00D36830">
        <w:rPr>
          <w:lang w:val="en-GB"/>
        </w:rPr>
        <w:t xml:space="preserve"> Alibaba Cloud, saw strong growth, with the company s</w:t>
      </w:r>
      <w:r w:rsidR="00F069CB">
        <w:rPr>
          <w:lang w:val="en-GB"/>
        </w:rPr>
        <w:t>haring</w:t>
      </w:r>
      <w:r w:rsidR="00D36830">
        <w:rPr>
          <w:lang w:val="en-GB"/>
        </w:rPr>
        <w:t xml:space="preserve"> that</w:t>
      </w:r>
      <w:r w:rsidRPr="008D0AE1">
        <w:rPr>
          <w:lang w:val="en-GB"/>
        </w:rPr>
        <w:t xml:space="preserve"> </w:t>
      </w:r>
      <w:r w:rsidR="00D36830">
        <w:rPr>
          <w:lang w:val="en-GB"/>
        </w:rPr>
        <w:t>“</w:t>
      </w:r>
      <w:r>
        <w:rPr>
          <w:lang w:val="en-GB"/>
        </w:rPr>
        <w:t>f</w:t>
      </w:r>
      <w:r w:rsidRPr="001B4418">
        <w:rPr>
          <w:lang w:val="en-GB"/>
        </w:rPr>
        <w:t>or the 12 months ended September 30, 2018, revenue from cloud computing increased 90 per</w:t>
      </w:r>
      <w:r w:rsidR="00BF393F">
        <w:rPr>
          <w:lang w:val="en-GB"/>
        </w:rPr>
        <w:t xml:space="preserve"> </w:t>
      </w:r>
      <w:r w:rsidRPr="001B4418">
        <w:rPr>
          <w:lang w:val="en-GB"/>
        </w:rPr>
        <w:t>cent year over year to reach $825 million, driven by higher value-added services and robust paying customer growth</w:t>
      </w:r>
      <w:r w:rsidRPr="008D0AE1">
        <w:rPr>
          <w:lang w:val="en-GB"/>
        </w:rPr>
        <w:t>.</w:t>
      </w:r>
      <w:r w:rsidR="00D36830">
        <w:rPr>
          <w:lang w:val="en-GB"/>
        </w:rPr>
        <w:t>”</w:t>
      </w:r>
      <w:r>
        <w:rPr>
          <w:rStyle w:val="EndnoteReference"/>
          <w:lang w:val="en-GB"/>
        </w:rPr>
        <w:endnoteReference w:id="32"/>
      </w:r>
      <w:r>
        <w:rPr>
          <w:lang w:val="en-GB"/>
        </w:rPr>
        <w:t xml:space="preserve"> </w:t>
      </w:r>
      <w:r w:rsidRPr="008D0AE1">
        <w:rPr>
          <w:lang w:val="en-GB"/>
        </w:rPr>
        <w:t xml:space="preserve">Alipay became the primary payment solution when consumers </w:t>
      </w:r>
      <w:r w:rsidR="00D36830">
        <w:rPr>
          <w:lang w:val="en-GB"/>
        </w:rPr>
        <w:t xml:space="preserve">made </w:t>
      </w:r>
      <w:r w:rsidRPr="008D0AE1">
        <w:rPr>
          <w:lang w:val="en-GB"/>
        </w:rPr>
        <w:t>purchase</w:t>
      </w:r>
      <w:r w:rsidR="00D36830">
        <w:rPr>
          <w:lang w:val="en-GB"/>
        </w:rPr>
        <w:t>s</w:t>
      </w:r>
      <w:r w:rsidRPr="008D0AE1">
        <w:rPr>
          <w:lang w:val="en-GB"/>
        </w:rPr>
        <w:t xml:space="preserve"> online; Alibaba also built China’s first information network based on credit history, Ant Financial Services Group (Ant Financial). In 2018, the Canadian government made a strategic agreement with Ant Financial</w:t>
      </w:r>
      <w:r w:rsidR="00D36830">
        <w:rPr>
          <w:lang w:val="en-GB"/>
        </w:rPr>
        <w:t>,</w:t>
      </w:r>
      <w:r w:rsidRPr="008D0AE1">
        <w:rPr>
          <w:lang w:val="en-GB"/>
        </w:rPr>
        <w:t xml:space="preserve"> </w:t>
      </w:r>
      <w:r w:rsidR="00D36830">
        <w:rPr>
          <w:lang w:val="en-GB"/>
        </w:rPr>
        <w:t xml:space="preserve">with </w:t>
      </w:r>
      <w:r w:rsidRPr="008D0AE1">
        <w:rPr>
          <w:lang w:val="en-GB"/>
        </w:rPr>
        <w:t xml:space="preserve">the </w:t>
      </w:r>
      <w:r w:rsidR="00D36830">
        <w:rPr>
          <w:lang w:val="en-GB"/>
        </w:rPr>
        <w:t xml:space="preserve">two </w:t>
      </w:r>
      <w:r w:rsidRPr="008D0AE1">
        <w:rPr>
          <w:lang w:val="en-GB"/>
        </w:rPr>
        <w:t>countries agree</w:t>
      </w:r>
      <w:r w:rsidR="00D36830">
        <w:rPr>
          <w:lang w:val="en-GB"/>
        </w:rPr>
        <w:t>ing</w:t>
      </w:r>
      <w:r w:rsidRPr="008D0AE1">
        <w:rPr>
          <w:lang w:val="en-GB"/>
        </w:rPr>
        <w:t xml:space="preserve"> that Chinese tourists could provide their Ant Financial credit reports (i.e., their personal credit scores) in lieu of personal bank statements when they applied for travel visas to Canada. </w:t>
      </w:r>
      <w:r w:rsidR="00D36830">
        <w:rPr>
          <w:lang w:val="en-GB"/>
        </w:rPr>
        <w:t>By</w:t>
      </w:r>
      <w:r w:rsidRPr="008D0AE1">
        <w:rPr>
          <w:lang w:val="en-GB"/>
        </w:rPr>
        <w:t xml:space="preserve"> 2017, Taobao’s overseas website had been introduced in </w:t>
      </w:r>
      <w:r>
        <w:rPr>
          <w:lang w:val="en-GB"/>
        </w:rPr>
        <w:t>1</w:t>
      </w:r>
      <w:r w:rsidRPr="008D0AE1">
        <w:rPr>
          <w:lang w:val="en-GB"/>
        </w:rPr>
        <w:t xml:space="preserve">2 countries and </w:t>
      </w:r>
      <w:r w:rsidR="003C0AAA">
        <w:rPr>
          <w:lang w:val="en-GB"/>
        </w:rPr>
        <w:t xml:space="preserve">was </w:t>
      </w:r>
      <w:r w:rsidRPr="008D0AE1">
        <w:rPr>
          <w:lang w:val="en-GB"/>
        </w:rPr>
        <w:t>provid</w:t>
      </w:r>
      <w:r w:rsidR="003C0AAA">
        <w:rPr>
          <w:lang w:val="en-GB"/>
        </w:rPr>
        <w:t>ing</w:t>
      </w:r>
      <w:r w:rsidRPr="008D0AE1">
        <w:rPr>
          <w:lang w:val="en-GB"/>
        </w:rPr>
        <w:t xml:space="preserve"> services to local customers in </w:t>
      </w:r>
      <w:r w:rsidR="00D36830">
        <w:rPr>
          <w:lang w:val="en-GB"/>
        </w:rPr>
        <w:t>six</w:t>
      </w:r>
      <w:r w:rsidRPr="008D0AE1">
        <w:rPr>
          <w:lang w:val="en-GB"/>
        </w:rPr>
        <w:t xml:space="preserve"> languages</w:t>
      </w:r>
      <w:r w:rsidRPr="0056630E">
        <w:rPr>
          <w:rFonts w:eastAsia="SimSun"/>
        </w:rPr>
        <w:t>.</w:t>
      </w:r>
      <w:r w:rsidR="00C240C1">
        <w:rPr>
          <w:rFonts w:eastAsia="SimSun"/>
        </w:rPr>
        <w:t xml:space="preserve"> </w:t>
      </w:r>
      <w:r w:rsidRPr="008D0AE1">
        <w:rPr>
          <w:lang w:val="en-GB"/>
        </w:rPr>
        <w:t>It became the biggest export B2C platform in China</w:t>
      </w:r>
      <w:r w:rsidR="00D36830">
        <w:rPr>
          <w:lang w:val="en-GB"/>
        </w:rPr>
        <w:t>.</w:t>
      </w:r>
      <w:r w:rsidRPr="008D0AE1">
        <w:rPr>
          <w:lang w:val="en-GB"/>
        </w:rPr>
        <w:t xml:space="preserve"> </w:t>
      </w:r>
      <w:r w:rsidR="00D36830">
        <w:rPr>
          <w:lang w:val="en-GB"/>
        </w:rPr>
        <w:t>M</w:t>
      </w:r>
      <w:r w:rsidRPr="008D0AE1">
        <w:rPr>
          <w:lang w:val="en-GB"/>
        </w:rPr>
        <w:t>eanwhile, in order to resolve the issue of overseas payments, Alipay extended its strategic co-operation with Chinese merchants to accept Alipay payments</w:t>
      </w:r>
      <w:r w:rsidR="003C0AAA">
        <w:rPr>
          <w:lang w:val="en-GB"/>
        </w:rPr>
        <w:t>;</w:t>
      </w:r>
      <w:r w:rsidRPr="008D0AE1">
        <w:rPr>
          <w:lang w:val="en-GB"/>
        </w:rPr>
        <w:t xml:space="preserve"> </w:t>
      </w:r>
      <w:r w:rsidR="003C0AAA">
        <w:rPr>
          <w:lang w:val="en-GB"/>
        </w:rPr>
        <w:t xml:space="preserve">in Canada, </w:t>
      </w:r>
      <w:r w:rsidRPr="008D0AE1">
        <w:rPr>
          <w:lang w:val="en-GB"/>
        </w:rPr>
        <w:t>for example, it was now convenient for Chinese tourists to buy merchandise using Alipay. In addition to the existing services, Alibaba also planned to enter the health</w:t>
      </w:r>
      <w:r w:rsidR="00D36830">
        <w:rPr>
          <w:lang w:val="en-GB"/>
        </w:rPr>
        <w:t xml:space="preserve"> </w:t>
      </w:r>
      <w:r w:rsidRPr="008D0AE1">
        <w:rPr>
          <w:lang w:val="en-GB"/>
        </w:rPr>
        <w:t>care industry and bring value to Chinese consumers by leveraging its existing big data and technology.</w:t>
      </w:r>
      <w:r>
        <w:rPr>
          <w:rStyle w:val="EndnoteReference"/>
          <w:lang w:val="en-GB"/>
        </w:rPr>
        <w:endnoteReference w:id="33"/>
      </w:r>
    </w:p>
    <w:p w14:paraId="45BA386C" w14:textId="33DF8754" w:rsidR="000C14B8" w:rsidRDefault="000C14B8" w:rsidP="00815F1C">
      <w:pPr>
        <w:pStyle w:val="BodyTextMain"/>
        <w:rPr>
          <w:lang w:val="en-GB"/>
        </w:rPr>
      </w:pPr>
    </w:p>
    <w:p w14:paraId="215763FB" w14:textId="77777777" w:rsidR="000C14B8" w:rsidRPr="008D0AE1" w:rsidRDefault="000C14B8" w:rsidP="00815F1C">
      <w:pPr>
        <w:pStyle w:val="BodyTextMain"/>
        <w:rPr>
          <w:lang w:val="en-GB"/>
        </w:rPr>
      </w:pPr>
    </w:p>
    <w:p w14:paraId="256123A6" w14:textId="490D9468" w:rsidR="000C14B8" w:rsidRPr="008D0AE1" w:rsidRDefault="000C14B8" w:rsidP="00815F1C">
      <w:pPr>
        <w:pStyle w:val="Casehead2"/>
        <w:rPr>
          <w:lang w:val="en-GB"/>
        </w:rPr>
      </w:pPr>
      <w:r w:rsidRPr="008D0AE1">
        <w:rPr>
          <w:lang w:val="en-GB"/>
        </w:rPr>
        <w:t>JD</w:t>
      </w:r>
    </w:p>
    <w:p w14:paraId="1AA14C0F" w14:textId="77777777" w:rsidR="000C14B8" w:rsidRPr="008D0AE1" w:rsidRDefault="000C14B8" w:rsidP="00815F1C">
      <w:pPr>
        <w:pStyle w:val="BodyTextMain"/>
        <w:rPr>
          <w:lang w:val="en-GB"/>
        </w:rPr>
      </w:pPr>
    </w:p>
    <w:p w14:paraId="38EF8A21" w14:textId="354F26A6" w:rsidR="000C14B8" w:rsidRPr="008D0AE1" w:rsidRDefault="000C14B8" w:rsidP="00815F1C">
      <w:pPr>
        <w:pStyle w:val="BodyTextMain"/>
        <w:rPr>
          <w:lang w:val="en-GB"/>
        </w:rPr>
      </w:pPr>
      <w:r w:rsidRPr="008D0AE1">
        <w:rPr>
          <w:lang w:val="en-GB"/>
        </w:rPr>
        <w:t xml:space="preserve">JD was founded by </w:t>
      </w:r>
      <w:proofErr w:type="spellStart"/>
      <w:r w:rsidRPr="008D0AE1">
        <w:rPr>
          <w:lang w:val="en-GB"/>
        </w:rPr>
        <w:t>Qiangdong</w:t>
      </w:r>
      <w:proofErr w:type="spellEnd"/>
      <w:r w:rsidRPr="008D0AE1">
        <w:rPr>
          <w:lang w:val="en-GB"/>
        </w:rPr>
        <w:t xml:space="preserve"> Liu in July 1998. The company started as an online magneto-optical store but soon diversified into selling electronics, mobile phones, computers, and similar items. It was partly owned by Tencent, which had a 20 per cent stake in the company.</w:t>
      </w:r>
      <w:r w:rsidRPr="008D0AE1">
        <w:rPr>
          <w:rStyle w:val="EndnoteReference"/>
          <w:lang w:val="en-GB"/>
        </w:rPr>
        <w:endnoteReference w:id="34"/>
      </w:r>
      <w:r w:rsidRPr="008D0AE1">
        <w:rPr>
          <w:lang w:val="en-GB"/>
        </w:rPr>
        <w:t xml:space="preserve"> JD was the world’s leading company in high tech and AI delivery using drones, autonomous technology, and robots</w:t>
      </w:r>
      <w:r w:rsidR="00892F7A">
        <w:rPr>
          <w:lang w:val="en-GB"/>
        </w:rPr>
        <w:t>,</w:t>
      </w:r>
      <w:r w:rsidRPr="008D0AE1">
        <w:rPr>
          <w:lang w:val="en-GB"/>
        </w:rPr>
        <w:t xml:space="preserve"> </w:t>
      </w:r>
      <w:r w:rsidR="00892F7A">
        <w:rPr>
          <w:lang w:val="en-GB"/>
        </w:rPr>
        <w:t xml:space="preserve">and </w:t>
      </w:r>
      <w:r w:rsidRPr="008D0AE1">
        <w:rPr>
          <w:lang w:val="en-GB"/>
        </w:rPr>
        <w:t>it possessed the largest drone delivery system, infrastructure, and capability in the world. It had recently started testing robotic delivery services</w:t>
      </w:r>
      <w:r w:rsidR="007953DB">
        <w:rPr>
          <w:lang w:val="en-GB"/>
        </w:rPr>
        <w:t xml:space="preserve"> and</w:t>
      </w:r>
      <w:r w:rsidRPr="008D0AE1">
        <w:rPr>
          <w:lang w:val="en-GB"/>
        </w:rPr>
        <w:t xml:space="preserve"> building drone delivery airports, and </w:t>
      </w:r>
      <w:r w:rsidR="007953DB">
        <w:rPr>
          <w:lang w:val="en-GB"/>
        </w:rPr>
        <w:t xml:space="preserve">had </w:t>
      </w:r>
      <w:r w:rsidRPr="008D0AE1">
        <w:rPr>
          <w:lang w:val="en-GB"/>
        </w:rPr>
        <w:t>unveil</w:t>
      </w:r>
      <w:r w:rsidR="007953DB">
        <w:rPr>
          <w:lang w:val="en-GB"/>
        </w:rPr>
        <w:t>ed</w:t>
      </w:r>
      <w:r w:rsidRPr="008D0AE1">
        <w:rPr>
          <w:lang w:val="en-GB"/>
        </w:rPr>
        <w:t xml:space="preserve"> its first autonomous truck for driverless delivery</w:t>
      </w:r>
      <w:r>
        <w:rPr>
          <w:lang w:val="en-GB"/>
        </w:rPr>
        <w:t>.</w:t>
      </w:r>
      <w:r>
        <w:rPr>
          <w:rStyle w:val="EndnoteReference"/>
          <w:lang w:val="en-GB"/>
        </w:rPr>
        <w:endnoteReference w:id="35"/>
      </w:r>
    </w:p>
    <w:p w14:paraId="5892F40C" w14:textId="77777777" w:rsidR="000C14B8" w:rsidRPr="008D0AE1" w:rsidRDefault="000C14B8" w:rsidP="00815F1C">
      <w:pPr>
        <w:pStyle w:val="BodyTextMain"/>
        <w:rPr>
          <w:lang w:val="en-GB"/>
        </w:rPr>
      </w:pPr>
    </w:p>
    <w:p w14:paraId="18A944F5" w14:textId="0C4DC1BF" w:rsidR="000C14B8" w:rsidRDefault="000C14B8" w:rsidP="00815F1C">
      <w:pPr>
        <w:pStyle w:val="BodyTextMain"/>
        <w:rPr>
          <w:lang w:val="en-GB"/>
        </w:rPr>
      </w:pPr>
      <w:r w:rsidRPr="008D0AE1">
        <w:rPr>
          <w:lang w:val="en-GB"/>
        </w:rPr>
        <w:t xml:space="preserve">JD’s main businesses included JD Mall, JD Finance, and JD Logistics. JD Mall was a B2C e-commerce platform with self-operated business at its core, which competed directly with </w:t>
      </w:r>
      <w:proofErr w:type="spellStart"/>
      <w:r w:rsidRPr="008D0AE1">
        <w:rPr>
          <w:lang w:val="en-GB"/>
        </w:rPr>
        <w:t>Tmall</w:t>
      </w:r>
      <w:proofErr w:type="spellEnd"/>
      <w:r w:rsidRPr="008D0AE1">
        <w:rPr>
          <w:lang w:val="en-GB"/>
        </w:rPr>
        <w:t xml:space="preserve">. JD Finance and JD Logistics were subsidiary businesses derived from JD Mall’s B2C e-commerce business. </w:t>
      </w:r>
    </w:p>
    <w:p w14:paraId="20C12ECE" w14:textId="77777777" w:rsidR="007953DB" w:rsidRDefault="007953DB" w:rsidP="00815F1C">
      <w:pPr>
        <w:pStyle w:val="BodyTextMain"/>
        <w:rPr>
          <w:lang w:val="en-GB"/>
        </w:rPr>
      </w:pPr>
    </w:p>
    <w:p w14:paraId="32F6843E" w14:textId="77777777" w:rsidR="00CE71B5" w:rsidRDefault="00CE71B5" w:rsidP="00815F1C">
      <w:pPr>
        <w:pStyle w:val="Casehead3"/>
        <w:rPr>
          <w:lang w:val="en-GB"/>
        </w:rPr>
      </w:pPr>
    </w:p>
    <w:p w14:paraId="62538192" w14:textId="1E0E8525" w:rsidR="000C14B8" w:rsidRPr="008D0AE1" w:rsidRDefault="000C14B8" w:rsidP="00815F1C">
      <w:pPr>
        <w:pStyle w:val="Casehead3"/>
        <w:rPr>
          <w:lang w:val="en-GB"/>
        </w:rPr>
      </w:pPr>
      <w:r w:rsidRPr="008D0AE1">
        <w:rPr>
          <w:lang w:val="en-GB"/>
        </w:rPr>
        <w:t>Profit Margin</w:t>
      </w:r>
    </w:p>
    <w:p w14:paraId="519F01E0" w14:textId="77777777" w:rsidR="000C14B8" w:rsidRPr="008D0AE1" w:rsidRDefault="000C14B8" w:rsidP="00815F1C">
      <w:pPr>
        <w:pStyle w:val="Casehead3"/>
        <w:rPr>
          <w:lang w:val="en-GB"/>
        </w:rPr>
      </w:pPr>
    </w:p>
    <w:p w14:paraId="389E9867" w14:textId="388A7E07" w:rsidR="000C14B8" w:rsidRPr="008D0AE1" w:rsidRDefault="000C14B8" w:rsidP="00815F1C">
      <w:pPr>
        <w:pStyle w:val="BodyTextMain"/>
        <w:rPr>
          <w:lang w:val="en-GB"/>
        </w:rPr>
      </w:pPr>
      <w:r w:rsidRPr="008D0AE1">
        <w:rPr>
          <w:lang w:val="en-GB"/>
        </w:rPr>
        <w:t>JD’s gross margin accounted for 10–20 per cent of revenue, resulting from the company’s business model of earning spreads. JD’s net revenue for 2017 was $55.7 billion, an increase of 40.3 per cent from 2016. The company’s revenue from services and other increased by 49.9 per cent in 2017. Its annual gross profit for 2017 was $7.8 billion, which was an increase of 43.7 per cent from 2016.</w:t>
      </w:r>
      <w:r>
        <w:rPr>
          <w:rStyle w:val="EndnoteReference"/>
          <w:lang w:val="en-GB"/>
        </w:rPr>
        <w:endnoteReference w:id="36"/>
      </w:r>
      <w:r w:rsidRPr="008D0AE1">
        <w:rPr>
          <w:lang w:val="en-GB"/>
        </w:rPr>
        <w:t xml:space="preserve"> The strong top-line growth indicated that JD’s online shopping experience continued to meet Chinese e-consumers’ expectations and </w:t>
      </w:r>
      <w:r w:rsidR="00CE71B5">
        <w:rPr>
          <w:lang w:val="en-GB"/>
        </w:rPr>
        <w:lastRenderedPageBreak/>
        <w:t xml:space="preserve">that it </w:t>
      </w:r>
      <w:r w:rsidRPr="008D0AE1">
        <w:rPr>
          <w:lang w:val="en-GB"/>
        </w:rPr>
        <w:t xml:space="preserve">was able to win over consumers and drive robust revenue growth. As JD implemented its vision of “boundary-less retail,” the company worked with top industry players to build China’s most advanced and comprehensive retail ecosystem to reach consumers wherever and whenever they shopped. </w:t>
      </w:r>
    </w:p>
    <w:p w14:paraId="37498381" w14:textId="77777777" w:rsidR="000C14B8" w:rsidRPr="008D0AE1" w:rsidRDefault="000C14B8" w:rsidP="00815F1C">
      <w:pPr>
        <w:pStyle w:val="BodyTextMain"/>
        <w:rPr>
          <w:lang w:val="en-GB"/>
        </w:rPr>
      </w:pPr>
    </w:p>
    <w:p w14:paraId="7A22FD65" w14:textId="77777777" w:rsidR="000C14B8" w:rsidRPr="00D66418" w:rsidRDefault="000C14B8" w:rsidP="00815F1C">
      <w:pPr>
        <w:pStyle w:val="BodyTextMain"/>
      </w:pPr>
    </w:p>
    <w:p w14:paraId="1A46CEC5" w14:textId="2E13010B" w:rsidR="000C14B8" w:rsidRPr="008D0AE1" w:rsidRDefault="000C14B8" w:rsidP="00815F1C">
      <w:pPr>
        <w:pStyle w:val="Casehead3"/>
        <w:rPr>
          <w:lang w:val="en-GB"/>
        </w:rPr>
      </w:pPr>
      <w:r w:rsidRPr="008D0AE1">
        <w:rPr>
          <w:lang w:val="en-GB"/>
        </w:rPr>
        <w:t>Number of Employees</w:t>
      </w:r>
    </w:p>
    <w:p w14:paraId="1685A1DF" w14:textId="77777777" w:rsidR="000C14B8" w:rsidRPr="008D0AE1" w:rsidRDefault="000C14B8" w:rsidP="00815F1C">
      <w:pPr>
        <w:pStyle w:val="Casehead3"/>
        <w:rPr>
          <w:lang w:val="en-GB"/>
        </w:rPr>
      </w:pPr>
    </w:p>
    <w:p w14:paraId="29772C6A" w14:textId="6C53B7E7" w:rsidR="000C14B8" w:rsidRPr="008D0AE1" w:rsidRDefault="000C14B8" w:rsidP="00815F1C">
      <w:pPr>
        <w:pStyle w:val="BodyTextMain"/>
        <w:rPr>
          <w:lang w:val="en-GB"/>
        </w:rPr>
      </w:pPr>
      <w:r w:rsidRPr="008D0AE1">
        <w:rPr>
          <w:lang w:val="en-GB"/>
        </w:rPr>
        <w:t>The total number of employees at JD was 160,000, of which more than 100,000 were delivery staff.</w:t>
      </w:r>
      <w:r w:rsidRPr="008D0AE1">
        <w:rPr>
          <w:vertAlign w:val="superscript"/>
          <w:lang w:val="en-GB"/>
        </w:rPr>
        <w:endnoteReference w:id="37"/>
      </w:r>
      <w:r w:rsidRPr="008D0AE1">
        <w:rPr>
          <w:lang w:val="en-GB"/>
        </w:rPr>
        <w:t xml:space="preserve"> JD had the biggest talent pool among the three players. Recently, JD had been paying attention to international talent recruitment to prepare for international growth. The JD International Management Trainee program (MBA track) provided a platform for domestic and international master of business administration graduates to join the e-commerce industry.</w:t>
      </w:r>
    </w:p>
    <w:p w14:paraId="5BEFB7F9" w14:textId="77777777" w:rsidR="000C14B8" w:rsidRPr="008D0AE1" w:rsidRDefault="000C14B8" w:rsidP="00815F1C">
      <w:pPr>
        <w:pStyle w:val="BodyTextMain"/>
        <w:rPr>
          <w:lang w:val="en-GB"/>
        </w:rPr>
      </w:pPr>
    </w:p>
    <w:p w14:paraId="1F9FADB3" w14:textId="77777777" w:rsidR="000C14B8" w:rsidRPr="008D0AE1" w:rsidRDefault="000C14B8" w:rsidP="00815F1C">
      <w:pPr>
        <w:pStyle w:val="BodyTextMain"/>
        <w:rPr>
          <w:lang w:val="en-GB"/>
        </w:rPr>
      </w:pPr>
    </w:p>
    <w:p w14:paraId="1671A0A7" w14:textId="62C31440" w:rsidR="000C14B8" w:rsidRPr="008D0AE1" w:rsidRDefault="000C14B8" w:rsidP="00815F1C">
      <w:pPr>
        <w:pStyle w:val="Casehead3"/>
        <w:rPr>
          <w:lang w:val="en-GB"/>
        </w:rPr>
      </w:pPr>
      <w:r w:rsidRPr="008D0AE1">
        <w:rPr>
          <w:lang w:val="en-GB"/>
        </w:rPr>
        <w:t>Active End-Users</w:t>
      </w:r>
    </w:p>
    <w:p w14:paraId="4BD75CA8" w14:textId="77777777" w:rsidR="000C14B8" w:rsidRPr="008D0AE1" w:rsidRDefault="000C14B8" w:rsidP="00815F1C">
      <w:pPr>
        <w:pStyle w:val="Casehead3"/>
        <w:rPr>
          <w:lang w:val="en-GB"/>
        </w:rPr>
      </w:pPr>
    </w:p>
    <w:p w14:paraId="202CEE4D" w14:textId="3411B693" w:rsidR="000C14B8" w:rsidRPr="008D0AE1" w:rsidRDefault="000C14B8" w:rsidP="00815F1C">
      <w:pPr>
        <w:pStyle w:val="BodyTextMain"/>
        <w:rPr>
          <w:lang w:val="en-GB"/>
        </w:rPr>
      </w:pPr>
      <w:r w:rsidRPr="008D0AE1">
        <w:rPr>
          <w:lang w:val="en-GB"/>
        </w:rPr>
        <w:t>JD had approximately 2 billion active end-users,</w:t>
      </w:r>
      <w:r>
        <w:rPr>
          <w:rStyle w:val="EndnoteReference"/>
          <w:lang w:val="en-GB"/>
        </w:rPr>
        <w:endnoteReference w:id="38"/>
      </w:r>
      <w:r w:rsidRPr="008D0AE1">
        <w:rPr>
          <w:lang w:val="en-GB"/>
        </w:rPr>
        <w:t xml:space="preserve"> the least among the three players, </w:t>
      </w:r>
      <w:r w:rsidR="00CE71B5">
        <w:rPr>
          <w:lang w:val="en-GB"/>
        </w:rPr>
        <w:t>though</w:t>
      </w:r>
      <w:r w:rsidRPr="008D0AE1">
        <w:rPr>
          <w:lang w:val="en-GB"/>
        </w:rPr>
        <w:t xml:space="preserve"> it indicated a quickly growing upward trend. JD was able to take advantage of attractive marketing strategies to retain existing customers while increasing new customer acquisition (see Exhibit </w:t>
      </w:r>
      <w:r>
        <w:rPr>
          <w:lang w:val="en-GB"/>
        </w:rPr>
        <w:t>8</w:t>
      </w:r>
      <w:r w:rsidRPr="008D0AE1">
        <w:rPr>
          <w:lang w:val="en-GB"/>
        </w:rPr>
        <w:t>).</w:t>
      </w:r>
    </w:p>
    <w:p w14:paraId="76BECC52" w14:textId="77777777" w:rsidR="000C14B8" w:rsidRPr="008D0AE1" w:rsidRDefault="000C14B8" w:rsidP="00815F1C">
      <w:pPr>
        <w:pStyle w:val="BodyTextMain"/>
        <w:rPr>
          <w:lang w:val="en-GB"/>
        </w:rPr>
      </w:pPr>
    </w:p>
    <w:p w14:paraId="200A6E74" w14:textId="77777777" w:rsidR="000C14B8" w:rsidRPr="008D0AE1" w:rsidRDefault="000C14B8" w:rsidP="00815F1C">
      <w:pPr>
        <w:pStyle w:val="BodyTextMain"/>
        <w:rPr>
          <w:lang w:val="en-GB"/>
        </w:rPr>
      </w:pPr>
    </w:p>
    <w:p w14:paraId="10B16984" w14:textId="77777777" w:rsidR="000C14B8" w:rsidRPr="008D0AE1" w:rsidRDefault="000C14B8" w:rsidP="00815F1C">
      <w:pPr>
        <w:pStyle w:val="Casehead3"/>
        <w:rPr>
          <w:lang w:val="en-GB"/>
        </w:rPr>
      </w:pPr>
      <w:r w:rsidRPr="008D0AE1">
        <w:rPr>
          <w:lang w:val="en-GB"/>
        </w:rPr>
        <w:t>Business Strategy</w:t>
      </w:r>
    </w:p>
    <w:p w14:paraId="4B3C0E50" w14:textId="77777777" w:rsidR="000C14B8" w:rsidRPr="008D0AE1" w:rsidRDefault="000C14B8" w:rsidP="00815F1C">
      <w:pPr>
        <w:pStyle w:val="Casehead3"/>
        <w:rPr>
          <w:lang w:val="en-GB"/>
        </w:rPr>
      </w:pPr>
    </w:p>
    <w:p w14:paraId="0129AD05" w14:textId="1A9F874D" w:rsidR="000C14B8" w:rsidRPr="008D0AE1" w:rsidRDefault="000C14B8" w:rsidP="00815F1C">
      <w:pPr>
        <w:pStyle w:val="BodyTextMain"/>
        <w:rPr>
          <w:lang w:val="en-GB"/>
        </w:rPr>
      </w:pPr>
      <w:r w:rsidRPr="008D0AE1">
        <w:rPr>
          <w:lang w:val="en-GB"/>
        </w:rPr>
        <w:t>Traditional e-commerce business accounted for 90 per cent of JD’s revenue, and the remainder came from its services and other businesses, including third-party platform business income</w:t>
      </w:r>
      <w:r w:rsidR="00CE71B5">
        <w:rPr>
          <w:lang w:val="en-GB"/>
        </w:rPr>
        <w:t>.</w:t>
      </w:r>
      <w:r>
        <w:rPr>
          <w:rStyle w:val="EndnoteReference"/>
          <w:lang w:val="en-GB"/>
        </w:rPr>
        <w:endnoteReference w:id="39"/>
      </w:r>
      <w:r w:rsidRPr="008D0AE1">
        <w:rPr>
          <w:lang w:val="en-GB"/>
        </w:rPr>
        <w:t xml:space="preserve"> Google invested $550 million in JD in June 2018, and the two made a strategic agreement “to explore joint development of retail solutions to enable helpful, personalized and frictionless shopping experiences in several regions including Southeast Asia, the </w:t>
      </w:r>
      <w:r w:rsidR="00CE71B5">
        <w:rPr>
          <w:lang w:val="en-GB"/>
        </w:rPr>
        <w:t>[United States]</w:t>
      </w:r>
      <w:r w:rsidRPr="008D0AE1">
        <w:rPr>
          <w:lang w:val="en-GB"/>
        </w:rPr>
        <w:t>, and Europe.” JD.com was also “to join Google Shopping and offer a curated selection of high-quality products to consumers across multiple regions.”</w:t>
      </w:r>
      <w:r w:rsidRPr="008D0AE1">
        <w:rPr>
          <w:vertAlign w:val="superscript"/>
          <w:lang w:val="en-GB"/>
        </w:rPr>
        <w:endnoteReference w:id="40"/>
      </w:r>
      <w:r w:rsidRPr="008D0AE1">
        <w:rPr>
          <w:lang w:val="en-GB"/>
        </w:rPr>
        <w:t xml:space="preserve"> Internally, JD continued to invest tremendously in its digitalization logistics service. For example, the JD Logistics group provided warehousing, transportation, distribution, customer service, and after-sales integrated supply chain solution services. This was done through a nationwide warehouse distribution logistics network, which included logistics cloud, AI, cross-border logistics services, and express delivery services. Up to </w:t>
      </w:r>
      <w:r>
        <w:rPr>
          <w:lang w:val="en-GB"/>
        </w:rPr>
        <w:t>2018</w:t>
      </w:r>
      <w:r w:rsidRPr="008D0AE1">
        <w:rPr>
          <w:lang w:val="en-GB"/>
        </w:rPr>
        <w:t xml:space="preserve">, JD Logistics operated </w:t>
      </w:r>
      <w:r>
        <w:rPr>
          <w:lang w:val="en-GB"/>
        </w:rPr>
        <w:t>15</w:t>
      </w:r>
      <w:r w:rsidRPr="008D0AE1">
        <w:rPr>
          <w:lang w:val="en-GB"/>
        </w:rPr>
        <w:t xml:space="preserve"> logistics </w:t>
      </w:r>
      <w:r>
        <w:rPr>
          <w:lang w:val="en-GB"/>
        </w:rPr>
        <w:t>parks</w:t>
      </w:r>
      <w:r w:rsidRPr="008D0AE1">
        <w:rPr>
          <w:lang w:val="en-GB"/>
        </w:rPr>
        <w:t xml:space="preserve">, </w:t>
      </w:r>
      <w:r>
        <w:rPr>
          <w:lang w:val="en-GB"/>
        </w:rPr>
        <w:t xml:space="preserve">more than 500 warehouses, </w:t>
      </w:r>
      <w:r w:rsidR="00CE71B5">
        <w:rPr>
          <w:lang w:val="en-GB"/>
        </w:rPr>
        <w:t xml:space="preserve">and </w:t>
      </w:r>
      <w:r>
        <w:rPr>
          <w:lang w:val="en-GB"/>
        </w:rPr>
        <w:t>nearly 7,000 delivery and pickup stations</w:t>
      </w:r>
      <w:r w:rsidRPr="008D0AE1">
        <w:rPr>
          <w:lang w:val="en-GB"/>
        </w:rPr>
        <w:t xml:space="preserve">. Its storage facilities covered an area of 11.6 million square metres and had more than 300,000 service centres. Self-operated distribution covered 99 per cent of China’s population in 100 per cent of the mainland administrative districts. At the same time, nearly </w:t>
      </w:r>
      <w:r w:rsidR="00CE71B5">
        <w:rPr>
          <w:lang w:val="en-GB"/>
        </w:rPr>
        <w:t>1,000</w:t>
      </w:r>
      <w:r w:rsidRPr="008D0AE1">
        <w:rPr>
          <w:lang w:val="en-GB"/>
        </w:rPr>
        <w:t xml:space="preserve"> international transport routes covered 224 countries and regions, and JD was still in </w:t>
      </w:r>
      <w:r w:rsidR="00CE71B5">
        <w:rPr>
          <w:lang w:val="en-GB"/>
        </w:rPr>
        <w:t xml:space="preserve">a phase of </w:t>
      </w:r>
      <w:r w:rsidRPr="008D0AE1">
        <w:rPr>
          <w:lang w:val="en-GB"/>
        </w:rPr>
        <w:t>rapid expansion</w:t>
      </w:r>
      <w:r>
        <w:rPr>
          <w:lang w:val="en-GB"/>
        </w:rPr>
        <w:t>.</w:t>
      </w:r>
      <w:r>
        <w:rPr>
          <w:rStyle w:val="EndnoteReference"/>
          <w:lang w:val="en-GB"/>
        </w:rPr>
        <w:endnoteReference w:id="41"/>
      </w:r>
    </w:p>
    <w:p w14:paraId="36DF57E8" w14:textId="77777777" w:rsidR="000C14B8" w:rsidRPr="008D0AE1" w:rsidRDefault="000C14B8" w:rsidP="00815F1C">
      <w:pPr>
        <w:pStyle w:val="BodyTextMain"/>
        <w:rPr>
          <w:u w:val="single"/>
          <w:lang w:val="en-GB"/>
        </w:rPr>
      </w:pPr>
    </w:p>
    <w:p w14:paraId="3664A5FA" w14:textId="77777777" w:rsidR="000C14B8" w:rsidRPr="008D0AE1" w:rsidRDefault="000C14B8" w:rsidP="00815F1C">
      <w:pPr>
        <w:pStyle w:val="BodyTextMain"/>
        <w:rPr>
          <w:u w:val="single"/>
          <w:lang w:val="en-GB"/>
        </w:rPr>
      </w:pPr>
    </w:p>
    <w:p w14:paraId="5A9D1BF5" w14:textId="77777777" w:rsidR="000C14B8" w:rsidRPr="008D0AE1" w:rsidRDefault="000C14B8" w:rsidP="000C14B8">
      <w:pPr>
        <w:pStyle w:val="Casehead1"/>
        <w:keepNext/>
        <w:rPr>
          <w:lang w:val="en-GB"/>
        </w:rPr>
      </w:pPr>
      <w:r w:rsidRPr="008D0AE1">
        <w:rPr>
          <w:lang w:val="en-GB"/>
        </w:rPr>
        <w:t>Amazon’s Challenges</w:t>
      </w:r>
    </w:p>
    <w:p w14:paraId="58467AF7" w14:textId="77777777" w:rsidR="000C14B8" w:rsidRPr="008D0AE1" w:rsidRDefault="000C14B8" w:rsidP="000C14B8">
      <w:pPr>
        <w:pStyle w:val="BodyTextMain"/>
        <w:keepNext/>
        <w:rPr>
          <w:lang w:val="en-GB"/>
        </w:rPr>
      </w:pPr>
    </w:p>
    <w:p w14:paraId="22E84454" w14:textId="7516435A" w:rsidR="000C14B8" w:rsidRPr="008D0AE1" w:rsidRDefault="000C14B8" w:rsidP="000C14B8">
      <w:pPr>
        <w:pStyle w:val="BodyTextMain"/>
        <w:keepNext/>
        <w:rPr>
          <w:lang w:val="en-GB"/>
        </w:rPr>
      </w:pPr>
      <w:r w:rsidRPr="008D0AE1">
        <w:rPr>
          <w:lang w:val="en-GB"/>
        </w:rPr>
        <w:t>It had taken 24 years for Amazon to become one of the largest Internet retailers in the world, as measured by revenue and market capitalization. (The second-largest was Alibaba Group in terms of total sales.)</w:t>
      </w:r>
      <w:r w:rsidRPr="008D0AE1">
        <w:rPr>
          <w:vertAlign w:val="superscript"/>
          <w:lang w:val="en-GB"/>
        </w:rPr>
        <w:endnoteReference w:id="42"/>
      </w:r>
      <w:r w:rsidRPr="008D0AE1">
        <w:rPr>
          <w:lang w:val="en-GB"/>
        </w:rPr>
        <w:t xml:space="preserve"> The five business models that drove continuous sales growth at Amazon included its online store (i.e., its e</w:t>
      </w:r>
      <w:r w:rsidRPr="008D0AE1">
        <w:rPr>
          <w:lang w:val="en-GB"/>
        </w:rPr>
        <w:noBreakHyphen/>
        <w:t>commerce platform), its offline stores (e.g., Amazon Go and Amazon Books), AWS (IaaS and PaaS), Prime membership subscriptions, and other services (e.g., advertisement revenue)</w:t>
      </w:r>
      <w:r>
        <w:rPr>
          <w:lang w:val="en-GB"/>
        </w:rPr>
        <w:t>.</w:t>
      </w:r>
      <w:r>
        <w:rPr>
          <w:rStyle w:val="EndnoteReference"/>
          <w:lang w:val="en-GB"/>
        </w:rPr>
        <w:endnoteReference w:id="43"/>
      </w:r>
      <w:r w:rsidRPr="008D0AE1">
        <w:rPr>
          <w:lang w:val="en-GB"/>
        </w:rPr>
        <w:t xml:space="preserve"> Together with its core businesses, Amazon had aggressively developed its own logistics network, </w:t>
      </w:r>
      <w:proofErr w:type="spellStart"/>
      <w:r w:rsidRPr="008D0AE1">
        <w:rPr>
          <w:lang w:val="en-GB"/>
        </w:rPr>
        <w:t>Fulfillment</w:t>
      </w:r>
      <w:proofErr w:type="spellEnd"/>
      <w:r w:rsidRPr="008D0AE1">
        <w:rPr>
          <w:lang w:val="en-GB"/>
        </w:rPr>
        <w:t xml:space="preserve"> by Amazon, to deliver better services for end-users. The firm also invested heavily in the Internet of Things (IoT),</w:t>
      </w:r>
      <w:r w:rsidRPr="008D0AE1">
        <w:rPr>
          <w:vertAlign w:val="superscript"/>
          <w:lang w:val="en-GB"/>
        </w:rPr>
        <w:endnoteReference w:id="44"/>
      </w:r>
      <w:r w:rsidRPr="008D0AE1">
        <w:rPr>
          <w:lang w:val="en-GB"/>
        </w:rPr>
        <w:t xml:space="preserve"> with </w:t>
      </w:r>
      <w:r w:rsidRPr="008D0AE1">
        <w:rPr>
          <w:lang w:val="en-GB"/>
        </w:rPr>
        <w:lastRenderedPageBreak/>
        <w:t>products such as Amazon Echo, Alexa, Kindle, and Vesta. Globally, Amazon experienced dramatic growth in North America. For instance, Amazon’s market share in the e-commerce industry in the United States accounted for 49.1 per cent in 2017—eight times more than that of the second market leader, eBay</w:t>
      </w:r>
      <w:r w:rsidR="00B53598">
        <w:rPr>
          <w:lang w:val="en-GB"/>
        </w:rPr>
        <w:t xml:space="preserve"> Inc.</w:t>
      </w:r>
      <w:r w:rsidRPr="008D0AE1">
        <w:rPr>
          <w:lang w:val="en-GB"/>
        </w:rPr>
        <w:t>, whose market share in the United States was 6.6 per cent</w:t>
      </w:r>
      <w:r w:rsidR="00CE71B5">
        <w:rPr>
          <w:lang w:val="en-GB"/>
        </w:rPr>
        <w:t xml:space="preserve"> (see Exhibit 1</w:t>
      </w:r>
      <w:r w:rsidR="00CA6E0A">
        <w:rPr>
          <w:lang w:val="en-GB"/>
        </w:rPr>
        <w:t>0</w:t>
      </w:r>
      <w:r w:rsidR="00CE71B5">
        <w:rPr>
          <w:lang w:val="en-GB"/>
        </w:rPr>
        <w:t>).</w:t>
      </w:r>
      <w:r>
        <w:rPr>
          <w:rStyle w:val="EndnoteReference"/>
          <w:lang w:val="en-GB"/>
        </w:rPr>
        <w:endnoteReference w:id="45"/>
      </w:r>
      <w:r w:rsidRPr="008D0AE1">
        <w:rPr>
          <w:lang w:val="en-GB"/>
        </w:rPr>
        <w:t xml:space="preserve"> AWS became the company’s fastest</w:t>
      </w:r>
      <w:r w:rsidR="00B53598">
        <w:rPr>
          <w:lang w:val="en-GB"/>
        </w:rPr>
        <w:t xml:space="preserve"> </w:t>
      </w:r>
      <w:r w:rsidRPr="008D0AE1">
        <w:rPr>
          <w:lang w:val="en-GB"/>
        </w:rPr>
        <w:t>growing and most profitable business</w:t>
      </w:r>
      <w:r>
        <w:rPr>
          <w:lang w:val="en-GB"/>
        </w:rPr>
        <w:t>.</w:t>
      </w:r>
      <w:r>
        <w:rPr>
          <w:rStyle w:val="EndnoteReference"/>
          <w:lang w:val="en-GB"/>
        </w:rPr>
        <w:endnoteReference w:id="46"/>
      </w:r>
    </w:p>
    <w:p w14:paraId="439201E3" w14:textId="77777777" w:rsidR="000C14B8" w:rsidRPr="008D0AE1" w:rsidRDefault="000C14B8" w:rsidP="00815F1C">
      <w:pPr>
        <w:pStyle w:val="BodyTextMain"/>
        <w:rPr>
          <w:u w:val="single"/>
          <w:lang w:val="en-GB"/>
        </w:rPr>
      </w:pPr>
    </w:p>
    <w:p w14:paraId="0B428F4B" w14:textId="77777777" w:rsidR="000C14B8" w:rsidRPr="008D0AE1" w:rsidRDefault="000C14B8" w:rsidP="00815F1C">
      <w:pPr>
        <w:pStyle w:val="BodyTextMain"/>
        <w:rPr>
          <w:u w:val="single"/>
          <w:lang w:val="en-GB"/>
        </w:rPr>
      </w:pPr>
    </w:p>
    <w:p w14:paraId="535F4438" w14:textId="77777777" w:rsidR="000C14B8" w:rsidRPr="008D0AE1" w:rsidRDefault="000C14B8" w:rsidP="009F2501">
      <w:pPr>
        <w:pStyle w:val="Casehead3"/>
        <w:keepNext/>
        <w:rPr>
          <w:lang w:val="en-GB"/>
        </w:rPr>
      </w:pPr>
      <w:r w:rsidRPr="008D0AE1">
        <w:rPr>
          <w:lang w:val="en-GB"/>
        </w:rPr>
        <w:t>Profit Margin</w:t>
      </w:r>
    </w:p>
    <w:p w14:paraId="299BB66A" w14:textId="77777777" w:rsidR="000C14B8" w:rsidRPr="008D0AE1" w:rsidRDefault="000C14B8" w:rsidP="009F2501">
      <w:pPr>
        <w:pStyle w:val="Casehead3"/>
        <w:keepNext/>
        <w:rPr>
          <w:lang w:val="en-GB"/>
        </w:rPr>
      </w:pPr>
    </w:p>
    <w:p w14:paraId="08C9019F" w14:textId="4B10C021" w:rsidR="000C14B8" w:rsidRPr="008D0AE1" w:rsidRDefault="000C14B8" w:rsidP="00815F1C">
      <w:pPr>
        <w:pStyle w:val="BodyTextMain"/>
        <w:rPr>
          <w:lang w:val="en-GB"/>
        </w:rPr>
      </w:pPr>
      <w:r w:rsidRPr="008D0AE1">
        <w:rPr>
          <w:lang w:val="en-GB"/>
        </w:rPr>
        <w:t>Looking at the number itself, Amazon’s profit margin of 30–40 per cent in China</w:t>
      </w:r>
      <w:r>
        <w:rPr>
          <w:rStyle w:val="EndnoteReference"/>
          <w:lang w:val="en-GB"/>
        </w:rPr>
        <w:endnoteReference w:id="47"/>
      </w:r>
      <w:r w:rsidR="00B53598">
        <w:rPr>
          <w:lang w:val="en-GB"/>
        </w:rPr>
        <w:t xml:space="preserve"> </w:t>
      </w:r>
      <w:r w:rsidRPr="008D0AE1">
        <w:rPr>
          <w:lang w:val="en-GB"/>
        </w:rPr>
        <w:t xml:space="preserve">was an impressive achievement. However, a thorough analysis of the market conditions suggested that Amazon had been unable to reap </w:t>
      </w:r>
      <w:r w:rsidR="00B53598">
        <w:rPr>
          <w:lang w:val="en-GB"/>
        </w:rPr>
        <w:t xml:space="preserve">the </w:t>
      </w:r>
      <w:r w:rsidRPr="008D0AE1">
        <w:rPr>
          <w:lang w:val="en-GB"/>
        </w:rPr>
        <w:t xml:space="preserve">benefits </w:t>
      </w:r>
      <w:r w:rsidR="00B53598">
        <w:rPr>
          <w:lang w:val="en-GB"/>
        </w:rPr>
        <w:t>of</w:t>
      </w:r>
      <w:r w:rsidRPr="008D0AE1">
        <w:rPr>
          <w:lang w:val="en-GB"/>
        </w:rPr>
        <w:t xml:space="preserve"> its rapid growth in China. </w:t>
      </w:r>
      <w:r w:rsidR="00B53598">
        <w:rPr>
          <w:lang w:val="en-GB"/>
        </w:rPr>
        <w:t>Compared to</w:t>
      </w:r>
      <w:r w:rsidRPr="008D0AE1">
        <w:rPr>
          <w:lang w:val="en-GB"/>
        </w:rPr>
        <w:t xml:space="preserve"> competitors Alibaba and JD</w:t>
      </w:r>
      <w:r w:rsidR="00B53598">
        <w:rPr>
          <w:lang w:val="en-GB"/>
        </w:rPr>
        <w:t>, who</w:t>
      </w:r>
      <w:r w:rsidRPr="008D0AE1">
        <w:rPr>
          <w:lang w:val="en-GB"/>
        </w:rPr>
        <w:t xml:space="preserve"> </w:t>
      </w:r>
      <w:r w:rsidR="00B53598">
        <w:rPr>
          <w:lang w:val="en-GB"/>
        </w:rPr>
        <w:t xml:space="preserve">had </w:t>
      </w:r>
      <w:r w:rsidRPr="008D0AE1">
        <w:rPr>
          <w:lang w:val="en-GB"/>
        </w:rPr>
        <w:t>achieved more than 300 per cent</w:t>
      </w:r>
      <w:r w:rsidR="00B53598">
        <w:rPr>
          <w:lang w:val="en-GB"/>
        </w:rPr>
        <w:t xml:space="preserve"> growth,</w:t>
      </w:r>
      <w:r w:rsidRPr="008D0AE1">
        <w:rPr>
          <w:lang w:val="en-GB"/>
        </w:rPr>
        <w:t xml:space="preserve"> Amazon</w:t>
      </w:r>
      <w:r w:rsidR="00B53598">
        <w:rPr>
          <w:lang w:val="en-GB"/>
        </w:rPr>
        <w:t>’s growth</w:t>
      </w:r>
      <w:r w:rsidRPr="008D0AE1">
        <w:rPr>
          <w:lang w:val="en-GB"/>
        </w:rPr>
        <w:t xml:space="preserve"> </w:t>
      </w:r>
      <w:r w:rsidR="00B53598" w:rsidRPr="008D0AE1">
        <w:rPr>
          <w:lang w:val="en-GB"/>
        </w:rPr>
        <w:t xml:space="preserve">of 30–40 per cent </w:t>
      </w:r>
      <w:r w:rsidRPr="008D0AE1">
        <w:rPr>
          <w:lang w:val="en-GB"/>
        </w:rPr>
        <w:t xml:space="preserve">in the Chinese China e-commerce market was relatively modest. </w:t>
      </w:r>
    </w:p>
    <w:p w14:paraId="224FEC1B" w14:textId="77777777" w:rsidR="000C14B8" w:rsidRPr="008D0AE1" w:rsidRDefault="000C14B8" w:rsidP="00815F1C">
      <w:pPr>
        <w:pStyle w:val="BodyTextMain"/>
        <w:rPr>
          <w:lang w:val="en-GB"/>
        </w:rPr>
      </w:pPr>
    </w:p>
    <w:p w14:paraId="137FD6C3" w14:textId="77777777" w:rsidR="000C14B8" w:rsidRPr="008D0AE1" w:rsidRDefault="000C14B8" w:rsidP="00815F1C">
      <w:pPr>
        <w:pStyle w:val="BodyTextMain"/>
        <w:rPr>
          <w:lang w:val="en-GB"/>
        </w:rPr>
      </w:pPr>
    </w:p>
    <w:p w14:paraId="6F219C40" w14:textId="77777777" w:rsidR="000C14B8" w:rsidRPr="008D0AE1" w:rsidRDefault="000C14B8" w:rsidP="00815F1C">
      <w:pPr>
        <w:pStyle w:val="Casehead3"/>
        <w:rPr>
          <w:rFonts w:eastAsia="Georgia"/>
          <w:lang w:val="en-GB"/>
        </w:rPr>
      </w:pPr>
      <w:r w:rsidRPr="008D0AE1">
        <w:rPr>
          <w:rFonts w:eastAsia="Georgia"/>
          <w:lang w:val="en-GB"/>
        </w:rPr>
        <w:t>Number of Employee</w:t>
      </w:r>
    </w:p>
    <w:p w14:paraId="447E0323" w14:textId="77777777" w:rsidR="000C14B8" w:rsidRPr="008D0AE1" w:rsidRDefault="000C14B8" w:rsidP="00815F1C">
      <w:pPr>
        <w:pStyle w:val="Casehead3"/>
        <w:rPr>
          <w:rFonts w:eastAsia="Georgia"/>
          <w:lang w:val="en-GB"/>
        </w:rPr>
      </w:pPr>
    </w:p>
    <w:p w14:paraId="77743849" w14:textId="675E8269" w:rsidR="000C14B8" w:rsidRPr="008D0AE1" w:rsidRDefault="000C14B8" w:rsidP="00815F1C">
      <w:pPr>
        <w:pStyle w:val="BodyTextMain"/>
        <w:rPr>
          <w:lang w:val="en-GB"/>
        </w:rPr>
      </w:pPr>
      <w:r w:rsidRPr="008D0AE1">
        <w:rPr>
          <w:lang w:val="en-GB"/>
        </w:rPr>
        <w:t>The number of employees in Amazon China’s operations team had decreased from 2,000 initially to less than 1,000</w:t>
      </w:r>
      <w:r>
        <w:rPr>
          <w:lang w:val="en-GB"/>
        </w:rPr>
        <w:t xml:space="preserve"> in 2015</w:t>
      </w:r>
      <w:r w:rsidRPr="008D0AE1">
        <w:rPr>
          <w:lang w:val="en-GB"/>
        </w:rPr>
        <w:t xml:space="preserve">. The procurement team had been adjusted from more than 4,000 </w:t>
      </w:r>
      <w:r w:rsidR="00B53598">
        <w:rPr>
          <w:lang w:val="en-GB"/>
        </w:rPr>
        <w:t xml:space="preserve">employees </w:t>
      </w:r>
      <w:r w:rsidRPr="008D0AE1">
        <w:rPr>
          <w:lang w:val="en-GB"/>
        </w:rPr>
        <w:t xml:space="preserve">during the expansion period to 1,000. Amazon China’s overall number of </w:t>
      </w:r>
      <w:proofErr w:type="gramStart"/>
      <w:r w:rsidRPr="008D0AE1">
        <w:rPr>
          <w:lang w:val="en-GB"/>
        </w:rPr>
        <w:t>staff</w:t>
      </w:r>
      <w:proofErr w:type="gramEnd"/>
      <w:r w:rsidRPr="008D0AE1">
        <w:rPr>
          <w:lang w:val="en-GB"/>
        </w:rPr>
        <w:t xml:space="preserve"> </w:t>
      </w:r>
      <w:r w:rsidR="00B53598">
        <w:rPr>
          <w:lang w:val="en-GB"/>
        </w:rPr>
        <w:t>had fallen</w:t>
      </w:r>
      <w:r w:rsidRPr="008D0AE1">
        <w:rPr>
          <w:lang w:val="en-GB"/>
        </w:rPr>
        <w:t xml:space="preserve"> more than 50 per cent.</w:t>
      </w:r>
      <w:r w:rsidRPr="008D0AE1">
        <w:rPr>
          <w:vertAlign w:val="superscript"/>
          <w:lang w:val="en-GB"/>
        </w:rPr>
        <w:endnoteReference w:id="48"/>
      </w:r>
      <w:r w:rsidRPr="008D0AE1">
        <w:rPr>
          <w:lang w:val="en-GB"/>
        </w:rPr>
        <w:t xml:space="preserve"> </w:t>
      </w:r>
    </w:p>
    <w:p w14:paraId="40A03E3B" w14:textId="77777777" w:rsidR="000C14B8" w:rsidRPr="008D0AE1" w:rsidRDefault="000C14B8" w:rsidP="00815F1C">
      <w:pPr>
        <w:pStyle w:val="BodyTextMain"/>
        <w:rPr>
          <w:lang w:val="en-GB"/>
        </w:rPr>
      </w:pPr>
    </w:p>
    <w:p w14:paraId="2A5EB841" w14:textId="77777777" w:rsidR="000C14B8" w:rsidRPr="008D0AE1" w:rsidRDefault="000C14B8" w:rsidP="00815F1C">
      <w:pPr>
        <w:pStyle w:val="BodyTextMain"/>
        <w:rPr>
          <w:lang w:val="en-GB"/>
        </w:rPr>
      </w:pPr>
    </w:p>
    <w:p w14:paraId="5E80450F" w14:textId="743A59C2" w:rsidR="000C14B8" w:rsidRPr="008D0AE1" w:rsidRDefault="000C14B8" w:rsidP="00815F1C">
      <w:pPr>
        <w:pStyle w:val="Casehead3"/>
        <w:rPr>
          <w:lang w:val="en-GB"/>
        </w:rPr>
      </w:pPr>
      <w:r w:rsidRPr="008D0AE1">
        <w:rPr>
          <w:lang w:val="en-GB"/>
        </w:rPr>
        <w:t>Active End-Users</w:t>
      </w:r>
    </w:p>
    <w:p w14:paraId="0ECF5F0C" w14:textId="77777777" w:rsidR="000C14B8" w:rsidRPr="008D0AE1" w:rsidRDefault="000C14B8" w:rsidP="00815F1C">
      <w:pPr>
        <w:pStyle w:val="Casehead3"/>
        <w:rPr>
          <w:lang w:val="en-GB"/>
        </w:rPr>
      </w:pPr>
    </w:p>
    <w:p w14:paraId="79E6324D" w14:textId="77683D66" w:rsidR="00815F1C" w:rsidRPr="008D0AE1" w:rsidRDefault="000C14B8" w:rsidP="00815F1C">
      <w:pPr>
        <w:pStyle w:val="BodyTextMain"/>
        <w:rPr>
          <w:u w:val="single"/>
          <w:lang w:val="en-GB"/>
        </w:rPr>
      </w:pPr>
      <w:r w:rsidRPr="008D0AE1">
        <w:rPr>
          <w:lang w:val="en-GB"/>
        </w:rPr>
        <w:t>Since the fourth quarter of 201</w:t>
      </w:r>
      <w:r>
        <w:rPr>
          <w:lang w:val="en-GB"/>
        </w:rPr>
        <w:t>8</w:t>
      </w:r>
      <w:r w:rsidRPr="008D0AE1">
        <w:rPr>
          <w:lang w:val="en-GB"/>
        </w:rPr>
        <w:t>, Amazon’s number of users had remained flat</w:t>
      </w:r>
      <w:r w:rsidR="00B53598">
        <w:rPr>
          <w:lang w:val="en-GB"/>
        </w:rPr>
        <w:t>,</w:t>
      </w:r>
      <w:r w:rsidRPr="008D0AE1">
        <w:rPr>
          <w:lang w:val="en-GB"/>
        </w:rPr>
        <w:t xml:space="preserve"> at approximately </w:t>
      </w:r>
      <w:r w:rsidR="00B53598">
        <w:rPr>
          <w:lang w:val="en-GB"/>
        </w:rPr>
        <w:t>3</w:t>
      </w:r>
      <w:r w:rsidRPr="008D0AE1">
        <w:rPr>
          <w:lang w:val="en-GB"/>
        </w:rPr>
        <w:t xml:space="preserve"> billion</w:t>
      </w:r>
      <w:r>
        <w:rPr>
          <w:lang w:val="en-GB"/>
        </w:rPr>
        <w:t xml:space="preserve"> (see </w:t>
      </w:r>
      <w:r w:rsidRPr="008D0AE1">
        <w:rPr>
          <w:lang w:val="en-GB"/>
        </w:rPr>
        <w:t>Exhibit 8</w:t>
      </w:r>
      <w:r>
        <w:rPr>
          <w:lang w:val="en-GB"/>
        </w:rPr>
        <w:t>)</w:t>
      </w:r>
      <w:r w:rsidRPr="008D0AE1">
        <w:rPr>
          <w:lang w:val="en-GB"/>
        </w:rPr>
        <w:t>. Even though this number was a fair proportion of the market, the critical question was why Amazon had not been able to gain more users, especially co</w:t>
      </w:r>
      <w:r w:rsidR="00B53598">
        <w:rPr>
          <w:lang w:val="en-GB"/>
        </w:rPr>
        <w:t>mpared</w:t>
      </w:r>
      <w:r w:rsidRPr="008D0AE1">
        <w:rPr>
          <w:lang w:val="en-GB"/>
        </w:rPr>
        <w:t xml:space="preserve"> to Alibaba and JD.</w:t>
      </w:r>
      <w:r>
        <w:rPr>
          <w:rStyle w:val="EndnoteReference"/>
          <w:lang w:val="en-GB"/>
        </w:rPr>
        <w:endnoteReference w:id="49"/>
      </w:r>
      <w:r w:rsidRPr="008D0AE1">
        <w:rPr>
          <w:lang w:val="en-GB"/>
        </w:rPr>
        <w:t xml:space="preserve"> </w:t>
      </w:r>
    </w:p>
    <w:p w14:paraId="0F24BCB8" w14:textId="77777777" w:rsidR="00815F1C" w:rsidRPr="008D0AE1" w:rsidRDefault="00815F1C" w:rsidP="00815F1C">
      <w:pPr>
        <w:pStyle w:val="BodyTextMain"/>
        <w:rPr>
          <w:u w:val="single"/>
          <w:lang w:val="en-GB"/>
        </w:rPr>
      </w:pPr>
    </w:p>
    <w:p w14:paraId="29A06C76" w14:textId="77777777" w:rsidR="00815F1C" w:rsidRPr="008D0AE1" w:rsidRDefault="00815F1C" w:rsidP="00815F1C">
      <w:pPr>
        <w:pStyle w:val="BodyTextMain"/>
        <w:rPr>
          <w:u w:val="single"/>
          <w:lang w:val="en-GB"/>
        </w:rPr>
      </w:pPr>
    </w:p>
    <w:p w14:paraId="0F68A55B" w14:textId="77777777" w:rsidR="00815F1C" w:rsidRPr="008D0AE1" w:rsidRDefault="00815F1C" w:rsidP="00815F1C">
      <w:pPr>
        <w:pStyle w:val="Casehead3"/>
        <w:rPr>
          <w:lang w:val="en-GB"/>
        </w:rPr>
      </w:pPr>
      <w:r w:rsidRPr="008D0AE1">
        <w:rPr>
          <w:lang w:val="en-GB"/>
        </w:rPr>
        <w:t>Business Strategy</w:t>
      </w:r>
    </w:p>
    <w:p w14:paraId="314B1CE6" w14:textId="77777777" w:rsidR="00815F1C" w:rsidRPr="008D0AE1" w:rsidRDefault="00815F1C" w:rsidP="00815F1C">
      <w:pPr>
        <w:pStyle w:val="BodyTextMain"/>
        <w:rPr>
          <w:lang w:val="en-GB"/>
        </w:rPr>
      </w:pPr>
    </w:p>
    <w:p w14:paraId="3C9C449D" w14:textId="75087434" w:rsidR="00815F1C" w:rsidRPr="008D0AE1" w:rsidRDefault="00815F1C" w:rsidP="00815F1C">
      <w:pPr>
        <w:pStyle w:val="BodyTextMain"/>
        <w:rPr>
          <w:lang w:val="en-GB"/>
        </w:rPr>
      </w:pPr>
      <w:r w:rsidRPr="008D0AE1">
        <w:rPr>
          <w:lang w:val="en-GB"/>
        </w:rPr>
        <w:t>Amazon</w:t>
      </w:r>
      <w:r w:rsidR="009E27E9" w:rsidRPr="008D0AE1">
        <w:rPr>
          <w:lang w:val="en-GB"/>
        </w:rPr>
        <w:t>’</w:t>
      </w:r>
      <w:r w:rsidRPr="008D0AE1">
        <w:rPr>
          <w:lang w:val="en-GB"/>
        </w:rPr>
        <w:t xml:space="preserve">s cloud services (AWS) </w:t>
      </w:r>
      <w:r w:rsidR="009E27E9" w:rsidRPr="008D0AE1">
        <w:rPr>
          <w:lang w:val="en-GB"/>
        </w:rPr>
        <w:t xml:space="preserve">had </w:t>
      </w:r>
      <w:r w:rsidRPr="008D0AE1">
        <w:rPr>
          <w:lang w:val="en-GB"/>
        </w:rPr>
        <w:t>already taken the lead in the world</w:t>
      </w:r>
      <w:r w:rsidR="00B53598">
        <w:rPr>
          <w:lang w:val="en-GB"/>
        </w:rPr>
        <w:t>, and</w:t>
      </w:r>
      <w:r w:rsidRPr="008D0AE1">
        <w:rPr>
          <w:lang w:val="en-GB"/>
        </w:rPr>
        <w:t xml:space="preserve"> Amazon </w:t>
      </w:r>
      <w:r w:rsidR="009E27E9" w:rsidRPr="008D0AE1">
        <w:rPr>
          <w:lang w:val="en-GB"/>
        </w:rPr>
        <w:t xml:space="preserve">Prime </w:t>
      </w:r>
      <w:r w:rsidRPr="008D0AE1">
        <w:rPr>
          <w:lang w:val="en-GB"/>
        </w:rPr>
        <w:t>was launched in China in 2016 to attract local customers to purchase overseas goods. However, Alibaba and JD launched similar logistic</w:t>
      </w:r>
      <w:r w:rsidR="009E27E9" w:rsidRPr="008D0AE1">
        <w:rPr>
          <w:lang w:val="en-GB"/>
        </w:rPr>
        <w:t>s</w:t>
      </w:r>
      <w:r w:rsidRPr="008D0AE1">
        <w:rPr>
          <w:lang w:val="en-GB"/>
        </w:rPr>
        <w:t xml:space="preserve"> solutions in China</w:t>
      </w:r>
      <w:r w:rsidR="009E27E9" w:rsidRPr="008D0AE1">
        <w:rPr>
          <w:lang w:val="en-GB"/>
        </w:rPr>
        <w:t xml:space="preserve">; </w:t>
      </w:r>
      <w:r w:rsidRPr="008D0AE1">
        <w:rPr>
          <w:lang w:val="en-GB"/>
        </w:rPr>
        <w:t xml:space="preserve">for example, Alibaba </w:t>
      </w:r>
      <w:r w:rsidR="009E27E9" w:rsidRPr="008D0AE1">
        <w:rPr>
          <w:lang w:val="en-GB"/>
        </w:rPr>
        <w:t>established a connection with the third-</w:t>
      </w:r>
      <w:r w:rsidRPr="008D0AE1">
        <w:rPr>
          <w:lang w:val="en-GB"/>
        </w:rPr>
        <w:t>party logistic</w:t>
      </w:r>
      <w:r w:rsidR="009E27E9" w:rsidRPr="008D0AE1">
        <w:rPr>
          <w:lang w:val="en-GB"/>
        </w:rPr>
        <w:t>s</w:t>
      </w:r>
      <w:r w:rsidRPr="008D0AE1">
        <w:rPr>
          <w:lang w:val="en-GB"/>
        </w:rPr>
        <w:t xml:space="preserve"> company </w:t>
      </w:r>
      <w:proofErr w:type="spellStart"/>
      <w:r w:rsidR="009E27E9" w:rsidRPr="008D0AE1">
        <w:rPr>
          <w:lang w:val="en-GB"/>
        </w:rPr>
        <w:t>Cainiao</w:t>
      </w:r>
      <w:proofErr w:type="spellEnd"/>
      <w:r w:rsidR="00947CBB">
        <w:rPr>
          <w:lang w:val="en-GB"/>
        </w:rPr>
        <w:t xml:space="preserve"> </w:t>
      </w:r>
      <w:r w:rsidR="00947CBB" w:rsidRPr="008D0AE1">
        <w:rPr>
          <w:lang w:val="en-GB"/>
        </w:rPr>
        <w:t>Smart Logistics Network Limited</w:t>
      </w:r>
      <w:r w:rsidR="009E27E9" w:rsidRPr="008D0AE1">
        <w:rPr>
          <w:lang w:val="en-GB"/>
        </w:rPr>
        <w:t xml:space="preserve"> </w:t>
      </w:r>
      <w:r w:rsidRPr="008D0AE1">
        <w:rPr>
          <w:lang w:val="en-GB"/>
        </w:rPr>
        <w:t>in 2013</w:t>
      </w:r>
      <w:r w:rsidR="009E27E9" w:rsidRPr="008D0AE1">
        <w:rPr>
          <w:lang w:val="en-GB"/>
        </w:rPr>
        <w:t>,</w:t>
      </w:r>
      <w:r w:rsidRPr="008D0AE1">
        <w:rPr>
          <w:lang w:val="en-GB"/>
        </w:rPr>
        <w:t xml:space="preserve"> and JD </w:t>
      </w:r>
      <w:r w:rsidR="009E27E9" w:rsidRPr="008D0AE1">
        <w:rPr>
          <w:lang w:val="en-GB"/>
        </w:rPr>
        <w:t xml:space="preserve">had </w:t>
      </w:r>
      <w:r w:rsidRPr="008D0AE1">
        <w:rPr>
          <w:lang w:val="en-GB"/>
        </w:rPr>
        <w:t xml:space="preserve">been building up its own delivery network since 2014. </w:t>
      </w:r>
    </w:p>
    <w:p w14:paraId="5201097C" w14:textId="77777777" w:rsidR="00815F1C" w:rsidRPr="008D0AE1" w:rsidRDefault="00815F1C" w:rsidP="00815F1C">
      <w:pPr>
        <w:pStyle w:val="BodyTextMain"/>
        <w:rPr>
          <w:u w:val="single"/>
          <w:lang w:val="en-GB"/>
        </w:rPr>
      </w:pPr>
    </w:p>
    <w:p w14:paraId="0A6DBA98" w14:textId="77777777" w:rsidR="00815F1C" w:rsidRPr="008D0AE1" w:rsidRDefault="00815F1C" w:rsidP="00815F1C">
      <w:pPr>
        <w:pStyle w:val="BodyTextMain"/>
        <w:rPr>
          <w:u w:val="single"/>
          <w:lang w:val="en-GB"/>
        </w:rPr>
      </w:pPr>
    </w:p>
    <w:p w14:paraId="1F1C997D" w14:textId="77777777" w:rsidR="00815F1C" w:rsidRPr="008D0AE1" w:rsidRDefault="00815F1C" w:rsidP="000C14B8">
      <w:pPr>
        <w:pStyle w:val="Casehead1"/>
        <w:keepNext/>
        <w:rPr>
          <w:lang w:val="en-GB"/>
        </w:rPr>
      </w:pPr>
      <w:r w:rsidRPr="008D0AE1">
        <w:rPr>
          <w:lang w:val="en-GB"/>
        </w:rPr>
        <w:t>What’s Next?</w:t>
      </w:r>
    </w:p>
    <w:p w14:paraId="27390E9A" w14:textId="77777777" w:rsidR="00815F1C" w:rsidRPr="008D0AE1" w:rsidRDefault="00815F1C" w:rsidP="000C14B8">
      <w:pPr>
        <w:pStyle w:val="BodyTextMain"/>
        <w:keepNext/>
        <w:rPr>
          <w:lang w:val="en-GB"/>
        </w:rPr>
      </w:pPr>
    </w:p>
    <w:p w14:paraId="52F1FAA4" w14:textId="0B19146C" w:rsidR="00815F1C" w:rsidRPr="008D0AE1" w:rsidRDefault="00C20A64" w:rsidP="000C14B8">
      <w:pPr>
        <w:pStyle w:val="BodyTextMain"/>
        <w:keepNext/>
        <w:rPr>
          <w:lang w:val="en-GB"/>
        </w:rPr>
      </w:pPr>
      <w:r w:rsidRPr="008D0AE1">
        <w:rPr>
          <w:lang w:val="en-GB"/>
        </w:rPr>
        <w:t xml:space="preserve">By the end of 2018, </w:t>
      </w:r>
      <w:r w:rsidR="00815F1C" w:rsidRPr="008D0AE1">
        <w:rPr>
          <w:lang w:val="en-GB"/>
        </w:rPr>
        <w:t xml:space="preserve">China’s e-commerce industry </w:t>
      </w:r>
      <w:r w:rsidR="000A4555" w:rsidRPr="008D0AE1">
        <w:rPr>
          <w:lang w:val="en-GB"/>
        </w:rPr>
        <w:t xml:space="preserve">had </w:t>
      </w:r>
      <w:r w:rsidR="00815F1C" w:rsidRPr="008D0AE1">
        <w:rPr>
          <w:lang w:val="en-GB"/>
        </w:rPr>
        <w:t xml:space="preserve">become one of the world’s largest and most dynamic. Facing both opportunities and challenges, what should be the next steps for Amazon? Should Amazon restructure its business in China, acquire one of </w:t>
      </w:r>
      <w:r w:rsidR="000A4555" w:rsidRPr="008D0AE1">
        <w:rPr>
          <w:lang w:val="en-GB"/>
        </w:rPr>
        <w:t xml:space="preserve">its </w:t>
      </w:r>
      <w:r w:rsidR="00815F1C" w:rsidRPr="008D0AE1">
        <w:rPr>
          <w:lang w:val="en-GB"/>
        </w:rPr>
        <w:t>competitors, start a joint</w:t>
      </w:r>
      <w:r w:rsidR="000A4555" w:rsidRPr="008D0AE1">
        <w:rPr>
          <w:lang w:val="en-GB"/>
        </w:rPr>
        <w:t xml:space="preserve"> </w:t>
      </w:r>
      <w:r w:rsidR="00815F1C" w:rsidRPr="008D0AE1">
        <w:rPr>
          <w:lang w:val="en-GB"/>
        </w:rPr>
        <w:t xml:space="preserve">venture with local partners, or pursue other options? </w:t>
      </w:r>
    </w:p>
    <w:p w14:paraId="550D7407" w14:textId="0258868A" w:rsidR="00815F1C" w:rsidRPr="008D0AE1" w:rsidRDefault="00D62894" w:rsidP="00815F1C">
      <w:pPr>
        <w:pStyle w:val="BodyTextMain"/>
        <w:rPr>
          <w:lang w:val="en-GB"/>
        </w:rPr>
      </w:pPr>
      <w:r w:rsidRPr="008D0AE1">
        <w:rPr>
          <w:noProof/>
          <w:lang w:eastAsia="en-CA"/>
        </w:rPr>
        <mc:AlternateContent>
          <mc:Choice Requires="wps">
            <w:drawing>
              <wp:anchor distT="0" distB="0" distL="114300" distR="114300" simplePos="0" relativeHeight="251672064" behindDoc="0" locked="0" layoutInCell="1" allowOverlap="1" wp14:anchorId="5BDA421B" wp14:editId="0593F0A9">
                <wp:simplePos x="0" y="0"/>
                <wp:positionH relativeFrom="margin">
                  <wp:align>center</wp:align>
                </wp:positionH>
                <wp:positionV relativeFrom="paragraph">
                  <wp:posOffset>93980</wp:posOffset>
                </wp:positionV>
                <wp:extent cx="5049982" cy="1403985"/>
                <wp:effectExtent l="0" t="0" r="1778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9982" cy="1403985"/>
                        </a:xfrm>
                        <a:prstGeom prst="rect">
                          <a:avLst/>
                        </a:prstGeom>
                        <a:solidFill>
                          <a:srgbClr val="FFFFFF"/>
                        </a:solidFill>
                        <a:ln w="9525">
                          <a:solidFill>
                            <a:srgbClr val="000000"/>
                          </a:solidFill>
                          <a:miter lim="800000"/>
                          <a:headEnd/>
                          <a:tailEnd/>
                        </a:ln>
                      </wps:spPr>
                      <wps:txbx>
                        <w:txbxContent>
                          <w:p w14:paraId="2B3B84B5" w14:textId="44C89568" w:rsidR="00773C02" w:rsidRPr="00D62894" w:rsidRDefault="00773C02" w:rsidP="00F81037">
                            <w:pPr>
                              <w:jc w:val="center"/>
                              <w:rPr>
                                <w:rFonts w:ascii="Arial" w:hAnsi="Arial" w:cs="Arial"/>
                              </w:rPr>
                            </w:pPr>
                            <w:r w:rsidRPr="00D62894">
                              <w:rPr>
                                <w:rFonts w:ascii="Arial" w:hAnsi="Arial" w:cs="Arial"/>
                                <w:sz w:val="18"/>
                                <w:szCs w:val="18"/>
                                <w:lang w:val="en"/>
                              </w:rPr>
                              <w:t xml:space="preserve">This work was supported by </w:t>
                            </w:r>
                            <w:r>
                              <w:rPr>
                                <w:rFonts w:ascii="Arial" w:hAnsi="Arial" w:cs="Arial"/>
                                <w:sz w:val="18"/>
                                <w:szCs w:val="18"/>
                                <w:lang w:val="en"/>
                              </w:rPr>
                              <w:t xml:space="preserve">the </w:t>
                            </w:r>
                            <w:r w:rsidRPr="00D62894">
                              <w:rPr>
                                <w:rFonts w:ascii="Arial" w:hAnsi="Arial" w:cs="Arial"/>
                                <w:sz w:val="18"/>
                                <w:szCs w:val="18"/>
                                <w:lang w:val="en"/>
                              </w:rPr>
                              <w:t>National Natural Science Foundation of China (No. 71632008).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DA421B" id="_x0000_t202" coordsize="21600,21600" o:spt="202" path="m,l,21600r21600,l21600,xe">
                <v:stroke joinstyle="miter"/>
                <v:path gradientshapeok="t" o:connecttype="rect"/>
              </v:shapetype>
              <v:shape id="Text Box 2" o:spid="_x0000_s1026" type="#_x0000_t202" style="position:absolute;left:0;text-align:left;margin-left:0;margin-top:7.4pt;width:397.65pt;height:110.55pt;z-index:251672064;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">
                <v:textbox style="mso-fit-shape-to-text:t">
                  <w:txbxContent>
                    <w:p w14:paraId="2B3B84B5" w14:textId="44C89568" w:rsidR="00773C02" w:rsidRPr="00D62894" w:rsidRDefault="00773C02" w:rsidP="00F81037">
                      <w:pPr>
                        <w:jc w:val="center"/>
                        <w:rPr>
                          <w:rFonts w:ascii="Arial" w:hAnsi="Arial" w:cs="Arial"/>
                        </w:rPr>
                      </w:pPr>
                      <w:r w:rsidRPr="00D62894">
                        <w:rPr>
                          <w:rFonts w:ascii="Arial" w:hAnsi="Arial" w:cs="Arial"/>
                          <w:sz w:val="18"/>
                          <w:szCs w:val="18"/>
                          <w:lang w:val="en"/>
                        </w:rPr>
                        <w:t xml:space="preserve">This work was supported by </w:t>
                      </w:r>
                      <w:r>
                        <w:rPr>
                          <w:rFonts w:ascii="Arial" w:hAnsi="Arial" w:cs="Arial"/>
                          <w:sz w:val="18"/>
                          <w:szCs w:val="18"/>
                          <w:lang w:val="en"/>
                        </w:rPr>
                        <w:t xml:space="preserve">the </w:t>
                      </w:r>
                      <w:r w:rsidRPr="00D62894">
                        <w:rPr>
                          <w:rFonts w:ascii="Arial" w:hAnsi="Arial" w:cs="Arial"/>
                          <w:sz w:val="18"/>
                          <w:szCs w:val="18"/>
                          <w:lang w:val="en"/>
                        </w:rPr>
                        <w:t>National Natural Science Foundation of China (No. 71632008).</w:t>
                      </w:r>
                    </w:p>
                  </w:txbxContent>
                </v:textbox>
                <w10:wrap anchorx="margin"/>
              </v:shape>
            </w:pict>
          </mc:Fallback>
        </mc:AlternateContent>
      </w:r>
    </w:p>
    <w:p w14:paraId="6FB2F653" w14:textId="77777777" w:rsidR="00D62894" w:rsidRPr="008D0AE1" w:rsidRDefault="00D62894" w:rsidP="00815F1C">
      <w:pPr>
        <w:pStyle w:val="BodyTextMain"/>
        <w:rPr>
          <w:lang w:val="en-GB"/>
        </w:rPr>
      </w:pPr>
    </w:p>
    <w:p w14:paraId="3FA0CE5B" w14:textId="77777777" w:rsidR="00D62894" w:rsidRPr="008D0AE1" w:rsidRDefault="00D62894" w:rsidP="00815F1C">
      <w:pPr>
        <w:pStyle w:val="BodyTextMain"/>
        <w:rPr>
          <w:lang w:val="en-GB"/>
        </w:rPr>
      </w:pPr>
    </w:p>
    <w:p w14:paraId="73BDBCD8" w14:textId="07A32A8B" w:rsidR="00C52690" w:rsidRPr="008D0AE1" w:rsidRDefault="00C52690">
      <w:pPr>
        <w:spacing w:after="200" w:line="276" w:lineRule="auto"/>
        <w:rPr>
          <w:sz w:val="22"/>
          <w:szCs w:val="22"/>
          <w:lang w:val="en-GB"/>
        </w:rPr>
      </w:pPr>
      <w:r w:rsidRPr="008D0AE1">
        <w:rPr>
          <w:lang w:val="en-GB"/>
        </w:rPr>
        <w:br w:type="page"/>
      </w:r>
    </w:p>
    <w:p w14:paraId="12A1474F" w14:textId="45C6CED8" w:rsidR="00C52690" w:rsidRDefault="00C52690" w:rsidP="00C52690">
      <w:pPr>
        <w:pStyle w:val="ExhibitHeading"/>
        <w:rPr>
          <w:lang w:val="en-GB"/>
        </w:rPr>
      </w:pPr>
      <w:r w:rsidRPr="008D0AE1">
        <w:rPr>
          <w:lang w:val="en-GB"/>
        </w:rPr>
        <w:lastRenderedPageBreak/>
        <w:t>Exhibit 1: Amazon</w:t>
      </w:r>
      <w:r w:rsidR="00492D9E">
        <w:rPr>
          <w:lang w:val="en-GB"/>
        </w:rPr>
        <w:t>’s</w:t>
      </w:r>
      <w:r w:rsidRPr="008D0AE1">
        <w:rPr>
          <w:lang w:val="en-GB"/>
        </w:rPr>
        <w:t xml:space="preserve"> Revenue</w:t>
      </w:r>
      <w:r w:rsidR="00492D9E">
        <w:rPr>
          <w:lang w:val="en-GB"/>
        </w:rPr>
        <w:t>,</w:t>
      </w:r>
      <w:r w:rsidRPr="008D0AE1">
        <w:rPr>
          <w:lang w:val="en-GB"/>
        </w:rPr>
        <w:t xml:space="preserve"> Net Income, Total Asset</w:t>
      </w:r>
      <w:r w:rsidR="008D7889" w:rsidRPr="008D0AE1">
        <w:rPr>
          <w:lang w:val="en-GB"/>
        </w:rPr>
        <w:t>s</w:t>
      </w:r>
      <w:r w:rsidR="00492D9E">
        <w:rPr>
          <w:lang w:val="en-GB"/>
        </w:rPr>
        <w:t>,</w:t>
      </w:r>
      <w:r w:rsidR="008D7889" w:rsidRPr="008D0AE1">
        <w:rPr>
          <w:lang w:val="en-GB"/>
        </w:rPr>
        <w:t xml:space="preserve"> </w:t>
      </w:r>
      <w:r w:rsidRPr="008D0AE1">
        <w:rPr>
          <w:lang w:val="en-GB"/>
        </w:rPr>
        <w:t>and Employee</w:t>
      </w:r>
      <w:r w:rsidR="008D7889" w:rsidRPr="008D0AE1">
        <w:rPr>
          <w:lang w:val="en-GB"/>
        </w:rPr>
        <w:t>s</w:t>
      </w:r>
      <w:r w:rsidR="00492D9E">
        <w:rPr>
          <w:lang w:val="en-GB"/>
        </w:rPr>
        <w:t>,</w:t>
      </w:r>
      <w:r w:rsidRPr="008D0AE1">
        <w:rPr>
          <w:lang w:val="en-GB"/>
        </w:rPr>
        <w:t xml:space="preserve"> 2007</w:t>
      </w:r>
      <w:r w:rsidR="00492D9E">
        <w:rPr>
          <w:lang w:val="en-GB"/>
        </w:rPr>
        <w:t>–</w:t>
      </w:r>
      <w:r w:rsidR="00492D9E" w:rsidRPr="008D0AE1">
        <w:rPr>
          <w:lang w:val="en-GB"/>
        </w:rPr>
        <w:t>2017</w:t>
      </w:r>
    </w:p>
    <w:p w14:paraId="532FA67C" w14:textId="77777777" w:rsidR="00C52690" w:rsidRPr="008D0AE1" w:rsidRDefault="00C52690" w:rsidP="00DA52E3">
      <w:pPr>
        <w:pStyle w:val="BodyTextMain"/>
        <w:rPr>
          <w:lang w:val="en-GB"/>
        </w:rPr>
      </w:pPr>
    </w:p>
    <w:tbl>
      <w:tblPr>
        <w:tblW w:w="6945" w:type="dxa"/>
        <w:jc w:val="center"/>
        <w:tblLayout w:type="fixed"/>
        <w:tblLook w:val="0600" w:firstRow="0" w:lastRow="0" w:firstColumn="0" w:lastColumn="0" w:noHBand="1" w:noVBand="1"/>
      </w:tblPr>
      <w:tblGrid>
        <w:gridCol w:w="1095"/>
        <w:gridCol w:w="1515"/>
        <w:gridCol w:w="1485"/>
        <w:gridCol w:w="1575"/>
        <w:gridCol w:w="1275"/>
      </w:tblGrid>
      <w:tr w:rsidR="00C52690" w:rsidRPr="009E541E" w14:paraId="35381017" w14:textId="77777777" w:rsidTr="00C52690">
        <w:trPr>
          <w:jc w:val="center"/>
        </w:trPr>
        <w:tc>
          <w:tcPr>
            <w:tcW w:w="1095" w:type="dxa"/>
          </w:tcPr>
          <w:p w14:paraId="50396A74" w14:textId="77777777" w:rsidR="00C52690" w:rsidRPr="009E541E" w:rsidRDefault="00C52690" w:rsidP="00DA52E3">
            <w:pPr>
              <w:pStyle w:val="ExhibitText"/>
              <w:jc w:val="center"/>
              <w:rPr>
                <w:b/>
                <w:sz w:val="18"/>
                <w:szCs w:val="18"/>
                <w:lang w:val="en-GB"/>
              </w:rPr>
            </w:pPr>
            <w:r w:rsidRPr="009E541E">
              <w:rPr>
                <w:b/>
                <w:sz w:val="18"/>
                <w:szCs w:val="18"/>
                <w:lang w:val="en-GB"/>
              </w:rPr>
              <w:t>Year</w:t>
            </w:r>
          </w:p>
        </w:tc>
        <w:tc>
          <w:tcPr>
            <w:tcW w:w="1515" w:type="dxa"/>
          </w:tcPr>
          <w:p w14:paraId="45B5CC4A" w14:textId="77777777" w:rsidR="00C52690" w:rsidRPr="009E541E" w:rsidRDefault="00C52690" w:rsidP="00DA52E3">
            <w:pPr>
              <w:pStyle w:val="ExhibitText"/>
              <w:jc w:val="center"/>
              <w:rPr>
                <w:b/>
                <w:sz w:val="18"/>
                <w:szCs w:val="18"/>
                <w:lang w:val="en-GB"/>
              </w:rPr>
            </w:pPr>
            <w:r w:rsidRPr="009E541E">
              <w:rPr>
                <w:b/>
                <w:sz w:val="18"/>
                <w:szCs w:val="18"/>
                <w:lang w:val="en-GB"/>
              </w:rPr>
              <w:t>Revenue</w:t>
            </w:r>
          </w:p>
          <w:p w14:paraId="6A6B1F27" w14:textId="6F6E9C1D" w:rsidR="00C52690" w:rsidRPr="009E541E" w:rsidRDefault="00C52690" w:rsidP="00A444F6">
            <w:pPr>
              <w:pStyle w:val="ExhibitText"/>
              <w:jc w:val="center"/>
              <w:rPr>
                <w:b/>
                <w:sz w:val="18"/>
                <w:szCs w:val="18"/>
                <w:lang w:val="en-GB"/>
              </w:rPr>
            </w:pPr>
            <w:r w:rsidRPr="009E541E">
              <w:rPr>
                <w:b/>
                <w:sz w:val="18"/>
                <w:szCs w:val="18"/>
                <w:lang w:val="en-GB"/>
              </w:rPr>
              <w:t>US$</w:t>
            </w:r>
            <w:r w:rsidR="00492D9E" w:rsidRPr="009E541E">
              <w:rPr>
                <w:b/>
                <w:sz w:val="18"/>
                <w:szCs w:val="18"/>
                <w:lang w:val="en-GB"/>
              </w:rPr>
              <w:t xml:space="preserve"> Millions</w:t>
            </w:r>
          </w:p>
        </w:tc>
        <w:tc>
          <w:tcPr>
            <w:tcW w:w="1485" w:type="dxa"/>
          </w:tcPr>
          <w:p w14:paraId="2A970711" w14:textId="0167F90E" w:rsidR="00C52690" w:rsidRPr="009E541E" w:rsidRDefault="00C52690" w:rsidP="00DA52E3">
            <w:pPr>
              <w:pStyle w:val="ExhibitText"/>
              <w:jc w:val="center"/>
              <w:rPr>
                <w:b/>
                <w:sz w:val="18"/>
                <w:szCs w:val="18"/>
                <w:lang w:val="en-GB"/>
              </w:rPr>
            </w:pPr>
            <w:r w:rsidRPr="009E541E">
              <w:rPr>
                <w:b/>
                <w:sz w:val="18"/>
                <w:szCs w:val="18"/>
                <w:lang w:val="en-GB"/>
              </w:rPr>
              <w:t xml:space="preserve">Net </w:t>
            </w:r>
            <w:r w:rsidR="00492D9E" w:rsidRPr="009E541E">
              <w:rPr>
                <w:b/>
                <w:sz w:val="18"/>
                <w:szCs w:val="18"/>
                <w:lang w:val="en-GB"/>
              </w:rPr>
              <w:t>Income</w:t>
            </w:r>
          </w:p>
          <w:p w14:paraId="7EF6E03A" w14:textId="0CCA2C96" w:rsidR="00C52690" w:rsidRPr="009E541E" w:rsidRDefault="00492D9E" w:rsidP="00DA52E3">
            <w:pPr>
              <w:pStyle w:val="ExhibitText"/>
              <w:jc w:val="center"/>
              <w:rPr>
                <w:b/>
                <w:sz w:val="18"/>
                <w:szCs w:val="18"/>
                <w:lang w:val="en-GB"/>
              </w:rPr>
            </w:pPr>
            <w:r w:rsidRPr="009E541E">
              <w:rPr>
                <w:b/>
                <w:sz w:val="18"/>
                <w:szCs w:val="18"/>
                <w:lang w:val="en-GB"/>
              </w:rPr>
              <w:t>US$ Millions</w:t>
            </w:r>
          </w:p>
        </w:tc>
        <w:tc>
          <w:tcPr>
            <w:tcW w:w="1575" w:type="dxa"/>
          </w:tcPr>
          <w:p w14:paraId="60051518" w14:textId="77777777" w:rsidR="00C52690" w:rsidRPr="009E541E" w:rsidRDefault="00C52690" w:rsidP="00DA52E3">
            <w:pPr>
              <w:pStyle w:val="ExhibitText"/>
              <w:jc w:val="center"/>
              <w:rPr>
                <w:b/>
                <w:sz w:val="18"/>
                <w:szCs w:val="18"/>
                <w:lang w:val="en-GB"/>
              </w:rPr>
            </w:pPr>
            <w:r w:rsidRPr="009E541E">
              <w:rPr>
                <w:b/>
                <w:sz w:val="18"/>
                <w:szCs w:val="18"/>
                <w:lang w:val="en-GB"/>
              </w:rPr>
              <w:t>Total Assets</w:t>
            </w:r>
          </w:p>
          <w:p w14:paraId="3E0715A8" w14:textId="431D2732" w:rsidR="00C52690" w:rsidRPr="009E541E" w:rsidRDefault="00492D9E" w:rsidP="00DA52E3">
            <w:pPr>
              <w:pStyle w:val="ExhibitText"/>
              <w:jc w:val="center"/>
              <w:rPr>
                <w:b/>
                <w:sz w:val="18"/>
                <w:szCs w:val="18"/>
                <w:lang w:val="en-GB"/>
              </w:rPr>
            </w:pPr>
            <w:r w:rsidRPr="009E541E">
              <w:rPr>
                <w:b/>
                <w:sz w:val="18"/>
                <w:szCs w:val="18"/>
                <w:lang w:val="en-GB"/>
              </w:rPr>
              <w:t>US$ Millions</w:t>
            </w:r>
          </w:p>
        </w:tc>
        <w:tc>
          <w:tcPr>
            <w:tcW w:w="1275" w:type="dxa"/>
          </w:tcPr>
          <w:p w14:paraId="30D6A300" w14:textId="77777777" w:rsidR="00C52690" w:rsidRPr="009E541E" w:rsidRDefault="00C52690" w:rsidP="00DA52E3">
            <w:pPr>
              <w:pStyle w:val="ExhibitText"/>
              <w:jc w:val="center"/>
              <w:rPr>
                <w:b/>
                <w:sz w:val="18"/>
                <w:szCs w:val="18"/>
                <w:lang w:val="en-GB"/>
              </w:rPr>
            </w:pPr>
            <w:r w:rsidRPr="009E541E">
              <w:rPr>
                <w:b/>
                <w:sz w:val="18"/>
                <w:szCs w:val="18"/>
                <w:lang w:val="en-GB"/>
              </w:rPr>
              <w:t>Employees</w:t>
            </w:r>
          </w:p>
        </w:tc>
      </w:tr>
      <w:tr w:rsidR="00C52690" w:rsidRPr="009E541E" w14:paraId="0D6BBAFC" w14:textId="77777777" w:rsidTr="00C52690">
        <w:trPr>
          <w:jc w:val="center"/>
        </w:trPr>
        <w:tc>
          <w:tcPr>
            <w:tcW w:w="1095" w:type="dxa"/>
          </w:tcPr>
          <w:p w14:paraId="42CE1B12" w14:textId="77777777" w:rsidR="00C52690" w:rsidRPr="009E541E" w:rsidRDefault="00C52690" w:rsidP="00DA52E3">
            <w:pPr>
              <w:pStyle w:val="ExhibitText"/>
              <w:jc w:val="center"/>
              <w:rPr>
                <w:sz w:val="18"/>
                <w:szCs w:val="18"/>
                <w:lang w:val="en-GB"/>
              </w:rPr>
            </w:pPr>
            <w:r w:rsidRPr="009E541E">
              <w:rPr>
                <w:sz w:val="18"/>
                <w:szCs w:val="18"/>
                <w:lang w:val="en-GB"/>
              </w:rPr>
              <w:t>2007</w:t>
            </w:r>
          </w:p>
        </w:tc>
        <w:tc>
          <w:tcPr>
            <w:tcW w:w="1515" w:type="dxa"/>
          </w:tcPr>
          <w:p w14:paraId="77F15DC6" w14:textId="77777777" w:rsidR="00C52690" w:rsidRPr="009E541E" w:rsidRDefault="00C52690" w:rsidP="00DA52E3">
            <w:pPr>
              <w:pStyle w:val="ExhibitText"/>
              <w:jc w:val="right"/>
              <w:rPr>
                <w:sz w:val="18"/>
                <w:szCs w:val="18"/>
                <w:lang w:val="en-GB"/>
              </w:rPr>
            </w:pPr>
            <w:r w:rsidRPr="009E541E">
              <w:rPr>
                <w:sz w:val="18"/>
                <w:szCs w:val="18"/>
                <w:lang w:val="en-GB"/>
              </w:rPr>
              <w:t>14,835</w:t>
            </w:r>
          </w:p>
        </w:tc>
        <w:tc>
          <w:tcPr>
            <w:tcW w:w="1485" w:type="dxa"/>
          </w:tcPr>
          <w:p w14:paraId="01A765C7" w14:textId="77777777" w:rsidR="00C52690" w:rsidRPr="009E541E" w:rsidRDefault="00C52690" w:rsidP="00DA52E3">
            <w:pPr>
              <w:pStyle w:val="ExhibitText"/>
              <w:jc w:val="right"/>
              <w:rPr>
                <w:sz w:val="18"/>
                <w:szCs w:val="18"/>
                <w:lang w:val="en-GB"/>
              </w:rPr>
            </w:pPr>
            <w:r w:rsidRPr="009E541E">
              <w:rPr>
                <w:sz w:val="18"/>
                <w:szCs w:val="18"/>
                <w:lang w:val="en-GB"/>
              </w:rPr>
              <w:t>476</w:t>
            </w:r>
          </w:p>
        </w:tc>
        <w:tc>
          <w:tcPr>
            <w:tcW w:w="1575" w:type="dxa"/>
          </w:tcPr>
          <w:p w14:paraId="0DF825B0" w14:textId="77777777" w:rsidR="00C52690" w:rsidRPr="009E541E" w:rsidRDefault="00C52690" w:rsidP="00DA52E3">
            <w:pPr>
              <w:pStyle w:val="ExhibitText"/>
              <w:jc w:val="right"/>
              <w:rPr>
                <w:sz w:val="18"/>
                <w:szCs w:val="18"/>
                <w:lang w:val="en-GB"/>
              </w:rPr>
            </w:pPr>
            <w:r w:rsidRPr="009E541E">
              <w:rPr>
                <w:sz w:val="18"/>
                <w:szCs w:val="18"/>
                <w:lang w:val="en-GB"/>
              </w:rPr>
              <w:t>6,485</w:t>
            </w:r>
          </w:p>
        </w:tc>
        <w:tc>
          <w:tcPr>
            <w:tcW w:w="1275" w:type="dxa"/>
          </w:tcPr>
          <w:p w14:paraId="03CA92BB" w14:textId="77777777" w:rsidR="00C52690" w:rsidRPr="009E541E" w:rsidRDefault="00C52690" w:rsidP="00DA52E3">
            <w:pPr>
              <w:pStyle w:val="ExhibitText"/>
              <w:jc w:val="right"/>
              <w:rPr>
                <w:sz w:val="18"/>
                <w:szCs w:val="18"/>
                <w:lang w:val="en-GB"/>
              </w:rPr>
            </w:pPr>
            <w:r w:rsidRPr="009E541E">
              <w:rPr>
                <w:sz w:val="18"/>
                <w:szCs w:val="18"/>
                <w:lang w:val="en-GB"/>
              </w:rPr>
              <w:t>17,000</w:t>
            </w:r>
          </w:p>
        </w:tc>
      </w:tr>
      <w:tr w:rsidR="00C52690" w:rsidRPr="009E541E" w14:paraId="69FF746D" w14:textId="77777777" w:rsidTr="00C52690">
        <w:trPr>
          <w:jc w:val="center"/>
        </w:trPr>
        <w:tc>
          <w:tcPr>
            <w:tcW w:w="1095" w:type="dxa"/>
          </w:tcPr>
          <w:p w14:paraId="78F1035D" w14:textId="77777777" w:rsidR="00C52690" w:rsidRPr="009E541E" w:rsidRDefault="00C52690" w:rsidP="00DA52E3">
            <w:pPr>
              <w:pStyle w:val="ExhibitText"/>
              <w:jc w:val="center"/>
              <w:rPr>
                <w:sz w:val="18"/>
                <w:szCs w:val="18"/>
                <w:lang w:val="en-GB"/>
              </w:rPr>
            </w:pPr>
            <w:r w:rsidRPr="009E541E">
              <w:rPr>
                <w:sz w:val="18"/>
                <w:szCs w:val="18"/>
                <w:lang w:val="en-GB"/>
              </w:rPr>
              <w:t>2008</w:t>
            </w:r>
          </w:p>
        </w:tc>
        <w:tc>
          <w:tcPr>
            <w:tcW w:w="1515" w:type="dxa"/>
          </w:tcPr>
          <w:p w14:paraId="511AF69D" w14:textId="77777777" w:rsidR="00C52690" w:rsidRPr="009E541E" w:rsidRDefault="00C52690" w:rsidP="00DA52E3">
            <w:pPr>
              <w:pStyle w:val="ExhibitText"/>
              <w:jc w:val="right"/>
              <w:rPr>
                <w:sz w:val="18"/>
                <w:szCs w:val="18"/>
                <w:lang w:val="en-GB"/>
              </w:rPr>
            </w:pPr>
            <w:r w:rsidRPr="009E541E">
              <w:rPr>
                <w:sz w:val="18"/>
                <w:szCs w:val="18"/>
                <w:lang w:val="en-GB"/>
              </w:rPr>
              <w:t>19,166</w:t>
            </w:r>
          </w:p>
        </w:tc>
        <w:tc>
          <w:tcPr>
            <w:tcW w:w="1485" w:type="dxa"/>
          </w:tcPr>
          <w:p w14:paraId="1273D5F5" w14:textId="77777777" w:rsidR="00C52690" w:rsidRPr="009E541E" w:rsidRDefault="00C52690" w:rsidP="00DA52E3">
            <w:pPr>
              <w:pStyle w:val="ExhibitText"/>
              <w:jc w:val="right"/>
              <w:rPr>
                <w:sz w:val="18"/>
                <w:szCs w:val="18"/>
                <w:lang w:val="en-GB"/>
              </w:rPr>
            </w:pPr>
            <w:r w:rsidRPr="009E541E">
              <w:rPr>
                <w:sz w:val="18"/>
                <w:szCs w:val="18"/>
                <w:lang w:val="en-GB"/>
              </w:rPr>
              <w:t>645</w:t>
            </w:r>
          </w:p>
        </w:tc>
        <w:tc>
          <w:tcPr>
            <w:tcW w:w="1575" w:type="dxa"/>
          </w:tcPr>
          <w:p w14:paraId="00E3C138" w14:textId="77777777" w:rsidR="00C52690" w:rsidRPr="009E541E" w:rsidRDefault="00C52690" w:rsidP="00DA52E3">
            <w:pPr>
              <w:pStyle w:val="ExhibitText"/>
              <w:jc w:val="right"/>
              <w:rPr>
                <w:sz w:val="18"/>
                <w:szCs w:val="18"/>
                <w:lang w:val="en-GB"/>
              </w:rPr>
            </w:pPr>
            <w:r w:rsidRPr="009E541E">
              <w:rPr>
                <w:sz w:val="18"/>
                <w:szCs w:val="18"/>
                <w:lang w:val="en-GB"/>
              </w:rPr>
              <w:t>8,314</w:t>
            </w:r>
          </w:p>
        </w:tc>
        <w:tc>
          <w:tcPr>
            <w:tcW w:w="1275" w:type="dxa"/>
          </w:tcPr>
          <w:p w14:paraId="3C783113" w14:textId="77777777" w:rsidR="00C52690" w:rsidRPr="009E541E" w:rsidRDefault="00C52690" w:rsidP="00DA52E3">
            <w:pPr>
              <w:pStyle w:val="ExhibitText"/>
              <w:jc w:val="right"/>
              <w:rPr>
                <w:sz w:val="18"/>
                <w:szCs w:val="18"/>
                <w:lang w:val="en-GB"/>
              </w:rPr>
            </w:pPr>
            <w:r w:rsidRPr="009E541E">
              <w:rPr>
                <w:sz w:val="18"/>
                <w:szCs w:val="18"/>
                <w:lang w:val="en-GB"/>
              </w:rPr>
              <w:t>20,700</w:t>
            </w:r>
          </w:p>
        </w:tc>
      </w:tr>
      <w:tr w:rsidR="00C52690" w:rsidRPr="009E541E" w14:paraId="0F27872A" w14:textId="77777777" w:rsidTr="00C52690">
        <w:trPr>
          <w:jc w:val="center"/>
        </w:trPr>
        <w:tc>
          <w:tcPr>
            <w:tcW w:w="1095" w:type="dxa"/>
          </w:tcPr>
          <w:p w14:paraId="08226CB1" w14:textId="77777777" w:rsidR="00C52690" w:rsidRPr="009E541E" w:rsidRDefault="00C52690" w:rsidP="00DA52E3">
            <w:pPr>
              <w:pStyle w:val="ExhibitText"/>
              <w:jc w:val="center"/>
              <w:rPr>
                <w:sz w:val="18"/>
                <w:szCs w:val="18"/>
                <w:lang w:val="en-GB"/>
              </w:rPr>
            </w:pPr>
            <w:r w:rsidRPr="009E541E">
              <w:rPr>
                <w:sz w:val="18"/>
                <w:szCs w:val="18"/>
                <w:lang w:val="en-GB"/>
              </w:rPr>
              <w:t>2009</w:t>
            </w:r>
          </w:p>
        </w:tc>
        <w:tc>
          <w:tcPr>
            <w:tcW w:w="1515" w:type="dxa"/>
          </w:tcPr>
          <w:p w14:paraId="2BB075C7" w14:textId="77777777" w:rsidR="00C52690" w:rsidRPr="009E541E" w:rsidRDefault="00C52690" w:rsidP="00DA52E3">
            <w:pPr>
              <w:pStyle w:val="ExhibitText"/>
              <w:jc w:val="right"/>
              <w:rPr>
                <w:sz w:val="18"/>
                <w:szCs w:val="18"/>
                <w:lang w:val="en-GB"/>
              </w:rPr>
            </w:pPr>
            <w:r w:rsidRPr="009E541E">
              <w:rPr>
                <w:sz w:val="18"/>
                <w:szCs w:val="18"/>
                <w:lang w:val="en-GB"/>
              </w:rPr>
              <w:t>24,509</w:t>
            </w:r>
          </w:p>
        </w:tc>
        <w:tc>
          <w:tcPr>
            <w:tcW w:w="1485" w:type="dxa"/>
          </w:tcPr>
          <w:p w14:paraId="2BA324F7" w14:textId="77777777" w:rsidR="00C52690" w:rsidRPr="009E541E" w:rsidRDefault="00C52690" w:rsidP="00DA52E3">
            <w:pPr>
              <w:pStyle w:val="ExhibitText"/>
              <w:jc w:val="right"/>
              <w:rPr>
                <w:sz w:val="18"/>
                <w:szCs w:val="18"/>
                <w:lang w:val="en-GB"/>
              </w:rPr>
            </w:pPr>
            <w:r w:rsidRPr="009E541E">
              <w:rPr>
                <w:sz w:val="18"/>
                <w:szCs w:val="18"/>
                <w:lang w:val="en-GB"/>
              </w:rPr>
              <w:t>902</w:t>
            </w:r>
          </w:p>
        </w:tc>
        <w:tc>
          <w:tcPr>
            <w:tcW w:w="1575" w:type="dxa"/>
          </w:tcPr>
          <w:p w14:paraId="2CCDF11F" w14:textId="77777777" w:rsidR="00C52690" w:rsidRPr="009E541E" w:rsidRDefault="00C52690" w:rsidP="00DA52E3">
            <w:pPr>
              <w:pStyle w:val="ExhibitText"/>
              <w:jc w:val="right"/>
              <w:rPr>
                <w:sz w:val="18"/>
                <w:szCs w:val="18"/>
                <w:lang w:val="en-GB"/>
              </w:rPr>
            </w:pPr>
            <w:r w:rsidRPr="009E541E">
              <w:rPr>
                <w:sz w:val="18"/>
                <w:szCs w:val="18"/>
                <w:lang w:val="en-GB"/>
              </w:rPr>
              <w:t>13,813</w:t>
            </w:r>
          </w:p>
        </w:tc>
        <w:tc>
          <w:tcPr>
            <w:tcW w:w="1275" w:type="dxa"/>
          </w:tcPr>
          <w:p w14:paraId="73A8007C" w14:textId="77777777" w:rsidR="00C52690" w:rsidRPr="009E541E" w:rsidRDefault="00C52690" w:rsidP="00DA52E3">
            <w:pPr>
              <w:pStyle w:val="ExhibitText"/>
              <w:jc w:val="right"/>
              <w:rPr>
                <w:sz w:val="18"/>
                <w:szCs w:val="18"/>
                <w:lang w:val="en-GB"/>
              </w:rPr>
            </w:pPr>
            <w:r w:rsidRPr="009E541E">
              <w:rPr>
                <w:sz w:val="18"/>
                <w:szCs w:val="18"/>
                <w:lang w:val="en-GB"/>
              </w:rPr>
              <w:t>24,300</w:t>
            </w:r>
          </w:p>
        </w:tc>
      </w:tr>
      <w:tr w:rsidR="00C52690" w:rsidRPr="009E541E" w14:paraId="45F661C5" w14:textId="77777777" w:rsidTr="00C52690">
        <w:trPr>
          <w:jc w:val="center"/>
        </w:trPr>
        <w:tc>
          <w:tcPr>
            <w:tcW w:w="1095" w:type="dxa"/>
          </w:tcPr>
          <w:p w14:paraId="7A79224F" w14:textId="77777777" w:rsidR="00C52690" w:rsidRPr="009E541E" w:rsidRDefault="00C52690" w:rsidP="00DA52E3">
            <w:pPr>
              <w:pStyle w:val="ExhibitText"/>
              <w:jc w:val="center"/>
              <w:rPr>
                <w:sz w:val="18"/>
                <w:szCs w:val="18"/>
                <w:lang w:val="en-GB"/>
              </w:rPr>
            </w:pPr>
            <w:r w:rsidRPr="009E541E">
              <w:rPr>
                <w:sz w:val="18"/>
                <w:szCs w:val="18"/>
                <w:lang w:val="en-GB"/>
              </w:rPr>
              <w:t>2010</w:t>
            </w:r>
          </w:p>
        </w:tc>
        <w:tc>
          <w:tcPr>
            <w:tcW w:w="1515" w:type="dxa"/>
          </w:tcPr>
          <w:p w14:paraId="1426188E" w14:textId="77777777" w:rsidR="00C52690" w:rsidRPr="009E541E" w:rsidRDefault="00C52690" w:rsidP="00DA52E3">
            <w:pPr>
              <w:pStyle w:val="ExhibitText"/>
              <w:jc w:val="right"/>
              <w:rPr>
                <w:sz w:val="18"/>
                <w:szCs w:val="18"/>
                <w:lang w:val="en-GB"/>
              </w:rPr>
            </w:pPr>
            <w:r w:rsidRPr="009E541E">
              <w:rPr>
                <w:sz w:val="18"/>
                <w:szCs w:val="18"/>
                <w:lang w:val="en-GB"/>
              </w:rPr>
              <w:t>34,204</w:t>
            </w:r>
          </w:p>
        </w:tc>
        <w:tc>
          <w:tcPr>
            <w:tcW w:w="1485" w:type="dxa"/>
          </w:tcPr>
          <w:p w14:paraId="1488A9C6" w14:textId="77777777" w:rsidR="00C52690" w:rsidRPr="009E541E" w:rsidRDefault="00C52690" w:rsidP="00DA52E3">
            <w:pPr>
              <w:pStyle w:val="ExhibitText"/>
              <w:jc w:val="right"/>
              <w:rPr>
                <w:sz w:val="18"/>
                <w:szCs w:val="18"/>
                <w:lang w:val="en-GB"/>
              </w:rPr>
            </w:pPr>
            <w:r w:rsidRPr="009E541E">
              <w:rPr>
                <w:sz w:val="18"/>
                <w:szCs w:val="18"/>
                <w:lang w:val="en-GB"/>
              </w:rPr>
              <w:t>1,152</w:t>
            </w:r>
          </w:p>
        </w:tc>
        <w:tc>
          <w:tcPr>
            <w:tcW w:w="1575" w:type="dxa"/>
          </w:tcPr>
          <w:p w14:paraId="59E5CE85" w14:textId="77777777" w:rsidR="00C52690" w:rsidRPr="009E541E" w:rsidRDefault="00C52690" w:rsidP="00DA52E3">
            <w:pPr>
              <w:pStyle w:val="ExhibitText"/>
              <w:jc w:val="right"/>
              <w:rPr>
                <w:sz w:val="18"/>
                <w:szCs w:val="18"/>
                <w:lang w:val="en-GB"/>
              </w:rPr>
            </w:pPr>
            <w:r w:rsidRPr="009E541E">
              <w:rPr>
                <w:sz w:val="18"/>
                <w:szCs w:val="18"/>
                <w:lang w:val="en-GB"/>
              </w:rPr>
              <w:t>18,797</w:t>
            </w:r>
          </w:p>
        </w:tc>
        <w:tc>
          <w:tcPr>
            <w:tcW w:w="1275" w:type="dxa"/>
          </w:tcPr>
          <w:p w14:paraId="6030A9FE" w14:textId="77777777" w:rsidR="00C52690" w:rsidRPr="009E541E" w:rsidRDefault="00C52690" w:rsidP="00DA52E3">
            <w:pPr>
              <w:pStyle w:val="ExhibitText"/>
              <w:jc w:val="right"/>
              <w:rPr>
                <w:sz w:val="18"/>
                <w:szCs w:val="18"/>
                <w:lang w:val="en-GB"/>
              </w:rPr>
            </w:pPr>
            <w:r w:rsidRPr="009E541E">
              <w:rPr>
                <w:sz w:val="18"/>
                <w:szCs w:val="18"/>
                <w:lang w:val="en-GB"/>
              </w:rPr>
              <w:t>33,700</w:t>
            </w:r>
          </w:p>
        </w:tc>
      </w:tr>
      <w:tr w:rsidR="00C52690" w:rsidRPr="009E541E" w14:paraId="7CAEA26D" w14:textId="77777777" w:rsidTr="00C52690">
        <w:trPr>
          <w:jc w:val="center"/>
        </w:trPr>
        <w:tc>
          <w:tcPr>
            <w:tcW w:w="1095" w:type="dxa"/>
          </w:tcPr>
          <w:p w14:paraId="18119D02" w14:textId="77777777" w:rsidR="00C52690" w:rsidRPr="009E541E" w:rsidRDefault="00C52690" w:rsidP="00DA52E3">
            <w:pPr>
              <w:pStyle w:val="ExhibitText"/>
              <w:jc w:val="center"/>
              <w:rPr>
                <w:sz w:val="18"/>
                <w:szCs w:val="18"/>
                <w:lang w:val="en-GB"/>
              </w:rPr>
            </w:pPr>
            <w:r w:rsidRPr="009E541E">
              <w:rPr>
                <w:sz w:val="18"/>
                <w:szCs w:val="18"/>
                <w:lang w:val="en-GB"/>
              </w:rPr>
              <w:t>2011</w:t>
            </w:r>
          </w:p>
        </w:tc>
        <w:tc>
          <w:tcPr>
            <w:tcW w:w="1515" w:type="dxa"/>
          </w:tcPr>
          <w:p w14:paraId="76C1126A" w14:textId="77777777" w:rsidR="00C52690" w:rsidRPr="009E541E" w:rsidRDefault="00C52690" w:rsidP="00DA52E3">
            <w:pPr>
              <w:pStyle w:val="ExhibitText"/>
              <w:jc w:val="right"/>
              <w:rPr>
                <w:sz w:val="18"/>
                <w:szCs w:val="18"/>
                <w:lang w:val="en-GB"/>
              </w:rPr>
            </w:pPr>
            <w:r w:rsidRPr="009E541E">
              <w:rPr>
                <w:sz w:val="18"/>
                <w:szCs w:val="18"/>
                <w:lang w:val="en-GB"/>
              </w:rPr>
              <w:t>48,077</w:t>
            </w:r>
          </w:p>
        </w:tc>
        <w:tc>
          <w:tcPr>
            <w:tcW w:w="1485" w:type="dxa"/>
          </w:tcPr>
          <w:p w14:paraId="67EC71A7" w14:textId="77777777" w:rsidR="00C52690" w:rsidRPr="009E541E" w:rsidRDefault="00C52690" w:rsidP="00DA52E3">
            <w:pPr>
              <w:pStyle w:val="ExhibitText"/>
              <w:jc w:val="right"/>
              <w:rPr>
                <w:sz w:val="18"/>
                <w:szCs w:val="18"/>
                <w:lang w:val="en-GB"/>
              </w:rPr>
            </w:pPr>
            <w:r w:rsidRPr="009E541E">
              <w:rPr>
                <w:sz w:val="18"/>
                <w:szCs w:val="18"/>
                <w:lang w:val="en-GB"/>
              </w:rPr>
              <w:t>631</w:t>
            </w:r>
          </w:p>
        </w:tc>
        <w:tc>
          <w:tcPr>
            <w:tcW w:w="1575" w:type="dxa"/>
          </w:tcPr>
          <w:p w14:paraId="74D10B53" w14:textId="77777777" w:rsidR="00C52690" w:rsidRPr="009E541E" w:rsidRDefault="00C52690" w:rsidP="00DA52E3">
            <w:pPr>
              <w:pStyle w:val="ExhibitText"/>
              <w:jc w:val="right"/>
              <w:rPr>
                <w:sz w:val="18"/>
                <w:szCs w:val="18"/>
                <w:lang w:val="en-GB"/>
              </w:rPr>
            </w:pPr>
            <w:r w:rsidRPr="009E541E">
              <w:rPr>
                <w:sz w:val="18"/>
                <w:szCs w:val="18"/>
                <w:lang w:val="en-GB"/>
              </w:rPr>
              <w:t>25,278</w:t>
            </w:r>
          </w:p>
        </w:tc>
        <w:tc>
          <w:tcPr>
            <w:tcW w:w="1275" w:type="dxa"/>
          </w:tcPr>
          <w:p w14:paraId="12AC726E" w14:textId="77777777" w:rsidR="00C52690" w:rsidRPr="009E541E" w:rsidRDefault="00C52690" w:rsidP="00DA52E3">
            <w:pPr>
              <w:pStyle w:val="ExhibitText"/>
              <w:jc w:val="right"/>
              <w:rPr>
                <w:sz w:val="18"/>
                <w:szCs w:val="18"/>
                <w:lang w:val="en-GB"/>
              </w:rPr>
            </w:pPr>
            <w:r w:rsidRPr="009E541E">
              <w:rPr>
                <w:sz w:val="18"/>
                <w:szCs w:val="18"/>
                <w:lang w:val="en-GB"/>
              </w:rPr>
              <w:t>56,200</w:t>
            </w:r>
          </w:p>
        </w:tc>
      </w:tr>
      <w:tr w:rsidR="00C52690" w:rsidRPr="009E541E" w14:paraId="4846791C" w14:textId="77777777" w:rsidTr="00C52690">
        <w:trPr>
          <w:jc w:val="center"/>
        </w:trPr>
        <w:tc>
          <w:tcPr>
            <w:tcW w:w="1095" w:type="dxa"/>
          </w:tcPr>
          <w:p w14:paraId="529A1FD7" w14:textId="77777777" w:rsidR="00C52690" w:rsidRPr="009E541E" w:rsidRDefault="00C52690" w:rsidP="00DA52E3">
            <w:pPr>
              <w:pStyle w:val="ExhibitText"/>
              <w:jc w:val="center"/>
              <w:rPr>
                <w:sz w:val="18"/>
                <w:szCs w:val="18"/>
                <w:lang w:val="en-GB"/>
              </w:rPr>
            </w:pPr>
            <w:r w:rsidRPr="009E541E">
              <w:rPr>
                <w:sz w:val="18"/>
                <w:szCs w:val="18"/>
                <w:lang w:val="en-GB"/>
              </w:rPr>
              <w:t>2012</w:t>
            </w:r>
          </w:p>
        </w:tc>
        <w:tc>
          <w:tcPr>
            <w:tcW w:w="1515" w:type="dxa"/>
          </w:tcPr>
          <w:p w14:paraId="7DC458D6" w14:textId="77777777" w:rsidR="00C52690" w:rsidRPr="009E541E" w:rsidRDefault="00C52690" w:rsidP="00DA52E3">
            <w:pPr>
              <w:pStyle w:val="ExhibitText"/>
              <w:jc w:val="right"/>
              <w:rPr>
                <w:sz w:val="18"/>
                <w:szCs w:val="18"/>
                <w:lang w:val="en-GB"/>
              </w:rPr>
            </w:pPr>
            <w:r w:rsidRPr="009E541E">
              <w:rPr>
                <w:sz w:val="18"/>
                <w:szCs w:val="18"/>
                <w:lang w:val="en-GB"/>
              </w:rPr>
              <w:t>61,093</w:t>
            </w:r>
          </w:p>
        </w:tc>
        <w:tc>
          <w:tcPr>
            <w:tcW w:w="1485" w:type="dxa"/>
          </w:tcPr>
          <w:p w14:paraId="709112DC" w14:textId="77777777" w:rsidR="00C52690" w:rsidRPr="009E541E" w:rsidRDefault="00C52690" w:rsidP="00DA52E3">
            <w:pPr>
              <w:pStyle w:val="ExhibitText"/>
              <w:jc w:val="right"/>
              <w:rPr>
                <w:sz w:val="18"/>
                <w:szCs w:val="18"/>
                <w:lang w:val="en-GB"/>
              </w:rPr>
            </w:pPr>
            <w:r w:rsidRPr="009E541E">
              <w:rPr>
                <w:sz w:val="18"/>
                <w:szCs w:val="18"/>
                <w:lang w:val="en-GB"/>
              </w:rPr>
              <w:t>−39</w:t>
            </w:r>
          </w:p>
        </w:tc>
        <w:tc>
          <w:tcPr>
            <w:tcW w:w="1575" w:type="dxa"/>
          </w:tcPr>
          <w:p w14:paraId="088D6B5A" w14:textId="77777777" w:rsidR="00C52690" w:rsidRPr="009E541E" w:rsidRDefault="00C52690" w:rsidP="00DA52E3">
            <w:pPr>
              <w:pStyle w:val="ExhibitText"/>
              <w:jc w:val="right"/>
              <w:rPr>
                <w:sz w:val="18"/>
                <w:szCs w:val="18"/>
                <w:lang w:val="en-GB"/>
              </w:rPr>
            </w:pPr>
            <w:r w:rsidRPr="009E541E">
              <w:rPr>
                <w:sz w:val="18"/>
                <w:szCs w:val="18"/>
                <w:lang w:val="en-GB"/>
              </w:rPr>
              <w:t>32,555</w:t>
            </w:r>
          </w:p>
        </w:tc>
        <w:tc>
          <w:tcPr>
            <w:tcW w:w="1275" w:type="dxa"/>
          </w:tcPr>
          <w:p w14:paraId="345BFEB0" w14:textId="77777777" w:rsidR="00C52690" w:rsidRPr="009E541E" w:rsidRDefault="00C52690" w:rsidP="00DA52E3">
            <w:pPr>
              <w:pStyle w:val="ExhibitText"/>
              <w:jc w:val="right"/>
              <w:rPr>
                <w:sz w:val="18"/>
                <w:szCs w:val="18"/>
                <w:lang w:val="en-GB"/>
              </w:rPr>
            </w:pPr>
            <w:r w:rsidRPr="009E541E">
              <w:rPr>
                <w:sz w:val="18"/>
                <w:szCs w:val="18"/>
                <w:lang w:val="en-GB"/>
              </w:rPr>
              <w:t>88,400</w:t>
            </w:r>
          </w:p>
        </w:tc>
      </w:tr>
      <w:tr w:rsidR="00C52690" w:rsidRPr="009E541E" w14:paraId="2EB364EF" w14:textId="77777777" w:rsidTr="00C52690">
        <w:trPr>
          <w:jc w:val="center"/>
        </w:trPr>
        <w:tc>
          <w:tcPr>
            <w:tcW w:w="1095" w:type="dxa"/>
          </w:tcPr>
          <w:p w14:paraId="52A0F279" w14:textId="77777777" w:rsidR="00C52690" w:rsidRPr="009E541E" w:rsidRDefault="00C52690" w:rsidP="00DA52E3">
            <w:pPr>
              <w:pStyle w:val="ExhibitText"/>
              <w:jc w:val="center"/>
              <w:rPr>
                <w:sz w:val="18"/>
                <w:szCs w:val="18"/>
                <w:lang w:val="en-GB"/>
              </w:rPr>
            </w:pPr>
            <w:r w:rsidRPr="009E541E">
              <w:rPr>
                <w:sz w:val="18"/>
                <w:szCs w:val="18"/>
                <w:lang w:val="en-GB"/>
              </w:rPr>
              <w:t>2013</w:t>
            </w:r>
          </w:p>
        </w:tc>
        <w:tc>
          <w:tcPr>
            <w:tcW w:w="1515" w:type="dxa"/>
          </w:tcPr>
          <w:p w14:paraId="0382FADB" w14:textId="77777777" w:rsidR="00C52690" w:rsidRPr="009E541E" w:rsidRDefault="00C52690" w:rsidP="00DA52E3">
            <w:pPr>
              <w:pStyle w:val="ExhibitText"/>
              <w:jc w:val="right"/>
              <w:rPr>
                <w:sz w:val="18"/>
                <w:szCs w:val="18"/>
                <w:lang w:val="en-GB"/>
              </w:rPr>
            </w:pPr>
            <w:r w:rsidRPr="009E541E">
              <w:rPr>
                <w:sz w:val="18"/>
                <w:szCs w:val="18"/>
                <w:lang w:val="en-GB"/>
              </w:rPr>
              <w:t>74,452</w:t>
            </w:r>
          </w:p>
        </w:tc>
        <w:tc>
          <w:tcPr>
            <w:tcW w:w="1485" w:type="dxa"/>
          </w:tcPr>
          <w:p w14:paraId="52DE5071" w14:textId="77777777" w:rsidR="00C52690" w:rsidRPr="009E541E" w:rsidRDefault="00C52690" w:rsidP="00DA52E3">
            <w:pPr>
              <w:pStyle w:val="ExhibitText"/>
              <w:jc w:val="right"/>
              <w:rPr>
                <w:sz w:val="18"/>
                <w:szCs w:val="18"/>
                <w:lang w:val="en-GB"/>
              </w:rPr>
            </w:pPr>
            <w:r w:rsidRPr="009E541E">
              <w:rPr>
                <w:sz w:val="18"/>
                <w:szCs w:val="18"/>
                <w:lang w:val="en-GB"/>
              </w:rPr>
              <w:t>274</w:t>
            </w:r>
          </w:p>
        </w:tc>
        <w:tc>
          <w:tcPr>
            <w:tcW w:w="1575" w:type="dxa"/>
          </w:tcPr>
          <w:p w14:paraId="35C0D153" w14:textId="77777777" w:rsidR="00C52690" w:rsidRPr="009E541E" w:rsidRDefault="00C52690" w:rsidP="00DA52E3">
            <w:pPr>
              <w:pStyle w:val="ExhibitText"/>
              <w:jc w:val="right"/>
              <w:rPr>
                <w:sz w:val="18"/>
                <w:szCs w:val="18"/>
                <w:lang w:val="en-GB"/>
              </w:rPr>
            </w:pPr>
            <w:r w:rsidRPr="009E541E">
              <w:rPr>
                <w:sz w:val="18"/>
                <w:szCs w:val="18"/>
                <w:lang w:val="en-GB"/>
              </w:rPr>
              <w:t>40,159</w:t>
            </w:r>
          </w:p>
        </w:tc>
        <w:tc>
          <w:tcPr>
            <w:tcW w:w="1275" w:type="dxa"/>
          </w:tcPr>
          <w:p w14:paraId="412B2190" w14:textId="77777777" w:rsidR="00C52690" w:rsidRPr="009E541E" w:rsidRDefault="00C52690" w:rsidP="00DA52E3">
            <w:pPr>
              <w:pStyle w:val="ExhibitText"/>
              <w:jc w:val="right"/>
              <w:rPr>
                <w:sz w:val="18"/>
                <w:szCs w:val="18"/>
                <w:lang w:val="en-GB"/>
              </w:rPr>
            </w:pPr>
            <w:r w:rsidRPr="009E541E">
              <w:rPr>
                <w:sz w:val="18"/>
                <w:szCs w:val="18"/>
                <w:lang w:val="en-GB"/>
              </w:rPr>
              <w:t>117,300</w:t>
            </w:r>
          </w:p>
        </w:tc>
      </w:tr>
      <w:tr w:rsidR="00C52690" w:rsidRPr="009E541E" w14:paraId="483A2C12" w14:textId="77777777" w:rsidTr="00C52690">
        <w:trPr>
          <w:jc w:val="center"/>
        </w:trPr>
        <w:tc>
          <w:tcPr>
            <w:tcW w:w="1095" w:type="dxa"/>
          </w:tcPr>
          <w:p w14:paraId="3333F393" w14:textId="77777777" w:rsidR="00C52690" w:rsidRPr="009E541E" w:rsidRDefault="00C52690" w:rsidP="00DA52E3">
            <w:pPr>
              <w:pStyle w:val="ExhibitText"/>
              <w:jc w:val="center"/>
              <w:rPr>
                <w:sz w:val="18"/>
                <w:szCs w:val="18"/>
                <w:lang w:val="en-GB"/>
              </w:rPr>
            </w:pPr>
            <w:r w:rsidRPr="009E541E">
              <w:rPr>
                <w:sz w:val="18"/>
                <w:szCs w:val="18"/>
                <w:lang w:val="en-GB"/>
              </w:rPr>
              <w:t>2014</w:t>
            </w:r>
          </w:p>
        </w:tc>
        <w:tc>
          <w:tcPr>
            <w:tcW w:w="1515" w:type="dxa"/>
          </w:tcPr>
          <w:p w14:paraId="6B142491" w14:textId="77777777" w:rsidR="00C52690" w:rsidRPr="009E541E" w:rsidRDefault="00C52690" w:rsidP="00DA52E3">
            <w:pPr>
              <w:pStyle w:val="ExhibitText"/>
              <w:jc w:val="right"/>
              <w:rPr>
                <w:sz w:val="18"/>
                <w:szCs w:val="18"/>
                <w:lang w:val="en-GB"/>
              </w:rPr>
            </w:pPr>
            <w:r w:rsidRPr="009E541E">
              <w:rPr>
                <w:sz w:val="18"/>
                <w:szCs w:val="18"/>
                <w:lang w:val="en-GB"/>
              </w:rPr>
              <w:t>88,988</w:t>
            </w:r>
          </w:p>
        </w:tc>
        <w:tc>
          <w:tcPr>
            <w:tcW w:w="1485" w:type="dxa"/>
          </w:tcPr>
          <w:p w14:paraId="7ECBCA87" w14:textId="77777777" w:rsidR="00C52690" w:rsidRPr="009E541E" w:rsidRDefault="00C52690" w:rsidP="00DA52E3">
            <w:pPr>
              <w:pStyle w:val="ExhibitText"/>
              <w:jc w:val="right"/>
              <w:rPr>
                <w:sz w:val="18"/>
                <w:szCs w:val="18"/>
                <w:lang w:val="en-GB"/>
              </w:rPr>
            </w:pPr>
            <w:r w:rsidRPr="009E541E">
              <w:rPr>
                <w:sz w:val="18"/>
                <w:szCs w:val="18"/>
                <w:lang w:val="en-GB"/>
              </w:rPr>
              <w:t>−241</w:t>
            </w:r>
          </w:p>
        </w:tc>
        <w:tc>
          <w:tcPr>
            <w:tcW w:w="1575" w:type="dxa"/>
          </w:tcPr>
          <w:p w14:paraId="6B25A6FC" w14:textId="77777777" w:rsidR="00C52690" w:rsidRPr="009E541E" w:rsidRDefault="00C52690" w:rsidP="00DA52E3">
            <w:pPr>
              <w:pStyle w:val="ExhibitText"/>
              <w:jc w:val="right"/>
              <w:rPr>
                <w:sz w:val="18"/>
                <w:szCs w:val="18"/>
                <w:lang w:val="en-GB"/>
              </w:rPr>
            </w:pPr>
            <w:r w:rsidRPr="009E541E">
              <w:rPr>
                <w:sz w:val="18"/>
                <w:szCs w:val="18"/>
                <w:lang w:val="en-GB"/>
              </w:rPr>
              <w:t>54,505</w:t>
            </w:r>
          </w:p>
        </w:tc>
        <w:tc>
          <w:tcPr>
            <w:tcW w:w="1275" w:type="dxa"/>
          </w:tcPr>
          <w:p w14:paraId="1E83FAD3" w14:textId="77777777" w:rsidR="00C52690" w:rsidRPr="009E541E" w:rsidRDefault="00C52690" w:rsidP="00DA52E3">
            <w:pPr>
              <w:pStyle w:val="ExhibitText"/>
              <w:jc w:val="right"/>
              <w:rPr>
                <w:sz w:val="18"/>
                <w:szCs w:val="18"/>
                <w:lang w:val="en-GB"/>
              </w:rPr>
            </w:pPr>
            <w:r w:rsidRPr="009E541E">
              <w:rPr>
                <w:sz w:val="18"/>
                <w:szCs w:val="18"/>
                <w:lang w:val="en-GB"/>
              </w:rPr>
              <w:t>154,100</w:t>
            </w:r>
          </w:p>
        </w:tc>
      </w:tr>
      <w:tr w:rsidR="00C52690" w:rsidRPr="009E541E" w14:paraId="01E4400C" w14:textId="77777777" w:rsidTr="00C52690">
        <w:trPr>
          <w:jc w:val="center"/>
        </w:trPr>
        <w:tc>
          <w:tcPr>
            <w:tcW w:w="1095" w:type="dxa"/>
          </w:tcPr>
          <w:p w14:paraId="7AB989F3" w14:textId="77777777" w:rsidR="00C52690" w:rsidRPr="009E541E" w:rsidRDefault="00C52690" w:rsidP="00DA52E3">
            <w:pPr>
              <w:pStyle w:val="ExhibitText"/>
              <w:jc w:val="center"/>
              <w:rPr>
                <w:sz w:val="18"/>
                <w:szCs w:val="18"/>
                <w:lang w:val="en-GB"/>
              </w:rPr>
            </w:pPr>
            <w:r w:rsidRPr="009E541E">
              <w:rPr>
                <w:sz w:val="18"/>
                <w:szCs w:val="18"/>
                <w:lang w:val="en-GB"/>
              </w:rPr>
              <w:t>2015</w:t>
            </w:r>
          </w:p>
        </w:tc>
        <w:tc>
          <w:tcPr>
            <w:tcW w:w="1515" w:type="dxa"/>
          </w:tcPr>
          <w:p w14:paraId="3AEE2032" w14:textId="77777777" w:rsidR="00C52690" w:rsidRPr="009E541E" w:rsidRDefault="00C52690" w:rsidP="00DA52E3">
            <w:pPr>
              <w:pStyle w:val="ExhibitText"/>
              <w:jc w:val="right"/>
              <w:rPr>
                <w:sz w:val="18"/>
                <w:szCs w:val="18"/>
                <w:lang w:val="en-GB"/>
              </w:rPr>
            </w:pPr>
            <w:r w:rsidRPr="009E541E">
              <w:rPr>
                <w:sz w:val="18"/>
                <w:szCs w:val="18"/>
                <w:lang w:val="en-GB"/>
              </w:rPr>
              <w:t>107,006</w:t>
            </w:r>
          </w:p>
        </w:tc>
        <w:tc>
          <w:tcPr>
            <w:tcW w:w="1485" w:type="dxa"/>
          </w:tcPr>
          <w:p w14:paraId="5C55EDD0" w14:textId="77777777" w:rsidR="00C52690" w:rsidRPr="009E541E" w:rsidRDefault="00C52690" w:rsidP="00DA52E3">
            <w:pPr>
              <w:pStyle w:val="ExhibitText"/>
              <w:jc w:val="right"/>
              <w:rPr>
                <w:sz w:val="18"/>
                <w:szCs w:val="18"/>
                <w:lang w:val="en-GB"/>
              </w:rPr>
            </w:pPr>
            <w:r w:rsidRPr="009E541E">
              <w:rPr>
                <w:sz w:val="18"/>
                <w:szCs w:val="18"/>
                <w:lang w:val="en-GB"/>
              </w:rPr>
              <w:t>596</w:t>
            </w:r>
          </w:p>
        </w:tc>
        <w:tc>
          <w:tcPr>
            <w:tcW w:w="1575" w:type="dxa"/>
          </w:tcPr>
          <w:p w14:paraId="6791219F" w14:textId="77777777" w:rsidR="00C52690" w:rsidRPr="009E541E" w:rsidRDefault="00C52690" w:rsidP="00DA52E3">
            <w:pPr>
              <w:pStyle w:val="ExhibitText"/>
              <w:jc w:val="right"/>
              <w:rPr>
                <w:sz w:val="18"/>
                <w:szCs w:val="18"/>
                <w:lang w:val="en-GB"/>
              </w:rPr>
            </w:pPr>
            <w:r w:rsidRPr="009E541E">
              <w:rPr>
                <w:sz w:val="18"/>
                <w:szCs w:val="18"/>
                <w:lang w:val="en-GB"/>
              </w:rPr>
              <w:t>64,747</w:t>
            </w:r>
          </w:p>
        </w:tc>
        <w:tc>
          <w:tcPr>
            <w:tcW w:w="1275" w:type="dxa"/>
          </w:tcPr>
          <w:p w14:paraId="45C3C187" w14:textId="77777777" w:rsidR="00C52690" w:rsidRPr="009E541E" w:rsidRDefault="00C52690" w:rsidP="00DA52E3">
            <w:pPr>
              <w:pStyle w:val="ExhibitText"/>
              <w:jc w:val="right"/>
              <w:rPr>
                <w:sz w:val="18"/>
                <w:szCs w:val="18"/>
                <w:lang w:val="en-GB"/>
              </w:rPr>
            </w:pPr>
            <w:r w:rsidRPr="009E541E">
              <w:rPr>
                <w:sz w:val="18"/>
                <w:szCs w:val="18"/>
                <w:lang w:val="en-GB"/>
              </w:rPr>
              <w:t>230,800</w:t>
            </w:r>
          </w:p>
        </w:tc>
      </w:tr>
      <w:tr w:rsidR="00C52690" w:rsidRPr="009E541E" w14:paraId="18E392C3" w14:textId="77777777" w:rsidTr="00C52690">
        <w:trPr>
          <w:jc w:val="center"/>
        </w:trPr>
        <w:tc>
          <w:tcPr>
            <w:tcW w:w="1095" w:type="dxa"/>
          </w:tcPr>
          <w:p w14:paraId="2C79C455" w14:textId="77777777" w:rsidR="00C52690" w:rsidRPr="009E541E" w:rsidRDefault="00C52690" w:rsidP="00DA52E3">
            <w:pPr>
              <w:pStyle w:val="ExhibitText"/>
              <w:jc w:val="center"/>
              <w:rPr>
                <w:sz w:val="18"/>
                <w:szCs w:val="18"/>
                <w:lang w:val="en-GB"/>
              </w:rPr>
            </w:pPr>
            <w:r w:rsidRPr="009E541E">
              <w:rPr>
                <w:sz w:val="18"/>
                <w:szCs w:val="18"/>
                <w:lang w:val="en-GB"/>
              </w:rPr>
              <w:t>2016</w:t>
            </w:r>
          </w:p>
        </w:tc>
        <w:tc>
          <w:tcPr>
            <w:tcW w:w="1515" w:type="dxa"/>
          </w:tcPr>
          <w:p w14:paraId="566DBEA8" w14:textId="77777777" w:rsidR="00C52690" w:rsidRPr="009E541E" w:rsidRDefault="00C52690" w:rsidP="00DA52E3">
            <w:pPr>
              <w:pStyle w:val="ExhibitText"/>
              <w:jc w:val="right"/>
              <w:rPr>
                <w:sz w:val="18"/>
                <w:szCs w:val="18"/>
                <w:lang w:val="en-GB"/>
              </w:rPr>
            </w:pPr>
            <w:r w:rsidRPr="009E541E">
              <w:rPr>
                <w:sz w:val="18"/>
                <w:szCs w:val="18"/>
                <w:lang w:val="en-GB"/>
              </w:rPr>
              <w:t>135,987</w:t>
            </w:r>
          </w:p>
        </w:tc>
        <w:tc>
          <w:tcPr>
            <w:tcW w:w="1485" w:type="dxa"/>
          </w:tcPr>
          <w:p w14:paraId="4B381257" w14:textId="77777777" w:rsidR="00C52690" w:rsidRPr="009E541E" w:rsidRDefault="00C52690" w:rsidP="00DA52E3">
            <w:pPr>
              <w:pStyle w:val="ExhibitText"/>
              <w:jc w:val="right"/>
              <w:rPr>
                <w:sz w:val="18"/>
                <w:szCs w:val="18"/>
                <w:lang w:val="en-GB"/>
              </w:rPr>
            </w:pPr>
            <w:r w:rsidRPr="009E541E">
              <w:rPr>
                <w:sz w:val="18"/>
                <w:szCs w:val="18"/>
                <w:lang w:val="en-GB"/>
              </w:rPr>
              <w:t>2,371</w:t>
            </w:r>
          </w:p>
        </w:tc>
        <w:tc>
          <w:tcPr>
            <w:tcW w:w="1575" w:type="dxa"/>
          </w:tcPr>
          <w:p w14:paraId="41246F3E" w14:textId="77777777" w:rsidR="00C52690" w:rsidRPr="009E541E" w:rsidRDefault="00C52690" w:rsidP="00DA52E3">
            <w:pPr>
              <w:pStyle w:val="ExhibitText"/>
              <w:jc w:val="right"/>
              <w:rPr>
                <w:sz w:val="18"/>
                <w:szCs w:val="18"/>
                <w:lang w:val="en-GB"/>
              </w:rPr>
            </w:pPr>
            <w:r w:rsidRPr="009E541E">
              <w:rPr>
                <w:sz w:val="18"/>
                <w:szCs w:val="18"/>
                <w:lang w:val="en-GB"/>
              </w:rPr>
              <w:t>83,402</w:t>
            </w:r>
          </w:p>
        </w:tc>
        <w:tc>
          <w:tcPr>
            <w:tcW w:w="1275" w:type="dxa"/>
          </w:tcPr>
          <w:p w14:paraId="2DCC7CFC" w14:textId="77777777" w:rsidR="00C52690" w:rsidRPr="009E541E" w:rsidRDefault="00C52690" w:rsidP="00DA52E3">
            <w:pPr>
              <w:pStyle w:val="ExhibitText"/>
              <w:jc w:val="right"/>
              <w:rPr>
                <w:sz w:val="18"/>
                <w:szCs w:val="18"/>
                <w:lang w:val="en-GB"/>
              </w:rPr>
            </w:pPr>
            <w:r w:rsidRPr="009E541E">
              <w:rPr>
                <w:sz w:val="18"/>
                <w:szCs w:val="18"/>
                <w:lang w:val="en-GB"/>
              </w:rPr>
              <w:t>341,400</w:t>
            </w:r>
          </w:p>
        </w:tc>
      </w:tr>
      <w:tr w:rsidR="00C52690" w:rsidRPr="009E541E" w14:paraId="48EFA478" w14:textId="77777777" w:rsidTr="00C52690">
        <w:trPr>
          <w:jc w:val="center"/>
        </w:trPr>
        <w:tc>
          <w:tcPr>
            <w:tcW w:w="1095" w:type="dxa"/>
          </w:tcPr>
          <w:p w14:paraId="6D81F3B1" w14:textId="77777777" w:rsidR="00C52690" w:rsidRPr="009E541E" w:rsidRDefault="00C52690" w:rsidP="00DA52E3">
            <w:pPr>
              <w:pStyle w:val="ExhibitText"/>
              <w:jc w:val="center"/>
              <w:rPr>
                <w:sz w:val="18"/>
                <w:szCs w:val="18"/>
                <w:lang w:val="en-GB"/>
              </w:rPr>
            </w:pPr>
            <w:r w:rsidRPr="009E541E">
              <w:rPr>
                <w:sz w:val="18"/>
                <w:szCs w:val="18"/>
                <w:lang w:val="en-GB"/>
              </w:rPr>
              <w:t>2017</w:t>
            </w:r>
          </w:p>
        </w:tc>
        <w:tc>
          <w:tcPr>
            <w:tcW w:w="1515" w:type="dxa"/>
          </w:tcPr>
          <w:p w14:paraId="2D6EB7A0" w14:textId="77777777" w:rsidR="00C52690" w:rsidRPr="009E541E" w:rsidRDefault="00C52690" w:rsidP="00DA52E3">
            <w:pPr>
              <w:pStyle w:val="ExhibitText"/>
              <w:jc w:val="right"/>
              <w:rPr>
                <w:sz w:val="18"/>
                <w:szCs w:val="18"/>
                <w:lang w:val="en-GB"/>
              </w:rPr>
            </w:pPr>
            <w:r w:rsidRPr="009E541E">
              <w:rPr>
                <w:sz w:val="18"/>
                <w:szCs w:val="18"/>
                <w:lang w:val="en-GB"/>
              </w:rPr>
              <w:t>177,866</w:t>
            </w:r>
          </w:p>
        </w:tc>
        <w:tc>
          <w:tcPr>
            <w:tcW w:w="1485" w:type="dxa"/>
          </w:tcPr>
          <w:p w14:paraId="0B874560" w14:textId="77777777" w:rsidR="00C52690" w:rsidRPr="009E541E" w:rsidRDefault="00C52690" w:rsidP="00DA52E3">
            <w:pPr>
              <w:pStyle w:val="ExhibitText"/>
              <w:jc w:val="right"/>
              <w:rPr>
                <w:sz w:val="18"/>
                <w:szCs w:val="18"/>
                <w:lang w:val="en-GB"/>
              </w:rPr>
            </w:pPr>
            <w:r w:rsidRPr="009E541E">
              <w:rPr>
                <w:sz w:val="18"/>
                <w:szCs w:val="18"/>
                <w:lang w:val="en-GB"/>
              </w:rPr>
              <w:t>3,033</w:t>
            </w:r>
          </w:p>
        </w:tc>
        <w:tc>
          <w:tcPr>
            <w:tcW w:w="1575" w:type="dxa"/>
          </w:tcPr>
          <w:p w14:paraId="5F7D3BF4" w14:textId="77777777" w:rsidR="00C52690" w:rsidRPr="009E541E" w:rsidRDefault="00C52690" w:rsidP="00DA52E3">
            <w:pPr>
              <w:pStyle w:val="ExhibitText"/>
              <w:jc w:val="right"/>
              <w:rPr>
                <w:sz w:val="18"/>
                <w:szCs w:val="18"/>
                <w:lang w:val="en-GB"/>
              </w:rPr>
            </w:pPr>
            <w:r w:rsidRPr="009E541E">
              <w:rPr>
                <w:sz w:val="18"/>
                <w:szCs w:val="18"/>
                <w:lang w:val="en-GB"/>
              </w:rPr>
              <w:t>131,310</w:t>
            </w:r>
          </w:p>
        </w:tc>
        <w:tc>
          <w:tcPr>
            <w:tcW w:w="1275" w:type="dxa"/>
          </w:tcPr>
          <w:p w14:paraId="6271F5CD" w14:textId="77777777" w:rsidR="00C52690" w:rsidRPr="009E541E" w:rsidRDefault="00C52690" w:rsidP="00DA52E3">
            <w:pPr>
              <w:pStyle w:val="ExhibitText"/>
              <w:jc w:val="right"/>
              <w:rPr>
                <w:sz w:val="18"/>
                <w:szCs w:val="18"/>
                <w:lang w:val="en-GB"/>
              </w:rPr>
            </w:pPr>
            <w:r w:rsidRPr="009E541E">
              <w:rPr>
                <w:sz w:val="18"/>
                <w:szCs w:val="18"/>
                <w:lang w:val="en-GB"/>
              </w:rPr>
              <w:t>566,000</w:t>
            </w:r>
          </w:p>
        </w:tc>
      </w:tr>
    </w:tbl>
    <w:p w14:paraId="23764904" w14:textId="77777777" w:rsidR="00C52690" w:rsidRPr="008D0AE1" w:rsidRDefault="00C52690" w:rsidP="00DA52E3">
      <w:pPr>
        <w:pStyle w:val="BodyTextMain"/>
        <w:rPr>
          <w:lang w:val="en-GB"/>
        </w:rPr>
      </w:pPr>
    </w:p>
    <w:p w14:paraId="21D09F95" w14:textId="2678EE58" w:rsidR="00C52690" w:rsidRPr="008D0AE1" w:rsidRDefault="00C52690" w:rsidP="00C52690">
      <w:pPr>
        <w:pStyle w:val="Footnote"/>
        <w:rPr>
          <w:rFonts w:eastAsia="Georgia"/>
          <w:lang w:val="en-GB"/>
        </w:rPr>
      </w:pPr>
      <w:r w:rsidRPr="008D0AE1">
        <w:rPr>
          <w:rFonts w:eastAsia="Georgia"/>
          <w:lang w:val="en-GB"/>
        </w:rPr>
        <w:t xml:space="preserve">Source: </w:t>
      </w:r>
      <w:r w:rsidR="00492D9E">
        <w:rPr>
          <w:rFonts w:eastAsia="Georgia"/>
          <w:lang w:val="en-GB"/>
        </w:rPr>
        <w:t xml:space="preserve">Compiled by case authors based on data from </w:t>
      </w:r>
      <w:r w:rsidRPr="008D0AE1">
        <w:rPr>
          <w:rFonts w:eastAsia="Georgia"/>
          <w:lang w:val="en-GB"/>
        </w:rPr>
        <w:t>Amazon</w:t>
      </w:r>
      <w:r w:rsidR="00492D9E">
        <w:rPr>
          <w:rFonts w:eastAsia="Georgia"/>
          <w:lang w:val="en-GB"/>
        </w:rPr>
        <w:t xml:space="preserve">.com Inc., </w:t>
      </w:r>
      <w:r w:rsidR="00492D9E" w:rsidRPr="00334576">
        <w:rPr>
          <w:rFonts w:eastAsia="Georgia"/>
          <w:i/>
          <w:lang w:val="en-GB"/>
        </w:rPr>
        <w:t>2007 A</w:t>
      </w:r>
      <w:r w:rsidRPr="00334576">
        <w:rPr>
          <w:rFonts w:eastAsia="Georgia"/>
          <w:i/>
          <w:lang w:val="en-GB"/>
        </w:rPr>
        <w:t xml:space="preserve">nnual </w:t>
      </w:r>
      <w:r w:rsidR="00492D9E" w:rsidRPr="00334576">
        <w:rPr>
          <w:rFonts w:eastAsia="Georgia"/>
          <w:i/>
          <w:lang w:val="en-GB"/>
        </w:rPr>
        <w:t>Report</w:t>
      </w:r>
      <w:r w:rsidR="00492D9E">
        <w:rPr>
          <w:rFonts w:eastAsia="Georgia"/>
          <w:lang w:val="en-GB"/>
        </w:rPr>
        <w:t xml:space="preserve">, 2008, accessed April 26, 2019, </w:t>
      </w:r>
      <w:r w:rsidRPr="008D0AE1">
        <w:rPr>
          <w:rFonts w:eastAsia="Georgia"/>
          <w:lang w:val="en-GB"/>
        </w:rPr>
        <w:t>https://ir.aboutamazon.com/static-files/56afc458-02b3-4938-9918-85d610d6f146</w:t>
      </w:r>
      <w:r w:rsidR="00492D9E">
        <w:rPr>
          <w:rFonts w:eastAsia="Georgia"/>
          <w:lang w:val="en-GB"/>
        </w:rPr>
        <w:t xml:space="preserve">; </w:t>
      </w:r>
      <w:r w:rsidR="00492D9E" w:rsidRPr="00492D9E">
        <w:rPr>
          <w:rFonts w:eastAsia="Georgia"/>
          <w:lang w:val="en-GB"/>
        </w:rPr>
        <w:t xml:space="preserve">Amazon.com Inc., </w:t>
      </w:r>
      <w:r w:rsidR="00492D9E" w:rsidRPr="00334576">
        <w:rPr>
          <w:rFonts w:eastAsia="Georgia"/>
          <w:i/>
          <w:lang w:val="en-GB"/>
        </w:rPr>
        <w:t>2008 Annual Report</w:t>
      </w:r>
      <w:r w:rsidR="00492D9E" w:rsidRPr="00492D9E">
        <w:rPr>
          <w:rFonts w:eastAsia="Georgia"/>
          <w:lang w:val="en-GB"/>
        </w:rPr>
        <w:t>, 200</w:t>
      </w:r>
      <w:r w:rsidR="00492D9E">
        <w:rPr>
          <w:rFonts w:eastAsia="Georgia"/>
          <w:lang w:val="en-GB"/>
        </w:rPr>
        <w:t>9</w:t>
      </w:r>
      <w:r w:rsidR="00492D9E" w:rsidRPr="00492D9E">
        <w:rPr>
          <w:rFonts w:eastAsia="Georgia"/>
          <w:lang w:val="en-GB"/>
        </w:rPr>
        <w:t>, accessed April 26, 2019,</w:t>
      </w:r>
      <w:r w:rsidR="00492D9E">
        <w:rPr>
          <w:rFonts w:eastAsia="Georgia"/>
          <w:lang w:val="en-GB"/>
        </w:rPr>
        <w:t xml:space="preserve"> </w:t>
      </w:r>
      <w:r w:rsidRPr="008D0AE1">
        <w:rPr>
          <w:rFonts w:eastAsia="Georgia"/>
          <w:lang w:val="en-GB"/>
        </w:rPr>
        <w:t>https://ir.aboutamazon.com/static-files/e1846da7-9425-42d9-add7-84218d7ee5e7</w:t>
      </w:r>
      <w:r w:rsidR="00492D9E">
        <w:rPr>
          <w:rFonts w:eastAsia="Georgia"/>
          <w:lang w:val="en-GB"/>
        </w:rPr>
        <w:t xml:space="preserve">; </w:t>
      </w:r>
      <w:r w:rsidR="00492D9E" w:rsidRPr="00492D9E">
        <w:rPr>
          <w:rFonts w:eastAsia="Georgia"/>
          <w:lang w:val="en-GB"/>
        </w:rPr>
        <w:t xml:space="preserve">Amazon.com Inc., </w:t>
      </w:r>
      <w:r w:rsidR="00492D9E" w:rsidRPr="00334576">
        <w:rPr>
          <w:rFonts w:eastAsia="Georgia"/>
          <w:i/>
          <w:lang w:val="en-GB"/>
        </w:rPr>
        <w:t>2009 Annual Report</w:t>
      </w:r>
      <w:r w:rsidR="00492D9E" w:rsidRPr="00492D9E">
        <w:rPr>
          <w:rFonts w:eastAsia="Georgia"/>
          <w:lang w:val="en-GB"/>
        </w:rPr>
        <w:t>, 20</w:t>
      </w:r>
      <w:r w:rsidR="00492D9E">
        <w:rPr>
          <w:rFonts w:eastAsia="Georgia"/>
          <w:lang w:val="en-GB"/>
        </w:rPr>
        <w:t>10</w:t>
      </w:r>
      <w:r w:rsidR="00492D9E" w:rsidRPr="00492D9E">
        <w:rPr>
          <w:rFonts w:eastAsia="Georgia"/>
          <w:lang w:val="en-GB"/>
        </w:rPr>
        <w:t>, accessed April 26, 2019,</w:t>
      </w:r>
      <w:r w:rsidR="00492D9E">
        <w:rPr>
          <w:rFonts w:eastAsia="Georgia"/>
          <w:lang w:val="en-GB"/>
        </w:rPr>
        <w:t xml:space="preserve"> </w:t>
      </w:r>
      <w:r w:rsidRPr="008D0AE1">
        <w:rPr>
          <w:rFonts w:eastAsia="Georgia"/>
          <w:lang w:val="en-GB"/>
        </w:rPr>
        <w:t>https://ir.aboutamazon.com/static-files/f793debb-dc0a-4edf-a56d-9ff739d53b41</w:t>
      </w:r>
      <w:r w:rsidR="00492D9E">
        <w:rPr>
          <w:rFonts w:eastAsia="Georgia"/>
          <w:lang w:val="en-GB"/>
        </w:rPr>
        <w:t xml:space="preserve">; </w:t>
      </w:r>
      <w:r w:rsidR="00492D9E" w:rsidRPr="00492D9E">
        <w:rPr>
          <w:rFonts w:eastAsia="Georgia"/>
          <w:lang w:val="en-GB"/>
        </w:rPr>
        <w:t xml:space="preserve">Amazon.com Inc., </w:t>
      </w:r>
      <w:r w:rsidR="00492D9E" w:rsidRPr="00334576">
        <w:rPr>
          <w:rFonts w:eastAsia="Georgia"/>
          <w:i/>
          <w:lang w:val="en-GB"/>
        </w:rPr>
        <w:t>2010 Annual Report</w:t>
      </w:r>
      <w:r w:rsidR="00492D9E" w:rsidRPr="00492D9E">
        <w:rPr>
          <w:rFonts w:eastAsia="Georgia"/>
          <w:lang w:val="en-GB"/>
        </w:rPr>
        <w:t>, 20</w:t>
      </w:r>
      <w:r w:rsidR="00492D9E">
        <w:rPr>
          <w:rFonts w:eastAsia="Georgia"/>
          <w:lang w:val="en-GB"/>
        </w:rPr>
        <w:t>11</w:t>
      </w:r>
      <w:r w:rsidR="00492D9E" w:rsidRPr="00492D9E">
        <w:rPr>
          <w:rFonts w:eastAsia="Georgia"/>
          <w:lang w:val="en-GB"/>
        </w:rPr>
        <w:t>, accessed April 26, 2019,</w:t>
      </w:r>
      <w:r w:rsidR="00492D9E">
        <w:rPr>
          <w:rFonts w:eastAsia="Georgia"/>
          <w:lang w:val="en-GB"/>
        </w:rPr>
        <w:t xml:space="preserve"> </w:t>
      </w:r>
      <w:r w:rsidR="00492D9E" w:rsidRPr="00334576">
        <w:rPr>
          <w:rFonts w:eastAsia="Georgia"/>
        </w:rPr>
        <w:t>https://ir.aboutamazon.com/static-files/6f3c99ed-5094-4fed-a9ad-e18cdbf37478</w:t>
      </w:r>
      <w:r w:rsidR="00492D9E">
        <w:rPr>
          <w:rFonts w:eastAsia="Georgia"/>
          <w:lang w:val="en-GB"/>
        </w:rPr>
        <w:t>;</w:t>
      </w:r>
      <w:r w:rsidR="00492D9E" w:rsidRPr="00492D9E">
        <w:t xml:space="preserve"> </w:t>
      </w:r>
      <w:r w:rsidR="00492D9E" w:rsidRPr="00492D9E">
        <w:rPr>
          <w:rFonts w:eastAsia="Georgia"/>
          <w:lang w:val="en-GB"/>
        </w:rPr>
        <w:t xml:space="preserve">Amazon.com Inc., </w:t>
      </w:r>
      <w:r w:rsidR="00492D9E" w:rsidRPr="00334576">
        <w:rPr>
          <w:rFonts w:eastAsia="Georgia"/>
          <w:i/>
          <w:lang w:val="en-GB"/>
        </w:rPr>
        <w:t>2011 Annual Report</w:t>
      </w:r>
      <w:r w:rsidR="00492D9E" w:rsidRPr="00492D9E">
        <w:rPr>
          <w:rFonts w:eastAsia="Georgia"/>
          <w:lang w:val="en-GB"/>
        </w:rPr>
        <w:t>, 20</w:t>
      </w:r>
      <w:r w:rsidR="00492D9E">
        <w:rPr>
          <w:rFonts w:eastAsia="Georgia"/>
          <w:lang w:val="en-GB"/>
        </w:rPr>
        <w:t>12</w:t>
      </w:r>
      <w:r w:rsidR="00492D9E" w:rsidRPr="00492D9E">
        <w:rPr>
          <w:rFonts w:eastAsia="Georgia"/>
          <w:lang w:val="en-GB"/>
        </w:rPr>
        <w:t xml:space="preserve">, accessed April 26, 2019, </w:t>
      </w:r>
      <w:r w:rsidRPr="008D0AE1">
        <w:rPr>
          <w:rFonts w:eastAsia="Georgia"/>
          <w:lang w:val="en-GB"/>
        </w:rPr>
        <w:t>https://ir.aboutamazon.com/static-files/02a49fbe-6860-4ed7-ade4-905bcf16a5e1</w:t>
      </w:r>
      <w:r w:rsidR="00492D9E">
        <w:rPr>
          <w:rFonts w:eastAsia="Georgia"/>
          <w:lang w:val="en-GB"/>
        </w:rPr>
        <w:t>;</w:t>
      </w:r>
      <w:r w:rsidR="00492D9E" w:rsidRPr="00492D9E">
        <w:t xml:space="preserve"> </w:t>
      </w:r>
      <w:r w:rsidR="00492D9E" w:rsidRPr="00492D9E">
        <w:rPr>
          <w:rFonts w:eastAsia="Georgia"/>
          <w:lang w:val="en-GB"/>
        </w:rPr>
        <w:t xml:space="preserve">Amazon.com Inc., </w:t>
      </w:r>
      <w:r w:rsidR="00492D9E" w:rsidRPr="00334576">
        <w:rPr>
          <w:rFonts w:eastAsia="Georgia"/>
          <w:i/>
          <w:lang w:val="en-GB"/>
        </w:rPr>
        <w:t>2012 Annual Report</w:t>
      </w:r>
      <w:r w:rsidR="00492D9E" w:rsidRPr="00492D9E">
        <w:rPr>
          <w:rFonts w:eastAsia="Georgia"/>
          <w:lang w:val="en-GB"/>
        </w:rPr>
        <w:t>, 20</w:t>
      </w:r>
      <w:r w:rsidR="00492D9E">
        <w:rPr>
          <w:rFonts w:eastAsia="Georgia"/>
          <w:lang w:val="en-GB"/>
        </w:rPr>
        <w:t>13</w:t>
      </w:r>
      <w:r w:rsidR="00492D9E" w:rsidRPr="00492D9E">
        <w:rPr>
          <w:rFonts w:eastAsia="Georgia"/>
          <w:lang w:val="en-GB"/>
        </w:rPr>
        <w:t>, accessed April 26, 2019,</w:t>
      </w:r>
      <w:r w:rsidR="00492D9E">
        <w:rPr>
          <w:rFonts w:eastAsia="Georgia"/>
          <w:lang w:val="en-GB"/>
        </w:rPr>
        <w:t xml:space="preserve"> </w:t>
      </w:r>
      <w:r w:rsidR="00492D9E" w:rsidRPr="00334576">
        <w:rPr>
          <w:rFonts w:eastAsia="Georgia"/>
        </w:rPr>
        <w:t>https://ir.aboutamazon.com/static-files/28bfea7a-7b18-4ab0-ba03-581c6ccaa3a4</w:t>
      </w:r>
      <w:r w:rsidR="00492D9E">
        <w:rPr>
          <w:rFonts w:eastAsia="Georgia"/>
          <w:lang w:val="en-GB"/>
        </w:rPr>
        <w:t xml:space="preserve">; </w:t>
      </w:r>
      <w:r w:rsidR="00A444F6" w:rsidRPr="00A444F6">
        <w:rPr>
          <w:rFonts w:eastAsia="Georgia"/>
          <w:lang w:val="en-GB"/>
        </w:rPr>
        <w:t xml:space="preserve">Amazon.com Inc., </w:t>
      </w:r>
      <w:r w:rsidR="00A444F6" w:rsidRPr="00334576">
        <w:rPr>
          <w:rFonts w:eastAsia="Georgia"/>
          <w:i/>
          <w:lang w:val="en-GB"/>
        </w:rPr>
        <w:t>2013 Annual Report</w:t>
      </w:r>
      <w:r w:rsidR="00A444F6" w:rsidRPr="00A444F6">
        <w:rPr>
          <w:rFonts w:eastAsia="Georgia"/>
          <w:lang w:val="en-GB"/>
        </w:rPr>
        <w:t>, 201</w:t>
      </w:r>
      <w:r w:rsidR="00A444F6">
        <w:rPr>
          <w:rFonts w:eastAsia="Georgia"/>
          <w:lang w:val="en-GB"/>
        </w:rPr>
        <w:t>4</w:t>
      </w:r>
      <w:r w:rsidR="00A444F6" w:rsidRPr="00A444F6">
        <w:rPr>
          <w:rFonts w:eastAsia="Georgia"/>
          <w:lang w:val="en-GB"/>
        </w:rPr>
        <w:t>, accessed April 26, 2019,</w:t>
      </w:r>
      <w:r w:rsidR="00A444F6">
        <w:rPr>
          <w:rFonts w:eastAsia="Georgia"/>
          <w:lang w:val="en-GB"/>
        </w:rPr>
        <w:t xml:space="preserve"> </w:t>
      </w:r>
      <w:r w:rsidR="00A444F6" w:rsidRPr="00334576">
        <w:rPr>
          <w:rFonts w:eastAsia="Georgia"/>
        </w:rPr>
        <w:t>https://ir.aboutamazon.com/static-files/1be0475a-fcab-4826-9258-17f11c208487</w:t>
      </w:r>
      <w:r w:rsidR="00A444F6">
        <w:rPr>
          <w:rFonts w:eastAsia="Georgia"/>
          <w:lang w:val="en-GB"/>
        </w:rPr>
        <w:t xml:space="preserve">; Rupert </w:t>
      </w:r>
      <w:proofErr w:type="spellStart"/>
      <w:r w:rsidR="00A444F6">
        <w:rPr>
          <w:rFonts w:eastAsia="Georgia"/>
          <w:lang w:val="en-GB"/>
        </w:rPr>
        <w:t>Neate</w:t>
      </w:r>
      <w:proofErr w:type="spellEnd"/>
      <w:r w:rsidR="00A444F6">
        <w:rPr>
          <w:rFonts w:eastAsia="Georgia"/>
          <w:lang w:val="en-GB"/>
        </w:rPr>
        <w:t>, “</w:t>
      </w:r>
      <w:r w:rsidR="00A444F6" w:rsidRPr="00A444F6">
        <w:rPr>
          <w:rFonts w:eastAsia="Georgia"/>
          <w:lang w:val="en-GB"/>
        </w:rPr>
        <w:t xml:space="preserve">Amazon </w:t>
      </w:r>
      <w:r w:rsidR="00A444F6">
        <w:rPr>
          <w:rFonts w:eastAsia="Georgia"/>
          <w:lang w:val="en-GB"/>
        </w:rPr>
        <w:t>R</w:t>
      </w:r>
      <w:r w:rsidR="00A444F6" w:rsidRPr="00A444F6">
        <w:rPr>
          <w:rFonts w:eastAsia="Georgia"/>
          <w:lang w:val="en-GB"/>
        </w:rPr>
        <w:t xml:space="preserve">eports $89bn in </w:t>
      </w:r>
      <w:r w:rsidR="00A444F6">
        <w:rPr>
          <w:rFonts w:eastAsia="Georgia"/>
          <w:lang w:val="en-GB"/>
        </w:rPr>
        <w:t>S</w:t>
      </w:r>
      <w:r w:rsidR="00A444F6" w:rsidRPr="00A444F6">
        <w:rPr>
          <w:rFonts w:eastAsia="Georgia"/>
          <w:lang w:val="en-GB"/>
        </w:rPr>
        <w:t xml:space="preserve">ales Last Year </w:t>
      </w:r>
      <w:r w:rsidR="00A444F6">
        <w:rPr>
          <w:rFonts w:eastAsia="Georgia"/>
          <w:lang w:val="en-GB"/>
        </w:rPr>
        <w:t>a</w:t>
      </w:r>
      <w:r w:rsidR="00A444F6" w:rsidRPr="00A444F6">
        <w:rPr>
          <w:rFonts w:eastAsia="Georgia"/>
          <w:lang w:val="en-GB"/>
        </w:rPr>
        <w:t>s Shares Jump 11% After Hours</w:t>
      </w:r>
      <w:r w:rsidR="00A444F6">
        <w:rPr>
          <w:rFonts w:eastAsia="Georgia"/>
          <w:lang w:val="en-GB"/>
        </w:rPr>
        <w:t xml:space="preserve">,” </w:t>
      </w:r>
      <w:r w:rsidR="008F6A26">
        <w:rPr>
          <w:rFonts w:eastAsia="Georgia"/>
          <w:i/>
          <w:lang w:val="en-GB"/>
        </w:rPr>
        <w:t xml:space="preserve">The </w:t>
      </w:r>
      <w:r w:rsidR="00A444F6" w:rsidRPr="00334576">
        <w:rPr>
          <w:rFonts w:eastAsia="Georgia"/>
          <w:i/>
          <w:lang w:val="en-GB"/>
        </w:rPr>
        <w:t>Guardian</w:t>
      </w:r>
      <w:r w:rsidR="00A444F6">
        <w:rPr>
          <w:rFonts w:eastAsia="Georgia"/>
          <w:lang w:val="en-GB"/>
        </w:rPr>
        <w:t xml:space="preserve">, January 29, 2015, </w:t>
      </w:r>
      <w:r w:rsidR="00492D9E" w:rsidRPr="00492D9E">
        <w:rPr>
          <w:rFonts w:eastAsia="Georgia"/>
          <w:lang w:val="en-GB"/>
        </w:rPr>
        <w:t>accessed April 26, 2019,</w:t>
      </w:r>
      <w:r w:rsidR="00492D9E">
        <w:rPr>
          <w:rFonts w:eastAsia="Georgia"/>
          <w:lang w:val="en-GB"/>
        </w:rPr>
        <w:t xml:space="preserve"> </w:t>
      </w:r>
      <w:r w:rsidR="00A444F6" w:rsidRPr="00334576">
        <w:rPr>
          <w:rFonts w:eastAsia="Georgia"/>
        </w:rPr>
        <w:t>https://www.theguardian.com/technology/2015/jan/29/amazon-reports-89b-in-sales-2014</w:t>
      </w:r>
      <w:r w:rsidR="00A444F6">
        <w:rPr>
          <w:rFonts w:eastAsia="Georgia"/>
          <w:lang w:val="en-GB"/>
        </w:rPr>
        <w:t xml:space="preserve">; Janko </w:t>
      </w:r>
      <w:proofErr w:type="spellStart"/>
      <w:r w:rsidR="00A444F6">
        <w:rPr>
          <w:rFonts w:eastAsia="Georgia"/>
          <w:lang w:val="en-GB"/>
        </w:rPr>
        <w:t>Roettgers</w:t>
      </w:r>
      <w:proofErr w:type="spellEnd"/>
      <w:r w:rsidR="00A444F6">
        <w:rPr>
          <w:rFonts w:eastAsia="Georgia"/>
          <w:lang w:val="en-GB"/>
        </w:rPr>
        <w:t xml:space="preserve">, “Amazon Clocks $107 Billion in Revenue in 2015,” </w:t>
      </w:r>
      <w:r w:rsidR="00A444F6" w:rsidRPr="00334576">
        <w:rPr>
          <w:rFonts w:eastAsia="Georgia"/>
          <w:i/>
          <w:lang w:val="en-GB"/>
        </w:rPr>
        <w:t>Variety</w:t>
      </w:r>
      <w:r w:rsidR="00A444F6">
        <w:rPr>
          <w:rFonts w:eastAsia="Georgia"/>
          <w:lang w:val="en-GB"/>
        </w:rPr>
        <w:t xml:space="preserve">, January 28, 2016, accessed April 26, 2019, </w:t>
      </w:r>
      <w:r w:rsidR="00A444F6" w:rsidRPr="00334576">
        <w:rPr>
          <w:rFonts w:eastAsia="Georgia"/>
        </w:rPr>
        <w:t>https://variety.com/2016/biz/news/amazon-clocks-107-billion-in-revenue-in-2015-1201691106/</w:t>
      </w:r>
      <w:r w:rsidR="00A444F6">
        <w:rPr>
          <w:rFonts w:eastAsia="Georgia"/>
          <w:lang w:val="en-GB"/>
        </w:rPr>
        <w:t xml:space="preserve">; </w:t>
      </w:r>
      <w:proofErr w:type="spellStart"/>
      <w:r w:rsidR="00A444F6">
        <w:rPr>
          <w:rFonts w:eastAsia="Georgia"/>
          <w:lang w:val="en-GB"/>
        </w:rPr>
        <w:t>Ángel</w:t>
      </w:r>
      <w:proofErr w:type="spellEnd"/>
      <w:r w:rsidR="00A444F6">
        <w:rPr>
          <w:rFonts w:eastAsia="Georgia"/>
          <w:lang w:val="en-GB"/>
        </w:rPr>
        <w:t xml:space="preserve"> González, “</w:t>
      </w:r>
      <w:r w:rsidR="00A444F6" w:rsidRPr="00A444F6">
        <w:rPr>
          <w:rFonts w:eastAsia="Georgia"/>
          <w:lang w:val="en-GB"/>
        </w:rPr>
        <w:t>Amazon Sales Hit $136B in 2016; Dollar Hurts Overseas Business</w:t>
      </w:r>
      <w:r w:rsidR="00A444F6">
        <w:rPr>
          <w:rFonts w:eastAsia="Georgia"/>
          <w:lang w:val="en-GB"/>
        </w:rPr>
        <w:t xml:space="preserve">,” </w:t>
      </w:r>
      <w:r w:rsidR="00A444F6" w:rsidRPr="00334576">
        <w:rPr>
          <w:rFonts w:eastAsia="Georgia"/>
          <w:i/>
          <w:lang w:val="en-GB"/>
        </w:rPr>
        <w:t>Seattle Times</w:t>
      </w:r>
      <w:r w:rsidR="00A444F6">
        <w:rPr>
          <w:rFonts w:eastAsia="Georgia"/>
          <w:lang w:val="en-GB"/>
        </w:rPr>
        <w:t xml:space="preserve">, February 3, 2017, accessed April 26, 2019, </w:t>
      </w:r>
      <w:r w:rsidRPr="008D0AE1">
        <w:rPr>
          <w:rFonts w:eastAsia="Georgia"/>
          <w:lang w:val="en-GB"/>
        </w:rPr>
        <w:t>https://www.seattletimes.com/business/amazon/amazon-revenues-hit-by-stronger-dollar-miss-wall-street-expectations/</w:t>
      </w:r>
      <w:r w:rsidR="00A444F6">
        <w:rPr>
          <w:rFonts w:eastAsia="Georgia"/>
          <w:lang w:val="en-GB"/>
        </w:rPr>
        <w:t>; “</w:t>
      </w:r>
      <w:r w:rsidR="00A444F6" w:rsidRPr="00A444F6">
        <w:rPr>
          <w:rFonts w:eastAsia="Georgia"/>
          <w:lang w:val="en-GB"/>
        </w:rPr>
        <w:t>Amazon 2017 Sales Jump by Nearly a Third</w:t>
      </w:r>
      <w:r w:rsidR="00A444F6">
        <w:rPr>
          <w:rFonts w:eastAsia="Georgia"/>
          <w:lang w:val="en-GB"/>
        </w:rPr>
        <w:t>,” BBC News, February 1, 2018, access</w:t>
      </w:r>
      <w:r w:rsidR="004B0C89">
        <w:rPr>
          <w:rFonts w:eastAsia="Georgia"/>
          <w:lang w:val="en-GB"/>
        </w:rPr>
        <w:t>e</w:t>
      </w:r>
      <w:r w:rsidR="00A444F6">
        <w:rPr>
          <w:rFonts w:eastAsia="Georgia"/>
          <w:lang w:val="en-GB"/>
        </w:rPr>
        <w:t xml:space="preserve">d April 26, 2019, </w:t>
      </w:r>
      <w:r w:rsidRPr="008D0AE1">
        <w:rPr>
          <w:rFonts w:eastAsia="Georgia"/>
          <w:lang w:val="en-GB"/>
        </w:rPr>
        <w:t>https://www.bbc.com/news/business-42911123</w:t>
      </w:r>
      <w:r w:rsidR="00A444F6">
        <w:rPr>
          <w:rFonts w:eastAsia="Georgia"/>
          <w:lang w:val="en-GB"/>
        </w:rPr>
        <w:t>.</w:t>
      </w:r>
    </w:p>
    <w:p w14:paraId="5B86CBCD" w14:textId="77777777" w:rsidR="00C52690" w:rsidRDefault="00C52690" w:rsidP="00DA52E3">
      <w:pPr>
        <w:pStyle w:val="BodyTextMain"/>
        <w:rPr>
          <w:lang w:val="en-GB"/>
        </w:rPr>
      </w:pPr>
    </w:p>
    <w:p w14:paraId="0E33EDA9" w14:textId="77777777" w:rsidR="009E541E" w:rsidRPr="008D0AE1" w:rsidRDefault="009E541E" w:rsidP="00DA52E3">
      <w:pPr>
        <w:pStyle w:val="BodyTextMain"/>
        <w:rPr>
          <w:lang w:val="en-GB"/>
        </w:rPr>
      </w:pPr>
    </w:p>
    <w:p w14:paraId="5D456BE9" w14:textId="009881DD" w:rsidR="00C52690" w:rsidRPr="008D0AE1" w:rsidRDefault="00C52690" w:rsidP="00334576">
      <w:pPr>
        <w:pStyle w:val="ExhibitHeading"/>
        <w:keepLines/>
        <w:rPr>
          <w:lang w:val="en-GB"/>
        </w:rPr>
      </w:pPr>
      <w:r w:rsidRPr="008D0AE1">
        <w:rPr>
          <w:lang w:val="en-GB"/>
        </w:rPr>
        <w:t>Exhibit 2: Amazon</w:t>
      </w:r>
      <w:r w:rsidR="004B0C89">
        <w:rPr>
          <w:lang w:val="en-GB"/>
        </w:rPr>
        <w:t>’s</w:t>
      </w:r>
      <w:r w:rsidRPr="008D0AE1">
        <w:rPr>
          <w:lang w:val="en-GB"/>
        </w:rPr>
        <w:t xml:space="preserve"> global expansion </w:t>
      </w:r>
    </w:p>
    <w:p w14:paraId="4F0CB525" w14:textId="77777777" w:rsidR="00C52690" w:rsidRPr="008D0AE1" w:rsidRDefault="00C52690" w:rsidP="009E541E">
      <w:pPr>
        <w:pStyle w:val="BodyTextMain"/>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1803"/>
        <w:gridCol w:w="1985"/>
        <w:gridCol w:w="2126"/>
      </w:tblGrid>
      <w:tr w:rsidR="00C52690" w:rsidRPr="009E541E" w14:paraId="186DC3DB" w14:textId="77777777" w:rsidTr="0056630E">
        <w:tc>
          <w:tcPr>
            <w:tcW w:w="2416" w:type="dxa"/>
          </w:tcPr>
          <w:p w14:paraId="4B49ADD3" w14:textId="77777777" w:rsidR="00C52690" w:rsidRPr="009E541E" w:rsidRDefault="00C52690" w:rsidP="0056630E">
            <w:pPr>
              <w:pStyle w:val="ExhibitText"/>
              <w:keepLines/>
              <w:jc w:val="center"/>
              <w:rPr>
                <w:b/>
                <w:sz w:val="18"/>
                <w:szCs w:val="18"/>
                <w:lang w:val="en-GB"/>
              </w:rPr>
            </w:pPr>
            <w:r w:rsidRPr="009E541E">
              <w:rPr>
                <w:b/>
                <w:sz w:val="18"/>
                <w:szCs w:val="18"/>
                <w:lang w:val="en-GB"/>
              </w:rPr>
              <w:t>Region</w:t>
            </w:r>
          </w:p>
        </w:tc>
        <w:tc>
          <w:tcPr>
            <w:tcW w:w="1803" w:type="dxa"/>
          </w:tcPr>
          <w:p w14:paraId="649E4BDF" w14:textId="77777777" w:rsidR="00C52690" w:rsidRPr="009E541E" w:rsidRDefault="00C52690" w:rsidP="0056630E">
            <w:pPr>
              <w:pStyle w:val="ExhibitText"/>
              <w:keepLines/>
              <w:jc w:val="center"/>
              <w:rPr>
                <w:b/>
                <w:sz w:val="18"/>
                <w:szCs w:val="18"/>
                <w:lang w:val="en-GB"/>
              </w:rPr>
            </w:pPr>
            <w:r w:rsidRPr="009E541E">
              <w:rPr>
                <w:b/>
                <w:sz w:val="18"/>
                <w:szCs w:val="18"/>
                <w:lang w:val="en-GB"/>
              </w:rPr>
              <w:t>Sovereignty</w:t>
            </w:r>
          </w:p>
        </w:tc>
        <w:tc>
          <w:tcPr>
            <w:tcW w:w="1985" w:type="dxa"/>
          </w:tcPr>
          <w:p w14:paraId="27D18A26" w14:textId="75BAAB63" w:rsidR="00C52690" w:rsidRPr="009E541E" w:rsidRDefault="00C52690" w:rsidP="0056630E">
            <w:pPr>
              <w:pStyle w:val="ExhibitText"/>
              <w:keepLines/>
              <w:jc w:val="center"/>
              <w:rPr>
                <w:b/>
                <w:sz w:val="18"/>
                <w:szCs w:val="18"/>
                <w:lang w:val="en-GB"/>
              </w:rPr>
            </w:pPr>
            <w:r w:rsidRPr="009E541E">
              <w:rPr>
                <w:b/>
                <w:sz w:val="18"/>
                <w:szCs w:val="18"/>
                <w:lang w:val="en-GB"/>
              </w:rPr>
              <w:t xml:space="preserve">Domain </w:t>
            </w:r>
            <w:r w:rsidR="004B0C89" w:rsidRPr="009E541E">
              <w:rPr>
                <w:b/>
                <w:sz w:val="18"/>
                <w:szCs w:val="18"/>
                <w:lang w:val="en-GB"/>
              </w:rPr>
              <w:t>Name</w:t>
            </w:r>
          </w:p>
        </w:tc>
        <w:tc>
          <w:tcPr>
            <w:tcW w:w="2126" w:type="dxa"/>
          </w:tcPr>
          <w:p w14:paraId="2CAD8901" w14:textId="77777777" w:rsidR="00C52690" w:rsidRPr="009E541E" w:rsidRDefault="00C52690" w:rsidP="0056630E">
            <w:pPr>
              <w:pStyle w:val="ExhibitText"/>
              <w:keepLines/>
              <w:jc w:val="center"/>
              <w:rPr>
                <w:b/>
                <w:sz w:val="18"/>
                <w:szCs w:val="18"/>
                <w:lang w:val="en-GB"/>
              </w:rPr>
            </w:pPr>
            <w:r w:rsidRPr="009E541E">
              <w:rPr>
                <w:b/>
                <w:sz w:val="18"/>
                <w:szCs w:val="18"/>
                <w:lang w:val="en-GB"/>
              </w:rPr>
              <w:t>Since</w:t>
            </w:r>
          </w:p>
        </w:tc>
      </w:tr>
      <w:tr w:rsidR="00C52690" w:rsidRPr="009E541E" w14:paraId="3DFAC192" w14:textId="77777777" w:rsidTr="0056630E">
        <w:tc>
          <w:tcPr>
            <w:tcW w:w="2416" w:type="dxa"/>
            <w:vMerge w:val="restart"/>
          </w:tcPr>
          <w:p w14:paraId="45FF6FE4" w14:textId="77777777" w:rsidR="00C52690" w:rsidRPr="009E541E" w:rsidRDefault="00C52690" w:rsidP="00334576">
            <w:pPr>
              <w:pStyle w:val="ExhibitText"/>
              <w:keepLines/>
              <w:rPr>
                <w:b/>
                <w:sz w:val="18"/>
                <w:szCs w:val="18"/>
                <w:lang w:val="en-GB"/>
              </w:rPr>
            </w:pPr>
            <w:r w:rsidRPr="009E541E">
              <w:rPr>
                <w:b/>
                <w:sz w:val="18"/>
                <w:szCs w:val="18"/>
                <w:lang w:val="en-GB"/>
              </w:rPr>
              <w:t>Asia</w:t>
            </w:r>
          </w:p>
        </w:tc>
        <w:tc>
          <w:tcPr>
            <w:tcW w:w="1803" w:type="dxa"/>
          </w:tcPr>
          <w:p w14:paraId="737454AB" w14:textId="77777777" w:rsidR="00C52690" w:rsidRPr="009E541E" w:rsidRDefault="00C52690" w:rsidP="00334576">
            <w:pPr>
              <w:pStyle w:val="ExhibitText"/>
              <w:keepLines/>
              <w:jc w:val="left"/>
              <w:rPr>
                <w:sz w:val="18"/>
                <w:szCs w:val="18"/>
                <w:lang w:val="en-GB"/>
              </w:rPr>
            </w:pPr>
            <w:r w:rsidRPr="009E541E">
              <w:rPr>
                <w:sz w:val="18"/>
                <w:szCs w:val="18"/>
                <w:lang w:val="en-GB"/>
              </w:rPr>
              <w:t>China</w:t>
            </w:r>
          </w:p>
        </w:tc>
        <w:tc>
          <w:tcPr>
            <w:tcW w:w="1985" w:type="dxa"/>
          </w:tcPr>
          <w:p w14:paraId="50E111F7" w14:textId="77777777" w:rsidR="00C52690" w:rsidRPr="009E541E" w:rsidRDefault="00C52690" w:rsidP="00334576">
            <w:pPr>
              <w:pStyle w:val="ExhibitText"/>
              <w:keepLines/>
              <w:jc w:val="left"/>
              <w:rPr>
                <w:sz w:val="18"/>
                <w:szCs w:val="18"/>
                <w:lang w:val="en-GB"/>
              </w:rPr>
            </w:pPr>
            <w:r w:rsidRPr="009E541E">
              <w:rPr>
                <w:sz w:val="18"/>
                <w:szCs w:val="18"/>
                <w:lang w:val="en-GB"/>
              </w:rPr>
              <w:t>Amazon.cn</w:t>
            </w:r>
          </w:p>
        </w:tc>
        <w:tc>
          <w:tcPr>
            <w:tcW w:w="2126" w:type="dxa"/>
          </w:tcPr>
          <w:p w14:paraId="657B15A8" w14:textId="77777777" w:rsidR="00C52690" w:rsidRPr="009E541E" w:rsidRDefault="00C52690" w:rsidP="00334576">
            <w:pPr>
              <w:pStyle w:val="ExhibitText"/>
              <w:keepLines/>
              <w:jc w:val="left"/>
              <w:rPr>
                <w:sz w:val="18"/>
                <w:szCs w:val="18"/>
                <w:lang w:val="en-GB"/>
              </w:rPr>
            </w:pPr>
            <w:r w:rsidRPr="009E541E">
              <w:rPr>
                <w:sz w:val="18"/>
                <w:szCs w:val="18"/>
                <w:lang w:val="en-GB"/>
              </w:rPr>
              <w:t>September 2004</w:t>
            </w:r>
          </w:p>
        </w:tc>
      </w:tr>
      <w:tr w:rsidR="00C52690" w:rsidRPr="009E541E" w14:paraId="0B46C75E" w14:textId="77777777" w:rsidTr="0056630E">
        <w:tc>
          <w:tcPr>
            <w:tcW w:w="2416" w:type="dxa"/>
            <w:vMerge/>
          </w:tcPr>
          <w:p w14:paraId="57E0DB53" w14:textId="77777777" w:rsidR="00C52690" w:rsidRPr="009E541E" w:rsidRDefault="00C52690" w:rsidP="009E541E">
            <w:pPr>
              <w:pStyle w:val="ExhibitText"/>
              <w:keepLines/>
              <w:rPr>
                <w:b/>
                <w:sz w:val="18"/>
                <w:szCs w:val="18"/>
                <w:lang w:val="en-GB"/>
              </w:rPr>
            </w:pPr>
          </w:p>
        </w:tc>
        <w:tc>
          <w:tcPr>
            <w:tcW w:w="1803" w:type="dxa"/>
          </w:tcPr>
          <w:p w14:paraId="684ADE76" w14:textId="77777777" w:rsidR="00C52690" w:rsidRPr="009E541E" w:rsidRDefault="00C52690" w:rsidP="009E541E">
            <w:pPr>
              <w:pStyle w:val="ExhibitText"/>
              <w:keepLines/>
              <w:jc w:val="left"/>
              <w:rPr>
                <w:sz w:val="18"/>
                <w:szCs w:val="18"/>
                <w:lang w:val="en-GB"/>
              </w:rPr>
            </w:pPr>
            <w:r w:rsidRPr="009E541E">
              <w:rPr>
                <w:sz w:val="18"/>
                <w:szCs w:val="18"/>
                <w:lang w:val="en-GB"/>
              </w:rPr>
              <w:t>Japan</w:t>
            </w:r>
          </w:p>
        </w:tc>
        <w:tc>
          <w:tcPr>
            <w:tcW w:w="1985" w:type="dxa"/>
          </w:tcPr>
          <w:p w14:paraId="1B453082" w14:textId="77777777" w:rsidR="00C52690" w:rsidRPr="009E541E" w:rsidRDefault="00C52690" w:rsidP="009E541E">
            <w:pPr>
              <w:pStyle w:val="ExhibitText"/>
              <w:keepLines/>
              <w:jc w:val="left"/>
              <w:rPr>
                <w:sz w:val="18"/>
                <w:szCs w:val="18"/>
                <w:lang w:val="en-GB"/>
              </w:rPr>
            </w:pPr>
            <w:r w:rsidRPr="009E541E">
              <w:rPr>
                <w:sz w:val="18"/>
                <w:szCs w:val="18"/>
                <w:lang w:val="en-GB"/>
              </w:rPr>
              <w:t>Amazon.co.jp</w:t>
            </w:r>
          </w:p>
        </w:tc>
        <w:tc>
          <w:tcPr>
            <w:tcW w:w="2126" w:type="dxa"/>
          </w:tcPr>
          <w:p w14:paraId="4862A452" w14:textId="77777777" w:rsidR="00C52690" w:rsidRPr="009E541E" w:rsidRDefault="00C52690" w:rsidP="009E541E">
            <w:pPr>
              <w:pStyle w:val="ExhibitText"/>
              <w:keepLines/>
              <w:jc w:val="left"/>
              <w:rPr>
                <w:sz w:val="18"/>
                <w:szCs w:val="18"/>
                <w:lang w:val="en-GB"/>
              </w:rPr>
            </w:pPr>
            <w:r w:rsidRPr="009E541E">
              <w:rPr>
                <w:sz w:val="18"/>
                <w:szCs w:val="18"/>
                <w:lang w:val="en-GB"/>
              </w:rPr>
              <w:t>November 2000</w:t>
            </w:r>
          </w:p>
        </w:tc>
      </w:tr>
      <w:tr w:rsidR="00C52690" w:rsidRPr="009E541E" w14:paraId="50FF2A69" w14:textId="77777777" w:rsidTr="0056630E">
        <w:tc>
          <w:tcPr>
            <w:tcW w:w="2416" w:type="dxa"/>
            <w:vMerge/>
          </w:tcPr>
          <w:p w14:paraId="355B1201" w14:textId="77777777" w:rsidR="00C52690" w:rsidRPr="009E541E" w:rsidRDefault="00C52690" w:rsidP="009E541E">
            <w:pPr>
              <w:pStyle w:val="ExhibitText"/>
              <w:keepLines/>
              <w:rPr>
                <w:b/>
                <w:sz w:val="18"/>
                <w:szCs w:val="18"/>
                <w:lang w:val="en-GB"/>
              </w:rPr>
            </w:pPr>
          </w:p>
        </w:tc>
        <w:tc>
          <w:tcPr>
            <w:tcW w:w="1803" w:type="dxa"/>
          </w:tcPr>
          <w:p w14:paraId="01CE7454" w14:textId="77777777" w:rsidR="00C52690" w:rsidRPr="009E541E" w:rsidRDefault="00C52690" w:rsidP="009E541E">
            <w:pPr>
              <w:pStyle w:val="ExhibitText"/>
              <w:keepLines/>
              <w:jc w:val="left"/>
              <w:rPr>
                <w:sz w:val="18"/>
                <w:szCs w:val="18"/>
                <w:lang w:val="en-GB"/>
              </w:rPr>
            </w:pPr>
            <w:r w:rsidRPr="009E541E">
              <w:rPr>
                <w:sz w:val="18"/>
                <w:szCs w:val="18"/>
                <w:lang w:val="en-GB"/>
              </w:rPr>
              <w:t>India</w:t>
            </w:r>
          </w:p>
        </w:tc>
        <w:tc>
          <w:tcPr>
            <w:tcW w:w="1985" w:type="dxa"/>
          </w:tcPr>
          <w:p w14:paraId="68516453" w14:textId="77777777" w:rsidR="00C52690" w:rsidRPr="009E541E" w:rsidRDefault="00C52690" w:rsidP="009E541E">
            <w:pPr>
              <w:pStyle w:val="ExhibitText"/>
              <w:keepLines/>
              <w:jc w:val="left"/>
              <w:rPr>
                <w:sz w:val="18"/>
                <w:szCs w:val="18"/>
                <w:lang w:val="en-GB"/>
              </w:rPr>
            </w:pPr>
            <w:r w:rsidRPr="009E541E">
              <w:rPr>
                <w:sz w:val="18"/>
                <w:szCs w:val="18"/>
                <w:lang w:val="en-GB"/>
              </w:rPr>
              <w:t xml:space="preserve">Amzaon.in </w:t>
            </w:r>
          </w:p>
        </w:tc>
        <w:tc>
          <w:tcPr>
            <w:tcW w:w="2126" w:type="dxa"/>
          </w:tcPr>
          <w:p w14:paraId="1582ABA2" w14:textId="77777777" w:rsidR="00C52690" w:rsidRPr="009E541E" w:rsidRDefault="00C52690" w:rsidP="009E541E">
            <w:pPr>
              <w:pStyle w:val="ExhibitText"/>
              <w:keepLines/>
              <w:jc w:val="left"/>
              <w:rPr>
                <w:sz w:val="18"/>
                <w:szCs w:val="18"/>
                <w:lang w:val="en-GB"/>
              </w:rPr>
            </w:pPr>
            <w:r w:rsidRPr="009E541E">
              <w:rPr>
                <w:sz w:val="18"/>
                <w:szCs w:val="18"/>
                <w:lang w:val="en-GB"/>
              </w:rPr>
              <w:t>June 2013</w:t>
            </w:r>
          </w:p>
        </w:tc>
      </w:tr>
      <w:tr w:rsidR="00C52690" w:rsidRPr="009E541E" w14:paraId="364BAE84" w14:textId="77777777" w:rsidTr="0056630E">
        <w:tc>
          <w:tcPr>
            <w:tcW w:w="2416" w:type="dxa"/>
            <w:vMerge/>
          </w:tcPr>
          <w:p w14:paraId="680ADFB3" w14:textId="77777777" w:rsidR="00C52690" w:rsidRPr="009E541E" w:rsidRDefault="00C52690" w:rsidP="009E541E">
            <w:pPr>
              <w:pStyle w:val="ExhibitText"/>
              <w:keepLines/>
              <w:rPr>
                <w:b/>
                <w:sz w:val="18"/>
                <w:szCs w:val="18"/>
                <w:lang w:val="en-GB"/>
              </w:rPr>
            </w:pPr>
          </w:p>
        </w:tc>
        <w:tc>
          <w:tcPr>
            <w:tcW w:w="1803" w:type="dxa"/>
          </w:tcPr>
          <w:p w14:paraId="0434C2E7" w14:textId="77777777" w:rsidR="00C52690" w:rsidRPr="009E541E" w:rsidRDefault="00C52690" w:rsidP="009E541E">
            <w:pPr>
              <w:pStyle w:val="ExhibitText"/>
              <w:keepLines/>
              <w:jc w:val="left"/>
              <w:rPr>
                <w:sz w:val="18"/>
                <w:szCs w:val="18"/>
                <w:lang w:val="en-GB"/>
              </w:rPr>
            </w:pPr>
            <w:r w:rsidRPr="009E541E">
              <w:rPr>
                <w:sz w:val="18"/>
                <w:szCs w:val="18"/>
                <w:lang w:val="en-GB"/>
              </w:rPr>
              <w:t xml:space="preserve">Singapore </w:t>
            </w:r>
          </w:p>
        </w:tc>
        <w:tc>
          <w:tcPr>
            <w:tcW w:w="1985" w:type="dxa"/>
          </w:tcPr>
          <w:p w14:paraId="7725C878" w14:textId="77777777" w:rsidR="00C52690" w:rsidRPr="009E541E" w:rsidRDefault="00C52690" w:rsidP="009E541E">
            <w:pPr>
              <w:pStyle w:val="ExhibitText"/>
              <w:keepLines/>
              <w:jc w:val="left"/>
              <w:rPr>
                <w:sz w:val="18"/>
                <w:szCs w:val="18"/>
                <w:lang w:val="en-GB"/>
              </w:rPr>
            </w:pPr>
            <w:r w:rsidRPr="009E541E">
              <w:rPr>
                <w:sz w:val="18"/>
                <w:szCs w:val="18"/>
                <w:lang w:val="en-GB"/>
              </w:rPr>
              <w:t>Amazon.com.sg</w:t>
            </w:r>
          </w:p>
        </w:tc>
        <w:tc>
          <w:tcPr>
            <w:tcW w:w="2126" w:type="dxa"/>
          </w:tcPr>
          <w:p w14:paraId="7F889867" w14:textId="77777777" w:rsidR="00C52690" w:rsidRPr="009E541E" w:rsidRDefault="00C52690" w:rsidP="009E541E">
            <w:pPr>
              <w:pStyle w:val="ExhibitText"/>
              <w:keepLines/>
              <w:jc w:val="left"/>
              <w:rPr>
                <w:sz w:val="18"/>
                <w:szCs w:val="18"/>
                <w:lang w:val="en-GB"/>
              </w:rPr>
            </w:pPr>
            <w:r w:rsidRPr="009E541E">
              <w:rPr>
                <w:sz w:val="18"/>
                <w:szCs w:val="18"/>
                <w:lang w:val="en-GB"/>
              </w:rPr>
              <w:t>July 2017</w:t>
            </w:r>
          </w:p>
        </w:tc>
      </w:tr>
      <w:tr w:rsidR="00C52690" w:rsidRPr="009E541E" w14:paraId="08F1C9F8" w14:textId="77777777" w:rsidTr="0056630E">
        <w:tc>
          <w:tcPr>
            <w:tcW w:w="2416" w:type="dxa"/>
            <w:vMerge w:val="restart"/>
          </w:tcPr>
          <w:p w14:paraId="1072C49D" w14:textId="77777777" w:rsidR="00C52690" w:rsidRPr="009E541E" w:rsidRDefault="00C52690" w:rsidP="00334576">
            <w:pPr>
              <w:pStyle w:val="ExhibitText"/>
              <w:keepLines/>
              <w:rPr>
                <w:b/>
                <w:sz w:val="18"/>
                <w:szCs w:val="18"/>
                <w:lang w:val="en-GB"/>
              </w:rPr>
            </w:pPr>
            <w:r w:rsidRPr="009E541E">
              <w:rPr>
                <w:b/>
                <w:sz w:val="18"/>
                <w:szCs w:val="18"/>
                <w:lang w:val="en-GB"/>
              </w:rPr>
              <w:t>Europe</w:t>
            </w:r>
          </w:p>
        </w:tc>
        <w:tc>
          <w:tcPr>
            <w:tcW w:w="1803" w:type="dxa"/>
          </w:tcPr>
          <w:p w14:paraId="1DED7987" w14:textId="77777777" w:rsidR="00C52690" w:rsidRPr="009E541E" w:rsidRDefault="00C52690" w:rsidP="00334576">
            <w:pPr>
              <w:pStyle w:val="ExhibitText"/>
              <w:keepLines/>
              <w:jc w:val="left"/>
              <w:rPr>
                <w:sz w:val="18"/>
                <w:szCs w:val="18"/>
                <w:lang w:val="en-GB"/>
              </w:rPr>
            </w:pPr>
            <w:r w:rsidRPr="009E541E">
              <w:rPr>
                <w:sz w:val="18"/>
                <w:szCs w:val="18"/>
                <w:lang w:val="en-GB"/>
              </w:rPr>
              <w:t xml:space="preserve">Germany </w:t>
            </w:r>
          </w:p>
        </w:tc>
        <w:tc>
          <w:tcPr>
            <w:tcW w:w="1985" w:type="dxa"/>
          </w:tcPr>
          <w:p w14:paraId="3A5BF640" w14:textId="77777777" w:rsidR="00C52690" w:rsidRPr="009E541E" w:rsidRDefault="00C52690" w:rsidP="00334576">
            <w:pPr>
              <w:pStyle w:val="ExhibitText"/>
              <w:keepLines/>
              <w:jc w:val="left"/>
              <w:rPr>
                <w:sz w:val="18"/>
                <w:szCs w:val="18"/>
                <w:lang w:val="en-GB"/>
              </w:rPr>
            </w:pPr>
            <w:r w:rsidRPr="009E541E">
              <w:rPr>
                <w:sz w:val="18"/>
                <w:szCs w:val="18"/>
                <w:lang w:val="en-GB"/>
              </w:rPr>
              <w:t>Amazon.de</w:t>
            </w:r>
          </w:p>
        </w:tc>
        <w:tc>
          <w:tcPr>
            <w:tcW w:w="2126" w:type="dxa"/>
          </w:tcPr>
          <w:p w14:paraId="7502D6A7" w14:textId="77777777" w:rsidR="00C52690" w:rsidRPr="009E541E" w:rsidRDefault="00C52690" w:rsidP="00334576">
            <w:pPr>
              <w:pStyle w:val="ExhibitText"/>
              <w:keepLines/>
              <w:jc w:val="left"/>
              <w:rPr>
                <w:sz w:val="18"/>
                <w:szCs w:val="18"/>
                <w:lang w:val="en-GB"/>
              </w:rPr>
            </w:pPr>
            <w:r w:rsidRPr="009E541E">
              <w:rPr>
                <w:sz w:val="18"/>
                <w:szCs w:val="18"/>
                <w:lang w:val="en-GB"/>
              </w:rPr>
              <w:t>October 1998</w:t>
            </w:r>
          </w:p>
        </w:tc>
      </w:tr>
      <w:tr w:rsidR="00C52690" w:rsidRPr="009E541E" w14:paraId="621F9876" w14:textId="77777777" w:rsidTr="0056630E">
        <w:tc>
          <w:tcPr>
            <w:tcW w:w="2416" w:type="dxa"/>
            <w:vMerge/>
          </w:tcPr>
          <w:p w14:paraId="3EDDE7F7" w14:textId="77777777" w:rsidR="00C52690" w:rsidRPr="009E541E" w:rsidRDefault="00C52690" w:rsidP="009E541E">
            <w:pPr>
              <w:pStyle w:val="ExhibitText"/>
              <w:keepLines/>
              <w:rPr>
                <w:b/>
                <w:sz w:val="18"/>
                <w:szCs w:val="18"/>
                <w:lang w:val="en-GB"/>
              </w:rPr>
            </w:pPr>
          </w:p>
        </w:tc>
        <w:tc>
          <w:tcPr>
            <w:tcW w:w="1803" w:type="dxa"/>
          </w:tcPr>
          <w:p w14:paraId="6218C366" w14:textId="77777777" w:rsidR="00C52690" w:rsidRPr="009E541E" w:rsidRDefault="00C52690" w:rsidP="009E541E">
            <w:pPr>
              <w:pStyle w:val="ExhibitText"/>
              <w:keepLines/>
              <w:jc w:val="left"/>
              <w:rPr>
                <w:sz w:val="18"/>
                <w:szCs w:val="18"/>
                <w:lang w:val="en-GB"/>
              </w:rPr>
            </w:pPr>
            <w:r w:rsidRPr="009E541E">
              <w:rPr>
                <w:sz w:val="18"/>
                <w:szCs w:val="18"/>
                <w:lang w:val="en-GB"/>
              </w:rPr>
              <w:t>UK</w:t>
            </w:r>
          </w:p>
        </w:tc>
        <w:tc>
          <w:tcPr>
            <w:tcW w:w="1985" w:type="dxa"/>
          </w:tcPr>
          <w:p w14:paraId="6B0D03A2" w14:textId="77777777" w:rsidR="00C52690" w:rsidRPr="009E541E" w:rsidRDefault="00C52690" w:rsidP="009E541E">
            <w:pPr>
              <w:pStyle w:val="ExhibitText"/>
              <w:keepLines/>
              <w:jc w:val="left"/>
              <w:rPr>
                <w:sz w:val="18"/>
                <w:szCs w:val="18"/>
                <w:lang w:val="en-GB"/>
              </w:rPr>
            </w:pPr>
            <w:r w:rsidRPr="009E541E">
              <w:rPr>
                <w:sz w:val="18"/>
                <w:szCs w:val="18"/>
                <w:lang w:val="en-GB"/>
              </w:rPr>
              <w:t>Amazon.co.uk</w:t>
            </w:r>
          </w:p>
        </w:tc>
        <w:tc>
          <w:tcPr>
            <w:tcW w:w="2126" w:type="dxa"/>
          </w:tcPr>
          <w:p w14:paraId="6D51470C" w14:textId="77777777" w:rsidR="00C52690" w:rsidRPr="009E541E" w:rsidRDefault="00C52690" w:rsidP="009E541E">
            <w:pPr>
              <w:pStyle w:val="ExhibitText"/>
              <w:keepLines/>
              <w:jc w:val="left"/>
              <w:rPr>
                <w:sz w:val="18"/>
                <w:szCs w:val="18"/>
                <w:lang w:val="en-GB"/>
              </w:rPr>
            </w:pPr>
            <w:r w:rsidRPr="009E541E">
              <w:rPr>
                <w:sz w:val="18"/>
                <w:szCs w:val="18"/>
                <w:lang w:val="en-GB"/>
              </w:rPr>
              <w:t>October 1998</w:t>
            </w:r>
          </w:p>
        </w:tc>
      </w:tr>
      <w:tr w:rsidR="00C52690" w:rsidRPr="009E541E" w14:paraId="43C1D358" w14:textId="77777777" w:rsidTr="0056630E">
        <w:tc>
          <w:tcPr>
            <w:tcW w:w="2416" w:type="dxa"/>
            <w:vMerge/>
          </w:tcPr>
          <w:p w14:paraId="7128BF81" w14:textId="77777777" w:rsidR="00C52690" w:rsidRPr="009E541E" w:rsidRDefault="00C52690" w:rsidP="009E541E">
            <w:pPr>
              <w:pStyle w:val="ExhibitText"/>
              <w:keepLines/>
              <w:rPr>
                <w:b/>
                <w:sz w:val="18"/>
                <w:szCs w:val="18"/>
                <w:lang w:val="en-GB"/>
              </w:rPr>
            </w:pPr>
          </w:p>
        </w:tc>
        <w:tc>
          <w:tcPr>
            <w:tcW w:w="1803" w:type="dxa"/>
          </w:tcPr>
          <w:p w14:paraId="4347B37F" w14:textId="77777777" w:rsidR="00C52690" w:rsidRPr="009E541E" w:rsidRDefault="00C52690" w:rsidP="009E541E">
            <w:pPr>
              <w:pStyle w:val="ExhibitText"/>
              <w:keepLines/>
              <w:jc w:val="left"/>
              <w:rPr>
                <w:sz w:val="18"/>
                <w:szCs w:val="18"/>
                <w:lang w:val="en-GB"/>
              </w:rPr>
            </w:pPr>
            <w:r w:rsidRPr="009E541E">
              <w:rPr>
                <w:sz w:val="18"/>
                <w:szCs w:val="18"/>
                <w:lang w:val="en-GB"/>
              </w:rPr>
              <w:t>France</w:t>
            </w:r>
          </w:p>
        </w:tc>
        <w:tc>
          <w:tcPr>
            <w:tcW w:w="1985" w:type="dxa"/>
          </w:tcPr>
          <w:p w14:paraId="30BDDDE3" w14:textId="154DE656" w:rsidR="00C52690" w:rsidRPr="009E541E" w:rsidRDefault="00C52690" w:rsidP="009E541E">
            <w:pPr>
              <w:pStyle w:val="ExhibitText"/>
              <w:keepLines/>
              <w:jc w:val="left"/>
              <w:rPr>
                <w:sz w:val="18"/>
                <w:szCs w:val="18"/>
                <w:lang w:val="en-GB"/>
              </w:rPr>
            </w:pPr>
            <w:r w:rsidRPr="009E541E">
              <w:rPr>
                <w:sz w:val="18"/>
                <w:szCs w:val="18"/>
                <w:lang w:val="en-GB"/>
              </w:rPr>
              <w:t>Amazon.</w:t>
            </w:r>
            <w:r w:rsidR="00FA7120" w:rsidRPr="009E541E">
              <w:rPr>
                <w:sz w:val="18"/>
                <w:szCs w:val="18"/>
                <w:lang w:val="en-GB"/>
              </w:rPr>
              <w:t>f</w:t>
            </w:r>
            <w:r w:rsidRPr="009E541E">
              <w:rPr>
                <w:sz w:val="18"/>
                <w:szCs w:val="18"/>
                <w:lang w:val="en-GB"/>
              </w:rPr>
              <w:t>r</w:t>
            </w:r>
          </w:p>
        </w:tc>
        <w:tc>
          <w:tcPr>
            <w:tcW w:w="2126" w:type="dxa"/>
          </w:tcPr>
          <w:p w14:paraId="7EF623A1" w14:textId="77777777" w:rsidR="00C52690" w:rsidRPr="009E541E" w:rsidRDefault="00C52690" w:rsidP="009E541E">
            <w:pPr>
              <w:pStyle w:val="ExhibitText"/>
              <w:keepLines/>
              <w:jc w:val="left"/>
              <w:rPr>
                <w:sz w:val="18"/>
                <w:szCs w:val="18"/>
                <w:lang w:val="en-GB"/>
              </w:rPr>
            </w:pPr>
            <w:r w:rsidRPr="009E541E">
              <w:rPr>
                <w:sz w:val="18"/>
                <w:szCs w:val="18"/>
                <w:lang w:val="en-GB"/>
              </w:rPr>
              <w:t>August 2000</w:t>
            </w:r>
          </w:p>
        </w:tc>
      </w:tr>
      <w:tr w:rsidR="00C52690" w:rsidRPr="009E541E" w14:paraId="1CFA4EAA" w14:textId="77777777" w:rsidTr="0056630E">
        <w:tc>
          <w:tcPr>
            <w:tcW w:w="2416" w:type="dxa"/>
            <w:vMerge/>
          </w:tcPr>
          <w:p w14:paraId="7DD5BA8C" w14:textId="77777777" w:rsidR="00C52690" w:rsidRPr="009E541E" w:rsidRDefault="00C52690" w:rsidP="009E541E">
            <w:pPr>
              <w:pStyle w:val="ExhibitText"/>
              <w:keepLines/>
              <w:rPr>
                <w:b/>
                <w:sz w:val="18"/>
                <w:szCs w:val="18"/>
                <w:lang w:val="en-GB"/>
              </w:rPr>
            </w:pPr>
          </w:p>
        </w:tc>
        <w:tc>
          <w:tcPr>
            <w:tcW w:w="1803" w:type="dxa"/>
          </w:tcPr>
          <w:p w14:paraId="0B627610" w14:textId="77777777" w:rsidR="00C52690" w:rsidRPr="009E541E" w:rsidRDefault="00C52690" w:rsidP="009E541E">
            <w:pPr>
              <w:pStyle w:val="ExhibitText"/>
              <w:keepLines/>
              <w:jc w:val="left"/>
              <w:rPr>
                <w:sz w:val="18"/>
                <w:szCs w:val="18"/>
                <w:lang w:val="en-GB"/>
              </w:rPr>
            </w:pPr>
            <w:r w:rsidRPr="009E541E">
              <w:rPr>
                <w:sz w:val="18"/>
                <w:szCs w:val="18"/>
                <w:lang w:val="en-GB"/>
              </w:rPr>
              <w:t>Italy</w:t>
            </w:r>
          </w:p>
        </w:tc>
        <w:tc>
          <w:tcPr>
            <w:tcW w:w="1985" w:type="dxa"/>
          </w:tcPr>
          <w:p w14:paraId="5B57F830" w14:textId="77777777" w:rsidR="00C52690" w:rsidRPr="009E541E" w:rsidRDefault="00C52690" w:rsidP="009E541E">
            <w:pPr>
              <w:pStyle w:val="ExhibitText"/>
              <w:keepLines/>
              <w:jc w:val="left"/>
              <w:rPr>
                <w:sz w:val="18"/>
                <w:szCs w:val="18"/>
                <w:lang w:val="en-GB"/>
              </w:rPr>
            </w:pPr>
            <w:r w:rsidRPr="009E541E">
              <w:rPr>
                <w:sz w:val="18"/>
                <w:szCs w:val="18"/>
                <w:lang w:val="en-GB"/>
              </w:rPr>
              <w:t>Amazon.it</w:t>
            </w:r>
          </w:p>
        </w:tc>
        <w:tc>
          <w:tcPr>
            <w:tcW w:w="2126" w:type="dxa"/>
          </w:tcPr>
          <w:p w14:paraId="58D92200" w14:textId="77777777" w:rsidR="00C52690" w:rsidRPr="009E541E" w:rsidRDefault="00C52690" w:rsidP="009E541E">
            <w:pPr>
              <w:pStyle w:val="ExhibitText"/>
              <w:keepLines/>
              <w:jc w:val="left"/>
              <w:rPr>
                <w:sz w:val="18"/>
                <w:szCs w:val="18"/>
                <w:lang w:val="en-GB"/>
              </w:rPr>
            </w:pPr>
            <w:r w:rsidRPr="009E541E">
              <w:rPr>
                <w:sz w:val="18"/>
                <w:szCs w:val="18"/>
                <w:lang w:val="en-GB"/>
              </w:rPr>
              <w:t>November 2010</w:t>
            </w:r>
          </w:p>
        </w:tc>
      </w:tr>
      <w:tr w:rsidR="00C52690" w:rsidRPr="009E541E" w14:paraId="0133678F" w14:textId="77777777" w:rsidTr="0056630E">
        <w:tc>
          <w:tcPr>
            <w:tcW w:w="2416" w:type="dxa"/>
            <w:vMerge/>
          </w:tcPr>
          <w:p w14:paraId="49A8A27A" w14:textId="77777777" w:rsidR="00C52690" w:rsidRPr="009E541E" w:rsidRDefault="00C52690" w:rsidP="009E541E">
            <w:pPr>
              <w:pStyle w:val="ExhibitText"/>
              <w:keepLines/>
              <w:rPr>
                <w:b/>
                <w:sz w:val="18"/>
                <w:szCs w:val="18"/>
                <w:lang w:val="en-GB"/>
              </w:rPr>
            </w:pPr>
          </w:p>
        </w:tc>
        <w:tc>
          <w:tcPr>
            <w:tcW w:w="1803" w:type="dxa"/>
          </w:tcPr>
          <w:p w14:paraId="656E108A" w14:textId="77777777" w:rsidR="00C52690" w:rsidRPr="009E541E" w:rsidRDefault="00C52690" w:rsidP="009E541E">
            <w:pPr>
              <w:pStyle w:val="ExhibitText"/>
              <w:keepLines/>
              <w:jc w:val="left"/>
              <w:rPr>
                <w:sz w:val="18"/>
                <w:szCs w:val="18"/>
                <w:lang w:val="en-GB"/>
              </w:rPr>
            </w:pPr>
            <w:r w:rsidRPr="009E541E">
              <w:rPr>
                <w:sz w:val="18"/>
                <w:szCs w:val="18"/>
                <w:lang w:val="en-GB"/>
              </w:rPr>
              <w:t>Spain</w:t>
            </w:r>
          </w:p>
        </w:tc>
        <w:tc>
          <w:tcPr>
            <w:tcW w:w="1985" w:type="dxa"/>
          </w:tcPr>
          <w:p w14:paraId="4A7D5F64" w14:textId="688A295D" w:rsidR="00C52690" w:rsidRPr="009E541E" w:rsidRDefault="00C52690" w:rsidP="009E541E">
            <w:pPr>
              <w:pStyle w:val="ExhibitText"/>
              <w:keepLines/>
              <w:jc w:val="left"/>
              <w:rPr>
                <w:sz w:val="18"/>
                <w:szCs w:val="18"/>
                <w:lang w:val="en-GB"/>
              </w:rPr>
            </w:pPr>
            <w:r w:rsidRPr="009E541E">
              <w:rPr>
                <w:sz w:val="18"/>
                <w:szCs w:val="18"/>
                <w:lang w:val="en-GB"/>
              </w:rPr>
              <w:t>Amazon.es</w:t>
            </w:r>
          </w:p>
        </w:tc>
        <w:tc>
          <w:tcPr>
            <w:tcW w:w="2126" w:type="dxa"/>
          </w:tcPr>
          <w:p w14:paraId="46C15053" w14:textId="77777777" w:rsidR="00C52690" w:rsidRPr="009E541E" w:rsidRDefault="00C52690" w:rsidP="009E541E">
            <w:pPr>
              <w:pStyle w:val="ExhibitText"/>
              <w:keepLines/>
              <w:jc w:val="left"/>
              <w:rPr>
                <w:sz w:val="18"/>
                <w:szCs w:val="18"/>
                <w:lang w:val="en-GB"/>
              </w:rPr>
            </w:pPr>
            <w:r w:rsidRPr="009E541E">
              <w:rPr>
                <w:sz w:val="18"/>
                <w:szCs w:val="18"/>
                <w:lang w:val="en-GB"/>
              </w:rPr>
              <w:t>September 2011</w:t>
            </w:r>
          </w:p>
        </w:tc>
      </w:tr>
      <w:tr w:rsidR="00C52690" w:rsidRPr="009E541E" w14:paraId="2828095F" w14:textId="77777777" w:rsidTr="0056630E">
        <w:tc>
          <w:tcPr>
            <w:tcW w:w="2416" w:type="dxa"/>
            <w:vMerge/>
          </w:tcPr>
          <w:p w14:paraId="2C187F8A" w14:textId="77777777" w:rsidR="00C52690" w:rsidRPr="009E541E" w:rsidRDefault="00C52690" w:rsidP="009E541E">
            <w:pPr>
              <w:pStyle w:val="ExhibitText"/>
              <w:keepLines/>
              <w:rPr>
                <w:b/>
                <w:sz w:val="18"/>
                <w:szCs w:val="18"/>
                <w:lang w:val="en-GB"/>
              </w:rPr>
            </w:pPr>
          </w:p>
        </w:tc>
        <w:tc>
          <w:tcPr>
            <w:tcW w:w="1803" w:type="dxa"/>
          </w:tcPr>
          <w:p w14:paraId="42E19984" w14:textId="77777777" w:rsidR="00C52690" w:rsidRPr="009E541E" w:rsidRDefault="00C52690" w:rsidP="009E541E">
            <w:pPr>
              <w:pStyle w:val="ExhibitText"/>
              <w:keepLines/>
              <w:jc w:val="left"/>
              <w:rPr>
                <w:sz w:val="18"/>
                <w:szCs w:val="18"/>
                <w:lang w:val="en-GB"/>
              </w:rPr>
            </w:pPr>
            <w:r w:rsidRPr="009E541E">
              <w:rPr>
                <w:sz w:val="18"/>
                <w:szCs w:val="18"/>
                <w:lang w:val="en-GB"/>
              </w:rPr>
              <w:t>Netherland</w:t>
            </w:r>
          </w:p>
        </w:tc>
        <w:tc>
          <w:tcPr>
            <w:tcW w:w="1985" w:type="dxa"/>
          </w:tcPr>
          <w:p w14:paraId="63CB2DC3" w14:textId="77777777" w:rsidR="00C52690" w:rsidRPr="009E541E" w:rsidRDefault="00C52690" w:rsidP="009E541E">
            <w:pPr>
              <w:pStyle w:val="ExhibitText"/>
              <w:keepLines/>
              <w:jc w:val="left"/>
              <w:rPr>
                <w:sz w:val="18"/>
                <w:szCs w:val="18"/>
                <w:lang w:val="en-GB"/>
              </w:rPr>
            </w:pPr>
            <w:r w:rsidRPr="009E541E">
              <w:rPr>
                <w:sz w:val="18"/>
                <w:szCs w:val="18"/>
                <w:lang w:val="en-GB"/>
              </w:rPr>
              <w:t>Amazon.nl</w:t>
            </w:r>
          </w:p>
        </w:tc>
        <w:tc>
          <w:tcPr>
            <w:tcW w:w="2126" w:type="dxa"/>
          </w:tcPr>
          <w:p w14:paraId="04A77B0B" w14:textId="77777777" w:rsidR="00C52690" w:rsidRPr="009E541E" w:rsidRDefault="00C52690" w:rsidP="009E541E">
            <w:pPr>
              <w:pStyle w:val="ExhibitText"/>
              <w:keepLines/>
              <w:jc w:val="left"/>
              <w:rPr>
                <w:sz w:val="18"/>
                <w:szCs w:val="18"/>
                <w:lang w:val="en-GB"/>
              </w:rPr>
            </w:pPr>
            <w:r w:rsidRPr="009E541E">
              <w:rPr>
                <w:sz w:val="18"/>
                <w:szCs w:val="18"/>
                <w:lang w:val="en-GB"/>
              </w:rPr>
              <w:t>November 2014</w:t>
            </w:r>
          </w:p>
        </w:tc>
      </w:tr>
      <w:tr w:rsidR="00C52690" w:rsidRPr="009E541E" w14:paraId="50ADCBE7" w14:textId="77777777" w:rsidTr="0056630E">
        <w:tc>
          <w:tcPr>
            <w:tcW w:w="2416" w:type="dxa"/>
            <w:vMerge/>
          </w:tcPr>
          <w:p w14:paraId="22FC5A14" w14:textId="77777777" w:rsidR="00C52690" w:rsidRPr="009E541E" w:rsidRDefault="00C52690" w:rsidP="009E541E">
            <w:pPr>
              <w:pStyle w:val="ExhibitText"/>
              <w:keepLines/>
              <w:rPr>
                <w:b/>
                <w:sz w:val="18"/>
                <w:szCs w:val="18"/>
                <w:lang w:val="en-GB"/>
              </w:rPr>
            </w:pPr>
          </w:p>
        </w:tc>
        <w:tc>
          <w:tcPr>
            <w:tcW w:w="1803" w:type="dxa"/>
          </w:tcPr>
          <w:p w14:paraId="46187F91" w14:textId="77777777" w:rsidR="00C52690" w:rsidRPr="009E541E" w:rsidRDefault="00C52690" w:rsidP="009E541E">
            <w:pPr>
              <w:pStyle w:val="ExhibitText"/>
              <w:keepLines/>
              <w:jc w:val="left"/>
              <w:rPr>
                <w:sz w:val="18"/>
                <w:szCs w:val="18"/>
                <w:lang w:val="en-GB"/>
              </w:rPr>
            </w:pPr>
            <w:r w:rsidRPr="009E541E">
              <w:rPr>
                <w:sz w:val="18"/>
                <w:szCs w:val="18"/>
                <w:lang w:val="en-GB"/>
              </w:rPr>
              <w:t>Turkey</w:t>
            </w:r>
          </w:p>
        </w:tc>
        <w:tc>
          <w:tcPr>
            <w:tcW w:w="1985" w:type="dxa"/>
          </w:tcPr>
          <w:p w14:paraId="34E2B066" w14:textId="19BCDE91" w:rsidR="00C52690" w:rsidRPr="009E541E" w:rsidRDefault="00C52690" w:rsidP="009E541E">
            <w:pPr>
              <w:pStyle w:val="ExhibitText"/>
              <w:keepLines/>
              <w:jc w:val="left"/>
              <w:rPr>
                <w:sz w:val="18"/>
                <w:szCs w:val="18"/>
                <w:lang w:val="en-GB"/>
              </w:rPr>
            </w:pPr>
            <w:r w:rsidRPr="009E541E">
              <w:rPr>
                <w:sz w:val="18"/>
                <w:szCs w:val="18"/>
                <w:lang w:val="en-GB"/>
              </w:rPr>
              <w:t>Amazon.</w:t>
            </w:r>
            <w:r w:rsidR="00FA7120" w:rsidRPr="009E541E">
              <w:rPr>
                <w:sz w:val="18"/>
                <w:szCs w:val="18"/>
                <w:lang w:val="en-GB"/>
              </w:rPr>
              <w:t>t</w:t>
            </w:r>
            <w:r w:rsidRPr="009E541E">
              <w:rPr>
                <w:sz w:val="18"/>
                <w:szCs w:val="18"/>
                <w:lang w:val="en-GB"/>
              </w:rPr>
              <w:t>r</w:t>
            </w:r>
          </w:p>
        </w:tc>
        <w:tc>
          <w:tcPr>
            <w:tcW w:w="2126" w:type="dxa"/>
          </w:tcPr>
          <w:p w14:paraId="779600E8" w14:textId="77777777" w:rsidR="00C52690" w:rsidRPr="009E541E" w:rsidRDefault="00C52690" w:rsidP="009E541E">
            <w:pPr>
              <w:pStyle w:val="ExhibitText"/>
              <w:keepLines/>
              <w:jc w:val="left"/>
              <w:rPr>
                <w:sz w:val="18"/>
                <w:szCs w:val="18"/>
                <w:lang w:val="en-GB"/>
              </w:rPr>
            </w:pPr>
            <w:r w:rsidRPr="009E541E">
              <w:rPr>
                <w:sz w:val="18"/>
                <w:szCs w:val="18"/>
                <w:lang w:val="en-GB"/>
              </w:rPr>
              <w:t>September 2018</w:t>
            </w:r>
          </w:p>
        </w:tc>
      </w:tr>
      <w:tr w:rsidR="00C52690" w:rsidRPr="009E541E" w14:paraId="3F9B7A47" w14:textId="77777777" w:rsidTr="0056630E">
        <w:tc>
          <w:tcPr>
            <w:tcW w:w="2416" w:type="dxa"/>
            <w:vMerge w:val="restart"/>
          </w:tcPr>
          <w:p w14:paraId="36742E11" w14:textId="77777777" w:rsidR="00C52690" w:rsidRPr="009E541E" w:rsidRDefault="00C52690" w:rsidP="00334576">
            <w:pPr>
              <w:pStyle w:val="ExhibitText"/>
              <w:keepLines/>
              <w:rPr>
                <w:b/>
                <w:sz w:val="18"/>
                <w:szCs w:val="18"/>
                <w:lang w:val="en-GB"/>
              </w:rPr>
            </w:pPr>
            <w:r w:rsidRPr="009E541E">
              <w:rPr>
                <w:b/>
                <w:sz w:val="18"/>
                <w:szCs w:val="18"/>
                <w:lang w:val="en-GB"/>
              </w:rPr>
              <w:t>North America</w:t>
            </w:r>
          </w:p>
        </w:tc>
        <w:tc>
          <w:tcPr>
            <w:tcW w:w="1803" w:type="dxa"/>
          </w:tcPr>
          <w:p w14:paraId="22181127" w14:textId="77777777" w:rsidR="00C52690" w:rsidRPr="009E541E" w:rsidRDefault="00C52690" w:rsidP="00334576">
            <w:pPr>
              <w:pStyle w:val="ExhibitText"/>
              <w:keepLines/>
              <w:jc w:val="left"/>
              <w:rPr>
                <w:sz w:val="18"/>
                <w:szCs w:val="18"/>
                <w:lang w:val="en-GB"/>
              </w:rPr>
            </w:pPr>
            <w:r w:rsidRPr="009E541E">
              <w:rPr>
                <w:sz w:val="18"/>
                <w:szCs w:val="18"/>
                <w:lang w:val="en-GB"/>
              </w:rPr>
              <w:t>USA</w:t>
            </w:r>
          </w:p>
        </w:tc>
        <w:tc>
          <w:tcPr>
            <w:tcW w:w="1985" w:type="dxa"/>
          </w:tcPr>
          <w:p w14:paraId="1056C9E1" w14:textId="5BD679CB" w:rsidR="00C52690" w:rsidRPr="009E541E" w:rsidRDefault="00C52690" w:rsidP="00334576">
            <w:pPr>
              <w:pStyle w:val="ExhibitText"/>
              <w:keepLines/>
              <w:jc w:val="left"/>
              <w:rPr>
                <w:sz w:val="18"/>
                <w:szCs w:val="18"/>
                <w:lang w:val="en-GB"/>
              </w:rPr>
            </w:pPr>
            <w:r w:rsidRPr="009E541E">
              <w:rPr>
                <w:sz w:val="18"/>
                <w:szCs w:val="18"/>
                <w:lang w:val="en-GB"/>
              </w:rPr>
              <w:t>Amazon.</w:t>
            </w:r>
            <w:r w:rsidR="00FA7120" w:rsidRPr="009E541E">
              <w:rPr>
                <w:sz w:val="18"/>
                <w:szCs w:val="18"/>
                <w:lang w:val="en-GB"/>
              </w:rPr>
              <w:t>c</w:t>
            </w:r>
            <w:r w:rsidRPr="009E541E">
              <w:rPr>
                <w:sz w:val="18"/>
                <w:szCs w:val="18"/>
                <w:lang w:val="en-GB"/>
              </w:rPr>
              <w:t>om</w:t>
            </w:r>
          </w:p>
        </w:tc>
        <w:tc>
          <w:tcPr>
            <w:tcW w:w="2126" w:type="dxa"/>
          </w:tcPr>
          <w:p w14:paraId="6C8B85DE" w14:textId="77777777" w:rsidR="00C52690" w:rsidRPr="009E541E" w:rsidRDefault="00C52690" w:rsidP="00334576">
            <w:pPr>
              <w:pStyle w:val="ExhibitText"/>
              <w:keepLines/>
              <w:jc w:val="left"/>
              <w:rPr>
                <w:sz w:val="18"/>
                <w:szCs w:val="18"/>
                <w:lang w:val="en-GB"/>
              </w:rPr>
            </w:pPr>
            <w:r w:rsidRPr="009E541E">
              <w:rPr>
                <w:sz w:val="18"/>
                <w:szCs w:val="18"/>
                <w:lang w:val="en-GB"/>
              </w:rPr>
              <w:t>July 1995</w:t>
            </w:r>
          </w:p>
        </w:tc>
      </w:tr>
      <w:tr w:rsidR="00C52690" w:rsidRPr="009E541E" w14:paraId="2A3E71A0" w14:textId="77777777" w:rsidTr="0056630E">
        <w:tc>
          <w:tcPr>
            <w:tcW w:w="2416" w:type="dxa"/>
            <w:vMerge/>
          </w:tcPr>
          <w:p w14:paraId="4AAECD89" w14:textId="77777777" w:rsidR="00C52690" w:rsidRPr="009E541E" w:rsidRDefault="00C52690" w:rsidP="009E541E">
            <w:pPr>
              <w:pStyle w:val="ExhibitText"/>
              <w:keepLines/>
              <w:rPr>
                <w:b/>
                <w:sz w:val="18"/>
                <w:szCs w:val="18"/>
                <w:lang w:val="en-GB"/>
              </w:rPr>
            </w:pPr>
          </w:p>
        </w:tc>
        <w:tc>
          <w:tcPr>
            <w:tcW w:w="1803" w:type="dxa"/>
          </w:tcPr>
          <w:p w14:paraId="2F0FCF25" w14:textId="77777777" w:rsidR="00C52690" w:rsidRPr="009E541E" w:rsidRDefault="00C52690" w:rsidP="009E541E">
            <w:pPr>
              <w:pStyle w:val="ExhibitText"/>
              <w:keepLines/>
              <w:jc w:val="left"/>
              <w:rPr>
                <w:sz w:val="18"/>
                <w:szCs w:val="18"/>
                <w:lang w:val="en-GB"/>
              </w:rPr>
            </w:pPr>
            <w:r w:rsidRPr="009E541E">
              <w:rPr>
                <w:sz w:val="18"/>
                <w:szCs w:val="18"/>
                <w:lang w:val="en-GB"/>
              </w:rPr>
              <w:t>Canada</w:t>
            </w:r>
          </w:p>
        </w:tc>
        <w:tc>
          <w:tcPr>
            <w:tcW w:w="1985" w:type="dxa"/>
          </w:tcPr>
          <w:p w14:paraId="0C8A9822" w14:textId="77777777" w:rsidR="00C52690" w:rsidRPr="009E541E" w:rsidRDefault="00C52690" w:rsidP="009E541E">
            <w:pPr>
              <w:pStyle w:val="ExhibitText"/>
              <w:keepLines/>
              <w:jc w:val="left"/>
              <w:rPr>
                <w:sz w:val="18"/>
                <w:szCs w:val="18"/>
                <w:lang w:val="en-GB"/>
              </w:rPr>
            </w:pPr>
            <w:r w:rsidRPr="009E541E">
              <w:rPr>
                <w:sz w:val="18"/>
                <w:szCs w:val="18"/>
                <w:lang w:val="en-GB"/>
              </w:rPr>
              <w:t>Amazon.ca</w:t>
            </w:r>
          </w:p>
        </w:tc>
        <w:tc>
          <w:tcPr>
            <w:tcW w:w="2126" w:type="dxa"/>
          </w:tcPr>
          <w:p w14:paraId="3BFB1416" w14:textId="77777777" w:rsidR="00C52690" w:rsidRPr="009E541E" w:rsidRDefault="00C52690" w:rsidP="009E541E">
            <w:pPr>
              <w:pStyle w:val="ExhibitText"/>
              <w:keepLines/>
              <w:jc w:val="left"/>
              <w:rPr>
                <w:sz w:val="18"/>
                <w:szCs w:val="18"/>
                <w:lang w:val="en-GB"/>
              </w:rPr>
            </w:pPr>
            <w:r w:rsidRPr="009E541E">
              <w:rPr>
                <w:sz w:val="18"/>
                <w:szCs w:val="18"/>
                <w:lang w:val="en-GB"/>
              </w:rPr>
              <w:t>June 2002</w:t>
            </w:r>
          </w:p>
        </w:tc>
      </w:tr>
      <w:tr w:rsidR="00C52690" w:rsidRPr="009E541E" w14:paraId="3C2D9515" w14:textId="77777777" w:rsidTr="0056630E">
        <w:tc>
          <w:tcPr>
            <w:tcW w:w="2416" w:type="dxa"/>
            <w:vMerge/>
          </w:tcPr>
          <w:p w14:paraId="3899D49A" w14:textId="77777777" w:rsidR="00C52690" w:rsidRPr="009E541E" w:rsidRDefault="00C52690" w:rsidP="009E541E">
            <w:pPr>
              <w:pStyle w:val="ExhibitText"/>
              <w:keepLines/>
              <w:rPr>
                <w:b/>
                <w:sz w:val="18"/>
                <w:szCs w:val="18"/>
                <w:lang w:val="en-GB"/>
              </w:rPr>
            </w:pPr>
          </w:p>
        </w:tc>
        <w:tc>
          <w:tcPr>
            <w:tcW w:w="1803" w:type="dxa"/>
          </w:tcPr>
          <w:p w14:paraId="007DEABF" w14:textId="77777777" w:rsidR="00C52690" w:rsidRPr="009E541E" w:rsidRDefault="00C52690" w:rsidP="009E541E">
            <w:pPr>
              <w:pStyle w:val="ExhibitText"/>
              <w:keepLines/>
              <w:jc w:val="left"/>
              <w:rPr>
                <w:sz w:val="18"/>
                <w:szCs w:val="18"/>
                <w:lang w:val="en-GB"/>
              </w:rPr>
            </w:pPr>
            <w:r w:rsidRPr="009E541E">
              <w:rPr>
                <w:sz w:val="18"/>
                <w:szCs w:val="18"/>
                <w:lang w:val="en-GB"/>
              </w:rPr>
              <w:t>Mexico</w:t>
            </w:r>
          </w:p>
        </w:tc>
        <w:tc>
          <w:tcPr>
            <w:tcW w:w="1985" w:type="dxa"/>
          </w:tcPr>
          <w:p w14:paraId="79A349D8" w14:textId="77777777" w:rsidR="00C52690" w:rsidRPr="009E541E" w:rsidRDefault="00C52690" w:rsidP="009E541E">
            <w:pPr>
              <w:pStyle w:val="ExhibitText"/>
              <w:keepLines/>
              <w:jc w:val="left"/>
              <w:rPr>
                <w:sz w:val="18"/>
                <w:szCs w:val="18"/>
                <w:lang w:val="en-GB"/>
              </w:rPr>
            </w:pPr>
            <w:r w:rsidRPr="009E541E">
              <w:rPr>
                <w:sz w:val="18"/>
                <w:szCs w:val="18"/>
                <w:lang w:val="en-GB"/>
              </w:rPr>
              <w:t>Amazon.com.mx</w:t>
            </w:r>
          </w:p>
        </w:tc>
        <w:tc>
          <w:tcPr>
            <w:tcW w:w="2126" w:type="dxa"/>
          </w:tcPr>
          <w:p w14:paraId="0854E6F9" w14:textId="77777777" w:rsidR="00C52690" w:rsidRPr="009E541E" w:rsidRDefault="00C52690" w:rsidP="009E541E">
            <w:pPr>
              <w:pStyle w:val="ExhibitText"/>
              <w:keepLines/>
              <w:jc w:val="left"/>
              <w:rPr>
                <w:sz w:val="18"/>
                <w:szCs w:val="18"/>
                <w:lang w:val="en-GB"/>
              </w:rPr>
            </w:pPr>
            <w:r w:rsidRPr="009E541E">
              <w:rPr>
                <w:sz w:val="18"/>
                <w:szCs w:val="18"/>
                <w:lang w:val="en-GB"/>
              </w:rPr>
              <w:t>August 2013</w:t>
            </w:r>
          </w:p>
        </w:tc>
      </w:tr>
      <w:tr w:rsidR="00C52690" w:rsidRPr="009E541E" w14:paraId="4AF08D56" w14:textId="77777777" w:rsidTr="0056630E">
        <w:tc>
          <w:tcPr>
            <w:tcW w:w="2416" w:type="dxa"/>
          </w:tcPr>
          <w:p w14:paraId="3BBD0A11" w14:textId="77777777" w:rsidR="00C52690" w:rsidRPr="009E541E" w:rsidRDefault="00C52690" w:rsidP="00334576">
            <w:pPr>
              <w:pStyle w:val="ExhibitText"/>
              <w:keepLines/>
              <w:rPr>
                <w:b/>
                <w:sz w:val="18"/>
                <w:szCs w:val="18"/>
                <w:lang w:val="en-GB"/>
              </w:rPr>
            </w:pPr>
            <w:r w:rsidRPr="009E541E">
              <w:rPr>
                <w:b/>
                <w:sz w:val="18"/>
                <w:szCs w:val="18"/>
                <w:lang w:val="en-GB"/>
              </w:rPr>
              <w:t>Oceania</w:t>
            </w:r>
          </w:p>
        </w:tc>
        <w:tc>
          <w:tcPr>
            <w:tcW w:w="1803" w:type="dxa"/>
          </w:tcPr>
          <w:p w14:paraId="5E37F3EF" w14:textId="77777777" w:rsidR="00C52690" w:rsidRPr="009E541E" w:rsidRDefault="00C52690" w:rsidP="00334576">
            <w:pPr>
              <w:pStyle w:val="ExhibitText"/>
              <w:keepLines/>
              <w:jc w:val="left"/>
              <w:rPr>
                <w:sz w:val="18"/>
                <w:szCs w:val="18"/>
                <w:lang w:val="en-GB"/>
              </w:rPr>
            </w:pPr>
            <w:r w:rsidRPr="009E541E">
              <w:rPr>
                <w:sz w:val="18"/>
                <w:szCs w:val="18"/>
                <w:lang w:val="en-GB"/>
              </w:rPr>
              <w:t>Australia</w:t>
            </w:r>
          </w:p>
        </w:tc>
        <w:tc>
          <w:tcPr>
            <w:tcW w:w="1985" w:type="dxa"/>
          </w:tcPr>
          <w:p w14:paraId="2395F5C9" w14:textId="77777777" w:rsidR="00C52690" w:rsidRPr="009E541E" w:rsidRDefault="00C52690" w:rsidP="00334576">
            <w:pPr>
              <w:pStyle w:val="ExhibitText"/>
              <w:keepLines/>
              <w:jc w:val="left"/>
              <w:rPr>
                <w:sz w:val="18"/>
                <w:szCs w:val="18"/>
                <w:lang w:val="en-GB"/>
              </w:rPr>
            </w:pPr>
            <w:r w:rsidRPr="009E541E">
              <w:rPr>
                <w:sz w:val="18"/>
                <w:szCs w:val="18"/>
                <w:lang w:val="en-GB"/>
              </w:rPr>
              <w:t>Amazon.com.au</w:t>
            </w:r>
          </w:p>
        </w:tc>
        <w:tc>
          <w:tcPr>
            <w:tcW w:w="2126" w:type="dxa"/>
          </w:tcPr>
          <w:p w14:paraId="4B02F151" w14:textId="77777777" w:rsidR="00C52690" w:rsidRPr="009E541E" w:rsidRDefault="00C52690" w:rsidP="00334576">
            <w:pPr>
              <w:pStyle w:val="ExhibitText"/>
              <w:keepLines/>
              <w:jc w:val="left"/>
              <w:rPr>
                <w:sz w:val="18"/>
                <w:szCs w:val="18"/>
                <w:lang w:val="en-GB"/>
              </w:rPr>
            </w:pPr>
            <w:r w:rsidRPr="009E541E">
              <w:rPr>
                <w:sz w:val="18"/>
                <w:szCs w:val="18"/>
                <w:lang w:val="en-GB"/>
              </w:rPr>
              <w:t>November 2013</w:t>
            </w:r>
          </w:p>
        </w:tc>
      </w:tr>
      <w:tr w:rsidR="00C52690" w:rsidRPr="009E541E" w14:paraId="3A2E9D1F" w14:textId="77777777" w:rsidTr="0056630E">
        <w:tc>
          <w:tcPr>
            <w:tcW w:w="2416" w:type="dxa"/>
          </w:tcPr>
          <w:p w14:paraId="096AFF14" w14:textId="77777777" w:rsidR="00C52690" w:rsidRPr="009E541E" w:rsidRDefault="00C52690" w:rsidP="00334576">
            <w:pPr>
              <w:pStyle w:val="ExhibitText"/>
              <w:keepLines/>
              <w:rPr>
                <w:b/>
                <w:sz w:val="18"/>
                <w:szCs w:val="18"/>
                <w:lang w:val="en-GB"/>
              </w:rPr>
            </w:pPr>
            <w:r w:rsidRPr="009E541E">
              <w:rPr>
                <w:b/>
                <w:sz w:val="18"/>
                <w:szCs w:val="18"/>
                <w:lang w:val="en-GB"/>
              </w:rPr>
              <w:t>South America</w:t>
            </w:r>
          </w:p>
        </w:tc>
        <w:tc>
          <w:tcPr>
            <w:tcW w:w="1803" w:type="dxa"/>
          </w:tcPr>
          <w:p w14:paraId="68C845C8" w14:textId="77777777" w:rsidR="00C52690" w:rsidRPr="009E541E" w:rsidRDefault="00C52690" w:rsidP="00334576">
            <w:pPr>
              <w:pStyle w:val="ExhibitText"/>
              <w:keepLines/>
              <w:jc w:val="left"/>
              <w:rPr>
                <w:sz w:val="18"/>
                <w:szCs w:val="18"/>
                <w:lang w:val="en-GB"/>
              </w:rPr>
            </w:pPr>
            <w:r w:rsidRPr="009E541E">
              <w:rPr>
                <w:sz w:val="18"/>
                <w:szCs w:val="18"/>
                <w:lang w:val="en-GB"/>
              </w:rPr>
              <w:t>Brazil</w:t>
            </w:r>
          </w:p>
        </w:tc>
        <w:tc>
          <w:tcPr>
            <w:tcW w:w="1985" w:type="dxa"/>
          </w:tcPr>
          <w:p w14:paraId="6629E73D" w14:textId="77777777" w:rsidR="00C52690" w:rsidRPr="009E541E" w:rsidRDefault="00C52690" w:rsidP="00334576">
            <w:pPr>
              <w:pStyle w:val="ExhibitText"/>
              <w:keepLines/>
              <w:jc w:val="left"/>
              <w:rPr>
                <w:sz w:val="18"/>
                <w:szCs w:val="18"/>
                <w:lang w:val="en-GB"/>
              </w:rPr>
            </w:pPr>
            <w:r w:rsidRPr="009E541E">
              <w:rPr>
                <w:sz w:val="18"/>
                <w:szCs w:val="18"/>
                <w:lang w:val="en-GB"/>
              </w:rPr>
              <w:t>Amazon.com.br</w:t>
            </w:r>
          </w:p>
        </w:tc>
        <w:tc>
          <w:tcPr>
            <w:tcW w:w="2126" w:type="dxa"/>
          </w:tcPr>
          <w:p w14:paraId="70990A57" w14:textId="77777777" w:rsidR="00C52690" w:rsidRPr="009E541E" w:rsidRDefault="00C52690" w:rsidP="00334576">
            <w:pPr>
              <w:pStyle w:val="ExhibitText"/>
              <w:keepLines/>
              <w:jc w:val="left"/>
              <w:rPr>
                <w:sz w:val="18"/>
                <w:szCs w:val="18"/>
                <w:lang w:val="en-GB"/>
              </w:rPr>
            </w:pPr>
            <w:r w:rsidRPr="009E541E">
              <w:rPr>
                <w:sz w:val="18"/>
                <w:szCs w:val="18"/>
                <w:lang w:val="en-GB"/>
              </w:rPr>
              <w:t>December 2012</w:t>
            </w:r>
          </w:p>
        </w:tc>
      </w:tr>
    </w:tbl>
    <w:p w14:paraId="07AA7B37" w14:textId="77777777" w:rsidR="00DA52E3" w:rsidRPr="008D0AE1" w:rsidRDefault="00DA52E3" w:rsidP="009E541E">
      <w:pPr>
        <w:pStyle w:val="FootnoteText"/>
        <w:rPr>
          <w:lang w:val="en-GB"/>
        </w:rPr>
      </w:pPr>
    </w:p>
    <w:p w14:paraId="294E8F4C" w14:textId="6A46DC54" w:rsidR="00C52690" w:rsidRPr="008D0AE1" w:rsidRDefault="00C52690" w:rsidP="009E541E">
      <w:pPr>
        <w:pStyle w:val="FootnoteText"/>
        <w:rPr>
          <w:lang w:val="en-GB"/>
        </w:rPr>
      </w:pPr>
      <w:r w:rsidRPr="008D0AE1">
        <w:rPr>
          <w:lang w:val="en-GB"/>
        </w:rPr>
        <w:t xml:space="preserve">Source: </w:t>
      </w:r>
      <w:r w:rsidR="004B0C89">
        <w:rPr>
          <w:rFonts w:eastAsia="Georgia"/>
          <w:lang w:val="en-GB"/>
        </w:rPr>
        <w:t xml:space="preserve">Compiled by </w:t>
      </w:r>
      <w:r w:rsidR="008F6A26">
        <w:rPr>
          <w:rFonts w:eastAsia="Georgia"/>
          <w:lang w:val="en-GB"/>
        </w:rPr>
        <w:t xml:space="preserve">the </w:t>
      </w:r>
      <w:r w:rsidR="004B0C89">
        <w:rPr>
          <w:rFonts w:eastAsia="Georgia"/>
          <w:lang w:val="en-GB"/>
        </w:rPr>
        <w:t xml:space="preserve">case authors based on data from </w:t>
      </w:r>
      <w:r w:rsidR="004B0C89" w:rsidRPr="004B0C89">
        <w:rPr>
          <w:rFonts w:eastAsia="Georgia"/>
          <w:lang w:val="en-GB"/>
        </w:rPr>
        <w:t xml:space="preserve">Aimee </w:t>
      </w:r>
      <w:proofErr w:type="spellStart"/>
      <w:r w:rsidR="004B0C89" w:rsidRPr="004B0C89">
        <w:rPr>
          <w:rFonts w:eastAsia="Georgia"/>
          <w:lang w:val="en-GB"/>
        </w:rPr>
        <w:t>Goodsall</w:t>
      </w:r>
      <w:proofErr w:type="spellEnd"/>
      <w:r w:rsidR="004B0C89">
        <w:rPr>
          <w:rFonts w:eastAsia="Georgia"/>
          <w:lang w:val="en-GB"/>
        </w:rPr>
        <w:t>, “</w:t>
      </w:r>
      <w:r w:rsidR="004B0C89" w:rsidRPr="004B0C89">
        <w:rPr>
          <w:rFonts w:eastAsia="Georgia"/>
          <w:lang w:val="en-GB"/>
        </w:rPr>
        <w:t xml:space="preserve">Amazon Worldwide: A Complete List </w:t>
      </w:r>
      <w:r w:rsidR="00FA7120" w:rsidRPr="004B0C89">
        <w:rPr>
          <w:rFonts w:eastAsia="Georgia"/>
          <w:lang w:val="en-GB"/>
        </w:rPr>
        <w:t>of</w:t>
      </w:r>
      <w:r w:rsidR="004B0C89" w:rsidRPr="004B0C89">
        <w:rPr>
          <w:rFonts w:eastAsia="Georgia"/>
          <w:lang w:val="en-GB"/>
        </w:rPr>
        <w:t xml:space="preserve"> International Amazon Sites</w:t>
      </w:r>
      <w:r w:rsidR="004B0C89">
        <w:rPr>
          <w:rFonts w:eastAsia="Georgia"/>
          <w:lang w:val="en-GB"/>
        </w:rPr>
        <w:t xml:space="preserve">,” </w:t>
      </w:r>
      <w:proofErr w:type="spellStart"/>
      <w:r w:rsidR="004B0C89">
        <w:rPr>
          <w:rFonts w:eastAsia="Georgia"/>
          <w:lang w:val="en-GB"/>
        </w:rPr>
        <w:t>Linnworks</w:t>
      </w:r>
      <w:proofErr w:type="spellEnd"/>
      <w:r w:rsidR="004B0C89">
        <w:rPr>
          <w:rFonts w:eastAsia="Georgia"/>
          <w:lang w:val="en-GB"/>
        </w:rPr>
        <w:t xml:space="preserve"> (blog), accessed April 26, 2019,</w:t>
      </w:r>
      <w:r w:rsidR="004B0C89">
        <w:rPr>
          <w:lang w:val="en-GB"/>
        </w:rPr>
        <w:t xml:space="preserve"> </w:t>
      </w:r>
      <w:r w:rsidRPr="008D0AE1">
        <w:rPr>
          <w:lang w:val="en-GB"/>
        </w:rPr>
        <w:t>http://blog.linnworks.com/amazon-global-international-sites</w:t>
      </w:r>
      <w:r w:rsidR="004B0C89">
        <w:rPr>
          <w:lang w:val="en-GB"/>
        </w:rPr>
        <w:t>.</w:t>
      </w:r>
    </w:p>
    <w:p w14:paraId="21164793" w14:textId="4F841982" w:rsidR="00C52690" w:rsidRPr="008D0AE1" w:rsidRDefault="009E541E" w:rsidP="008F6A26">
      <w:pPr>
        <w:pStyle w:val="ExhibitHeading"/>
        <w:rPr>
          <w:lang w:val="en-GB"/>
        </w:rPr>
      </w:pPr>
      <w:r>
        <w:rPr>
          <w:lang w:val="en-GB"/>
        </w:rPr>
        <w:br w:type="page"/>
      </w:r>
      <w:r w:rsidR="00DA52E3" w:rsidRPr="008D0AE1">
        <w:rPr>
          <w:lang w:val="en-GB"/>
        </w:rPr>
        <w:lastRenderedPageBreak/>
        <w:t xml:space="preserve">Exhibit 3: </w:t>
      </w:r>
      <w:r w:rsidR="00C52690" w:rsidRPr="008D0AE1">
        <w:rPr>
          <w:lang w:val="en-GB"/>
        </w:rPr>
        <w:t>Amazon</w:t>
      </w:r>
      <w:r w:rsidR="003632D8">
        <w:rPr>
          <w:lang w:val="en-GB"/>
        </w:rPr>
        <w:t>—</w:t>
      </w:r>
      <w:r w:rsidR="00C52690" w:rsidRPr="008D0AE1">
        <w:rPr>
          <w:lang w:val="en-GB"/>
        </w:rPr>
        <w:t>Prime Plan in China</w:t>
      </w:r>
    </w:p>
    <w:p w14:paraId="00822B0E" w14:textId="77777777" w:rsidR="00DA52E3" w:rsidRPr="008D0AE1" w:rsidRDefault="00DA52E3" w:rsidP="00DA52E3">
      <w:pPr>
        <w:pStyle w:val="BodyTextMain"/>
        <w:rPr>
          <w:lang w:val="en-GB"/>
        </w:rPr>
      </w:pPr>
    </w:p>
    <w:tbl>
      <w:tblPr>
        <w:tblStyle w:val="TableGrid"/>
        <w:tblW w:w="9265" w:type="dxa"/>
        <w:jc w:val="center"/>
        <w:tblLook w:val="04A0" w:firstRow="1" w:lastRow="0" w:firstColumn="1" w:lastColumn="0" w:noHBand="0" w:noVBand="1"/>
      </w:tblPr>
      <w:tblGrid>
        <w:gridCol w:w="2923"/>
        <w:gridCol w:w="3240"/>
        <w:gridCol w:w="3102"/>
      </w:tblGrid>
      <w:tr w:rsidR="00C52690" w:rsidRPr="008D0AE1" w14:paraId="5647F5E6" w14:textId="77777777" w:rsidTr="009E541E">
        <w:trPr>
          <w:jc w:val="center"/>
        </w:trPr>
        <w:tc>
          <w:tcPr>
            <w:tcW w:w="2923" w:type="dxa"/>
          </w:tcPr>
          <w:p w14:paraId="6EC4A558" w14:textId="19D370A9" w:rsidR="00C52690" w:rsidRPr="0056630E" w:rsidRDefault="00C52690" w:rsidP="0056630E">
            <w:pPr>
              <w:pStyle w:val="ExhibitText"/>
              <w:jc w:val="center"/>
              <w:rPr>
                <w:b/>
                <w:sz w:val="18"/>
                <w:szCs w:val="18"/>
                <w:lang w:val="en-GB"/>
              </w:rPr>
            </w:pPr>
            <w:r w:rsidRPr="0056630E">
              <w:rPr>
                <w:b/>
                <w:sz w:val="18"/>
                <w:szCs w:val="18"/>
                <w:lang w:val="en-GB"/>
              </w:rPr>
              <w:t>Prime Annual (</w:t>
            </w:r>
            <w:r w:rsidR="008F6A26" w:rsidRPr="0056630E">
              <w:rPr>
                <w:b/>
                <w:bCs/>
                <w:color w:val="202124"/>
                <w:sz w:val="18"/>
                <w:szCs w:val="18"/>
                <w:shd w:val="clear" w:color="auto" w:fill="FFFFFF"/>
              </w:rPr>
              <w:t>¥</w:t>
            </w:r>
            <w:r w:rsidRPr="0056630E">
              <w:rPr>
                <w:b/>
                <w:sz w:val="18"/>
                <w:szCs w:val="18"/>
                <w:lang w:val="en-GB"/>
              </w:rPr>
              <w:t>288/year)</w:t>
            </w:r>
          </w:p>
        </w:tc>
        <w:tc>
          <w:tcPr>
            <w:tcW w:w="3240" w:type="dxa"/>
          </w:tcPr>
          <w:p w14:paraId="09082419" w14:textId="5F95D477" w:rsidR="00C52690" w:rsidRPr="0056630E" w:rsidRDefault="00C52690" w:rsidP="0056630E">
            <w:pPr>
              <w:pStyle w:val="ExhibitText"/>
              <w:jc w:val="center"/>
              <w:rPr>
                <w:b/>
                <w:sz w:val="18"/>
                <w:szCs w:val="18"/>
                <w:lang w:val="en-GB"/>
              </w:rPr>
            </w:pPr>
            <w:r w:rsidRPr="0056630E">
              <w:rPr>
                <w:b/>
                <w:sz w:val="18"/>
                <w:szCs w:val="18"/>
                <w:lang w:val="en-GB"/>
              </w:rPr>
              <w:t>Prime Quarterly (</w:t>
            </w:r>
            <w:r w:rsidR="008F6A26" w:rsidRPr="00AE0695">
              <w:rPr>
                <w:b/>
                <w:bCs/>
                <w:color w:val="202124"/>
                <w:sz w:val="18"/>
                <w:szCs w:val="18"/>
                <w:shd w:val="clear" w:color="auto" w:fill="FFFFFF"/>
              </w:rPr>
              <w:t>¥</w:t>
            </w:r>
            <w:r w:rsidRPr="0056630E">
              <w:rPr>
                <w:b/>
                <w:sz w:val="18"/>
                <w:szCs w:val="18"/>
                <w:lang w:val="en-GB"/>
              </w:rPr>
              <w:t>79/quarter)</w:t>
            </w:r>
          </w:p>
        </w:tc>
        <w:tc>
          <w:tcPr>
            <w:tcW w:w="3102" w:type="dxa"/>
          </w:tcPr>
          <w:p w14:paraId="185D81C4" w14:textId="5C6A27C6" w:rsidR="00C52690" w:rsidRPr="0056630E" w:rsidRDefault="00C52690" w:rsidP="0056630E">
            <w:pPr>
              <w:pStyle w:val="ExhibitText"/>
              <w:jc w:val="center"/>
              <w:rPr>
                <w:b/>
                <w:sz w:val="18"/>
                <w:szCs w:val="18"/>
                <w:lang w:val="en-GB"/>
              </w:rPr>
            </w:pPr>
            <w:r w:rsidRPr="0056630E">
              <w:rPr>
                <w:b/>
                <w:sz w:val="18"/>
                <w:szCs w:val="18"/>
                <w:lang w:val="en-GB"/>
              </w:rPr>
              <w:t>Prime +</w:t>
            </w:r>
            <w:r w:rsidR="008F6A26">
              <w:rPr>
                <w:b/>
                <w:sz w:val="18"/>
                <w:szCs w:val="18"/>
                <w:lang w:val="en-GB"/>
              </w:rPr>
              <w:t xml:space="preserve"> </w:t>
            </w:r>
            <w:r w:rsidRPr="0056630E">
              <w:rPr>
                <w:b/>
                <w:sz w:val="18"/>
                <w:szCs w:val="18"/>
                <w:lang w:val="en-GB"/>
              </w:rPr>
              <w:t xml:space="preserve">Tencent Combo </w:t>
            </w:r>
            <w:r w:rsidR="008F6A26">
              <w:rPr>
                <w:b/>
                <w:sz w:val="18"/>
                <w:szCs w:val="18"/>
                <w:lang w:val="en-GB"/>
              </w:rPr>
              <w:t>P</w:t>
            </w:r>
            <w:r w:rsidRPr="0056630E">
              <w:rPr>
                <w:b/>
                <w:sz w:val="18"/>
                <w:szCs w:val="18"/>
                <w:lang w:val="en-GB"/>
              </w:rPr>
              <w:t>ackage (</w:t>
            </w:r>
            <w:r w:rsidR="008F6A26" w:rsidRPr="00AE0695">
              <w:rPr>
                <w:b/>
                <w:bCs/>
                <w:color w:val="202124"/>
                <w:sz w:val="18"/>
                <w:szCs w:val="18"/>
                <w:shd w:val="clear" w:color="auto" w:fill="FFFFFF"/>
              </w:rPr>
              <w:t>¥</w:t>
            </w:r>
            <w:r w:rsidRPr="0056630E">
              <w:rPr>
                <w:b/>
                <w:sz w:val="18"/>
                <w:szCs w:val="18"/>
                <w:lang w:val="en-GB"/>
              </w:rPr>
              <w:t>299/year)</w:t>
            </w:r>
          </w:p>
        </w:tc>
      </w:tr>
      <w:tr w:rsidR="00C52690" w:rsidRPr="008D0AE1" w14:paraId="4563D161" w14:textId="77777777" w:rsidTr="009E541E">
        <w:trPr>
          <w:jc w:val="center"/>
        </w:trPr>
        <w:tc>
          <w:tcPr>
            <w:tcW w:w="2923" w:type="dxa"/>
          </w:tcPr>
          <w:p w14:paraId="21B14D27" w14:textId="53AEA282" w:rsidR="00C52690" w:rsidRPr="008D0AE1" w:rsidRDefault="00C52690" w:rsidP="008F6A26">
            <w:pPr>
              <w:pStyle w:val="ExhibitText"/>
              <w:jc w:val="left"/>
              <w:rPr>
                <w:sz w:val="18"/>
                <w:szCs w:val="18"/>
                <w:lang w:val="en-GB"/>
              </w:rPr>
            </w:pPr>
            <w:r w:rsidRPr="008D0AE1">
              <w:rPr>
                <w:sz w:val="18"/>
                <w:szCs w:val="18"/>
                <w:lang w:val="en-GB"/>
              </w:rPr>
              <w:t xml:space="preserve">Free delivery over </w:t>
            </w:r>
            <w:r w:rsidR="008F6A26" w:rsidRPr="00AE0695">
              <w:rPr>
                <w:b/>
                <w:bCs/>
                <w:color w:val="202124"/>
                <w:sz w:val="18"/>
                <w:szCs w:val="18"/>
                <w:shd w:val="clear" w:color="auto" w:fill="FFFFFF"/>
              </w:rPr>
              <w:t>¥</w:t>
            </w:r>
            <w:r w:rsidRPr="008D0AE1">
              <w:rPr>
                <w:sz w:val="18"/>
                <w:szCs w:val="18"/>
                <w:lang w:val="en-GB"/>
              </w:rPr>
              <w:t>200/</w:t>
            </w:r>
            <w:r w:rsidR="008F6A26">
              <w:rPr>
                <w:sz w:val="18"/>
                <w:szCs w:val="18"/>
                <w:lang w:val="en-GB"/>
              </w:rPr>
              <w:t xml:space="preserve">overseas </w:t>
            </w:r>
            <w:r w:rsidRPr="008D0AE1">
              <w:rPr>
                <w:sz w:val="18"/>
                <w:szCs w:val="18"/>
                <w:lang w:val="en-GB"/>
              </w:rPr>
              <w:t xml:space="preserve">order </w:t>
            </w:r>
          </w:p>
        </w:tc>
        <w:tc>
          <w:tcPr>
            <w:tcW w:w="3240" w:type="dxa"/>
          </w:tcPr>
          <w:p w14:paraId="29E9876B" w14:textId="44EC50C6" w:rsidR="00C52690" w:rsidRPr="008D0AE1" w:rsidRDefault="00C52690" w:rsidP="008F6A26">
            <w:pPr>
              <w:pStyle w:val="ExhibitText"/>
              <w:jc w:val="left"/>
              <w:rPr>
                <w:sz w:val="18"/>
                <w:szCs w:val="18"/>
                <w:lang w:val="en-GB"/>
              </w:rPr>
            </w:pPr>
            <w:r w:rsidRPr="008D0AE1">
              <w:rPr>
                <w:sz w:val="18"/>
                <w:szCs w:val="18"/>
                <w:lang w:val="en-GB"/>
              </w:rPr>
              <w:t xml:space="preserve">Free delivery over </w:t>
            </w:r>
            <w:r w:rsidR="008F6A26" w:rsidRPr="00AE0695">
              <w:rPr>
                <w:b/>
                <w:bCs/>
                <w:color w:val="202124"/>
                <w:sz w:val="18"/>
                <w:szCs w:val="18"/>
                <w:shd w:val="clear" w:color="auto" w:fill="FFFFFF"/>
              </w:rPr>
              <w:t>¥</w:t>
            </w:r>
            <w:r w:rsidRPr="008D0AE1">
              <w:rPr>
                <w:sz w:val="18"/>
                <w:szCs w:val="18"/>
                <w:lang w:val="en-GB"/>
              </w:rPr>
              <w:t>200/</w:t>
            </w:r>
            <w:r w:rsidR="008F6A26">
              <w:rPr>
                <w:sz w:val="18"/>
                <w:szCs w:val="18"/>
                <w:lang w:val="en-GB"/>
              </w:rPr>
              <w:t xml:space="preserve">overseas </w:t>
            </w:r>
            <w:r w:rsidRPr="008D0AE1">
              <w:rPr>
                <w:sz w:val="18"/>
                <w:szCs w:val="18"/>
                <w:lang w:val="en-GB"/>
              </w:rPr>
              <w:t>order</w:t>
            </w:r>
          </w:p>
        </w:tc>
        <w:tc>
          <w:tcPr>
            <w:tcW w:w="3102" w:type="dxa"/>
            <w:vMerge w:val="restart"/>
          </w:tcPr>
          <w:p w14:paraId="7EFCDAD3" w14:textId="77777777" w:rsidR="00C52690" w:rsidRPr="008D0AE1" w:rsidRDefault="00C52690" w:rsidP="00DA52E3">
            <w:pPr>
              <w:pStyle w:val="ExhibitText"/>
              <w:jc w:val="left"/>
              <w:rPr>
                <w:sz w:val="18"/>
                <w:szCs w:val="18"/>
                <w:lang w:val="en-GB"/>
              </w:rPr>
            </w:pPr>
            <w:r w:rsidRPr="008D0AE1">
              <w:rPr>
                <w:sz w:val="18"/>
                <w:szCs w:val="18"/>
                <w:lang w:val="en-GB"/>
              </w:rPr>
              <w:t xml:space="preserve">Eligible for all Prime member benefits + Tencent </w:t>
            </w:r>
          </w:p>
        </w:tc>
      </w:tr>
      <w:tr w:rsidR="00C52690" w:rsidRPr="008D0AE1" w14:paraId="35B8727B" w14:textId="77777777" w:rsidTr="009E541E">
        <w:trPr>
          <w:jc w:val="center"/>
        </w:trPr>
        <w:tc>
          <w:tcPr>
            <w:tcW w:w="2923" w:type="dxa"/>
          </w:tcPr>
          <w:p w14:paraId="2164527A" w14:textId="38E3A342" w:rsidR="00C52690" w:rsidRPr="008D0AE1" w:rsidRDefault="00C52690" w:rsidP="00DA52E3">
            <w:pPr>
              <w:pStyle w:val="ExhibitText"/>
              <w:jc w:val="left"/>
              <w:rPr>
                <w:sz w:val="18"/>
                <w:szCs w:val="18"/>
                <w:lang w:val="en-GB"/>
              </w:rPr>
            </w:pPr>
            <w:r w:rsidRPr="008D0AE1">
              <w:rPr>
                <w:sz w:val="18"/>
                <w:szCs w:val="18"/>
                <w:lang w:val="en-GB"/>
              </w:rPr>
              <w:t xml:space="preserve">Free delivery over </w:t>
            </w:r>
            <w:r w:rsidR="008F6A26" w:rsidRPr="00AE0695">
              <w:rPr>
                <w:b/>
                <w:bCs/>
                <w:color w:val="202124"/>
                <w:sz w:val="18"/>
                <w:szCs w:val="18"/>
                <w:shd w:val="clear" w:color="auto" w:fill="FFFFFF"/>
              </w:rPr>
              <w:t>¥</w:t>
            </w:r>
            <w:r w:rsidRPr="008D0AE1">
              <w:rPr>
                <w:sz w:val="18"/>
                <w:szCs w:val="18"/>
                <w:lang w:val="en-GB"/>
              </w:rPr>
              <w:t>0/order in China</w:t>
            </w:r>
          </w:p>
        </w:tc>
        <w:tc>
          <w:tcPr>
            <w:tcW w:w="3240" w:type="dxa"/>
          </w:tcPr>
          <w:p w14:paraId="20BCDCCD" w14:textId="0FFAE0F6" w:rsidR="00C52690" w:rsidRPr="008D0AE1" w:rsidRDefault="00C52690" w:rsidP="00DA52E3">
            <w:pPr>
              <w:pStyle w:val="ExhibitText"/>
              <w:jc w:val="left"/>
              <w:rPr>
                <w:sz w:val="18"/>
                <w:szCs w:val="18"/>
                <w:lang w:val="en-GB"/>
              </w:rPr>
            </w:pPr>
            <w:r w:rsidRPr="008D0AE1">
              <w:rPr>
                <w:sz w:val="18"/>
                <w:szCs w:val="18"/>
                <w:lang w:val="en-GB"/>
              </w:rPr>
              <w:t xml:space="preserve">Free delivery over </w:t>
            </w:r>
            <w:r w:rsidR="008F6A26" w:rsidRPr="00AE0695">
              <w:rPr>
                <w:b/>
                <w:bCs/>
                <w:color w:val="202124"/>
                <w:sz w:val="18"/>
                <w:szCs w:val="18"/>
                <w:shd w:val="clear" w:color="auto" w:fill="FFFFFF"/>
              </w:rPr>
              <w:t>¥</w:t>
            </w:r>
            <w:r w:rsidRPr="008D0AE1">
              <w:rPr>
                <w:sz w:val="18"/>
                <w:szCs w:val="18"/>
                <w:lang w:val="en-GB"/>
              </w:rPr>
              <w:t>0/order in China</w:t>
            </w:r>
          </w:p>
        </w:tc>
        <w:tc>
          <w:tcPr>
            <w:tcW w:w="3102" w:type="dxa"/>
            <w:vMerge/>
          </w:tcPr>
          <w:p w14:paraId="086F6D15" w14:textId="77777777" w:rsidR="00C52690" w:rsidRPr="008D0AE1" w:rsidRDefault="00C52690" w:rsidP="00DA52E3">
            <w:pPr>
              <w:pStyle w:val="ExhibitText"/>
              <w:jc w:val="left"/>
              <w:rPr>
                <w:sz w:val="18"/>
                <w:szCs w:val="18"/>
                <w:lang w:val="en-GB"/>
              </w:rPr>
            </w:pPr>
          </w:p>
        </w:tc>
      </w:tr>
      <w:tr w:rsidR="00C52690" w:rsidRPr="008D0AE1" w14:paraId="2BD6963E" w14:textId="77777777" w:rsidTr="009E541E">
        <w:trPr>
          <w:jc w:val="center"/>
        </w:trPr>
        <w:tc>
          <w:tcPr>
            <w:tcW w:w="2923" w:type="dxa"/>
          </w:tcPr>
          <w:p w14:paraId="000CA6D7" w14:textId="77777777" w:rsidR="00C52690" w:rsidRPr="008D0AE1" w:rsidRDefault="00C52690" w:rsidP="00DA52E3">
            <w:pPr>
              <w:pStyle w:val="ExhibitText"/>
              <w:jc w:val="left"/>
              <w:rPr>
                <w:sz w:val="18"/>
                <w:szCs w:val="18"/>
                <w:lang w:val="en-GB"/>
              </w:rPr>
            </w:pPr>
            <w:r w:rsidRPr="008D0AE1">
              <w:rPr>
                <w:sz w:val="18"/>
                <w:szCs w:val="18"/>
                <w:lang w:val="en-GB"/>
              </w:rPr>
              <w:t>Prime member discount</w:t>
            </w:r>
          </w:p>
        </w:tc>
        <w:tc>
          <w:tcPr>
            <w:tcW w:w="3240" w:type="dxa"/>
          </w:tcPr>
          <w:p w14:paraId="00692488" w14:textId="77777777" w:rsidR="00C52690" w:rsidRPr="008D0AE1" w:rsidRDefault="00C52690" w:rsidP="00DA52E3">
            <w:pPr>
              <w:pStyle w:val="ExhibitText"/>
              <w:jc w:val="left"/>
              <w:rPr>
                <w:sz w:val="18"/>
                <w:szCs w:val="18"/>
                <w:lang w:val="en-GB"/>
              </w:rPr>
            </w:pPr>
            <w:r w:rsidRPr="008D0AE1">
              <w:rPr>
                <w:sz w:val="18"/>
                <w:szCs w:val="18"/>
                <w:lang w:val="en-GB"/>
              </w:rPr>
              <w:t>Prime member discount</w:t>
            </w:r>
          </w:p>
        </w:tc>
        <w:tc>
          <w:tcPr>
            <w:tcW w:w="3102" w:type="dxa"/>
            <w:vMerge/>
          </w:tcPr>
          <w:p w14:paraId="5CAB1F24" w14:textId="77777777" w:rsidR="00C52690" w:rsidRPr="008D0AE1" w:rsidRDefault="00C52690" w:rsidP="00DA52E3">
            <w:pPr>
              <w:pStyle w:val="ExhibitText"/>
              <w:jc w:val="left"/>
              <w:rPr>
                <w:sz w:val="18"/>
                <w:szCs w:val="18"/>
                <w:lang w:val="en-GB"/>
              </w:rPr>
            </w:pPr>
          </w:p>
        </w:tc>
      </w:tr>
      <w:tr w:rsidR="00C52690" w:rsidRPr="008D0AE1" w14:paraId="1B5F23A4" w14:textId="77777777" w:rsidTr="009E541E">
        <w:trPr>
          <w:jc w:val="center"/>
        </w:trPr>
        <w:tc>
          <w:tcPr>
            <w:tcW w:w="2923" w:type="dxa"/>
          </w:tcPr>
          <w:p w14:paraId="624E9818" w14:textId="7506A0F6" w:rsidR="00C52690" w:rsidRPr="008D0AE1" w:rsidRDefault="00C52690" w:rsidP="00DA52E3">
            <w:pPr>
              <w:pStyle w:val="ExhibitText"/>
              <w:jc w:val="left"/>
              <w:rPr>
                <w:sz w:val="18"/>
                <w:szCs w:val="18"/>
                <w:lang w:val="en-GB"/>
              </w:rPr>
            </w:pPr>
            <w:r w:rsidRPr="008D0AE1">
              <w:rPr>
                <w:sz w:val="18"/>
                <w:szCs w:val="18"/>
                <w:lang w:val="en-GB"/>
              </w:rPr>
              <w:t>Free e-book for Prime</w:t>
            </w:r>
            <w:r w:rsidR="008F6A26">
              <w:rPr>
                <w:sz w:val="18"/>
                <w:szCs w:val="18"/>
                <w:lang w:val="en-GB"/>
              </w:rPr>
              <w:t xml:space="preserve"> members</w:t>
            </w:r>
          </w:p>
        </w:tc>
        <w:tc>
          <w:tcPr>
            <w:tcW w:w="3240" w:type="dxa"/>
          </w:tcPr>
          <w:p w14:paraId="7C2DCD2C" w14:textId="326B0692" w:rsidR="00C52690" w:rsidRPr="008D0AE1" w:rsidRDefault="00C52690" w:rsidP="00DA52E3">
            <w:pPr>
              <w:pStyle w:val="ExhibitText"/>
              <w:jc w:val="left"/>
              <w:rPr>
                <w:sz w:val="18"/>
                <w:szCs w:val="18"/>
                <w:lang w:val="en-GB"/>
              </w:rPr>
            </w:pPr>
            <w:r w:rsidRPr="008D0AE1">
              <w:rPr>
                <w:sz w:val="18"/>
                <w:szCs w:val="18"/>
                <w:lang w:val="en-GB"/>
              </w:rPr>
              <w:t>Free e-book for Prime</w:t>
            </w:r>
            <w:r w:rsidR="008F6A26">
              <w:rPr>
                <w:sz w:val="18"/>
                <w:szCs w:val="18"/>
                <w:lang w:val="en-GB"/>
              </w:rPr>
              <w:t xml:space="preserve"> members</w:t>
            </w:r>
          </w:p>
        </w:tc>
        <w:tc>
          <w:tcPr>
            <w:tcW w:w="3102" w:type="dxa"/>
            <w:vMerge/>
          </w:tcPr>
          <w:p w14:paraId="042505E0" w14:textId="77777777" w:rsidR="00C52690" w:rsidRPr="008D0AE1" w:rsidRDefault="00C52690" w:rsidP="00DA52E3">
            <w:pPr>
              <w:pStyle w:val="ExhibitText"/>
              <w:jc w:val="left"/>
              <w:rPr>
                <w:sz w:val="18"/>
                <w:szCs w:val="18"/>
                <w:lang w:val="en-GB"/>
              </w:rPr>
            </w:pPr>
          </w:p>
        </w:tc>
      </w:tr>
    </w:tbl>
    <w:p w14:paraId="2BE70613" w14:textId="77777777" w:rsidR="00C52690" w:rsidRPr="008D0AE1" w:rsidRDefault="00C52690" w:rsidP="00DA52E3">
      <w:pPr>
        <w:pStyle w:val="BodyTextMain"/>
        <w:rPr>
          <w:lang w:val="en-GB"/>
        </w:rPr>
      </w:pPr>
    </w:p>
    <w:tbl>
      <w:tblPr>
        <w:tblW w:w="88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5"/>
        <w:gridCol w:w="3015"/>
        <w:gridCol w:w="3015"/>
      </w:tblGrid>
      <w:tr w:rsidR="00C52690" w:rsidRPr="008D0AE1" w14:paraId="461B5E9C" w14:textId="77777777" w:rsidTr="0056630E">
        <w:trPr>
          <w:trHeight w:val="261"/>
          <w:jc w:val="center"/>
        </w:trPr>
        <w:tc>
          <w:tcPr>
            <w:tcW w:w="2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0C2EB" w14:textId="77777777" w:rsidR="00C52690" w:rsidRPr="008D0AE1" w:rsidRDefault="00C52690" w:rsidP="00DA52E3">
            <w:pPr>
              <w:pStyle w:val="ExhibitText"/>
              <w:jc w:val="center"/>
              <w:rPr>
                <w:b/>
                <w:lang w:val="en-GB"/>
              </w:rPr>
            </w:pPr>
            <w:r w:rsidRPr="008D0AE1">
              <w:rPr>
                <w:b/>
                <w:lang w:val="en-GB"/>
              </w:rPr>
              <w:t>Type of Order</w:t>
            </w:r>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A29E2B" w14:textId="77777777" w:rsidR="00C52690" w:rsidRPr="008D0AE1" w:rsidRDefault="00C52690" w:rsidP="00DA52E3">
            <w:pPr>
              <w:pStyle w:val="ExhibitText"/>
              <w:jc w:val="center"/>
              <w:rPr>
                <w:b/>
                <w:lang w:val="en-GB"/>
              </w:rPr>
            </w:pPr>
            <w:r w:rsidRPr="008D0AE1">
              <w:rPr>
                <w:b/>
                <w:lang w:val="en-GB"/>
              </w:rPr>
              <w:t>Prime Member</w:t>
            </w:r>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9AA793" w14:textId="77777777" w:rsidR="00C52690" w:rsidRPr="008D0AE1" w:rsidRDefault="00C52690" w:rsidP="00DA52E3">
            <w:pPr>
              <w:pStyle w:val="ExhibitText"/>
              <w:jc w:val="center"/>
              <w:rPr>
                <w:b/>
                <w:lang w:val="en-GB"/>
              </w:rPr>
            </w:pPr>
            <w:r w:rsidRPr="008D0AE1">
              <w:rPr>
                <w:b/>
                <w:lang w:val="en-GB"/>
              </w:rPr>
              <w:t>Non-Prime Member</w:t>
            </w:r>
          </w:p>
        </w:tc>
      </w:tr>
      <w:tr w:rsidR="00C52690" w:rsidRPr="008D0AE1" w14:paraId="2B7C2092" w14:textId="77777777" w:rsidTr="0056630E">
        <w:trPr>
          <w:trHeight w:val="2768"/>
          <w:jc w:val="center"/>
        </w:trPr>
        <w:tc>
          <w:tcPr>
            <w:tcW w:w="28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0966F5" w14:textId="269509DF" w:rsidR="00C52690" w:rsidRPr="008D0AE1" w:rsidRDefault="00111E62" w:rsidP="00111E62">
            <w:pPr>
              <w:pStyle w:val="ExhibitText"/>
              <w:jc w:val="left"/>
              <w:rPr>
                <w:lang w:val="en-GB"/>
              </w:rPr>
            </w:pPr>
            <w:r>
              <w:rPr>
                <w:lang w:val="en-GB"/>
              </w:rPr>
              <w:t>O</w:t>
            </w:r>
            <w:r w:rsidR="00C52690" w:rsidRPr="008D0AE1">
              <w:rPr>
                <w:lang w:val="en-GB"/>
              </w:rPr>
              <w:t>versea</w:t>
            </w:r>
            <w:r w:rsidR="008F6A26">
              <w:rPr>
                <w:lang w:val="en-GB"/>
              </w:rPr>
              <w:t>s</w:t>
            </w:r>
            <w:r w:rsidR="00C52690" w:rsidRPr="008D0AE1">
              <w:rPr>
                <w:lang w:val="en-GB"/>
              </w:rPr>
              <w:t xml:space="preserve"> order</w:t>
            </w:r>
          </w:p>
        </w:tc>
        <w:tc>
          <w:tcPr>
            <w:tcW w:w="3015" w:type="dxa"/>
            <w:tcBorders>
              <w:bottom w:val="single" w:sz="8" w:space="0" w:color="000000"/>
              <w:right w:val="single" w:sz="8" w:space="0" w:color="000000"/>
            </w:tcBorders>
            <w:tcMar>
              <w:top w:w="100" w:type="dxa"/>
              <w:left w:w="100" w:type="dxa"/>
              <w:bottom w:w="100" w:type="dxa"/>
              <w:right w:w="100" w:type="dxa"/>
            </w:tcMar>
          </w:tcPr>
          <w:p w14:paraId="60D69D53" w14:textId="15BC8A26" w:rsidR="00C52690" w:rsidRPr="008D0AE1" w:rsidRDefault="00111E62" w:rsidP="00DA52E3">
            <w:pPr>
              <w:pStyle w:val="ExhibitText"/>
              <w:jc w:val="left"/>
              <w:rPr>
                <w:lang w:val="en-GB"/>
              </w:rPr>
            </w:pPr>
            <w:r>
              <w:rPr>
                <w:lang w:val="en-GB"/>
              </w:rPr>
              <w:t>D</w:t>
            </w:r>
            <w:r w:rsidR="00C52690" w:rsidRPr="008D0AE1">
              <w:rPr>
                <w:lang w:val="en-GB"/>
              </w:rPr>
              <w:t xml:space="preserve">elivery options </w:t>
            </w:r>
            <w:r w:rsidR="00B72906">
              <w:rPr>
                <w:lang w:val="en-GB"/>
              </w:rPr>
              <w:t>depending on</w:t>
            </w:r>
            <w:r w:rsidR="00C52690" w:rsidRPr="008D0AE1">
              <w:rPr>
                <w:lang w:val="en-GB"/>
              </w:rPr>
              <w:t xml:space="preserve"> the physical address of rec</w:t>
            </w:r>
            <w:r>
              <w:rPr>
                <w:lang w:val="en-GB"/>
              </w:rPr>
              <w:t>ipients</w:t>
            </w:r>
          </w:p>
          <w:p w14:paraId="245E6799" w14:textId="7658D7B9" w:rsidR="00C52690" w:rsidRPr="008D0AE1" w:rsidRDefault="00C52690" w:rsidP="00DA52E3">
            <w:pPr>
              <w:pStyle w:val="ExhibitText"/>
              <w:numPr>
                <w:ilvl w:val="0"/>
                <w:numId w:val="16"/>
              </w:numPr>
              <w:jc w:val="left"/>
              <w:rPr>
                <w:lang w:val="en-GB"/>
              </w:rPr>
            </w:pPr>
            <w:r w:rsidRPr="008D0AE1">
              <w:rPr>
                <w:lang w:val="en-GB"/>
              </w:rPr>
              <w:t>Standard delivery: 7</w:t>
            </w:r>
            <w:r w:rsidR="008F6A26">
              <w:rPr>
                <w:lang w:val="en-GB"/>
              </w:rPr>
              <w:sym w:font="Symbol" w:char="F02D"/>
            </w:r>
            <w:r w:rsidRPr="008D0AE1">
              <w:rPr>
                <w:lang w:val="en-GB"/>
              </w:rPr>
              <w:t xml:space="preserve">12 business days on average if the order </w:t>
            </w:r>
            <w:r w:rsidR="00111E62">
              <w:rPr>
                <w:lang w:val="en-GB"/>
              </w:rPr>
              <w:t>is over</w:t>
            </w:r>
            <w:r w:rsidRPr="008D0AE1">
              <w:rPr>
                <w:lang w:val="en-GB"/>
              </w:rPr>
              <w:t xml:space="preserve"> </w:t>
            </w:r>
            <w:r w:rsidR="008F6A26" w:rsidRPr="00AE0695">
              <w:rPr>
                <w:bCs/>
                <w:color w:val="202124"/>
                <w:sz w:val="18"/>
                <w:szCs w:val="18"/>
                <w:shd w:val="clear" w:color="auto" w:fill="FFFFFF"/>
              </w:rPr>
              <w:t>¥</w:t>
            </w:r>
            <w:r w:rsidRPr="008D0AE1">
              <w:rPr>
                <w:lang w:val="en-GB"/>
              </w:rPr>
              <w:t>200</w:t>
            </w:r>
          </w:p>
          <w:p w14:paraId="54B92861" w14:textId="093B2C9E" w:rsidR="00C52690" w:rsidRPr="008D0AE1" w:rsidRDefault="00C52690" w:rsidP="00DA52E3">
            <w:pPr>
              <w:pStyle w:val="ExhibitText"/>
              <w:numPr>
                <w:ilvl w:val="0"/>
                <w:numId w:val="16"/>
              </w:numPr>
              <w:jc w:val="left"/>
              <w:rPr>
                <w:lang w:val="en-GB"/>
              </w:rPr>
            </w:pPr>
            <w:r w:rsidRPr="008D0AE1">
              <w:rPr>
                <w:lang w:val="en-GB"/>
              </w:rPr>
              <w:t>Rush delivery: 5</w:t>
            </w:r>
            <w:r w:rsidR="00111E62">
              <w:rPr>
                <w:lang w:val="en-GB"/>
              </w:rPr>
              <w:sym w:font="Symbol" w:char="F02D"/>
            </w:r>
            <w:r w:rsidRPr="008D0AE1">
              <w:rPr>
                <w:lang w:val="en-GB"/>
              </w:rPr>
              <w:t xml:space="preserve">9 business days on average if the order </w:t>
            </w:r>
            <w:r w:rsidR="00111E62">
              <w:rPr>
                <w:lang w:val="en-GB"/>
              </w:rPr>
              <w:t>is over</w:t>
            </w:r>
            <w:r w:rsidRPr="008D0AE1">
              <w:rPr>
                <w:lang w:val="en-GB"/>
              </w:rPr>
              <w:t xml:space="preserve"> </w:t>
            </w:r>
            <w:r w:rsidR="008F6A26" w:rsidRPr="00AE0695">
              <w:rPr>
                <w:bCs/>
                <w:color w:val="202124"/>
                <w:sz w:val="18"/>
                <w:szCs w:val="18"/>
                <w:shd w:val="clear" w:color="auto" w:fill="FFFFFF"/>
              </w:rPr>
              <w:t>¥</w:t>
            </w:r>
            <w:r w:rsidRPr="008D0AE1">
              <w:rPr>
                <w:lang w:val="en-GB"/>
              </w:rPr>
              <w:t xml:space="preserve">200 </w:t>
            </w:r>
          </w:p>
          <w:p w14:paraId="5E4EFC3C" w14:textId="12051192" w:rsidR="00C52690" w:rsidRPr="008D0AE1" w:rsidRDefault="00C52690" w:rsidP="00DA52E3">
            <w:pPr>
              <w:pStyle w:val="ExhibitText"/>
              <w:numPr>
                <w:ilvl w:val="0"/>
                <w:numId w:val="16"/>
              </w:numPr>
              <w:jc w:val="left"/>
              <w:rPr>
                <w:lang w:val="en-GB"/>
              </w:rPr>
            </w:pPr>
            <w:r w:rsidRPr="008D0AE1">
              <w:rPr>
                <w:lang w:val="en-GB"/>
              </w:rPr>
              <w:t>Prime members need to pay import duty fees</w:t>
            </w:r>
          </w:p>
        </w:tc>
        <w:tc>
          <w:tcPr>
            <w:tcW w:w="3015" w:type="dxa"/>
            <w:tcBorders>
              <w:bottom w:val="single" w:sz="8" w:space="0" w:color="000000"/>
              <w:right w:val="single" w:sz="8" w:space="0" w:color="000000"/>
            </w:tcBorders>
            <w:tcMar>
              <w:top w:w="100" w:type="dxa"/>
              <w:left w:w="100" w:type="dxa"/>
              <w:bottom w:w="100" w:type="dxa"/>
              <w:right w:w="100" w:type="dxa"/>
            </w:tcMar>
          </w:tcPr>
          <w:p w14:paraId="12419C8B" w14:textId="302A1E72" w:rsidR="00C52690" w:rsidRPr="008D0AE1" w:rsidRDefault="00C52690" w:rsidP="00DA52E3">
            <w:pPr>
              <w:pStyle w:val="ExhibitText"/>
              <w:jc w:val="left"/>
              <w:rPr>
                <w:lang w:val="en-GB"/>
              </w:rPr>
            </w:pPr>
            <w:r w:rsidRPr="008D0AE1">
              <w:rPr>
                <w:lang w:val="en-GB"/>
              </w:rPr>
              <w:t>No matter the order</w:t>
            </w:r>
            <w:r w:rsidR="00111E62">
              <w:rPr>
                <w:lang w:val="en-GB"/>
              </w:rPr>
              <w:t xml:space="preserve"> total</w:t>
            </w:r>
            <w:r w:rsidRPr="008D0AE1">
              <w:rPr>
                <w:lang w:val="en-GB"/>
              </w:rPr>
              <w:t>, non-</w:t>
            </w:r>
            <w:r w:rsidR="008F6A26">
              <w:rPr>
                <w:lang w:val="en-GB"/>
              </w:rPr>
              <w:t>P</w:t>
            </w:r>
            <w:r w:rsidRPr="008D0AE1">
              <w:rPr>
                <w:lang w:val="en-GB"/>
              </w:rPr>
              <w:t xml:space="preserve">rime members </w:t>
            </w:r>
            <w:r w:rsidR="008F6A26">
              <w:rPr>
                <w:lang w:val="en-GB"/>
              </w:rPr>
              <w:t>must</w:t>
            </w:r>
            <w:r w:rsidRPr="008D0AE1">
              <w:rPr>
                <w:lang w:val="en-GB"/>
              </w:rPr>
              <w:t xml:space="preserve"> pay </w:t>
            </w:r>
            <w:r w:rsidR="00111E62">
              <w:rPr>
                <w:lang w:val="en-GB"/>
              </w:rPr>
              <w:t xml:space="preserve">a </w:t>
            </w:r>
            <w:r w:rsidRPr="008D0AE1">
              <w:rPr>
                <w:lang w:val="en-GB"/>
              </w:rPr>
              <w:t>delivery fee</w:t>
            </w:r>
          </w:p>
          <w:p w14:paraId="7A1F316C" w14:textId="3A1A0B5D" w:rsidR="00C52690" w:rsidRPr="008D0AE1" w:rsidRDefault="00C52690" w:rsidP="00DA52E3">
            <w:pPr>
              <w:pStyle w:val="ExhibitText"/>
              <w:numPr>
                <w:ilvl w:val="0"/>
                <w:numId w:val="17"/>
              </w:numPr>
              <w:jc w:val="left"/>
              <w:rPr>
                <w:lang w:val="en-GB"/>
              </w:rPr>
            </w:pPr>
            <w:r w:rsidRPr="008D0AE1">
              <w:rPr>
                <w:lang w:val="en-GB"/>
              </w:rPr>
              <w:t>Standard delivery: 7</w:t>
            </w:r>
            <w:r w:rsidR="008F6A26">
              <w:rPr>
                <w:lang w:val="en-GB"/>
              </w:rPr>
              <w:sym w:font="Symbol" w:char="F02D"/>
            </w:r>
            <w:r w:rsidRPr="008D0AE1">
              <w:rPr>
                <w:lang w:val="en-GB"/>
              </w:rPr>
              <w:t xml:space="preserve">12 business days on average if the order </w:t>
            </w:r>
            <w:r w:rsidR="00111E62">
              <w:rPr>
                <w:lang w:val="en-GB"/>
              </w:rPr>
              <w:t>is over</w:t>
            </w:r>
            <w:r w:rsidRPr="008D0AE1">
              <w:rPr>
                <w:lang w:val="en-GB"/>
              </w:rPr>
              <w:t xml:space="preserve"> </w:t>
            </w:r>
            <w:r w:rsidR="008F6A26" w:rsidRPr="00AE0695">
              <w:rPr>
                <w:bCs/>
                <w:color w:val="202124"/>
                <w:sz w:val="18"/>
                <w:szCs w:val="18"/>
                <w:shd w:val="clear" w:color="auto" w:fill="FFFFFF"/>
              </w:rPr>
              <w:t>¥</w:t>
            </w:r>
            <w:r w:rsidRPr="008D0AE1">
              <w:rPr>
                <w:lang w:val="en-GB"/>
              </w:rPr>
              <w:t>200</w:t>
            </w:r>
          </w:p>
          <w:p w14:paraId="19B7ED87" w14:textId="7F706CB6" w:rsidR="00C52690" w:rsidRPr="008D0AE1" w:rsidRDefault="00C52690" w:rsidP="00DA52E3">
            <w:pPr>
              <w:pStyle w:val="ExhibitText"/>
              <w:numPr>
                <w:ilvl w:val="0"/>
                <w:numId w:val="17"/>
              </w:numPr>
              <w:jc w:val="left"/>
              <w:rPr>
                <w:lang w:val="en-GB"/>
              </w:rPr>
            </w:pPr>
            <w:r w:rsidRPr="008D0AE1">
              <w:rPr>
                <w:lang w:val="en-GB"/>
              </w:rPr>
              <w:t>Rush delivery: 5</w:t>
            </w:r>
            <w:r w:rsidR="00111E62">
              <w:rPr>
                <w:lang w:val="en-GB"/>
              </w:rPr>
              <w:sym w:font="Symbol" w:char="F02D"/>
            </w:r>
            <w:r w:rsidRPr="008D0AE1">
              <w:rPr>
                <w:lang w:val="en-GB"/>
              </w:rPr>
              <w:t xml:space="preserve">9 business days on average if the order </w:t>
            </w:r>
            <w:r w:rsidR="00111E62">
              <w:rPr>
                <w:lang w:val="en-GB"/>
              </w:rPr>
              <w:t>is over</w:t>
            </w:r>
            <w:r w:rsidRPr="008D0AE1">
              <w:rPr>
                <w:lang w:val="en-GB"/>
              </w:rPr>
              <w:t xml:space="preserve"> </w:t>
            </w:r>
            <w:r w:rsidR="008F6A26" w:rsidRPr="00AE0695">
              <w:rPr>
                <w:bCs/>
                <w:color w:val="202124"/>
                <w:sz w:val="18"/>
                <w:szCs w:val="18"/>
                <w:shd w:val="clear" w:color="auto" w:fill="FFFFFF"/>
              </w:rPr>
              <w:t>¥</w:t>
            </w:r>
            <w:r w:rsidRPr="008D0AE1">
              <w:rPr>
                <w:lang w:val="en-GB"/>
              </w:rPr>
              <w:t xml:space="preserve">200 </w:t>
            </w:r>
          </w:p>
          <w:p w14:paraId="40202018" w14:textId="17076C71" w:rsidR="00C52690" w:rsidRPr="008D0AE1" w:rsidRDefault="00C52690" w:rsidP="00111E62">
            <w:pPr>
              <w:pStyle w:val="ExhibitText"/>
              <w:numPr>
                <w:ilvl w:val="0"/>
                <w:numId w:val="17"/>
              </w:numPr>
              <w:jc w:val="left"/>
              <w:rPr>
                <w:lang w:val="en-GB"/>
              </w:rPr>
            </w:pPr>
            <w:r w:rsidRPr="008D0AE1">
              <w:rPr>
                <w:lang w:val="en-GB"/>
              </w:rPr>
              <w:t xml:space="preserve">Prime members </w:t>
            </w:r>
            <w:r w:rsidR="00111E62">
              <w:rPr>
                <w:lang w:val="en-GB"/>
              </w:rPr>
              <w:t>must</w:t>
            </w:r>
            <w:r w:rsidRPr="008D0AE1">
              <w:rPr>
                <w:lang w:val="en-GB"/>
              </w:rPr>
              <w:t xml:space="preserve"> pay import duty fees</w:t>
            </w:r>
          </w:p>
        </w:tc>
      </w:tr>
      <w:tr w:rsidR="00C52690" w:rsidRPr="008D0AE1" w14:paraId="64F45072" w14:textId="77777777" w:rsidTr="0056630E">
        <w:trPr>
          <w:trHeight w:val="458"/>
          <w:jc w:val="center"/>
        </w:trPr>
        <w:tc>
          <w:tcPr>
            <w:tcW w:w="28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FA5170" w14:textId="77777777" w:rsidR="00C52690" w:rsidRPr="008D0AE1" w:rsidRDefault="00C52690" w:rsidP="00DA52E3">
            <w:pPr>
              <w:pStyle w:val="ExhibitText"/>
              <w:jc w:val="left"/>
              <w:rPr>
                <w:lang w:val="en-GB"/>
              </w:rPr>
            </w:pPr>
            <w:r w:rsidRPr="008D0AE1">
              <w:rPr>
                <w:lang w:val="en-GB"/>
              </w:rPr>
              <w:t>Domestic order (China)</w:t>
            </w:r>
          </w:p>
        </w:tc>
        <w:tc>
          <w:tcPr>
            <w:tcW w:w="3015" w:type="dxa"/>
            <w:tcBorders>
              <w:bottom w:val="single" w:sz="8" w:space="0" w:color="000000"/>
              <w:right w:val="single" w:sz="8" w:space="0" w:color="000000"/>
            </w:tcBorders>
            <w:tcMar>
              <w:top w:w="100" w:type="dxa"/>
              <w:left w:w="100" w:type="dxa"/>
              <w:bottom w:w="100" w:type="dxa"/>
              <w:right w:w="100" w:type="dxa"/>
            </w:tcMar>
          </w:tcPr>
          <w:p w14:paraId="45130BB5" w14:textId="12D7FB4D" w:rsidR="00C52690" w:rsidRPr="008D0AE1" w:rsidRDefault="00C52690" w:rsidP="008F6A26">
            <w:pPr>
              <w:pStyle w:val="ExhibitText"/>
              <w:jc w:val="left"/>
              <w:rPr>
                <w:lang w:val="en-GB"/>
              </w:rPr>
            </w:pPr>
            <w:r w:rsidRPr="008D0AE1">
              <w:rPr>
                <w:lang w:val="en-GB"/>
              </w:rPr>
              <w:t xml:space="preserve">Free delivery inside China (no minimum </w:t>
            </w:r>
            <w:proofErr w:type="gramStart"/>
            <w:r w:rsidRPr="008D0AE1">
              <w:rPr>
                <w:lang w:val="en-GB"/>
              </w:rPr>
              <w:t>spend</w:t>
            </w:r>
            <w:proofErr w:type="gramEnd"/>
            <w:r w:rsidR="008F6A26">
              <w:rPr>
                <w:lang w:val="en-GB"/>
              </w:rPr>
              <w:t xml:space="preserve"> amount</w:t>
            </w:r>
            <w:r w:rsidRPr="008D0AE1">
              <w:rPr>
                <w:lang w:val="en-GB"/>
              </w:rPr>
              <w:t>)</w:t>
            </w:r>
          </w:p>
        </w:tc>
        <w:tc>
          <w:tcPr>
            <w:tcW w:w="3015" w:type="dxa"/>
            <w:tcBorders>
              <w:bottom w:val="single" w:sz="8" w:space="0" w:color="000000"/>
              <w:right w:val="single" w:sz="8" w:space="0" w:color="000000"/>
            </w:tcBorders>
            <w:tcMar>
              <w:top w:w="100" w:type="dxa"/>
              <w:left w:w="100" w:type="dxa"/>
              <w:bottom w:w="100" w:type="dxa"/>
              <w:right w:w="100" w:type="dxa"/>
            </w:tcMar>
          </w:tcPr>
          <w:p w14:paraId="06B4E650" w14:textId="13F3C5E3" w:rsidR="00C52690" w:rsidRPr="008D0AE1" w:rsidRDefault="00C52690" w:rsidP="00111E62">
            <w:pPr>
              <w:pStyle w:val="ExhibitText"/>
              <w:jc w:val="left"/>
              <w:rPr>
                <w:lang w:val="en-GB"/>
              </w:rPr>
            </w:pPr>
            <w:r w:rsidRPr="008D0AE1">
              <w:rPr>
                <w:lang w:val="en-GB"/>
              </w:rPr>
              <w:t xml:space="preserve">Free delivery inside China if the order </w:t>
            </w:r>
            <w:r w:rsidR="00111E62">
              <w:rPr>
                <w:lang w:val="en-GB"/>
              </w:rPr>
              <w:t>is over</w:t>
            </w:r>
            <w:r w:rsidRPr="008D0AE1">
              <w:rPr>
                <w:lang w:val="en-GB"/>
              </w:rPr>
              <w:t xml:space="preserve"> </w:t>
            </w:r>
            <w:r w:rsidR="008F6A26" w:rsidRPr="00AE0695">
              <w:rPr>
                <w:bCs/>
                <w:color w:val="202124"/>
                <w:sz w:val="18"/>
                <w:szCs w:val="18"/>
                <w:shd w:val="clear" w:color="auto" w:fill="FFFFFF"/>
              </w:rPr>
              <w:t>¥</w:t>
            </w:r>
            <w:r w:rsidRPr="008D0AE1">
              <w:rPr>
                <w:lang w:val="en-GB"/>
              </w:rPr>
              <w:t>99</w:t>
            </w:r>
          </w:p>
        </w:tc>
      </w:tr>
    </w:tbl>
    <w:p w14:paraId="053DBF9A" w14:textId="77777777" w:rsidR="00D62894" w:rsidRPr="0056630E" w:rsidRDefault="00D62894" w:rsidP="008F6A26">
      <w:pPr>
        <w:pStyle w:val="Footnote"/>
      </w:pPr>
    </w:p>
    <w:p w14:paraId="35497BCA" w14:textId="1FD6134F" w:rsidR="008F6A26" w:rsidRPr="0056630E" w:rsidRDefault="008F6A26" w:rsidP="008F6A26">
      <w:pPr>
        <w:pStyle w:val="Footnote"/>
      </w:pPr>
      <w:r w:rsidRPr="0056630E">
        <w:t xml:space="preserve">Note: ¥ = RMB = </w:t>
      </w:r>
      <w:r>
        <w:t xml:space="preserve">Chinese yuan </w:t>
      </w:r>
      <w:r w:rsidRPr="0056630E">
        <w:t>renm</w:t>
      </w:r>
      <w:r>
        <w:t>in</w:t>
      </w:r>
      <w:r w:rsidRPr="0056630E">
        <w:t xml:space="preserve">bi; </w:t>
      </w:r>
      <w:r>
        <w:t xml:space="preserve">US$1 = </w:t>
      </w:r>
      <w:r w:rsidRPr="0056630E">
        <w:rPr>
          <w:bCs/>
          <w:color w:val="202124"/>
          <w:sz w:val="18"/>
          <w:szCs w:val="18"/>
          <w:shd w:val="clear" w:color="auto" w:fill="FFFFFF"/>
        </w:rPr>
        <w:t>¥</w:t>
      </w:r>
      <w:r w:rsidRPr="0056630E">
        <w:t>6.8785 on December 31, 2018.</w:t>
      </w:r>
    </w:p>
    <w:p w14:paraId="0BBF06E6" w14:textId="09FB5A1B" w:rsidR="00C52690" w:rsidRPr="008D0AE1" w:rsidRDefault="00C52690" w:rsidP="00DA52E3">
      <w:pPr>
        <w:pStyle w:val="Footnote"/>
        <w:rPr>
          <w:lang w:val="en-GB"/>
        </w:rPr>
      </w:pPr>
      <w:r w:rsidRPr="008D0AE1">
        <w:rPr>
          <w:lang w:val="en-GB"/>
        </w:rPr>
        <w:t xml:space="preserve">Source: </w:t>
      </w:r>
      <w:r w:rsidR="004B0C89">
        <w:rPr>
          <w:rFonts w:eastAsia="Georgia"/>
          <w:lang w:val="en-GB"/>
        </w:rPr>
        <w:t>Compiled by case authors based on data from “Prime</w:t>
      </w:r>
      <w:r w:rsidR="00165215">
        <w:rPr>
          <w:rFonts w:eastAsia="Georgia"/>
          <w:lang w:val="en-GB"/>
        </w:rPr>
        <w:t>”</w:t>
      </w:r>
      <w:r w:rsidR="004B0C89">
        <w:rPr>
          <w:rFonts w:eastAsia="Georgia"/>
          <w:lang w:val="en-GB"/>
        </w:rPr>
        <w:t xml:space="preserve"> [in Chinese], Amazon.cn, accessed April 26, 2019, </w:t>
      </w:r>
      <w:r w:rsidRPr="008D0AE1">
        <w:rPr>
          <w:lang w:val="en-GB"/>
        </w:rPr>
        <w:t>https://www.amazon.cn/amazonprime?_encoding=UTF8&amp;ref_=nav_logo_prime_join</w:t>
      </w:r>
      <w:r w:rsidR="004B0C89">
        <w:rPr>
          <w:lang w:val="en-GB"/>
        </w:rPr>
        <w:t>.</w:t>
      </w:r>
    </w:p>
    <w:p w14:paraId="3A786518" w14:textId="2C361CEF" w:rsidR="009E541E" w:rsidRDefault="009E541E" w:rsidP="0056630E">
      <w:pPr>
        <w:pStyle w:val="Footnote"/>
        <w:rPr>
          <w:lang w:val="en-GB"/>
        </w:rPr>
      </w:pPr>
    </w:p>
    <w:p w14:paraId="1085D147" w14:textId="77777777" w:rsidR="004D1A11" w:rsidRDefault="004D1A11" w:rsidP="0056630E">
      <w:pPr>
        <w:pStyle w:val="Footnote"/>
        <w:rPr>
          <w:lang w:val="en-GB"/>
        </w:rPr>
      </w:pPr>
    </w:p>
    <w:p w14:paraId="37CB24C2" w14:textId="7A50A66C" w:rsidR="00C52690" w:rsidRDefault="00DA52E3" w:rsidP="00653B09">
      <w:pPr>
        <w:pStyle w:val="Casehead1"/>
        <w:jc w:val="center"/>
        <w:rPr>
          <w:lang w:val="en-GB"/>
        </w:rPr>
      </w:pPr>
      <w:r w:rsidRPr="008D0AE1">
        <w:rPr>
          <w:lang w:val="en-GB"/>
        </w:rPr>
        <w:t xml:space="preserve">Exhibit 4: </w:t>
      </w:r>
      <w:r w:rsidR="00C52690" w:rsidRPr="008D0AE1">
        <w:rPr>
          <w:lang w:val="en-GB"/>
        </w:rPr>
        <w:t xml:space="preserve">E-Commerce Market </w:t>
      </w:r>
      <w:r w:rsidR="004B0C89">
        <w:rPr>
          <w:lang w:val="en-GB"/>
        </w:rPr>
        <w:t>and</w:t>
      </w:r>
      <w:r w:rsidR="00C52690" w:rsidRPr="008D0AE1">
        <w:rPr>
          <w:lang w:val="en-GB"/>
        </w:rPr>
        <w:t xml:space="preserve"> Growth in New Internet Users</w:t>
      </w:r>
      <w:r w:rsidR="004B0C89">
        <w:rPr>
          <w:lang w:val="en-GB"/>
        </w:rPr>
        <w:t xml:space="preserve"> in China,</w:t>
      </w:r>
      <w:r w:rsidR="004B0C89">
        <w:rPr>
          <w:lang w:val="en-GB"/>
        </w:rPr>
        <w:br/>
        <w:t>2005–2015</w:t>
      </w:r>
    </w:p>
    <w:p w14:paraId="51038EB0" w14:textId="77777777" w:rsidR="004D1A11" w:rsidRPr="008D0AE1" w:rsidRDefault="004D1A11" w:rsidP="00653B09">
      <w:pPr>
        <w:pStyle w:val="Casehead1"/>
        <w:jc w:val="center"/>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7"/>
        <w:gridCol w:w="1984"/>
      </w:tblGrid>
      <w:tr w:rsidR="00C52690" w:rsidRPr="00653B09" w14:paraId="7D13C7A5" w14:textId="77777777" w:rsidTr="0056630E">
        <w:trPr>
          <w:jc w:val="center"/>
        </w:trPr>
        <w:tc>
          <w:tcPr>
            <w:tcW w:w="675" w:type="dxa"/>
          </w:tcPr>
          <w:p w14:paraId="54ABA967" w14:textId="77777777" w:rsidR="00C52690" w:rsidRPr="00653B09" w:rsidRDefault="00C52690" w:rsidP="00653B09">
            <w:pPr>
              <w:pStyle w:val="BodyTextMain"/>
              <w:rPr>
                <w:rFonts w:ascii="Arial" w:hAnsi="Arial" w:cs="Arial"/>
                <w:sz w:val="20"/>
                <w:szCs w:val="20"/>
                <w:lang w:val="en-GB"/>
              </w:rPr>
            </w:pPr>
          </w:p>
        </w:tc>
        <w:tc>
          <w:tcPr>
            <w:tcW w:w="2127" w:type="dxa"/>
          </w:tcPr>
          <w:p w14:paraId="588EA8A3" w14:textId="30D69010" w:rsidR="00C52690" w:rsidRPr="00653B09" w:rsidRDefault="00C52690" w:rsidP="0056630E">
            <w:pPr>
              <w:pStyle w:val="BodyTextMain"/>
              <w:jc w:val="center"/>
              <w:rPr>
                <w:rFonts w:ascii="Arial" w:hAnsi="Arial" w:cs="Arial"/>
                <w:sz w:val="20"/>
                <w:szCs w:val="20"/>
                <w:lang w:val="en-GB"/>
              </w:rPr>
            </w:pPr>
            <w:r w:rsidRPr="00653B09">
              <w:rPr>
                <w:rFonts w:ascii="Arial" w:hAnsi="Arial" w:cs="Arial"/>
                <w:sz w:val="20"/>
                <w:szCs w:val="20"/>
                <w:lang w:val="en-GB"/>
              </w:rPr>
              <w:t>New Internet Users</w:t>
            </w:r>
          </w:p>
          <w:p w14:paraId="73E85558" w14:textId="0ABC709D" w:rsidR="00C52690" w:rsidRPr="00653B09" w:rsidRDefault="00C52690" w:rsidP="0056630E">
            <w:pPr>
              <w:pStyle w:val="BodyTextMain"/>
              <w:jc w:val="center"/>
              <w:rPr>
                <w:rFonts w:ascii="Arial" w:hAnsi="Arial" w:cs="Arial"/>
                <w:sz w:val="20"/>
                <w:szCs w:val="20"/>
                <w:lang w:val="en-GB"/>
              </w:rPr>
            </w:pPr>
            <w:r w:rsidRPr="00653B09">
              <w:rPr>
                <w:rFonts w:ascii="Arial" w:hAnsi="Arial" w:cs="Arial"/>
                <w:sz w:val="20"/>
                <w:szCs w:val="20"/>
                <w:lang w:val="en-GB"/>
              </w:rPr>
              <w:t xml:space="preserve">(Millions of </w:t>
            </w:r>
            <w:r w:rsidR="00111E62">
              <w:rPr>
                <w:rFonts w:ascii="Arial" w:hAnsi="Arial" w:cs="Arial"/>
                <w:sz w:val="20"/>
                <w:szCs w:val="20"/>
                <w:lang w:val="en-GB"/>
              </w:rPr>
              <w:t>P</w:t>
            </w:r>
            <w:r w:rsidRPr="00653B09">
              <w:rPr>
                <w:rFonts w:ascii="Arial" w:hAnsi="Arial" w:cs="Arial"/>
                <w:sz w:val="20"/>
                <w:szCs w:val="20"/>
                <w:lang w:val="en-GB"/>
              </w:rPr>
              <w:t>eople)</w:t>
            </w:r>
          </w:p>
        </w:tc>
        <w:tc>
          <w:tcPr>
            <w:tcW w:w="1984" w:type="dxa"/>
          </w:tcPr>
          <w:p w14:paraId="331F12E5" w14:textId="3261786D" w:rsidR="00C52690" w:rsidRPr="00653B09" w:rsidRDefault="00C52690" w:rsidP="0056630E">
            <w:pPr>
              <w:pStyle w:val="BodyTextMain"/>
              <w:jc w:val="center"/>
              <w:rPr>
                <w:rFonts w:ascii="Arial" w:hAnsi="Arial" w:cs="Arial"/>
                <w:sz w:val="20"/>
                <w:szCs w:val="20"/>
                <w:lang w:val="en-GB"/>
              </w:rPr>
            </w:pPr>
            <w:r w:rsidRPr="00653B09">
              <w:rPr>
                <w:rFonts w:ascii="Arial" w:hAnsi="Arial" w:cs="Arial"/>
                <w:sz w:val="20"/>
                <w:szCs w:val="20"/>
                <w:lang w:val="en-GB"/>
              </w:rPr>
              <w:t>New e-shoppers</w:t>
            </w:r>
          </w:p>
          <w:p w14:paraId="4A24B3D5" w14:textId="7A38F05A" w:rsidR="00C52690" w:rsidRPr="00653B09" w:rsidRDefault="00C52690" w:rsidP="0056630E">
            <w:pPr>
              <w:pStyle w:val="BodyTextMain"/>
              <w:jc w:val="center"/>
              <w:rPr>
                <w:rFonts w:ascii="Arial" w:hAnsi="Arial" w:cs="Arial"/>
                <w:sz w:val="20"/>
                <w:szCs w:val="20"/>
                <w:lang w:val="en-GB"/>
              </w:rPr>
            </w:pPr>
            <w:r w:rsidRPr="00653B09">
              <w:rPr>
                <w:rFonts w:ascii="Arial" w:hAnsi="Arial" w:cs="Arial"/>
                <w:sz w:val="20"/>
                <w:szCs w:val="20"/>
                <w:lang w:val="en-GB"/>
              </w:rPr>
              <w:t xml:space="preserve">(Millions of </w:t>
            </w:r>
            <w:r w:rsidR="00111E62">
              <w:rPr>
                <w:rFonts w:ascii="Arial" w:hAnsi="Arial" w:cs="Arial"/>
                <w:sz w:val="20"/>
                <w:szCs w:val="20"/>
                <w:lang w:val="en-GB"/>
              </w:rPr>
              <w:t>P</w:t>
            </w:r>
            <w:r w:rsidRPr="00653B09">
              <w:rPr>
                <w:rFonts w:ascii="Arial" w:hAnsi="Arial" w:cs="Arial"/>
                <w:sz w:val="20"/>
                <w:szCs w:val="20"/>
                <w:lang w:val="en-GB"/>
              </w:rPr>
              <w:t>eople)</w:t>
            </w:r>
          </w:p>
        </w:tc>
      </w:tr>
      <w:tr w:rsidR="00C52690" w:rsidRPr="00653B09" w14:paraId="719E88AB" w14:textId="77777777" w:rsidTr="0056630E">
        <w:trPr>
          <w:jc w:val="center"/>
        </w:trPr>
        <w:tc>
          <w:tcPr>
            <w:tcW w:w="675" w:type="dxa"/>
          </w:tcPr>
          <w:p w14:paraId="7ADEF9E7" w14:textId="77777777" w:rsidR="00C52690" w:rsidRPr="00653B09" w:rsidRDefault="00C52690" w:rsidP="00653B09">
            <w:pPr>
              <w:pStyle w:val="BodyTextMain"/>
              <w:rPr>
                <w:rFonts w:ascii="Arial" w:hAnsi="Arial" w:cs="Arial"/>
                <w:sz w:val="20"/>
                <w:szCs w:val="20"/>
                <w:lang w:val="en-GB"/>
              </w:rPr>
            </w:pPr>
            <w:r w:rsidRPr="00653B09">
              <w:rPr>
                <w:rFonts w:ascii="Arial" w:hAnsi="Arial" w:cs="Arial"/>
                <w:sz w:val="20"/>
                <w:szCs w:val="20"/>
                <w:lang w:val="en-GB"/>
              </w:rPr>
              <w:t>2005</w:t>
            </w:r>
          </w:p>
        </w:tc>
        <w:tc>
          <w:tcPr>
            <w:tcW w:w="2127" w:type="dxa"/>
          </w:tcPr>
          <w:p w14:paraId="57260196" w14:textId="03BEA425"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17</w:t>
            </w:r>
          </w:p>
        </w:tc>
        <w:tc>
          <w:tcPr>
            <w:tcW w:w="1984" w:type="dxa"/>
          </w:tcPr>
          <w:p w14:paraId="6817BC45"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11</w:t>
            </w:r>
          </w:p>
        </w:tc>
      </w:tr>
      <w:tr w:rsidR="00C52690" w:rsidRPr="00653B09" w14:paraId="76E41EED" w14:textId="77777777" w:rsidTr="0056630E">
        <w:trPr>
          <w:trHeight w:val="46"/>
          <w:jc w:val="center"/>
        </w:trPr>
        <w:tc>
          <w:tcPr>
            <w:tcW w:w="675" w:type="dxa"/>
          </w:tcPr>
          <w:p w14:paraId="69EDEDA6" w14:textId="77777777" w:rsidR="00C52690" w:rsidRPr="00653B09" w:rsidRDefault="00C52690" w:rsidP="00653B09">
            <w:pPr>
              <w:pStyle w:val="BodyTextMain"/>
              <w:rPr>
                <w:rFonts w:ascii="Arial" w:hAnsi="Arial" w:cs="Arial"/>
                <w:sz w:val="20"/>
                <w:szCs w:val="20"/>
                <w:lang w:val="en-GB"/>
              </w:rPr>
            </w:pPr>
            <w:r w:rsidRPr="00653B09">
              <w:rPr>
                <w:rFonts w:ascii="Arial" w:hAnsi="Arial" w:cs="Arial"/>
                <w:sz w:val="20"/>
                <w:szCs w:val="20"/>
                <w:lang w:val="en-GB"/>
              </w:rPr>
              <w:t>2006</w:t>
            </w:r>
          </w:p>
        </w:tc>
        <w:tc>
          <w:tcPr>
            <w:tcW w:w="2127" w:type="dxa"/>
          </w:tcPr>
          <w:p w14:paraId="67C2D7F0"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26</w:t>
            </w:r>
          </w:p>
        </w:tc>
        <w:tc>
          <w:tcPr>
            <w:tcW w:w="1984" w:type="dxa"/>
          </w:tcPr>
          <w:p w14:paraId="38E2FBD6"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10</w:t>
            </w:r>
          </w:p>
        </w:tc>
      </w:tr>
      <w:tr w:rsidR="00C52690" w:rsidRPr="00653B09" w14:paraId="0CD0C0BF" w14:textId="77777777" w:rsidTr="0056630E">
        <w:trPr>
          <w:jc w:val="center"/>
        </w:trPr>
        <w:tc>
          <w:tcPr>
            <w:tcW w:w="675" w:type="dxa"/>
          </w:tcPr>
          <w:p w14:paraId="2883504D" w14:textId="77777777" w:rsidR="00C52690" w:rsidRPr="00653B09" w:rsidRDefault="00C52690" w:rsidP="00653B09">
            <w:pPr>
              <w:pStyle w:val="BodyTextMain"/>
              <w:rPr>
                <w:rFonts w:ascii="Arial" w:hAnsi="Arial" w:cs="Arial"/>
                <w:sz w:val="20"/>
                <w:szCs w:val="20"/>
                <w:lang w:val="en-GB"/>
              </w:rPr>
            </w:pPr>
            <w:r w:rsidRPr="00653B09">
              <w:rPr>
                <w:rFonts w:ascii="Arial" w:hAnsi="Arial" w:cs="Arial"/>
                <w:sz w:val="20"/>
                <w:szCs w:val="20"/>
                <w:lang w:val="en-GB"/>
              </w:rPr>
              <w:t>2007</w:t>
            </w:r>
          </w:p>
        </w:tc>
        <w:tc>
          <w:tcPr>
            <w:tcW w:w="2127" w:type="dxa"/>
          </w:tcPr>
          <w:p w14:paraId="50AC6A85"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73</w:t>
            </w:r>
          </w:p>
        </w:tc>
        <w:tc>
          <w:tcPr>
            <w:tcW w:w="1984" w:type="dxa"/>
          </w:tcPr>
          <w:p w14:paraId="017F5446"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12</w:t>
            </w:r>
          </w:p>
        </w:tc>
      </w:tr>
      <w:tr w:rsidR="00C52690" w:rsidRPr="00653B09" w14:paraId="1700328F" w14:textId="77777777" w:rsidTr="0056630E">
        <w:trPr>
          <w:jc w:val="center"/>
        </w:trPr>
        <w:tc>
          <w:tcPr>
            <w:tcW w:w="675" w:type="dxa"/>
          </w:tcPr>
          <w:p w14:paraId="3F7F2585" w14:textId="77777777" w:rsidR="00C52690" w:rsidRPr="00653B09" w:rsidRDefault="00C52690" w:rsidP="00653B09">
            <w:pPr>
              <w:pStyle w:val="BodyTextMain"/>
              <w:rPr>
                <w:rFonts w:ascii="Arial" w:hAnsi="Arial" w:cs="Arial"/>
                <w:sz w:val="20"/>
                <w:szCs w:val="20"/>
                <w:lang w:val="en-GB"/>
              </w:rPr>
            </w:pPr>
            <w:r w:rsidRPr="00653B09">
              <w:rPr>
                <w:rFonts w:ascii="Arial" w:hAnsi="Arial" w:cs="Arial"/>
                <w:sz w:val="20"/>
                <w:szCs w:val="20"/>
                <w:lang w:val="en-GB"/>
              </w:rPr>
              <w:t>2008</w:t>
            </w:r>
          </w:p>
        </w:tc>
        <w:tc>
          <w:tcPr>
            <w:tcW w:w="2127" w:type="dxa"/>
          </w:tcPr>
          <w:p w14:paraId="0BCF4543"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88</w:t>
            </w:r>
          </w:p>
        </w:tc>
        <w:tc>
          <w:tcPr>
            <w:tcW w:w="1984" w:type="dxa"/>
          </w:tcPr>
          <w:p w14:paraId="29A0C05B"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25</w:t>
            </w:r>
          </w:p>
        </w:tc>
      </w:tr>
      <w:tr w:rsidR="00C52690" w:rsidRPr="00653B09" w14:paraId="0D15576D" w14:textId="77777777" w:rsidTr="0056630E">
        <w:trPr>
          <w:jc w:val="center"/>
        </w:trPr>
        <w:tc>
          <w:tcPr>
            <w:tcW w:w="675" w:type="dxa"/>
          </w:tcPr>
          <w:p w14:paraId="7DA06712" w14:textId="77777777" w:rsidR="00C52690" w:rsidRPr="00653B09" w:rsidRDefault="00C52690" w:rsidP="00653B09">
            <w:pPr>
              <w:pStyle w:val="BodyTextMain"/>
              <w:rPr>
                <w:rFonts w:ascii="Arial" w:hAnsi="Arial" w:cs="Arial"/>
                <w:sz w:val="20"/>
                <w:szCs w:val="20"/>
                <w:lang w:val="en-GB"/>
              </w:rPr>
            </w:pPr>
            <w:r w:rsidRPr="00653B09">
              <w:rPr>
                <w:rFonts w:ascii="Arial" w:hAnsi="Arial" w:cs="Arial"/>
                <w:sz w:val="20"/>
                <w:szCs w:val="20"/>
                <w:lang w:val="en-GB"/>
              </w:rPr>
              <w:t>2009</w:t>
            </w:r>
          </w:p>
        </w:tc>
        <w:tc>
          <w:tcPr>
            <w:tcW w:w="2127" w:type="dxa"/>
          </w:tcPr>
          <w:p w14:paraId="0D9F168D"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86</w:t>
            </w:r>
          </w:p>
        </w:tc>
        <w:tc>
          <w:tcPr>
            <w:tcW w:w="1984" w:type="dxa"/>
          </w:tcPr>
          <w:p w14:paraId="2B30E030"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29</w:t>
            </w:r>
          </w:p>
        </w:tc>
      </w:tr>
      <w:tr w:rsidR="00C52690" w:rsidRPr="00653B09" w14:paraId="44DB83E1" w14:textId="77777777" w:rsidTr="0056630E">
        <w:trPr>
          <w:jc w:val="center"/>
        </w:trPr>
        <w:tc>
          <w:tcPr>
            <w:tcW w:w="675" w:type="dxa"/>
          </w:tcPr>
          <w:p w14:paraId="06C796BD" w14:textId="77777777" w:rsidR="00C52690" w:rsidRPr="00653B09" w:rsidRDefault="00C52690" w:rsidP="00653B09">
            <w:pPr>
              <w:pStyle w:val="BodyTextMain"/>
              <w:rPr>
                <w:rFonts w:ascii="Arial" w:hAnsi="Arial" w:cs="Arial"/>
                <w:sz w:val="20"/>
                <w:szCs w:val="20"/>
                <w:lang w:val="en-GB"/>
              </w:rPr>
            </w:pPr>
            <w:r w:rsidRPr="00653B09">
              <w:rPr>
                <w:rFonts w:ascii="Arial" w:hAnsi="Arial" w:cs="Arial"/>
                <w:sz w:val="20"/>
                <w:szCs w:val="20"/>
                <w:lang w:val="en-GB"/>
              </w:rPr>
              <w:t>2010</w:t>
            </w:r>
          </w:p>
        </w:tc>
        <w:tc>
          <w:tcPr>
            <w:tcW w:w="2127" w:type="dxa"/>
          </w:tcPr>
          <w:p w14:paraId="31EE9598"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73</w:t>
            </w:r>
          </w:p>
        </w:tc>
        <w:tc>
          <w:tcPr>
            <w:tcW w:w="1984" w:type="dxa"/>
          </w:tcPr>
          <w:p w14:paraId="28EDC641"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36</w:t>
            </w:r>
          </w:p>
        </w:tc>
      </w:tr>
      <w:tr w:rsidR="00C52690" w:rsidRPr="00653B09" w14:paraId="678C43A6" w14:textId="77777777" w:rsidTr="0056630E">
        <w:trPr>
          <w:jc w:val="center"/>
        </w:trPr>
        <w:tc>
          <w:tcPr>
            <w:tcW w:w="675" w:type="dxa"/>
          </w:tcPr>
          <w:p w14:paraId="345F2788" w14:textId="77777777" w:rsidR="00C52690" w:rsidRPr="00653B09" w:rsidRDefault="00C52690" w:rsidP="00653B09">
            <w:pPr>
              <w:pStyle w:val="BodyTextMain"/>
              <w:rPr>
                <w:rFonts w:ascii="Arial" w:hAnsi="Arial" w:cs="Arial"/>
                <w:sz w:val="20"/>
                <w:szCs w:val="20"/>
                <w:lang w:val="en-GB"/>
              </w:rPr>
            </w:pPr>
            <w:r w:rsidRPr="00653B09">
              <w:rPr>
                <w:rFonts w:ascii="Arial" w:hAnsi="Arial" w:cs="Arial"/>
                <w:sz w:val="20"/>
                <w:szCs w:val="20"/>
                <w:lang w:val="en-GB"/>
              </w:rPr>
              <w:t>2011</w:t>
            </w:r>
          </w:p>
        </w:tc>
        <w:tc>
          <w:tcPr>
            <w:tcW w:w="2127" w:type="dxa"/>
          </w:tcPr>
          <w:p w14:paraId="417C4940"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61</w:t>
            </w:r>
          </w:p>
        </w:tc>
        <w:tc>
          <w:tcPr>
            <w:tcW w:w="1984" w:type="dxa"/>
          </w:tcPr>
          <w:p w14:paraId="5812E29B"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43</w:t>
            </w:r>
          </w:p>
        </w:tc>
      </w:tr>
      <w:tr w:rsidR="00C52690" w:rsidRPr="00653B09" w14:paraId="6668B8B2" w14:textId="77777777" w:rsidTr="0056630E">
        <w:trPr>
          <w:jc w:val="center"/>
        </w:trPr>
        <w:tc>
          <w:tcPr>
            <w:tcW w:w="675" w:type="dxa"/>
          </w:tcPr>
          <w:p w14:paraId="0B0C345D" w14:textId="77777777" w:rsidR="00C52690" w:rsidRPr="00653B09" w:rsidRDefault="00C52690" w:rsidP="00653B09">
            <w:pPr>
              <w:pStyle w:val="BodyTextMain"/>
              <w:rPr>
                <w:rFonts w:ascii="Arial" w:hAnsi="Arial" w:cs="Arial"/>
                <w:sz w:val="20"/>
                <w:szCs w:val="20"/>
                <w:lang w:val="en-GB"/>
              </w:rPr>
            </w:pPr>
            <w:r w:rsidRPr="00653B09">
              <w:rPr>
                <w:rFonts w:ascii="Arial" w:hAnsi="Arial" w:cs="Arial"/>
                <w:sz w:val="20"/>
                <w:szCs w:val="20"/>
                <w:lang w:val="en-GB"/>
              </w:rPr>
              <w:t>2012</w:t>
            </w:r>
          </w:p>
        </w:tc>
        <w:tc>
          <w:tcPr>
            <w:tcW w:w="2127" w:type="dxa"/>
          </w:tcPr>
          <w:p w14:paraId="6E418D54"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48</w:t>
            </w:r>
          </w:p>
        </w:tc>
        <w:tc>
          <w:tcPr>
            <w:tcW w:w="1984" w:type="dxa"/>
          </w:tcPr>
          <w:p w14:paraId="63D7BC89"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38</w:t>
            </w:r>
          </w:p>
        </w:tc>
      </w:tr>
      <w:tr w:rsidR="00C52690" w:rsidRPr="00653B09" w14:paraId="502051AB" w14:textId="77777777" w:rsidTr="0056630E">
        <w:trPr>
          <w:jc w:val="center"/>
        </w:trPr>
        <w:tc>
          <w:tcPr>
            <w:tcW w:w="675" w:type="dxa"/>
          </w:tcPr>
          <w:p w14:paraId="5A827834" w14:textId="77777777" w:rsidR="00C52690" w:rsidRPr="00653B09" w:rsidRDefault="00C52690" w:rsidP="00653B09">
            <w:pPr>
              <w:pStyle w:val="BodyTextMain"/>
              <w:rPr>
                <w:rFonts w:ascii="Arial" w:hAnsi="Arial" w:cs="Arial"/>
                <w:sz w:val="20"/>
                <w:szCs w:val="20"/>
                <w:lang w:val="en-GB"/>
              </w:rPr>
            </w:pPr>
            <w:r w:rsidRPr="00653B09">
              <w:rPr>
                <w:rFonts w:ascii="Arial" w:hAnsi="Arial" w:cs="Arial"/>
                <w:sz w:val="20"/>
                <w:szCs w:val="20"/>
                <w:lang w:val="en-GB"/>
              </w:rPr>
              <w:t>2013</w:t>
            </w:r>
          </w:p>
        </w:tc>
        <w:tc>
          <w:tcPr>
            <w:tcW w:w="2127" w:type="dxa"/>
          </w:tcPr>
          <w:p w14:paraId="5A4A402D"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50</w:t>
            </w:r>
          </w:p>
        </w:tc>
        <w:tc>
          <w:tcPr>
            <w:tcW w:w="1984" w:type="dxa"/>
          </w:tcPr>
          <w:p w14:paraId="6D8CDDA7"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38</w:t>
            </w:r>
          </w:p>
        </w:tc>
      </w:tr>
      <w:tr w:rsidR="00C52690" w:rsidRPr="00653B09" w14:paraId="0098D4D2" w14:textId="77777777" w:rsidTr="0056630E">
        <w:trPr>
          <w:jc w:val="center"/>
        </w:trPr>
        <w:tc>
          <w:tcPr>
            <w:tcW w:w="675" w:type="dxa"/>
          </w:tcPr>
          <w:p w14:paraId="02E9ECA9" w14:textId="77777777" w:rsidR="00C52690" w:rsidRPr="00653B09" w:rsidRDefault="00C52690" w:rsidP="00653B09">
            <w:pPr>
              <w:pStyle w:val="BodyTextMain"/>
              <w:rPr>
                <w:rFonts w:ascii="Arial" w:hAnsi="Arial" w:cs="Arial"/>
                <w:sz w:val="20"/>
                <w:szCs w:val="20"/>
                <w:lang w:val="en-GB"/>
              </w:rPr>
            </w:pPr>
            <w:r w:rsidRPr="00653B09">
              <w:rPr>
                <w:rFonts w:ascii="Arial" w:hAnsi="Arial" w:cs="Arial"/>
                <w:sz w:val="20"/>
                <w:szCs w:val="20"/>
                <w:lang w:val="en-GB"/>
              </w:rPr>
              <w:t>2014</w:t>
            </w:r>
          </w:p>
        </w:tc>
        <w:tc>
          <w:tcPr>
            <w:tcW w:w="2127" w:type="dxa"/>
          </w:tcPr>
          <w:p w14:paraId="6328B335"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47</w:t>
            </w:r>
          </w:p>
        </w:tc>
        <w:tc>
          <w:tcPr>
            <w:tcW w:w="1984" w:type="dxa"/>
          </w:tcPr>
          <w:p w14:paraId="2B6FF1B7"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34</w:t>
            </w:r>
          </w:p>
        </w:tc>
      </w:tr>
      <w:tr w:rsidR="00C52690" w:rsidRPr="00653B09" w14:paraId="63A8CB2D" w14:textId="77777777" w:rsidTr="0056630E">
        <w:trPr>
          <w:jc w:val="center"/>
        </w:trPr>
        <w:tc>
          <w:tcPr>
            <w:tcW w:w="675" w:type="dxa"/>
          </w:tcPr>
          <w:p w14:paraId="02293FE1" w14:textId="77777777" w:rsidR="00C52690" w:rsidRPr="00653B09" w:rsidRDefault="00C52690" w:rsidP="00653B09">
            <w:pPr>
              <w:pStyle w:val="BodyTextMain"/>
              <w:rPr>
                <w:rFonts w:ascii="Arial" w:hAnsi="Arial" w:cs="Arial"/>
                <w:sz w:val="20"/>
                <w:szCs w:val="20"/>
                <w:lang w:val="en-GB"/>
              </w:rPr>
            </w:pPr>
            <w:r w:rsidRPr="00653B09">
              <w:rPr>
                <w:rFonts w:ascii="Arial" w:hAnsi="Arial" w:cs="Arial"/>
                <w:sz w:val="20"/>
                <w:szCs w:val="20"/>
                <w:lang w:val="en-GB"/>
              </w:rPr>
              <w:t>2015</w:t>
            </w:r>
          </w:p>
        </w:tc>
        <w:tc>
          <w:tcPr>
            <w:tcW w:w="2127" w:type="dxa"/>
          </w:tcPr>
          <w:p w14:paraId="03844813"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40</w:t>
            </w:r>
          </w:p>
        </w:tc>
        <w:tc>
          <w:tcPr>
            <w:tcW w:w="1984" w:type="dxa"/>
          </w:tcPr>
          <w:p w14:paraId="04CDBBC3" w14:textId="77777777" w:rsidR="00C52690" w:rsidRPr="00653B09" w:rsidRDefault="00C52690" w:rsidP="0056630E">
            <w:pPr>
              <w:pStyle w:val="BodyTextMain"/>
              <w:jc w:val="right"/>
              <w:rPr>
                <w:rFonts w:ascii="Arial" w:hAnsi="Arial" w:cs="Arial"/>
                <w:sz w:val="20"/>
                <w:szCs w:val="20"/>
                <w:lang w:val="en-GB"/>
              </w:rPr>
            </w:pPr>
            <w:r w:rsidRPr="00653B09">
              <w:rPr>
                <w:rFonts w:ascii="Arial" w:hAnsi="Arial" w:cs="Arial"/>
                <w:sz w:val="20"/>
                <w:szCs w:val="20"/>
                <w:lang w:val="en-GB"/>
              </w:rPr>
              <w:t>31</w:t>
            </w:r>
          </w:p>
        </w:tc>
      </w:tr>
    </w:tbl>
    <w:p w14:paraId="6055B36E" w14:textId="77777777" w:rsidR="00DA52E3" w:rsidRPr="008D0AE1" w:rsidRDefault="00DA52E3" w:rsidP="00653B09">
      <w:pPr>
        <w:pStyle w:val="FootnoteText1"/>
        <w:rPr>
          <w:lang w:val="en-GB"/>
        </w:rPr>
      </w:pPr>
    </w:p>
    <w:p w14:paraId="0D40E677" w14:textId="1CC87F34" w:rsidR="00D62894" w:rsidRDefault="00C52690" w:rsidP="00653B09">
      <w:pPr>
        <w:pStyle w:val="FootnoteText1"/>
        <w:rPr>
          <w:lang w:val="en-GB"/>
        </w:rPr>
      </w:pPr>
      <w:r w:rsidRPr="008D0AE1">
        <w:rPr>
          <w:lang w:val="en-GB"/>
        </w:rPr>
        <w:t xml:space="preserve">Source: </w:t>
      </w:r>
      <w:r w:rsidR="00193D2D">
        <w:rPr>
          <w:lang w:val="en-GB"/>
        </w:rPr>
        <w:t xml:space="preserve">Adapted from “Exhibit 1. China’s Rapidly Expanding E-Commerce Market </w:t>
      </w:r>
      <w:r w:rsidR="00FA7120">
        <w:rPr>
          <w:lang w:val="en-GB"/>
        </w:rPr>
        <w:t>Follows</w:t>
      </w:r>
      <w:r w:rsidR="00193D2D">
        <w:rPr>
          <w:lang w:val="en-GB"/>
        </w:rPr>
        <w:t xml:space="preserve"> an Era of Exponential Growth in New Internet Users,” in </w:t>
      </w:r>
      <w:r w:rsidR="00193D2D" w:rsidRPr="00193D2D">
        <w:rPr>
          <w:lang w:val="en-GB"/>
        </w:rPr>
        <w:t>Jeff Walters</w:t>
      </w:r>
      <w:r w:rsidR="00193D2D">
        <w:rPr>
          <w:lang w:val="en-GB"/>
        </w:rPr>
        <w:t xml:space="preserve">, </w:t>
      </w:r>
      <w:proofErr w:type="spellStart"/>
      <w:r w:rsidR="00193D2D" w:rsidRPr="00193D2D">
        <w:rPr>
          <w:lang w:val="en-GB"/>
        </w:rPr>
        <w:t>Youchi</w:t>
      </w:r>
      <w:proofErr w:type="spellEnd"/>
      <w:r w:rsidR="00193D2D" w:rsidRPr="00193D2D">
        <w:rPr>
          <w:lang w:val="en-GB"/>
        </w:rPr>
        <w:t xml:space="preserve"> </w:t>
      </w:r>
      <w:proofErr w:type="spellStart"/>
      <w:r w:rsidR="00193D2D" w:rsidRPr="00193D2D">
        <w:rPr>
          <w:lang w:val="en-GB"/>
        </w:rPr>
        <w:t>Kuo</w:t>
      </w:r>
      <w:proofErr w:type="spellEnd"/>
      <w:r w:rsidR="00193D2D">
        <w:rPr>
          <w:lang w:val="en-GB"/>
        </w:rPr>
        <w:t xml:space="preserve">, </w:t>
      </w:r>
      <w:r w:rsidR="00193D2D" w:rsidRPr="00193D2D">
        <w:rPr>
          <w:lang w:val="en-GB"/>
        </w:rPr>
        <w:t>Waldemar Jap</w:t>
      </w:r>
      <w:r w:rsidR="00193D2D">
        <w:rPr>
          <w:lang w:val="en-GB"/>
        </w:rPr>
        <w:t xml:space="preserve">, and </w:t>
      </w:r>
      <w:r w:rsidR="00193D2D" w:rsidRPr="00193D2D">
        <w:rPr>
          <w:lang w:val="en-GB"/>
        </w:rPr>
        <w:t>Hubert Hsu</w:t>
      </w:r>
      <w:r w:rsidR="00193D2D">
        <w:rPr>
          <w:lang w:val="en-GB"/>
        </w:rPr>
        <w:t xml:space="preserve">, </w:t>
      </w:r>
      <w:r w:rsidRPr="00334576">
        <w:rPr>
          <w:i/>
          <w:lang w:val="en-GB"/>
        </w:rPr>
        <w:t xml:space="preserve">The World’s Next E-Commerce </w:t>
      </w:r>
      <w:r w:rsidR="00193D2D" w:rsidRPr="00334576">
        <w:rPr>
          <w:i/>
          <w:lang w:val="en-GB"/>
        </w:rPr>
        <w:t>Superpower: Navigating China’s Unique Online-Shopping Ecosystem</w:t>
      </w:r>
      <w:r w:rsidR="00193D2D">
        <w:rPr>
          <w:lang w:val="en-GB"/>
        </w:rPr>
        <w:t>,</w:t>
      </w:r>
      <w:r w:rsidR="00193D2D" w:rsidRPr="00193D2D">
        <w:rPr>
          <w:lang w:val="en-GB"/>
        </w:rPr>
        <w:t xml:space="preserve"> </w:t>
      </w:r>
      <w:r w:rsidR="00193D2D">
        <w:rPr>
          <w:lang w:val="en-GB"/>
        </w:rPr>
        <w:t xml:space="preserve">7, </w:t>
      </w:r>
      <w:r w:rsidRPr="008D0AE1">
        <w:rPr>
          <w:lang w:val="en-GB"/>
        </w:rPr>
        <w:t>Boston Consulting Group</w:t>
      </w:r>
      <w:r w:rsidR="00193D2D">
        <w:rPr>
          <w:lang w:val="en-GB"/>
        </w:rPr>
        <w:t>,</w:t>
      </w:r>
      <w:r w:rsidRPr="008D0AE1">
        <w:rPr>
          <w:lang w:val="en-GB"/>
        </w:rPr>
        <w:t xml:space="preserve"> 2011</w:t>
      </w:r>
      <w:r w:rsidR="00193D2D">
        <w:rPr>
          <w:lang w:val="en-GB"/>
        </w:rPr>
        <w:t xml:space="preserve">, accessed April 26, 2019, </w:t>
      </w:r>
      <w:r w:rsidR="00653B09" w:rsidRPr="007F2237">
        <w:rPr>
          <w:lang w:val="en-GB"/>
        </w:rPr>
        <w:t>https://www.bcg.com/documents/file91905.pdf</w:t>
      </w:r>
      <w:r w:rsidR="00193D2D">
        <w:rPr>
          <w:lang w:val="en-GB"/>
        </w:rPr>
        <w:t>.</w:t>
      </w:r>
    </w:p>
    <w:p w14:paraId="0DD62971" w14:textId="64139322" w:rsidR="00C52690" w:rsidRPr="008D0AE1" w:rsidRDefault="00DA52E3" w:rsidP="0056630E">
      <w:pPr>
        <w:pStyle w:val="ExhibitHeading"/>
        <w:rPr>
          <w:lang w:val="en-GB"/>
        </w:rPr>
      </w:pPr>
      <w:r w:rsidRPr="008D0AE1">
        <w:rPr>
          <w:rStyle w:val="EndnoteReference"/>
          <w:vertAlign w:val="baseline"/>
          <w:lang w:val="en-GB"/>
        </w:rPr>
        <w:lastRenderedPageBreak/>
        <w:t xml:space="preserve">Exhibit 5: </w:t>
      </w:r>
      <w:r w:rsidR="00C52690" w:rsidRPr="008D0AE1">
        <w:rPr>
          <w:rStyle w:val="EndnoteReference"/>
          <w:vertAlign w:val="baseline"/>
          <w:lang w:val="en-GB"/>
        </w:rPr>
        <w:t>Chinese e-shopper segments</w:t>
      </w:r>
    </w:p>
    <w:p w14:paraId="5E0066D3" w14:textId="77777777" w:rsidR="00DA52E3" w:rsidRPr="00653B09" w:rsidRDefault="00DA52E3" w:rsidP="00653B09">
      <w:pPr>
        <w:pStyle w:val="BodyTextMain"/>
        <w:rPr>
          <w:rStyle w:val="EndnoteReference"/>
          <w:vertAlign w:val="baseline"/>
        </w:rPr>
      </w:pPr>
    </w:p>
    <w:tbl>
      <w:tblPr>
        <w:tblStyle w:val="TableGrid"/>
        <w:tblW w:w="0" w:type="auto"/>
        <w:jc w:val="center"/>
        <w:tblLook w:val="04A0" w:firstRow="1" w:lastRow="0" w:firstColumn="1" w:lastColumn="0" w:noHBand="0" w:noVBand="1"/>
      </w:tblPr>
      <w:tblGrid>
        <w:gridCol w:w="2340"/>
        <w:gridCol w:w="2250"/>
        <w:gridCol w:w="1852"/>
        <w:gridCol w:w="1813"/>
      </w:tblGrid>
      <w:tr w:rsidR="00C52690" w:rsidRPr="008D0AE1" w14:paraId="3174DDAA" w14:textId="77777777" w:rsidTr="009E541E">
        <w:trPr>
          <w:jc w:val="center"/>
        </w:trPr>
        <w:tc>
          <w:tcPr>
            <w:tcW w:w="2340" w:type="dxa"/>
            <w:vMerge w:val="restart"/>
          </w:tcPr>
          <w:p w14:paraId="6C008F18" w14:textId="77777777" w:rsidR="00C52690" w:rsidRPr="008D0AE1" w:rsidRDefault="00C52690" w:rsidP="00DA52E3">
            <w:pPr>
              <w:pStyle w:val="ExhibitText"/>
              <w:jc w:val="center"/>
              <w:rPr>
                <w:b/>
                <w:lang w:val="en-GB"/>
              </w:rPr>
            </w:pPr>
            <w:r w:rsidRPr="008D0AE1">
              <w:rPr>
                <w:b/>
                <w:lang w:val="en-GB"/>
              </w:rPr>
              <w:t>Segment</w:t>
            </w:r>
          </w:p>
        </w:tc>
        <w:tc>
          <w:tcPr>
            <w:tcW w:w="2250" w:type="dxa"/>
            <w:vMerge w:val="restart"/>
          </w:tcPr>
          <w:p w14:paraId="6C7E6AA7" w14:textId="7569AB2C" w:rsidR="00C52690" w:rsidRPr="008D0AE1" w:rsidRDefault="00C52690" w:rsidP="00AF02AA">
            <w:pPr>
              <w:pStyle w:val="ExhibitText"/>
              <w:jc w:val="center"/>
              <w:rPr>
                <w:b/>
                <w:lang w:val="en-GB"/>
              </w:rPr>
            </w:pPr>
            <w:r w:rsidRPr="008D0AE1">
              <w:rPr>
                <w:b/>
                <w:lang w:val="en-GB"/>
              </w:rPr>
              <w:t xml:space="preserve">Annual </w:t>
            </w:r>
            <w:r w:rsidR="00193D2D">
              <w:rPr>
                <w:b/>
                <w:lang w:val="en-GB"/>
              </w:rPr>
              <w:t>O</w:t>
            </w:r>
            <w:r w:rsidR="00193D2D" w:rsidRPr="008D0AE1">
              <w:rPr>
                <w:b/>
                <w:lang w:val="en-GB"/>
              </w:rPr>
              <w:t xml:space="preserve">nline </w:t>
            </w:r>
            <w:r w:rsidR="00193D2D">
              <w:rPr>
                <w:b/>
                <w:lang w:val="en-GB"/>
              </w:rPr>
              <w:t>S</w:t>
            </w:r>
            <w:r w:rsidR="00193D2D" w:rsidRPr="008D0AE1">
              <w:rPr>
                <w:b/>
                <w:lang w:val="en-GB"/>
              </w:rPr>
              <w:t xml:space="preserve">pending </w:t>
            </w:r>
            <w:r w:rsidRPr="008D0AE1">
              <w:rPr>
                <w:b/>
                <w:lang w:val="en-GB"/>
              </w:rPr>
              <w:t>(</w:t>
            </w:r>
            <w:r w:rsidR="00193D2D">
              <w:rPr>
                <w:b/>
                <w:lang w:val="en-GB"/>
              </w:rPr>
              <w:t xml:space="preserve">in </w:t>
            </w:r>
            <w:r w:rsidR="00AF02AA" w:rsidRPr="0056630E">
              <w:rPr>
                <w:rStyle w:val="ExhibitHeadingChar"/>
              </w:rPr>
              <w:t>¥</w:t>
            </w:r>
            <w:r w:rsidRPr="008D0AE1">
              <w:rPr>
                <w:b/>
                <w:lang w:val="en-GB"/>
              </w:rPr>
              <w:t>)</w:t>
            </w:r>
          </w:p>
        </w:tc>
        <w:tc>
          <w:tcPr>
            <w:tcW w:w="3665" w:type="dxa"/>
            <w:gridSpan w:val="2"/>
          </w:tcPr>
          <w:p w14:paraId="48CE67E7" w14:textId="77777777" w:rsidR="00C52690" w:rsidRPr="008D0AE1" w:rsidRDefault="00C52690" w:rsidP="00DA52E3">
            <w:pPr>
              <w:pStyle w:val="ExhibitText"/>
              <w:jc w:val="center"/>
              <w:rPr>
                <w:b/>
                <w:lang w:val="en-GB"/>
              </w:rPr>
            </w:pPr>
            <w:r w:rsidRPr="008D0AE1">
              <w:rPr>
                <w:b/>
                <w:lang w:val="en-GB"/>
              </w:rPr>
              <w:t>2010 Distribution</w:t>
            </w:r>
          </w:p>
        </w:tc>
      </w:tr>
      <w:tr w:rsidR="00C52690" w:rsidRPr="008D0AE1" w14:paraId="1210FEDD" w14:textId="77777777" w:rsidTr="009E541E">
        <w:trPr>
          <w:jc w:val="center"/>
        </w:trPr>
        <w:tc>
          <w:tcPr>
            <w:tcW w:w="2340" w:type="dxa"/>
            <w:vMerge/>
          </w:tcPr>
          <w:p w14:paraId="6B6886F1" w14:textId="77777777" w:rsidR="00C52690" w:rsidRPr="008D0AE1" w:rsidRDefault="00C52690" w:rsidP="00DA52E3">
            <w:pPr>
              <w:pStyle w:val="ExhibitText"/>
              <w:rPr>
                <w:lang w:val="en-GB"/>
              </w:rPr>
            </w:pPr>
          </w:p>
        </w:tc>
        <w:tc>
          <w:tcPr>
            <w:tcW w:w="2250" w:type="dxa"/>
            <w:vMerge/>
          </w:tcPr>
          <w:p w14:paraId="240DB0A2" w14:textId="77777777" w:rsidR="00C52690" w:rsidRPr="008D0AE1" w:rsidRDefault="00C52690" w:rsidP="00DA52E3">
            <w:pPr>
              <w:pStyle w:val="ExhibitText"/>
              <w:rPr>
                <w:lang w:val="en-GB"/>
              </w:rPr>
            </w:pPr>
          </w:p>
        </w:tc>
        <w:tc>
          <w:tcPr>
            <w:tcW w:w="1852" w:type="dxa"/>
          </w:tcPr>
          <w:p w14:paraId="1A989373" w14:textId="77777777" w:rsidR="00DA52E3" w:rsidRPr="008D0AE1" w:rsidRDefault="00C52690" w:rsidP="00DA52E3">
            <w:pPr>
              <w:pStyle w:val="ExhibitText"/>
              <w:jc w:val="center"/>
              <w:rPr>
                <w:lang w:val="en-GB"/>
              </w:rPr>
            </w:pPr>
            <w:r w:rsidRPr="008D0AE1">
              <w:rPr>
                <w:lang w:val="en-GB"/>
              </w:rPr>
              <w:t xml:space="preserve">Percentage of </w:t>
            </w:r>
          </w:p>
          <w:p w14:paraId="3C3DEBAD" w14:textId="6A5D5833" w:rsidR="00C52690" w:rsidRPr="008D0AE1" w:rsidRDefault="00C52690" w:rsidP="00DA52E3">
            <w:pPr>
              <w:pStyle w:val="ExhibitText"/>
              <w:jc w:val="center"/>
              <w:rPr>
                <w:lang w:val="en-GB"/>
              </w:rPr>
            </w:pPr>
            <w:r w:rsidRPr="008D0AE1">
              <w:rPr>
                <w:lang w:val="en-GB"/>
              </w:rPr>
              <w:t>e-</w:t>
            </w:r>
            <w:r w:rsidR="00DA52E3" w:rsidRPr="008D0AE1">
              <w:rPr>
                <w:lang w:val="en-GB"/>
              </w:rPr>
              <w:t>s</w:t>
            </w:r>
            <w:r w:rsidRPr="008D0AE1">
              <w:rPr>
                <w:lang w:val="en-GB"/>
              </w:rPr>
              <w:t>hoppers</w:t>
            </w:r>
          </w:p>
        </w:tc>
        <w:tc>
          <w:tcPr>
            <w:tcW w:w="1813" w:type="dxa"/>
          </w:tcPr>
          <w:p w14:paraId="2E8727DC" w14:textId="71D8A833" w:rsidR="00C52690" w:rsidRPr="008D0AE1" w:rsidRDefault="00C52690" w:rsidP="00AF02AA">
            <w:pPr>
              <w:pStyle w:val="ExhibitText"/>
              <w:jc w:val="center"/>
              <w:rPr>
                <w:lang w:val="en-GB"/>
              </w:rPr>
            </w:pPr>
            <w:r w:rsidRPr="008D0AE1">
              <w:rPr>
                <w:lang w:val="en-GB"/>
              </w:rPr>
              <w:t xml:space="preserve">Percentage of </w:t>
            </w:r>
            <w:r w:rsidR="00AF02AA">
              <w:rPr>
                <w:lang w:val="en-GB"/>
              </w:rPr>
              <w:t>S</w:t>
            </w:r>
            <w:r w:rsidRPr="008D0AE1">
              <w:rPr>
                <w:lang w:val="en-GB"/>
              </w:rPr>
              <w:t>pending</w:t>
            </w:r>
          </w:p>
        </w:tc>
      </w:tr>
      <w:tr w:rsidR="00C52690" w:rsidRPr="008D0AE1" w14:paraId="4B6E7AE9" w14:textId="77777777" w:rsidTr="009E541E">
        <w:trPr>
          <w:jc w:val="center"/>
        </w:trPr>
        <w:tc>
          <w:tcPr>
            <w:tcW w:w="2340" w:type="dxa"/>
          </w:tcPr>
          <w:p w14:paraId="310E12E4" w14:textId="33166CA2" w:rsidR="00C52690" w:rsidRPr="008D0AE1" w:rsidRDefault="00C52690" w:rsidP="00DA52E3">
            <w:pPr>
              <w:pStyle w:val="ExhibitText"/>
              <w:jc w:val="left"/>
              <w:rPr>
                <w:lang w:val="en-GB"/>
              </w:rPr>
            </w:pPr>
            <w:r w:rsidRPr="008D0AE1">
              <w:rPr>
                <w:lang w:val="en-GB"/>
              </w:rPr>
              <w:t xml:space="preserve">Light </w:t>
            </w:r>
            <w:r w:rsidR="00193D2D" w:rsidRPr="008D0AE1">
              <w:rPr>
                <w:lang w:val="en-GB"/>
              </w:rPr>
              <w:t>Spenders</w:t>
            </w:r>
          </w:p>
        </w:tc>
        <w:tc>
          <w:tcPr>
            <w:tcW w:w="2250" w:type="dxa"/>
          </w:tcPr>
          <w:p w14:paraId="03F78DEC" w14:textId="3BE24AF7" w:rsidR="00C52690" w:rsidRPr="008D0AE1" w:rsidRDefault="00C52690" w:rsidP="00334576">
            <w:pPr>
              <w:pStyle w:val="ExhibitText"/>
              <w:ind w:right="258"/>
              <w:jc w:val="right"/>
              <w:rPr>
                <w:lang w:val="en-GB"/>
              </w:rPr>
            </w:pPr>
            <w:r w:rsidRPr="008D0AE1">
              <w:rPr>
                <w:lang w:val="en-GB"/>
              </w:rPr>
              <w:t>&lt;</w:t>
            </w:r>
            <w:r w:rsidR="00193D2D">
              <w:rPr>
                <w:lang w:val="en-GB"/>
              </w:rPr>
              <w:t xml:space="preserve"> </w:t>
            </w:r>
            <w:r w:rsidRPr="008D0AE1">
              <w:rPr>
                <w:lang w:val="en-GB"/>
              </w:rPr>
              <w:t>2</w:t>
            </w:r>
            <w:r w:rsidR="00193D2D">
              <w:rPr>
                <w:lang w:val="en-GB"/>
              </w:rPr>
              <w:t>,</w:t>
            </w:r>
            <w:r w:rsidRPr="008D0AE1">
              <w:rPr>
                <w:lang w:val="en-GB"/>
              </w:rPr>
              <w:t>000</w:t>
            </w:r>
          </w:p>
        </w:tc>
        <w:tc>
          <w:tcPr>
            <w:tcW w:w="1852" w:type="dxa"/>
          </w:tcPr>
          <w:p w14:paraId="4B0C4916" w14:textId="77777777" w:rsidR="00C52690" w:rsidRPr="008D0AE1" w:rsidRDefault="00C52690" w:rsidP="00334576">
            <w:pPr>
              <w:pStyle w:val="ExhibitText"/>
              <w:ind w:right="258"/>
              <w:jc w:val="right"/>
              <w:rPr>
                <w:lang w:val="en-GB"/>
              </w:rPr>
            </w:pPr>
            <w:r w:rsidRPr="008D0AE1">
              <w:rPr>
                <w:lang w:val="en-GB"/>
              </w:rPr>
              <w:t>57</w:t>
            </w:r>
          </w:p>
        </w:tc>
        <w:tc>
          <w:tcPr>
            <w:tcW w:w="1813" w:type="dxa"/>
          </w:tcPr>
          <w:p w14:paraId="315CAD3B" w14:textId="77777777" w:rsidR="00C52690" w:rsidRPr="008D0AE1" w:rsidRDefault="00C52690" w:rsidP="00334576">
            <w:pPr>
              <w:pStyle w:val="ExhibitText"/>
              <w:ind w:right="258"/>
              <w:jc w:val="right"/>
              <w:rPr>
                <w:lang w:val="en-GB"/>
              </w:rPr>
            </w:pPr>
            <w:r w:rsidRPr="008D0AE1">
              <w:rPr>
                <w:lang w:val="en-GB"/>
              </w:rPr>
              <w:t>14</w:t>
            </w:r>
          </w:p>
        </w:tc>
      </w:tr>
      <w:tr w:rsidR="00C52690" w:rsidRPr="008D0AE1" w14:paraId="27EDCBFE" w14:textId="77777777" w:rsidTr="009E541E">
        <w:trPr>
          <w:jc w:val="center"/>
        </w:trPr>
        <w:tc>
          <w:tcPr>
            <w:tcW w:w="2340" w:type="dxa"/>
          </w:tcPr>
          <w:p w14:paraId="686E2B9C" w14:textId="39EE5623" w:rsidR="00C52690" w:rsidRPr="008D0AE1" w:rsidRDefault="00C52690" w:rsidP="00DA52E3">
            <w:pPr>
              <w:pStyle w:val="ExhibitText"/>
              <w:jc w:val="left"/>
              <w:rPr>
                <w:lang w:val="en-GB"/>
              </w:rPr>
            </w:pPr>
            <w:r w:rsidRPr="008D0AE1">
              <w:rPr>
                <w:lang w:val="en-GB"/>
              </w:rPr>
              <w:t xml:space="preserve">Moderate </w:t>
            </w:r>
            <w:r w:rsidR="00193D2D" w:rsidRPr="008D0AE1">
              <w:rPr>
                <w:lang w:val="en-GB"/>
              </w:rPr>
              <w:t>Spenders</w:t>
            </w:r>
          </w:p>
        </w:tc>
        <w:tc>
          <w:tcPr>
            <w:tcW w:w="2250" w:type="dxa"/>
          </w:tcPr>
          <w:p w14:paraId="658C003F" w14:textId="58CCBB82" w:rsidR="00C52690" w:rsidRPr="008D0AE1" w:rsidRDefault="00C52690" w:rsidP="00334576">
            <w:pPr>
              <w:pStyle w:val="ExhibitText"/>
              <w:ind w:right="258"/>
              <w:jc w:val="right"/>
              <w:rPr>
                <w:lang w:val="en-GB"/>
              </w:rPr>
            </w:pPr>
            <w:r w:rsidRPr="008D0AE1">
              <w:rPr>
                <w:lang w:val="en-GB"/>
              </w:rPr>
              <w:t>2,000</w:t>
            </w:r>
            <w:r w:rsidR="00193D2D">
              <w:rPr>
                <w:lang w:val="en-GB"/>
              </w:rPr>
              <w:t>–</w:t>
            </w:r>
            <w:r w:rsidRPr="008D0AE1">
              <w:rPr>
                <w:lang w:val="en-GB"/>
              </w:rPr>
              <w:t>5,000</w:t>
            </w:r>
          </w:p>
        </w:tc>
        <w:tc>
          <w:tcPr>
            <w:tcW w:w="1852" w:type="dxa"/>
          </w:tcPr>
          <w:p w14:paraId="46F26566" w14:textId="77777777" w:rsidR="00C52690" w:rsidRPr="008D0AE1" w:rsidRDefault="00C52690" w:rsidP="00334576">
            <w:pPr>
              <w:pStyle w:val="ExhibitText"/>
              <w:ind w:right="258"/>
              <w:jc w:val="right"/>
              <w:rPr>
                <w:lang w:val="en-GB"/>
              </w:rPr>
            </w:pPr>
            <w:r w:rsidRPr="008D0AE1">
              <w:rPr>
                <w:lang w:val="en-GB"/>
              </w:rPr>
              <w:t>24</w:t>
            </w:r>
          </w:p>
        </w:tc>
        <w:tc>
          <w:tcPr>
            <w:tcW w:w="1813" w:type="dxa"/>
          </w:tcPr>
          <w:p w14:paraId="5C28E533" w14:textId="77777777" w:rsidR="00C52690" w:rsidRPr="008D0AE1" w:rsidRDefault="00C52690" w:rsidP="00334576">
            <w:pPr>
              <w:pStyle w:val="ExhibitText"/>
              <w:ind w:right="258"/>
              <w:jc w:val="right"/>
              <w:rPr>
                <w:lang w:val="en-GB"/>
              </w:rPr>
            </w:pPr>
            <w:r w:rsidRPr="008D0AE1">
              <w:rPr>
                <w:lang w:val="en-GB"/>
              </w:rPr>
              <w:t>21</w:t>
            </w:r>
          </w:p>
        </w:tc>
      </w:tr>
      <w:tr w:rsidR="00C52690" w:rsidRPr="008D0AE1" w14:paraId="79AC2D49" w14:textId="77777777" w:rsidTr="009E541E">
        <w:trPr>
          <w:jc w:val="center"/>
        </w:trPr>
        <w:tc>
          <w:tcPr>
            <w:tcW w:w="2340" w:type="dxa"/>
          </w:tcPr>
          <w:p w14:paraId="68B7896A" w14:textId="38FEB8A0" w:rsidR="00C52690" w:rsidRPr="008D0AE1" w:rsidRDefault="00C52690" w:rsidP="00DA52E3">
            <w:pPr>
              <w:pStyle w:val="ExhibitText"/>
              <w:jc w:val="left"/>
              <w:rPr>
                <w:lang w:val="en-GB"/>
              </w:rPr>
            </w:pPr>
            <w:r w:rsidRPr="008D0AE1">
              <w:rPr>
                <w:lang w:val="en-GB"/>
              </w:rPr>
              <w:t xml:space="preserve">Heavy </w:t>
            </w:r>
            <w:r w:rsidR="00193D2D" w:rsidRPr="008D0AE1">
              <w:rPr>
                <w:lang w:val="en-GB"/>
              </w:rPr>
              <w:t>Spenders</w:t>
            </w:r>
          </w:p>
        </w:tc>
        <w:tc>
          <w:tcPr>
            <w:tcW w:w="2250" w:type="dxa"/>
          </w:tcPr>
          <w:p w14:paraId="641FA5E9" w14:textId="41424AA9" w:rsidR="00C52690" w:rsidRPr="008D0AE1" w:rsidRDefault="00C52690" w:rsidP="00334576">
            <w:pPr>
              <w:pStyle w:val="ExhibitText"/>
              <w:ind w:right="258"/>
              <w:jc w:val="right"/>
              <w:rPr>
                <w:lang w:val="en-GB"/>
              </w:rPr>
            </w:pPr>
            <w:r w:rsidRPr="008D0AE1">
              <w:rPr>
                <w:lang w:val="en-GB"/>
              </w:rPr>
              <w:t>5,000</w:t>
            </w:r>
            <w:r w:rsidR="00193D2D">
              <w:rPr>
                <w:lang w:val="en-GB"/>
              </w:rPr>
              <w:t>–</w:t>
            </w:r>
            <w:r w:rsidRPr="008D0AE1">
              <w:rPr>
                <w:lang w:val="en-GB"/>
              </w:rPr>
              <w:t>10,000</w:t>
            </w:r>
          </w:p>
        </w:tc>
        <w:tc>
          <w:tcPr>
            <w:tcW w:w="1852" w:type="dxa"/>
          </w:tcPr>
          <w:p w14:paraId="2D2CC5E5" w14:textId="77777777" w:rsidR="00C52690" w:rsidRPr="008D0AE1" w:rsidRDefault="00C52690" w:rsidP="00334576">
            <w:pPr>
              <w:pStyle w:val="ExhibitText"/>
              <w:ind w:right="258"/>
              <w:jc w:val="right"/>
              <w:rPr>
                <w:lang w:val="en-GB"/>
              </w:rPr>
            </w:pPr>
            <w:r w:rsidRPr="008D0AE1">
              <w:rPr>
                <w:lang w:val="en-GB"/>
              </w:rPr>
              <w:t>12</w:t>
            </w:r>
          </w:p>
        </w:tc>
        <w:tc>
          <w:tcPr>
            <w:tcW w:w="1813" w:type="dxa"/>
          </w:tcPr>
          <w:p w14:paraId="29B0AB66" w14:textId="77777777" w:rsidR="00C52690" w:rsidRPr="008D0AE1" w:rsidRDefault="00C52690" w:rsidP="00334576">
            <w:pPr>
              <w:pStyle w:val="ExhibitText"/>
              <w:ind w:right="258"/>
              <w:jc w:val="right"/>
              <w:rPr>
                <w:lang w:val="en-GB"/>
              </w:rPr>
            </w:pPr>
            <w:r w:rsidRPr="008D0AE1">
              <w:rPr>
                <w:lang w:val="en-GB"/>
              </w:rPr>
              <w:t>24</w:t>
            </w:r>
          </w:p>
        </w:tc>
      </w:tr>
      <w:tr w:rsidR="00C52690" w:rsidRPr="008D0AE1" w14:paraId="2E5192F1" w14:textId="77777777" w:rsidTr="009E541E">
        <w:trPr>
          <w:jc w:val="center"/>
        </w:trPr>
        <w:tc>
          <w:tcPr>
            <w:tcW w:w="2340" w:type="dxa"/>
          </w:tcPr>
          <w:p w14:paraId="5D52436D" w14:textId="27370678" w:rsidR="00C52690" w:rsidRPr="008D0AE1" w:rsidRDefault="00C52690" w:rsidP="00D70AE9">
            <w:pPr>
              <w:pStyle w:val="ExhibitText"/>
              <w:jc w:val="left"/>
              <w:rPr>
                <w:lang w:val="en-GB"/>
              </w:rPr>
            </w:pPr>
            <w:r w:rsidRPr="008D0AE1">
              <w:rPr>
                <w:lang w:val="en-GB"/>
              </w:rPr>
              <w:t>Super</w:t>
            </w:r>
            <w:r w:rsidR="00193D2D">
              <w:rPr>
                <w:lang w:val="en-GB"/>
              </w:rPr>
              <w:t>-</w:t>
            </w:r>
            <w:r w:rsidR="00193D2D" w:rsidRPr="008D0AE1">
              <w:rPr>
                <w:lang w:val="en-GB"/>
              </w:rPr>
              <w:t>Heavy Spenders</w:t>
            </w:r>
          </w:p>
        </w:tc>
        <w:tc>
          <w:tcPr>
            <w:tcW w:w="2250" w:type="dxa"/>
          </w:tcPr>
          <w:p w14:paraId="37F19AD1" w14:textId="49C0856C" w:rsidR="00C52690" w:rsidRPr="008D0AE1" w:rsidRDefault="00C52690" w:rsidP="00334576">
            <w:pPr>
              <w:pStyle w:val="ExhibitText"/>
              <w:ind w:right="258"/>
              <w:jc w:val="right"/>
              <w:rPr>
                <w:lang w:val="en-GB"/>
              </w:rPr>
            </w:pPr>
            <w:r w:rsidRPr="008D0AE1">
              <w:rPr>
                <w:lang w:val="en-GB"/>
              </w:rPr>
              <w:t>&lt;</w:t>
            </w:r>
            <w:r w:rsidR="00193D2D">
              <w:rPr>
                <w:lang w:val="en-GB"/>
              </w:rPr>
              <w:t xml:space="preserve"> </w:t>
            </w:r>
            <w:r w:rsidRPr="008D0AE1">
              <w:rPr>
                <w:lang w:val="en-GB"/>
              </w:rPr>
              <w:t>10,000</w:t>
            </w:r>
          </w:p>
        </w:tc>
        <w:tc>
          <w:tcPr>
            <w:tcW w:w="1852" w:type="dxa"/>
          </w:tcPr>
          <w:p w14:paraId="4ACD252F" w14:textId="77777777" w:rsidR="00C52690" w:rsidRPr="008D0AE1" w:rsidRDefault="00C52690" w:rsidP="00334576">
            <w:pPr>
              <w:pStyle w:val="ExhibitText"/>
              <w:ind w:right="258"/>
              <w:jc w:val="right"/>
              <w:rPr>
                <w:lang w:val="en-GB"/>
              </w:rPr>
            </w:pPr>
            <w:r w:rsidRPr="008D0AE1">
              <w:rPr>
                <w:lang w:val="en-GB"/>
              </w:rPr>
              <w:t>7</w:t>
            </w:r>
          </w:p>
        </w:tc>
        <w:tc>
          <w:tcPr>
            <w:tcW w:w="1813" w:type="dxa"/>
          </w:tcPr>
          <w:p w14:paraId="3B184D13" w14:textId="77777777" w:rsidR="00C52690" w:rsidRPr="008D0AE1" w:rsidRDefault="00C52690" w:rsidP="00334576">
            <w:pPr>
              <w:pStyle w:val="ExhibitText"/>
              <w:ind w:right="258"/>
              <w:jc w:val="right"/>
              <w:rPr>
                <w:lang w:val="en-GB"/>
              </w:rPr>
            </w:pPr>
            <w:r w:rsidRPr="008D0AE1">
              <w:rPr>
                <w:lang w:val="en-GB"/>
              </w:rPr>
              <w:t>40</w:t>
            </w:r>
          </w:p>
        </w:tc>
      </w:tr>
    </w:tbl>
    <w:p w14:paraId="6C959E0E" w14:textId="77777777" w:rsidR="00D62894" w:rsidRPr="008D0AE1" w:rsidRDefault="00D62894" w:rsidP="00653B09">
      <w:pPr>
        <w:pStyle w:val="FootnoteText1"/>
        <w:rPr>
          <w:lang w:val="en-GB"/>
        </w:rPr>
      </w:pPr>
    </w:p>
    <w:p w14:paraId="76D1AEE7" w14:textId="3AE9B67C" w:rsidR="00AF02AA" w:rsidRPr="0056630E" w:rsidRDefault="00AF02AA" w:rsidP="0056630E">
      <w:pPr>
        <w:pStyle w:val="Footnote"/>
      </w:pPr>
      <w:r>
        <w:rPr>
          <w:lang w:val="en-GB"/>
        </w:rPr>
        <w:t xml:space="preserve">Note: </w:t>
      </w:r>
      <w:r w:rsidRPr="00AE0695">
        <w:t xml:space="preserve">¥ = RMB = </w:t>
      </w:r>
      <w:r>
        <w:t xml:space="preserve">Chinese yuan </w:t>
      </w:r>
      <w:r w:rsidRPr="00AE0695">
        <w:t>renm</w:t>
      </w:r>
      <w:r>
        <w:t>in</w:t>
      </w:r>
      <w:r w:rsidRPr="00AE0695">
        <w:t xml:space="preserve">bi; </w:t>
      </w:r>
      <w:r>
        <w:t xml:space="preserve">US$1 = </w:t>
      </w:r>
      <w:r w:rsidRPr="00AE0695">
        <w:rPr>
          <w:bCs/>
          <w:color w:val="202124"/>
          <w:sz w:val="18"/>
          <w:szCs w:val="18"/>
          <w:shd w:val="clear" w:color="auto" w:fill="FFFFFF"/>
        </w:rPr>
        <w:t>¥</w:t>
      </w:r>
      <w:r w:rsidRPr="00AE0695">
        <w:t>6.8785 on December 31, 2018.</w:t>
      </w:r>
    </w:p>
    <w:p w14:paraId="2A7689CD" w14:textId="25952ABE" w:rsidR="00193D2D" w:rsidRPr="008D0AE1" w:rsidRDefault="00C52690" w:rsidP="00653B09">
      <w:pPr>
        <w:pStyle w:val="FootnoteText1"/>
        <w:rPr>
          <w:lang w:val="en-GB"/>
        </w:rPr>
      </w:pPr>
      <w:r w:rsidRPr="008D0AE1">
        <w:rPr>
          <w:lang w:val="en-GB"/>
        </w:rPr>
        <w:t xml:space="preserve">Source: </w:t>
      </w:r>
      <w:r w:rsidR="00193D2D">
        <w:rPr>
          <w:lang w:val="en-GB"/>
        </w:rPr>
        <w:t>Adapted from “</w:t>
      </w:r>
      <w:r w:rsidR="00193D2D" w:rsidRPr="00193D2D">
        <w:rPr>
          <w:lang w:val="en-GB"/>
        </w:rPr>
        <w:t>Exhibit 2. Seven Percent of E-Shoppers Are Responsible for 40 Percent of Total Online Spending</w:t>
      </w:r>
      <w:r w:rsidR="00193D2D">
        <w:rPr>
          <w:lang w:val="en-GB"/>
        </w:rPr>
        <w:t xml:space="preserve">,” </w:t>
      </w:r>
      <w:r w:rsidR="00193D2D" w:rsidRPr="00193D2D">
        <w:rPr>
          <w:lang w:val="en-GB"/>
        </w:rPr>
        <w:t>Jeff Walters</w:t>
      </w:r>
      <w:r w:rsidR="00193D2D">
        <w:rPr>
          <w:lang w:val="en-GB"/>
        </w:rPr>
        <w:t xml:space="preserve">, </w:t>
      </w:r>
      <w:proofErr w:type="spellStart"/>
      <w:r w:rsidR="00193D2D" w:rsidRPr="00193D2D">
        <w:rPr>
          <w:lang w:val="en-GB"/>
        </w:rPr>
        <w:t>Youchi</w:t>
      </w:r>
      <w:proofErr w:type="spellEnd"/>
      <w:r w:rsidR="00193D2D" w:rsidRPr="00193D2D">
        <w:rPr>
          <w:lang w:val="en-GB"/>
        </w:rPr>
        <w:t xml:space="preserve"> </w:t>
      </w:r>
      <w:proofErr w:type="spellStart"/>
      <w:r w:rsidR="00193D2D" w:rsidRPr="00193D2D">
        <w:rPr>
          <w:lang w:val="en-GB"/>
        </w:rPr>
        <w:t>Kuo</w:t>
      </w:r>
      <w:proofErr w:type="spellEnd"/>
      <w:r w:rsidR="00193D2D">
        <w:rPr>
          <w:lang w:val="en-GB"/>
        </w:rPr>
        <w:t xml:space="preserve">, </w:t>
      </w:r>
      <w:r w:rsidR="00193D2D" w:rsidRPr="00193D2D">
        <w:rPr>
          <w:lang w:val="en-GB"/>
        </w:rPr>
        <w:t>Waldemar Jap</w:t>
      </w:r>
      <w:r w:rsidR="00193D2D">
        <w:rPr>
          <w:lang w:val="en-GB"/>
        </w:rPr>
        <w:t xml:space="preserve">, and </w:t>
      </w:r>
      <w:r w:rsidR="00193D2D" w:rsidRPr="00193D2D">
        <w:rPr>
          <w:lang w:val="en-GB"/>
        </w:rPr>
        <w:t>Hubert Hsu</w:t>
      </w:r>
      <w:r w:rsidR="00193D2D">
        <w:rPr>
          <w:lang w:val="en-GB"/>
        </w:rPr>
        <w:t xml:space="preserve">, </w:t>
      </w:r>
      <w:r w:rsidR="00193D2D" w:rsidRPr="00EB1A2B">
        <w:rPr>
          <w:i/>
          <w:lang w:val="en-GB"/>
        </w:rPr>
        <w:t>The World’s Next E-Commerce Superpower: Navigating China’s Unique Online-Shopping Ecosystem</w:t>
      </w:r>
      <w:r w:rsidR="00193D2D">
        <w:rPr>
          <w:lang w:val="en-GB"/>
        </w:rPr>
        <w:t>,</w:t>
      </w:r>
      <w:r w:rsidR="00193D2D" w:rsidRPr="00193D2D">
        <w:rPr>
          <w:lang w:val="en-GB"/>
        </w:rPr>
        <w:t xml:space="preserve"> </w:t>
      </w:r>
      <w:r w:rsidR="00193D2D">
        <w:rPr>
          <w:lang w:val="en-GB"/>
        </w:rPr>
        <w:t xml:space="preserve">8, </w:t>
      </w:r>
      <w:r w:rsidR="00193D2D" w:rsidRPr="008D0AE1">
        <w:rPr>
          <w:lang w:val="en-GB"/>
        </w:rPr>
        <w:t>Boston Consulting Group</w:t>
      </w:r>
      <w:r w:rsidR="00193D2D">
        <w:rPr>
          <w:lang w:val="en-GB"/>
        </w:rPr>
        <w:t>,</w:t>
      </w:r>
      <w:r w:rsidR="00193D2D" w:rsidRPr="008D0AE1">
        <w:rPr>
          <w:lang w:val="en-GB"/>
        </w:rPr>
        <w:t xml:space="preserve"> 2011</w:t>
      </w:r>
      <w:r w:rsidR="00193D2D">
        <w:rPr>
          <w:lang w:val="en-GB"/>
        </w:rPr>
        <w:t xml:space="preserve">, accessed April 26, 2019, </w:t>
      </w:r>
      <w:r w:rsidR="00193D2D" w:rsidRPr="00193D2D">
        <w:rPr>
          <w:lang w:val="en-GB"/>
        </w:rPr>
        <w:t>https://www.bcg.com/documents/file91905.pdf</w:t>
      </w:r>
      <w:r w:rsidR="00193D2D">
        <w:rPr>
          <w:lang w:val="en-GB"/>
        </w:rPr>
        <w:t>.</w:t>
      </w:r>
    </w:p>
    <w:p w14:paraId="14710412" w14:textId="77777777" w:rsidR="00DA52E3" w:rsidRPr="001769BF" w:rsidRDefault="00DA52E3" w:rsidP="001769BF">
      <w:pPr>
        <w:pStyle w:val="BodyTextMain"/>
        <w:rPr>
          <w:sz w:val="12"/>
          <w:szCs w:val="12"/>
        </w:rPr>
      </w:pPr>
    </w:p>
    <w:p w14:paraId="0DCFB239" w14:textId="77777777" w:rsidR="00334576" w:rsidRPr="001769BF" w:rsidRDefault="00334576" w:rsidP="001769BF">
      <w:pPr>
        <w:pStyle w:val="BodyTextMain"/>
        <w:rPr>
          <w:sz w:val="12"/>
          <w:szCs w:val="12"/>
        </w:rPr>
      </w:pPr>
    </w:p>
    <w:p w14:paraId="6A709F16" w14:textId="5C5EC89F" w:rsidR="00C52690" w:rsidRDefault="00DA52E3" w:rsidP="00653B09">
      <w:pPr>
        <w:pStyle w:val="Casehead1"/>
        <w:jc w:val="center"/>
        <w:rPr>
          <w:lang w:val="en-GB"/>
        </w:rPr>
      </w:pPr>
      <w:r w:rsidRPr="008D0AE1">
        <w:rPr>
          <w:lang w:val="en-GB"/>
        </w:rPr>
        <w:t xml:space="preserve">Exhibit 6: </w:t>
      </w:r>
      <w:r w:rsidR="003632D8" w:rsidRPr="008D0AE1">
        <w:rPr>
          <w:lang w:val="en-GB"/>
        </w:rPr>
        <w:t>Alibaba</w:t>
      </w:r>
      <w:r w:rsidR="003632D8">
        <w:rPr>
          <w:lang w:val="en-GB"/>
        </w:rPr>
        <w:t>—historical</w:t>
      </w:r>
      <w:r w:rsidR="003632D8" w:rsidRPr="008D0AE1">
        <w:rPr>
          <w:lang w:val="en-GB"/>
        </w:rPr>
        <w:t xml:space="preserve"> </w:t>
      </w:r>
      <w:r w:rsidR="00C52690" w:rsidRPr="008D0AE1">
        <w:rPr>
          <w:lang w:val="en-GB"/>
        </w:rPr>
        <w:t>timeline</w:t>
      </w:r>
    </w:p>
    <w:p w14:paraId="39610543" w14:textId="77777777" w:rsidR="00653B09" w:rsidRPr="001769BF" w:rsidRDefault="00653B09" w:rsidP="0040713E">
      <w:pPr>
        <w:pStyle w:val="BodyTextMain"/>
        <w:jc w:val="center"/>
        <w:rPr>
          <w:sz w:val="12"/>
          <w:szCs w:val="12"/>
          <w:lang w:val="en-GB"/>
        </w:rPr>
      </w:pPr>
    </w:p>
    <w:p w14:paraId="31ECFBCC" w14:textId="1AA1F12B" w:rsidR="00C52690" w:rsidRPr="008D0AE1" w:rsidRDefault="0069401A" w:rsidP="0040713E">
      <w:pPr>
        <w:pStyle w:val="BodyTextMain"/>
        <w:keepNext/>
        <w:keepLines/>
        <w:jc w:val="center"/>
        <w:rPr>
          <w:lang w:val="en-GB"/>
        </w:rPr>
      </w:pPr>
      <w:r>
        <w:rPr>
          <w:noProof/>
        </w:rPr>
        <w:drawing>
          <wp:inline distT="0" distB="0" distL="0" distR="0" wp14:anchorId="51ADC115" wp14:editId="071305E9">
            <wp:extent cx="5943600" cy="207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7720"/>
                    </a:xfrm>
                    <a:prstGeom prst="rect">
                      <a:avLst/>
                    </a:prstGeom>
                  </pic:spPr>
                </pic:pic>
              </a:graphicData>
            </a:graphic>
          </wp:inline>
        </w:drawing>
      </w:r>
    </w:p>
    <w:p w14:paraId="42DD607E" w14:textId="7FD6776F" w:rsidR="00D62894" w:rsidRPr="001769BF" w:rsidRDefault="00D62894" w:rsidP="000E53FF">
      <w:pPr>
        <w:pStyle w:val="FootnoteText1"/>
        <w:rPr>
          <w:sz w:val="12"/>
          <w:szCs w:val="12"/>
        </w:rPr>
      </w:pPr>
    </w:p>
    <w:p w14:paraId="61B0DB94" w14:textId="3C9E5ECE" w:rsidR="0069401A" w:rsidRPr="0069401A" w:rsidRDefault="0069401A" w:rsidP="0069401A">
      <w:pPr>
        <w:pStyle w:val="BodyText"/>
      </w:pPr>
      <w:r>
        <w:rPr>
          <w:noProof/>
        </w:rPr>
        <w:drawing>
          <wp:inline distT="0" distB="0" distL="0" distR="0" wp14:anchorId="22A7C7F9" wp14:editId="01B9CC36">
            <wp:extent cx="5943600" cy="2463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63165"/>
                    </a:xfrm>
                    <a:prstGeom prst="rect">
                      <a:avLst/>
                    </a:prstGeom>
                  </pic:spPr>
                </pic:pic>
              </a:graphicData>
            </a:graphic>
          </wp:inline>
        </w:drawing>
      </w:r>
    </w:p>
    <w:p w14:paraId="4E5AB535" w14:textId="4FDBD662" w:rsidR="00165215" w:rsidRDefault="00165215" w:rsidP="000E53FF">
      <w:pPr>
        <w:pStyle w:val="FootnoteText1"/>
      </w:pPr>
      <w:r>
        <w:t>Note: B2B = business to business; IPO = initial public offering; NYSE = New York Stock Exchange; O2O = online to offline</w:t>
      </w:r>
      <w:r w:rsidR="0069401A">
        <w:t>.</w:t>
      </w:r>
    </w:p>
    <w:p w14:paraId="70640DE2" w14:textId="05EAE828" w:rsidR="009F2501" w:rsidRPr="001769BF" w:rsidRDefault="00C52690" w:rsidP="001769BF">
      <w:pPr>
        <w:pStyle w:val="FootnoteText1"/>
      </w:pPr>
      <w:r w:rsidRPr="000E53FF">
        <w:t xml:space="preserve">Source: </w:t>
      </w:r>
      <w:proofErr w:type="spellStart"/>
      <w:r w:rsidR="007063BB" w:rsidRPr="000E53FF">
        <w:rPr>
          <w:rFonts w:eastAsia="Microsoft YaHei" w:hint="eastAsia"/>
        </w:rPr>
        <w:t>R</w:t>
      </w:r>
      <w:r w:rsidR="007063BB" w:rsidRPr="000E53FF">
        <w:rPr>
          <w:rFonts w:eastAsia="Microsoft YaHei"/>
        </w:rPr>
        <w:t>ongcong</w:t>
      </w:r>
      <w:proofErr w:type="spellEnd"/>
      <w:r w:rsidR="007063BB" w:rsidRPr="000E53FF">
        <w:rPr>
          <w:rFonts w:eastAsia="Microsoft YaHei"/>
        </w:rPr>
        <w:t xml:space="preserve"> Xu</w:t>
      </w:r>
      <w:r w:rsidR="007063BB" w:rsidRPr="000E53FF">
        <w:rPr>
          <w:rFonts w:eastAsia="Microsoft YaHei" w:hint="eastAsia"/>
        </w:rPr>
        <w:t>,</w:t>
      </w:r>
      <w:r w:rsidR="007063BB" w:rsidRPr="000E53FF">
        <w:rPr>
          <w:rFonts w:eastAsia="Microsoft YaHei"/>
        </w:rPr>
        <w:t xml:space="preserve"> “</w:t>
      </w:r>
      <w:r w:rsidR="000E53FF" w:rsidRPr="000E53FF">
        <w:t>Ali Chronicles: From B2B to the Ecosphere</w:t>
      </w:r>
      <w:r w:rsidR="0040713E">
        <w:t>,</w:t>
      </w:r>
      <w:r w:rsidR="000E53FF" w:rsidRPr="000E53FF">
        <w:t xml:space="preserve"> Innovation Leads Business Progress and Builds a Global Retail Ecosphere</w:t>
      </w:r>
      <w:r w:rsidR="007063BB" w:rsidRPr="000E53FF">
        <w:rPr>
          <w:rFonts w:eastAsia="Microsoft YaHei"/>
        </w:rPr>
        <w:t>”</w:t>
      </w:r>
      <w:r w:rsidR="00653B09">
        <w:rPr>
          <w:rFonts w:eastAsia="Microsoft YaHei"/>
        </w:rPr>
        <w:t xml:space="preserve"> [in Chinese], </w:t>
      </w:r>
      <w:r w:rsidRPr="000E53FF">
        <w:t>CMS Research on Alibaba</w:t>
      </w:r>
      <w:r w:rsidR="00ED4F0D">
        <w:t xml:space="preserve">, </w:t>
      </w:r>
      <w:r w:rsidR="00653B09">
        <w:t>Jun</w:t>
      </w:r>
      <w:r w:rsidRPr="000E53FF">
        <w:t>e 19, 2018</w:t>
      </w:r>
      <w:r w:rsidR="007063BB" w:rsidRPr="000E53FF">
        <w:t>, C</w:t>
      </w:r>
      <w:r w:rsidR="007063BB" w:rsidRPr="000E53FF">
        <w:rPr>
          <w:rFonts w:hint="eastAsia"/>
        </w:rPr>
        <w:t>hi</w:t>
      </w:r>
      <w:r w:rsidR="007063BB" w:rsidRPr="000E53FF">
        <w:t>na</w:t>
      </w:r>
      <w:r w:rsidR="003632D8" w:rsidRPr="000E53FF">
        <w:rPr>
          <w:rFonts w:hint="eastAsia"/>
        </w:rPr>
        <w:t>.</w:t>
      </w:r>
      <w:r w:rsidR="009F2501" w:rsidRPr="008D0AE1">
        <w:rPr>
          <w:lang w:val="en-GB"/>
        </w:rPr>
        <w:br w:type="page"/>
      </w:r>
    </w:p>
    <w:p w14:paraId="5695E031" w14:textId="585C5FFC" w:rsidR="00C52690" w:rsidRPr="008D0AE1" w:rsidRDefault="00C52690" w:rsidP="00653B09">
      <w:pPr>
        <w:pStyle w:val="Casehead1"/>
        <w:jc w:val="center"/>
        <w:rPr>
          <w:lang w:val="en-GB"/>
        </w:rPr>
      </w:pPr>
      <w:r w:rsidRPr="008D0AE1">
        <w:rPr>
          <w:lang w:val="en-GB"/>
        </w:rPr>
        <w:lastRenderedPageBreak/>
        <w:t>Exhibit 7</w:t>
      </w:r>
      <w:r w:rsidR="009F2501" w:rsidRPr="008D0AE1">
        <w:rPr>
          <w:lang w:val="en-GB"/>
        </w:rPr>
        <w:t xml:space="preserve">: </w:t>
      </w:r>
      <w:r w:rsidRPr="008D0AE1">
        <w:rPr>
          <w:lang w:val="en-GB"/>
        </w:rPr>
        <w:t>Alibaba</w:t>
      </w:r>
      <w:r w:rsidR="003632D8">
        <w:rPr>
          <w:lang w:val="en-GB"/>
        </w:rPr>
        <w:t>—</w:t>
      </w:r>
      <w:r w:rsidRPr="008D0AE1">
        <w:rPr>
          <w:lang w:val="en-GB"/>
        </w:rPr>
        <w:t>total revenue and net gross profit</w:t>
      </w:r>
      <w:r w:rsidR="003632D8">
        <w:rPr>
          <w:lang w:val="en-GB"/>
        </w:rPr>
        <w:t xml:space="preserve">, </w:t>
      </w:r>
      <w:r w:rsidRPr="008D0AE1">
        <w:rPr>
          <w:lang w:val="en-GB"/>
        </w:rPr>
        <w:t>2010</w:t>
      </w:r>
      <w:r w:rsidR="003632D8">
        <w:rPr>
          <w:lang w:val="en-GB"/>
        </w:rPr>
        <w:t>–</w:t>
      </w:r>
      <w:r w:rsidRPr="008D0AE1">
        <w:rPr>
          <w:lang w:val="en-GB"/>
        </w:rPr>
        <w:t>2017</w:t>
      </w:r>
    </w:p>
    <w:p w14:paraId="62B4630F" w14:textId="77777777" w:rsidR="009F2501" w:rsidRPr="008D0AE1" w:rsidRDefault="009F2501" w:rsidP="009F2501">
      <w:pPr>
        <w:pStyle w:val="BodyTextMain"/>
        <w:rPr>
          <w:lang w:val="en-GB"/>
        </w:rPr>
      </w:pPr>
    </w:p>
    <w:tbl>
      <w:tblPr>
        <w:tblW w:w="65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95"/>
        <w:gridCol w:w="1965"/>
        <w:gridCol w:w="1890"/>
      </w:tblGrid>
      <w:tr w:rsidR="00C52690" w:rsidRPr="00334576" w14:paraId="4BE822A2" w14:textId="77777777" w:rsidTr="00334576">
        <w:trPr>
          <w:trHeight w:val="20"/>
          <w:jc w:val="center"/>
        </w:trPr>
        <w:tc>
          <w:tcPr>
            <w:tcW w:w="960" w:type="dxa"/>
            <w:shd w:val="clear" w:color="auto" w:fill="auto"/>
            <w:tcMar>
              <w:top w:w="100" w:type="dxa"/>
              <w:left w:w="100" w:type="dxa"/>
              <w:bottom w:w="100" w:type="dxa"/>
              <w:right w:w="100" w:type="dxa"/>
            </w:tcMar>
          </w:tcPr>
          <w:p w14:paraId="4EC69D8E" w14:textId="77777777" w:rsidR="00C52690" w:rsidRPr="00334576" w:rsidRDefault="00C52690" w:rsidP="00334576">
            <w:pPr>
              <w:pStyle w:val="BodyTextMain"/>
              <w:jc w:val="center"/>
              <w:rPr>
                <w:rFonts w:ascii="Arial" w:hAnsi="Arial" w:cs="Arial"/>
                <w:b/>
                <w:sz w:val="20"/>
                <w:szCs w:val="20"/>
                <w:lang w:val="en-GB"/>
              </w:rPr>
            </w:pPr>
            <w:r w:rsidRPr="00334576">
              <w:rPr>
                <w:rFonts w:ascii="Arial" w:hAnsi="Arial" w:cs="Arial"/>
                <w:b/>
                <w:sz w:val="20"/>
                <w:szCs w:val="20"/>
                <w:lang w:val="en-GB"/>
              </w:rPr>
              <w:t>Year</w:t>
            </w:r>
          </w:p>
        </w:tc>
        <w:tc>
          <w:tcPr>
            <w:tcW w:w="1695" w:type="dxa"/>
            <w:shd w:val="clear" w:color="auto" w:fill="auto"/>
            <w:tcMar>
              <w:top w:w="100" w:type="dxa"/>
              <w:left w:w="100" w:type="dxa"/>
              <w:bottom w:w="100" w:type="dxa"/>
              <w:right w:w="100" w:type="dxa"/>
            </w:tcMar>
          </w:tcPr>
          <w:p w14:paraId="245ABF42" w14:textId="4C705363" w:rsidR="00C52690" w:rsidRPr="00334576" w:rsidRDefault="00C52690" w:rsidP="00334576">
            <w:pPr>
              <w:pStyle w:val="BodyTextMain"/>
              <w:jc w:val="center"/>
              <w:rPr>
                <w:rFonts w:ascii="Arial" w:hAnsi="Arial" w:cs="Arial"/>
                <w:b/>
                <w:sz w:val="20"/>
                <w:szCs w:val="20"/>
                <w:lang w:val="en-GB"/>
              </w:rPr>
            </w:pPr>
            <w:r w:rsidRPr="00334576">
              <w:rPr>
                <w:rFonts w:ascii="Arial" w:hAnsi="Arial" w:cs="Arial"/>
                <w:b/>
                <w:sz w:val="20"/>
                <w:szCs w:val="20"/>
                <w:lang w:val="en-GB"/>
              </w:rPr>
              <w:t>Revenue ($</w:t>
            </w:r>
            <w:r w:rsidR="003632D8" w:rsidRPr="00334576">
              <w:rPr>
                <w:rFonts w:ascii="Arial" w:hAnsi="Arial" w:cs="Arial"/>
                <w:b/>
                <w:sz w:val="20"/>
                <w:szCs w:val="20"/>
                <w:lang w:val="en-GB"/>
              </w:rPr>
              <w:t xml:space="preserve"> </w:t>
            </w:r>
            <w:r w:rsidRPr="00334576">
              <w:rPr>
                <w:rFonts w:ascii="Arial" w:hAnsi="Arial" w:cs="Arial"/>
                <w:b/>
                <w:sz w:val="20"/>
                <w:szCs w:val="20"/>
                <w:lang w:val="en-GB"/>
              </w:rPr>
              <w:t>M</w:t>
            </w:r>
            <w:r w:rsidR="003632D8" w:rsidRPr="00334576">
              <w:rPr>
                <w:rFonts w:ascii="Arial" w:hAnsi="Arial" w:cs="Arial"/>
                <w:b/>
                <w:sz w:val="20"/>
                <w:szCs w:val="20"/>
                <w:lang w:val="en-GB"/>
              </w:rPr>
              <w:t>illions</w:t>
            </w:r>
            <w:r w:rsidRPr="00334576">
              <w:rPr>
                <w:rFonts w:ascii="Arial" w:hAnsi="Arial" w:cs="Arial"/>
                <w:b/>
                <w:sz w:val="20"/>
                <w:szCs w:val="20"/>
                <w:lang w:val="en-GB"/>
              </w:rPr>
              <w:t>)</w:t>
            </w:r>
            <w:r w:rsidR="00334576">
              <w:rPr>
                <w:rFonts w:ascii="Arial" w:hAnsi="Arial" w:cs="Arial"/>
                <w:b/>
                <w:sz w:val="20"/>
                <w:szCs w:val="20"/>
                <w:lang w:val="en-GB"/>
              </w:rPr>
              <w:t xml:space="preserve"> </w:t>
            </w:r>
            <w:r w:rsidRPr="00334576">
              <w:rPr>
                <w:rFonts w:ascii="Arial" w:hAnsi="Arial" w:cs="Arial"/>
                <w:b/>
                <w:sz w:val="20"/>
                <w:szCs w:val="20"/>
                <w:lang w:val="en-GB"/>
              </w:rPr>
              <w:t>[a]</w:t>
            </w:r>
          </w:p>
        </w:tc>
        <w:tc>
          <w:tcPr>
            <w:tcW w:w="1965" w:type="dxa"/>
            <w:shd w:val="clear" w:color="auto" w:fill="auto"/>
            <w:tcMar>
              <w:top w:w="100" w:type="dxa"/>
              <w:left w:w="100" w:type="dxa"/>
              <w:bottom w:w="100" w:type="dxa"/>
              <w:right w:w="100" w:type="dxa"/>
            </w:tcMar>
          </w:tcPr>
          <w:p w14:paraId="596FF542" w14:textId="6CDDA354" w:rsidR="00C52690" w:rsidRPr="00334576" w:rsidRDefault="00C52690" w:rsidP="00334576">
            <w:pPr>
              <w:pStyle w:val="BodyTextMain"/>
              <w:jc w:val="center"/>
              <w:rPr>
                <w:rFonts w:ascii="Arial" w:hAnsi="Arial" w:cs="Arial"/>
                <w:b/>
                <w:sz w:val="20"/>
                <w:szCs w:val="20"/>
                <w:lang w:val="en-GB"/>
              </w:rPr>
            </w:pPr>
            <w:r w:rsidRPr="00334576">
              <w:rPr>
                <w:rFonts w:ascii="Arial" w:hAnsi="Arial" w:cs="Arial"/>
                <w:b/>
                <w:sz w:val="20"/>
                <w:szCs w:val="20"/>
                <w:lang w:val="en-GB"/>
              </w:rPr>
              <w:t>Net Change ($</w:t>
            </w:r>
            <w:r w:rsidR="003632D8" w:rsidRPr="00334576">
              <w:rPr>
                <w:rFonts w:ascii="Arial" w:hAnsi="Arial" w:cs="Arial"/>
                <w:b/>
                <w:sz w:val="20"/>
                <w:szCs w:val="20"/>
                <w:lang w:val="en-GB"/>
              </w:rPr>
              <w:t xml:space="preserve"> </w:t>
            </w:r>
            <w:r w:rsidRPr="00334576">
              <w:rPr>
                <w:rFonts w:ascii="Arial" w:hAnsi="Arial" w:cs="Arial"/>
                <w:b/>
                <w:sz w:val="20"/>
                <w:szCs w:val="20"/>
                <w:lang w:val="en-GB"/>
              </w:rPr>
              <w:t>M</w:t>
            </w:r>
            <w:r w:rsidR="003632D8" w:rsidRPr="00334576">
              <w:rPr>
                <w:rFonts w:ascii="Arial" w:hAnsi="Arial" w:cs="Arial"/>
                <w:b/>
                <w:sz w:val="20"/>
                <w:szCs w:val="20"/>
                <w:lang w:val="en-GB"/>
              </w:rPr>
              <w:t>illions</w:t>
            </w:r>
            <w:r w:rsidRPr="00334576">
              <w:rPr>
                <w:rFonts w:ascii="Arial" w:hAnsi="Arial" w:cs="Arial"/>
                <w:b/>
                <w:sz w:val="20"/>
                <w:szCs w:val="20"/>
                <w:lang w:val="en-GB"/>
              </w:rPr>
              <w:t>)</w:t>
            </w:r>
            <w:r w:rsidR="00334576">
              <w:rPr>
                <w:rFonts w:ascii="Arial" w:hAnsi="Arial" w:cs="Arial"/>
                <w:b/>
                <w:sz w:val="20"/>
                <w:szCs w:val="20"/>
                <w:lang w:val="en-GB"/>
              </w:rPr>
              <w:t xml:space="preserve"> </w:t>
            </w:r>
            <w:r w:rsidRPr="00334576">
              <w:rPr>
                <w:rFonts w:ascii="Arial" w:hAnsi="Arial" w:cs="Arial"/>
                <w:b/>
                <w:sz w:val="20"/>
                <w:szCs w:val="20"/>
                <w:lang w:val="en-GB"/>
              </w:rPr>
              <w:t>[b]</w:t>
            </w:r>
          </w:p>
        </w:tc>
        <w:tc>
          <w:tcPr>
            <w:tcW w:w="1890" w:type="dxa"/>
            <w:shd w:val="clear" w:color="auto" w:fill="auto"/>
            <w:tcMar>
              <w:top w:w="100" w:type="dxa"/>
              <w:left w:w="100" w:type="dxa"/>
              <w:bottom w:w="100" w:type="dxa"/>
              <w:right w:w="100" w:type="dxa"/>
            </w:tcMar>
          </w:tcPr>
          <w:p w14:paraId="3720C7F5" w14:textId="77777777" w:rsidR="00C52690" w:rsidRPr="00334576" w:rsidRDefault="00C52690" w:rsidP="00334576">
            <w:pPr>
              <w:pStyle w:val="BodyTextMain"/>
              <w:jc w:val="center"/>
              <w:rPr>
                <w:rFonts w:ascii="Arial" w:hAnsi="Arial" w:cs="Arial"/>
                <w:b/>
                <w:sz w:val="20"/>
                <w:szCs w:val="20"/>
                <w:lang w:val="en-GB"/>
              </w:rPr>
            </w:pPr>
            <w:r w:rsidRPr="00334576">
              <w:rPr>
                <w:rFonts w:ascii="Arial" w:hAnsi="Arial" w:cs="Arial"/>
                <w:b/>
                <w:sz w:val="20"/>
                <w:szCs w:val="20"/>
                <w:lang w:val="en-GB"/>
              </w:rPr>
              <w:t>Growth rate (%)</w:t>
            </w:r>
          </w:p>
          <w:p w14:paraId="7FA3D9D1" w14:textId="77777777" w:rsidR="00C52690" w:rsidRPr="00334576" w:rsidRDefault="00C52690" w:rsidP="00334576">
            <w:pPr>
              <w:pStyle w:val="BodyTextMain"/>
              <w:jc w:val="center"/>
              <w:rPr>
                <w:rFonts w:ascii="Arial" w:hAnsi="Arial" w:cs="Arial"/>
                <w:b/>
                <w:sz w:val="20"/>
                <w:szCs w:val="20"/>
                <w:lang w:val="en-GB"/>
              </w:rPr>
            </w:pPr>
            <w:r w:rsidRPr="00334576">
              <w:rPr>
                <w:rFonts w:ascii="Arial" w:hAnsi="Arial" w:cs="Arial"/>
                <w:b/>
                <w:sz w:val="20"/>
                <w:szCs w:val="20"/>
                <w:lang w:val="en-GB"/>
              </w:rPr>
              <w:t>[b]/[a]</w:t>
            </w:r>
          </w:p>
        </w:tc>
      </w:tr>
      <w:tr w:rsidR="00C52690" w:rsidRPr="00334576" w14:paraId="281B938A" w14:textId="77777777" w:rsidTr="00334576">
        <w:trPr>
          <w:trHeight w:val="20"/>
          <w:jc w:val="center"/>
        </w:trPr>
        <w:tc>
          <w:tcPr>
            <w:tcW w:w="960" w:type="dxa"/>
            <w:shd w:val="clear" w:color="auto" w:fill="auto"/>
            <w:tcMar>
              <w:top w:w="100" w:type="dxa"/>
              <w:left w:w="100" w:type="dxa"/>
              <w:bottom w:w="100" w:type="dxa"/>
              <w:right w:w="100" w:type="dxa"/>
            </w:tcMar>
          </w:tcPr>
          <w:p w14:paraId="2385767F" w14:textId="77777777" w:rsidR="00C52690" w:rsidRPr="00334576" w:rsidRDefault="00C52690" w:rsidP="00334576">
            <w:pPr>
              <w:pStyle w:val="BodyTextMain"/>
              <w:jc w:val="center"/>
              <w:rPr>
                <w:rFonts w:ascii="Arial" w:hAnsi="Arial" w:cs="Arial"/>
                <w:sz w:val="20"/>
                <w:szCs w:val="20"/>
                <w:lang w:val="en-GB"/>
              </w:rPr>
            </w:pPr>
            <w:r w:rsidRPr="00334576">
              <w:rPr>
                <w:rFonts w:ascii="Arial" w:hAnsi="Arial" w:cs="Arial"/>
                <w:sz w:val="20"/>
                <w:szCs w:val="20"/>
                <w:lang w:val="en-GB"/>
              </w:rPr>
              <w:t>2010</w:t>
            </w:r>
          </w:p>
        </w:tc>
        <w:tc>
          <w:tcPr>
            <w:tcW w:w="1695" w:type="dxa"/>
            <w:shd w:val="clear" w:color="auto" w:fill="auto"/>
            <w:tcMar>
              <w:top w:w="100" w:type="dxa"/>
              <w:left w:w="100" w:type="dxa"/>
              <w:bottom w:w="100" w:type="dxa"/>
              <w:right w:w="100" w:type="dxa"/>
            </w:tcMar>
          </w:tcPr>
          <w:p w14:paraId="521FB137"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6.67</w:t>
            </w:r>
          </w:p>
        </w:tc>
        <w:tc>
          <w:tcPr>
            <w:tcW w:w="1965" w:type="dxa"/>
            <w:shd w:val="clear" w:color="auto" w:fill="auto"/>
            <w:tcMar>
              <w:top w:w="100" w:type="dxa"/>
              <w:left w:w="100" w:type="dxa"/>
              <w:bottom w:w="100" w:type="dxa"/>
              <w:right w:w="100" w:type="dxa"/>
            </w:tcMar>
          </w:tcPr>
          <w:p w14:paraId="24DE64F9"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w:t>
            </w:r>
          </w:p>
        </w:tc>
        <w:tc>
          <w:tcPr>
            <w:tcW w:w="1890" w:type="dxa"/>
            <w:shd w:val="clear" w:color="auto" w:fill="auto"/>
            <w:tcMar>
              <w:top w:w="100" w:type="dxa"/>
              <w:left w:w="100" w:type="dxa"/>
              <w:bottom w:w="100" w:type="dxa"/>
              <w:right w:w="100" w:type="dxa"/>
            </w:tcMar>
          </w:tcPr>
          <w:p w14:paraId="02D45DB5"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w:t>
            </w:r>
          </w:p>
        </w:tc>
      </w:tr>
      <w:tr w:rsidR="00C52690" w:rsidRPr="00334576" w14:paraId="16F1A89A" w14:textId="77777777" w:rsidTr="00334576">
        <w:trPr>
          <w:trHeight w:val="20"/>
          <w:jc w:val="center"/>
        </w:trPr>
        <w:tc>
          <w:tcPr>
            <w:tcW w:w="960" w:type="dxa"/>
            <w:shd w:val="clear" w:color="auto" w:fill="auto"/>
            <w:tcMar>
              <w:top w:w="100" w:type="dxa"/>
              <w:left w:w="100" w:type="dxa"/>
              <w:bottom w:w="100" w:type="dxa"/>
              <w:right w:w="100" w:type="dxa"/>
            </w:tcMar>
          </w:tcPr>
          <w:p w14:paraId="44F7E41C" w14:textId="77777777" w:rsidR="00C52690" w:rsidRPr="00334576" w:rsidRDefault="00C52690" w:rsidP="00334576">
            <w:pPr>
              <w:pStyle w:val="BodyTextMain"/>
              <w:jc w:val="center"/>
              <w:rPr>
                <w:rFonts w:ascii="Arial" w:hAnsi="Arial" w:cs="Arial"/>
                <w:sz w:val="20"/>
                <w:szCs w:val="20"/>
                <w:lang w:val="en-GB"/>
              </w:rPr>
            </w:pPr>
            <w:r w:rsidRPr="00334576">
              <w:rPr>
                <w:rFonts w:ascii="Arial" w:hAnsi="Arial" w:cs="Arial"/>
                <w:sz w:val="20"/>
                <w:szCs w:val="20"/>
                <w:lang w:val="en-GB"/>
              </w:rPr>
              <w:t>2011</w:t>
            </w:r>
          </w:p>
        </w:tc>
        <w:tc>
          <w:tcPr>
            <w:tcW w:w="1695" w:type="dxa"/>
            <w:shd w:val="clear" w:color="auto" w:fill="auto"/>
            <w:tcMar>
              <w:top w:w="100" w:type="dxa"/>
              <w:left w:w="100" w:type="dxa"/>
              <w:bottom w:w="100" w:type="dxa"/>
              <w:right w:w="100" w:type="dxa"/>
            </w:tcMar>
          </w:tcPr>
          <w:p w14:paraId="74F6E1E2"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11.903</w:t>
            </w:r>
          </w:p>
        </w:tc>
        <w:tc>
          <w:tcPr>
            <w:tcW w:w="1965" w:type="dxa"/>
            <w:shd w:val="clear" w:color="auto" w:fill="auto"/>
            <w:tcMar>
              <w:top w:w="100" w:type="dxa"/>
              <w:left w:w="100" w:type="dxa"/>
              <w:bottom w:w="100" w:type="dxa"/>
              <w:right w:w="100" w:type="dxa"/>
            </w:tcMar>
          </w:tcPr>
          <w:p w14:paraId="3E448187"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5.233</w:t>
            </w:r>
          </w:p>
        </w:tc>
        <w:tc>
          <w:tcPr>
            <w:tcW w:w="1890" w:type="dxa"/>
            <w:shd w:val="clear" w:color="auto" w:fill="auto"/>
            <w:tcMar>
              <w:top w:w="100" w:type="dxa"/>
              <w:left w:w="100" w:type="dxa"/>
              <w:bottom w:w="100" w:type="dxa"/>
              <w:right w:w="100" w:type="dxa"/>
            </w:tcMar>
          </w:tcPr>
          <w:p w14:paraId="6529FD92" w14:textId="2FBB91D3"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78.5</w:t>
            </w:r>
          </w:p>
        </w:tc>
      </w:tr>
      <w:tr w:rsidR="00C52690" w:rsidRPr="00334576" w14:paraId="64825F8F" w14:textId="77777777" w:rsidTr="00334576">
        <w:trPr>
          <w:trHeight w:val="20"/>
          <w:jc w:val="center"/>
        </w:trPr>
        <w:tc>
          <w:tcPr>
            <w:tcW w:w="960" w:type="dxa"/>
            <w:shd w:val="clear" w:color="auto" w:fill="auto"/>
            <w:tcMar>
              <w:top w:w="100" w:type="dxa"/>
              <w:left w:w="100" w:type="dxa"/>
              <w:bottom w:w="100" w:type="dxa"/>
              <w:right w:w="100" w:type="dxa"/>
            </w:tcMar>
          </w:tcPr>
          <w:p w14:paraId="4FDDD843" w14:textId="77777777" w:rsidR="00C52690" w:rsidRPr="00334576" w:rsidRDefault="00C52690" w:rsidP="00334576">
            <w:pPr>
              <w:pStyle w:val="BodyTextMain"/>
              <w:jc w:val="center"/>
              <w:rPr>
                <w:rFonts w:ascii="Arial" w:hAnsi="Arial" w:cs="Arial"/>
                <w:sz w:val="20"/>
                <w:szCs w:val="20"/>
                <w:lang w:val="en-GB"/>
              </w:rPr>
            </w:pPr>
            <w:r w:rsidRPr="00334576">
              <w:rPr>
                <w:rFonts w:ascii="Arial" w:hAnsi="Arial" w:cs="Arial"/>
                <w:sz w:val="20"/>
                <w:szCs w:val="20"/>
                <w:lang w:val="en-GB"/>
              </w:rPr>
              <w:t>2012</w:t>
            </w:r>
          </w:p>
        </w:tc>
        <w:tc>
          <w:tcPr>
            <w:tcW w:w="1695" w:type="dxa"/>
            <w:shd w:val="clear" w:color="auto" w:fill="auto"/>
            <w:tcMar>
              <w:top w:w="100" w:type="dxa"/>
              <w:left w:w="100" w:type="dxa"/>
              <w:bottom w:w="100" w:type="dxa"/>
              <w:right w:w="100" w:type="dxa"/>
            </w:tcMar>
          </w:tcPr>
          <w:p w14:paraId="0CBE64A6"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20.025</w:t>
            </w:r>
          </w:p>
        </w:tc>
        <w:tc>
          <w:tcPr>
            <w:tcW w:w="1965" w:type="dxa"/>
            <w:shd w:val="clear" w:color="auto" w:fill="auto"/>
            <w:tcMar>
              <w:top w:w="100" w:type="dxa"/>
              <w:left w:w="100" w:type="dxa"/>
              <w:bottom w:w="100" w:type="dxa"/>
              <w:right w:w="100" w:type="dxa"/>
            </w:tcMar>
          </w:tcPr>
          <w:p w14:paraId="7F27F3C4"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8.122</w:t>
            </w:r>
          </w:p>
        </w:tc>
        <w:tc>
          <w:tcPr>
            <w:tcW w:w="1890" w:type="dxa"/>
            <w:shd w:val="clear" w:color="auto" w:fill="auto"/>
            <w:tcMar>
              <w:top w:w="100" w:type="dxa"/>
              <w:left w:w="100" w:type="dxa"/>
              <w:bottom w:w="100" w:type="dxa"/>
              <w:right w:w="100" w:type="dxa"/>
            </w:tcMar>
          </w:tcPr>
          <w:p w14:paraId="3ABFA0A3" w14:textId="7847E071"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68.2</w:t>
            </w:r>
          </w:p>
        </w:tc>
      </w:tr>
      <w:tr w:rsidR="00C52690" w:rsidRPr="00334576" w14:paraId="6D9BEC36" w14:textId="77777777" w:rsidTr="00334576">
        <w:trPr>
          <w:trHeight w:val="20"/>
          <w:jc w:val="center"/>
        </w:trPr>
        <w:tc>
          <w:tcPr>
            <w:tcW w:w="960" w:type="dxa"/>
            <w:shd w:val="clear" w:color="auto" w:fill="auto"/>
            <w:tcMar>
              <w:top w:w="100" w:type="dxa"/>
              <w:left w:w="100" w:type="dxa"/>
              <w:bottom w:w="100" w:type="dxa"/>
              <w:right w:w="100" w:type="dxa"/>
            </w:tcMar>
          </w:tcPr>
          <w:p w14:paraId="7898E2B0" w14:textId="77777777" w:rsidR="00C52690" w:rsidRPr="00334576" w:rsidRDefault="00C52690" w:rsidP="00334576">
            <w:pPr>
              <w:pStyle w:val="BodyTextMain"/>
              <w:jc w:val="center"/>
              <w:rPr>
                <w:rFonts w:ascii="Arial" w:hAnsi="Arial" w:cs="Arial"/>
                <w:sz w:val="20"/>
                <w:szCs w:val="20"/>
                <w:lang w:val="en-GB"/>
              </w:rPr>
            </w:pPr>
            <w:r w:rsidRPr="00334576">
              <w:rPr>
                <w:rFonts w:ascii="Arial" w:hAnsi="Arial" w:cs="Arial"/>
                <w:sz w:val="20"/>
                <w:szCs w:val="20"/>
                <w:lang w:val="en-GB"/>
              </w:rPr>
              <w:t>2013</w:t>
            </w:r>
          </w:p>
        </w:tc>
        <w:tc>
          <w:tcPr>
            <w:tcW w:w="1695" w:type="dxa"/>
            <w:shd w:val="clear" w:color="auto" w:fill="auto"/>
            <w:tcMar>
              <w:top w:w="100" w:type="dxa"/>
              <w:left w:w="100" w:type="dxa"/>
              <w:bottom w:w="100" w:type="dxa"/>
              <w:right w:w="100" w:type="dxa"/>
            </w:tcMar>
          </w:tcPr>
          <w:p w14:paraId="1C3D6FCD"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34.517</w:t>
            </w:r>
          </w:p>
        </w:tc>
        <w:tc>
          <w:tcPr>
            <w:tcW w:w="1965" w:type="dxa"/>
            <w:shd w:val="clear" w:color="auto" w:fill="auto"/>
            <w:tcMar>
              <w:top w:w="100" w:type="dxa"/>
              <w:left w:w="100" w:type="dxa"/>
              <w:bottom w:w="100" w:type="dxa"/>
              <w:right w:w="100" w:type="dxa"/>
            </w:tcMar>
          </w:tcPr>
          <w:p w14:paraId="7BF6DAAB"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14.492</w:t>
            </w:r>
          </w:p>
        </w:tc>
        <w:tc>
          <w:tcPr>
            <w:tcW w:w="1890" w:type="dxa"/>
            <w:shd w:val="clear" w:color="auto" w:fill="auto"/>
            <w:tcMar>
              <w:top w:w="100" w:type="dxa"/>
              <w:left w:w="100" w:type="dxa"/>
              <w:bottom w:w="100" w:type="dxa"/>
              <w:right w:w="100" w:type="dxa"/>
            </w:tcMar>
          </w:tcPr>
          <w:p w14:paraId="482FD219" w14:textId="19FC797F"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72.4</w:t>
            </w:r>
          </w:p>
        </w:tc>
      </w:tr>
      <w:tr w:rsidR="00C52690" w:rsidRPr="00334576" w14:paraId="11DB625F" w14:textId="77777777" w:rsidTr="00334576">
        <w:trPr>
          <w:trHeight w:val="20"/>
          <w:jc w:val="center"/>
        </w:trPr>
        <w:tc>
          <w:tcPr>
            <w:tcW w:w="960" w:type="dxa"/>
            <w:shd w:val="clear" w:color="auto" w:fill="auto"/>
            <w:tcMar>
              <w:top w:w="100" w:type="dxa"/>
              <w:left w:w="100" w:type="dxa"/>
              <w:bottom w:w="100" w:type="dxa"/>
              <w:right w:w="100" w:type="dxa"/>
            </w:tcMar>
          </w:tcPr>
          <w:p w14:paraId="11C1B95F" w14:textId="77777777" w:rsidR="00C52690" w:rsidRPr="00334576" w:rsidRDefault="00C52690" w:rsidP="00334576">
            <w:pPr>
              <w:pStyle w:val="BodyTextMain"/>
              <w:jc w:val="center"/>
              <w:rPr>
                <w:rFonts w:ascii="Arial" w:hAnsi="Arial" w:cs="Arial"/>
                <w:sz w:val="20"/>
                <w:szCs w:val="20"/>
                <w:lang w:val="en-GB"/>
              </w:rPr>
            </w:pPr>
            <w:r w:rsidRPr="00334576">
              <w:rPr>
                <w:rFonts w:ascii="Arial" w:hAnsi="Arial" w:cs="Arial"/>
                <w:sz w:val="20"/>
                <w:szCs w:val="20"/>
                <w:lang w:val="en-GB"/>
              </w:rPr>
              <w:t>2014</w:t>
            </w:r>
          </w:p>
        </w:tc>
        <w:tc>
          <w:tcPr>
            <w:tcW w:w="1695" w:type="dxa"/>
            <w:shd w:val="clear" w:color="auto" w:fill="auto"/>
            <w:tcMar>
              <w:top w:w="100" w:type="dxa"/>
              <w:left w:w="100" w:type="dxa"/>
              <w:bottom w:w="100" w:type="dxa"/>
              <w:right w:w="100" w:type="dxa"/>
            </w:tcMar>
          </w:tcPr>
          <w:p w14:paraId="4FF13EC3"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52.504</w:t>
            </w:r>
          </w:p>
        </w:tc>
        <w:tc>
          <w:tcPr>
            <w:tcW w:w="1965" w:type="dxa"/>
            <w:shd w:val="clear" w:color="auto" w:fill="auto"/>
            <w:tcMar>
              <w:top w:w="100" w:type="dxa"/>
              <w:left w:w="100" w:type="dxa"/>
              <w:bottom w:w="100" w:type="dxa"/>
              <w:right w:w="100" w:type="dxa"/>
            </w:tcMar>
          </w:tcPr>
          <w:p w14:paraId="7501A317"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16.987</w:t>
            </w:r>
          </w:p>
        </w:tc>
        <w:tc>
          <w:tcPr>
            <w:tcW w:w="1890" w:type="dxa"/>
            <w:shd w:val="clear" w:color="auto" w:fill="auto"/>
            <w:tcMar>
              <w:top w:w="100" w:type="dxa"/>
              <w:left w:w="100" w:type="dxa"/>
              <w:bottom w:w="100" w:type="dxa"/>
              <w:right w:w="100" w:type="dxa"/>
            </w:tcMar>
          </w:tcPr>
          <w:p w14:paraId="5ADAAAE8" w14:textId="67F4CBF5"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49.2</w:t>
            </w:r>
          </w:p>
        </w:tc>
      </w:tr>
      <w:tr w:rsidR="00C52690" w:rsidRPr="00334576" w14:paraId="30188CE6" w14:textId="77777777" w:rsidTr="00334576">
        <w:trPr>
          <w:trHeight w:val="20"/>
          <w:jc w:val="center"/>
        </w:trPr>
        <w:tc>
          <w:tcPr>
            <w:tcW w:w="960" w:type="dxa"/>
            <w:shd w:val="clear" w:color="auto" w:fill="auto"/>
            <w:tcMar>
              <w:top w:w="100" w:type="dxa"/>
              <w:left w:w="100" w:type="dxa"/>
              <w:bottom w:w="100" w:type="dxa"/>
              <w:right w:w="100" w:type="dxa"/>
            </w:tcMar>
          </w:tcPr>
          <w:p w14:paraId="2859930E" w14:textId="77777777" w:rsidR="00C52690" w:rsidRPr="00334576" w:rsidRDefault="00C52690" w:rsidP="00334576">
            <w:pPr>
              <w:pStyle w:val="BodyTextMain"/>
              <w:jc w:val="center"/>
              <w:rPr>
                <w:rFonts w:ascii="Arial" w:hAnsi="Arial" w:cs="Arial"/>
                <w:sz w:val="20"/>
                <w:szCs w:val="20"/>
                <w:lang w:val="en-GB"/>
              </w:rPr>
            </w:pPr>
            <w:r w:rsidRPr="00334576">
              <w:rPr>
                <w:rFonts w:ascii="Arial" w:hAnsi="Arial" w:cs="Arial"/>
                <w:sz w:val="20"/>
                <w:szCs w:val="20"/>
                <w:lang w:val="en-GB"/>
              </w:rPr>
              <w:t>2015</w:t>
            </w:r>
          </w:p>
        </w:tc>
        <w:tc>
          <w:tcPr>
            <w:tcW w:w="1695" w:type="dxa"/>
            <w:shd w:val="clear" w:color="auto" w:fill="auto"/>
            <w:tcMar>
              <w:top w:w="100" w:type="dxa"/>
              <w:left w:w="100" w:type="dxa"/>
              <w:bottom w:w="100" w:type="dxa"/>
              <w:right w:w="100" w:type="dxa"/>
            </w:tcMar>
          </w:tcPr>
          <w:p w14:paraId="0F6B50F0"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76.204</w:t>
            </w:r>
          </w:p>
        </w:tc>
        <w:tc>
          <w:tcPr>
            <w:tcW w:w="1965" w:type="dxa"/>
            <w:shd w:val="clear" w:color="auto" w:fill="auto"/>
            <w:tcMar>
              <w:top w:w="100" w:type="dxa"/>
              <w:left w:w="100" w:type="dxa"/>
              <w:bottom w:w="100" w:type="dxa"/>
              <w:right w:w="100" w:type="dxa"/>
            </w:tcMar>
          </w:tcPr>
          <w:p w14:paraId="230CBA4A"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23.700</w:t>
            </w:r>
          </w:p>
        </w:tc>
        <w:tc>
          <w:tcPr>
            <w:tcW w:w="1890" w:type="dxa"/>
            <w:shd w:val="clear" w:color="auto" w:fill="auto"/>
            <w:tcMar>
              <w:top w:w="100" w:type="dxa"/>
              <w:left w:w="100" w:type="dxa"/>
              <w:bottom w:w="100" w:type="dxa"/>
              <w:right w:w="100" w:type="dxa"/>
            </w:tcMar>
          </w:tcPr>
          <w:p w14:paraId="3A537E14" w14:textId="63ABA088"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45.1</w:t>
            </w:r>
          </w:p>
        </w:tc>
      </w:tr>
      <w:tr w:rsidR="00C52690" w:rsidRPr="00334576" w14:paraId="3F4792BC" w14:textId="77777777" w:rsidTr="00334576">
        <w:trPr>
          <w:trHeight w:val="20"/>
          <w:jc w:val="center"/>
        </w:trPr>
        <w:tc>
          <w:tcPr>
            <w:tcW w:w="960" w:type="dxa"/>
            <w:shd w:val="clear" w:color="auto" w:fill="auto"/>
            <w:tcMar>
              <w:top w:w="100" w:type="dxa"/>
              <w:left w:w="100" w:type="dxa"/>
              <w:bottom w:w="100" w:type="dxa"/>
              <w:right w:w="100" w:type="dxa"/>
            </w:tcMar>
          </w:tcPr>
          <w:p w14:paraId="38E21FE8" w14:textId="77777777" w:rsidR="00C52690" w:rsidRPr="00334576" w:rsidRDefault="00C52690" w:rsidP="00334576">
            <w:pPr>
              <w:pStyle w:val="BodyTextMain"/>
              <w:jc w:val="center"/>
              <w:rPr>
                <w:rFonts w:ascii="Arial" w:hAnsi="Arial" w:cs="Arial"/>
                <w:sz w:val="20"/>
                <w:szCs w:val="20"/>
                <w:lang w:val="en-GB"/>
              </w:rPr>
            </w:pPr>
            <w:r w:rsidRPr="00334576">
              <w:rPr>
                <w:rFonts w:ascii="Arial" w:hAnsi="Arial" w:cs="Arial"/>
                <w:sz w:val="20"/>
                <w:szCs w:val="20"/>
                <w:lang w:val="en-GB"/>
              </w:rPr>
              <w:t>2016</w:t>
            </w:r>
          </w:p>
        </w:tc>
        <w:tc>
          <w:tcPr>
            <w:tcW w:w="1695" w:type="dxa"/>
            <w:shd w:val="clear" w:color="auto" w:fill="auto"/>
            <w:tcMar>
              <w:top w:w="100" w:type="dxa"/>
              <w:left w:w="100" w:type="dxa"/>
              <w:bottom w:w="100" w:type="dxa"/>
              <w:right w:w="100" w:type="dxa"/>
            </w:tcMar>
          </w:tcPr>
          <w:p w14:paraId="55EEE4A4"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101.143</w:t>
            </w:r>
          </w:p>
        </w:tc>
        <w:tc>
          <w:tcPr>
            <w:tcW w:w="1965" w:type="dxa"/>
            <w:shd w:val="clear" w:color="auto" w:fill="auto"/>
            <w:tcMar>
              <w:top w:w="100" w:type="dxa"/>
              <w:left w:w="100" w:type="dxa"/>
              <w:bottom w:w="100" w:type="dxa"/>
              <w:right w:w="100" w:type="dxa"/>
            </w:tcMar>
          </w:tcPr>
          <w:p w14:paraId="48C64DDB"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24.939</w:t>
            </w:r>
          </w:p>
        </w:tc>
        <w:tc>
          <w:tcPr>
            <w:tcW w:w="1890" w:type="dxa"/>
            <w:shd w:val="clear" w:color="auto" w:fill="auto"/>
            <w:tcMar>
              <w:top w:w="100" w:type="dxa"/>
              <w:left w:w="100" w:type="dxa"/>
              <w:bottom w:w="100" w:type="dxa"/>
              <w:right w:w="100" w:type="dxa"/>
            </w:tcMar>
          </w:tcPr>
          <w:p w14:paraId="7AA5A212" w14:textId="2C1D69F4"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32.7</w:t>
            </w:r>
          </w:p>
        </w:tc>
      </w:tr>
      <w:tr w:rsidR="00C52690" w:rsidRPr="00334576" w14:paraId="0BAE88CA" w14:textId="77777777" w:rsidTr="00334576">
        <w:trPr>
          <w:trHeight w:val="20"/>
          <w:jc w:val="center"/>
        </w:trPr>
        <w:tc>
          <w:tcPr>
            <w:tcW w:w="960" w:type="dxa"/>
            <w:shd w:val="clear" w:color="auto" w:fill="auto"/>
            <w:tcMar>
              <w:top w:w="100" w:type="dxa"/>
              <w:left w:w="100" w:type="dxa"/>
              <w:bottom w:w="100" w:type="dxa"/>
              <w:right w:w="100" w:type="dxa"/>
            </w:tcMar>
          </w:tcPr>
          <w:p w14:paraId="37D51C6D" w14:textId="77777777" w:rsidR="00C52690" w:rsidRPr="00334576" w:rsidRDefault="00C52690" w:rsidP="00334576">
            <w:pPr>
              <w:pStyle w:val="BodyTextMain"/>
              <w:jc w:val="center"/>
              <w:rPr>
                <w:rFonts w:ascii="Arial" w:hAnsi="Arial" w:cs="Arial"/>
                <w:sz w:val="20"/>
                <w:szCs w:val="20"/>
                <w:lang w:val="en-GB"/>
              </w:rPr>
            </w:pPr>
            <w:r w:rsidRPr="00334576">
              <w:rPr>
                <w:rFonts w:ascii="Arial" w:hAnsi="Arial" w:cs="Arial"/>
                <w:sz w:val="20"/>
                <w:szCs w:val="20"/>
                <w:lang w:val="en-GB"/>
              </w:rPr>
              <w:t>2017</w:t>
            </w:r>
          </w:p>
        </w:tc>
        <w:tc>
          <w:tcPr>
            <w:tcW w:w="1695" w:type="dxa"/>
            <w:shd w:val="clear" w:color="auto" w:fill="auto"/>
            <w:tcMar>
              <w:top w:w="100" w:type="dxa"/>
              <w:left w:w="100" w:type="dxa"/>
              <w:bottom w:w="100" w:type="dxa"/>
              <w:right w:w="100" w:type="dxa"/>
            </w:tcMar>
          </w:tcPr>
          <w:p w14:paraId="05B04B2E"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158.273</w:t>
            </w:r>
          </w:p>
        </w:tc>
        <w:tc>
          <w:tcPr>
            <w:tcW w:w="1965" w:type="dxa"/>
            <w:shd w:val="clear" w:color="auto" w:fill="auto"/>
            <w:tcMar>
              <w:top w:w="100" w:type="dxa"/>
              <w:left w:w="100" w:type="dxa"/>
              <w:bottom w:w="100" w:type="dxa"/>
              <w:right w:w="100" w:type="dxa"/>
            </w:tcMar>
          </w:tcPr>
          <w:p w14:paraId="5740E56C" w14:textId="77777777"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57.130</w:t>
            </w:r>
          </w:p>
        </w:tc>
        <w:tc>
          <w:tcPr>
            <w:tcW w:w="1890" w:type="dxa"/>
            <w:shd w:val="clear" w:color="auto" w:fill="auto"/>
            <w:tcMar>
              <w:top w:w="100" w:type="dxa"/>
              <w:left w:w="100" w:type="dxa"/>
              <w:bottom w:w="100" w:type="dxa"/>
              <w:right w:w="100" w:type="dxa"/>
            </w:tcMar>
          </w:tcPr>
          <w:p w14:paraId="6FAE4589" w14:textId="5FD0049F" w:rsidR="00C52690" w:rsidRPr="00334576" w:rsidRDefault="00C52690" w:rsidP="00334576">
            <w:pPr>
              <w:pStyle w:val="BodyTextMain"/>
              <w:jc w:val="right"/>
              <w:rPr>
                <w:rFonts w:ascii="Arial" w:hAnsi="Arial" w:cs="Arial"/>
                <w:sz w:val="20"/>
                <w:szCs w:val="20"/>
                <w:lang w:val="en-GB"/>
              </w:rPr>
            </w:pPr>
            <w:r w:rsidRPr="00334576">
              <w:rPr>
                <w:rFonts w:ascii="Arial" w:hAnsi="Arial" w:cs="Arial"/>
                <w:sz w:val="20"/>
                <w:szCs w:val="20"/>
                <w:lang w:val="en-GB"/>
              </w:rPr>
              <w:t>56.5</w:t>
            </w:r>
          </w:p>
        </w:tc>
      </w:tr>
    </w:tbl>
    <w:p w14:paraId="41CBA0B5" w14:textId="77777777" w:rsidR="00D62894" w:rsidRPr="008D0AE1" w:rsidRDefault="00D62894" w:rsidP="00653B09">
      <w:pPr>
        <w:pStyle w:val="FootnoteText1"/>
        <w:rPr>
          <w:lang w:val="en-GB"/>
        </w:rPr>
      </w:pPr>
    </w:p>
    <w:p w14:paraId="41C27623" w14:textId="4B1CD1FE" w:rsidR="00C52690" w:rsidRPr="000F415B" w:rsidRDefault="00C52690" w:rsidP="00653B09">
      <w:pPr>
        <w:pStyle w:val="FootnoteText1"/>
      </w:pPr>
      <w:r w:rsidRPr="000F415B">
        <w:t xml:space="preserve">Source: </w:t>
      </w:r>
      <w:bookmarkStart w:id="1" w:name="_Hlk22026853"/>
      <w:proofErr w:type="spellStart"/>
      <w:r w:rsidR="002D7967" w:rsidRPr="000F415B">
        <w:rPr>
          <w:rFonts w:eastAsia="Microsoft YaHei" w:hint="eastAsia"/>
        </w:rPr>
        <w:t>R</w:t>
      </w:r>
      <w:r w:rsidR="002D7967" w:rsidRPr="000F415B">
        <w:rPr>
          <w:rFonts w:eastAsia="Microsoft YaHei"/>
        </w:rPr>
        <w:t>ongcong</w:t>
      </w:r>
      <w:proofErr w:type="spellEnd"/>
      <w:r w:rsidR="002D7967" w:rsidRPr="000F415B">
        <w:rPr>
          <w:rFonts w:eastAsia="Microsoft YaHei"/>
        </w:rPr>
        <w:t xml:space="preserve"> Xu</w:t>
      </w:r>
      <w:r w:rsidR="002D7967" w:rsidRPr="000F415B">
        <w:rPr>
          <w:rFonts w:eastAsia="Microsoft YaHei" w:hint="eastAsia"/>
        </w:rPr>
        <w:t>,</w:t>
      </w:r>
      <w:r w:rsidR="002D7967" w:rsidRPr="000F415B">
        <w:rPr>
          <w:rFonts w:eastAsia="Microsoft YaHei"/>
        </w:rPr>
        <w:t xml:space="preserve"> </w:t>
      </w:r>
      <w:r w:rsidR="000F415B" w:rsidRPr="000F415B">
        <w:rPr>
          <w:rFonts w:eastAsia="Microsoft YaHei"/>
        </w:rPr>
        <w:t>“</w:t>
      </w:r>
      <w:r w:rsidR="000F415B" w:rsidRPr="000F415B">
        <w:t>Ali Chronicles: From B2B to the Ecosphere</w:t>
      </w:r>
      <w:r w:rsidR="000F415B" w:rsidRPr="000F415B">
        <w:rPr>
          <w:rFonts w:eastAsia="Microsoft YaHei"/>
        </w:rPr>
        <w:t>,</w:t>
      </w:r>
      <w:r w:rsidR="000F415B" w:rsidRPr="000F415B">
        <w:t xml:space="preserve"> Innovation Leads Business Progress and Builds a Global Retail Ecosphere</w:t>
      </w:r>
      <w:r w:rsidR="002D7967" w:rsidRPr="000F415B">
        <w:rPr>
          <w:rFonts w:eastAsia="Microsoft YaHei"/>
        </w:rPr>
        <w:t>”</w:t>
      </w:r>
      <w:r w:rsidR="000F415B" w:rsidRPr="000F415B">
        <w:rPr>
          <w:rFonts w:eastAsia="Microsoft YaHei"/>
        </w:rPr>
        <w:t xml:space="preserve"> </w:t>
      </w:r>
      <w:r w:rsidR="00165215">
        <w:rPr>
          <w:rFonts w:eastAsia="Microsoft YaHei"/>
        </w:rPr>
        <w:t xml:space="preserve">[in Chinese], </w:t>
      </w:r>
      <w:r w:rsidRPr="000F415B">
        <w:t>CMS Research on Alibaba</w:t>
      </w:r>
      <w:r w:rsidR="00165215">
        <w:t>,</w:t>
      </w:r>
      <w:r w:rsidRPr="000F415B">
        <w:t xml:space="preserve"> June 19, 2018</w:t>
      </w:r>
      <w:r w:rsidR="002D7967" w:rsidRPr="000F415B">
        <w:t>, C</w:t>
      </w:r>
      <w:r w:rsidR="002D7967" w:rsidRPr="000F415B">
        <w:rPr>
          <w:rFonts w:hint="eastAsia"/>
        </w:rPr>
        <w:t>hi</w:t>
      </w:r>
      <w:r w:rsidR="002D7967" w:rsidRPr="000F415B">
        <w:t>na</w:t>
      </w:r>
      <w:bookmarkEnd w:id="1"/>
      <w:r w:rsidR="00961B10">
        <w:t>.</w:t>
      </w:r>
    </w:p>
    <w:p w14:paraId="08BCB46B" w14:textId="77777777" w:rsidR="00C52690" w:rsidRPr="008D0AE1" w:rsidRDefault="00C52690" w:rsidP="009F2501">
      <w:pPr>
        <w:pStyle w:val="BodyTextMain"/>
        <w:rPr>
          <w:lang w:val="en-GB"/>
        </w:rPr>
      </w:pPr>
    </w:p>
    <w:p w14:paraId="4A621E8C" w14:textId="4865574C" w:rsidR="00C52690" w:rsidRPr="008D0AE1" w:rsidRDefault="00C52690" w:rsidP="009F2501">
      <w:pPr>
        <w:pStyle w:val="BodyTextMain"/>
        <w:rPr>
          <w:lang w:val="en-GB"/>
        </w:rPr>
      </w:pPr>
    </w:p>
    <w:p w14:paraId="313ACB1C" w14:textId="50F687EC" w:rsidR="00C52690" w:rsidRPr="008D0AE1" w:rsidRDefault="00C52690" w:rsidP="0056630E">
      <w:pPr>
        <w:pStyle w:val="ExhibitHeading"/>
        <w:rPr>
          <w:lang w:val="en-GB"/>
        </w:rPr>
      </w:pPr>
      <w:r w:rsidRPr="008D0AE1">
        <w:rPr>
          <w:lang w:val="en-GB"/>
        </w:rPr>
        <w:t>Exhibit 8</w:t>
      </w:r>
      <w:r w:rsidR="009F2501" w:rsidRPr="008D0AE1">
        <w:rPr>
          <w:lang w:val="en-GB"/>
        </w:rPr>
        <w:t xml:space="preserve">: </w:t>
      </w:r>
      <w:r w:rsidRPr="008D0AE1">
        <w:rPr>
          <w:lang w:val="en-GB"/>
        </w:rPr>
        <w:t>Active End</w:t>
      </w:r>
      <w:r w:rsidR="00165215">
        <w:rPr>
          <w:lang w:val="en-GB"/>
        </w:rPr>
        <w:t>-</w:t>
      </w:r>
      <w:r w:rsidRPr="008D0AE1">
        <w:rPr>
          <w:lang w:val="en-GB"/>
        </w:rPr>
        <w:t>User comparison chart</w:t>
      </w:r>
    </w:p>
    <w:p w14:paraId="25683258" w14:textId="689E9320" w:rsidR="009F2501" w:rsidRPr="008D0AE1" w:rsidRDefault="009F2501" w:rsidP="009F2501">
      <w:pPr>
        <w:pStyle w:val="BodyTextMain"/>
        <w:rPr>
          <w:lang w:val="en-GB"/>
        </w:rPr>
      </w:pPr>
    </w:p>
    <w:p w14:paraId="378EBA61" w14:textId="5B23B7B4" w:rsidR="00C52690" w:rsidRPr="008D0AE1" w:rsidRDefault="00653B09" w:rsidP="009F2501">
      <w:pPr>
        <w:pStyle w:val="BodyTextMain"/>
        <w:jc w:val="center"/>
        <w:rPr>
          <w:lang w:val="en-GB"/>
        </w:rPr>
      </w:pPr>
      <w:r>
        <w:rPr>
          <w:noProof/>
          <w:lang w:eastAsia="en-CA"/>
        </w:rPr>
        <mc:AlternateContent>
          <mc:Choice Requires="wps">
            <w:drawing>
              <wp:anchor distT="0" distB="0" distL="114300" distR="114300" simplePos="0" relativeHeight="251673088" behindDoc="0" locked="0" layoutInCell="1" allowOverlap="1" wp14:anchorId="4E1A1641" wp14:editId="6A981BD6">
                <wp:simplePos x="0" y="0"/>
                <wp:positionH relativeFrom="column">
                  <wp:posOffset>266065</wp:posOffset>
                </wp:positionH>
                <wp:positionV relativeFrom="paragraph">
                  <wp:posOffset>840105</wp:posOffset>
                </wp:positionV>
                <wp:extent cx="1230594" cy="268925"/>
                <wp:effectExtent l="0" t="0" r="0" b="0"/>
                <wp:wrapNone/>
                <wp:docPr id="10" name="Rectangle 10"/>
                <wp:cNvGraphicFramePr/>
                <a:graphic xmlns:a="http://schemas.openxmlformats.org/drawingml/2006/main">
                  <a:graphicData uri="http://schemas.microsoft.com/office/word/2010/wordprocessingShape">
                    <wps:wsp>
                      <wps:cNvSpPr/>
                      <wps:spPr>
                        <a:xfrm rot="16200000">
                          <a:off x="0" y="0"/>
                          <a:ext cx="1230594" cy="268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85A559" w14:textId="27D61CD8" w:rsidR="00773C02" w:rsidRPr="00653B09" w:rsidRDefault="00773C02" w:rsidP="00653B09">
                            <w:pPr>
                              <w:jc w:val="center"/>
                              <w:rPr>
                                <w:rFonts w:ascii="Arial" w:hAnsi="Arial" w:cs="Arial"/>
                                <w:color w:val="000000" w:themeColor="text1"/>
                                <w:sz w:val="15"/>
                              </w:rPr>
                            </w:pPr>
                            <w:r w:rsidRPr="00653B09">
                              <w:rPr>
                                <w:rFonts w:ascii="Arial" w:hAnsi="Arial" w:cs="Arial"/>
                                <w:color w:val="000000" w:themeColor="text1"/>
                                <w:sz w:val="15"/>
                              </w:rPr>
                              <w:t xml:space="preserve">Billions of </w:t>
                            </w:r>
                            <w:r>
                              <w:rPr>
                                <w:rFonts w:ascii="Arial" w:hAnsi="Arial" w:cs="Arial"/>
                                <w:color w:val="000000" w:themeColor="text1"/>
                                <w:sz w:val="15"/>
                              </w:rPr>
                              <w:t>P</w:t>
                            </w:r>
                            <w:r w:rsidRPr="00653B09">
                              <w:rPr>
                                <w:rFonts w:ascii="Arial" w:hAnsi="Arial" w:cs="Arial"/>
                                <w:color w:val="000000" w:themeColor="text1"/>
                                <w:sz w:val="15"/>
                              </w:rPr>
                              <w:t>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A1641" id="Rectangle 10" o:spid="_x0000_s1027" style="position:absolute;left:0;text-align:left;margin-left:20.95pt;margin-top:66.15pt;width:96.9pt;height:21.2pt;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" filled="f" stroked="f" strokeweight="2pt">
                <v:textbox>
                  <w:txbxContent>
                    <w:p w14:paraId="2185A559" w14:textId="27D61CD8" w:rsidR="00773C02" w:rsidRPr="00653B09" w:rsidRDefault="00773C02" w:rsidP="00653B09">
                      <w:pPr>
                        <w:jc w:val="center"/>
                        <w:rPr>
                          <w:rFonts w:ascii="Arial" w:hAnsi="Arial" w:cs="Arial"/>
                          <w:color w:val="000000" w:themeColor="text1"/>
                          <w:sz w:val="15"/>
                        </w:rPr>
                      </w:pPr>
                      <w:r w:rsidRPr="00653B09">
                        <w:rPr>
                          <w:rFonts w:ascii="Arial" w:hAnsi="Arial" w:cs="Arial"/>
                          <w:color w:val="000000" w:themeColor="text1"/>
                          <w:sz w:val="15"/>
                        </w:rPr>
                        <w:t xml:space="preserve">Billions of </w:t>
                      </w:r>
                      <w:r>
                        <w:rPr>
                          <w:rFonts w:ascii="Arial" w:hAnsi="Arial" w:cs="Arial"/>
                          <w:color w:val="000000" w:themeColor="text1"/>
                          <w:sz w:val="15"/>
                        </w:rPr>
                        <w:t>P</w:t>
                      </w:r>
                      <w:r w:rsidRPr="00653B09">
                        <w:rPr>
                          <w:rFonts w:ascii="Arial" w:hAnsi="Arial" w:cs="Arial"/>
                          <w:color w:val="000000" w:themeColor="text1"/>
                          <w:sz w:val="15"/>
                        </w:rPr>
                        <w:t>eople</w:t>
                      </w:r>
                    </w:p>
                  </w:txbxContent>
                </v:textbox>
              </v:rect>
            </w:pict>
          </mc:Fallback>
        </mc:AlternateContent>
      </w:r>
      <w:r w:rsidR="00C52690" w:rsidRPr="008D0AE1">
        <w:rPr>
          <w:noProof/>
          <w:lang w:eastAsia="en-CA"/>
        </w:rPr>
        <w:drawing>
          <wp:inline distT="0" distB="0" distL="0" distR="0" wp14:anchorId="70C195DE" wp14:editId="412C1F24">
            <wp:extent cx="3738563" cy="2319337"/>
            <wp:effectExtent l="0" t="0" r="14605" b="5080"/>
            <wp:docPr id="26" name="Chart 26">
              <a:extLst xmlns:a="http://schemas.openxmlformats.org/drawingml/2006/main">
                <a:ext uri="{FF2B5EF4-FFF2-40B4-BE49-F238E27FC236}">
                  <a16:creationId xmlns:a16="http://schemas.microsoft.com/office/drawing/2014/main" id="{ADEF6729-0552-C84E-BBAC-ADEAE15C3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E11EEA" w14:textId="77777777" w:rsidR="00D62894" w:rsidRPr="008D0AE1" w:rsidRDefault="00D62894" w:rsidP="00653B09">
      <w:pPr>
        <w:pStyle w:val="FootnoteText1"/>
        <w:rPr>
          <w:lang w:val="en-GB"/>
        </w:rPr>
      </w:pPr>
    </w:p>
    <w:p w14:paraId="69502247" w14:textId="178435E6" w:rsidR="00165215" w:rsidRDefault="00165215" w:rsidP="00653B09">
      <w:pPr>
        <w:pStyle w:val="FootnoteText1"/>
        <w:rPr>
          <w:lang w:val="en-GB"/>
        </w:rPr>
      </w:pPr>
      <w:r>
        <w:rPr>
          <w:lang w:val="en-GB"/>
        </w:rPr>
        <w:t>Note: Q = quarter</w:t>
      </w:r>
      <w:r w:rsidR="00F81037">
        <w:rPr>
          <w:lang w:val="en-GB"/>
        </w:rPr>
        <w:t>.</w:t>
      </w:r>
    </w:p>
    <w:p w14:paraId="7990E078" w14:textId="1CC95588" w:rsidR="00C52690" w:rsidRPr="00653B09" w:rsidRDefault="00C52690" w:rsidP="00653B09">
      <w:pPr>
        <w:pStyle w:val="FootnoteText1"/>
        <w:rPr>
          <w:lang w:val="en-GB"/>
        </w:rPr>
      </w:pPr>
      <w:r w:rsidRPr="008D0AE1">
        <w:rPr>
          <w:lang w:val="en-GB"/>
        </w:rPr>
        <w:t xml:space="preserve">Source: </w:t>
      </w:r>
      <w:r w:rsidR="003632D8">
        <w:rPr>
          <w:lang w:val="en-GB"/>
        </w:rPr>
        <w:t xml:space="preserve">Adapted from </w:t>
      </w:r>
      <w:bookmarkStart w:id="2" w:name="_Hlk22030172"/>
      <w:r w:rsidR="003632D8">
        <w:rPr>
          <w:lang w:val="en-GB"/>
        </w:rPr>
        <w:t>“</w:t>
      </w:r>
      <w:r w:rsidR="003632D8" w:rsidRPr="003632D8">
        <w:rPr>
          <w:lang w:val="en-GB"/>
        </w:rPr>
        <w:t xml:space="preserve">Ten </w:t>
      </w:r>
      <w:r w:rsidR="003632D8">
        <w:rPr>
          <w:lang w:val="en-GB"/>
        </w:rPr>
        <w:t>P</w:t>
      </w:r>
      <w:r w:rsidR="003632D8" w:rsidRPr="003632D8">
        <w:rPr>
          <w:lang w:val="en-GB"/>
        </w:rPr>
        <w:t xml:space="preserve">ictures to See Who Is </w:t>
      </w:r>
      <w:r w:rsidR="003632D8">
        <w:rPr>
          <w:lang w:val="en-GB"/>
        </w:rPr>
        <w:t>t</w:t>
      </w:r>
      <w:r w:rsidR="003632D8" w:rsidRPr="003632D8">
        <w:rPr>
          <w:lang w:val="en-GB"/>
        </w:rPr>
        <w:t xml:space="preserve">he Most Profitable Model </w:t>
      </w:r>
      <w:r w:rsidR="003632D8">
        <w:rPr>
          <w:lang w:val="en-GB"/>
        </w:rPr>
        <w:t>a</w:t>
      </w:r>
      <w:r w:rsidR="003632D8" w:rsidRPr="003632D8">
        <w:rPr>
          <w:lang w:val="en-GB"/>
        </w:rPr>
        <w:t xml:space="preserve">mong Ali, </w:t>
      </w:r>
      <w:proofErr w:type="spellStart"/>
      <w:r w:rsidR="003632D8" w:rsidRPr="003632D8">
        <w:rPr>
          <w:lang w:val="en-GB"/>
        </w:rPr>
        <w:t>Jingdong</w:t>
      </w:r>
      <w:proofErr w:type="spellEnd"/>
      <w:r w:rsidR="003632D8" w:rsidRPr="003632D8">
        <w:rPr>
          <w:lang w:val="en-GB"/>
        </w:rPr>
        <w:t xml:space="preserve"> and Amazon</w:t>
      </w:r>
      <w:r w:rsidR="00165215">
        <w:rPr>
          <w:lang w:val="en-GB"/>
        </w:rPr>
        <w:t>”</w:t>
      </w:r>
      <w:r w:rsidR="003632D8">
        <w:rPr>
          <w:lang w:val="en-GB"/>
        </w:rPr>
        <w:t xml:space="preserve"> [in Chinese], </w:t>
      </w:r>
      <w:proofErr w:type="spellStart"/>
      <w:r w:rsidR="003632D8">
        <w:rPr>
          <w:lang w:val="en-GB"/>
        </w:rPr>
        <w:t>DigitalING</w:t>
      </w:r>
      <w:proofErr w:type="spellEnd"/>
      <w:r w:rsidR="003632D8">
        <w:rPr>
          <w:lang w:val="en-GB"/>
        </w:rPr>
        <w:t xml:space="preserve">, March 9, 2017, accessed April 26, 2019, </w:t>
      </w:r>
      <w:r w:rsidRPr="008D0AE1">
        <w:rPr>
          <w:lang w:val="en-GB"/>
        </w:rPr>
        <w:t>https://www.digitaling.com/articles/35530.html</w:t>
      </w:r>
      <w:r w:rsidR="003632D8">
        <w:rPr>
          <w:lang w:val="en-GB"/>
        </w:rPr>
        <w:t>.</w:t>
      </w:r>
      <w:bookmarkEnd w:id="2"/>
    </w:p>
    <w:p w14:paraId="46005581" w14:textId="08BA9C54" w:rsidR="009F2501" w:rsidRPr="008D0AE1" w:rsidRDefault="009F2501" w:rsidP="00653B09">
      <w:pPr>
        <w:pStyle w:val="BodyTextMain"/>
        <w:rPr>
          <w:lang w:val="en-GB"/>
        </w:rPr>
      </w:pPr>
      <w:r w:rsidRPr="008D0AE1">
        <w:rPr>
          <w:lang w:val="en-GB"/>
        </w:rPr>
        <w:br w:type="page"/>
      </w:r>
    </w:p>
    <w:p w14:paraId="59FE5D19" w14:textId="4CC63E3F" w:rsidR="00C52690" w:rsidRPr="008D0AE1" w:rsidRDefault="009F2501" w:rsidP="0056630E">
      <w:pPr>
        <w:pStyle w:val="ExhibitHeading"/>
        <w:rPr>
          <w:lang w:val="en-GB"/>
        </w:rPr>
      </w:pPr>
      <w:r w:rsidRPr="008D0AE1">
        <w:rPr>
          <w:lang w:val="en-GB"/>
        </w:rPr>
        <w:lastRenderedPageBreak/>
        <w:t xml:space="preserve">Exhibit 9: </w:t>
      </w:r>
      <w:r w:rsidR="00C52690" w:rsidRPr="008D0AE1">
        <w:rPr>
          <w:lang w:val="en-GB"/>
        </w:rPr>
        <w:t>stock performance of Alibaba, JD</w:t>
      </w:r>
      <w:r w:rsidR="00A77989">
        <w:rPr>
          <w:lang w:val="en-GB"/>
        </w:rPr>
        <w:t>,</w:t>
      </w:r>
      <w:r w:rsidR="00C52690" w:rsidRPr="008D0AE1">
        <w:rPr>
          <w:lang w:val="en-GB"/>
        </w:rPr>
        <w:t xml:space="preserve"> and Amazon</w:t>
      </w:r>
      <w:r w:rsidR="00BA2787">
        <w:rPr>
          <w:lang w:val="en-GB"/>
        </w:rPr>
        <w:t xml:space="preserve"> </w:t>
      </w:r>
      <w:r w:rsidR="00A77989">
        <w:rPr>
          <w:lang w:val="en-GB"/>
        </w:rPr>
        <w:t>as of</w:t>
      </w:r>
      <w:r w:rsidR="00C52690" w:rsidRPr="008D0AE1">
        <w:rPr>
          <w:lang w:val="en-GB"/>
        </w:rPr>
        <w:t xml:space="preserve"> November 28, 2018</w:t>
      </w:r>
    </w:p>
    <w:p w14:paraId="3B023F41" w14:textId="77777777" w:rsidR="009F2501" w:rsidRPr="008D0AE1" w:rsidRDefault="009F2501" w:rsidP="009F2501">
      <w:pPr>
        <w:pStyle w:val="BodyTextMain"/>
        <w:rPr>
          <w:lang w:val="en-GB"/>
        </w:rPr>
      </w:pPr>
    </w:p>
    <w:tbl>
      <w:tblPr>
        <w:tblStyle w:val="TableGrid"/>
        <w:tblW w:w="0" w:type="auto"/>
        <w:jc w:val="center"/>
        <w:tblLayout w:type="fixed"/>
        <w:tblLook w:val="04A0" w:firstRow="1" w:lastRow="0" w:firstColumn="1" w:lastColumn="0" w:noHBand="0" w:noVBand="1"/>
      </w:tblPr>
      <w:tblGrid>
        <w:gridCol w:w="895"/>
        <w:gridCol w:w="1260"/>
        <w:gridCol w:w="720"/>
        <w:gridCol w:w="1170"/>
        <w:gridCol w:w="1166"/>
        <w:gridCol w:w="1084"/>
        <w:gridCol w:w="810"/>
        <w:gridCol w:w="941"/>
        <w:gridCol w:w="1134"/>
      </w:tblGrid>
      <w:tr w:rsidR="00C52690" w:rsidRPr="008D0AE1" w14:paraId="59ADCFBD" w14:textId="77777777" w:rsidTr="00334576">
        <w:trPr>
          <w:jc w:val="center"/>
        </w:trPr>
        <w:tc>
          <w:tcPr>
            <w:tcW w:w="895" w:type="dxa"/>
          </w:tcPr>
          <w:p w14:paraId="0E467F72" w14:textId="6C4EDEA9" w:rsidR="00C52690" w:rsidRPr="008D0AE1" w:rsidRDefault="00A77989" w:rsidP="00D70AE9">
            <w:pPr>
              <w:pStyle w:val="ExhibitText"/>
              <w:jc w:val="center"/>
              <w:rPr>
                <w:b/>
                <w:lang w:val="en-GB"/>
              </w:rPr>
            </w:pPr>
            <w:r w:rsidRPr="008D0AE1">
              <w:rPr>
                <w:b/>
                <w:lang w:val="en-GB"/>
              </w:rPr>
              <w:t>Tick</w:t>
            </w:r>
            <w:r>
              <w:rPr>
                <w:b/>
                <w:lang w:val="en-GB"/>
              </w:rPr>
              <w:t>er</w:t>
            </w:r>
          </w:p>
        </w:tc>
        <w:tc>
          <w:tcPr>
            <w:tcW w:w="1260" w:type="dxa"/>
          </w:tcPr>
          <w:p w14:paraId="2BBBCA53" w14:textId="77777777" w:rsidR="00C52690" w:rsidRDefault="00C52690" w:rsidP="009F2501">
            <w:pPr>
              <w:pStyle w:val="ExhibitText"/>
              <w:jc w:val="center"/>
              <w:rPr>
                <w:b/>
                <w:lang w:val="en-GB"/>
              </w:rPr>
            </w:pPr>
            <w:r w:rsidRPr="008D0AE1">
              <w:rPr>
                <w:b/>
                <w:lang w:val="en-GB"/>
              </w:rPr>
              <w:t>Market Cap</w:t>
            </w:r>
          </w:p>
          <w:p w14:paraId="4193F974" w14:textId="5E4D8E2B" w:rsidR="00A77989" w:rsidRPr="008D0AE1" w:rsidRDefault="00A77989" w:rsidP="009F2501">
            <w:pPr>
              <w:pStyle w:val="ExhibitText"/>
              <w:jc w:val="center"/>
              <w:rPr>
                <w:b/>
                <w:lang w:val="en-GB"/>
              </w:rPr>
            </w:pPr>
            <w:r>
              <w:rPr>
                <w:b/>
                <w:lang w:val="en-GB"/>
              </w:rPr>
              <w:t>($ Billions)</w:t>
            </w:r>
          </w:p>
        </w:tc>
        <w:tc>
          <w:tcPr>
            <w:tcW w:w="720" w:type="dxa"/>
          </w:tcPr>
          <w:p w14:paraId="64D5A417" w14:textId="77777777" w:rsidR="00C52690" w:rsidRPr="008D0AE1" w:rsidRDefault="00C52690" w:rsidP="009F2501">
            <w:pPr>
              <w:pStyle w:val="ExhibitText"/>
              <w:jc w:val="center"/>
              <w:rPr>
                <w:b/>
                <w:lang w:val="en-GB"/>
              </w:rPr>
            </w:pPr>
            <w:r w:rsidRPr="008D0AE1">
              <w:rPr>
                <w:b/>
                <w:lang w:val="en-GB"/>
              </w:rPr>
              <w:t>IPO Price</w:t>
            </w:r>
          </w:p>
        </w:tc>
        <w:tc>
          <w:tcPr>
            <w:tcW w:w="1170" w:type="dxa"/>
          </w:tcPr>
          <w:p w14:paraId="7304F519" w14:textId="77777777" w:rsidR="00C52690" w:rsidRPr="008D0AE1" w:rsidRDefault="00C52690" w:rsidP="009F2501">
            <w:pPr>
              <w:pStyle w:val="ExhibitText"/>
              <w:jc w:val="center"/>
              <w:rPr>
                <w:b/>
                <w:lang w:val="en-GB"/>
              </w:rPr>
            </w:pPr>
            <w:r w:rsidRPr="008D0AE1">
              <w:rPr>
                <w:b/>
                <w:lang w:val="en-GB"/>
              </w:rPr>
              <w:t>Day Price</w:t>
            </w:r>
          </w:p>
        </w:tc>
        <w:tc>
          <w:tcPr>
            <w:tcW w:w="1166" w:type="dxa"/>
          </w:tcPr>
          <w:p w14:paraId="203BABC2" w14:textId="55E1EFCC" w:rsidR="00C52690" w:rsidRPr="008D0AE1" w:rsidRDefault="00C52690" w:rsidP="00D70AE9">
            <w:pPr>
              <w:pStyle w:val="ExhibitText"/>
              <w:jc w:val="center"/>
              <w:rPr>
                <w:b/>
                <w:lang w:val="en-GB"/>
              </w:rPr>
            </w:pPr>
            <w:r w:rsidRPr="008D0AE1">
              <w:rPr>
                <w:b/>
                <w:lang w:val="en-GB"/>
              </w:rPr>
              <w:t xml:space="preserve">Stock Price </w:t>
            </w:r>
            <w:r w:rsidR="00A77989">
              <w:rPr>
                <w:b/>
                <w:lang w:val="en-GB"/>
              </w:rPr>
              <w:t>I</w:t>
            </w:r>
            <w:r w:rsidR="00A77989" w:rsidRPr="008D0AE1">
              <w:rPr>
                <w:b/>
                <w:lang w:val="en-GB"/>
              </w:rPr>
              <w:t xml:space="preserve">ncrease </w:t>
            </w:r>
            <w:r w:rsidR="00A77989">
              <w:rPr>
                <w:b/>
                <w:lang w:val="en-GB"/>
              </w:rPr>
              <w:t>(%)</w:t>
            </w:r>
          </w:p>
        </w:tc>
        <w:tc>
          <w:tcPr>
            <w:tcW w:w="1084" w:type="dxa"/>
          </w:tcPr>
          <w:p w14:paraId="2C38E5B4" w14:textId="57B93FEC" w:rsidR="00C52690" w:rsidRPr="008D0AE1" w:rsidRDefault="00C52690">
            <w:pPr>
              <w:pStyle w:val="ExhibitText"/>
              <w:jc w:val="center"/>
              <w:rPr>
                <w:b/>
                <w:lang w:val="en-GB"/>
              </w:rPr>
            </w:pPr>
            <w:r w:rsidRPr="008D0AE1">
              <w:rPr>
                <w:b/>
                <w:lang w:val="en-GB"/>
              </w:rPr>
              <w:t>Beta (</w:t>
            </w:r>
            <w:r w:rsidR="00A77989" w:rsidRPr="008D0AE1">
              <w:rPr>
                <w:b/>
                <w:lang w:val="en-GB"/>
              </w:rPr>
              <w:t>3</w:t>
            </w:r>
            <w:r w:rsidR="00A77989">
              <w:rPr>
                <w:b/>
                <w:lang w:val="en-GB"/>
              </w:rPr>
              <w:t>-</w:t>
            </w:r>
            <w:r w:rsidRPr="008D0AE1">
              <w:rPr>
                <w:b/>
                <w:lang w:val="en-GB"/>
              </w:rPr>
              <w:t>year monthly)</w:t>
            </w:r>
          </w:p>
        </w:tc>
        <w:tc>
          <w:tcPr>
            <w:tcW w:w="810" w:type="dxa"/>
          </w:tcPr>
          <w:p w14:paraId="1DD0F506" w14:textId="77777777" w:rsidR="00C52690" w:rsidRPr="008D0AE1" w:rsidRDefault="00C52690" w:rsidP="009F2501">
            <w:pPr>
              <w:pStyle w:val="ExhibitText"/>
              <w:jc w:val="center"/>
              <w:rPr>
                <w:b/>
                <w:lang w:val="en-GB"/>
              </w:rPr>
            </w:pPr>
            <w:r w:rsidRPr="008D0AE1">
              <w:rPr>
                <w:b/>
                <w:lang w:val="en-GB"/>
              </w:rPr>
              <w:t>PE Ratio (TTM)</w:t>
            </w:r>
          </w:p>
        </w:tc>
        <w:tc>
          <w:tcPr>
            <w:tcW w:w="941" w:type="dxa"/>
          </w:tcPr>
          <w:p w14:paraId="7454975B" w14:textId="77777777" w:rsidR="00C52690" w:rsidRPr="008D0AE1" w:rsidRDefault="00C52690" w:rsidP="009F2501">
            <w:pPr>
              <w:pStyle w:val="ExhibitText"/>
              <w:jc w:val="center"/>
              <w:rPr>
                <w:b/>
                <w:lang w:val="en-GB"/>
              </w:rPr>
            </w:pPr>
            <w:r w:rsidRPr="008D0AE1">
              <w:rPr>
                <w:b/>
                <w:lang w:val="en-GB"/>
              </w:rPr>
              <w:t>EPS (TTM)</w:t>
            </w:r>
          </w:p>
        </w:tc>
        <w:tc>
          <w:tcPr>
            <w:tcW w:w="1134" w:type="dxa"/>
          </w:tcPr>
          <w:p w14:paraId="6C3F7664" w14:textId="308F35E8" w:rsidR="00C52690" w:rsidRPr="008D0AE1" w:rsidRDefault="00C52690" w:rsidP="009F2501">
            <w:pPr>
              <w:pStyle w:val="ExhibitText"/>
              <w:jc w:val="center"/>
              <w:rPr>
                <w:b/>
                <w:lang w:val="en-GB"/>
              </w:rPr>
            </w:pPr>
            <w:r w:rsidRPr="008D0AE1">
              <w:rPr>
                <w:b/>
                <w:lang w:val="en-GB"/>
              </w:rPr>
              <w:t xml:space="preserve">1-Year Target </w:t>
            </w:r>
            <w:r w:rsidR="00A77989">
              <w:rPr>
                <w:b/>
                <w:lang w:val="en-GB"/>
              </w:rPr>
              <w:t>(</w:t>
            </w:r>
            <w:r w:rsidRPr="008D0AE1">
              <w:rPr>
                <w:b/>
                <w:lang w:val="en-GB"/>
              </w:rPr>
              <w:t>Est</w:t>
            </w:r>
            <w:r w:rsidR="00A77989">
              <w:rPr>
                <w:b/>
                <w:lang w:val="en-GB"/>
              </w:rPr>
              <w:t>.)</w:t>
            </w:r>
          </w:p>
        </w:tc>
      </w:tr>
      <w:tr w:rsidR="00C52690" w:rsidRPr="008D0AE1" w14:paraId="62069FDE" w14:textId="77777777" w:rsidTr="00334576">
        <w:trPr>
          <w:jc w:val="center"/>
        </w:trPr>
        <w:tc>
          <w:tcPr>
            <w:tcW w:w="895" w:type="dxa"/>
          </w:tcPr>
          <w:p w14:paraId="7C0777C6" w14:textId="77777777" w:rsidR="00C52690" w:rsidRPr="008D0AE1" w:rsidRDefault="00C52690" w:rsidP="009F2501">
            <w:pPr>
              <w:pStyle w:val="ExhibitText"/>
              <w:jc w:val="left"/>
              <w:rPr>
                <w:lang w:val="en-GB"/>
              </w:rPr>
            </w:pPr>
            <w:r w:rsidRPr="008D0AE1">
              <w:rPr>
                <w:lang w:val="en-GB"/>
              </w:rPr>
              <w:t>AMZN</w:t>
            </w:r>
          </w:p>
        </w:tc>
        <w:tc>
          <w:tcPr>
            <w:tcW w:w="1260" w:type="dxa"/>
          </w:tcPr>
          <w:p w14:paraId="458AD945" w14:textId="33611B00" w:rsidR="00C52690" w:rsidRPr="008D0AE1" w:rsidRDefault="00C52690" w:rsidP="00D70AE9">
            <w:pPr>
              <w:pStyle w:val="ExhibitText"/>
              <w:jc w:val="right"/>
              <w:rPr>
                <w:lang w:val="en-GB"/>
              </w:rPr>
            </w:pPr>
            <w:r w:rsidRPr="008D0AE1">
              <w:rPr>
                <w:lang w:val="en-GB"/>
              </w:rPr>
              <w:t>784.455</w:t>
            </w:r>
          </w:p>
        </w:tc>
        <w:tc>
          <w:tcPr>
            <w:tcW w:w="720" w:type="dxa"/>
          </w:tcPr>
          <w:p w14:paraId="7ABE0D18" w14:textId="77777777" w:rsidR="00C52690" w:rsidRPr="008D0AE1" w:rsidRDefault="00C52690" w:rsidP="009F2501">
            <w:pPr>
              <w:pStyle w:val="ExhibitText"/>
              <w:jc w:val="right"/>
              <w:rPr>
                <w:lang w:val="en-GB"/>
              </w:rPr>
            </w:pPr>
            <w:r w:rsidRPr="008D0AE1">
              <w:rPr>
                <w:lang w:val="en-GB"/>
              </w:rPr>
              <w:t>$18</w:t>
            </w:r>
          </w:p>
        </w:tc>
        <w:tc>
          <w:tcPr>
            <w:tcW w:w="1170" w:type="dxa"/>
          </w:tcPr>
          <w:p w14:paraId="68095A89" w14:textId="31AE444D" w:rsidR="00C52690" w:rsidRPr="008D0AE1" w:rsidRDefault="00C52690" w:rsidP="009F2501">
            <w:pPr>
              <w:pStyle w:val="ExhibitText"/>
              <w:jc w:val="right"/>
              <w:rPr>
                <w:lang w:val="en-GB"/>
              </w:rPr>
            </w:pPr>
            <w:r w:rsidRPr="008D0AE1">
              <w:rPr>
                <w:lang w:val="en-GB"/>
              </w:rPr>
              <w:t>$1,604</w:t>
            </w:r>
            <w:r w:rsidR="00A77989">
              <w:rPr>
                <w:lang w:val="en-GB"/>
              </w:rPr>
              <w:t>.00</w:t>
            </w:r>
          </w:p>
        </w:tc>
        <w:tc>
          <w:tcPr>
            <w:tcW w:w="1166" w:type="dxa"/>
          </w:tcPr>
          <w:p w14:paraId="49E32DAF" w14:textId="0AAFA983" w:rsidR="00C52690" w:rsidRPr="008D0AE1" w:rsidRDefault="00C52690" w:rsidP="009F2501">
            <w:pPr>
              <w:pStyle w:val="ExhibitText"/>
              <w:jc w:val="right"/>
              <w:rPr>
                <w:lang w:val="en-GB"/>
              </w:rPr>
            </w:pPr>
            <w:r w:rsidRPr="008D0AE1">
              <w:rPr>
                <w:lang w:val="en-GB"/>
              </w:rPr>
              <w:t>8</w:t>
            </w:r>
            <w:r w:rsidR="00A77989">
              <w:rPr>
                <w:lang w:val="en-GB"/>
              </w:rPr>
              <w:t>,</w:t>
            </w:r>
            <w:r w:rsidRPr="008D0AE1">
              <w:rPr>
                <w:lang w:val="en-GB"/>
              </w:rPr>
              <w:t>800</w:t>
            </w:r>
          </w:p>
        </w:tc>
        <w:tc>
          <w:tcPr>
            <w:tcW w:w="1084" w:type="dxa"/>
          </w:tcPr>
          <w:p w14:paraId="2B5C6C57" w14:textId="77777777" w:rsidR="00C52690" w:rsidRPr="008D0AE1" w:rsidRDefault="00C52690" w:rsidP="009F2501">
            <w:pPr>
              <w:pStyle w:val="ExhibitText"/>
              <w:jc w:val="right"/>
              <w:rPr>
                <w:lang w:val="en-GB"/>
              </w:rPr>
            </w:pPr>
            <w:r w:rsidRPr="008D0AE1">
              <w:rPr>
                <w:lang w:val="en-GB"/>
              </w:rPr>
              <w:t>1.94</w:t>
            </w:r>
          </w:p>
        </w:tc>
        <w:tc>
          <w:tcPr>
            <w:tcW w:w="810" w:type="dxa"/>
          </w:tcPr>
          <w:p w14:paraId="13B51050" w14:textId="77777777" w:rsidR="00C52690" w:rsidRPr="008D0AE1" w:rsidRDefault="00C52690" w:rsidP="009F2501">
            <w:pPr>
              <w:pStyle w:val="ExhibitText"/>
              <w:jc w:val="right"/>
              <w:rPr>
                <w:lang w:val="en-GB"/>
              </w:rPr>
            </w:pPr>
            <w:r w:rsidRPr="008D0AE1">
              <w:rPr>
                <w:lang w:val="en-GB"/>
              </w:rPr>
              <w:t>89.89</w:t>
            </w:r>
          </w:p>
        </w:tc>
        <w:tc>
          <w:tcPr>
            <w:tcW w:w="941" w:type="dxa"/>
          </w:tcPr>
          <w:p w14:paraId="243F8436" w14:textId="77777777" w:rsidR="00C52690" w:rsidRPr="008D0AE1" w:rsidRDefault="00C52690" w:rsidP="009F2501">
            <w:pPr>
              <w:pStyle w:val="ExhibitText"/>
              <w:jc w:val="right"/>
              <w:rPr>
                <w:lang w:val="en-GB"/>
              </w:rPr>
            </w:pPr>
            <w:r w:rsidRPr="008D0AE1">
              <w:rPr>
                <w:lang w:val="en-GB"/>
              </w:rPr>
              <w:t>17.8480</w:t>
            </w:r>
          </w:p>
        </w:tc>
        <w:tc>
          <w:tcPr>
            <w:tcW w:w="1134" w:type="dxa"/>
          </w:tcPr>
          <w:p w14:paraId="33BFD978" w14:textId="77777777" w:rsidR="00C52690" w:rsidRPr="008D0AE1" w:rsidRDefault="00C52690" w:rsidP="009F2501">
            <w:pPr>
              <w:pStyle w:val="ExhibitText"/>
              <w:jc w:val="right"/>
              <w:rPr>
                <w:lang w:val="en-GB"/>
              </w:rPr>
            </w:pPr>
            <w:r w:rsidRPr="008D0AE1">
              <w:rPr>
                <w:lang w:val="en-GB"/>
              </w:rPr>
              <w:t>$2,136.36</w:t>
            </w:r>
          </w:p>
        </w:tc>
      </w:tr>
      <w:tr w:rsidR="00C52690" w:rsidRPr="008D0AE1" w14:paraId="58C68992" w14:textId="77777777" w:rsidTr="00334576">
        <w:trPr>
          <w:jc w:val="center"/>
        </w:trPr>
        <w:tc>
          <w:tcPr>
            <w:tcW w:w="895" w:type="dxa"/>
          </w:tcPr>
          <w:p w14:paraId="332FE83B" w14:textId="77777777" w:rsidR="00C52690" w:rsidRPr="008D0AE1" w:rsidRDefault="00C52690" w:rsidP="009F2501">
            <w:pPr>
              <w:pStyle w:val="ExhibitText"/>
              <w:jc w:val="left"/>
              <w:rPr>
                <w:lang w:val="en-GB"/>
              </w:rPr>
            </w:pPr>
            <w:r w:rsidRPr="008D0AE1">
              <w:rPr>
                <w:lang w:val="en-GB"/>
              </w:rPr>
              <w:t>BABA</w:t>
            </w:r>
          </w:p>
        </w:tc>
        <w:tc>
          <w:tcPr>
            <w:tcW w:w="1260" w:type="dxa"/>
          </w:tcPr>
          <w:p w14:paraId="4FECFE71" w14:textId="2C9D9912" w:rsidR="00C52690" w:rsidRPr="008D0AE1" w:rsidRDefault="00C52690" w:rsidP="00D70AE9">
            <w:pPr>
              <w:pStyle w:val="ExhibitText"/>
              <w:jc w:val="right"/>
              <w:rPr>
                <w:lang w:val="en-GB"/>
              </w:rPr>
            </w:pPr>
            <w:r w:rsidRPr="008D0AE1">
              <w:rPr>
                <w:lang w:val="en-GB"/>
              </w:rPr>
              <w:t>401.324</w:t>
            </w:r>
          </w:p>
        </w:tc>
        <w:tc>
          <w:tcPr>
            <w:tcW w:w="720" w:type="dxa"/>
          </w:tcPr>
          <w:p w14:paraId="51EA1B2D" w14:textId="77777777" w:rsidR="00C52690" w:rsidRPr="008D0AE1" w:rsidRDefault="00C52690" w:rsidP="009F2501">
            <w:pPr>
              <w:pStyle w:val="ExhibitText"/>
              <w:jc w:val="right"/>
              <w:rPr>
                <w:lang w:val="en-GB"/>
              </w:rPr>
            </w:pPr>
            <w:r w:rsidRPr="008D0AE1">
              <w:rPr>
                <w:lang w:val="en-GB"/>
              </w:rPr>
              <w:t>$68</w:t>
            </w:r>
          </w:p>
        </w:tc>
        <w:tc>
          <w:tcPr>
            <w:tcW w:w="1170" w:type="dxa"/>
          </w:tcPr>
          <w:p w14:paraId="1D217D4B" w14:textId="77777777" w:rsidR="00C52690" w:rsidRPr="008D0AE1" w:rsidRDefault="00C52690" w:rsidP="009F2501">
            <w:pPr>
              <w:pStyle w:val="ExhibitText"/>
              <w:jc w:val="right"/>
              <w:rPr>
                <w:lang w:val="en-GB"/>
              </w:rPr>
            </w:pPr>
            <w:r w:rsidRPr="008D0AE1">
              <w:rPr>
                <w:lang w:val="en-GB"/>
              </w:rPr>
              <w:t>$156.08</w:t>
            </w:r>
          </w:p>
        </w:tc>
        <w:tc>
          <w:tcPr>
            <w:tcW w:w="1166" w:type="dxa"/>
          </w:tcPr>
          <w:p w14:paraId="28D067F6" w14:textId="03BACA28" w:rsidR="00C52690" w:rsidRPr="008D0AE1" w:rsidRDefault="00C52690" w:rsidP="009F2501">
            <w:pPr>
              <w:pStyle w:val="ExhibitText"/>
              <w:jc w:val="right"/>
              <w:rPr>
                <w:lang w:val="en-GB"/>
              </w:rPr>
            </w:pPr>
            <w:r w:rsidRPr="008D0AE1">
              <w:rPr>
                <w:lang w:val="en-GB"/>
              </w:rPr>
              <w:t>130</w:t>
            </w:r>
          </w:p>
        </w:tc>
        <w:tc>
          <w:tcPr>
            <w:tcW w:w="1084" w:type="dxa"/>
          </w:tcPr>
          <w:p w14:paraId="5E31074E" w14:textId="77777777" w:rsidR="00C52690" w:rsidRPr="008D0AE1" w:rsidRDefault="00C52690" w:rsidP="009F2501">
            <w:pPr>
              <w:pStyle w:val="ExhibitText"/>
              <w:jc w:val="right"/>
              <w:rPr>
                <w:lang w:val="en-GB"/>
              </w:rPr>
            </w:pPr>
            <w:r w:rsidRPr="008D0AE1">
              <w:rPr>
                <w:lang w:val="en-GB"/>
              </w:rPr>
              <w:t>1.74</w:t>
            </w:r>
          </w:p>
        </w:tc>
        <w:tc>
          <w:tcPr>
            <w:tcW w:w="810" w:type="dxa"/>
          </w:tcPr>
          <w:p w14:paraId="19F22B5B" w14:textId="77777777" w:rsidR="00C52690" w:rsidRPr="008D0AE1" w:rsidRDefault="00C52690" w:rsidP="009F2501">
            <w:pPr>
              <w:pStyle w:val="ExhibitText"/>
              <w:jc w:val="right"/>
              <w:rPr>
                <w:lang w:val="en-GB"/>
              </w:rPr>
            </w:pPr>
            <w:r w:rsidRPr="008D0AE1">
              <w:rPr>
                <w:lang w:val="en-GB"/>
              </w:rPr>
              <w:t>44.62</w:t>
            </w:r>
          </w:p>
        </w:tc>
        <w:tc>
          <w:tcPr>
            <w:tcW w:w="941" w:type="dxa"/>
          </w:tcPr>
          <w:p w14:paraId="7A760ABC" w14:textId="77777777" w:rsidR="00C52690" w:rsidRPr="008D0AE1" w:rsidRDefault="00C52690" w:rsidP="009F2501">
            <w:pPr>
              <w:pStyle w:val="ExhibitText"/>
              <w:jc w:val="right"/>
              <w:rPr>
                <w:lang w:val="en-GB"/>
              </w:rPr>
            </w:pPr>
            <w:r w:rsidRPr="008D0AE1">
              <w:rPr>
                <w:lang w:val="en-GB"/>
              </w:rPr>
              <w:t>3.5</w:t>
            </w:r>
          </w:p>
        </w:tc>
        <w:tc>
          <w:tcPr>
            <w:tcW w:w="1134" w:type="dxa"/>
          </w:tcPr>
          <w:p w14:paraId="1D86D5D8" w14:textId="77777777" w:rsidR="00C52690" w:rsidRPr="008D0AE1" w:rsidRDefault="00C52690" w:rsidP="009F2501">
            <w:pPr>
              <w:pStyle w:val="ExhibitText"/>
              <w:jc w:val="right"/>
              <w:rPr>
                <w:lang w:val="en-GB"/>
              </w:rPr>
            </w:pPr>
            <w:r w:rsidRPr="008D0AE1">
              <w:rPr>
                <w:lang w:val="en-GB"/>
              </w:rPr>
              <w:t>$203.49</w:t>
            </w:r>
          </w:p>
        </w:tc>
      </w:tr>
      <w:tr w:rsidR="00C52690" w:rsidRPr="008D0AE1" w14:paraId="216725F4" w14:textId="77777777" w:rsidTr="00334576">
        <w:trPr>
          <w:jc w:val="center"/>
        </w:trPr>
        <w:tc>
          <w:tcPr>
            <w:tcW w:w="895" w:type="dxa"/>
          </w:tcPr>
          <w:p w14:paraId="53989887" w14:textId="77777777" w:rsidR="00C52690" w:rsidRPr="008D0AE1" w:rsidRDefault="00C52690" w:rsidP="009F2501">
            <w:pPr>
              <w:pStyle w:val="ExhibitText"/>
              <w:jc w:val="left"/>
              <w:rPr>
                <w:lang w:val="en-GB"/>
              </w:rPr>
            </w:pPr>
            <w:r w:rsidRPr="008D0AE1">
              <w:rPr>
                <w:lang w:val="en-GB"/>
              </w:rPr>
              <w:t>JD</w:t>
            </w:r>
          </w:p>
        </w:tc>
        <w:tc>
          <w:tcPr>
            <w:tcW w:w="1260" w:type="dxa"/>
          </w:tcPr>
          <w:p w14:paraId="202061DD" w14:textId="7656168B" w:rsidR="00C52690" w:rsidRPr="008D0AE1" w:rsidRDefault="00C52690" w:rsidP="00D70AE9">
            <w:pPr>
              <w:pStyle w:val="ExhibitText"/>
              <w:jc w:val="right"/>
              <w:rPr>
                <w:lang w:val="en-GB"/>
              </w:rPr>
            </w:pPr>
            <w:r w:rsidRPr="008D0AE1">
              <w:rPr>
                <w:lang w:val="en-GB"/>
              </w:rPr>
              <w:t>29.62</w:t>
            </w:r>
            <w:r w:rsidR="00A77989">
              <w:rPr>
                <w:lang w:val="en-GB"/>
              </w:rPr>
              <w:t>0</w:t>
            </w:r>
          </w:p>
        </w:tc>
        <w:tc>
          <w:tcPr>
            <w:tcW w:w="720" w:type="dxa"/>
          </w:tcPr>
          <w:p w14:paraId="15572791" w14:textId="77777777" w:rsidR="00C52690" w:rsidRPr="008D0AE1" w:rsidRDefault="00C52690" w:rsidP="009F2501">
            <w:pPr>
              <w:pStyle w:val="ExhibitText"/>
              <w:jc w:val="right"/>
              <w:rPr>
                <w:lang w:val="en-GB"/>
              </w:rPr>
            </w:pPr>
            <w:r w:rsidRPr="008D0AE1">
              <w:rPr>
                <w:lang w:val="en-GB"/>
              </w:rPr>
              <w:t>$19</w:t>
            </w:r>
          </w:p>
        </w:tc>
        <w:tc>
          <w:tcPr>
            <w:tcW w:w="1170" w:type="dxa"/>
          </w:tcPr>
          <w:p w14:paraId="4B9595B4" w14:textId="77777777" w:rsidR="00C52690" w:rsidRPr="008D0AE1" w:rsidRDefault="00C52690" w:rsidP="009F2501">
            <w:pPr>
              <w:pStyle w:val="ExhibitText"/>
              <w:jc w:val="right"/>
              <w:rPr>
                <w:lang w:val="en-GB"/>
              </w:rPr>
            </w:pPr>
            <w:r w:rsidRPr="008D0AE1">
              <w:rPr>
                <w:lang w:val="en-GB"/>
              </w:rPr>
              <w:t>$20.50</w:t>
            </w:r>
          </w:p>
        </w:tc>
        <w:tc>
          <w:tcPr>
            <w:tcW w:w="1166" w:type="dxa"/>
          </w:tcPr>
          <w:p w14:paraId="449D04CA" w14:textId="05BFF53B" w:rsidR="00C52690" w:rsidRPr="008D0AE1" w:rsidRDefault="00C52690" w:rsidP="009F2501">
            <w:pPr>
              <w:pStyle w:val="ExhibitText"/>
              <w:jc w:val="right"/>
              <w:rPr>
                <w:lang w:val="en-GB"/>
              </w:rPr>
            </w:pPr>
            <w:r w:rsidRPr="008D0AE1">
              <w:rPr>
                <w:lang w:val="en-GB"/>
              </w:rPr>
              <w:t>8</w:t>
            </w:r>
          </w:p>
        </w:tc>
        <w:tc>
          <w:tcPr>
            <w:tcW w:w="1084" w:type="dxa"/>
          </w:tcPr>
          <w:p w14:paraId="56CD9086" w14:textId="77777777" w:rsidR="00C52690" w:rsidRPr="008D0AE1" w:rsidRDefault="00C52690" w:rsidP="009F2501">
            <w:pPr>
              <w:pStyle w:val="ExhibitText"/>
              <w:jc w:val="right"/>
              <w:rPr>
                <w:lang w:val="en-GB"/>
              </w:rPr>
            </w:pPr>
            <w:r w:rsidRPr="008D0AE1">
              <w:rPr>
                <w:lang w:val="en-GB"/>
              </w:rPr>
              <w:t>1.38</w:t>
            </w:r>
          </w:p>
        </w:tc>
        <w:tc>
          <w:tcPr>
            <w:tcW w:w="810" w:type="dxa"/>
          </w:tcPr>
          <w:p w14:paraId="272E4809" w14:textId="77777777" w:rsidR="00C52690" w:rsidRPr="008D0AE1" w:rsidRDefault="00C52690" w:rsidP="009F2501">
            <w:pPr>
              <w:pStyle w:val="ExhibitText"/>
              <w:jc w:val="right"/>
              <w:rPr>
                <w:lang w:val="en-GB"/>
              </w:rPr>
            </w:pPr>
            <w:r w:rsidRPr="008D0AE1">
              <w:rPr>
                <w:lang w:val="en-GB"/>
              </w:rPr>
              <w:t>N/A</w:t>
            </w:r>
          </w:p>
        </w:tc>
        <w:tc>
          <w:tcPr>
            <w:tcW w:w="941" w:type="dxa"/>
          </w:tcPr>
          <w:p w14:paraId="358E5591" w14:textId="78D62044" w:rsidR="00C52690" w:rsidRPr="008D0AE1" w:rsidRDefault="00A77989" w:rsidP="009F2501">
            <w:pPr>
              <w:pStyle w:val="ExhibitText"/>
              <w:jc w:val="right"/>
              <w:rPr>
                <w:lang w:val="en-GB"/>
              </w:rPr>
            </w:pPr>
            <w:r>
              <w:rPr>
                <w:lang w:val="en-GB"/>
              </w:rPr>
              <w:t>−</w:t>
            </w:r>
            <w:r w:rsidR="00C52690" w:rsidRPr="008D0AE1">
              <w:rPr>
                <w:lang w:val="en-GB"/>
              </w:rPr>
              <w:t>0.06</w:t>
            </w:r>
          </w:p>
        </w:tc>
        <w:tc>
          <w:tcPr>
            <w:tcW w:w="1134" w:type="dxa"/>
          </w:tcPr>
          <w:p w14:paraId="30755C6A" w14:textId="77777777" w:rsidR="00C52690" w:rsidRPr="008D0AE1" w:rsidRDefault="00C52690" w:rsidP="009F2501">
            <w:pPr>
              <w:pStyle w:val="ExhibitText"/>
              <w:jc w:val="right"/>
              <w:rPr>
                <w:lang w:val="en-GB"/>
              </w:rPr>
            </w:pPr>
            <w:r w:rsidRPr="008D0AE1">
              <w:rPr>
                <w:lang w:val="en-GB"/>
              </w:rPr>
              <w:t>$30.67</w:t>
            </w:r>
          </w:p>
        </w:tc>
      </w:tr>
    </w:tbl>
    <w:p w14:paraId="4373476B" w14:textId="77777777" w:rsidR="009F2501" w:rsidRDefault="009F2501" w:rsidP="00653B09">
      <w:pPr>
        <w:pStyle w:val="FootnoteText1"/>
        <w:rPr>
          <w:lang w:val="en-GB"/>
        </w:rPr>
      </w:pPr>
    </w:p>
    <w:p w14:paraId="23FD815A" w14:textId="46147C5D" w:rsidR="00A77989" w:rsidRPr="008D0AE1" w:rsidRDefault="00A77989" w:rsidP="00653B09">
      <w:pPr>
        <w:pStyle w:val="FootnoteText1"/>
        <w:rPr>
          <w:lang w:val="en-GB"/>
        </w:rPr>
      </w:pPr>
      <w:r>
        <w:rPr>
          <w:lang w:val="en-GB"/>
        </w:rPr>
        <w:t>Note: IPO = initial public offering; PE = price/earnings; TTM = trailing 12 months; EPS = earnings per share</w:t>
      </w:r>
      <w:r w:rsidR="00F81037">
        <w:rPr>
          <w:lang w:val="en-GB"/>
        </w:rPr>
        <w:t>.</w:t>
      </w:r>
    </w:p>
    <w:p w14:paraId="0D27B425" w14:textId="2899C260" w:rsidR="00C52690" w:rsidRPr="00334576" w:rsidRDefault="00C52690" w:rsidP="00653B09">
      <w:pPr>
        <w:pStyle w:val="FootnoteText1"/>
        <w:rPr>
          <w:rStyle w:val="EndnoteReference"/>
          <w:vertAlign w:val="baseline"/>
          <w:lang w:val="fr-FR"/>
        </w:rPr>
      </w:pPr>
      <w:r w:rsidRPr="008D0AE1">
        <w:rPr>
          <w:rStyle w:val="EndnoteReference"/>
          <w:vertAlign w:val="baseline"/>
          <w:lang w:val="en-GB"/>
        </w:rPr>
        <w:t xml:space="preserve">Source: </w:t>
      </w:r>
      <w:r w:rsidR="00A77989">
        <w:rPr>
          <w:lang w:val="en-GB"/>
        </w:rPr>
        <w:t xml:space="preserve">Compiled by </w:t>
      </w:r>
      <w:r w:rsidR="00165215">
        <w:rPr>
          <w:lang w:val="en-GB"/>
        </w:rPr>
        <w:t xml:space="preserve">the </w:t>
      </w:r>
      <w:r w:rsidR="00A77989">
        <w:rPr>
          <w:lang w:val="en-GB"/>
        </w:rPr>
        <w:t>case author</w:t>
      </w:r>
      <w:r w:rsidR="00165215">
        <w:rPr>
          <w:lang w:val="en-GB"/>
        </w:rPr>
        <w:t>s</w:t>
      </w:r>
      <w:r w:rsidR="00A77989">
        <w:rPr>
          <w:lang w:val="en-GB"/>
        </w:rPr>
        <w:t xml:space="preserve"> based on data from Yahoo! </w:t>
      </w:r>
      <w:r w:rsidR="00A77989" w:rsidRPr="00334576">
        <w:rPr>
          <w:lang w:val="fr-FR"/>
        </w:rPr>
        <w:t xml:space="preserve">Finance, </w:t>
      </w:r>
      <w:hyperlink r:id="rId12">
        <w:r w:rsidRPr="00334576">
          <w:rPr>
            <w:rStyle w:val="EndnoteReference"/>
            <w:vertAlign w:val="baseline"/>
            <w:lang w:val="fr-FR"/>
          </w:rPr>
          <w:t>https://finance.yahoo.com</w:t>
        </w:r>
      </w:hyperlink>
      <w:r w:rsidR="00A77989" w:rsidRPr="00334576">
        <w:rPr>
          <w:lang w:val="fr-FR"/>
        </w:rPr>
        <w:t>.</w:t>
      </w:r>
    </w:p>
    <w:p w14:paraId="4736B340" w14:textId="77777777" w:rsidR="00C52690" w:rsidRPr="00334576" w:rsidRDefault="00C52690" w:rsidP="009F2501">
      <w:pPr>
        <w:pStyle w:val="BodyTextMain"/>
        <w:rPr>
          <w:lang w:val="fr-FR"/>
        </w:rPr>
      </w:pPr>
    </w:p>
    <w:p w14:paraId="188786DA" w14:textId="77777777" w:rsidR="00C52690" w:rsidRPr="00334576" w:rsidRDefault="00C52690" w:rsidP="009F2501">
      <w:pPr>
        <w:pStyle w:val="BodyTextMain"/>
        <w:rPr>
          <w:lang w:val="fr-FR"/>
        </w:rPr>
      </w:pPr>
    </w:p>
    <w:p w14:paraId="0C3F49C5" w14:textId="3B041CEA" w:rsidR="00C52690" w:rsidRPr="008D0AE1" w:rsidRDefault="00C52690" w:rsidP="00653B09">
      <w:pPr>
        <w:pStyle w:val="Casehead1"/>
        <w:jc w:val="center"/>
        <w:rPr>
          <w:lang w:val="en-GB"/>
        </w:rPr>
      </w:pPr>
      <w:r w:rsidRPr="008D0AE1">
        <w:rPr>
          <w:lang w:val="en-GB"/>
        </w:rPr>
        <w:t xml:space="preserve">Exhibit </w:t>
      </w:r>
      <w:r w:rsidR="00CA6E0A" w:rsidRPr="008D0AE1">
        <w:rPr>
          <w:lang w:val="en-GB"/>
        </w:rPr>
        <w:t>1</w:t>
      </w:r>
      <w:r w:rsidR="00CA6E0A">
        <w:rPr>
          <w:lang w:val="en-GB"/>
        </w:rPr>
        <w:t>0</w:t>
      </w:r>
      <w:r w:rsidR="009F2501" w:rsidRPr="008D0AE1">
        <w:rPr>
          <w:lang w:val="en-GB"/>
        </w:rPr>
        <w:t xml:space="preserve">: </w:t>
      </w:r>
      <w:r w:rsidRPr="008D0AE1">
        <w:rPr>
          <w:lang w:val="en-GB"/>
        </w:rPr>
        <w:t>U</w:t>
      </w:r>
      <w:r w:rsidR="00BA2787">
        <w:rPr>
          <w:lang w:val="en-GB"/>
        </w:rPr>
        <w:t>.</w:t>
      </w:r>
      <w:r w:rsidRPr="008D0AE1">
        <w:rPr>
          <w:lang w:val="en-GB"/>
        </w:rPr>
        <w:t>S</w:t>
      </w:r>
      <w:r w:rsidR="00BA2787">
        <w:rPr>
          <w:lang w:val="en-GB"/>
        </w:rPr>
        <w:t>.</w:t>
      </w:r>
      <w:r w:rsidRPr="008D0AE1">
        <w:rPr>
          <w:lang w:val="en-GB"/>
        </w:rPr>
        <w:t xml:space="preserve"> E-commerce market shares</w:t>
      </w:r>
      <w:r w:rsidR="00BA2787">
        <w:rPr>
          <w:lang w:val="en-GB"/>
        </w:rPr>
        <w:t>,</w:t>
      </w:r>
      <w:r w:rsidRPr="008D0AE1">
        <w:rPr>
          <w:lang w:val="en-GB"/>
        </w:rPr>
        <w:t xml:space="preserve"> 2017</w:t>
      </w:r>
    </w:p>
    <w:p w14:paraId="23DF30E0" w14:textId="77777777" w:rsidR="009F2501" w:rsidRPr="00653B09" w:rsidRDefault="009F2501" w:rsidP="00653B09">
      <w:pPr>
        <w:pStyle w:val="BodyTextMain"/>
      </w:pPr>
    </w:p>
    <w:tbl>
      <w:tblPr>
        <w:tblStyle w:val="TableGrid"/>
        <w:tblW w:w="0" w:type="auto"/>
        <w:jc w:val="center"/>
        <w:tblLook w:val="04A0" w:firstRow="1" w:lastRow="0" w:firstColumn="1" w:lastColumn="0" w:noHBand="0" w:noVBand="1"/>
      </w:tblPr>
      <w:tblGrid>
        <w:gridCol w:w="3091"/>
        <w:gridCol w:w="992"/>
      </w:tblGrid>
      <w:tr w:rsidR="00C52690" w:rsidRPr="008D0AE1" w14:paraId="1B2A2D29" w14:textId="77777777" w:rsidTr="0056630E">
        <w:trPr>
          <w:jc w:val="center"/>
        </w:trPr>
        <w:tc>
          <w:tcPr>
            <w:tcW w:w="3091" w:type="dxa"/>
          </w:tcPr>
          <w:p w14:paraId="72FDB6D9" w14:textId="29AFE5FF" w:rsidR="00C52690" w:rsidRPr="008D0AE1" w:rsidRDefault="00C52690" w:rsidP="009F2501">
            <w:pPr>
              <w:pStyle w:val="ExhibitText"/>
              <w:jc w:val="left"/>
              <w:rPr>
                <w:lang w:val="en-GB"/>
              </w:rPr>
            </w:pPr>
            <w:r w:rsidRPr="008D0AE1">
              <w:rPr>
                <w:lang w:val="en-GB"/>
              </w:rPr>
              <w:t>Amazon</w:t>
            </w:r>
            <w:r w:rsidR="00686ABD">
              <w:rPr>
                <w:lang w:val="en-GB"/>
              </w:rPr>
              <w:t>.com Inc.</w:t>
            </w:r>
          </w:p>
        </w:tc>
        <w:tc>
          <w:tcPr>
            <w:tcW w:w="992" w:type="dxa"/>
          </w:tcPr>
          <w:p w14:paraId="0A5C8A16" w14:textId="77777777" w:rsidR="00C52690" w:rsidRPr="008D0AE1" w:rsidRDefault="00C52690" w:rsidP="009F2501">
            <w:pPr>
              <w:pStyle w:val="ExhibitText"/>
              <w:jc w:val="right"/>
              <w:rPr>
                <w:lang w:val="en-GB"/>
              </w:rPr>
            </w:pPr>
            <w:r w:rsidRPr="008D0AE1">
              <w:rPr>
                <w:lang w:val="en-GB"/>
              </w:rPr>
              <w:t>49.1%</w:t>
            </w:r>
          </w:p>
        </w:tc>
      </w:tr>
      <w:tr w:rsidR="00C52690" w:rsidRPr="008D0AE1" w14:paraId="008E8294" w14:textId="77777777" w:rsidTr="0056630E">
        <w:trPr>
          <w:jc w:val="center"/>
        </w:trPr>
        <w:tc>
          <w:tcPr>
            <w:tcW w:w="3091" w:type="dxa"/>
          </w:tcPr>
          <w:p w14:paraId="3C133617" w14:textId="420D7310" w:rsidR="00C52690" w:rsidRPr="008D0AE1" w:rsidRDefault="00C52690" w:rsidP="009F2501">
            <w:pPr>
              <w:pStyle w:val="ExhibitText"/>
              <w:jc w:val="left"/>
              <w:rPr>
                <w:lang w:val="en-GB"/>
              </w:rPr>
            </w:pPr>
            <w:r w:rsidRPr="008D0AE1">
              <w:rPr>
                <w:lang w:val="en-GB"/>
              </w:rPr>
              <w:t>eBay</w:t>
            </w:r>
            <w:r w:rsidR="00686ABD">
              <w:rPr>
                <w:lang w:val="en-GB"/>
              </w:rPr>
              <w:t xml:space="preserve"> Inc.</w:t>
            </w:r>
          </w:p>
        </w:tc>
        <w:tc>
          <w:tcPr>
            <w:tcW w:w="992" w:type="dxa"/>
          </w:tcPr>
          <w:p w14:paraId="480EF309" w14:textId="77777777" w:rsidR="00C52690" w:rsidRPr="008D0AE1" w:rsidRDefault="00C52690" w:rsidP="009F2501">
            <w:pPr>
              <w:pStyle w:val="ExhibitText"/>
              <w:jc w:val="right"/>
              <w:rPr>
                <w:lang w:val="en-GB"/>
              </w:rPr>
            </w:pPr>
            <w:r w:rsidRPr="008D0AE1">
              <w:rPr>
                <w:lang w:val="en-GB"/>
              </w:rPr>
              <w:t>6.6%</w:t>
            </w:r>
          </w:p>
        </w:tc>
      </w:tr>
      <w:tr w:rsidR="00C52690" w:rsidRPr="008D0AE1" w14:paraId="121EF09A" w14:textId="77777777" w:rsidTr="0056630E">
        <w:trPr>
          <w:jc w:val="center"/>
        </w:trPr>
        <w:tc>
          <w:tcPr>
            <w:tcW w:w="3091" w:type="dxa"/>
          </w:tcPr>
          <w:p w14:paraId="7634273A" w14:textId="4CC3644F" w:rsidR="00C52690" w:rsidRPr="008D0AE1" w:rsidRDefault="00C52690" w:rsidP="009F2501">
            <w:pPr>
              <w:pStyle w:val="ExhibitText"/>
              <w:jc w:val="left"/>
              <w:rPr>
                <w:lang w:val="en-GB"/>
              </w:rPr>
            </w:pPr>
            <w:r w:rsidRPr="008D0AE1">
              <w:rPr>
                <w:lang w:val="en-GB"/>
              </w:rPr>
              <w:t>Apple</w:t>
            </w:r>
            <w:r w:rsidR="00686ABD">
              <w:rPr>
                <w:lang w:val="en-GB"/>
              </w:rPr>
              <w:t xml:space="preserve"> Inc.</w:t>
            </w:r>
          </w:p>
        </w:tc>
        <w:tc>
          <w:tcPr>
            <w:tcW w:w="992" w:type="dxa"/>
          </w:tcPr>
          <w:p w14:paraId="49D1D681" w14:textId="77777777" w:rsidR="00C52690" w:rsidRPr="008D0AE1" w:rsidRDefault="00C52690" w:rsidP="009F2501">
            <w:pPr>
              <w:pStyle w:val="ExhibitText"/>
              <w:jc w:val="right"/>
              <w:rPr>
                <w:lang w:val="en-GB"/>
              </w:rPr>
            </w:pPr>
            <w:r w:rsidRPr="008D0AE1">
              <w:rPr>
                <w:lang w:val="en-GB"/>
              </w:rPr>
              <w:t>3.9%</w:t>
            </w:r>
          </w:p>
        </w:tc>
      </w:tr>
      <w:tr w:rsidR="00C52690" w:rsidRPr="008D0AE1" w14:paraId="0D90C5AA" w14:textId="77777777" w:rsidTr="0056630E">
        <w:trPr>
          <w:jc w:val="center"/>
        </w:trPr>
        <w:tc>
          <w:tcPr>
            <w:tcW w:w="3091" w:type="dxa"/>
          </w:tcPr>
          <w:p w14:paraId="48010056" w14:textId="04028CEE" w:rsidR="00C52690" w:rsidRPr="008D0AE1" w:rsidRDefault="00C52690" w:rsidP="009F2501">
            <w:pPr>
              <w:pStyle w:val="ExhibitText"/>
              <w:jc w:val="left"/>
              <w:rPr>
                <w:lang w:val="en-GB"/>
              </w:rPr>
            </w:pPr>
            <w:r w:rsidRPr="008D0AE1">
              <w:rPr>
                <w:lang w:val="en-GB"/>
              </w:rPr>
              <w:t>Walmart</w:t>
            </w:r>
            <w:r w:rsidR="00686ABD">
              <w:rPr>
                <w:lang w:val="en-GB"/>
              </w:rPr>
              <w:t xml:space="preserve"> Inc.</w:t>
            </w:r>
          </w:p>
        </w:tc>
        <w:tc>
          <w:tcPr>
            <w:tcW w:w="992" w:type="dxa"/>
          </w:tcPr>
          <w:p w14:paraId="6976CC84" w14:textId="77777777" w:rsidR="00C52690" w:rsidRPr="008D0AE1" w:rsidRDefault="00C52690" w:rsidP="009F2501">
            <w:pPr>
              <w:pStyle w:val="ExhibitText"/>
              <w:jc w:val="right"/>
              <w:rPr>
                <w:lang w:val="en-GB"/>
              </w:rPr>
            </w:pPr>
            <w:r w:rsidRPr="008D0AE1">
              <w:rPr>
                <w:lang w:val="en-GB"/>
              </w:rPr>
              <w:t>3.7%</w:t>
            </w:r>
          </w:p>
        </w:tc>
      </w:tr>
      <w:tr w:rsidR="00C52690" w:rsidRPr="008D0AE1" w14:paraId="7AE56DDA" w14:textId="77777777" w:rsidTr="0056630E">
        <w:trPr>
          <w:jc w:val="center"/>
        </w:trPr>
        <w:tc>
          <w:tcPr>
            <w:tcW w:w="3091" w:type="dxa"/>
          </w:tcPr>
          <w:p w14:paraId="05FBB8D8" w14:textId="2CED63A6" w:rsidR="00C52690" w:rsidRPr="008D0AE1" w:rsidRDefault="00C52690" w:rsidP="009F2501">
            <w:pPr>
              <w:pStyle w:val="ExhibitText"/>
              <w:jc w:val="left"/>
              <w:rPr>
                <w:lang w:val="en-GB"/>
              </w:rPr>
            </w:pPr>
            <w:r w:rsidRPr="008D0AE1">
              <w:rPr>
                <w:lang w:val="en-GB"/>
              </w:rPr>
              <w:t>Home Depot</w:t>
            </w:r>
            <w:r w:rsidR="00686ABD">
              <w:rPr>
                <w:lang w:val="en-GB"/>
              </w:rPr>
              <w:t xml:space="preserve"> Inc.</w:t>
            </w:r>
          </w:p>
        </w:tc>
        <w:tc>
          <w:tcPr>
            <w:tcW w:w="992" w:type="dxa"/>
          </w:tcPr>
          <w:p w14:paraId="24EEDEC8" w14:textId="77777777" w:rsidR="00C52690" w:rsidRPr="008D0AE1" w:rsidRDefault="00C52690" w:rsidP="009F2501">
            <w:pPr>
              <w:pStyle w:val="ExhibitText"/>
              <w:jc w:val="right"/>
              <w:rPr>
                <w:lang w:val="en-GB"/>
              </w:rPr>
            </w:pPr>
            <w:r w:rsidRPr="008D0AE1">
              <w:rPr>
                <w:lang w:val="en-GB"/>
              </w:rPr>
              <w:t>1.5%</w:t>
            </w:r>
          </w:p>
        </w:tc>
      </w:tr>
      <w:tr w:rsidR="00C52690" w:rsidRPr="008D0AE1" w14:paraId="73245149" w14:textId="77777777" w:rsidTr="0056630E">
        <w:trPr>
          <w:jc w:val="center"/>
        </w:trPr>
        <w:tc>
          <w:tcPr>
            <w:tcW w:w="3091" w:type="dxa"/>
          </w:tcPr>
          <w:p w14:paraId="4EB4442C" w14:textId="68A88EC2" w:rsidR="00C52690" w:rsidRPr="008D0AE1" w:rsidRDefault="00C52690" w:rsidP="009F2501">
            <w:pPr>
              <w:pStyle w:val="ExhibitText"/>
              <w:jc w:val="left"/>
              <w:rPr>
                <w:lang w:val="en-GB"/>
              </w:rPr>
            </w:pPr>
            <w:r w:rsidRPr="008D0AE1">
              <w:rPr>
                <w:lang w:val="en-GB"/>
              </w:rPr>
              <w:t>Best Buy</w:t>
            </w:r>
            <w:r w:rsidR="00686ABD">
              <w:rPr>
                <w:lang w:val="en-GB"/>
              </w:rPr>
              <w:t xml:space="preserve"> Co. Inc.</w:t>
            </w:r>
          </w:p>
        </w:tc>
        <w:tc>
          <w:tcPr>
            <w:tcW w:w="992" w:type="dxa"/>
          </w:tcPr>
          <w:p w14:paraId="74A82F1D" w14:textId="77777777" w:rsidR="00C52690" w:rsidRPr="008D0AE1" w:rsidRDefault="00C52690" w:rsidP="009F2501">
            <w:pPr>
              <w:pStyle w:val="ExhibitText"/>
              <w:jc w:val="right"/>
              <w:rPr>
                <w:lang w:val="en-GB"/>
              </w:rPr>
            </w:pPr>
            <w:r w:rsidRPr="008D0AE1">
              <w:rPr>
                <w:lang w:val="en-GB"/>
              </w:rPr>
              <w:t>1.3%</w:t>
            </w:r>
          </w:p>
        </w:tc>
      </w:tr>
      <w:tr w:rsidR="00C52690" w:rsidRPr="008D0AE1" w14:paraId="032B1A5F" w14:textId="77777777" w:rsidTr="0056630E">
        <w:trPr>
          <w:jc w:val="center"/>
        </w:trPr>
        <w:tc>
          <w:tcPr>
            <w:tcW w:w="3091" w:type="dxa"/>
          </w:tcPr>
          <w:p w14:paraId="534F5122" w14:textId="42726062" w:rsidR="00C52690" w:rsidRPr="008D0AE1" w:rsidRDefault="00C52690" w:rsidP="00686ABD">
            <w:pPr>
              <w:pStyle w:val="ExhibitText"/>
              <w:jc w:val="left"/>
              <w:rPr>
                <w:lang w:val="en-GB"/>
              </w:rPr>
            </w:pPr>
            <w:proofErr w:type="spellStart"/>
            <w:r w:rsidRPr="008D0AE1">
              <w:rPr>
                <w:lang w:val="en-GB"/>
              </w:rPr>
              <w:t>Qurate</w:t>
            </w:r>
            <w:proofErr w:type="spellEnd"/>
            <w:r w:rsidRPr="008D0AE1">
              <w:rPr>
                <w:lang w:val="en-GB"/>
              </w:rPr>
              <w:t xml:space="preserve"> </w:t>
            </w:r>
            <w:r w:rsidR="00BA2787" w:rsidRPr="008D0AE1">
              <w:rPr>
                <w:lang w:val="en-GB"/>
              </w:rPr>
              <w:t xml:space="preserve">Retail </w:t>
            </w:r>
            <w:r w:rsidR="00686ABD">
              <w:rPr>
                <w:lang w:val="en-GB"/>
              </w:rPr>
              <w:t>Inc.</w:t>
            </w:r>
          </w:p>
        </w:tc>
        <w:tc>
          <w:tcPr>
            <w:tcW w:w="992" w:type="dxa"/>
          </w:tcPr>
          <w:p w14:paraId="24E869AF" w14:textId="77777777" w:rsidR="00C52690" w:rsidRPr="008D0AE1" w:rsidRDefault="00C52690" w:rsidP="009F2501">
            <w:pPr>
              <w:pStyle w:val="ExhibitText"/>
              <w:jc w:val="right"/>
              <w:rPr>
                <w:lang w:val="en-GB"/>
              </w:rPr>
            </w:pPr>
            <w:r w:rsidRPr="008D0AE1">
              <w:rPr>
                <w:lang w:val="en-GB"/>
              </w:rPr>
              <w:t>1.2%</w:t>
            </w:r>
          </w:p>
        </w:tc>
      </w:tr>
      <w:tr w:rsidR="00C52690" w:rsidRPr="008D0AE1" w14:paraId="76EC9B5C" w14:textId="77777777" w:rsidTr="0056630E">
        <w:trPr>
          <w:jc w:val="center"/>
        </w:trPr>
        <w:tc>
          <w:tcPr>
            <w:tcW w:w="3091" w:type="dxa"/>
          </w:tcPr>
          <w:p w14:paraId="279F600B" w14:textId="08DB2F43" w:rsidR="00C52690" w:rsidRPr="008D0AE1" w:rsidRDefault="00C52690" w:rsidP="009F2501">
            <w:pPr>
              <w:pStyle w:val="ExhibitText"/>
              <w:jc w:val="left"/>
              <w:rPr>
                <w:lang w:val="en-GB"/>
              </w:rPr>
            </w:pPr>
            <w:r w:rsidRPr="008D0AE1">
              <w:rPr>
                <w:lang w:val="en-GB"/>
              </w:rPr>
              <w:t>Macy’s</w:t>
            </w:r>
            <w:r w:rsidR="00686ABD">
              <w:rPr>
                <w:lang w:val="en-GB"/>
              </w:rPr>
              <w:t xml:space="preserve"> Inc.</w:t>
            </w:r>
          </w:p>
        </w:tc>
        <w:tc>
          <w:tcPr>
            <w:tcW w:w="992" w:type="dxa"/>
          </w:tcPr>
          <w:p w14:paraId="28343BF3" w14:textId="77777777" w:rsidR="00C52690" w:rsidRPr="008D0AE1" w:rsidRDefault="00C52690" w:rsidP="009F2501">
            <w:pPr>
              <w:pStyle w:val="ExhibitText"/>
              <w:jc w:val="right"/>
              <w:rPr>
                <w:lang w:val="en-GB"/>
              </w:rPr>
            </w:pPr>
            <w:r w:rsidRPr="008D0AE1">
              <w:rPr>
                <w:lang w:val="en-GB"/>
              </w:rPr>
              <w:t>1.2%</w:t>
            </w:r>
          </w:p>
        </w:tc>
      </w:tr>
      <w:tr w:rsidR="00C52690" w:rsidRPr="008D0AE1" w14:paraId="08F9BADC" w14:textId="77777777" w:rsidTr="0056630E">
        <w:trPr>
          <w:jc w:val="center"/>
        </w:trPr>
        <w:tc>
          <w:tcPr>
            <w:tcW w:w="3091" w:type="dxa"/>
          </w:tcPr>
          <w:p w14:paraId="6E112090" w14:textId="69551ACF" w:rsidR="00C52690" w:rsidRPr="008D0AE1" w:rsidRDefault="00C52690" w:rsidP="009F2501">
            <w:pPr>
              <w:pStyle w:val="ExhibitText"/>
              <w:jc w:val="left"/>
              <w:rPr>
                <w:lang w:val="en-GB"/>
              </w:rPr>
            </w:pPr>
            <w:r w:rsidRPr="008D0AE1">
              <w:rPr>
                <w:lang w:val="en-GB"/>
              </w:rPr>
              <w:t>Costco</w:t>
            </w:r>
            <w:r w:rsidR="00686ABD">
              <w:rPr>
                <w:lang w:val="en-GB"/>
              </w:rPr>
              <w:t xml:space="preserve"> Wholesale Corporation</w:t>
            </w:r>
          </w:p>
        </w:tc>
        <w:tc>
          <w:tcPr>
            <w:tcW w:w="992" w:type="dxa"/>
          </w:tcPr>
          <w:p w14:paraId="221B362A" w14:textId="77777777" w:rsidR="00C52690" w:rsidRPr="008D0AE1" w:rsidRDefault="00C52690" w:rsidP="009F2501">
            <w:pPr>
              <w:pStyle w:val="ExhibitText"/>
              <w:jc w:val="right"/>
              <w:rPr>
                <w:lang w:val="en-GB"/>
              </w:rPr>
            </w:pPr>
            <w:r w:rsidRPr="008D0AE1">
              <w:rPr>
                <w:lang w:val="en-GB"/>
              </w:rPr>
              <w:t>1.2%</w:t>
            </w:r>
          </w:p>
        </w:tc>
      </w:tr>
      <w:tr w:rsidR="00C52690" w:rsidRPr="008D0AE1" w14:paraId="324A1CDC" w14:textId="77777777" w:rsidTr="0056630E">
        <w:trPr>
          <w:jc w:val="center"/>
        </w:trPr>
        <w:tc>
          <w:tcPr>
            <w:tcW w:w="3091" w:type="dxa"/>
          </w:tcPr>
          <w:p w14:paraId="6F8235FA" w14:textId="6254D738" w:rsidR="00C52690" w:rsidRPr="008D0AE1" w:rsidRDefault="00C52690" w:rsidP="009F2501">
            <w:pPr>
              <w:pStyle w:val="ExhibitText"/>
              <w:jc w:val="left"/>
              <w:rPr>
                <w:lang w:val="en-GB"/>
              </w:rPr>
            </w:pPr>
            <w:r w:rsidRPr="008D0AE1">
              <w:rPr>
                <w:lang w:val="en-GB"/>
              </w:rPr>
              <w:t>Wayfair</w:t>
            </w:r>
            <w:r w:rsidR="00686ABD">
              <w:rPr>
                <w:lang w:val="en-GB"/>
              </w:rPr>
              <w:t xml:space="preserve"> Inc.</w:t>
            </w:r>
          </w:p>
        </w:tc>
        <w:tc>
          <w:tcPr>
            <w:tcW w:w="992" w:type="dxa"/>
          </w:tcPr>
          <w:p w14:paraId="715DB087" w14:textId="77777777" w:rsidR="00C52690" w:rsidRPr="008D0AE1" w:rsidRDefault="00C52690" w:rsidP="009F2501">
            <w:pPr>
              <w:pStyle w:val="ExhibitText"/>
              <w:jc w:val="right"/>
              <w:rPr>
                <w:lang w:val="en-GB"/>
              </w:rPr>
            </w:pPr>
            <w:r w:rsidRPr="008D0AE1">
              <w:rPr>
                <w:lang w:val="en-GB"/>
              </w:rPr>
              <w:t>1.1%</w:t>
            </w:r>
          </w:p>
        </w:tc>
      </w:tr>
    </w:tbl>
    <w:p w14:paraId="62A36C68" w14:textId="77777777" w:rsidR="009F2501" w:rsidRPr="008D0AE1" w:rsidRDefault="009F2501" w:rsidP="00653B09">
      <w:pPr>
        <w:pStyle w:val="FootnoteText1"/>
        <w:rPr>
          <w:lang w:val="en-GB"/>
        </w:rPr>
      </w:pPr>
    </w:p>
    <w:p w14:paraId="6041FA76" w14:textId="171EDAF4" w:rsidR="00C52690" w:rsidRPr="00653B09" w:rsidRDefault="00C52690" w:rsidP="00653B09">
      <w:pPr>
        <w:pStyle w:val="FootnoteText1"/>
      </w:pPr>
      <w:r w:rsidRPr="00653B09">
        <w:t>Source:</w:t>
      </w:r>
      <w:r w:rsidR="00BC7877" w:rsidRPr="00653B09">
        <w:t xml:space="preserve"> </w:t>
      </w:r>
      <w:proofErr w:type="spellStart"/>
      <w:r w:rsidR="00BC7877" w:rsidRPr="00653B09">
        <w:t>Renwen</w:t>
      </w:r>
      <w:proofErr w:type="spellEnd"/>
      <w:r w:rsidR="00BC7877" w:rsidRPr="00653B09">
        <w:t xml:space="preserve"> Yang</w:t>
      </w:r>
      <w:r w:rsidR="0022475A">
        <w:t>,</w:t>
      </w:r>
      <w:r w:rsidRPr="00653B09">
        <w:t xml:space="preserve"> </w:t>
      </w:r>
      <w:r w:rsidR="00BC7877" w:rsidRPr="00653B09">
        <w:t>“</w:t>
      </w:r>
      <w:r w:rsidR="00653B09" w:rsidRPr="00653B09">
        <w:t>Amazon (AMZN.O): Self-</w:t>
      </w:r>
      <w:r w:rsidR="0022475A">
        <w:t>P</w:t>
      </w:r>
      <w:r w:rsidR="00653B09" w:rsidRPr="00653B09">
        <w:t xml:space="preserve">romoted </w:t>
      </w:r>
      <w:r w:rsidR="00165215">
        <w:t>I</w:t>
      </w:r>
      <w:r w:rsidR="00653B09" w:rsidRPr="00653B09">
        <w:t xml:space="preserve">nfinite </w:t>
      </w:r>
      <w:r w:rsidR="00165215">
        <w:t>E</w:t>
      </w:r>
      <w:r w:rsidR="00653B09" w:rsidRPr="00653B09">
        <w:t>xpansion</w:t>
      </w:r>
      <w:r w:rsidR="00165215">
        <w:t>”</w:t>
      </w:r>
      <w:r w:rsidR="00BC7877" w:rsidRPr="00653B09">
        <w:rPr>
          <w:rFonts w:eastAsia="Microsoft YaHei"/>
        </w:rPr>
        <w:t xml:space="preserve"> </w:t>
      </w:r>
      <w:r w:rsidR="00653B09">
        <w:rPr>
          <w:rFonts w:eastAsia="Microsoft YaHei"/>
        </w:rPr>
        <w:t xml:space="preserve">[in Chinese], </w:t>
      </w:r>
      <w:r w:rsidRPr="00653B09">
        <w:t xml:space="preserve">Amazon </w:t>
      </w:r>
      <w:r w:rsidR="00653B09">
        <w:t>R</w:t>
      </w:r>
      <w:r w:rsidRPr="00653B09">
        <w:t xml:space="preserve">esearch </w:t>
      </w:r>
      <w:r w:rsidR="00653B09">
        <w:t>R</w:t>
      </w:r>
      <w:r w:rsidRPr="00653B09">
        <w:t>eport</w:t>
      </w:r>
      <w:r w:rsidR="00653B09">
        <w:t>,</w:t>
      </w:r>
      <w:r w:rsidRPr="00653B09">
        <w:t xml:space="preserve"> Founder Securities</w:t>
      </w:r>
      <w:r w:rsidR="00BC7877" w:rsidRPr="00653B09">
        <w:t xml:space="preserve">, </w:t>
      </w:r>
      <w:r w:rsidRPr="00653B09">
        <w:t>October 23, 2018</w:t>
      </w:r>
      <w:r w:rsidR="00BC7877" w:rsidRPr="00653B09">
        <w:t>, China</w:t>
      </w:r>
      <w:r w:rsidR="00BA2787" w:rsidRPr="00653B09">
        <w:t>.</w:t>
      </w:r>
    </w:p>
    <w:p w14:paraId="5E327933" w14:textId="475B63C8" w:rsidR="000C14B8" w:rsidRDefault="000C14B8">
      <w:pPr>
        <w:spacing w:after="200" w:line="276" w:lineRule="auto"/>
        <w:rPr>
          <w:sz w:val="22"/>
          <w:szCs w:val="22"/>
        </w:rPr>
      </w:pPr>
      <w:r>
        <w:br w:type="page"/>
      </w:r>
    </w:p>
    <w:p w14:paraId="180FCA66" w14:textId="747D6ADE" w:rsidR="00C52690" w:rsidRPr="00EB3E86" w:rsidRDefault="000C14B8" w:rsidP="000C14B8">
      <w:pPr>
        <w:pStyle w:val="ExhibitHeading"/>
        <w:jc w:val="left"/>
      </w:pPr>
      <w:r>
        <w:lastRenderedPageBreak/>
        <w:t>ENDNOTES</w:t>
      </w:r>
    </w:p>
    <w:sectPr w:rsidR="00C52690" w:rsidRPr="00EB3E86" w:rsidSect="00751E0B">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C4A3F" w14:textId="77777777" w:rsidR="00E9517F" w:rsidRDefault="00E9517F" w:rsidP="00D75295">
      <w:r>
        <w:separator/>
      </w:r>
    </w:p>
  </w:endnote>
  <w:endnote w:type="continuationSeparator" w:id="0">
    <w:p w14:paraId="4DC3D6AF" w14:textId="77777777" w:rsidR="00E9517F" w:rsidRDefault="00E9517F" w:rsidP="00D75295">
      <w:r>
        <w:continuationSeparator/>
      </w:r>
    </w:p>
  </w:endnote>
  <w:endnote w:id="1">
    <w:p w14:paraId="0DF35B6D" w14:textId="2AD4892A" w:rsidR="00773C02" w:rsidRPr="000C14B8" w:rsidRDefault="00773C02" w:rsidP="00441420">
      <w:pPr>
        <w:pStyle w:val="FootnoteText1"/>
      </w:pPr>
      <w:r w:rsidRPr="000C14B8">
        <w:rPr>
          <w:rStyle w:val="EndnoteReference"/>
        </w:rPr>
        <w:endnoteRef/>
      </w:r>
      <w:r w:rsidRPr="000C14B8">
        <w:t xml:space="preserve"> This case has been written on the basis of published sources only. Consequently, the interpretation and perspectives presented in this case are not necessarily those of Amazon China or any of its employees.</w:t>
      </w:r>
    </w:p>
  </w:endnote>
  <w:endnote w:id="2">
    <w:p w14:paraId="6412326A" w14:textId="40540AEF" w:rsidR="00773C02" w:rsidRPr="000C14B8" w:rsidRDefault="00773C02" w:rsidP="00C52690">
      <w:pPr>
        <w:pStyle w:val="Footnote"/>
      </w:pPr>
      <w:r w:rsidRPr="000C14B8">
        <w:rPr>
          <w:vertAlign w:val="superscript"/>
        </w:rPr>
        <w:endnoteRef/>
      </w:r>
      <w:r w:rsidRPr="000C14B8">
        <w:t xml:space="preserve"> “Amazon’s Business Strategy &amp; Leadership In Online Retailing,” Profitworks, accessed October 15, 2019, https://profitworks.ca/blog/543-amazon-business-strategy-leadership-online-retailing</w:t>
      </w:r>
      <w:r w:rsidRPr="000C14B8" w:rsidDel="003A3D1D">
        <w:t xml:space="preserve"> </w:t>
      </w:r>
    </w:p>
  </w:endnote>
  <w:endnote w:id="3">
    <w:p w14:paraId="29250286" w14:textId="3FBC523C" w:rsidR="00773C02" w:rsidRPr="000C14B8" w:rsidRDefault="00773C02" w:rsidP="00C52690">
      <w:pPr>
        <w:pStyle w:val="Footnote"/>
      </w:pPr>
      <w:r w:rsidRPr="000C14B8">
        <w:rPr>
          <w:vertAlign w:val="superscript"/>
        </w:rPr>
        <w:endnoteRef/>
      </w:r>
      <w:r w:rsidRPr="000C14B8">
        <w:t xml:space="preserve"> “Amazon Com Inc (AMZN) IPO,” Nasdaq, accessed April 24, 2019, www.nasdaq.com/markets/ipos/company/amazon-com-inc-7235-8587; All dollar amounts are in US</w:t>
      </w:r>
      <w:r>
        <w:t xml:space="preserve"> dollars</w:t>
      </w:r>
      <w:r w:rsidRPr="000C14B8">
        <w:t>, unless otherwise specified.</w:t>
      </w:r>
    </w:p>
  </w:endnote>
  <w:endnote w:id="4">
    <w:p w14:paraId="3D91629A" w14:textId="4B025E06" w:rsidR="00773C02" w:rsidRPr="000C14B8" w:rsidRDefault="00773C02" w:rsidP="00C52690">
      <w:pPr>
        <w:pStyle w:val="Footnote"/>
      </w:pPr>
      <w:r w:rsidRPr="000C14B8">
        <w:rPr>
          <w:vertAlign w:val="superscript"/>
        </w:rPr>
        <w:endnoteRef/>
      </w:r>
      <w:r w:rsidRPr="000C14B8">
        <w:rPr>
          <w:spacing w:val="-4"/>
        </w:rPr>
        <w:t xml:space="preserve"> Noel Randewich, “Amazon Is Now Second Most Valuable U.S.-Listed Company, Tops Alphabet,” Reuters, March 20, 2018, accessed April 24, 2019, https://www.reuters.com/article/us-amazon-com-stocks-alphabet/amazon-is-now-second-most-valuable-u-s-listed-company-tops-alphabet-idUSKBN1GW318.</w:t>
      </w:r>
    </w:p>
  </w:endnote>
  <w:endnote w:id="5">
    <w:p w14:paraId="3AF6A325" w14:textId="121EFA1C" w:rsidR="00773C02" w:rsidRPr="000C14B8" w:rsidRDefault="00773C02" w:rsidP="004C6651">
      <w:pPr>
        <w:pStyle w:val="FootnoteText1"/>
      </w:pPr>
      <w:r w:rsidRPr="000C14B8">
        <w:rPr>
          <w:rStyle w:val="EndnoteReference"/>
        </w:rPr>
        <w:endnoteRef/>
      </w:r>
      <w:r w:rsidRPr="000C14B8">
        <w:t xml:space="preserve"> Nick Wingfield and Michael J. de la Merced, “Amazon to Buy Whole Foods for $13.4 Billion,” </w:t>
      </w:r>
      <w:r>
        <w:rPr>
          <w:i/>
        </w:rPr>
        <w:t xml:space="preserve">The New York </w:t>
      </w:r>
      <w:r w:rsidRPr="00947CBB">
        <w:rPr>
          <w:i/>
        </w:rPr>
        <w:t>Times</w:t>
      </w:r>
      <w:r>
        <w:t xml:space="preserve">, June 16, 2017, </w:t>
      </w:r>
      <w:r w:rsidRPr="00947CBB">
        <w:t>accessed</w:t>
      </w:r>
      <w:r w:rsidRPr="000C14B8">
        <w:t xml:space="preserve"> April 24, 2019, https://www.nytimes.com/2017/06/16/business/dealbook/amazon-whole-foods.html.</w:t>
      </w:r>
    </w:p>
  </w:endnote>
  <w:endnote w:id="6">
    <w:p w14:paraId="24D80B2D" w14:textId="294C14AA" w:rsidR="00773C02" w:rsidRPr="000C14B8" w:rsidRDefault="00773C02" w:rsidP="004C6651">
      <w:pPr>
        <w:pStyle w:val="FootnoteText1"/>
      </w:pPr>
      <w:r w:rsidRPr="000C14B8">
        <w:rPr>
          <w:rStyle w:val="EndnoteReference"/>
        </w:rPr>
        <w:endnoteRef/>
      </w:r>
      <w:r w:rsidRPr="000C14B8">
        <w:t xml:space="preserve"> Don Reisinger</w:t>
      </w:r>
      <w:r>
        <w:t>,</w:t>
      </w:r>
      <w:r w:rsidRPr="000C14B8">
        <w:t xml:space="preserve"> “Amazon Prime Has More Than 100 Million U.S. Subscribers,” </w:t>
      </w:r>
      <w:r w:rsidRPr="0069401A">
        <w:rPr>
          <w:i/>
        </w:rPr>
        <w:t>Fortune</w:t>
      </w:r>
      <w:r>
        <w:t xml:space="preserve">, January 17, 2019, </w:t>
      </w:r>
      <w:r w:rsidRPr="000C14B8">
        <w:t xml:space="preserve">accessed April 24, 2019, </w:t>
      </w:r>
      <w:hyperlink r:id="rId1" w:history="1">
        <w:r w:rsidRPr="000C14B8">
          <w:t>https://fortune.com/2019/01/17/amazon-prime-subscribers/</w:t>
        </w:r>
      </w:hyperlink>
      <w:r>
        <w:t>.</w:t>
      </w:r>
    </w:p>
  </w:endnote>
  <w:endnote w:id="7">
    <w:p w14:paraId="0F7AD462" w14:textId="50856B19" w:rsidR="00773C02" w:rsidRPr="000C14B8" w:rsidRDefault="00773C02" w:rsidP="004C6651">
      <w:pPr>
        <w:pStyle w:val="FootnoteText1"/>
      </w:pPr>
      <w:r w:rsidRPr="000C14B8">
        <w:rPr>
          <w:rStyle w:val="EndnoteReference"/>
        </w:rPr>
        <w:endnoteRef/>
      </w:r>
      <w:r w:rsidRPr="000C14B8">
        <w:t xml:space="preserve"> </w:t>
      </w:r>
      <w:r w:rsidRPr="000C14B8">
        <w:rPr>
          <w:rFonts w:eastAsia="Georgia"/>
          <w:lang w:val="en-GB"/>
        </w:rPr>
        <w:t xml:space="preserve">Amazon.com Inc., </w:t>
      </w:r>
      <w:r w:rsidRPr="000C14B8">
        <w:rPr>
          <w:rFonts w:eastAsia="Georgia"/>
          <w:i/>
          <w:lang w:val="en-GB"/>
        </w:rPr>
        <w:t>2007 Annual Report</w:t>
      </w:r>
      <w:r w:rsidRPr="000C14B8">
        <w:rPr>
          <w:rFonts w:eastAsia="Georgia"/>
          <w:lang w:val="en-GB"/>
        </w:rPr>
        <w:t xml:space="preserve">, 2008, accessed April 26, 2019, https://ir.aboutamazon.com/static-files/56afc458-02b3-4938-9918-85d610d6f146; Amazon.com Inc., </w:t>
      </w:r>
      <w:r w:rsidRPr="000C14B8">
        <w:rPr>
          <w:rFonts w:eastAsia="Georgia"/>
          <w:i/>
          <w:lang w:val="en-GB"/>
        </w:rPr>
        <w:t>2008 Annual Report</w:t>
      </w:r>
      <w:r w:rsidRPr="000C14B8">
        <w:rPr>
          <w:rFonts w:eastAsia="Georgia"/>
          <w:lang w:val="en-GB"/>
        </w:rPr>
        <w:t xml:space="preserve">, 2009, accessed April 26, 2019, https://ir.aboutamazon.com/static-files/e1846da7-9425-42d9-add7-84218d7ee5e7; Amazon.com Inc., </w:t>
      </w:r>
      <w:r w:rsidRPr="000C14B8">
        <w:rPr>
          <w:rFonts w:eastAsia="Georgia"/>
          <w:i/>
          <w:lang w:val="en-GB"/>
        </w:rPr>
        <w:t>2009 Annual Report</w:t>
      </w:r>
      <w:r w:rsidRPr="000C14B8">
        <w:rPr>
          <w:rFonts w:eastAsia="Georgia"/>
          <w:lang w:val="en-GB"/>
        </w:rPr>
        <w:t xml:space="preserve">, 2010, accessed April 26, 2019, https://ir.aboutamazon.com/static-files/f793debb-dc0a-4edf-a56d-9ff739d53b41; Amazon.com Inc., </w:t>
      </w:r>
      <w:r w:rsidRPr="000C14B8">
        <w:rPr>
          <w:rFonts w:eastAsia="Georgia"/>
          <w:i/>
          <w:lang w:val="en-GB"/>
        </w:rPr>
        <w:t>2010 Annual Report</w:t>
      </w:r>
      <w:r w:rsidRPr="000C14B8">
        <w:rPr>
          <w:rFonts w:eastAsia="Georgia"/>
          <w:lang w:val="en-GB"/>
        </w:rPr>
        <w:t xml:space="preserve">, 2011, accessed April 26, 2019, </w:t>
      </w:r>
      <w:r w:rsidRPr="000C14B8">
        <w:rPr>
          <w:rFonts w:eastAsia="Georgia"/>
        </w:rPr>
        <w:t>https://ir.aboutamazon.com/static-files/6f3c99ed-5094-4fed-a9ad-e18cdbf37478</w:t>
      </w:r>
      <w:r w:rsidRPr="000C14B8">
        <w:rPr>
          <w:rFonts w:eastAsia="Georgia"/>
          <w:lang w:val="en-GB"/>
        </w:rPr>
        <w:t>;</w:t>
      </w:r>
      <w:r w:rsidRPr="000C14B8">
        <w:t xml:space="preserve"> </w:t>
      </w:r>
      <w:r w:rsidRPr="000C14B8">
        <w:rPr>
          <w:rFonts w:eastAsia="Georgia"/>
          <w:lang w:val="en-GB"/>
        </w:rPr>
        <w:t xml:space="preserve">Amazon.com Inc., </w:t>
      </w:r>
      <w:r w:rsidRPr="000C14B8">
        <w:rPr>
          <w:rFonts w:eastAsia="Georgia"/>
          <w:i/>
          <w:lang w:val="en-GB"/>
        </w:rPr>
        <w:t>2011 Annual Report</w:t>
      </w:r>
      <w:r w:rsidRPr="000C14B8">
        <w:rPr>
          <w:rFonts w:eastAsia="Georgia"/>
          <w:lang w:val="en-GB"/>
        </w:rPr>
        <w:t>, 2012, accessed April 26, 2019, https://ir.aboutamazon.com/static-files/02a49fbe-6860-4ed7-ade4-905bcf16a5e1;</w:t>
      </w:r>
      <w:r w:rsidRPr="000C14B8">
        <w:t xml:space="preserve"> </w:t>
      </w:r>
      <w:r w:rsidRPr="000C14B8">
        <w:rPr>
          <w:rFonts w:eastAsia="Georgia"/>
          <w:lang w:val="en-GB"/>
        </w:rPr>
        <w:t xml:space="preserve">Amazon.com Inc., </w:t>
      </w:r>
      <w:r w:rsidRPr="000C14B8">
        <w:rPr>
          <w:rFonts w:eastAsia="Georgia"/>
          <w:i/>
          <w:lang w:val="en-GB"/>
        </w:rPr>
        <w:t>2012 Annual Report</w:t>
      </w:r>
      <w:r w:rsidRPr="000C14B8">
        <w:rPr>
          <w:rFonts w:eastAsia="Georgia"/>
          <w:lang w:val="en-GB"/>
        </w:rPr>
        <w:t xml:space="preserve">, 2013, accessed April 26, 2019, </w:t>
      </w:r>
      <w:r w:rsidRPr="000C14B8">
        <w:rPr>
          <w:rFonts w:eastAsia="Georgia"/>
        </w:rPr>
        <w:t>https://ir.aboutamazon.com/static-files/28bfea7a-7b18-4ab0-ba03-581c6ccaa3a4</w:t>
      </w:r>
      <w:r w:rsidRPr="000C14B8">
        <w:rPr>
          <w:rFonts w:eastAsia="Georgia"/>
          <w:lang w:val="en-GB"/>
        </w:rPr>
        <w:t xml:space="preserve">; Amazon.com Inc., </w:t>
      </w:r>
      <w:r w:rsidRPr="000C14B8">
        <w:rPr>
          <w:rFonts w:eastAsia="Georgia"/>
          <w:i/>
          <w:lang w:val="en-GB"/>
        </w:rPr>
        <w:t>2013 Annual Report</w:t>
      </w:r>
      <w:r w:rsidRPr="000C14B8">
        <w:rPr>
          <w:rFonts w:eastAsia="Georgia"/>
          <w:lang w:val="en-GB"/>
        </w:rPr>
        <w:t xml:space="preserve">, 2014, accessed April 26, 2019, </w:t>
      </w:r>
      <w:r w:rsidRPr="000C14B8">
        <w:rPr>
          <w:rFonts w:eastAsia="Georgia"/>
        </w:rPr>
        <w:t>https://ir.aboutamazon.com/static-files/1be0475a-fcab-4826-9258-17f11c208487</w:t>
      </w:r>
      <w:r w:rsidRPr="000C14B8">
        <w:rPr>
          <w:rFonts w:eastAsia="Georgia"/>
          <w:lang w:val="en-GB"/>
        </w:rPr>
        <w:t xml:space="preserve">; Rupert Neate, “Amazon Reports $89bn in Sales Last Year as Shares Jump 11% After Hours,” </w:t>
      </w:r>
      <w:r>
        <w:rPr>
          <w:rFonts w:eastAsia="Georgia"/>
          <w:i/>
          <w:lang w:val="en-GB"/>
        </w:rPr>
        <w:t xml:space="preserve">The </w:t>
      </w:r>
      <w:r w:rsidRPr="000C14B8">
        <w:rPr>
          <w:rFonts w:eastAsia="Georgia"/>
          <w:i/>
          <w:lang w:val="en-GB"/>
        </w:rPr>
        <w:t>Guardian</w:t>
      </w:r>
      <w:r w:rsidRPr="000C14B8">
        <w:rPr>
          <w:rFonts w:eastAsia="Georgia"/>
          <w:lang w:val="en-GB"/>
        </w:rPr>
        <w:t xml:space="preserve">, January 29, 2015, accessed April 26, 2019, </w:t>
      </w:r>
      <w:r w:rsidRPr="000C14B8">
        <w:rPr>
          <w:rFonts w:eastAsia="Georgia"/>
        </w:rPr>
        <w:t>https://www.theguardian.com/technology/2015/jan/29/amazon-reports-89b-in-sales-2014</w:t>
      </w:r>
      <w:r w:rsidRPr="000C14B8">
        <w:rPr>
          <w:rFonts w:eastAsia="Georgia"/>
          <w:lang w:val="en-GB"/>
        </w:rPr>
        <w:t xml:space="preserve">; Janko Roettgers, “Amazon Clocks $107 Billion in Revenue in 2015,” </w:t>
      </w:r>
      <w:r w:rsidRPr="000C14B8">
        <w:rPr>
          <w:rFonts w:eastAsia="Georgia"/>
          <w:i/>
          <w:lang w:val="en-GB"/>
        </w:rPr>
        <w:t>Variety</w:t>
      </w:r>
      <w:r w:rsidRPr="000C14B8">
        <w:rPr>
          <w:rFonts w:eastAsia="Georgia"/>
          <w:lang w:val="en-GB"/>
        </w:rPr>
        <w:t xml:space="preserve">, January 28, 2016, accessed April 26, 2019, </w:t>
      </w:r>
      <w:r w:rsidRPr="000C14B8">
        <w:rPr>
          <w:rFonts w:eastAsia="Georgia"/>
        </w:rPr>
        <w:t>https://variety.com/2016/biz/news/amazon-clocks-107-billion-in-revenue-in-2015-1201691106/</w:t>
      </w:r>
      <w:r w:rsidRPr="000C14B8">
        <w:rPr>
          <w:rFonts w:eastAsia="Georgia"/>
          <w:lang w:val="en-GB"/>
        </w:rPr>
        <w:t xml:space="preserve">; Ángel González, “Amazon Sales Hit $136B in 2016; Dollar Hurts Overseas Business,” </w:t>
      </w:r>
      <w:r w:rsidRPr="000C14B8">
        <w:rPr>
          <w:rFonts w:eastAsia="Georgia"/>
          <w:i/>
          <w:lang w:val="en-GB"/>
        </w:rPr>
        <w:t>Seattle Times</w:t>
      </w:r>
      <w:r w:rsidRPr="000C14B8">
        <w:rPr>
          <w:rFonts w:eastAsia="Georgia"/>
          <w:lang w:val="en-GB"/>
        </w:rPr>
        <w:t>, February 3, 2017, accessed April 26, 2019, https://www.seattletimes.com/business/amazon/amazon-revenues-hit-by-stronger-dollar-miss-wall-street-expectations/; “Amazon 2017 Sales Jump by Nearly a Third,” BBC News, February 1, 2018, accessed April 26, 2019, https://www.bbc.com/news/business-42911123.</w:t>
      </w:r>
    </w:p>
  </w:endnote>
  <w:endnote w:id="8">
    <w:p w14:paraId="574C0F94" w14:textId="7C89F6D7" w:rsidR="00773C02" w:rsidRPr="000C14B8" w:rsidRDefault="00773C02" w:rsidP="00C52690">
      <w:pPr>
        <w:pStyle w:val="Footnote"/>
      </w:pPr>
      <w:r w:rsidRPr="000C14B8">
        <w:rPr>
          <w:vertAlign w:val="superscript"/>
        </w:rPr>
        <w:endnoteRef/>
      </w:r>
      <w:r w:rsidRPr="000C14B8">
        <w:t xml:space="preserve"> Matt Hines, “Amazon Buys into Chinese Market,” CNet, August 19, 2004, accessed April 24, 2019, </w:t>
      </w:r>
      <w:hyperlink r:id="rId2">
        <w:r w:rsidRPr="000C14B8">
          <w:t>https://www.cnet.com/news/amazon-buys-into-chinese-market/</w:t>
        </w:r>
      </w:hyperlink>
      <w:r w:rsidRPr="000C14B8">
        <w:t>.</w:t>
      </w:r>
    </w:p>
  </w:endnote>
  <w:endnote w:id="9">
    <w:p w14:paraId="1BFE7F1A" w14:textId="284C771D" w:rsidR="00773C02" w:rsidRPr="000C14B8" w:rsidRDefault="00773C02" w:rsidP="00C52690">
      <w:pPr>
        <w:pStyle w:val="Footnote"/>
      </w:pPr>
      <w:r w:rsidRPr="000C14B8">
        <w:rPr>
          <w:vertAlign w:val="superscript"/>
        </w:rPr>
        <w:endnoteRef/>
      </w:r>
      <w:r w:rsidRPr="000C14B8">
        <w:t xml:space="preserve"> Mure Dickie, “Amazon to Buy Chinese Online Retailer for $75 Million,” </w:t>
      </w:r>
      <w:r w:rsidRPr="000C14B8">
        <w:rPr>
          <w:i/>
        </w:rPr>
        <w:t>Irish Times</w:t>
      </w:r>
      <w:r w:rsidRPr="000C14B8">
        <w:t>, August 20, 2004, accessed April 24, 2019, https://www.irishtimes.com/business/amazon-to-buy-chinese-online-retailer-for-75-million-1.1154123.</w:t>
      </w:r>
    </w:p>
  </w:endnote>
  <w:endnote w:id="10">
    <w:p w14:paraId="4D07F8E7" w14:textId="57666C69" w:rsidR="00773C02" w:rsidRPr="000C14B8" w:rsidRDefault="00773C02" w:rsidP="00334576">
      <w:pPr>
        <w:pStyle w:val="Footnote"/>
      </w:pPr>
      <w:r w:rsidRPr="000C14B8">
        <w:rPr>
          <w:rStyle w:val="EndnoteReference"/>
        </w:rPr>
        <w:endnoteRef/>
      </w:r>
      <w:r w:rsidRPr="000C14B8">
        <w:t xml:space="preserve"> Hines, op. cit.</w:t>
      </w:r>
    </w:p>
  </w:endnote>
  <w:endnote w:id="11">
    <w:p w14:paraId="3380DCB1" w14:textId="0F59DD60" w:rsidR="00773C02" w:rsidRPr="000C14B8" w:rsidRDefault="00773C02" w:rsidP="0069401A">
      <w:pPr>
        <w:pStyle w:val="FootnoteText1"/>
        <w:rPr>
          <w:highlight w:val="cyan"/>
        </w:rPr>
      </w:pPr>
      <w:r w:rsidRPr="000C14B8">
        <w:rPr>
          <w:rStyle w:val="EndnoteReference"/>
        </w:rPr>
        <w:endnoteRef/>
      </w:r>
      <w:r w:rsidRPr="000C14B8">
        <w:t xml:space="preserve"> </w:t>
      </w:r>
      <w:r w:rsidRPr="000C14B8">
        <w:rPr>
          <w:lang w:eastAsia="en-US"/>
        </w:rPr>
        <w:t>Eileen Yu, “</w:t>
      </w:r>
      <w:r w:rsidRPr="000C14B8">
        <w:t xml:space="preserve">Alibaba Breaks Previous Singles Day Sales Record to Hit $25.3B,” ZDNet, November 12, 2017, </w:t>
      </w:r>
      <w:r w:rsidRPr="000C14B8">
        <w:rPr>
          <w:lang w:eastAsia="en-US"/>
        </w:rPr>
        <w:t>accessed April 11, 2021,</w:t>
      </w:r>
      <w:r w:rsidRPr="000C14B8">
        <w:t xml:space="preserve"> </w:t>
      </w:r>
      <w:r w:rsidRPr="000C14B8">
        <w:rPr>
          <w:lang w:eastAsia="en-US"/>
        </w:rPr>
        <w:t>https://www.zdnet.com/article/alibaba-breaks-previous-singles-day-sales-record-to-hit-25-3b/.</w:t>
      </w:r>
    </w:p>
  </w:endnote>
  <w:endnote w:id="12">
    <w:p w14:paraId="38574E62" w14:textId="561B9510" w:rsidR="00773C02" w:rsidRPr="000C14B8" w:rsidRDefault="00773C02" w:rsidP="004C6651">
      <w:pPr>
        <w:pStyle w:val="FootnoteText1"/>
      </w:pPr>
      <w:r w:rsidRPr="000C14B8">
        <w:rPr>
          <w:rStyle w:val="EndnoteReference"/>
        </w:rPr>
        <w:endnoteRef/>
      </w:r>
      <w:r w:rsidRPr="000C14B8">
        <w:t xml:space="preserve"> “7 Customer Service Lessons from Amazon CEO Jeff Bezos,” SalesForce, June 10, 2013, accessed April 24, 2019, https://www.salesforce.com/blog/2013/06/jeff-bezos-lessons.html.</w:t>
      </w:r>
    </w:p>
  </w:endnote>
  <w:endnote w:id="13">
    <w:p w14:paraId="62E3562E" w14:textId="26FED458" w:rsidR="00773C02" w:rsidRPr="000C14B8" w:rsidRDefault="00773C02" w:rsidP="0069401A">
      <w:pPr>
        <w:pStyle w:val="EndnoteText"/>
        <w:jc w:val="both"/>
        <w:rPr>
          <w:rFonts w:ascii="Arial" w:hAnsi="Arial" w:cs="Arial"/>
          <w:sz w:val="17"/>
          <w:szCs w:val="17"/>
          <w:highlight w:val="cyan"/>
        </w:rPr>
      </w:pPr>
      <w:r w:rsidRPr="000C14B8">
        <w:rPr>
          <w:rStyle w:val="EndnoteReference"/>
          <w:rFonts w:ascii="Arial" w:hAnsi="Arial" w:cs="Arial"/>
          <w:sz w:val="17"/>
          <w:szCs w:val="17"/>
        </w:rPr>
        <w:endnoteRef/>
      </w:r>
      <w:r w:rsidRPr="000C14B8">
        <w:rPr>
          <w:rFonts w:ascii="Arial" w:hAnsi="Arial" w:cs="Arial"/>
          <w:sz w:val="17"/>
          <w:szCs w:val="17"/>
        </w:rPr>
        <w:t xml:space="preserve"> </w:t>
      </w:r>
      <w:r w:rsidRPr="000C14B8">
        <w:rPr>
          <w:rFonts w:ascii="Arial" w:eastAsia="Microsoft YaHei" w:hAnsi="Arial" w:cs="Arial"/>
          <w:sz w:val="17"/>
          <w:szCs w:val="17"/>
        </w:rPr>
        <w:t>Rongcong Xu, “</w:t>
      </w:r>
      <w:r w:rsidRPr="000C14B8">
        <w:rPr>
          <w:rFonts w:ascii="Arial" w:hAnsi="Arial" w:cs="Arial"/>
          <w:sz w:val="17"/>
          <w:szCs w:val="17"/>
        </w:rPr>
        <w:t>Ali Chronicles: From B2B to the Ecosystem</w:t>
      </w:r>
      <w:r>
        <w:rPr>
          <w:rFonts w:ascii="Arial" w:eastAsia="Microsoft YaHei" w:hAnsi="Arial" w:cs="Arial"/>
          <w:sz w:val="17"/>
          <w:szCs w:val="17"/>
          <w:lang w:val="en-CA"/>
        </w:rPr>
        <w:t>”</w:t>
      </w:r>
      <w:r w:rsidRPr="000C14B8">
        <w:rPr>
          <w:rFonts w:ascii="Arial" w:hAnsi="Arial" w:cs="Arial"/>
          <w:sz w:val="17"/>
          <w:szCs w:val="17"/>
        </w:rPr>
        <w:t xml:space="preserve"> </w:t>
      </w:r>
      <w:r>
        <w:rPr>
          <w:rFonts w:ascii="Arial" w:hAnsi="Arial" w:cs="Arial"/>
          <w:sz w:val="17"/>
          <w:szCs w:val="17"/>
          <w:lang w:val="en-CA"/>
        </w:rPr>
        <w:t xml:space="preserve">[in Chinese], </w:t>
      </w:r>
      <w:r w:rsidRPr="000C14B8">
        <w:rPr>
          <w:rFonts w:ascii="Arial" w:hAnsi="Arial" w:cs="Arial"/>
          <w:sz w:val="17"/>
          <w:szCs w:val="17"/>
        </w:rPr>
        <w:t>CMS Research on Alibaba, accessed June 19, 2018, China.</w:t>
      </w:r>
    </w:p>
  </w:endnote>
  <w:endnote w:id="14">
    <w:p w14:paraId="5BC973C0" w14:textId="3F69D764" w:rsidR="00773C02" w:rsidRPr="0069401A" w:rsidRDefault="00773C02">
      <w:pPr>
        <w:pStyle w:val="EndnoteText"/>
        <w:rPr>
          <w:rFonts w:ascii="Arial" w:eastAsiaTheme="minorEastAsia" w:hAnsi="Arial" w:cs="Arial"/>
          <w:sz w:val="17"/>
          <w:szCs w:val="17"/>
          <w:lang w:val="en-CA"/>
        </w:rPr>
      </w:pPr>
      <w:r w:rsidRPr="000C14B8">
        <w:rPr>
          <w:rStyle w:val="EndnoteReference"/>
          <w:rFonts w:ascii="Arial" w:hAnsi="Arial" w:cs="Arial"/>
          <w:sz w:val="17"/>
          <w:szCs w:val="17"/>
        </w:rPr>
        <w:endnoteRef/>
      </w:r>
      <w:r w:rsidRPr="000C14B8">
        <w:rPr>
          <w:rFonts w:ascii="Arial" w:hAnsi="Arial" w:cs="Arial"/>
          <w:sz w:val="17"/>
          <w:szCs w:val="17"/>
        </w:rPr>
        <w:t xml:space="preserve"> </w:t>
      </w:r>
      <w:r>
        <w:rPr>
          <w:rFonts w:ascii="Arial" w:eastAsia="Microsoft YaHei" w:hAnsi="Arial" w:cs="Arial"/>
          <w:sz w:val="17"/>
          <w:szCs w:val="17"/>
          <w:lang w:val="en-CA"/>
        </w:rPr>
        <w:t>Ibid.</w:t>
      </w:r>
    </w:p>
  </w:endnote>
  <w:endnote w:id="15">
    <w:p w14:paraId="0D5ED639" w14:textId="14E063E3" w:rsidR="00773C02" w:rsidRPr="000C14B8" w:rsidRDefault="00773C02" w:rsidP="00C52690">
      <w:pPr>
        <w:pStyle w:val="Footnote"/>
      </w:pPr>
      <w:r w:rsidRPr="000C14B8">
        <w:rPr>
          <w:vertAlign w:val="superscript"/>
        </w:rPr>
        <w:endnoteRef/>
      </w:r>
      <w:r w:rsidRPr="000C14B8">
        <w:t xml:space="preserve"> </w:t>
      </w:r>
      <w:r w:rsidRPr="000C14B8">
        <w:rPr>
          <w:color w:val="222222"/>
          <w:highlight w:val="white"/>
        </w:rPr>
        <w:t>Tencent Holdings Limited was a Chinese multinational investment holding conglomerate founded in 1998, whose Chinese and international subsidiaries specialized in various Internet-related services and products, including entertainment, artificial intelligence, and technology</w:t>
      </w:r>
      <w:r w:rsidRPr="000C14B8">
        <w:t>.</w:t>
      </w:r>
    </w:p>
  </w:endnote>
  <w:endnote w:id="16">
    <w:p w14:paraId="19612C79" w14:textId="198D7353" w:rsidR="00773C02" w:rsidRPr="000C14B8" w:rsidRDefault="00773C02" w:rsidP="0069401A">
      <w:pPr>
        <w:pStyle w:val="FootnoteText1"/>
      </w:pPr>
      <w:r w:rsidRPr="000C14B8">
        <w:rPr>
          <w:rStyle w:val="EndnoteReference"/>
        </w:rPr>
        <w:endnoteRef/>
      </w:r>
      <w:r w:rsidR="00F81037">
        <w:t> </w:t>
      </w:r>
      <w:r w:rsidRPr="000C14B8">
        <w:rPr>
          <w:rFonts w:eastAsia="Georgia"/>
          <w:lang w:val="en-GB"/>
        </w:rPr>
        <w:t xml:space="preserve">Prime [in Chinese],” Amazon.cn, accessed April 26, 2019, </w:t>
      </w:r>
      <w:r w:rsidRPr="000C14B8">
        <w:rPr>
          <w:lang w:val="en-GB"/>
        </w:rPr>
        <w:t>https://www.amazon.cn/amazonprime?_encoding=UTF8&amp;ref_=nav_logo_prime_join.</w:t>
      </w:r>
    </w:p>
  </w:endnote>
  <w:endnote w:id="17">
    <w:p w14:paraId="0A4D1104" w14:textId="6AFCE4FC" w:rsidR="00773C02" w:rsidRPr="000C14B8" w:rsidRDefault="00773C02" w:rsidP="00C52690">
      <w:pPr>
        <w:pStyle w:val="Footnote"/>
      </w:pPr>
      <w:r w:rsidRPr="000C14B8">
        <w:rPr>
          <w:vertAlign w:val="superscript"/>
        </w:rPr>
        <w:endnoteRef/>
      </w:r>
      <w:r w:rsidRPr="000C14B8">
        <w:t xml:space="preserve"> Xu Tingfang, “Amazon China is Not Satisfied with the Situation: </w:t>
      </w:r>
      <w:r>
        <w:t>‘</w:t>
      </w:r>
      <w:r w:rsidRPr="000C14B8">
        <w:t>The Annual Loss Is More than 600 Million US Dollars’</w:t>
      </w:r>
      <w:r>
        <w:t>”</w:t>
      </w:r>
      <w:r w:rsidRPr="000C14B8">
        <w:t xml:space="preserve"> [in Chinese], The Paper, October 30, 2014, accessed April 25, 2019, https://www.thepaper.cn/newsDetail_forward_1274205.</w:t>
      </w:r>
    </w:p>
  </w:endnote>
  <w:endnote w:id="18">
    <w:p w14:paraId="68A5AEA5" w14:textId="0EA50048" w:rsidR="00773C02" w:rsidRPr="000C14B8" w:rsidRDefault="00773C02" w:rsidP="00E64678">
      <w:pPr>
        <w:pStyle w:val="FootnoteText1"/>
      </w:pPr>
      <w:r w:rsidRPr="000C14B8">
        <w:rPr>
          <w:rStyle w:val="EndnoteReference"/>
        </w:rPr>
        <w:endnoteRef/>
      </w:r>
      <w:r w:rsidRPr="000C14B8">
        <w:t xml:space="preserve"> </w:t>
      </w:r>
      <w:r>
        <w:t>“</w:t>
      </w:r>
      <w:r w:rsidRPr="000C14B8">
        <w:rPr>
          <w:lang w:val="en-GB"/>
        </w:rPr>
        <w:t xml:space="preserve">China’s Rapidly Expanding E-Commerce Market Follows an Era of Exponential Growth in New Internet Users,” in Jeff Walters, Youchi Kuo, Waldemar Jap, and Hubert Hsu, </w:t>
      </w:r>
      <w:r w:rsidRPr="000C14B8">
        <w:rPr>
          <w:i/>
          <w:lang w:val="en-GB"/>
        </w:rPr>
        <w:t>The World’s Next E-Commerce Superpower: Navigating China’s Unique Online-Shopping Ecosystem</w:t>
      </w:r>
      <w:r w:rsidRPr="000C14B8">
        <w:rPr>
          <w:lang w:val="en-GB"/>
        </w:rPr>
        <w:t>, 7, Boston Consulting Group, 2011, accessed April 26, 2019, https://www.bcg.com/documents/file91905.pdf.</w:t>
      </w:r>
    </w:p>
  </w:endnote>
  <w:endnote w:id="19">
    <w:p w14:paraId="3AB581AF" w14:textId="4475C4A3" w:rsidR="00773C02" w:rsidRPr="000C14B8" w:rsidRDefault="00773C02" w:rsidP="00F928DF">
      <w:pPr>
        <w:pStyle w:val="FootnoteText1"/>
      </w:pPr>
      <w:r w:rsidRPr="000C14B8">
        <w:rPr>
          <w:rStyle w:val="EndnoteReference"/>
        </w:rPr>
        <w:endnoteRef/>
      </w:r>
      <w:r w:rsidRPr="000C14B8">
        <w:t xml:space="preserve"> </w:t>
      </w:r>
      <w:r>
        <w:t>“</w:t>
      </w:r>
      <w:r w:rsidRPr="000C14B8">
        <w:rPr>
          <w:lang w:val="en-GB"/>
        </w:rPr>
        <w:t xml:space="preserve">Seven Percent of E-Shoppers Are Responsible for 40 Percent of Total Online Spending,” </w:t>
      </w:r>
      <w:r>
        <w:rPr>
          <w:lang w:val="en-GB"/>
        </w:rPr>
        <w:t xml:space="preserve">in </w:t>
      </w:r>
      <w:r w:rsidRPr="000C14B8">
        <w:rPr>
          <w:lang w:val="en-GB"/>
        </w:rPr>
        <w:t xml:space="preserve">Jeff Walters, Youchi Kuo, Waldemar Jap, and Hubert Hsu, </w:t>
      </w:r>
      <w:r w:rsidRPr="0069401A">
        <w:rPr>
          <w:lang w:val="en-GB"/>
        </w:rPr>
        <w:t>op. cit., 8.</w:t>
      </w:r>
    </w:p>
  </w:endnote>
  <w:endnote w:id="20">
    <w:p w14:paraId="2619BFD5" w14:textId="6D5722E0" w:rsidR="00773C02" w:rsidRPr="000C14B8" w:rsidRDefault="00773C02" w:rsidP="00F928DF">
      <w:pPr>
        <w:pStyle w:val="Footnote"/>
      </w:pPr>
      <w:r w:rsidRPr="000C14B8">
        <w:rPr>
          <w:vertAlign w:val="superscript"/>
        </w:rPr>
        <w:endnoteRef/>
      </w:r>
      <w:r w:rsidRPr="000C14B8">
        <w:t xml:space="preserve"> Jeff Walters, Youchi Kuo, Waldemar Jap, and Hubert Hsu</w:t>
      </w:r>
      <w:r>
        <w:t>, op. cit.</w:t>
      </w:r>
    </w:p>
  </w:endnote>
  <w:endnote w:id="21">
    <w:p w14:paraId="031A8765" w14:textId="08C770A1" w:rsidR="00773C02" w:rsidRPr="0069401A" w:rsidRDefault="00773C02" w:rsidP="0069401A">
      <w:pPr>
        <w:pStyle w:val="EndnoteText"/>
        <w:jc w:val="both"/>
        <w:rPr>
          <w:rFonts w:ascii="Arial" w:hAnsi="Arial" w:cs="Arial"/>
          <w:sz w:val="17"/>
          <w:szCs w:val="17"/>
          <w:lang w:val="en-CA"/>
        </w:rPr>
      </w:pPr>
      <w:r w:rsidRPr="000C14B8">
        <w:rPr>
          <w:rStyle w:val="EndnoteReference"/>
          <w:rFonts w:ascii="Arial" w:hAnsi="Arial" w:cs="Arial"/>
          <w:sz w:val="17"/>
          <w:szCs w:val="17"/>
        </w:rPr>
        <w:endnoteRef/>
      </w:r>
      <w:r w:rsidRPr="000C14B8">
        <w:rPr>
          <w:rFonts w:ascii="Arial" w:hAnsi="Arial" w:cs="Arial"/>
          <w:sz w:val="17"/>
          <w:szCs w:val="17"/>
        </w:rPr>
        <w:t xml:space="preserve"> </w:t>
      </w:r>
      <w:r>
        <w:rPr>
          <w:rFonts w:ascii="Arial" w:hAnsi="Arial" w:cs="Arial"/>
          <w:sz w:val="17"/>
          <w:szCs w:val="17"/>
          <w:lang w:val="en-CA"/>
        </w:rPr>
        <w:t>“</w:t>
      </w:r>
      <w:r w:rsidRPr="000C14B8">
        <w:rPr>
          <w:rFonts w:ascii="Arial" w:hAnsi="Arial" w:cs="Arial"/>
          <w:sz w:val="17"/>
          <w:szCs w:val="17"/>
        </w:rPr>
        <w:t xml:space="preserve">Why China </w:t>
      </w:r>
      <w:r>
        <w:rPr>
          <w:rFonts w:ascii="Arial" w:hAnsi="Arial" w:cs="Arial"/>
          <w:sz w:val="17"/>
          <w:szCs w:val="17"/>
          <w:lang w:val="en-CA"/>
        </w:rPr>
        <w:t>L</w:t>
      </w:r>
      <w:r w:rsidRPr="000C14B8">
        <w:rPr>
          <w:rFonts w:ascii="Arial" w:hAnsi="Arial" w:cs="Arial"/>
          <w:sz w:val="17"/>
          <w:szCs w:val="17"/>
        </w:rPr>
        <w:t xml:space="preserve">ed the ‘Great Retail Apocalypse of 2017’ and </w:t>
      </w:r>
      <w:r>
        <w:rPr>
          <w:rFonts w:ascii="Arial" w:hAnsi="Arial" w:cs="Arial"/>
          <w:sz w:val="17"/>
          <w:szCs w:val="17"/>
          <w:lang w:val="en-CA"/>
        </w:rPr>
        <w:t>H</w:t>
      </w:r>
      <w:r w:rsidRPr="000C14B8">
        <w:rPr>
          <w:rFonts w:ascii="Arial" w:hAnsi="Arial" w:cs="Arial"/>
          <w:sz w:val="17"/>
          <w:szCs w:val="17"/>
        </w:rPr>
        <w:t xml:space="preserve">ow </w:t>
      </w:r>
      <w:r>
        <w:rPr>
          <w:rFonts w:ascii="Arial" w:hAnsi="Arial" w:cs="Arial"/>
          <w:sz w:val="17"/>
          <w:szCs w:val="17"/>
          <w:lang w:val="en-CA"/>
        </w:rPr>
        <w:t>F</w:t>
      </w:r>
      <w:r w:rsidRPr="000C14B8">
        <w:rPr>
          <w:rFonts w:ascii="Arial" w:hAnsi="Arial" w:cs="Arial"/>
          <w:sz w:val="17"/>
          <w:szCs w:val="17"/>
        </w:rPr>
        <w:t xml:space="preserve">ashion </w:t>
      </w:r>
      <w:r>
        <w:rPr>
          <w:rFonts w:ascii="Arial" w:hAnsi="Arial" w:cs="Arial"/>
          <w:sz w:val="17"/>
          <w:szCs w:val="17"/>
          <w:lang w:val="en-CA"/>
        </w:rPr>
        <w:t>L</w:t>
      </w:r>
      <w:r w:rsidRPr="000C14B8">
        <w:rPr>
          <w:rFonts w:ascii="Arial" w:hAnsi="Arial" w:cs="Arial"/>
          <w:sz w:val="17"/>
          <w:szCs w:val="17"/>
        </w:rPr>
        <w:t xml:space="preserve">abels are </w:t>
      </w:r>
      <w:r>
        <w:rPr>
          <w:rFonts w:ascii="Arial" w:hAnsi="Arial" w:cs="Arial"/>
          <w:sz w:val="17"/>
          <w:szCs w:val="17"/>
          <w:lang w:val="en-CA"/>
        </w:rPr>
        <w:t>R</w:t>
      </w:r>
      <w:r w:rsidRPr="000C14B8">
        <w:rPr>
          <w:rFonts w:ascii="Arial" w:hAnsi="Arial" w:cs="Arial"/>
          <w:sz w:val="17"/>
          <w:szCs w:val="17"/>
        </w:rPr>
        <w:t xml:space="preserve">einventing </w:t>
      </w:r>
      <w:r>
        <w:rPr>
          <w:rFonts w:ascii="Arial" w:hAnsi="Arial" w:cs="Arial"/>
          <w:sz w:val="17"/>
          <w:szCs w:val="17"/>
          <w:lang w:val="en-CA"/>
        </w:rPr>
        <w:t>T</w:t>
      </w:r>
      <w:r w:rsidRPr="000C14B8">
        <w:rPr>
          <w:rFonts w:ascii="Arial" w:hAnsi="Arial" w:cs="Arial"/>
          <w:sz w:val="17"/>
          <w:szCs w:val="17"/>
        </w:rPr>
        <w:t>hemselves”, Three Sixty Capital Partners</w:t>
      </w:r>
      <w:r>
        <w:rPr>
          <w:rFonts w:ascii="Arial" w:hAnsi="Arial" w:cs="Arial"/>
          <w:sz w:val="17"/>
          <w:szCs w:val="17"/>
          <w:lang w:val="en-CA"/>
        </w:rPr>
        <w:t>,</w:t>
      </w:r>
      <w:r w:rsidRPr="000C14B8">
        <w:rPr>
          <w:rFonts w:ascii="Arial" w:hAnsi="Arial" w:cs="Arial"/>
          <w:sz w:val="17"/>
          <w:szCs w:val="17"/>
        </w:rPr>
        <w:t xml:space="preserve"> October 29, 2017, accessed April 23, 2019, https://360capital.co.nz/why-china-led-the-great-retail-apocalypse-of-2017-and-how-fashion-labels-are-reinventing-themselves/</w:t>
      </w:r>
      <w:r>
        <w:rPr>
          <w:rFonts w:ascii="Arial" w:hAnsi="Arial" w:cs="Arial"/>
          <w:sz w:val="17"/>
          <w:szCs w:val="17"/>
          <w:lang w:val="en-CA"/>
        </w:rPr>
        <w:t>.</w:t>
      </w:r>
    </w:p>
  </w:endnote>
  <w:endnote w:id="22">
    <w:p w14:paraId="628F8A82" w14:textId="233F347B" w:rsidR="00773C02" w:rsidRPr="000C14B8" w:rsidRDefault="00773C02" w:rsidP="0069401A">
      <w:pPr>
        <w:pStyle w:val="EndnoteText"/>
        <w:jc w:val="both"/>
        <w:rPr>
          <w:rFonts w:ascii="Arial" w:eastAsiaTheme="minorEastAsia" w:hAnsi="Arial" w:cs="Arial"/>
          <w:sz w:val="17"/>
          <w:szCs w:val="17"/>
        </w:rPr>
      </w:pPr>
      <w:r w:rsidRPr="000C14B8">
        <w:rPr>
          <w:rStyle w:val="EndnoteReference"/>
          <w:rFonts w:ascii="Arial" w:hAnsi="Arial" w:cs="Arial"/>
          <w:sz w:val="17"/>
          <w:szCs w:val="17"/>
        </w:rPr>
        <w:endnoteRef/>
      </w:r>
      <w:r w:rsidRPr="000C14B8">
        <w:rPr>
          <w:rFonts w:ascii="Arial" w:hAnsi="Arial" w:cs="Arial"/>
          <w:sz w:val="17"/>
          <w:szCs w:val="17"/>
        </w:rPr>
        <w:t xml:space="preserve"> Gidon Gautel</w:t>
      </w:r>
      <w:r w:rsidRPr="000C14B8">
        <w:rPr>
          <w:rFonts w:ascii="Arial" w:eastAsia="SimSun" w:hAnsi="Arial" w:cs="Arial"/>
          <w:sz w:val="17"/>
          <w:szCs w:val="17"/>
        </w:rPr>
        <w:t>,</w:t>
      </w:r>
      <w:r w:rsidRPr="000C14B8">
        <w:rPr>
          <w:rFonts w:ascii="Arial" w:hAnsi="Arial" w:cs="Arial"/>
          <w:sz w:val="17"/>
          <w:szCs w:val="17"/>
        </w:rPr>
        <w:t xml:space="preserve"> “</w:t>
      </w:r>
      <w:r w:rsidRPr="000C14B8">
        <w:rPr>
          <w:rFonts w:ascii="Arial" w:eastAsia="Times New Roman" w:hAnsi="Arial" w:cs="Arial"/>
          <w:iCs/>
          <w:sz w:val="17"/>
          <w:szCs w:val="17"/>
          <w:lang w:val="en-GB"/>
        </w:rPr>
        <w:t>China’s e-Commerce Shopping Festivals</w:t>
      </w:r>
      <w:r>
        <w:rPr>
          <w:rFonts w:ascii="Arial" w:eastAsia="Times New Roman" w:hAnsi="Arial" w:cs="Arial"/>
          <w:iCs/>
          <w:sz w:val="17"/>
          <w:szCs w:val="17"/>
          <w:lang w:val="en-GB"/>
        </w:rPr>
        <w:t>,</w:t>
      </w:r>
      <w:r w:rsidRPr="000C14B8">
        <w:rPr>
          <w:rFonts w:ascii="Arial" w:hAnsi="Arial" w:cs="Arial"/>
          <w:iCs/>
          <w:sz w:val="17"/>
          <w:szCs w:val="17"/>
          <w:lang w:val="en-GB"/>
        </w:rPr>
        <w:t xml:space="preserve">” </w:t>
      </w:r>
      <w:r>
        <w:rPr>
          <w:rFonts w:ascii="Arial" w:hAnsi="Arial" w:cs="Arial"/>
          <w:iCs/>
          <w:sz w:val="17"/>
          <w:szCs w:val="17"/>
          <w:lang w:val="en-GB"/>
        </w:rPr>
        <w:t xml:space="preserve">China Briefing, </w:t>
      </w:r>
      <w:r w:rsidRPr="000C14B8">
        <w:rPr>
          <w:rFonts w:ascii="Arial" w:hAnsi="Arial" w:cs="Arial"/>
          <w:iCs/>
          <w:sz w:val="17"/>
          <w:szCs w:val="17"/>
          <w:lang w:val="en-GB"/>
        </w:rPr>
        <w:t>November 9, 2017, accessed April 25, 2019,</w:t>
      </w:r>
      <w:r w:rsidRPr="000C14B8">
        <w:rPr>
          <w:rFonts w:ascii="Arial" w:hAnsi="Arial" w:cs="Arial"/>
          <w:sz w:val="17"/>
          <w:szCs w:val="17"/>
        </w:rPr>
        <w:t xml:space="preserve"> </w:t>
      </w:r>
      <w:r w:rsidRPr="000C14B8">
        <w:rPr>
          <w:rFonts w:ascii="Arial" w:hAnsi="Arial" w:cs="Arial"/>
          <w:iCs/>
          <w:sz w:val="17"/>
          <w:szCs w:val="17"/>
          <w:lang w:val="en-GB"/>
        </w:rPr>
        <w:t>https://www.china-briefing.com/news/chinas-e-commerce-shopping-festivals/</w:t>
      </w:r>
      <w:r>
        <w:rPr>
          <w:rFonts w:ascii="Arial" w:hAnsi="Arial" w:cs="Arial"/>
          <w:iCs/>
          <w:sz w:val="17"/>
          <w:szCs w:val="17"/>
          <w:lang w:val="en-GB"/>
        </w:rPr>
        <w:t>.</w:t>
      </w:r>
    </w:p>
  </w:endnote>
  <w:endnote w:id="23">
    <w:p w14:paraId="38DB1E29" w14:textId="33C5303C" w:rsidR="00773C02" w:rsidRPr="000C14B8" w:rsidRDefault="00773C02" w:rsidP="008768B4">
      <w:pPr>
        <w:pStyle w:val="FootnoteText1"/>
      </w:pPr>
      <w:r w:rsidRPr="000C14B8">
        <w:rPr>
          <w:rStyle w:val="EndnoteReference"/>
        </w:rPr>
        <w:endnoteRef/>
      </w:r>
      <w:r w:rsidRPr="000C14B8">
        <w:t xml:space="preserve"> Rita Liao, </w:t>
      </w:r>
      <w:r>
        <w:t>“</w:t>
      </w:r>
      <w:r w:rsidRPr="000C14B8">
        <w:t xml:space="preserve">Alibaba </w:t>
      </w:r>
      <w:r>
        <w:t>S</w:t>
      </w:r>
      <w:r w:rsidRPr="000C14B8">
        <w:t xml:space="preserve">ets </w:t>
      </w:r>
      <w:r>
        <w:t>N</w:t>
      </w:r>
      <w:r w:rsidRPr="000C14B8">
        <w:t xml:space="preserve">ew Singles’ Day </w:t>
      </w:r>
      <w:r>
        <w:t>R</w:t>
      </w:r>
      <w:r w:rsidRPr="000C14B8">
        <w:t xml:space="preserve">ecord with $31B in </w:t>
      </w:r>
      <w:r>
        <w:t>S</w:t>
      </w:r>
      <w:r w:rsidRPr="000C14B8">
        <w:t xml:space="preserve">ales, </w:t>
      </w:r>
      <w:r>
        <w:t>B</w:t>
      </w:r>
      <w:r w:rsidRPr="000C14B8">
        <w:t xml:space="preserve">ut </w:t>
      </w:r>
      <w:r>
        <w:t>G</w:t>
      </w:r>
      <w:r w:rsidRPr="000C14B8">
        <w:t xml:space="preserve">rowth </w:t>
      </w:r>
      <w:r>
        <w:t>i</w:t>
      </w:r>
      <w:r w:rsidRPr="000C14B8">
        <w:t xml:space="preserve">s </w:t>
      </w:r>
      <w:r>
        <w:t>S</w:t>
      </w:r>
      <w:r w:rsidRPr="000C14B8">
        <w:t>lowing,</w:t>
      </w:r>
      <w:r>
        <w:t>”</w:t>
      </w:r>
      <w:r w:rsidRPr="000C14B8">
        <w:t xml:space="preserve"> TechCrunch, November 11, 2018, accessed April 24,</w:t>
      </w:r>
      <w:r>
        <w:t xml:space="preserve"> </w:t>
      </w:r>
      <w:r w:rsidRPr="000C14B8">
        <w:t xml:space="preserve">2019, </w:t>
      </w:r>
      <w:hyperlink r:id="rId3" w:history="1">
        <w:r w:rsidRPr="000C14B8">
          <w:rPr>
            <w:rStyle w:val="Hyperlink"/>
            <w:color w:val="auto"/>
            <w:u w:val="none"/>
          </w:rPr>
          <w:t>https://techcrunch.com/2018/11/11/alibaba-singles-day-2018-31b/</w:t>
        </w:r>
      </w:hyperlink>
      <w:r w:rsidRPr="000C14B8">
        <w:t>.</w:t>
      </w:r>
    </w:p>
  </w:endnote>
  <w:endnote w:id="24">
    <w:p w14:paraId="74E15F1A" w14:textId="65C0858E" w:rsidR="00773C02" w:rsidRPr="0069401A" w:rsidRDefault="00773C02" w:rsidP="0069401A">
      <w:pPr>
        <w:pStyle w:val="EndnoteText"/>
        <w:jc w:val="both"/>
        <w:rPr>
          <w:rFonts w:ascii="Arial" w:eastAsiaTheme="minorEastAsia" w:hAnsi="Arial" w:cs="Arial"/>
          <w:sz w:val="17"/>
          <w:szCs w:val="17"/>
          <w:lang w:val="en-CA"/>
        </w:rPr>
      </w:pPr>
      <w:r w:rsidRPr="000C14B8">
        <w:rPr>
          <w:rStyle w:val="EndnoteReference"/>
          <w:rFonts w:ascii="Arial" w:hAnsi="Arial" w:cs="Arial"/>
          <w:sz w:val="17"/>
          <w:szCs w:val="17"/>
        </w:rPr>
        <w:endnoteRef/>
      </w:r>
      <w:r w:rsidRPr="000C14B8">
        <w:rPr>
          <w:rFonts w:ascii="Arial" w:hAnsi="Arial" w:cs="Arial"/>
          <w:sz w:val="17"/>
          <w:szCs w:val="17"/>
        </w:rPr>
        <w:t xml:space="preserve"> Jon Russell, “Alibaba </w:t>
      </w:r>
      <w:r>
        <w:rPr>
          <w:rFonts w:ascii="Arial" w:hAnsi="Arial" w:cs="Arial"/>
          <w:sz w:val="17"/>
          <w:szCs w:val="17"/>
          <w:lang w:val="en-CA"/>
        </w:rPr>
        <w:t>S</w:t>
      </w:r>
      <w:r w:rsidRPr="000C14B8">
        <w:rPr>
          <w:rFonts w:ascii="Arial" w:hAnsi="Arial" w:cs="Arial"/>
          <w:sz w:val="17"/>
          <w:szCs w:val="17"/>
        </w:rPr>
        <w:t xml:space="preserve">mashes </w:t>
      </w:r>
      <w:r>
        <w:rPr>
          <w:rFonts w:ascii="Arial" w:hAnsi="Arial" w:cs="Arial"/>
          <w:sz w:val="17"/>
          <w:szCs w:val="17"/>
          <w:lang w:val="en-CA"/>
        </w:rPr>
        <w:t>I</w:t>
      </w:r>
      <w:r w:rsidRPr="000C14B8">
        <w:rPr>
          <w:rFonts w:ascii="Arial" w:hAnsi="Arial" w:cs="Arial"/>
          <w:sz w:val="17"/>
          <w:szCs w:val="17"/>
        </w:rPr>
        <w:t xml:space="preserve">ts Single’s Day </w:t>
      </w:r>
      <w:r>
        <w:rPr>
          <w:rFonts w:ascii="Arial" w:hAnsi="Arial" w:cs="Arial"/>
          <w:sz w:val="17"/>
          <w:szCs w:val="17"/>
          <w:lang w:val="en-CA"/>
        </w:rPr>
        <w:t>R</w:t>
      </w:r>
      <w:r w:rsidRPr="000C14B8">
        <w:rPr>
          <w:rFonts w:ascii="Arial" w:hAnsi="Arial" w:cs="Arial"/>
          <w:sz w:val="17"/>
          <w:szCs w:val="17"/>
        </w:rPr>
        <w:t xml:space="preserve">ecord </w:t>
      </w:r>
      <w:r>
        <w:rPr>
          <w:rFonts w:ascii="Arial" w:hAnsi="Arial" w:cs="Arial"/>
          <w:sz w:val="17"/>
          <w:szCs w:val="17"/>
          <w:lang w:val="en-CA"/>
        </w:rPr>
        <w:t>O</w:t>
      </w:r>
      <w:r w:rsidRPr="000C14B8">
        <w:rPr>
          <w:rFonts w:ascii="Arial" w:hAnsi="Arial" w:cs="Arial"/>
          <w:sz w:val="17"/>
          <w:szCs w:val="17"/>
        </w:rPr>
        <w:t xml:space="preserve">nce </w:t>
      </w:r>
      <w:r>
        <w:rPr>
          <w:rFonts w:ascii="Arial" w:hAnsi="Arial" w:cs="Arial"/>
          <w:sz w:val="17"/>
          <w:szCs w:val="17"/>
          <w:lang w:val="en-CA"/>
        </w:rPr>
        <w:t>A</w:t>
      </w:r>
      <w:r w:rsidRPr="000C14B8">
        <w:rPr>
          <w:rFonts w:ascii="Arial" w:hAnsi="Arial" w:cs="Arial"/>
          <w:sz w:val="17"/>
          <w:szCs w:val="17"/>
        </w:rPr>
        <w:t xml:space="preserve">gain as </w:t>
      </w:r>
      <w:r>
        <w:rPr>
          <w:rFonts w:ascii="Arial" w:hAnsi="Arial" w:cs="Arial"/>
          <w:sz w:val="17"/>
          <w:szCs w:val="17"/>
          <w:lang w:val="en-CA"/>
        </w:rPr>
        <w:t>S</w:t>
      </w:r>
      <w:r w:rsidRPr="000C14B8">
        <w:rPr>
          <w:rFonts w:ascii="Arial" w:hAnsi="Arial" w:cs="Arial"/>
          <w:sz w:val="17"/>
          <w:szCs w:val="17"/>
        </w:rPr>
        <w:t xml:space="preserve">ales </w:t>
      </w:r>
      <w:r>
        <w:rPr>
          <w:rFonts w:ascii="Arial" w:hAnsi="Arial" w:cs="Arial"/>
          <w:sz w:val="17"/>
          <w:szCs w:val="17"/>
          <w:lang w:val="en-CA"/>
        </w:rPr>
        <w:t>C</w:t>
      </w:r>
      <w:r w:rsidRPr="000C14B8">
        <w:rPr>
          <w:rFonts w:ascii="Arial" w:hAnsi="Arial" w:cs="Arial"/>
          <w:sz w:val="17"/>
          <w:szCs w:val="17"/>
        </w:rPr>
        <w:t xml:space="preserve">ross $25 </w:t>
      </w:r>
      <w:r>
        <w:rPr>
          <w:rFonts w:ascii="Arial" w:hAnsi="Arial" w:cs="Arial"/>
          <w:sz w:val="17"/>
          <w:szCs w:val="17"/>
          <w:lang w:val="en-CA"/>
        </w:rPr>
        <w:t>B</w:t>
      </w:r>
      <w:r w:rsidRPr="000C14B8">
        <w:rPr>
          <w:rFonts w:ascii="Arial" w:hAnsi="Arial" w:cs="Arial"/>
          <w:sz w:val="17"/>
          <w:szCs w:val="17"/>
        </w:rPr>
        <w:t>illion</w:t>
      </w:r>
      <w:r>
        <w:rPr>
          <w:rFonts w:ascii="Arial" w:hAnsi="Arial" w:cs="Arial"/>
          <w:sz w:val="17"/>
          <w:szCs w:val="17"/>
          <w:lang w:val="en-CA"/>
        </w:rPr>
        <w:t>,</w:t>
      </w:r>
      <w:r w:rsidRPr="000C14B8">
        <w:rPr>
          <w:rFonts w:ascii="Arial" w:hAnsi="Arial" w:cs="Arial"/>
          <w:sz w:val="17"/>
          <w:szCs w:val="17"/>
        </w:rPr>
        <w:t xml:space="preserve">” </w:t>
      </w:r>
      <w:r>
        <w:rPr>
          <w:rFonts w:ascii="Arial" w:hAnsi="Arial" w:cs="Arial"/>
          <w:sz w:val="17"/>
          <w:szCs w:val="17"/>
          <w:lang w:val="en-CA"/>
        </w:rPr>
        <w:t xml:space="preserve">TechCrunch, </w:t>
      </w:r>
      <w:r w:rsidRPr="000C14B8">
        <w:rPr>
          <w:rFonts w:ascii="Arial" w:hAnsi="Arial" w:cs="Arial"/>
          <w:sz w:val="17"/>
          <w:szCs w:val="17"/>
        </w:rPr>
        <w:t>November 11, 2017, accessed on April 27, 2019, https://techcrunch.com/2017/11/11/alibaba-smashes-its-singles-day-record/</w:t>
      </w:r>
      <w:r>
        <w:rPr>
          <w:rFonts w:ascii="Arial" w:hAnsi="Arial" w:cs="Arial"/>
          <w:sz w:val="17"/>
          <w:szCs w:val="17"/>
          <w:lang w:val="en-CA"/>
        </w:rPr>
        <w:t>.</w:t>
      </w:r>
    </w:p>
  </w:endnote>
  <w:endnote w:id="25">
    <w:p w14:paraId="6C605D8E" w14:textId="13D94362" w:rsidR="00773C02" w:rsidRPr="000C14B8" w:rsidRDefault="00773C02" w:rsidP="0069401A">
      <w:pPr>
        <w:pStyle w:val="EndnoteText"/>
        <w:jc w:val="both"/>
        <w:rPr>
          <w:rFonts w:ascii="Arial" w:hAnsi="Arial" w:cs="Arial"/>
          <w:sz w:val="17"/>
          <w:szCs w:val="17"/>
        </w:rPr>
      </w:pPr>
      <w:r w:rsidRPr="000C14B8">
        <w:rPr>
          <w:rStyle w:val="EndnoteReference"/>
          <w:rFonts w:ascii="Arial" w:hAnsi="Arial" w:cs="Arial"/>
          <w:sz w:val="17"/>
          <w:szCs w:val="17"/>
        </w:rPr>
        <w:endnoteRef/>
      </w:r>
      <w:r w:rsidRPr="000C14B8">
        <w:rPr>
          <w:rFonts w:ascii="Arial" w:hAnsi="Arial" w:cs="Arial"/>
          <w:sz w:val="17"/>
          <w:szCs w:val="17"/>
        </w:rPr>
        <w:t xml:space="preserve"> </w:t>
      </w:r>
      <w:r w:rsidRPr="000C14B8">
        <w:rPr>
          <w:rFonts w:ascii="Arial" w:eastAsia="Microsoft YaHei" w:hAnsi="Arial" w:cs="Arial"/>
          <w:sz w:val="17"/>
          <w:szCs w:val="17"/>
        </w:rPr>
        <w:t>Rongcong Xu, “</w:t>
      </w:r>
      <w:r w:rsidRPr="000C14B8">
        <w:rPr>
          <w:rFonts w:ascii="Arial" w:hAnsi="Arial" w:cs="Arial"/>
          <w:sz w:val="17"/>
          <w:szCs w:val="17"/>
        </w:rPr>
        <w:t>Ali Chronicles: From B2B to the Ecosphere</w:t>
      </w:r>
      <w:r w:rsidRPr="000C14B8">
        <w:rPr>
          <w:rFonts w:ascii="Arial" w:eastAsia="Microsoft YaHei" w:hAnsi="Arial" w:cs="Arial"/>
          <w:sz w:val="17"/>
          <w:szCs w:val="17"/>
        </w:rPr>
        <w:t>,</w:t>
      </w:r>
      <w:r w:rsidRPr="000C14B8">
        <w:rPr>
          <w:rFonts w:ascii="Arial" w:hAnsi="Arial" w:cs="Arial"/>
          <w:sz w:val="17"/>
          <w:szCs w:val="17"/>
        </w:rPr>
        <w:t xml:space="preserve"> "nnovation Leads Business Progress and Builds a Global Retail Ecosphere</w:t>
      </w:r>
      <w:r w:rsidRPr="000C14B8">
        <w:rPr>
          <w:rFonts w:ascii="Arial" w:eastAsia="Microsoft YaHei" w:hAnsi="Arial" w:cs="Arial"/>
          <w:sz w:val="17"/>
          <w:szCs w:val="17"/>
        </w:rPr>
        <w:t xml:space="preserve">” </w:t>
      </w:r>
      <w:r>
        <w:rPr>
          <w:rFonts w:ascii="Arial" w:eastAsia="Microsoft YaHei" w:hAnsi="Arial" w:cs="Arial"/>
          <w:sz w:val="17"/>
          <w:szCs w:val="17"/>
          <w:lang w:val="en-CA"/>
        </w:rPr>
        <w:t xml:space="preserve">[in Chinese], </w:t>
      </w:r>
      <w:r w:rsidRPr="000C14B8">
        <w:rPr>
          <w:rFonts w:ascii="Arial" w:hAnsi="Arial" w:cs="Arial"/>
          <w:sz w:val="17"/>
          <w:szCs w:val="17"/>
        </w:rPr>
        <w:t>CMS Research on Alibaba published June 19, 2018, China.</w:t>
      </w:r>
    </w:p>
  </w:endnote>
  <w:endnote w:id="26">
    <w:p w14:paraId="37142B4F" w14:textId="5C6042DB" w:rsidR="00773C02" w:rsidRPr="0069401A" w:rsidRDefault="00773C02">
      <w:pPr>
        <w:pStyle w:val="EndnoteText"/>
        <w:rPr>
          <w:rFonts w:ascii="Arial" w:hAnsi="Arial" w:cs="Arial"/>
          <w:sz w:val="17"/>
          <w:szCs w:val="17"/>
          <w:lang w:val="en-CA"/>
        </w:rPr>
      </w:pPr>
      <w:r w:rsidRPr="000C14B8">
        <w:rPr>
          <w:rStyle w:val="EndnoteReference"/>
          <w:rFonts w:ascii="Arial" w:hAnsi="Arial" w:cs="Arial"/>
          <w:sz w:val="17"/>
          <w:szCs w:val="17"/>
        </w:rPr>
        <w:endnoteRef/>
      </w:r>
      <w:r w:rsidRPr="000C14B8">
        <w:rPr>
          <w:rFonts w:ascii="Arial" w:hAnsi="Arial" w:cs="Arial"/>
          <w:sz w:val="17"/>
          <w:szCs w:val="17"/>
        </w:rPr>
        <w:t xml:space="preserve"> Authors</w:t>
      </w:r>
      <w:r>
        <w:rPr>
          <w:rFonts w:ascii="Arial" w:hAnsi="Arial" w:cs="Arial"/>
          <w:sz w:val="17"/>
          <w:szCs w:val="17"/>
          <w:lang w:val="en-CA"/>
        </w:rPr>
        <w:t>’</w:t>
      </w:r>
      <w:r w:rsidRPr="000C14B8">
        <w:rPr>
          <w:rFonts w:ascii="Arial" w:hAnsi="Arial" w:cs="Arial"/>
          <w:sz w:val="17"/>
          <w:szCs w:val="17"/>
        </w:rPr>
        <w:t xml:space="preserve"> calculations based on </w:t>
      </w:r>
      <w:r w:rsidRPr="000C14B8">
        <w:rPr>
          <w:rFonts w:ascii="Arial" w:eastAsia="Microsoft YaHei" w:hAnsi="Arial" w:cs="Arial"/>
          <w:sz w:val="17"/>
          <w:szCs w:val="17"/>
        </w:rPr>
        <w:t xml:space="preserve">Rongcong Xu, </w:t>
      </w:r>
      <w:r>
        <w:rPr>
          <w:rFonts w:ascii="Arial" w:eastAsia="Microsoft YaHei" w:hAnsi="Arial" w:cs="Arial"/>
          <w:sz w:val="17"/>
          <w:szCs w:val="17"/>
          <w:lang w:val="en-CA"/>
        </w:rPr>
        <w:t>op. cit.</w:t>
      </w:r>
    </w:p>
  </w:endnote>
  <w:endnote w:id="27">
    <w:p w14:paraId="217105F6" w14:textId="6D61D3FD" w:rsidR="00773C02" w:rsidRPr="000C14B8" w:rsidRDefault="00773C02" w:rsidP="00961B10">
      <w:pPr>
        <w:pStyle w:val="FootnoteText1"/>
      </w:pPr>
      <w:r w:rsidRPr="000C14B8">
        <w:rPr>
          <w:rStyle w:val="EndnoteReference"/>
        </w:rPr>
        <w:endnoteRef/>
      </w:r>
      <w:r w:rsidRPr="000C14B8">
        <w:t xml:space="preserve"> SCMP Reporter, “Taobao </w:t>
      </w:r>
      <w:r>
        <w:t>M</w:t>
      </w:r>
      <w:r w:rsidRPr="000C14B8">
        <w:t xml:space="preserve">aking 48,000 </w:t>
      </w:r>
      <w:r>
        <w:t>S</w:t>
      </w:r>
      <w:r w:rsidRPr="000C14B8">
        <w:t xml:space="preserve">ales per </w:t>
      </w:r>
      <w:r>
        <w:t>M</w:t>
      </w:r>
      <w:r w:rsidRPr="000C14B8">
        <w:t>inute,” Business Insider, January 7, 2011, accessed April 24, 2019, https://www.scmp.com/article/735037/taobao-making-48000-sales-minute</w:t>
      </w:r>
      <w:r>
        <w:t>.</w:t>
      </w:r>
    </w:p>
  </w:endnote>
  <w:endnote w:id="28">
    <w:p w14:paraId="01410D6D" w14:textId="0AFB735F" w:rsidR="00773C02" w:rsidRPr="000C14B8" w:rsidRDefault="00773C02" w:rsidP="00A2621D">
      <w:pPr>
        <w:pStyle w:val="FootnoteText1"/>
      </w:pPr>
      <w:r w:rsidRPr="000C14B8">
        <w:rPr>
          <w:rStyle w:val="EndnoteReference"/>
        </w:rPr>
        <w:endnoteRef/>
      </w:r>
      <w:r w:rsidRPr="000C14B8">
        <w:t xml:space="preserve"> Statista, “Number of </w:t>
      </w:r>
      <w:r>
        <w:t>F</w:t>
      </w:r>
      <w:r w:rsidRPr="000C14B8">
        <w:t xml:space="preserve">ull-time </w:t>
      </w:r>
      <w:r>
        <w:t>E</w:t>
      </w:r>
      <w:r w:rsidRPr="000C14B8">
        <w:t>mployees at Alibaba from 2012 to 2019</w:t>
      </w:r>
      <w:r>
        <w:t>,</w:t>
      </w:r>
      <w:r w:rsidRPr="000C14B8">
        <w:t xml:space="preserve">” </w:t>
      </w:r>
      <w:r>
        <w:t xml:space="preserve">Statista, </w:t>
      </w:r>
      <w:r w:rsidRPr="000C14B8">
        <w:t>accessed October 15, 2019, https://www.statista.com/statistics/226794/number-of-employees-at-alibabacom/.</w:t>
      </w:r>
    </w:p>
  </w:endnote>
  <w:endnote w:id="29">
    <w:p w14:paraId="127C23BE" w14:textId="0CF4B96A" w:rsidR="00773C02" w:rsidRPr="000C14B8" w:rsidRDefault="00773C02" w:rsidP="00A2621D">
      <w:pPr>
        <w:pStyle w:val="FootnoteText1"/>
      </w:pPr>
      <w:r w:rsidRPr="000C14B8">
        <w:rPr>
          <w:rStyle w:val="EndnoteReference"/>
        </w:rPr>
        <w:endnoteRef/>
      </w:r>
      <w:r w:rsidRPr="000C14B8">
        <w:t xml:space="preserve"> Alibaba Group, accessed October 15, 2019, https://agla.alibaba.com/.</w:t>
      </w:r>
    </w:p>
  </w:endnote>
  <w:endnote w:id="30">
    <w:p w14:paraId="747DEB0C" w14:textId="6B85AE25" w:rsidR="00773C02" w:rsidRPr="000C14B8" w:rsidRDefault="00773C02" w:rsidP="0069401A">
      <w:pPr>
        <w:pStyle w:val="EndnoteText"/>
        <w:jc w:val="both"/>
        <w:rPr>
          <w:rFonts w:ascii="Arial" w:hAnsi="Arial" w:cs="Arial"/>
          <w:sz w:val="17"/>
          <w:szCs w:val="17"/>
        </w:rPr>
      </w:pPr>
      <w:r w:rsidRPr="000C14B8">
        <w:rPr>
          <w:rStyle w:val="EndnoteReference"/>
          <w:rFonts w:ascii="Arial" w:hAnsi="Arial" w:cs="Arial"/>
          <w:sz w:val="17"/>
          <w:szCs w:val="17"/>
        </w:rPr>
        <w:endnoteRef/>
      </w:r>
      <w:r w:rsidRPr="000C14B8">
        <w:rPr>
          <w:rFonts w:ascii="Arial" w:hAnsi="Arial" w:cs="Arial"/>
          <w:sz w:val="17"/>
          <w:szCs w:val="17"/>
        </w:rPr>
        <w:t xml:space="preserve"> </w:t>
      </w:r>
      <w:r w:rsidRPr="000C14B8">
        <w:rPr>
          <w:rFonts w:ascii="Arial" w:hAnsi="Arial" w:cs="Arial"/>
          <w:sz w:val="17"/>
          <w:szCs w:val="17"/>
          <w:lang w:val="en-GB"/>
        </w:rPr>
        <w:t>Adapted from “Ten Pictures to See Who Is the Most Profitable Model among Ali, Jingdong and Amazon</w:t>
      </w:r>
      <w:r>
        <w:rPr>
          <w:rFonts w:ascii="Arial" w:hAnsi="Arial" w:cs="Arial"/>
          <w:sz w:val="17"/>
          <w:szCs w:val="17"/>
          <w:lang w:val="en-GB"/>
        </w:rPr>
        <w:t>”</w:t>
      </w:r>
      <w:r w:rsidRPr="000C14B8">
        <w:rPr>
          <w:rFonts w:ascii="Arial" w:hAnsi="Arial" w:cs="Arial"/>
          <w:sz w:val="17"/>
          <w:szCs w:val="17"/>
          <w:lang w:val="en-GB"/>
        </w:rPr>
        <w:t xml:space="preserve"> [in Chinese], DigitalING, March 9, 2017, accessed April 26, 2019, https://www.digitaling.com/articles/35530.html.</w:t>
      </w:r>
    </w:p>
  </w:endnote>
  <w:endnote w:id="31">
    <w:p w14:paraId="6CB72440" w14:textId="0276A8D9" w:rsidR="00773C02" w:rsidRPr="000C14B8" w:rsidRDefault="00773C02">
      <w:pPr>
        <w:pStyle w:val="EndnoteText"/>
        <w:rPr>
          <w:rFonts w:ascii="Arial" w:hAnsi="Arial" w:cs="Arial"/>
          <w:sz w:val="17"/>
          <w:szCs w:val="17"/>
        </w:rPr>
      </w:pPr>
      <w:r w:rsidRPr="000C14B8">
        <w:rPr>
          <w:rStyle w:val="EndnoteReference"/>
          <w:rFonts w:ascii="Arial" w:hAnsi="Arial" w:cs="Arial"/>
          <w:sz w:val="17"/>
          <w:szCs w:val="17"/>
        </w:rPr>
        <w:endnoteRef/>
      </w:r>
      <w:r w:rsidRPr="000C14B8">
        <w:rPr>
          <w:rFonts w:ascii="Arial" w:hAnsi="Arial" w:cs="Arial"/>
          <w:sz w:val="17"/>
          <w:szCs w:val="17"/>
        </w:rPr>
        <w:t xml:space="preserve"> </w:t>
      </w:r>
      <w:r w:rsidRPr="000C14B8">
        <w:rPr>
          <w:rFonts w:ascii="Arial" w:hAnsi="Arial" w:cs="Arial"/>
          <w:sz w:val="17"/>
          <w:szCs w:val="17"/>
          <w:lang w:val="en-GB"/>
        </w:rPr>
        <w:t>“Ten Pictures to See Who Is the Most Profitable Model among Ali, Jingdong and Amazon</w:t>
      </w:r>
      <w:r>
        <w:rPr>
          <w:rFonts w:ascii="Arial" w:hAnsi="Arial" w:cs="Arial"/>
          <w:sz w:val="17"/>
          <w:szCs w:val="17"/>
          <w:lang w:val="en-GB"/>
        </w:rPr>
        <w:t>,” op. cit.</w:t>
      </w:r>
    </w:p>
  </w:endnote>
  <w:endnote w:id="32">
    <w:p w14:paraId="6C308523" w14:textId="1D38336C" w:rsidR="00773C02" w:rsidRPr="000C14B8" w:rsidRDefault="00773C02" w:rsidP="00C126AA">
      <w:pPr>
        <w:pStyle w:val="FootnoteText1"/>
      </w:pPr>
      <w:r w:rsidRPr="000C14B8">
        <w:rPr>
          <w:rStyle w:val="EndnoteReference"/>
        </w:rPr>
        <w:endnoteRef/>
      </w:r>
      <w:r w:rsidRPr="000C14B8">
        <w:t xml:space="preserve"> Jonathan Chadwick, “Alibaba Cloud Quarterly Revenue Jumps 90%</w:t>
      </w:r>
      <w:r>
        <w:t>,</w:t>
      </w:r>
      <w:r w:rsidRPr="000C14B8">
        <w:t xml:space="preserve">” </w:t>
      </w:r>
      <w:r>
        <w:t xml:space="preserve">Tech Monitor, </w:t>
      </w:r>
      <w:r w:rsidRPr="000C14B8">
        <w:t>November 5, 2018, accessed April 24, 2019, https://www.cbronline.com/news/alibaba-cloud-q4-2018.</w:t>
      </w:r>
    </w:p>
  </w:endnote>
  <w:endnote w:id="33">
    <w:p w14:paraId="527AEC16" w14:textId="4DFFEDDA" w:rsidR="00773C02" w:rsidRPr="0069401A" w:rsidRDefault="00773C02">
      <w:pPr>
        <w:pStyle w:val="EndnoteText"/>
        <w:rPr>
          <w:rFonts w:ascii="Arial" w:hAnsi="Arial" w:cs="Arial"/>
          <w:sz w:val="17"/>
          <w:szCs w:val="17"/>
          <w:lang w:val="en-CA"/>
        </w:rPr>
      </w:pPr>
      <w:r w:rsidRPr="000C14B8">
        <w:rPr>
          <w:rStyle w:val="EndnoteReference"/>
          <w:rFonts w:ascii="Arial" w:hAnsi="Arial" w:cs="Arial"/>
          <w:sz w:val="17"/>
          <w:szCs w:val="17"/>
        </w:rPr>
        <w:endnoteRef/>
      </w:r>
      <w:r w:rsidRPr="000C14B8">
        <w:rPr>
          <w:rFonts w:ascii="Arial" w:hAnsi="Arial" w:cs="Arial"/>
          <w:sz w:val="17"/>
          <w:szCs w:val="17"/>
        </w:rPr>
        <w:t xml:space="preserve"> </w:t>
      </w:r>
      <w:r w:rsidRPr="000C14B8">
        <w:rPr>
          <w:rFonts w:ascii="Arial" w:eastAsia="Microsoft YaHei" w:hAnsi="Arial" w:cs="Arial"/>
          <w:sz w:val="17"/>
          <w:szCs w:val="17"/>
        </w:rPr>
        <w:t xml:space="preserve">Rongcong Xu, </w:t>
      </w:r>
      <w:r w:rsidR="004969B0">
        <w:rPr>
          <w:rFonts w:ascii="Arial" w:eastAsia="Microsoft YaHei" w:hAnsi="Arial" w:cs="Arial"/>
          <w:sz w:val="17"/>
          <w:szCs w:val="17"/>
          <w:lang w:val="en-CA"/>
        </w:rPr>
        <w:t>op. cit.</w:t>
      </w:r>
    </w:p>
  </w:endnote>
  <w:endnote w:id="34">
    <w:p w14:paraId="68C72948" w14:textId="0E431053" w:rsidR="00773C02" w:rsidRPr="000C14B8" w:rsidRDefault="00773C02" w:rsidP="00334576">
      <w:pPr>
        <w:pStyle w:val="Footnote"/>
      </w:pPr>
      <w:r w:rsidRPr="000C14B8">
        <w:rPr>
          <w:rStyle w:val="EndnoteReference"/>
        </w:rPr>
        <w:endnoteRef/>
      </w:r>
      <w:r w:rsidRPr="000C14B8">
        <w:t xml:space="preserve"> Cooper Smith, “Here's The Latest Sign That China's E-Commerce Market Is White Hot,” Business Insider, March 11, 2014, accessed April 25, 2019, https://www.businessinsider.com/heres-why-tencent-just-acquired-a-twenty-percent-stake-in-chinese-e-commerce-giant-jdcom-for-215-million-sai-2014-3/?IR=T&amp;r=SG.</w:t>
      </w:r>
    </w:p>
  </w:endnote>
  <w:endnote w:id="35">
    <w:p w14:paraId="7815F1E6" w14:textId="242A1659" w:rsidR="00773C02" w:rsidRPr="000C14B8" w:rsidRDefault="00773C02" w:rsidP="0045084A">
      <w:pPr>
        <w:pStyle w:val="FootnoteText1"/>
        <w:rPr>
          <w:rStyle w:val="FootnoteChar"/>
        </w:rPr>
      </w:pPr>
      <w:r w:rsidRPr="000C14B8">
        <w:rPr>
          <w:rStyle w:val="EndnoteReference"/>
        </w:rPr>
        <w:endnoteRef/>
      </w:r>
      <w:r w:rsidRPr="000C14B8">
        <w:t xml:space="preserve"> Ryan Daws, “Chinese </w:t>
      </w:r>
      <w:r>
        <w:t>R</w:t>
      </w:r>
      <w:r w:rsidRPr="000C14B8">
        <w:t xml:space="preserve">etailer JD is </w:t>
      </w:r>
      <w:r>
        <w:t>P</w:t>
      </w:r>
      <w:r w:rsidRPr="000C14B8">
        <w:t xml:space="preserve">umping $55m into </w:t>
      </w:r>
      <w:r>
        <w:t>C</w:t>
      </w:r>
      <w:r w:rsidRPr="000C14B8">
        <w:t xml:space="preserve">onnected </w:t>
      </w:r>
      <w:r>
        <w:t>V</w:t>
      </w:r>
      <w:r w:rsidRPr="000C14B8">
        <w:t>ehicles</w:t>
      </w:r>
      <w:r>
        <w:t>,</w:t>
      </w:r>
      <w:r w:rsidRPr="000C14B8">
        <w:t xml:space="preserve">” </w:t>
      </w:r>
      <w:r>
        <w:t xml:space="preserve">IoT News, </w:t>
      </w:r>
      <w:r w:rsidRPr="000C14B8">
        <w:t>May 14</w:t>
      </w:r>
      <w:r w:rsidRPr="000C14B8">
        <w:rPr>
          <w:rStyle w:val="FootnoteChar"/>
        </w:rPr>
        <w:t xml:space="preserve">, 2019, accessed April 25, 2019, </w:t>
      </w:r>
      <w:hyperlink r:id="rId4" w:history="1">
        <w:r w:rsidRPr="000C14B8">
          <w:rPr>
            <w:rStyle w:val="FootnoteChar"/>
          </w:rPr>
          <w:t>https://www.iottechnews.com/news/2019/may/14/chinese-retailer-jd-55m-connected-vehicles/</w:t>
        </w:r>
      </w:hyperlink>
      <w:r w:rsidRPr="000C14B8">
        <w:rPr>
          <w:rStyle w:val="FootnoteChar"/>
        </w:rPr>
        <w:t>.</w:t>
      </w:r>
    </w:p>
  </w:endnote>
  <w:endnote w:id="36">
    <w:p w14:paraId="28127D1E" w14:textId="391ACF8B" w:rsidR="00773C02" w:rsidRPr="000C14B8" w:rsidRDefault="00773C02" w:rsidP="000C14B8">
      <w:pPr>
        <w:pStyle w:val="Footnote"/>
      </w:pPr>
      <w:r w:rsidRPr="000C14B8">
        <w:rPr>
          <w:rStyle w:val="EndnoteReference"/>
        </w:rPr>
        <w:endnoteRef/>
      </w:r>
      <w:r w:rsidRPr="000C14B8">
        <w:t xml:space="preserve"> Fan Feifei, “JD </w:t>
      </w:r>
      <w:r>
        <w:t>R</w:t>
      </w:r>
      <w:r w:rsidRPr="000C14B8">
        <w:t xml:space="preserve">eports </w:t>
      </w:r>
      <w:r>
        <w:t>I</w:t>
      </w:r>
      <w:r w:rsidRPr="000C14B8">
        <w:t xml:space="preserve">ncrease in </w:t>
      </w:r>
      <w:r>
        <w:t>R</w:t>
      </w:r>
      <w:r w:rsidRPr="000C14B8">
        <w:t xml:space="preserve">evenue, </w:t>
      </w:r>
      <w:r>
        <w:t>P</w:t>
      </w:r>
      <w:r w:rsidRPr="000C14B8">
        <w:t>rofit for 2017</w:t>
      </w:r>
      <w:r>
        <w:t>,</w:t>
      </w:r>
      <w:r w:rsidRPr="000C14B8">
        <w:t xml:space="preserve">” </w:t>
      </w:r>
      <w:r w:rsidRPr="0069401A">
        <w:rPr>
          <w:i/>
        </w:rPr>
        <w:t>China Daily</w:t>
      </w:r>
      <w:r>
        <w:t xml:space="preserve">, </w:t>
      </w:r>
      <w:r w:rsidRPr="000C14B8">
        <w:t>March 2, 2018, accessed May 19, 2020,</w:t>
      </w:r>
    </w:p>
    <w:p w14:paraId="0D6AF09C" w14:textId="4B1E05E9" w:rsidR="00773C02" w:rsidRPr="000C14B8" w:rsidRDefault="00980BB5" w:rsidP="000C14B8">
      <w:pPr>
        <w:pStyle w:val="Footnote"/>
      </w:pPr>
      <w:hyperlink r:id="rId5" w:history="1">
        <w:r w:rsidR="00773C02" w:rsidRPr="000C14B8">
          <w:rPr>
            <w:rStyle w:val="Hyperlink"/>
            <w:color w:val="auto"/>
            <w:u w:val="none"/>
          </w:rPr>
          <w:t>https://www.chinadaily.com.cn/a/201803/02/WS5a997371a3106e7dcc13f400.html</w:t>
        </w:r>
      </w:hyperlink>
      <w:r w:rsidR="00773C02">
        <w:rPr>
          <w:rStyle w:val="Hyperlink"/>
          <w:color w:val="auto"/>
          <w:u w:val="none"/>
        </w:rPr>
        <w:t>.</w:t>
      </w:r>
    </w:p>
  </w:endnote>
  <w:endnote w:id="37">
    <w:p w14:paraId="5B3183C6" w14:textId="5498CF5A" w:rsidR="00773C02" w:rsidRPr="000C14B8" w:rsidRDefault="00773C02" w:rsidP="00C52690">
      <w:pPr>
        <w:pStyle w:val="Footnote"/>
      </w:pPr>
      <w:r w:rsidRPr="000C14B8">
        <w:rPr>
          <w:vertAlign w:val="superscript"/>
        </w:rPr>
        <w:endnoteRef/>
      </w:r>
      <w:r w:rsidRPr="000C14B8">
        <w:t xml:space="preserve"> Luo Chao and Tao Cheng, “Jingdong Online Personal Express Business: Short-Term Can Not Overestimated, Long-Term Can Not Be Underestimated</w:t>
      </w:r>
      <w:r w:rsidR="004969B0">
        <w:t>”</w:t>
      </w:r>
      <w:r w:rsidRPr="000C14B8">
        <w:t xml:space="preserve"> [in Chinese], 36KR, October 19, 2018, accessed April 25, 2019, https://36kr.com/p/5157991.html.</w:t>
      </w:r>
    </w:p>
  </w:endnote>
  <w:endnote w:id="38">
    <w:p w14:paraId="0823179B" w14:textId="055790F5" w:rsidR="00773C02" w:rsidRPr="000C14B8" w:rsidRDefault="00773C02">
      <w:pPr>
        <w:pStyle w:val="EndnoteText"/>
        <w:rPr>
          <w:rFonts w:ascii="Arial" w:hAnsi="Arial" w:cs="Arial"/>
          <w:sz w:val="17"/>
          <w:szCs w:val="17"/>
        </w:rPr>
      </w:pPr>
      <w:r w:rsidRPr="000C14B8">
        <w:rPr>
          <w:rStyle w:val="EndnoteReference"/>
          <w:rFonts w:ascii="Arial" w:hAnsi="Arial" w:cs="Arial"/>
          <w:sz w:val="17"/>
          <w:szCs w:val="17"/>
        </w:rPr>
        <w:endnoteRef/>
      </w:r>
      <w:r w:rsidRPr="000C14B8">
        <w:rPr>
          <w:rFonts w:ascii="Arial" w:hAnsi="Arial" w:cs="Arial"/>
          <w:sz w:val="17"/>
          <w:szCs w:val="17"/>
        </w:rPr>
        <w:t xml:space="preserve"> </w:t>
      </w:r>
      <w:r w:rsidRPr="000C14B8">
        <w:rPr>
          <w:rFonts w:ascii="Arial" w:hAnsi="Arial" w:cs="Arial"/>
          <w:sz w:val="17"/>
          <w:szCs w:val="17"/>
          <w:lang w:val="en-GB"/>
        </w:rPr>
        <w:t>“Ten Pictures to See Who Is the Most Profitable Model among Ali, Jingdong and Amazon</w:t>
      </w:r>
      <w:r w:rsidR="004969B0">
        <w:rPr>
          <w:rFonts w:ascii="Arial" w:hAnsi="Arial" w:cs="Arial"/>
          <w:sz w:val="17"/>
          <w:szCs w:val="17"/>
          <w:lang w:val="en-GB"/>
        </w:rPr>
        <w:t>,” op. cit.</w:t>
      </w:r>
    </w:p>
  </w:endnote>
  <w:endnote w:id="39">
    <w:p w14:paraId="0859E0A2" w14:textId="0B60B1A4" w:rsidR="00773C02" w:rsidRPr="000C14B8" w:rsidRDefault="00773C02" w:rsidP="0069401A">
      <w:pPr>
        <w:pStyle w:val="EndnoteText"/>
        <w:jc w:val="both"/>
        <w:rPr>
          <w:rFonts w:ascii="Arial" w:hAnsi="Arial" w:cs="Arial"/>
          <w:sz w:val="17"/>
          <w:szCs w:val="17"/>
        </w:rPr>
      </w:pPr>
      <w:r w:rsidRPr="000C14B8">
        <w:rPr>
          <w:rStyle w:val="EndnoteReference"/>
          <w:rFonts w:ascii="Arial" w:hAnsi="Arial" w:cs="Arial"/>
          <w:sz w:val="17"/>
          <w:szCs w:val="17"/>
        </w:rPr>
        <w:endnoteRef/>
      </w:r>
      <w:r w:rsidRPr="000C14B8">
        <w:rPr>
          <w:rFonts w:ascii="Arial" w:hAnsi="Arial" w:cs="Arial"/>
          <w:sz w:val="17"/>
          <w:szCs w:val="17"/>
        </w:rPr>
        <w:t xml:space="preserve"> Renwen Yang “Amazon (AMZN.O): Self-Promoted Infinite Expansion” [in Chinese]</w:t>
      </w:r>
      <w:r w:rsidR="004969B0">
        <w:rPr>
          <w:rFonts w:ascii="Arial" w:hAnsi="Arial" w:cs="Arial"/>
          <w:sz w:val="17"/>
          <w:szCs w:val="17"/>
          <w:lang w:val="en-CA"/>
        </w:rPr>
        <w:t>,</w:t>
      </w:r>
      <w:r w:rsidRPr="000C14B8">
        <w:rPr>
          <w:rFonts w:ascii="Arial" w:hAnsi="Arial" w:cs="Arial"/>
          <w:sz w:val="17"/>
          <w:szCs w:val="17"/>
        </w:rPr>
        <w:t xml:space="preserve"> Amazon Research Report, Founder Securities, October 23, 2018, China.</w:t>
      </w:r>
    </w:p>
  </w:endnote>
  <w:endnote w:id="40">
    <w:p w14:paraId="159926E3" w14:textId="5ECB3D7D" w:rsidR="00773C02" w:rsidRPr="000C14B8" w:rsidRDefault="00773C02" w:rsidP="00C52690">
      <w:pPr>
        <w:pStyle w:val="Footnote"/>
      </w:pPr>
      <w:r w:rsidRPr="000C14B8">
        <w:rPr>
          <w:vertAlign w:val="superscript"/>
        </w:rPr>
        <w:endnoteRef/>
      </w:r>
      <w:r w:rsidRPr="000C14B8">
        <w:t xml:space="preserve"> JD.com, “JD.com and Google Announce Strategic Partnership,” News Release, AP News, June 17, 2018, accessed April 25, 2019, </w:t>
      </w:r>
      <w:hyperlink r:id="rId6">
        <w:r w:rsidRPr="000C14B8">
          <w:t>https://www.apnews.com/9832e4961a54c7d4b60b4343039215bb</w:t>
        </w:r>
      </w:hyperlink>
      <w:r w:rsidRPr="000C14B8">
        <w:t>.</w:t>
      </w:r>
    </w:p>
  </w:endnote>
  <w:endnote w:id="41">
    <w:p w14:paraId="7E3ADF5A" w14:textId="62C3F759" w:rsidR="00773C02" w:rsidRPr="000C14B8" w:rsidRDefault="00773C02" w:rsidP="00A2621D">
      <w:pPr>
        <w:pStyle w:val="FootnoteText1"/>
      </w:pPr>
      <w:r w:rsidRPr="000C14B8">
        <w:rPr>
          <w:rStyle w:val="EndnoteReference"/>
        </w:rPr>
        <w:endnoteRef/>
      </w:r>
      <w:r w:rsidRPr="000C14B8">
        <w:t xml:space="preserve"> Jennifer Smith, “Chinese Retailer JD.com Turning Its Logistics Network </w:t>
      </w:r>
      <w:r w:rsidR="004969B0">
        <w:t>i</w:t>
      </w:r>
      <w:r w:rsidRPr="000C14B8">
        <w:t>nto Broader Delivery Service</w:t>
      </w:r>
      <w:r w:rsidR="004969B0">
        <w:t>,”</w:t>
      </w:r>
      <w:r w:rsidR="004969B0" w:rsidRPr="000C14B8">
        <w:t xml:space="preserve"> </w:t>
      </w:r>
      <w:r w:rsidR="004969B0" w:rsidRPr="0069401A">
        <w:rPr>
          <w:i/>
        </w:rPr>
        <w:t>Wall Street Journal</w:t>
      </w:r>
      <w:r w:rsidR="004969B0">
        <w:t xml:space="preserve">, </w:t>
      </w:r>
      <w:r w:rsidRPr="000C14B8">
        <w:t>October 17, 2018, accessed April 25, 2019, https://www.wsj.com/articles/chinese-retailer-jd-com-turning-its-logistics-network-into-broader-delivery-service-1539833400</w:t>
      </w:r>
      <w:r w:rsidRPr="000C14B8">
        <w:rPr>
          <w:rStyle w:val="Hyperlink"/>
          <w:color w:val="000000" w:themeColor="text1"/>
          <w:u w:val="none"/>
        </w:rPr>
        <w:t>.</w:t>
      </w:r>
    </w:p>
  </w:endnote>
  <w:endnote w:id="42">
    <w:p w14:paraId="2F7591C8" w14:textId="318B127F" w:rsidR="00773C02" w:rsidRPr="000C14B8" w:rsidRDefault="00773C02" w:rsidP="00C52690">
      <w:pPr>
        <w:pStyle w:val="Footnote"/>
      </w:pPr>
      <w:r w:rsidRPr="000C14B8">
        <w:rPr>
          <w:vertAlign w:val="superscript"/>
        </w:rPr>
        <w:endnoteRef/>
      </w:r>
      <w:r w:rsidRPr="000C14B8">
        <w:t xml:space="preserve"> Barney Jopson and Matthew Garrahan, “Amazon Urges California Referendum on Online Tax,” </w:t>
      </w:r>
      <w:r w:rsidRPr="000C14B8">
        <w:rPr>
          <w:i/>
        </w:rPr>
        <w:t>Financial Times</w:t>
      </w:r>
      <w:r w:rsidRPr="000C14B8">
        <w:t>, July 12, 2011, accessed August 4, 2011, https://www.ft.com/content/61828252-ac1d-11e0-b85c-00144feabdc0.</w:t>
      </w:r>
    </w:p>
  </w:endnote>
  <w:endnote w:id="43">
    <w:p w14:paraId="57E2AA67" w14:textId="12F50014" w:rsidR="00773C02" w:rsidRPr="000C14B8" w:rsidRDefault="00773C02" w:rsidP="00EB3E86">
      <w:pPr>
        <w:pStyle w:val="FootnoteText1"/>
      </w:pPr>
      <w:r w:rsidRPr="000C14B8">
        <w:rPr>
          <w:rStyle w:val="EndnoteReference"/>
        </w:rPr>
        <w:endnoteRef/>
      </w:r>
      <w:r w:rsidRPr="000C14B8">
        <w:t xml:space="preserve"> Dr Murat Uenlue, “Amazon Business Model: the Ultimate Overview</w:t>
      </w:r>
      <w:r w:rsidR="004969B0">
        <w:t>,</w:t>
      </w:r>
      <w:r w:rsidRPr="000C14B8">
        <w:t xml:space="preserve">” </w:t>
      </w:r>
      <w:r w:rsidR="004969B0">
        <w:t xml:space="preserve">Innovation Tactics, </w:t>
      </w:r>
      <w:r w:rsidRPr="000C14B8">
        <w:t>December 14, 2018, accessed April 25, 2019, https://www.innovationtactics.com/amazon-business-model-ultimate-overview/</w:t>
      </w:r>
      <w:r w:rsidRPr="000C14B8">
        <w:rPr>
          <w:rStyle w:val="Hyperlink"/>
          <w:color w:val="000000" w:themeColor="text1"/>
          <w:u w:val="none"/>
        </w:rPr>
        <w:t>.</w:t>
      </w:r>
    </w:p>
  </w:endnote>
  <w:endnote w:id="44">
    <w:p w14:paraId="4C666BCA" w14:textId="394E09FD" w:rsidR="00773C02" w:rsidRPr="000C14B8" w:rsidRDefault="00773C02" w:rsidP="00C52690">
      <w:pPr>
        <w:pStyle w:val="Footnote"/>
      </w:pPr>
      <w:r w:rsidRPr="000C14B8">
        <w:rPr>
          <w:vertAlign w:val="superscript"/>
        </w:rPr>
        <w:endnoteRef/>
      </w:r>
      <w:r w:rsidRPr="000C14B8">
        <w:t xml:space="preserve"> The Internet of Things (IoT) was a network of devices such as vehicles and home appliances that contained electronics, software, actuators, and connectivity that allowed them to connect, interact, and exchange data.</w:t>
      </w:r>
    </w:p>
  </w:endnote>
  <w:endnote w:id="45">
    <w:p w14:paraId="0EE9B61D" w14:textId="0A1F9C09" w:rsidR="00773C02" w:rsidRPr="000C14B8" w:rsidRDefault="00773C02" w:rsidP="00EB3E86">
      <w:pPr>
        <w:pStyle w:val="FootnoteText1"/>
      </w:pPr>
      <w:r w:rsidRPr="000C14B8">
        <w:rPr>
          <w:rStyle w:val="EndnoteReference"/>
        </w:rPr>
        <w:endnoteRef/>
      </w:r>
      <w:r w:rsidRPr="000C14B8">
        <w:t xml:space="preserve"> Renwen Yang</w:t>
      </w:r>
      <w:r w:rsidR="004969B0">
        <w:t>, op. cit.</w:t>
      </w:r>
    </w:p>
  </w:endnote>
  <w:endnote w:id="46">
    <w:p w14:paraId="78CEE5EC" w14:textId="79B1B991" w:rsidR="00773C02" w:rsidRPr="000C14B8" w:rsidRDefault="00773C02" w:rsidP="00EB3E86">
      <w:pPr>
        <w:pStyle w:val="FootnoteText1"/>
      </w:pPr>
      <w:r w:rsidRPr="000C14B8">
        <w:rPr>
          <w:rStyle w:val="EndnoteReference"/>
        </w:rPr>
        <w:endnoteRef/>
      </w:r>
      <w:r w:rsidRPr="000C14B8">
        <w:t xml:space="preserve"> Nick Wingfield, “Amazon’s Cloud Business Lifts Its Profit to a Record</w:t>
      </w:r>
      <w:r w:rsidR="004969B0">
        <w:t>,</w:t>
      </w:r>
      <w:r w:rsidRPr="000C14B8">
        <w:t xml:space="preserve">” </w:t>
      </w:r>
      <w:r w:rsidR="004969B0" w:rsidRPr="0069401A">
        <w:rPr>
          <w:i/>
        </w:rPr>
        <w:t>The New York Times</w:t>
      </w:r>
      <w:r w:rsidR="004969B0">
        <w:t xml:space="preserve">, </w:t>
      </w:r>
      <w:r w:rsidRPr="000C14B8">
        <w:t>April 28, 2016, accessed April 25, 2019, https://www.nytimes.com/2016/04/29/technology/amazon-q1-earnings.html</w:t>
      </w:r>
      <w:r w:rsidRPr="000C14B8">
        <w:rPr>
          <w:rStyle w:val="Hyperlink"/>
          <w:color w:val="000000" w:themeColor="text1"/>
          <w:u w:val="none"/>
        </w:rPr>
        <w:t>.</w:t>
      </w:r>
    </w:p>
  </w:endnote>
  <w:endnote w:id="47">
    <w:p w14:paraId="3F80576E" w14:textId="3228E7A3" w:rsidR="00773C02" w:rsidRPr="0069401A" w:rsidRDefault="00773C02">
      <w:pPr>
        <w:pStyle w:val="EndnoteText"/>
        <w:rPr>
          <w:rFonts w:ascii="Arial" w:hAnsi="Arial" w:cs="Arial"/>
          <w:sz w:val="17"/>
          <w:szCs w:val="17"/>
          <w:lang w:val="en-CA"/>
        </w:rPr>
      </w:pPr>
      <w:r w:rsidRPr="000C14B8">
        <w:rPr>
          <w:rStyle w:val="EndnoteReference"/>
          <w:rFonts w:ascii="Arial" w:hAnsi="Arial" w:cs="Arial"/>
          <w:sz w:val="17"/>
          <w:szCs w:val="17"/>
        </w:rPr>
        <w:endnoteRef/>
      </w:r>
      <w:r w:rsidRPr="000C14B8">
        <w:rPr>
          <w:rFonts w:ascii="Arial" w:hAnsi="Arial" w:cs="Arial"/>
          <w:sz w:val="17"/>
          <w:szCs w:val="17"/>
        </w:rPr>
        <w:t xml:space="preserve"> Renwen Yang</w:t>
      </w:r>
      <w:r w:rsidR="004969B0">
        <w:rPr>
          <w:rFonts w:ascii="Arial" w:hAnsi="Arial" w:cs="Arial"/>
          <w:sz w:val="17"/>
          <w:szCs w:val="17"/>
          <w:lang w:val="en-CA"/>
        </w:rPr>
        <w:t>, op. cit.</w:t>
      </w:r>
    </w:p>
  </w:endnote>
  <w:endnote w:id="48">
    <w:p w14:paraId="544B7B38" w14:textId="664B2AB5" w:rsidR="00773C02" w:rsidRPr="000C14B8" w:rsidRDefault="00773C02" w:rsidP="00C52690">
      <w:pPr>
        <w:pStyle w:val="Footnote"/>
      </w:pPr>
      <w:r w:rsidRPr="000C14B8">
        <w:rPr>
          <w:vertAlign w:val="superscript"/>
        </w:rPr>
        <w:endnoteRef/>
      </w:r>
      <w:r w:rsidRPr="000C14B8">
        <w:t xml:space="preserve"> Retail Planet Krypton, “Amazon China, Is It Really Down? Still in the ‘Muffled Fortune’?</w:t>
      </w:r>
      <w:r w:rsidR="00B22DB1">
        <w:t>”</w:t>
      </w:r>
      <w:r w:rsidRPr="000C14B8">
        <w:t xml:space="preserve"> [in Chinese], Ai Rui Group, March 16, 2018, accessed April 25, 2019, </w:t>
      </w:r>
      <w:hyperlink r:id="rId7">
        <w:r w:rsidRPr="000C14B8">
          <w:t>http://news.iresearch.cn/content/2018/03/273524.shtml</w:t>
        </w:r>
      </w:hyperlink>
      <w:r w:rsidRPr="000C14B8">
        <w:t>.</w:t>
      </w:r>
    </w:p>
  </w:endnote>
  <w:endnote w:id="49">
    <w:p w14:paraId="3F8341C7" w14:textId="6CB2616E" w:rsidR="00773C02" w:rsidRPr="000C14B8" w:rsidRDefault="00773C02">
      <w:pPr>
        <w:pStyle w:val="EndnoteText"/>
        <w:rPr>
          <w:rFonts w:ascii="Arial" w:hAnsi="Arial" w:cs="Arial"/>
          <w:sz w:val="17"/>
          <w:szCs w:val="17"/>
        </w:rPr>
      </w:pPr>
      <w:r w:rsidRPr="000C14B8">
        <w:rPr>
          <w:rStyle w:val="EndnoteReference"/>
          <w:rFonts w:ascii="Arial" w:hAnsi="Arial" w:cs="Arial"/>
          <w:sz w:val="17"/>
          <w:szCs w:val="17"/>
        </w:rPr>
        <w:endnoteRef/>
      </w:r>
      <w:r w:rsidRPr="000C14B8">
        <w:rPr>
          <w:rFonts w:ascii="Arial" w:hAnsi="Arial" w:cs="Arial"/>
          <w:sz w:val="17"/>
          <w:szCs w:val="17"/>
        </w:rPr>
        <w:t xml:space="preserve"> </w:t>
      </w:r>
      <w:r w:rsidRPr="000C14B8">
        <w:rPr>
          <w:rFonts w:ascii="Arial" w:hAnsi="Arial" w:cs="Arial"/>
          <w:sz w:val="17"/>
          <w:szCs w:val="17"/>
          <w:lang w:val="en-GB"/>
        </w:rPr>
        <w:t>“Ten Pictures to See Who Is the Most Profitable Model among Ali, Jingdong and Amazon</w:t>
      </w:r>
      <w:r w:rsidR="00B22DB1">
        <w:rPr>
          <w:rFonts w:ascii="Arial" w:hAnsi="Arial" w:cs="Arial"/>
          <w:sz w:val="17"/>
          <w:szCs w:val="17"/>
          <w:lang w:val="en-GB"/>
        </w:rPr>
        <w:t>,”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D0AAC" w14:textId="77777777" w:rsidR="00E9517F" w:rsidRDefault="00E9517F" w:rsidP="00D75295">
      <w:r>
        <w:separator/>
      </w:r>
    </w:p>
  </w:footnote>
  <w:footnote w:type="continuationSeparator" w:id="0">
    <w:p w14:paraId="765B74D6" w14:textId="77777777" w:rsidR="00E9517F" w:rsidRDefault="00E9517F"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45FC2F6" w:rsidR="00773C02" w:rsidRPr="0056630E" w:rsidRDefault="00773C02" w:rsidP="001C7777">
    <w:pPr>
      <w:pBdr>
        <w:bottom w:val="single" w:sz="18" w:space="1" w:color="auto"/>
      </w:pBdr>
      <w:tabs>
        <w:tab w:val="left" w:pos="-1440"/>
        <w:tab w:val="left" w:pos="-720"/>
        <w:tab w:val="right" w:pos="9360"/>
      </w:tabs>
      <w:rPr>
        <w:sz w:val="20"/>
        <w:szCs w:val="20"/>
      </w:rPr>
    </w:pPr>
    <w:r w:rsidRPr="0056630E">
      <w:rPr>
        <w:rFonts w:ascii="Arial" w:hAnsi="Arial"/>
        <w:b/>
        <w:sz w:val="20"/>
        <w:szCs w:val="20"/>
      </w:rPr>
      <w:t xml:space="preserve">Page </w:t>
    </w:r>
    <w:r w:rsidRPr="0056630E">
      <w:rPr>
        <w:rFonts w:ascii="Arial" w:hAnsi="Arial"/>
        <w:b/>
        <w:sz w:val="20"/>
        <w:szCs w:val="20"/>
      </w:rPr>
      <w:fldChar w:fldCharType="begin"/>
    </w:r>
    <w:r w:rsidRPr="0056630E">
      <w:rPr>
        <w:rFonts w:ascii="Arial" w:hAnsi="Arial"/>
        <w:b/>
        <w:sz w:val="20"/>
        <w:szCs w:val="20"/>
      </w:rPr>
      <w:instrText>PAGE</w:instrText>
    </w:r>
    <w:r w:rsidRPr="0056630E">
      <w:rPr>
        <w:rFonts w:ascii="Arial" w:hAnsi="Arial"/>
        <w:b/>
        <w:sz w:val="20"/>
        <w:szCs w:val="20"/>
      </w:rPr>
      <w:fldChar w:fldCharType="separate"/>
    </w:r>
    <w:r w:rsidR="0039042E">
      <w:rPr>
        <w:rFonts w:ascii="Arial" w:hAnsi="Arial"/>
        <w:b/>
        <w:noProof/>
        <w:sz w:val="20"/>
        <w:szCs w:val="20"/>
      </w:rPr>
      <w:t>2</w:t>
    </w:r>
    <w:r w:rsidRPr="0056630E">
      <w:rPr>
        <w:rFonts w:ascii="Arial" w:hAnsi="Arial"/>
        <w:b/>
        <w:sz w:val="20"/>
        <w:szCs w:val="20"/>
      </w:rPr>
      <w:fldChar w:fldCharType="end"/>
    </w:r>
    <w:r w:rsidRPr="0056630E">
      <w:rPr>
        <w:rFonts w:ascii="Arial" w:hAnsi="Arial"/>
        <w:b/>
        <w:sz w:val="20"/>
        <w:szCs w:val="20"/>
      </w:rPr>
      <w:tab/>
    </w:r>
    <w:r w:rsidR="00F81037">
      <w:rPr>
        <w:rFonts w:ascii="Arial" w:hAnsi="Arial"/>
        <w:b/>
        <w:sz w:val="20"/>
        <w:szCs w:val="20"/>
      </w:rPr>
      <w:t>9B21M062</w:t>
    </w:r>
  </w:p>
  <w:p w14:paraId="2B53C0A0" w14:textId="77777777" w:rsidR="00773C02" w:rsidRDefault="00773C02" w:rsidP="00D13667">
    <w:pPr>
      <w:pStyle w:val="Header"/>
      <w:tabs>
        <w:tab w:val="clear" w:pos="4680"/>
      </w:tabs>
      <w:rPr>
        <w:sz w:val="18"/>
        <w:szCs w:val="18"/>
      </w:rPr>
    </w:pPr>
  </w:p>
  <w:p w14:paraId="47119730" w14:textId="77777777" w:rsidR="00773C02" w:rsidRPr="00C92CC4" w:rsidRDefault="00773C02"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3085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EE65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4E4B3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8E5E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832F4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851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614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EC21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0E20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4E84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D375FE"/>
    <w:multiLevelType w:val="hybridMultilevel"/>
    <w:tmpl w:val="AB265786"/>
    <w:lvl w:ilvl="0" w:tplc="04090001">
      <w:start w:val="1"/>
      <w:numFmt w:val="bullet"/>
      <w:lvlText w:val=""/>
      <w:lvlJc w:val="left"/>
      <w:pPr>
        <w:ind w:left="450" w:hanging="4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CBA3461"/>
    <w:multiLevelType w:val="hybridMultilevel"/>
    <w:tmpl w:val="4092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2D15A9"/>
    <w:multiLevelType w:val="hybridMultilevel"/>
    <w:tmpl w:val="9FC4BEAC"/>
    <w:lvl w:ilvl="0" w:tplc="3636FCF4">
      <w:numFmt w:val="bullet"/>
      <w:lvlText w:val="·"/>
      <w:lvlJc w:val="left"/>
      <w:pPr>
        <w:ind w:left="810" w:hanging="45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A91086"/>
    <w:multiLevelType w:val="hybridMultilevel"/>
    <w:tmpl w:val="41523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E64661"/>
    <w:multiLevelType w:val="multilevel"/>
    <w:tmpl w:val="4ED8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7E2D2C"/>
    <w:multiLevelType w:val="hybridMultilevel"/>
    <w:tmpl w:val="3E5844D4"/>
    <w:lvl w:ilvl="0" w:tplc="3636FCF4">
      <w:numFmt w:val="bullet"/>
      <w:lvlText w:val="·"/>
      <w:lvlJc w:val="left"/>
      <w:pPr>
        <w:ind w:left="810" w:hanging="45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14"/>
  </w:num>
  <w:num w:numId="4">
    <w:abstractNumId w:val="25"/>
  </w:num>
  <w:num w:numId="5">
    <w:abstractNumId w:val="15"/>
  </w:num>
  <w:num w:numId="6">
    <w:abstractNumId w:val="23"/>
  </w:num>
  <w:num w:numId="7">
    <w:abstractNumId w:val="11"/>
  </w:num>
  <w:num w:numId="8">
    <w:abstractNumId w:val="27"/>
  </w:num>
  <w:num w:numId="9">
    <w:abstractNumId w:val="24"/>
  </w:num>
  <w:num w:numId="10">
    <w:abstractNumId w:val="13"/>
  </w:num>
  <w:num w:numId="11">
    <w:abstractNumId w:val="19"/>
  </w:num>
  <w:num w:numId="12">
    <w:abstractNumId w:val="21"/>
  </w:num>
  <w:num w:numId="13">
    <w:abstractNumId w:val="12"/>
  </w:num>
  <w:num w:numId="14">
    <w:abstractNumId w:val="17"/>
  </w:num>
  <w:num w:numId="15">
    <w:abstractNumId w:val="22"/>
  </w:num>
  <w:num w:numId="16">
    <w:abstractNumId w:val="10"/>
  </w:num>
  <w:num w:numId="17">
    <w:abstractNumId w:val="18"/>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35B7"/>
    <w:rsid w:val="0000449F"/>
    <w:rsid w:val="00012788"/>
    <w:rsid w:val="00013360"/>
    <w:rsid w:val="000158E5"/>
    <w:rsid w:val="000166C7"/>
    <w:rsid w:val="00016759"/>
    <w:rsid w:val="000216CE"/>
    <w:rsid w:val="000236D8"/>
    <w:rsid w:val="000248C7"/>
    <w:rsid w:val="00024ED4"/>
    <w:rsid w:val="00025DC7"/>
    <w:rsid w:val="00035F09"/>
    <w:rsid w:val="0004277E"/>
    <w:rsid w:val="00044ECC"/>
    <w:rsid w:val="00051498"/>
    <w:rsid w:val="000531D3"/>
    <w:rsid w:val="0005646B"/>
    <w:rsid w:val="000602EA"/>
    <w:rsid w:val="000615D1"/>
    <w:rsid w:val="000643FE"/>
    <w:rsid w:val="000751D7"/>
    <w:rsid w:val="0008036E"/>
    <w:rsid w:val="0008102D"/>
    <w:rsid w:val="00085DF0"/>
    <w:rsid w:val="00086B26"/>
    <w:rsid w:val="00091480"/>
    <w:rsid w:val="00094C0E"/>
    <w:rsid w:val="00096E29"/>
    <w:rsid w:val="000A146D"/>
    <w:rsid w:val="000A4555"/>
    <w:rsid w:val="000A72E6"/>
    <w:rsid w:val="000C14B8"/>
    <w:rsid w:val="000C5A1B"/>
    <w:rsid w:val="000D2A2F"/>
    <w:rsid w:val="000D7091"/>
    <w:rsid w:val="000E4FB9"/>
    <w:rsid w:val="000E53FF"/>
    <w:rsid w:val="000F0C22"/>
    <w:rsid w:val="000F172C"/>
    <w:rsid w:val="000F415B"/>
    <w:rsid w:val="000F6B09"/>
    <w:rsid w:val="000F6FDC"/>
    <w:rsid w:val="00104567"/>
    <w:rsid w:val="00104916"/>
    <w:rsid w:val="00104AA7"/>
    <w:rsid w:val="00111E62"/>
    <w:rsid w:val="001220C2"/>
    <w:rsid w:val="0012732D"/>
    <w:rsid w:val="00133A10"/>
    <w:rsid w:val="00143F25"/>
    <w:rsid w:val="00152682"/>
    <w:rsid w:val="00152DBF"/>
    <w:rsid w:val="00154FC9"/>
    <w:rsid w:val="001567CF"/>
    <w:rsid w:val="001643EF"/>
    <w:rsid w:val="00165215"/>
    <w:rsid w:val="001769BF"/>
    <w:rsid w:val="001817B1"/>
    <w:rsid w:val="001832EF"/>
    <w:rsid w:val="001901C0"/>
    <w:rsid w:val="0019241A"/>
    <w:rsid w:val="00192A18"/>
    <w:rsid w:val="00193D2D"/>
    <w:rsid w:val="001A22D1"/>
    <w:rsid w:val="001A318F"/>
    <w:rsid w:val="001A5F94"/>
    <w:rsid w:val="001A752D"/>
    <w:rsid w:val="001A757E"/>
    <w:rsid w:val="001A7D87"/>
    <w:rsid w:val="001B4418"/>
    <w:rsid w:val="001B5032"/>
    <w:rsid w:val="001C18FA"/>
    <w:rsid w:val="001C7777"/>
    <w:rsid w:val="001D344B"/>
    <w:rsid w:val="001D460A"/>
    <w:rsid w:val="001D64BD"/>
    <w:rsid w:val="001D67BB"/>
    <w:rsid w:val="001E364F"/>
    <w:rsid w:val="001F4222"/>
    <w:rsid w:val="00203AA1"/>
    <w:rsid w:val="00213856"/>
    <w:rsid w:val="00213E98"/>
    <w:rsid w:val="0022273B"/>
    <w:rsid w:val="00223DCC"/>
    <w:rsid w:val="0022475A"/>
    <w:rsid w:val="00230150"/>
    <w:rsid w:val="0023081A"/>
    <w:rsid w:val="00233111"/>
    <w:rsid w:val="002345E6"/>
    <w:rsid w:val="00250621"/>
    <w:rsid w:val="002518BB"/>
    <w:rsid w:val="002518C2"/>
    <w:rsid w:val="00255A5C"/>
    <w:rsid w:val="00265FA8"/>
    <w:rsid w:val="00267161"/>
    <w:rsid w:val="002745A2"/>
    <w:rsid w:val="002A1A1A"/>
    <w:rsid w:val="002B40FF"/>
    <w:rsid w:val="002C4E29"/>
    <w:rsid w:val="002D51F3"/>
    <w:rsid w:val="002D6E0E"/>
    <w:rsid w:val="002D7967"/>
    <w:rsid w:val="002D7A3D"/>
    <w:rsid w:val="002E50C5"/>
    <w:rsid w:val="002E67FC"/>
    <w:rsid w:val="002F460C"/>
    <w:rsid w:val="002F48D6"/>
    <w:rsid w:val="0031365E"/>
    <w:rsid w:val="00317391"/>
    <w:rsid w:val="0032124D"/>
    <w:rsid w:val="00326216"/>
    <w:rsid w:val="00334576"/>
    <w:rsid w:val="00336580"/>
    <w:rsid w:val="00340854"/>
    <w:rsid w:val="00345158"/>
    <w:rsid w:val="003451A2"/>
    <w:rsid w:val="00345636"/>
    <w:rsid w:val="00354899"/>
    <w:rsid w:val="00355FD6"/>
    <w:rsid w:val="003632D8"/>
    <w:rsid w:val="00364A5C"/>
    <w:rsid w:val="003676C4"/>
    <w:rsid w:val="00373FB1"/>
    <w:rsid w:val="00383213"/>
    <w:rsid w:val="0039042E"/>
    <w:rsid w:val="0039163A"/>
    <w:rsid w:val="00396C76"/>
    <w:rsid w:val="003A3D1D"/>
    <w:rsid w:val="003B30D8"/>
    <w:rsid w:val="003B66E4"/>
    <w:rsid w:val="003B7EF2"/>
    <w:rsid w:val="003C0AAA"/>
    <w:rsid w:val="003C3FA4"/>
    <w:rsid w:val="003D0BA1"/>
    <w:rsid w:val="003E1A3B"/>
    <w:rsid w:val="003F2B0C"/>
    <w:rsid w:val="0040146D"/>
    <w:rsid w:val="0040713E"/>
    <w:rsid w:val="0040797A"/>
    <w:rsid w:val="004105B2"/>
    <w:rsid w:val="0041145A"/>
    <w:rsid w:val="00412900"/>
    <w:rsid w:val="004221E4"/>
    <w:rsid w:val="004229D7"/>
    <w:rsid w:val="004273F8"/>
    <w:rsid w:val="00430764"/>
    <w:rsid w:val="00431030"/>
    <w:rsid w:val="00433D04"/>
    <w:rsid w:val="004355A3"/>
    <w:rsid w:val="00441420"/>
    <w:rsid w:val="00446546"/>
    <w:rsid w:val="0045084A"/>
    <w:rsid w:val="00451179"/>
    <w:rsid w:val="00452769"/>
    <w:rsid w:val="004549CD"/>
    <w:rsid w:val="00454FA7"/>
    <w:rsid w:val="00463C6B"/>
    <w:rsid w:val="00465348"/>
    <w:rsid w:val="00487963"/>
    <w:rsid w:val="00492D9E"/>
    <w:rsid w:val="00495FDC"/>
    <w:rsid w:val="004969B0"/>
    <w:rsid w:val="004979A5"/>
    <w:rsid w:val="004A25E0"/>
    <w:rsid w:val="004B0C89"/>
    <w:rsid w:val="004B1CCB"/>
    <w:rsid w:val="004B5373"/>
    <w:rsid w:val="004B632F"/>
    <w:rsid w:val="004C1225"/>
    <w:rsid w:val="004C3201"/>
    <w:rsid w:val="004C6651"/>
    <w:rsid w:val="004D1A11"/>
    <w:rsid w:val="004D3EA5"/>
    <w:rsid w:val="004D3FB1"/>
    <w:rsid w:val="004D6F21"/>
    <w:rsid w:val="004D73A5"/>
    <w:rsid w:val="004D75BD"/>
    <w:rsid w:val="004D7DB4"/>
    <w:rsid w:val="004E45C1"/>
    <w:rsid w:val="004E6EB4"/>
    <w:rsid w:val="004F3778"/>
    <w:rsid w:val="00507A91"/>
    <w:rsid w:val="00514CB1"/>
    <w:rsid w:val="005160F1"/>
    <w:rsid w:val="00524F2F"/>
    <w:rsid w:val="00527E5C"/>
    <w:rsid w:val="00532CF5"/>
    <w:rsid w:val="00551D48"/>
    <w:rsid w:val="005528CB"/>
    <w:rsid w:val="005605F1"/>
    <w:rsid w:val="0056630E"/>
    <w:rsid w:val="00566771"/>
    <w:rsid w:val="005701B8"/>
    <w:rsid w:val="005713BF"/>
    <w:rsid w:val="00577C83"/>
    <w:rsid w:val="00581E2E"/>
    <w:rsid w:val="00584F15"/>
    <w:rsid w:val="0059514B"/>
    <w:rsid w:val="00597A6F"/>
    <w:rsid w:val="005A1B0F"/>
    <w:rsid w:val="005A1E5D"/>
    <w:rsid w:val="005B4CE6"/>
    <w:rsid w:val="005B5EFE"/>
    <w:rsid w:val="005B65CA"/>
    <w:rsid w:val="005B78AE"/>
    <w:rsid w:val="005C4616"/>
    <w:rsid w:val="005E01DA"/>
    <w:rsid w:val="005F1F06"/>
    <w:rsid w:val="005F7915"/>
    <w:rsid w:val="0060233F"/>
    <w:rsid w:val="0060313B"/>
    <w:rsid w:val="00603B71"/>
    <w:rsid w:val="006163F7"/>
    <w:rsid w:val="00622040"/>
    <w:rsid w:val="00627C63"/>
    <w:rsid w:val="0063350B"/>
    <w:rsid w:val="006365C9"/>
    <w:rsid w:val="00643768"/>
    <w:rsid w:val="00650678"/>
    <w:rsid w:val="00652606"/>
    <w:rsid w:val="00653B09"/>
    <w:rsid w:val="00655FF5"/>
    <w:rsid w:val="00673043"/>
    <w:rsid w:val="00675DE3"/>
    <w:rsid w:val="0068476B"/>
    <w:rsid w:val="00686ABD"/>
    <w:rsid w:val="00687ECA"/>
    <w:rsid w:val="00692345"/>
    <w:rsid w:val="0069401A"/>
    <w:rsid w:val="006946EE"/>
    <w:rsid w:val="006A58A9"/>
    <w:rsid w:val="006A606D"/>
    <w:rsid w:val="006B502D"/>
    <w:rsid w:val="006C0371"/>
    <w:rsid w:val="006C0439"/>
    <w:rsid w:val="006C08B6"/>
    <w:rsid w:val="006C0B1A"/>
    <w:rsid w:val="006C1460"/>
    <w:rsid w:val="006C2330"/>
    <w:rsid w:val="006C6065"/>
    <w:rsid w:val="006C7F9F"/>
    <w:rsid w:val="006D5CCB"/>
    <w:rsid w:val="006E2F6D"/>
    <w:rsid w:val="006E58F6"/>
    <w:rsid w:val="006E77E1"/>
    <w:rsid w:val="006F131D"/>
    <w:rsid w:val="006F3C58"/>
    <w:rsid w:val="0070399A"/>
    <w:rsid w:val="007063BB"/>
    <w:rsid w:val="00711642"/>
    <w:rsid w:val="00741737"/>
    <w:rsid w:val="00747DCD"/>
    <w:rsid w:val="007507C6"/>
    <w:rsid w:val="00751E0B"/>
    <w:rsid w:val="00752BCD"/>
    <w:rsid w:val="007629C7"/>
    <w:rsid w:val="00766DA1"/>
    <w:rsid w:val="00770508"/>
    <w:rsid w:val="00773C02"/>
    <w:rsid w:val="00780D94"/>
    <w:rsid w:val="00781ABA"/>
    <w:rsid w:val="007866A6"/>
    <w:rsid w:val="007953DB"/>
    <w:rsid w:val="007A0709"/>
    <w:rsid w:val="007A130D"/>
    <w:rsid w:val="007B005E"/>
    <w:rsid w:val="007C6D63"/>
    <w:rsid w:val="007D1A2D"/>
    <w:rsid w:val="007D32E6"/>
    <w:rsid w:val="007D4102"/>
    <w:rsid w:val="007D539B"/>
    <w:rsid w:val="007E54A7"/>
    <w:rsid w:val="007F2237"/>
    <w:rsid w:val="007F297B"/>
    <w:rsid w:val="007F43B7"/>
    <w:rsid w:val="007F62BF"/>
    <w:rsid w:val="0080795B"/>
    <w:rsid w:val="0081113C"/>
    <w:rsid w:val="00815F1C"/>
    <w:rsid w:val="00821FFC"/>
    <w:rsid w:val="008271CA"/>
    <w:rsid w:val="00827D70"/>
    <w:rsid w:val="00834AAD"/>
    <w:rsid w:val="00844B5B"/>
    <w:rsid w:val="00845897"/>
    <w:rsid w:val="008467D5"/>
    <w:rsid w:val="008521BB"/>
    <w:rsid w:val="008768B4"/>
    <w:rsid w:val="0088177E"/>
    <w:rsid w:val="0088308D"/>
    <w:rsid w:val="00890B99"/>
    <w:rsid w:val="00892F7A"/>
    <w:rsid w:val="00895963"/>
    <w:rsid w:val="008A4DC4"/>
    <w:rsid w:val="008B438C"/>
    <w:rsid w:val="008B4A95"/>
    <w:rsid w:val="008B6B79"/>
    <w:rsid w:val="008D06CA"/>
    <w:rsid w:val="008D0AE1"/>
    <w:rsid w:val="008D3A46"/>
    <w:rsid w:val="008D7889"/>
    <w:rsid w:val="008E687E"/>
    <w:rsid w:val="008F2385"/>
    <w:rsid w:val="008F6A26"/>
    <w:rsid w:val="009067A4"/>
    <w:rsid w:val="00911366"/>
    <w:rsid w:val="009166DB"/>
    <w:rsid w:val="00917B6C"/>
    <w:rsid w:val="00922C3F"/>
    <w:rsid w:val="00930885"/>
    <w:rsid w:val="0093248D"/>
    <w:rsid w:val="009332A7"/>
    <w:rsid w:val="00933D68"/>
    <w:rsid w:val="009340DB"/>
    <w:rsid w:val="00934CDC"/>
    <w:rsid w:val="00941E91"/>
    <w:rsid w:val="0094618C"/>
    <w:rsid w:val="00947CBB"/>
    <w:rsid w:val="00950EDA"/>
    <w:rsid w:val="0095684B"/>
    <w:rsid w:val="009569F4"/>
    <w:rsid w:val="00961B10"/>
    <w:rsid w:val="009649AB"/>
    <w:rsid w:val="00972498"/>
    <w:rsid w:val="0097481F"/>
    <w:rsid w:val="00974CC6"/>
    <w:rsid w:val="00976AD4"/>
    <w:rsid w:val="00980BB5"/>
    <w:rsid w:val="00992CF5"/>
    <w:rsid w:val="00995547"/>
    <w:rsid w:val="009A312F"/>
    <w:rsid w:val="009A5348"/>
    <w:rsid w:val="009B0AB7"/>
    <w:rsid w:val="009C76D5"/>
    <w:rsid w:val="009D537F"/>
    <w:rsid w:val="009D5E2F"/>
    <w:rsid w:val="009D7FA2"/>
    <w:rsid w:val="009E0668"/>
    <w:rsid w:val="009E27E9"/>
    <w:rsid w:val="009E2BF3"/>
    <w:rsid w:val="009E541E"/>
    <w:rsid w:val="009F2501"/>
    <w:rsid w:val="009F5847"/>
    <w:rsid w:val="009F7AA4"/>
    <w:rsid w:val="00A01C28"/>
    <w:rsid w:val="00A07835"/>
    <w:rsid w:val="00A10AD7"/>
    <w:rsid w:val="00A139C8"/>
    <w:rsid w:val="00A2207A"/>
    <w:rsid w:val="00A256D2"/>
    <w:rsid w:val="00A2621D"/>
    <w:rsid w:val="00A323B0"/>
    <w:rsid w:val="00A444F6"/>
    <w:rsid w:val="00A46440"/>
    <w:rsid w:val="00A559DB"/>
    <w:rsid w:val="00A569EA"/>
    <w:rsid w:val="00A65B56"/>
    <w:rsid w:val="00A676A0"/>
    <w:rsid w:val="00A721A8"/>
    <w:rsid w:val="00A725AF"/>
    <w:rsid w:val="00A74104"/>
    <w:rsid w:val="00A77989"/>
    <w:rsid w:val="00A91EDC"/>
    <w:rsid w:val="00AC29B5"/>
    <w:rsid w:val="00AF02AA"/>
    <w:rsid w:val="00AF35FC"/>
    <w:rsid w:val="00AF5556"/>
    <w:rsid w:val="00B03639"/>
    <w:rsid w:val="00B0652A"/>
    <w:rsid w:val="00B11D9F"/>
    <w:rsid w:val="00B22DB1"/>
    <w:rsid w:val="00B238DE"/>
    <w:rsid w:val="00B27EF5"/>
    <w:rsid w:val="00B40937"/>
    <w:rsid w:val="00B423EF"/>
    <w:rsid w:val="00B453DE"/>
    <w:rsid w:val="00B50716"/>
    <w:rsid w:val="00B52792"/>
    <w:rsid w:val="00B53598"/>
    <w:rsid w:val="00B62497"/>
    <w:rsid w:val="00B72597"/>
    <w:rsid w:val="00B72906"/>
    <w:rsid w:val="00B72DAF"/>
    <w:rsid w:val="00B75029"/>
    <w:rsid w:val="00B76E20"/>
    <w:rsid w:val="00B82DC6"/>
    <w:rsid w:val="00B833B4"/>
    <w:rsid w:val="00B86569"/>
    <w:rsid w:val="00B87DC0"/>
    <w:rsid w:val="00B901F9"/>
    <w:rsid w:val="00B94BA3"/>
    <w:rsid w:val="00BA2787"/>
    <w:rsid w:val="00BC4D98"/>
    <w:rsid w:val="00BC7877"/>
    <w:rsid w:val="00BD3F6F"/>
    <w:rsid w:val="00BD6EFB"/>
    <w:rsid w:val="00BE3DF5"/>
    <w:rsid w:val="00BF393F"/>
    <w:rsid w:val="00BF5EAB"/>
    <w:rsid w:val="00C02410"/>
    <w:rsid w:val="00C126AA"/>
    <w:rsid w:val="00C1584D"/>
    <w:rsid w:val="00C15BE2"/>
    <w:rsid w:val="00C20A64"/>
    <w:rsid w:val="00C222B7"/>
    <w:rsid w:val="00C240C1"/>
    <w:rsid w:val="00C24808"/>
    <w:rsid w:val="00C31D69"/>
    <w:rsid w:val="00C3447F"/>
    <w:rsid w:val="00C44714"/>
    <w:rsid w:val="00C47FC4"/>
    <w:rsid w:val="00C52690"/>
    <w:rsid w:val="00C57CEB"/>
    <w:rsid w:val="00C6640D"/>
    <w:rsid w:val="00C67102"/>
    <w:rsid w:val="00C73736"/>
    <w:rsid w:val="00C81491"/>
    <w:rsid w:val="00C81676"/>
    <w:rsid w:val="00C835EF"/>
    <w:rsid w:val="00C85C5D"/>
    <w:rsid w:val="00C9264F"/>
    <w:rsid w:val="00C92BFD"/>
    <w:rsid w:val="00C92CC4"/>
    <w:rsid w:val="00CA0AFB"/>
    <w:rsid w:val="00CA2CE1"/>
    <w:rsid w:val="00CA3976"/>
    <w:rsid w:val="00CA50E3"/>
    <w:rsid w:val="00CA6E0A"/>
    <w:rsid w:val="00CA703A"/>
    <w:rsid w:val="00CA757B"/>
    <w:rsid w:val="00CB56F9"/>
    <w:rsid w:val="00CC1787"/>
    <w:rsid w:val="00CC182C"/>
    <w:rsid w:val="00CC3DA9"/>
    <w:rsid w:val="00CD0824"/>
    <w:rsid w:val="00CD26CD"/>
    <w:rsid w:val="00CD2908"/>
    <w:rsid w:val="00CE1076"/>
    <w:rsid w:val="00CE140A"/>
    <w:rsid w:val="00CE71B5"/>
    <w:rsid w:val="00CF23E4"/>
    <w:rsid w:val="00CF7589"/>
    <w:rsid w:val="00D03A82"/>
    <w:rsid w:val="00D075A6"/>
    <w:rsid w:val="00D13667"/>
    <w:rsid w:val="00D15344"/>
    <w:rsid w:val="00D22BE6"/>
    <w:rsid w:val="00D239A2"/>
    <w:rsid w:val="00D23F57"/>
    <w:rsid w:val="00D30C77"/>
    <w:rsid w:val="00D31BEC"/>
    <w:rsid w:val="00D31E52"/>
    <w:rsid w:val="00D36830"/>
    <w:rsid w:val="00D36FC7"/>
    <w:rsid w:val="00D523E9"/>
    <w:rsid w:val="00D62894"/>
    <w:rsid w:val="00D63150"/>
    <w:rsid w:val="00D6344C"/>
    <w:rsid w:val="00D636BA"/>
    <w:rsid w:val="00D64A32"/>
    <w:rsid w:val="00D64EFC"/>
    <w:rsid w:val="00D66418"/>
    <w:rsid w:val="00D70AE9"/>
    <w:rsid w:val="00D75295"/>
    <w:rsid w:val="00D76CE9"/>
    <w:rsid w:val="00D830A8"/>
    <w:rsid w:val="00D901B2"/>
    <w:rsid w:val="00D97F12"/>
    <w:rsid w:val="00DA4BF0"/>
    <w:rsid w:val="00DA52E3"/>
    <w:rsid w:val="00DA6095"/>
    <w:rsid w:val="00DB42E7"/>
    <w:rsid w:val="00DC09D8"/>
    <w:rsid w:val="00DD47FE"/>
    <w:rsid w:val="00DE01A6"/>
    <w:rsid w:val="00DE0EB4"/>
    <w:rsid w:val="00DE249E"/>
    <w:rsid w:val="00DE4E25"/>
    <w:rsid w:val="00DE7A98"/>
    <w:rsid w:val="00DF32C2"/>
    <w:rsid w:val="00DF637F"/>
    <w:rsid w:val="00E066F1"/>
    <w:rsid w:val="00E06FD7"/>
    <w:rsid w:val="00E226BC"/>
    <w:rsid w:val="00E430CD"/>
    <w:rsid w:val="00E448D5"/>
    <w:rsid w:val="00E471A7"/>
    <w:rsid w:val="00E52AB7"/>
    <w:rsid w:val="00E53DB9"/>
    <w:rsid w:val="00E53E86"/>
    <w:rsid w:val="00E635CF"/>
    <w:rsid w:val="00E64678"/>
    <w:rsid w:val="00E9105E"/>
    <w:rsid w:val="00E922D9"/>
    <w:rsid w:val="00E9517F"/>
    <w:rsid w:val="00EA6B61"/>
    <w:rsid w:val="00EB1E3B"/>
    <w:rsid w:val="00EB3E86"/>
    <w:rsid w:val="00EC07D5"/>
    <w:rsid w:val="00EC64A8"/>
    <w:rsid w:val="00EC6E0A"/>
    <w:rsid w:val="00ED4E18"/>
    <w:rsid w:val="00ED4F0D"/>
    <w:rsid w:val="00ED5C7D"/>
    <w:rsid w:val="00ED7922"/>
    <w:rsid w:val="00ED7B0E"/>
    <w:rsid w:val="00EE02C4"/>
    <w:rsid w:val="00EE1F37"/>
    <w:rsid w:val="00EF00A6"/>
    <w:rsid w:val="00F0159C"/>
    <w:rsid w:val="00F04E5B"/>
    <w:rsid w:val="00F069CB"/>
    <w:rsid w:val="00F105B7"/>
    <w:rsid w:val="00F13220"/>
    <w:rsid w:val="00F17A21"/>
    <w:rsid w:val="00F24D45"/>
    <w:rsid w:val="00F36FC2"/>
    <w:rsid w:val="00F37B27"/>
    <w:rsid w:val="00F447E8"/>
    <w:rsid w:val="00F46556"/>
    <w:rsid w:val="00F50E91"/>
    <w:rsid w:val="00F56799"/>
    <w:rsid w:val="00F57D29"/>
    <w:rsid w:val="00F60786"/>
    <w:rsid w:val="00F81037"/>
    <w:rsid w:val="00F90F78"/>
    <w:rsid w:val="00F91BC7"/>
    <w:rsid w:val="00F928DF"/>
    <w:rsid w:val="00F96201"/>
    <w:rsid w:val="00FA1BBC"/>
    <w:rsid w:val="00FA7120"/>
    <w:rsid w:val="00FB28C3"/>
    <w:rsid w:val="00FC59C5"/>
    <w:rsid w:val="00FC71A9"/>
    <w:rsid w:val="00FD0B18"/>
    <w:rsid w:val="00FD2FAD"/>
    <w:rsid w:val="00FD3359"/>
    <w:rsid w:val="00FD358F"/>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16FE7E2-74C5-7A48-A862-EBA1F7D8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569"/>
    <w:pPr>
      <w:spacing w:after="0" w:line="240" w:lineRule="auto"/>
    </w:pPr>
    <w:rPr>
      <w:rFonts w:ascii="Times New Roman" w:eastAsia="Times New Roman" w:hAnsi="Times New Roman" w:cs="Times New Roman"/>
      <w:sz w:val="24"/>
      <w:szCs w:val="24"/>
      <w:lang w:val="en-CA" w:eastAsia="zh-CN"/>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9E541E"/>
    <w:rPr>
      <w:rFonts w:ascii="Arial" w:hAnsi="Arial"/>
      <w:sz w:val="17"/>
    </w:rPr>
  </w:style>
  <w:style w:type="character" w:customStyle="1" w:styleId="FootnoteTextChar">
    <w:name w:val="Footnote Text Char"/>
    <w:basedOn w:val="DefaultParagraphFont"/>
    <w:link w:val="FootnoteText"/>
    <w:uiPriority w:val="99"/>
    <w:rsid w:val="009E541E"/>
    <w:rPr>
      <w:rFonts w:ascii="Arial" w:eastAsia="Times New Roman" w:hAnsi="Arial" w:cs="Times New Roman"/>
      <w:sz w:val="17"/>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cs="Arial"/>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rPr>
  </w:style>
  <w:style w:type="paragraph" w:customStyle="1" w:styleId="Normal1">
    <w:name w:val="Normal1"/>
    <w:rsid w:val="00ED7922"/>
    <w:pPr>
      <w:spacing w:after="0" w:line="240" w:lineRule="auto"/>
      <w:jc w:val="both"/>
    </w:pPr>
    <w:rPr>
      <w:rFonts w:ascii="Times New Roma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DD47FE"/>
    <w:rPr>
      <w:color w:val="605E5C"/>
      <w:shd w:val="clear" w:color="auto" w:fill="E1DFDD"/>
    </w:rPr>
  </w:style>
  <w:style w:type="character" w:customStyle="1" w:styleId="def">
    <w:name w:val="def"/>
    <w:basedOn w:val="DefaultParagraphFont"/>
    <w:rsid w:val="00B86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0318">
      <w:bodyDiv w:val="1"/>
      <w:marLeft w:val="0"/>
      <w:marRight w:val="0"/>
      <w:marTop w:val="0"/>
      <w:marBottom w:val="0"/>
      <w:divBdr>
        <w:top w:val="none" w:sz="0" w:space="0" w:color="auto"/>
        <w:left w:val="none" w:sz="0" w:space="0" w:color="auto"/>
        <w:bottom w:val="none" w:sz="0" w:space="0" w:color="auto"/>
        <w:right w:val="none" w:sz="0" w:space="0" w:color="auto"/>
      </w:divBdr>
    </w:div>
    <w:div w:id="217327552">
      <w:bodyDiv w:val="1"/>
      <w:marLeft w:val="0"/>
      <w:marRight w:val="0"/>
      <w:marTop w:val="0"/>
      <w:marBottom w:val="0"/>
      <w:divBdr>
        <w:top w:val="none" w:sz="0" w:space="0" w:color="auto"/>
        <w:left w:val="none" w:sz="0" w:space="0" w:color="auto"/>
        <w:bottom w:val="none" w:sz="0" w:space="0" w:color="auto"/>
        <w:right w:val="none" w:sz="0" w:space="0" w:color="auto"/>
      </w:divBdr>
    </w:div>
    <w:div w:id="351496475">
      <w:bodyDiv w:val="1"/>
      <w:marLeft w:val="0"/>
      <w:marRight w:val="0"/>
      <w:marTop w:val="0"/>
      <w:marBottom w:val="0"/>
      <w:divBdr>
        <w:top w:val="none" w:sz="0" w:space="0" w:color="auto"/>
        <w:left w:val="none" w:sz="0" w:space="0" w:color="auto"/>
        <w:bottom w:val="none" w:sz="0" w:space="0" w:color="auto"/>
        <w:right w:val="none" w:sz="0" w:space="0" w:color="auto"/>
      </w:divBdr>
    </w:div>
    <w:div w:id="354186472">
      <w:bodyDiv w:val="1"/>
      <w:marLeft w:val="0"/>
      <w:marRight w:val="0"/>
      <w:marTop w:val="0"/>
      <w:marBottom w:val="0"/>
      <w:divBdr>
        <w:top w:val="none" w:sz="0" w:space="0" w:color="auto"/>
        <w:left w:val="none" w:sz="0" w:space="0" w:color="auto"/>
        <w:bottom w:val="none" w:sz="0" w:space="0" w:color="auto"/>
        <w:right w:val="none" w:sz="0" w:space="0" w:color="auto"/>
      </w:divBdr>
    </w:div>
    <w:div w:id="404642482">
      <w:bodyDiv w:val="1"/>
      <w:marLeft w:val="0"/>
      <w:marRight w:val="0"/>
      <w:marTop w:val="0"/>
      <w:marBottom w:val="0"/>
      <w:divBdr>
        <w:top w:val="none" w:sz="0" w:space="0" w:color="auto"/>
        <w:left w:val="none" w:sz="0" w:space="0" w:color="auto"/>
        <w:bottom w:val="none" w:sz="0" w:space="0" w:color="auto"/>
        <w:right w:val="none" w:sz="0" w:space="0" w:color="auto"/>
      </w:divBdr>
    </w:div>
    <w:div w:id="415707587">
      <w:bodyDiv w:val="1"/>
      <w:marLeft w:val="0"/>
      <w:marRight w:val="0"/>
      <w:marTop w:val="0"/>
      <w:marBottom w:val="0"/>
      <w:divBdr>
        <w:top w:val="none" w:sz="0" w:space="0" w:color="auto"/>
        <w:left w:val="none" w:sz="0" w:space="0" w:color="auto"/>
        <w:bottom w:val="none" w:sz="0" w:space="0" w:color="auto"/>
        <w:right w:val="none" w:sz="0" w:space="0" w:color="auto"/>
      </w:divBdr>
    </w:div>
    <w:div w:id="445195561">
      <w:bodyDiv w:val="1"/>
      <w:marLeft w:val="0"/>
      <w:marRight w:val="0"/>
      <w:marTop w:val="0"/>
      <w:marBottom w:val="0"/>
      <w:divBdr>
        <w:top w:val="none" w:sz="0" w:space="0" w:color="auto"/>
        <w:left w:val="none" w:sz="0" w:space="0" w:color="auto"/>
        <w:bottom w:val="none" w:sz="0" w:space="0" w:color="auto"/>
        <w:right w:val="none" w:sz="0" w:space="0" w:color="auto"/>
      </w:divBdr>
    </w:div>
    <w:div w:id="454180833">
      <w:bodyDiv w:val="1"/>
      <w:marLeft w:val="0"/>
      <w:marRight w:val="0"/>
      <w:marTop w:val="0"/>
      <w:marBottom w:val="0"/>
      <w:divBdr>
        <w:top w:val="none" w:sz="0" w:space="0" w:color="auto"/>
        <w:left w:val="none" w:sz="0" w:space="0" w:color="auto"/>
        <w:bottom w:val="none" w:sz="0" w:space="0" w:color="auto"/>
        <w:right w:val="none" w:sz="0" w:space="0" w:color="auto"/>
      </w:divBdr>
    </w:div>
    <w:div w:id="471336732">
      <w:bodyDiv w:val="1"/>
      <w:marLeft w:val="0"/>
      <w:marRight w:val="0"/>
      <w:marTop w:val="0"/>
      <w:marBottom w:val="0"/>
      <w:divBdr>
        <w:top w:val="none" w:sz="0" w:space="0" w:color="auto"/>
        <w:left w:val="none" w:sz="0" w:space="0" w:color="auto"/>
        <w:bottom w:val="none" w:sz="0" w:space="0" w:color="auto"/>
        <w:right w:val="none" w:sz="0" w:space="0" w:color="auto"/>
      </w:divBdr>
    </w:div>
    <w:div w:id="758135552">
      <w:bodyDiv w:val="1"/>
      <w:marLeft w:val="0"/>
      <w:marRight w:val="0"/>
      <w:marTop w:val="0"/>
      <w:marBottom w:val="0"/>
      <w:divBdr>
        <w:top w:val="none" w:sz="0" w:space="0" w:color="auto"/>
        <w:left w:val="none" w:sz="0" w:space="0" w:color="auto"/>
        <w:bottom w:val="none" w:sz="0" w:space="0" w:color="auto"/>
        <w:right w:val="none" w:sz="0" w:space="0" w:color="auto"/>
      </w:divBdr>
    </w:div>
    <w:div w:id="1101992222">
      <w:bodyDiv w:val="1"/>
      <w:marLeft w:val="0"/>
      <w:marRight w:val="0"/>
      <w:marTop w:val="0"/>
      <w:marBottom w:val="0"/>
      <w:divBdr>
        <w:top w:val="none" w:sz="0" w:space="0" w:color="auto"/>
        <w:left w:val="none" w:sz="0" w:space="0" w:color="auto"/>
        <w:bottom w:val="none" w:sz="0" w:space="0" w:color="auto"/>
        <w:right w:val="none" w:sz="0" w:space="0" w:color="auto"/>
      </w:divBdr>
    </w:div>
    <w:div w:id="1144277830">
      <w:bodyDiv w:val="1"/>
      <w:marLeft w:val="0"/>
      <w:marRight w:val="0"/>
      <w:marTop w:val="0"/>
      <w:marBottom w:val="0"/>
      <w:divBdr>
        <w:top w:val="none" w:sz="0" w:space="0" w:color="auto"/>
        <w:left w:val="none" w:sz="0" w:space="0" w:color="auto"/>
        <w:bottom w:val="none" w:sz="0" w:space="0" w:color="auto"/>
        <w:right w:val="none" w:sz="0" w:space="0" w:color="auto"/>
      </w:divBdr>
    </w:div>
    <w:div w:id="1147673516">
      <w:bodyDiv w:val="1"/>
      <w:marLeft w:val="0"/>
      <w:marRight w:val="0"/>
      <w:marTop w:val="0"/>
      <w:marBottom w:val="0"/>
      <w:divBdr>
        <w:top w:val="none" w:sz="0" w:space="0" w:color="auto"/>
        <w:left w:val="none" w:sz="0" w:space="0" w:color="auto"/>
        <w:bottom w:val="none" w:sz="0" w:space="0" w:color="auto"/>
        <w:right w:val="none" w:sz="0" w:space="0" w:color="auto"/>
      </w:divBdr>
    </w:div>
    <w:div w:id="1195846714">
      <w:bodyDiv w:val="1"/>
      <w:marLeft w:val="0"/>
      <w:marRight w:val="0"/>
      <w:marTop w:val="0"/>
      <w:marBottom w:val="0"/>
      <w:divBdr>
        <w:top w:val="none" w:sz="0" w:space="0" w:color="auto"/>
        <w:left w:val="none" w:sz="0" w:space="0" w:color="auto"/>
        <w:bottom w:val="none" w:sz="0" w:space="0" w:color="auto"/>
        <w:right w:val="none" w:sz="0" w:space="0" w:color="auto"/>
      </w:divBdr>
    </w:div>
    <w:div w:id="1298610455">
      <w:bodyDiv w:val="1"/>
      <w:marLeft w:val="0"/>
      <w:marRight w:val="0"/>
      <w:marTop w:val="0"/>
      <w:marBottom w:val="0"/>
      <w:divBdr>
        <w:top w:val="none" w:sz="0" w:space="0" w:color="auto"/>
        <w:left w:val="none" w:sz="0" w:space="0" w:color="auto"/>
        <w:bottom w:val="none" w:sz="0" w:space="0" w:color="auto"/>
        <w:right w:val="none" w:sz="0" w:space="0" w:color="auto"/>
      </w:divBdr>
    </w:div>
    <w:div w:id="1320421875">
      <w:bodyDiv w:val="1"/>
      <w:marLeft w:val="0"/>
      <w:marRight w:val="0"/>
      <w:marTop w:val="0"/>
      <w:marBottom w:val="0"/>
      <w:divBdr>
        <w:top w:val="none" w:sz="0" w:space="0" w:color="auto"/>
        <w:left w:val="none" w:sz="0" w:space="0" w:color="auto"/>
        <w:bottom w:val="none" w:sz="0" w:space="0" w:color="auto"/>
        <w:right w:val="none" w:sz="0" w:space="0" w:color="auto"/>
      </w:divBdr>
    </w:div>
    <w:div w:id="1327979552">
      <w:bodyDiv w:val="1"/>
      <w:marLeft w:val="0"/>
      <w:marRight w:val="0"/>
      <w:marTop w:val="0"/>
      <w:marBottom w:val="0"/>
      <w:divBdr>
        <w:top w:val="none" w:sz="0" w:space="0" w:color="auto"/>
        <w:left w:val="none" w:sz="0" w:space="0" w:color="auto"/>
        <w:bottom w:val="none" w:sz="0" w:space="0" w:color="auto"/>
        <w:right w:val="none" w:sz="0" w:space="0" w:color="auto"/>
      </w:divBdr>
    </w:div>
    <w:div w:id="1330598906">
      <w:bodyDiv w:val="1"/>
      <w:marLeft w:val="0"/>
      <w:marRight w:val="0"/>
      <w:marTop w:val="0"/>
      <w:marBottom w:val="0"/>
      <w:divBdr>
        <w:top w:val="none" w:sz="0" w:space="0" w:color="auto"/>
        <w:left w:val="none" w:sz="0" w:space="0" w:color="auto"/>
        <w:bottom w:val="none" w:sz="0" w:space="0" w:color="auto"/>
        <w:right w:val="none" w:sz="0" w:space="0" w:color="auto"/>
      </w:divBdr>
    </w:div>
    <w:div w:id="1366832138">
      <w:bodyDiv w:val="1"/>
      <w:marLeft w:val="0"/>
      <w:marRight w:val="0"/>
      <w:marTop w:val="0"/>
      <w:marBottom w:val="0"/>
      <w:divBdr>
        <w:top w:val="none" w:sz="0" w:space="0" w:color="auto"/>
        <w:left w:val="none" w:sz="0" w:space="0" w:color="auto"/>
        <w:bottom w:val="none" w:sz="0" w:space="0" w:color="auto"/>
        <w:right w:val="none" w:sz="0" w:space="0" w:color="auto"/>
      </w:divBdr>
    </w:div>
    <w:div w:id="1536499628">
      <w:bodyDiv w:val="1"/>
      <w:marLeft w:val="0"/>
      <w:marRight w:val="0"/>
      <w:marTop w:val="0"/>
      <w:marBottom w:val="0"/>
      <w:divBdr>
        <w:top w:val="none" w:sz="0" w:space="0" w:color="auto"/>
        <w:left w:val="none" w:sz="0" w:space="0" w:color="auto"/>
        <w:bottom w:val="none" w:sz="0" w:space="0" w:color="auto"/>
        <w:right w:val="none" w:sz="0" w:space="0" w:color="auto"/>
      </w:divBdr>
    </w:div>
    <w:div w:id="158394825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26739366">
      <w:bodyDiv w:val="1"/>
      <w:marLeft w:val="0"/>
      <w:marRight w:val="0"/>
      <w:marTop w:val="0"/>
      <w:marBottom w:val="0"/>
      <w:divBdr>
        <w:top w:val="none" w:sz="0" w:space="0" w:color="auto"/>
        <w:left w:val="none" w:sz="0" w:space="0" w:color="auto"/>
        <w:bottom w:val="none" w:sz="0" w:space="0" w:color="auto"/>
        <w:right w:val="none" w:sz="0" w:space="0" w:color="auto"/>
      </w:divBdr>
    </w:div>
    <w:div w:id="1740447235">
      <w:bodyDiv w:val="1"/>
      <w:marLeft w:val="0"/>
      <w:marRight w:val="0"/>
      <w:marTop w:val="0"/>
      <w:marBottom w:val="0"/>
      <w:divBdr>
        <w:top w:val="none" w:sz="0" w:space="0" w:color="auto"/>
        <w:left w:val="none" w:sz="0" w:space="0" w:color="auto"/>
        <w:bottom w:val="none" w:sz="0" w:space="0" w:color="auto"/>
        <w:right w:val="none" w:sz="0" w:space="0" w:color="auto"/>
      </w:divBdr>
    </w:div>
    <w:div w:id="1917520089">
      <w:bodyDiv w:val="1"/>
      <w:marLeft w:val="0"/>
      <w:marRight w:val="0"/>
      <w:marTop w:val="0"/>
      <w:marBottom w:val="0"/>
      <w:divBdr>
        <w:top w:val="none" w:sz="0" w:space="0" w:color="auto"/>
        <w:left w:val="none" w:sz="0" w:space="0" w:color="auto"/>
        <w:bottom w:val="none" w:sz="0" w:space="0" w:color="auto"/>
        <w:right w:val="none" w:sz="0" w:space="0" w:color="auto"/>
      </w:divBdr>
    </w:div>
    <w:div w:id="1926063648">
      <w:bodyDiv w:val="1"/>
      <w:marLeft w:val="0"/>
      <w:marRight w:val="0"/>
      <w:marTop w:val="0"/>
      <w:marBottom w:val="0"/>
      <w:divBdr>
        <w:top w:val="none" w:sz="0" w:space="0" w:color="auto"/>
        <w:left w:val="none" w:sz="0" w:space="0" w:color="auto"/>
        <w:bottom w:val="none" w:sz="0" w:space="0" w:color="auto"/>
        <w:right w:val="none" w:sz="0" w:space="0" w:color="auto"/>
      </w:divBdr>
    </w:div>
    <w:div w:id="1994017268">
      <w:bodyDiv w:val="1"/>
      <w:marLeft w:val="0"/>
      <w:marRight w:val="0"/>
      <w:marTop w:val="0"/>
      <w:marBottom w:val="0"/>
      <w:divBdr>
        <w:top w:val="none" w:sz="0" w:space="0" w:color="auto"/>
        <w:left w:val="none" w:sz="0" w:space="0" w:color="auto"/>
        <w:bottom w:val="none" w:sz="0" w:space="0" w:color="auto"/>
        <w:right w:val="none" w:sz="0" w:space="0" w:color="auto"/>
      </w:divBdr>
    </w:div>
    <w:div w:id="203175947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089493880">
      <w:bodyDiv w:val="1"/>
      <w:marLeft w:val="0"/>
      <w:marRight w:val="0"/>
      <w:marTop w:val="0"/>
      <w:marBottom w:val="0"/>
      <w:divBdr>
        <w:top w:val="none" w:sz="0" w:space="0" w:color="auto"/>
        <w:left w:val="none" w:sz="0" w:space="0" w:color="auto"/>
        <w:bottom w:val="none" w:sz="0" w:space="0" w:color="auto"/>
        <w:right w:val="none" w:sz="0" w:space="0" w:color="auto"/>
      </w:divBdr>
    </w:div>
    <w:div w:id="214454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nance.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techcrunch.com/2018/11/11/alibaba-singles-day-2018-31b/" TargetMode="External"/><Relationship Id="rId7" Type="http://schemas.openxmlformats.org/officeDocument/2006/relationships/hyperlink" Target="http://news.iresearch.cn/content/2018/03/273524.shtml" TargetMode="External"/><Relationship Id="rId2" Type="http://schemas.openxmlformats.org/officeDocument/2006/relationships/hyperlink" Target="https://www.cnet.com/news/amazon-buys-into-chinese-market/" TargetMode="External"/><Relationship Id="rId1" Type="http://schemas.openxmlformats.org/officeDocument/2006/relationships/hyperlink" Target="https://fortune.com/2019/01/17/amazon-prime-subscribers/" TargetMode="External"/><Relationship Id="rId6" Type="http://schemas.openxmlformats.org/officeDocument/2006/relationships/hyperlink" Target="https://www.apnews.com/9832e4961a54c7d4b60b4343039215bb" TargetMode="External"/><Relationship Id="rId5" Type="http://schemas.openxmlformats.org/officeDocument/2006/relationships/hyperlink" Target="https://www.chinadaily.com.cn/a/201803/02/WS5a997371a3106e7dcc13f400.html" TargetMode="External"/><Relationship Id="rId4" Type="http://schemas.openxmlformats.org/officeDocument/2006/relationships/hyperlink" Target="https://www.iottechnews.com/news/2019/may/14/chinese-retailer-jd-55m-connected-vehicl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800" b="1" i="0" u="none" strike="noStrike" baseline="0">
                <a:effectLst/>
              </a:rPr>
              <a:t>Active End-User Comparison Chart </a:t>
            </a:r>
            <a:endParaRPr lang="en-US" sz="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Alibaba</c:v>
                </c:pt>
              </c:strCache>
            </c:strRef>
          </c:tx>
          <c:spPr>
            <a:ln w="28575" cap="rnd">
              <a:solidFill>
                <a:schemeClr val="dk1">
                  <a:tint val="88500"/>
                </a:schemeClr>
              </a:solidFill>
              <a:round/>
            </a:ln>
            <a:effectLst/>
          </c:spPr>
          <c:marker>
            <c:symbol val="none"/>
          </c:marker>
          <c:cat>
            <c:strRef>
              <c:f>Sheet1!$C$1:$J$1</c:f>
              <c:strCache>
                <c:ptCount val="8"/>
                <c:pt idx="0">
                  <c:v>Q1 2015</c:v>
                </c:pt>
                <c:pt idx="1">
                  <c:v>Q2 2015</c:v>
                </c:pt>
                <c:pt idx="2">
                  <c:v>Q3 2015</c:v>
                </c:pt>
                <c:pt idx="3">
                  <c:v>Q4 2015</c:v>
                </c:pt>
                <c:pt idx="4">
                  <c:v>Q1 2016</c:v>
                </c:pt>
                <c:pt idx="5">
                  <c:v>Q2 2016</c:v>
                </c:pt>
                <c:pt idx="6">
                  <c:v>Q3 2016</c:v>
                </c:pt>
                <c:pt idx="7">
                  <c:v>Q4 2016</c:v>
                </c:pt>
              </c:strCache>
            </c:strRef>
          </c:cat>
          <c:val>
            <c:numRef>
              <c:f>Sheet1!$C$2:$J$2</c:f>
              <c:numCache>
                <c:formatCode>General</c:formatCode>
                <c:ptCount val="8"/>
                <c:pt idx="0">
                  <c:v>3.5</c:v>
                </c:pt>
                <c:pt idx="1">
                  <c:v>3.6</c:v>
                </c:pt>
                <c:pt idx="2">
                  <c:v>3.9</c:v>
                </c:pt>
                <c:pt idx="3">
                  <c:v>4.0999999999999996</c:v>
                </c:pt>
                <c:pt idx="4">
                  <c:v>4.3</c:v>
                </c:pt>
                <c:pt idx="5">
                  <c:v>4.4000000000000004</c:v>
                </c:pt>
                <c:pt idx="6">
                  <c:v>4.4000000000000004</c:v>
                </c:pt>
                <c:pt idx="7">
                  <c:v>4.5</c:v>
                </c:pt>
              </c:numCache>
            </c:numRef>
          </c:val>
          <c:smooth val="0"/>
          <c:extLst>
            <c:ext xmlns:c16="http://schemas.microsoft.com/office/drawing/2014/chart" uri="{C3380CC4-5D6E-409C-BE32-E72D297353CC}">
              <c16:uniqueId val="{00000000-DE0B-644D-9915-E0DE292268D3}"/>
            </c:ext>
          </c:extLst>
        </c:ser>
        <c:ser>
          <c:idx val="1"/>
          <c:order val="1"/>
          <c:tx>
            <c:strRef>
              <c:f>Sheet1!$B$3</c:f>
              <c:strCache>
                <c:ptCount val="1"/>
                <c:pt idx="0">
                  <c:v>Amazon</c:v>
                </c:pt>
              </c:strCache>
            </c:strRef>
          </c:tx>
          <c:spPr>
            <a:ln w="28575" cap="rnd">
              <a:solidFill>
                <a:schemeClr val="dk1">
                  <a:tint val="55000"/>
                </a:schemeClr>
              </a:solidFill>
              <a:round/>
            </a:ln>
            <a:effectLst/>
          </c:spPr>
          <c:marker>
            <c:symbol val="none"/>
          </c:marker>
          <c:cat>
            <c:strRef>
              <c:f>Sheet1!$C$1:$J$1</c:f>
              <c:strCache>
                <c:ptCount val="8"/>
                <c:pt idx="0">
                  <c:v>Q1 2015</c:v>
                </c:pt>
                <c:pt idx="1">
                  <c:v>Q2 2015</c:v>
                </c:pt>
                <c:pt idx="2">
                  <c:v>Q3 2015</c:v>
                </c:pt>
                <c:pt idx="3">
                  <c:v>Q4 2015</c:v>
                </c:pt>
                <c:pt idx="4">
                  <c:v>Q1 2016</c:v>
                </c:pt>
                <c:pt idx="5">
                  <c:v>Q2 2016</c:v>
                </c:pt>
                <c:pt idx="6">
                  <c:v>Q3 2016</c:v>
                </c:pt>
                <c:pt idx="7">
                  <c:v>Q4 2016</c:v>
                </c:pt>
              </c:strCache>
            </c:strRef>
          </c:cat>
          <c:val>
            <c:numRef>
              <c:f>Sheet1!$C$3:$J$3</c:f>
              <c:numCache>
                <c:formatCode>General</c:formatCode>
                <c:ptCount val="8"/>
                <c:pt idx="0">
                  <c:v>2.7</c:v>
                </c:pt>
                <c:pt idx="1">
                  <c:v>2.8</c:v>
                </c:pt>
                <c:pt idx="2">
                  <c:v>3</c:v>
                </c:pt>
                <c:pt idx="3">
                  <c:v>3.1</c:v>
                </c:pt>
                <c:pt idx="4">
                  <c:v>3.2</c:v>
                </c:pt>
                <c:pt idx="5">
                  <c:v>3.1</c:v>
                </c:pt>
                <c:pt idx="6">
                  <c:v>3.1</c:v>
                </c:pt>
                <c:pt idx="7">
                  <c:v>3.1</c:v>
                </c:pt>
              </c:numCache>
            </c:numRef>
          </c:val>
          <c:smooth val="0"/>
          <c:extLst>
            <c:ext xmlns:c16="http://schemas.microsoft.com/office/drawing/2014/chart" uri="{C3380CC4-5D6E-409C-BE32-E72D297353CC}">
              <c16:uniqueId val="{00000001-DE0B-644D-9915-E0DE292268D3}"/>
            </c:ext>
          </c:extLst>
        </c:ser>
        <c:ser>
          <c:idx val="2"/>
          <c:order val="2"/>
          <c:tx>
            <c:strRef>
              <c:f>Sheet1!$B$4</c:f>
              <c:strCache>
                <c:ptCount val="1"/>
                <c:pt idx="0">
                  <c:v>JD</c:v>
                </c:pt>
              </c:strCache>
            </c:strRef>
          </c:tx>
          <c:spPr>
            <a:ln w="28575" cap="rnd">
              <a:solidFill>
                <a:schemeClr val="dk1">
                  <a:tint val="75000"/>
                </a:schemeClr>
              </a:solidFill>
              <a:round/>
            </a:ln>
            <a:effectLst/>
          </c:spPr>
          <c:marker>
            <c:symbol val="none"/>
          </c:marker>
          <c:cat>
            <c:strRef>
              <c:f>Sheet1!$C$1:$J$1</c:f>
              <c:strCache>
                <c:ptCount val="8"/>
                <c:pt idx="0">
                  <c:v>Q1 2015</c:v>
                </c:pt>
                <c:pt idx="1">
                  <c:v>Q2 2015</c:v>
                </c:pt>
                <c:pt idx="2">
                  <c:v>Q3 2015</c:v>
                </c:pt>
                <c:pt idx="3">
                  <c:v>Q4 2015</c:v>
                </c:pt>
                <c:pt idx="4">
                  <c:v>Q1 2016</c:v>
                </c:pt>
                <c:pt idx="5">
                  <c:v>Q2 2016</c:v>
                </c:pt>
                <c:pt idx="6">
                  <c:v>Q3 2016</c:v>
                </c:pt>
                <c:pt idx="7">
                  <c:v>Q4 2016</c:v>
                </c:pt>
              </c:strCache>
            </c:strRef>
          </c:cat>
          <c:val>
            <c:numRef>
              <c:f>Sheet1!$C$4:$J$4</c:f>
              <c:numCache>
                <c:formatCode>General</c:formatCode>
                <c:ptCount val="8"/>
                <c:pt idx="0">
                  <c:v>1.1000000000000001</c:v>
                </c:pt>
                <c:pt idx="1">
                  <c:v>1.3</c:v>
                </c:pt>
                <c:pt idx="2">
                  <c:v>1.4</c:v>
                </c:pt>
                <c:pt idx="3">
                  <c:v>1.5</c:v>
                </c:pt>
                <c:pt idx="4">
                  <c:v>1.6</c:v>
                </c:pt>
                <c:pt idx="5">
                  <c:v>1.8</c:v>
                </c:pt>
                <c:pt idx="6">
                  <c:v>2</c:v>
                </c:pt>
                <c:pt idx="7">
                  <c:v>2.2999999999999998</c:v>
                </c:pt>
              </c:numCache>
            </c:numRef>
          </c:val>
          <c:smooth val="0"/>
          <c:extLst>
            <c:ext xmlns:c16="http://schemas.microsoft.com/office/drawing/2014/chart" uri="{C3380CC4-5D6E-409C-BE32-E72D297353CC}">
              <c16:uniqueId val="{00000002-DE0B-644D-9915-E0DE292268D3}"/>
            </c:ext>
          </c:extLst>
        </c:ser>
        <c:dLbls>
          <c:showLegendKey val="0"/>
          <c:showVal val="0"/>
          <c:showCatName val="0"/>
          <c:showSerName val="0"/>
          <c:showPercent val="0"/>
          <c:showBubbleSize val="0"/>
        </c:dLbls>
        <c:smooth val="0"/>
        <c:axId val="374748824"/>
        <c:axId val="374747256"/>
      </c:lineChart>
      <c:catAx>
        <c:axId val="374748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374747256"/>
        <c:crosses val="autoZero"/>
        <c:auto val="1"/>
        <c:lblAlgn val="ctr"/>
        <c:lblOffset val="100"/>
        <c:noMultiLvlLbl val="0"/>
      </c:catAx>
      <c:valAx>
        <c:axId val="37474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748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BA0EAF1-0BBA-4FF3-92A9-19D9813A4D1A}">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D9AB4A1-E855-44C2-8789-610781D1BBA8}">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1F55D-0984-46CE-91CE-5446ADED9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4873</Words>
  <Characters>27778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Product Coordinator</cp:lastModifiedBy>
  <cp:revision>3</cp:revision>
  <cp:lastPrinted>2019-04-05T16:42:00Z</cp:lastPrinted>
  <dcterms:created xsi:type="dcterms:W3CDTF">2021-07-13T12:26:00Z</dcterms:created>
  <dcterms:modified xsi:type="dcterms:W3CDTF">2021-08-11T12:19:00Z</dcterms:modified>
</cp:coreProperties>
</file>