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2D70A" w14:textId="77777777" w:rsidR="009530C9" w:rsidRDefault="009530C9" w:rsidP="009530C9">
      <w:pPr>
        <w:pBdr>
          <w:bottom w:val="single" w:sz="18" w:space="1" w:color="auto"/>
        </w:pBdr>
        <w:tabs>
          <w:tab w:val="left" w:pos="-1440"/>
          <w:tab w:val="left" w:pos="-720"/>
          <w:tab w:val="left" w:pos="1"/>
        </w:tabs>
        <w:jc w:val="both"/>
        <w:rPr>
          <w:rFonts w:ascii="Arial" w:hAnsi="Arial"/>
          <w:b/>
        </w:rPr>
      </w:pPr>
      <w:r>
        <w:rPr>
          <w:rFonts w:ascii="Arial" w:hAnsi="Arial"/>
          <w:b/>
          <w:noProof/>
        </w:rPr>
        <w:drawing>
          <wp:anchor distT="0" distB="0" distL="114300" distR="114300" simplePos="0" relativeHeight="251661312" behindDoc="0" locked="0" layoutInCell="1" allowOverlap="1" wp14:anchorId="55707EA9" wp14:editId="57B8060A">
            <wp:simplePos x="0" y="0"/>
            <wp:positionH relativeFrom="column">
              <wp:posOffset>3037205</wp:posOffset>
            </wp:positionH>
            <wp:positionV relativeFrom="paragraph">
              <wp:posOffset>114300</wp:posOffset>
            </wp:positionV>
            <wp:extent cx="2903518" cy="32780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3518" cy="3278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69EA">
        <w:rPr>
          <w:rFonts w:ascii="Arial" w:hAnsi="Arial"/>
          <w:b/>
          <w:noProof/>
          <w:lang w:eastAsia="en-CA"/>
        </w:rPr>
        <w:drawing>
          <wp:inline distT="0" distB="0" distL="0" distR="0" wp14:anchorId="49CC9602" wp14:editId="48A3A58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9E029A8" w:rsidR="00C02410" w:rsidRPr="00B52637" w:rsidRDefault="009530C9" w:rsidP="00C02410">
      <w:pPr>
        <w:pStyle w:val="ProductNumber"/>
        <w:rPr>
          <w:lang w:val="en-CA"/>
        </w:rPr>
      </w:pPr>
      <w:r>
        <w:rPr>
          <w:lang w:val="en-CA"/>
        </w:rPr>
        <w:t>9B21M063</w:t>
      </w:r>
    </w:p>
    <w:p w14:paraId="4E057522" w14:textId="7A113CB1" w:rsidR="00D75295" w:rsidRPr="009530C9" w:rsidRDefault="00D75295" w:rsidP="00D75295">
      <w:pPr>
        <w:jc w:val="right"/>
        <w:rPr>
          <w:rFonts w:ascii="Arial" w:hAnsi="Arial"/>
          <w:b/>
          <w:sz w:val="20"/>
        </w:rPr>
      </w:pPr>
    </w:p>
    <w:p w14:paraId="02524312" w14:textId="77777777" w:rsidR="001901C0" w:rsidRPr="009530C9" w:rsidRDefault="001901C0" w:rsidP="00D75295">
      <w:pPr>
        <w:jc w:val="right"/>
        <w:rPr>
          <w:rFonts w:ascii="Arial" w:hAnsi="Arial"/>
          <w:b/>
          <w:sz w:val="20"/>
        </w:rPr>
      </w:pPr>
    </w:p>
    <w:p w14:paraId="2F03D26A" w14:textId="7BD185C6" w:rsidR="00013360" w:rsidRPr="00B52637" w:rsidRDefault="004013AD" w:rsidP="00013360">
      <w:pPr>
        <w:pStyle w:val="CaseTitle"/>
        <w:spacing w:after="0" w:line="240" w:lineRule="auto"/>
        <w:rPr>
          <w:lang w:val="en-CA"/>
        </w:rPr>
      </w:pPr>
      <w:bookmarkStart w:id="0" w:name="_Hlk62799958"/>
      <w:r w:rsidRPr="00B52637">
        <w:rPr>
          <w:lang w:val="en-CA"/>
        </w:rPr>
        <w:t>KOMBI SPORTS INC.: STAYING AHEAD OF THE CURVE</w:t>
      </w:r>
      <w:bookmarkEnd w:id="0"/>
    </w:p>
    <w:p w14:paraId="40ABF6FD" w14:textId="77777777" w:rsidR="00CA3976" w:rsidRPr="00B52637" w:rsidRDefault="00CA3976" w:rsidP="00013360">
      <w:pPr>
        <w:pStyle w:val="CaseTitle"/>
        <w:spacing w:after="0" w:line="240" w:lineRule="auto"/>
        <w:rPr>
          <w:sz w:val="20"/>
          <w:szCs w:val="20"/>
          <w:lang w:val="en-CA"/>
        </w:rPr>
      </w:pPr>
    </w:p>
    <w:p w14:paraId="202F1085" w14:textId="77777777" w:rsidR="00013360" w:rsidRPr="00B52637" w:rsidRDefault="00013360" w:rsidP="00013360">
      <w:pPr>
        <w:pStyle w:val="CaseTitle"/>
        <w:spacing w:after="0" w:line="240" w:lineRule="auto"/>
        <w:rPr>
          <w:sz w:val="20"/>
          <w:szCs w:val="20"/>
          <w:lang w:val="en-CA"/>
        </w:rPr>
      </w:pPr>
    </w:p>
    <w:p w14:paraId="58B0C73F" w14:textId="0520FB02" w:rsidR="00086B26" w:rsidRPr="00B52637" w:rsidRDefault="004013AD" w:rsidP="00086B26">
      <w:pPr>
        <w:pStyle w:val="StyleCopyrightStatementAfter0ptBottomSinglesolidline1"/>
        <w:rPr>
          <w:lang w:val="en-CA"/>
        </w:rPr>
      </w:pPr>
      <w:r w:rsidRPr="00B52637">
        <w:rPr>
          <w:lang w:val="en-CA"/>
        </w:rPr>
        <w:t>Heather Calvert, Raymond L</w:t>
      </w:r>
      <w:r w:rsidR="00FD64EA" w:rsidRPr="00B52637">
        <w:rPr>
          <w:lang w:val="en-CA"/>
        </w:rPr>
        <w:t>.</w:t>
      </w:r>
      <w:r w:rsidRPr="00B52637">
        <w:rPr>
          <w:lang w:val="en-CA"/>
        </w:rPr>
        <w:t xml:space="preserve"> Paquin, </w:t>
      </w:r>
      <w:r w:rsidR="00FD64EA" w:rsidRPr="00B52637">
        <w:rPr>
          <w:lang w:val="en-CA"/>
        </w:rPr>
        <w:t xml:space="preserve">and </w:t>
      </w:r>
      <w:r w:rsidRPr="00B52637">
        <w:rPr>
          <w:lang w:val="en-CA"/>
        </w:rPr>
        <w:t>Rajshree Prakash</w:t>
      </w:r>
      <w:r w:rsidR="00ED7922" w:rsidRPr="00B52637">
        <w:rPr>
          <w:rFonts w:cs="Arial"/>
          <w:szCs w:val="16"/>
          <w:lang w:val="en-CA"/>
        </w:rPr>
        <w:t xml:space="preserve"> </w:t>
      </w:r>
      <w:r w:rsidR="00086B26" w:rsidRPr="00B52637">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97C86EF" w14:textId="6951645A" w:rsidR="00DA6BBE" w:rsidRPr="00B52637" w:rsidRDefault="00DA6BBE" w:rsidP="00086B26">
      <w:pPr>
        <w:pStyle w:val="StyleCopyrightStatementAfter0ptBottomSinglesolidline1"/>
        <w:rPr>
          <w:lang w:val="en-CA"/>
        </w:rPr>
      </w:pPr>
    </w:p>
    <w:p w14:paraId="10865099" w14:textId="77777777" w:rsidR="009530C9" w:rsidRPr="00A323B0" w:rsidRDefault="009530C9" w:rsidP="009530C9">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BCEC9DD" w14:textId="77777777" w:rsidR="009530C9" w:rsidRPr="00A323B0" w:rsidRDefault="009530C9" w:rsidP="009530C9">
      <w:pPr>
        <w:pStyle w:val="StyleStyleCopyrightStatementAfter0ptBottomSinglesolid"/>
        <w:rPr>
          <w:rFonts w:cs="Arial"/>
          <w:szCs w:val="16"/>
        </w:rPr>
      </w:pPr>
    </w:p>
    <w:p w14:paraId="3922E14F" w14:textId="26598659" w:rsidR="00751E0B" w:rsidRPr="00B52637" w:rsidRDefault="009530C9" w:rsidP="009530C9">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B52637">
        <w:rPr>
          <w:rFonts w:cs="Arial"/>
          <w:iCs w:val="0"/>
          <w:color w:val="auto"/>
          <w:szCs w:val="16"/>
          <w:lang w:val="en-CA"/>
        </w:rPr>
        <w:tab/>
        <w:t>Version: 20</w:t>
      </w:r>
      <w:r w:rsidR="004013AD" w:rsidRPr="00B52637">
        <w:rPr>
          <w:rFonts w:cs="Arial"/>
          <w:iCs w:val="0"/>
          <w:color w:val="auto"/>
          <w:szCs w:val="16"/>
          <w:lang w:val="en-CA"/>
        </w:rPr>
        <w:t>21-</w:t>
      </w:r>
      <w:r w:rsidR="007E657B" w:rsidRPr="00B52637">
        <w:rPr>
          <w:rFonts w:cs="Arial"/>
          <w:iCs w:val="0"/>
          <w:color w:val="auto"/>
          <w:szCs w:val="16"/>
          <w:lang w:val="en-CA"/>
        </w:rPr>
        <w:t>0</w:t>
      </w:r>
      <w:r w:rsidR="00B52637" w:rsidRPr="00B52637">
        <w:rPr>
          <w:rFonts w:cs="Arial"/>
          <w:iCs w:val="0"/>
          <w:color w:val="auto"/>
          <w:szCs w:val="16"/>
          <w:lang w:val="en-CA"/>
        </w:rPr>
        <w:t>6</w:t>
      </w:r>
      <w:r w:rsidR="007E657B" w:rsidRPr="00B52637">
        <w:rPr>
          <w:rFonts w:cs="Arial"/>
          <w:iCs w:val="0"/>
          <w:color w:val="auto"/>
          <w:szCs w:val="16"/>
          <w:lang w:val="en-CA"/>
        </w:rPr>
        <w:t>-</w:t>
      </w:r>
      <w:r>
        <w:rPr>
          <w:rFonts w:cs="Arial"/>
          <w:iCs w:val="0"/>
          <w:color w:val="auto"/>
          <w:szCs w:val="16"/>
          <w:lang w:val="en-CA"/>
        </w:rPr>
        <w:t>21</w:t>
      </w:r>
    </w:p>
    <w:p w14:paraId="0A2A54E4" w14:textId="77777777" w:rsidR="00751E0B" w:rsidRPr="00B52637" w:rsidRDefault="00751E0B" w:rsidP="00751E0B">
      <w:pPr>
        <w:pStyle w:val="StyleCopyrightStatementAfter0ptBottomSinglesolidline1"/>
        <w:rPr>
          <w:rFonts w:ascii="Times New Roman" w:hAnsi="Times New Roman"/>
          <w:sz w:val="20"/>
          <w:lang w:val="en-CA"/>
        </w:rPr>
      </w:pPr>
    </w:p>
    <w:p w14:paraId="2C183161" w14:textId="6EA32092" w:rsidR="00B87DC0" w:rsidRPr="00B52637" w:rsidRDefault="00B87DC0" w:rsidP="002B40FF">
      <w:pPr>
        <w:pStyle w:val="Casehead1"/>
        <w:rPr>
          <w:lang w:val="en-CA"/>
        </w:rPr>
      </w:pPr>
    </w:p>
    <w:p w14:paraId="76F10335" w14:textId="5A0A67F7" w:rsidR="00B8750B" w:rsidRPr="00B52637" w:rsidRDefault="004013AD" w:rsidP="00425282">
      <w:pPr>
        <w:pStyle w:val="BodyTextMain"/>
        <w:ind w:left="2880"/>
        <w:jc w:val="right"/>
        <w:rPr>
          <w:rFonts w:eastAsia="Calibri"/>
          <w:lang w:val="en-CA"/>
        </w:rPr>
      </w:pPr>
      <w:r w:rsidRPr="00B52637">
        <w:rPr>
          <w:rFonts w:eastAsia="Calibri"/>
          <w:lang w:val="en-CA"/>
        </w:rPr>
        <w:t>We are a family brand, inside our office and out. We are about warmth, family values, and of course, our Canadian heritage.</w:t>
      </w:r>
    </w:p>
    <w:p w14:paraId="5F067377" w14:textId="77777777" w:rsidR="00B8750B" w:rsidRPr="007F2BED" w:rsidRDefault="00B8750B" w:rsidP="00425282">
      <w:pPr>
        <w:pStyle w:val="BodyTextMain"/>
        <w:rPr>
          <w:rFonts w:eastAsia="Calibri"/>
          <w:sz w:val="20"/>
          <w:lang w:val="en-CA"/>
        </w:rPr>
      </w:pPr>
    </w:p>
    <w:p w14:paraId="4D60B2E1" w14:textId="3E7B486B" w:rsidR="00B8750B" w:rsidRPr="00B52637" w:rsidRDefault="00B8750B" w:rsidP="00425282">
      <w:pPr>
        <w:pStyle w:val="BodyTextMain"/>
        <w:jc w:val="right"/>
        <w:rPr>
          <w:rFonts w:eastAsia="Calibri"/>
          <w:lang w:val="en-CA"/>
        </w:rPr>
      </w:pPr>
      <w:r w:rsidRPr="00B52637">
        <w:rPr>
          <w:rFonts w:eastAsia="Calibri"/>
          <w:lang w:val="en-CA"/>
        </w:rPr>
        <w:t>Mark Pascal</w:t>
      </w:r>
      <w:r w:rsidRPr="00B52637">
        <w:rPr>
          <w:rStyle w:val="EndnoteReference"/>
          <w:rFonts w:eastAsia="Calibri"/>
          <w:lang w:val="en-CA"/>
        </w:rPr>
        <w:endnoteReference w:id="1"/>
      </w:r>
    </w:p>
    <w:p w14:paraId="11BB3A02" w14:textId="77777777" w:rsidR="00B8750B" w:rsidRPr="007F2BED" w:rsidRDefault="00B8750B" w:rsidP="00425282">
      <w:pPr>
        <w:pStyle w:val="BodyTextMain"/>
        <w:rPr>
          <w:rFonts w:eastAsia="Calibri"/>
          <w:sz w:val="20"/>
          <w:lang w:val="en-CA"/>
        </w:rPr>
      </w:pPr>
    </w:p>
    <w:p w14:paraId="56AD1127" w14:textId="78C42A0D" w:rsidR="00B8750B" w:rsidRPr="00B52637" w:rsidRDefault="00B8750B" w:rsidP="004013AD">
      <w:pPr>
        <w:pStyle w:val="BodyTextMain"/>
        <w:rPr>
          <w:rFonts w:eastAsia="Calibri"/>
          <w:lang w:val="en-CA"/>
        </w:rPr>
      </w:pPr>
      <w:r w:rsidRPr="00B52637">
        <w:rPr>
          <w:rFonts w:eastAsia="Calibri"/>
          <w:lang w:val="en-CA"/>
        </w:rPr>
        <w:t>It was early January 2020 and Kombi Sports Inc. (Kombi) was closing its seasonal Toronto, Ontario, pop-up shop after a successful Christmas season. With winter underway, Canadian newspapers were featuring articles on cold weather and winter sports apparel, both tying nicely to the Kombi brand. Mark Pascal, president and chief executive officer (CEO) of the Montreal-based, family-owned firm, had worked hard to communicate Kombi’s core values to its customers.</w:t>
      </w:r>
    </w:p>
    <w:p w14:paraId="4877E85F" w14:textId="77777777" w:rsidR="00B8750B" w:rsidRPr="00B52637" w:rsidRDefault="00B8750B" w:rsidP="004013AD">
      <w:pPr>
        <w:pStyle w:val="BodyTextMain"/>
        <w:rPr>
          <w:rFonts w:eastAsia="Calibri"/>
          <w:bCs/>
          <w:lang w:val="en-CA"/>
        </w:rPr>
      </w:pPr>
    </w:p>
    <w:p w14:paraId="3B1A713C" w14:textId="4B29CCB4" w:rsidR="00B8750B" w:rsidRPr="00B52637" w:rsidRDefault="00B8750B" w:rsidP="004013AD">
      <w:pPr>
        <w:pStyle w:val="BodyTextMain"/>
        <w:rPr>
          <w:rFonts w:eastAsia="Calibri"/>
          <w:lang w:val="en-CA"/>
        </w:rPr>
      </w:pPr>
      <w:r w:rsidRPr="00B52637">
        <w:rPr>
          <w:rFonts w:eastAsia="Calibri"/>
          <w:lang w:val="en-CA"/>
        </w:rPr>
        <w:t>In the</w:t>
      </w:r>
      <w:r w:rsidRPr="00B52637">
        <w:rPr>
          <w:rFonts w:eastAsia="Calibri"/>
          <w:bCs/>
          <w:lang w:val="en-CA"/>
        </w:rPr>
        <w:t xml:space="preserve"> </w:t>
      </w:r>
      <w:r w:rsidRPr="00B52637">
        <w:rPr>
          <w:rFonts w:eastAsia="Calibri"/>
          <w:lang w:val="en-CA"/>
        </w:rPr>
        <w:t xml:space="preserve">1960s, Kombi used </w:t>
      </w:r>
      <w:r w:rsidR="000F353F" w:rsidRPr="00B52637">
        <w:rPr>
          <w:rFonts w:eastAsia="Calibri"/>
          <w:lang w:val="en-CA"/>
        </w:rPr>
        <w:t xml:space="preserve">its </w:t>
      </w:r>
      <w:r w:rsidRPr="00B52637">
        <w:rPr>
          <w:rFonts w:eastAsia="Calibri"/>
          <w:lang w:val="en-CA"/>
        </w:rPr>
        <w:t>conventional glove manufacturing and design knowledge to produce an innovative alpine ski racing glove, one that provided knuckle protection to alpine racers as they curved around the bamboo poles at high speeds</w:t>
      </w:r>
      <w:r w:rsidRPr="00B52637">
        <w:rPr>
          <w:rFonts w:eastAsia="Calibri"/>
          <w:bCs/>
          <w:lang w:val="en-CA"/>
        </w:rPr>
        <w:t>.</w:t>
      </w:r>
      <w:r w:rsidRPr="00B52637">
        <w:rPr>
          <w:rFonts w:eastAsia="Calibri"/>
          <w:lang w:val="en-CA"/>
        </w:rPr>
        <w:t xml:space="preserve"> Through such innovations, Kombi enjoyed niche success in the downhill ski industry well into the 1990s. Though it had since expanded into </w:t>
      </w:r>
      <w:r w:rsidR="00AD5D8D" w:rsidRPr="00B52637">
        <w:rPr>
          <w:rFonts w:eastAsia="Calibri"/>
          <w:lang w:val="en-CA"/>
        </w:rPr>
        <w:t xml:space="preserve">base </w:t>
      </w:r>
      <w:r w:rsidRPr="00B52637">
        <w:rPr>
          <w:rFonts w:eastAsia="Calibri"/>
          <w:lang w:val="en-CA"/>
        </w:rPr>
        <w:t xml:space="preserve">layers and winter accessories, Kombi entered the 2000s well known for </w:t>
      </w:r>
      <w:r w:rsidR="00DB69DA" w:rsidRPr="00B52637">
        <w:rPr>
          <w:rFonts w:eastAsia="Calibri"/>
          <w:lang w:val="en-CA"/>
        </w:rPr>
        <w:t xml:space="preserve">its </w:t>
      </w:r>
      <w:r w:rsidRPr="00B52637">
        <w:rPr>
          <w:rFonts w:eastAsia="Calibri"/>
          <w:lang w:val="en-CA"/>
        </w:rPr>
        <w:t xml:space="preserve">performance ski apparel </w:t>
      </w:r>
      <w:r w:rsidR="00DB69DA" w:rsidRPr="00B52637">
        <w:rPr>
          <w:rFonts w:eastAsia="Calibri"/>
          <w:lang w:val="en-CA"/>
        </w:rPr>
        <w:t>but</w:t>
      </w:r>
      <w:r w:rsidRPr="00B52637">
        <w:rPr>
          <w:rFonts w:eastAsia="Calibri"/>
          <w:lang w:val="en-CA"/>
        </w:rPr>
        <w:t xml:space="preserve"> relatively little else.</w:t>
      </w:r>
    </w:p>
    <w:p w14:paraId="51D9CB73" w14:textId="77777777" w:rsidR="00B8750B" w:rsidRPr="00B52637" w:rsidRDefault="00B8750B" w:rsidP="004013AD">
      <w:pPr>
        <w:pStyle w:val="BodyTextMain"/>
        <w:rPr>
          <w:rFonts w:eastAsia="Calibri"/>
          <w:lang w:val="en-CA"/>
        </w:rPr>
      </w:pPr>
    </w:p>
    <w:p w14:paraId="0076D3C8" w14:textId="1D9EEE7C" w:rsidR="00B8750B" w:rsidRPr="00B52637" w:rsidRDefault="00B8750B" w:rsidP="004013AD">
      <w:pPr>
        <w:pStyle w:val="BodyTextMain"/>
        <w:rPr>
          <w:rFonts w:eastAsia="Calibri"/>
          <w:lang w:val="en-CA"/>
        </w:rPr>
      </w:pPr>
      <w:r w:rsidRPr="00B52637">
        <w:rPr>
          <w:rFonts w:eastAsia="Calibri"/>
          <w:lang w:val="en-CA"/>
        </w:rPr>
        <w:t>In 2013, Mark and his father (who was the president and CEO at that time) expanded beyond performance skiing and oriented the Kombi brand toward warmth, family, and Canadian heritage. They wanted Kombi to be “the best-known winter accessory brand world-wide, starting with Canada.”</w:t>
      </w:r>
      <w:r w:rsidR="00656B25" w:rsidRPr="00B52637">
        <w:rPr>
          <w:rStyle w:val="EndnoteReference"/>
          <w:rFonts w:eastAsia="Calibri"/>
          <w:lang w:val="en-CA"/>
        </w:rPr>
        <w:endnoteReference w:id="2"/>
      </w:r>
      <w:r w:rsidR="00DB69DA" w:rsidRPr="00B52637">
        <w:rPr>
          <w:rFonts w:eastAsia="Calibri"/>
          <w:lang w:val="en-CA"/>
        </w:rPr>
        <w:t xml:space="preserve"> </w:t>
      </w:r>
      <w:r w:rsidRPr="00B52637">
        <w:rPr>
          <w:rFonts w:eastAsia="Calibri"/>
          <w:lang w:val="en-CA"/>
        </w:rPr>
        <w:t xml:space="preserve">To support this vision, they developed close partnerships with chain and independent retailers, which created new retail opportunities for Kombi’s expanding product lines. Examples included the 2015 collaboration with chain retailer Sports Experts Inc. to produce tuques (winter knit caps) from the animated movie </w:t>
      </w:r>
      <w:proofErr w:type="spellStart"/>
      <w:r w:rsidRPr="00B52637">
        <w:rPr>
          <w:rFonts w:eastAsia="Calibri"/>
          <w:i/>
          <w:iCs/>
          <w:lang w:val="en-CA"/>
        </w:rPr>
        <w:t>Snowtime</w:t>
      </w:r>
      <w:proofErr w:type="spellEnd"/>
      <w:r w:rsidRPr="00B52637">
        <w:rPr>
          <w:rFonts w:eastAsia="Calibri"/>
          <w:i/>
          <w:iCs/>
          <w:lang w:val="en-CA"/>
        </w:rPr>
        <w:t>!</w:t>
      </w:r>
      <w:r w:rsidRPr="00B52637">
        <w:rPr>
          <w:rFonts w:eastAsia="Calibri"/>
          <w:lang w:val="en-CA"/>
        </w:rPr>
        <w:t>,</w:t>
      </w:r>
      <w:r w:rsidRPr="00B52637">
        <w:rPr>
          <w:rFonts w:eastAsia="Calibri"/>
          <w:i/>
          <w:iCs/>
          <w:lang w:val="en-CA"/>
        </w:rPr>
        <w:t xml:space="preserve"> </w:t>
      </w:r>
      <w:r w:rsidRPr="00B52637">
        <w:rPr>
          <w:rFonts w:eastAsia="Calibri"/>
          <w:lang w:val="en-CA"/>
        </w:rPr>
        <w:t xml:space="preserve">a remake of the Quebec classic </w:t>
      </w:r>
      <w:r w:rsidRPr="00B52637">
        <w:rPr>
          <w:rFonts w:eastAsia="Calibri"/>
          <w:i/>
          <w:iCs/>
          <w:lang w:val="en-CA"/>
        </w:rPr>
        <w:t>La guerre des tuques</w:t>
      </w:r>
      <w:r w:rsidRPr="00B52637">
        <w:rPr>
          <w:rFonts w:eastAsia="Calibri"/>
          <w:lang w:val="en-CA"/>
        </w:rPr>
        <w:t>,</w:t>
      </w:r>
      <w:r w:rsidRPr="00B52637">
        <w:rPr>
          <w:rStyle w:val="EndnoteReference"/>
          <w:rFonts w:eastAsia="Calibri"/>
          <w:lang w:val="en-CA"/>
        </w:rPr>
        <w:endnoteReference w:id="3"/>
      </w:r>
      <w:r w:rsidRPr="00B52637">
        <w:rPr>
          <w:rFonts w:eastAsia="Calibri"/>
          <w:lang w:val="en-CA"/>
        </w:rPr>
        <w:t xml:space="preserve"> and the 2019 collaboration with </w:t>
      </w:r>
      <w:proofErr w:type="spellStart"/>
      <w:r w:rsidRPr="00B52637">
        <w:rPr>
          <w:rFonts w:eastAsia="Calibri"/>
          <w:lang w:val="en-CA"/>
        </w:rPr>
        <w:t>BeaverTails</w:t>
      </w:r>
      <w:proofErr w:type="spellEnd"/>
      <w:r w:rsidRPr="00B52637">
        <w:rPr>
          <w:rFonts w:eastAsia="Calibri"/>
          <w:lang w:val="en-CA"/>
        </w:rPr>
        <w:t xml:space="preserve"> Canada Inc., a Canadian quick-service restaurant chain, to produce co-branded “Snack-and-Go Flip Mittens.”</w:t>
      </w:r>
      <w:r w:rsidRPr="00B52637">
        <w:rPr>
          <w:rStyle w:val="EndnoteReference"/>
          <w:rFonts w:eastAsia="Calibri"/>
          <w:lang w:val="en-CA"/>
        </w:rPr>
        <w:endnoteReference w:id="4"/>
      </w:r>
      <w:r w:rsidRPr="00B52637">
        <w:rPr>
          <w:rFonts w:eastAsia="Calibri"/>
          <w:lang w:val="en-CA"/>
        </w:rPr>
        <w:t xml:space="preserve"> However, by 2019, increasing competition from online retailers </w:t>
      </w:r>
      <w:r w:rsidR="00DB69DA" w:rsidRPr="00B52637">
        <w:rPr>
          <w:rFonts w:eastAsia="Calibri"/>
          <w:lang w:val="en-CA"/>
        </w:rPr>
        <w:t xml:space="preserve">had </w:t>
      </w:r>
      <w:r w:rsidRPr="00B52637">
        <w:rPr>
          <w:rFonts w:eastAsia="Calibri"/>
          <w:lang w:val="en-CA"/>
        </w:rPr>
        <w:t>tightened margins and threatened some of Kombi’s long-standing retail partners. The retail chain Mountain Equipment Co-op (MEC), for instance, re-evaluated its retail strategy</w:t>
      </w:r>
      <w:r w:rsidRPr="00B52637" w:rsidDel="00E95D2E">
        <w:rPr>
          <w:rFonts w:eastAsia="Calibri"/>
          <w:lang w:val="en-CA"/>
        </w:rPr>
        <w:t xml:space="preserve"> </w:t>
      </w:r>
      <w:r w:rsidRPr="00B52637">
        <w:rPr>
          <w:rFonts w:eastAsia="Calibri"/>
          <w:lang w:val="en-CA"/>
        </w:rPr>
        <w:t>in light of its financial troubles.</w:t>
      </w:r>
      <w:r w:rsidRPr="00B52637">
        <w:rPr>
          <w:rStyle w:val="EndnoteReference"/>
          <w:rFonts w:eastAsia="Calibri"/>
          <w:lang w:val="en-CA"/>
        </w:rPr>
        <w:endnoteReference w:id="5"/>
      </w:r>
    </w:p>
    <w:p w14:paraId="69A74FFC" w14:textId="77777777" w:rsidR="00B8750B" w:rsidRPr="00B52637" w:rsidRDefault="00B8750B" w:rsidP="002C18FF">
      <w:pPr>
        <w:pStyle w:val="BodyTextMain"/>
        <w:rPr>
          <w:rFonts w:eastAsia="Calibri"/>
          <w:lang w:val="en-CA"/>
        </w:rPr>
      </w:pPr>
    </w:p>
    <w:p w14:paraId="52B45675" w14:textId="18F6BC41" w:rsidR="00B8750B" w:rsidRPr="00CF7391" w:rsidRDefault="00B8750B" w:rsidP="002C18FF">
      <w:pPr>
        <w:pStyle w:val="BodyTextMain"/>
        <w:rPr>
          <w:rFonts w:eastAsia="Calibri"/>
          <w:spacing w:val="-4"/>
          <w:kern w:val="22"/>
          <w:lang w:val="en-CA"/>
        </w:rPr>
      </w:pPr>
      <w:r w:rsidRPr="00CF7391">
        <w:rPr>
          <w:rFonts w:eastAsia="Calibri"/>
          <w:spacing w:val="-4"/>
          <w:kern w:val="22"/>
          <w:lang w:val="en-CA"/>
        </w:rPr>
        <w:t>Kombi clearly had an ability to grow sales by developing close partnerships with retailers</w:t>
      </w:r>
      <w:r w:rsidR="00DB69DA" w:rsidRPr="00CF7391">
        <w:rPr>
          <w:rFonts w:eastAsia="Calibri"/>
          <w:spacing w:val="-4"/>
          <w:kern w:val="22"/>
          <w:lang w:val="en-CA"/>
        </w:rPr>
        <w:t>, but</w:t>
      </w:r>
      <w:r w:rsidRPr="00CF7391">
        <w:rPr>
          <w:rFonts w:eastAsia="Calibri"/>
          <w:spacing w:val="-4"/>
          <w:kern w:val="22"/>
          <w:lang w:val="en-CA"/>
        </w:rPr>
        <w:t xml:space="preserve"> how could Mark continue to grow Kombi when its key retail partners were struggling? What should he do next for Kombi?</w:t>
      </w:r>
    </w:p>
    <w:p w14:paraId="339D0EF6" w14:textId="0E44BF2B" w:rsidR="00B8750B" w:rsidRPr="00B52637" w:rsidRDefault="00B8750B" w:rsidP="00CB06D6">
      <w:pPr>
        <w:pStyle w:val="Casehead1"/>
        <w:rPr>
          <w:rFonts w:eastAsia="Calibri"/>
          <w:lang w:val="en-CA"/>
        </w:rPr>
      </w:pPr>
      <w:r w:rsidRPr="00B52637">
        <w:rPr>
          <w:rFonts w:eastAsia="Calibri"/>
          <w:lang w:val="en-CA"/>
        </w:rPr>
        <w:lastRenderedPageBreak/>
        <w:t>Alpine Ski Racing</w:t>
      </w:r>
    </w:p>
    <w:p w14:paraId="2B53CF4E" w14:textId="77777777" w:rsidR="00B8750B" w:rsidRPr="00B52637" w:rsidRDefault="00B8750B" w:rsidP="00CB06D6">
      <w:pPr>
        <w:pStyle w:val="BodyTextMain"/>
        <w:rPr>
          <w:rFonts w:eastAsia="Calibri"/>
          <w:lang w:val="en-CA"/>
        </w:rPr>
      </w:pPr>
    </w:p>
    <w:p w14:paraId="242596D1" w14:textId="286573DF" w:rsidR="00B8750B" w:rsidRPr="00B52637" w:rsidRDefault="00B8750B">
      <w:pPr>
        <w:pStyle w:val="BodyTextMain"/>
        <w:rPr>
          <w:rFonts w:eastAsia="Calibri"/>
          <w:lang w:val="en-CA"/>
        </w:rPr>
      </w:pPr>
      <w:r w:rsidRPr="00B52637">
        <w:rPr>
          <w:rFonts w:eastAsia="Calibri"/>
          <w:lang w:val="en-CA"/>
        </w:rPr>
        <w:t xml:space="preserve">Companies had been drawn to alpine ski racing since the 1930s for the sport’s marketing potential, created by its novelty and large audiences. Ski racing stars like France’s Jean-Claude </w:t>
      </w:r>
      <w:proofErr w:type="spellStart"/>
      <w:r w:rsidRPr="00B52637">
        <w:rPr>
          <w:rFonts w:eastAsia="Calibri"/>
          <w:lang w:val="en-CA"/>
        </w:rPr>
        <w:t>Killy</w:t>
      </w:r>
      <w:proofErr w:type="spellEnd"/>
      <w:r w:rsidRPr="00B52637">
        <w:rPr>
          <w:rFonts w:eastAsia="Calibri"/>
          <w:lang w:val="en-CA"/>
        </w:rPr>
        <w:t xml:space="preserve"> garnered a large following on television and became cultural celebrities,</w:t>
      </w:r>
      <w:r w:rsidRPr="00B52637">
        <w:rPr>
          <w:rStyle w:val="EndnoteReference"/>
          <w:rFonts w:eastAsia="Calibri"/>
          <w:lang w:val="en-CA"/>
        </w:rPr>
        <w:endnoteReference w:id="6"/>
      </w:r>
      <w:r w:rsidRPr="00B52637">
        <w:rPr>
          <w:rFonts w:eastAsia="Calibri"/>
          <w:lang w:val="en-CA"/>
        </w:rPr>
        <w:t xml:space="preserve"> perfect for product placement. Within Canada, legendary racer Nancy Greene wore Kombi gloves</w:t>
      </w:r>
      <w:r w:rsidRPr="00B52637">
        <w:rPr>
          <w:rFonts w:eastAsia="Calibri"/>
          <w:vertAlign w:val="superscript"/>
          <w:lang w:val="en-CA"/>
        </w:rPr>
        <w:t xml:space="preserve"> </w:t>
      </w:r>
      <w:r w:rsidRPr="00B52637">
        <w:rPr>
          <w:rFonts w:eastAsia="Calibri"/>
          <w:lang w:val="en-CA"/>
        </w:rPr>
        <w:t>when</w:t>
      </w:r>
      <w:r w:rsidRPr="00B52637">
        <w:rPr>
          <w:rFonts w:eastAsia="Calibri"/>
          <w:vertAlign w:val="superscript"/>
          <w:lang w:val="en-CA"/>
        </w:rPr>
        <w:t xml:space="preserve"> </w:t>
      </w:r>
      <w:r w:rsidRPr="00B52637">
        <w:rPr>
          <w:rFonts w:eastAsia="Calibri"/>
          <w:lang w:val="en-CA"/>
        </w:rPr>
        <w:t>she won gold at the 1967 World Cup.</w:t>
      </w:r>
      <w:r w:rsidRPr="00B52637">
        <w:rPr>
          <w:rStyle w:val="EndnoteReference"/>
          <w:rFonts w:eastAsia="Calibri"/>
          <w:lang w:val="en-CA"/>
        </w:rPr>
        <w:endnoteReference w:id="7"/>
      </w:r>
    </w:p>
    <w:p w14:paraId="5117A20C" w14:textId="77777777" w:rsidR="00B8750B" w:rsidRPr="00B52637" w:rsidRDefault="00B8750B" w:rsidP="00194A28">
      <w:pPr>
        <w:pStyle w:val="BodyTextMain"/>
        <w:rPr>
          <w:rFonts w:eastAsia="Calibri"/>
          <w:lang w:val="en-CA"/>
        </w:rPr>
      </w:pPr>
      <w:bookmarkStart w:id="1" w:name="_GoBack"/>
      <w:bookmarkEnd w:id="1"/>
    </w:p>
    <w:p w14:paraId="0CA48221" w14:textId="2E596EED" w:rsidR="00B8750B" w:rsidRPr="00B52637" w:rsidRDefault="00B8750B">
      <w:pPr>
        <w:pStyle w:val="BodyTextMain"/>
        <w:rPr>
          <w:rFonts w:eastAsia="Calibri"/>
          <w:lang w:val="en-CA"/>
        </w:rPr>
      </w:pPr>
      <w:r w:rsidRPr="00B52637">
        <w:rPr>
          <w:rFonts w:eastAsia="Calibri"/>
          <w:lang w:val="en-CA"/>
        </w:rPr>
        <w:t>In 2020, brand sponsorship of athletes and events existed at all levels of sport. For example, family sporting goods retailer Canadian Tire Corporation Ltd. (Canadian Tire) promoted youth sport participation through its Jumpstart program</w:t>
      </w:r>
      <w:r w:rsidR="000F353F" w:rsidRPr="00B52637">
        <w:rPr>
          <w:rFonts w:eastAsia="Calibri"/>
          <w:lang w:val="en-CA"/>
        </w:rPr>
        <w:t>,</w:t>
      </w:r>
      <w:r w:rsidRPr="00B52637">
        <w:rPr>
          <w:rStyle w:val="EndnoteReference"/>
          <w:rFonts w:eastAsia="Calibri"/>
          <w:lang w:val="en-CA"/>
        </w:rPr>
        <w:endnoteReference w:id="8"/>
      </w:r>
      <w:r w:rsidRPr="00B52637">
        <w:rPr>
          <w:rFonts w:eastAsia="Calibri"/>
          <w:lang w:val="en-CA"/>
        </w:rPr>
        <w:t xml:space="preserve"> and outdoor clothing company The North Face sponsored high performance athletes directly.</w:t>
      </w:r>
      <w:r w:rsidRPr="00B52637">
        <w:rPr>
          <w:rStyle w:val="EndnoteReference"/>
          <w:rFonts w:eastAsia="Calibri"/>
          <w:lang w:val="en-CA"/>
        </w:rPr>
        <w:endnoteReference w:id="9"/>
      </w:r>
      <w:r w:rsidRPr="00B52637">
        <w:rPr>
          <w:rFonts w:eastAsia="Calibri"/>
          <w:lang w:val="en-CA"/>
        </w:rPr>
        <w:t xml:space="preserve"> Many countries also supported athletes preparing for global competitions. Alpine Canada, a Canadian non-profit that supported alpine athletes, had declared the goal of making Canadian ski racers number one on the slopes by 2026.</w:t>
      </w:r>
      <w:r w:rsidRPr="00B52637">
        <w:rPr>
          <w:rStyle w:val="EndnoteReference"/>
          <w:rFonts w:eastAsia="Calibri"/>
          <w:lang w:val="en-CA"/>
        </w:rPr>
        <w:endnoteReference w:id="10"/>
      </w:r>
    </w:p>
    <w:p w14:paraId="2D69B86B" w14:textId="01D31C80" w:rsidR="00B8750B" w:rsidRPr="00B52637" w:rsidRDefault="00B8750B" w:rsidP="002C18FF">
      <w:pPr>
        <w:pStyle w:val="BodyTextMain"/>
        <w:rPr>
          <w:rFonts w:eastAsia="Calibri"/>
          <w:lang w:val="en-CA"/>
        </w:rPr>
      </w:pPr>
    </w:p>
    <w:p w14:paraId="1AF9140C" w14:textId="390BD149" w:rsidR="00B8750B" w:rsidRPr="00B52637" w:rsidRDefault="00B8750B" w:rsidP="002C18FF">
      <w:pPr>
        <w:pStyle w:val="BodyTextMain"/>
        <w:rPr>
          <w:rFonts w:eastAsia="Calibri"/>
          <w:lang w:val="en-CA"/>
        </w:rPr>
      </w:pPr>
    </w:p>
    <w:p w14:paraId="4C8B26BF" w14:textId="348A873B" w:rsidR="00B8750B" w:rsidRPr="00B52637" w:rsidRDefault="00B8750B" w:rsidP="00CB06D6">
      <w:pPr>
        <w:pStyle w:val="Casehead1"/>
        <w:rPr>
          <w:rFonts w:eastAsia="Calibri"/>
          <w:lang w:val="en-CA"/>
        </w:rPr>
      </w:pPr>
      <w:r w:rsidRPr="00B52637">
        <w:rPr>
          <w:rFonts w:eastAsia="Calibri"/>
          <w:lang w:val="en-CA"/>
        </w:rPr>
        <w:t>Canadian IMMIGRATION AND Sports</w:t>
      </w:r>
    </w:p>
    <w:p w14:paraId="115A479B" w14:textId="77777777" w:rsidR="00B8750B" w:rsidRPr="00B52637" w:rsidRDefault="00B8750B" w:rsidP="00CB06D6">
      <w:pPr>
        <w:pStyle w:val="BodyTextMain"/>
        <w:rPr>
          <w:rFonts w:eastAsia="Calibri"/>
          <w:lang w:val="en-CA"/>
        </w:rPr>
      </w:pPr>
    </w:p>
    <w:p w14:paraId="4F79AD18" w14:textId="6E784337" w:rsidR="00B8750B" w:rsidRPr="002C342B" w:rsidRDefault="00B8750B" w:rsidP="00CB06D6">
      <w:pPr>
        <w:pStyle w:val="BodyTextMain"/>
        <w:rPr>
          <w:rFonts w:eastAsia="Calibri"/>
          <w:spacing w:val="-2"/>
          <w:kern w:val="22"/>
          <w:lang w:val="en-CA"/>
        </w:rPr>
      </w:pPr>
      <w:r w:rsidRPr="002C342B">
        <w:rPr>
          <w:rFonts w:eastAsia="Calibri"/>
          <w:color w:val="000000" w:themeColor="text1"/>
          <w:spacing w:val="-2"/>
          <w:kern w:val="22"/>
          <w:lang w:val="en-CA"/>
        </w:rPr>
        <w:t xml:space="preserve">Trends in sports participation drove sales in sporting goods, and culture influenced who participated in what sport. </w:t>
      </w:r>
      <w:bookmarkStart w:id="2" w:name="_Hlk75161846"/>
      <w:r w:rsidR="00A0046B">
        <w:t xml:space="preserve">Early </w:t>
      </w:r>
      <w:proofErr w:type="spellStart"/>
      <w:r w:rsidR="00A0046B">
        <w:t>Canadiana</w:t>
      </w:r>
      <w:proofErr w:type="spellEnd"/>
      <w:r w:rsidR="00A0046B">
        <w:t xml:space="preserve"> featured images of self-sufficient, proud, rugged people in the northern wilderness.</w:t>
      </w:r>
      <w:r w:rsidR="00B62D5C">
        <w:rPr>
          <w:rStyle w:val="EndnoteReference"/>
        </w:rPr>
        <w:endnoteReference w:id="11"/>
      </w:r>
      <w:r w:rsidRPr="002C342B">
        <w:rPr>
          <w:rFonts w:eastAsia="Calibri"/>
          <w:spacing w:val="-2"/>
          <w:kern w:val="22"/>
          <w:lang w:val="en-CA"/>
        </w:rPr>
        <w:t xml:space="preserve"> </w:t>
      </w:r>
      <w:bookmarkEnd w:id="2"/>
      <w:r w:rsidRPr="002C342B">
        <w:rPr>
          <w:rFonts w:eastAsia="Calibri"/>
          <w:spacing w:val="-2"/>
          <w:kern w:val="22"/>
          <w:lang w:val="en-CA"/>
        </w:rPr>
        <w:t>By the 1930s, adventurous Europeans were drawn to Canada’s mountain wilderness, where they pushed their limits in skiing, climbing, and hiking.</w:t>
      </w:r>
      <w:r w:rsidRPr="002C342B">
        <w:rPr>
          <w:rStyle w:val="EndnoteReference"/>
          <w:rFonts w:eastAsia="Calibri"/>
          <w:spacing w:val="-2"/>
          <w:kern w:val="22"/>
          <w:lang w:val="en-CA"/>
        </w:rPr>
        <w:endnoteReference w:id="12"/>
      </w:r>
      <w:r w:rsidRPr="002C342B">
        <w:rPr>
          <w:rFonts w:eastAsia="Calibri"/>
          <w:spacing w:val="-2"/>
          <w:kern w:val="22"/>
          <w:lang w:val="en-CA"/>
        </w:rPr>
        <w:t xml:space="preserve"> For the next 50 years, Europeans drove Canada’s immigration</w:t>
      </w:r>
      <w:r w:rsidRPr="002C342B">
        <w:rPr>
          <w:rStyle w:val="EndnoteReference"/>
          <w:rFonts w:eastAsia="Calibri"/>
          <w:spacing w:val="-2"/>
          <w:kern w:val="22"/>
          <w:lang w:val="en-CA"/>
        </w:rPr>
        <w:endnoteReference w:id="13"/>
      </w:r>
      <w:r w:rsidRPr="002C342B">
        <w:rPr>
          <w:rFonts w:eastAsia="Calibri"/>
          <w:spacing w:val="-2"/>
          <w:kern w:val="22"/>
          <w:lang w:val="en-CA"/>
        </w:rPr>
        <w:t xml:space="preserve"> </w:t>
      </w:r>
      <w:r w:rsidR="00B04CEB" w:rsidRPr="002C342B">
        <w:rPr>
          <w:rFonts w:eastAsia="Calibri"/>
          <w:spacing w:val="-2"/>
          <w:kern w:val="22"/>
          <w:lang w:val="en-CA"/>
        </w:rPr>
        <w:t>and brought with them a love for alpine skiing</w:t>
      </w:r>
      <w:r w:rsidRPr="002C342B">
        <w:rPr>
          <w:rFonts w:eastAsia="Calibri"/>
          <w:spacing w:val="-2"/>
          <w:kern w:val="22"/>
          <w:lang w:val="en-CA"/>
        </w:rPr>
        <w:t>. By 2016, one in five Canadians w</w:t>
      </w:r>
      <w:r w:rsidR="00E61F02" w:rsidRPr="002C342B">
        <w:rPr>
          <w:rFonts w:eastAsia="Calibri"/>
          <w:spacing w:val="-2"/>
          <w:kern w:val="22"/>
          <w:lang w:val="en-CA"/>
        </w:rPr>
        <w:t>as</w:t>
      </w:r>
      <w:r w:rsidRPr="002C342B">
        <w:rPr>
          <w:rFonts w:eastAsia="Calibri"/>
          <w:spacing w:val="-2"/>
          <w:kern w:val="22"/>
          <w:lang w:val="en-CA"/>
        </w:rPr>
        <w:t xml:space="preserve"> foreign-born</w:t>
      </w:r>
      <w:r w:rsidR="00E61F02" w:rsidRPr="002C342B">
        <w:rPr>
          <w:rFonts w:eastAsia="Calibri"/>
          <w:spacing w:val="-2"/>
          <w:kern w:val="22"/>
          <w:lang w:val="en-CA"/>
        </w:rPr>
        <w:t>,</w:t>
      </w:r>
      <w:r w:rsidRPr="002C342B">
        <w:rPr>
          <w:rFonts w:eastAsia="Calibri"/>
          <w:spacing w:val="-2"/>
          <w:kern w:val="22"/>
          <w:lang w:val="en-CA"/>
        </w:rPr>
        <w:t xml:space="preserve"> with the majority of recent immigrants coming from Philippines, India, and China (see Exhibit 1).</w:t>
      </w:r>
      <w:r w:rsidRPr="002C342B">
        <w:rPr>
          <w:rStyle w:val="EndnoteReference"/>
          <w:rFonts w:eastAsia="Calibri"/>
          <w:spacing w:val="-2"/>
          <w:kern w:val="22"/>
          <w:lang w:val="en-CA"/>
        </w:rPr>
        <w:endnoteReference w:id="14"/>
      </w:r>
    </w:p>
    <w:p w14:paraId="09F25CDF" w14:textId="77777777" w:rsidR="00B8750B" w:rsidRPr="00B52637" w:rsidRDefault="00B8750B" w:rsidP="00CB06D6">
      <w:pPr>
        <w:pStyle w:val="BodyTextMain"/>
        <w:rPr>
          <w:rFonts w:eastAsia="Calibri"/>
          <w:lang w:val="en-CA"/>
        </w:rPr>
      </w:pPr>
    </w:p>
    <w:p w14:paraId="31E180BF" w14:textId="28BE5441" w:rsidR="00B8750B" w:rsidRPr="00B52637" w:rsidRDefault="00B8750B" w:rsidP="00CB06D6">
      <w:pPr>
        <w:pStyle w:val="BodyTextMain"/>
        <w:rPr>
          <w:rFonts w:eastAsia="Calibri"/>
          <w:lang w:val="en-CA"/>
        </w:rPr>
      </w:pPr>
      <w:r w:rsidRPr="00B52637">
        <w:rPr>
          <w:rFonts w:eastAsia="Calibri"/>
          <w:lang w:val="en-CA"/>
        </w:rPr>
        <w:t xml:space="preserve">In 1992, some 14 per cent of all </w:t>
      </w:r>
      <w:r w:rsidR="006628AF" w:rsidRPr="00B52637">
        <w:rPr>
          <w:rFonts w:eastAsia="Calibri"/>
          <w:lang w:val="en-CA"/>
        </w:rPr>
        <w:t>active adult</w:t>
      </w:r>
      <w:r w:rsidR="00C96765" w:rsidRPr="00B52637">
        <w:rPr>
          <w:rFonts w:eastAsia="Calibri"/>
          <w:lang w:val="en-CA"/>
        </w:rPr>
        <w:t xml:space="preserve"> </w:t>
      </w:r>
      <w:r w:rsidRPr="00B52637">
        <w:rPr>
          <w:rFonts w:eastAsia="Calibri"/>
          <w:lang w:val="en-CA"/>
        </w:rPr>
        <w:t xml:space="preserve">Canadians engaged in alpine skiing, second only to ice hockey in popularity. Yet by 2010, alpine skiing had fallen </w:t>
      </w:r>
      <w:r w:rsidR="006628AF" w:rsidRPr="00B52637">
        <w:rPr>
          <w:rFonts w:eastAsia="Calibri"/>
          <w:lang w:val="en-CA"/>
        </w:rPr>
        <w:t xml:space="preserve">in popularity </w:t>
      </w:r>
      <w:r w:rsidRPr="00B52637">
        <w:rPr>
          <w:rFonts w:eastAsia="Calibri"/>
          <w:lang w:val="en-CA"/>
        </w:rPr>
        <w:t xml:space="preserve">to approximately 6 per cent, behind ice hockey (17.1 per cent), golf (20.3 per cent), and </w:t>
      </w:r>
      <w:r w:rsidR="00516EB4">
        <w:rPr>
          <w:rFonts w:eastAsia="Calibri"/>
          <w:lang w:val="en-CA"/>
        </w:rPr>
        <w:t>soccer</w:t>
      </w:r>
      <w:r w:rsidR="00516EB4" w:rsidRPr="00B52637">
        <w:rPr>
          <w:rFonts w:eastAsia="Calibri"/>
          <w:lang w:val="en-CA"/>
        </w:rPr>
        <w:t xml:space="preserve"> </w:t>
      </w:r>
      <w:r w:rsidRPr="00B52637">
        <w:rPr>
          <w:rFonts w:eastAsia="Calibri"/>
          <w:lang w:val="en-CA"/>
        </w:rPr>
        <w:t>(see Exhibit 2).</w:t>
      </w:r>
      <w:r w:rsidRPr="00B52637">
        <w:rPr>
          <w:rStyle w:val="EndnoteReference"/>
          <w:rFonts w:eastAsia="Calibri"/>
          <w:lang w:val="en-CA"/>
        </w:rPr>
        <w:endnoteReference w:id="15"/>
      </w:r>
      <w:r w:rsidRPr="00B52637">
        <w:rPr>
          <w:rFonts w:eastAsia="Calibri"/>
          <w:lang w:val="en-CA"/>
        </w:rPr>
        <w:t xml:space="preserve"> Children were more likely to participate in sports than adults</w:t>
      </w:r>
      <w:r w:rsidR="006628AF" w:rsidRPr="00B52637">
        <w:rPr>
          <w:rFonts w:eastAsia="Calibri"/>
          <w:lang w:val="en-CA"/>
        </w:rPr>
        <w:t>, with participation rates in 2010 being 26</w:t>
      </w:r>
      <w:r w:rsidR="00E61F02" w:rsidRPr="00B52637">
        <w:rPr>
          <w:rFonts w:eastAsia="Calibri"/>
          <w:lang w:val="en-CA"/>
        </w:rPr>
        <w:t xml:space="preserve"> per cent</w:t>
      </w:r>
      <w:r w:rsidR="006628AF" w:rsidRPr="00B52637">
        <w:rPr>
          <w:rFonts w:eastAsia="Calibri"/>
          <w:lang w:val="en-CA"/>
        </w:rPr>
        <w:t xml:space="preserve"> for adults and 75</w:t>
      </w:r>
      <w:r w:rsidR="00E61F02" w:rsidRPr="00B52637">
        <w:rPr>
          <w:rFonts w:eastAsia="Calibri"/>
          <w:lang w:val="en-CA"/>
        </w:rPr>
        <w:t xml:space="preserve"> per cent</w:t>
      </w:r>
      <w:r w:rsidR="006628AF" w:rsidRPr="00B52637">
        <w:rPr>
          <w:rFonts w:eastAsia="Calibri"/>
          <w:lang w:val="en-CA"/>
        </w:rPr>
        <w:t xml:space="preserve"> for children</w:t>
      </w:r>
      <w:r w:rsidR="00E61F02" w:rsidRPr="00B52637">
        <w:rPr>
          <w:rFonts w:eastAsia="Calibri"/>
          <w:lang w:val="en-CA"/>
        </w:rPr>
        <w:t>.</w:t>
      </w:r>
      <w:r w:rsidR="001B2C50" w:rsidRPr="00B52637">
        <w:rPr>
          <w:rStyle w:val="EndnoteReference"/>
          <w:rFonts w:eastAsia="Calibri"/>
          <w:lang w:val="en-CA"/>
        </w:rPr>
        <w:endnoteReference w:id="16"/>
      </w:r>
      <w:r w:rsidR="006628AF" w:rsidRPr="00B52637">
        <w:rPr>
          <w:rFonts w:eastAsia="Calibri"/>
          <w:lang w:val="en-CA"/>
        </w:rPr>
        <w:t xml:space="preserve"> </w:t>
      </w:r>
      <w:r w:rsidR="001B2C50" w:rsidRPr="00B52637">
        <w:rPr>
          <w:rFonts w:eastAsia="Calibri"/>
          <w:lang w:val="en-CA"/>
        </w:rPr>
        <w:t xml:space="preserve">For children, their </w:t>
      </w:r>
      <w:r w:rsidR="006628AF" w:rsidRPr="00B52637">
        <w:rPr>
          <w:rFonts w:eastAsia="Calibri"/>
          <w:lang w:val="en-CA"/>
        </w:rPr>
        <w:t>activit</w:t>
      </w:r>
      <w:r w:rsidR="00E61F02" w:rsidRPr="00B52637">
        <w:rPr>
          <w:rFonts w:eastAsia="Calibri"/>
          <w:lang w:val="en-CA"/>
        </w:rPr>
        <w:t>ies</w:t>
      </w:r>
      <w:r w:rsidR="006628AF" w:rsidRPr="00B52637">
        <w:rPr>
          <w:rFonts w:eastAsia="Calibri"/>
          <w:lang w:val="en-CA"/>
        </w:rPr>
        <w:t xml:space="preserve"> of choice </w:t>
      </w:r>
      <w:r w:rsidR="000B2C77" w:rsidRPr="00B52637">
        <w:rPr>
          <w:rFonts w:eastAsia="Calibri"/>
          <w:lang w:val="en-CA"/>
        </w:rPr>
        <w:t>w</w:t>
      </w:r>
      <w:r w:rsidR="00E61F02" w:rsidRPr="00B52637">
        <w:rPr>
          <w:rFonts w:eastAsia="Calibri"/>
          <w:lang w:val="en-CA"/>
        </w:rPr>
        <w:t>ere</w:t>
      </w:r>
      <w:r w:rsidR="000B2C77" w:rsidRPr="00B52637">
        <w:rPr>
          <w:rFonts w:eastAsia="Calibri"/>
          <w:lang w:val="en-CA"/>
        </w:rPr>
        <w:t xml:space="preserve"> </w:t>
      </w:r>
      <w:r w:rsidRPr="00B52637">
        <w:rPr>
          <w:rFonts w:eastAsia="Calibri"/>
          <w:lang w:val="en-CA"/>
        </w:rPr>
        <w:t>soccer (</w:t>
      </w:r>
      <w:r w:rsidR="00516EB4" w:rsidRPr="00B52637">
        <w:rPr>
          <w:rFonts w:eastAsia="Calibri"/>
          <w:lang w:val="en-CA"/>
        </w:rPr>
        <w:t>4</w:t>
      </w:r>
      <w:r w:rsidR="00516EB4">
        <w:rPr>
          <w:rFonts w:eastAsia="Calibri"/>
          <w:lang w:val="en-CA"/>
        </w:rPr>
        <w:t>2</w:t>
      </w:r>
      <w:r w:rsidR="00516EB4" w:rsidRPr="00B52637">
        <w:rPr>
          <w:rFonts w:eastAsia="Calibri"/>
          <w:lang w:val="en-CA"/>
        </w:rPr>
        <w:t xml:space="preserve"> </w:t>
      </w:r>
      <w:r w:rsidRPr="00B52637">
        <w:rPr>
          <w:rFonts w:eastAsia="Calibri"/>
          <w:lang w:val="en-CA"/>
        </w:rPr>
        <w:t>per cent), swimming (24 per cent), and ice hockey (22 per cent)</w:t>
      </w:r>
      <w:r w:rsidR="001B2C50" w:rsidRPr="00B52637">
        <w:rPr>
          <w:rFonts w:eastAsia="Calibri"/>
          <w:lang w:val="en-CA"/>
        </w:rPr>
        <w:t>. Less than 5 per cent of active children participate</w:t>
      </w:r>
      <w:r w:rsidR="000B2C77" w:rsidRPr="00B52637">
        <w:rPr>
          <w:rFonts w:eastAsia="Calibri"/>
          <w:lang w:val="en-CA"/>
        </w:rPr>
        <w:t>d</w:t>
      </w:r>
      <w:r w:rsidR="001B2C50" w:rsidRPr="00B52637">
        <w:rPr>
          <w:rFonts w:eastAsia="Calibri"/>
          <w:lang w:val="en-CA"/>
        </w:rPr>
        <w:t xml:space="preserve"> in downhill skiing</w:t>
      </w:r>
      <w:r w:rsidRPr="00B52637">
        <w:rPr>
          <w:rFonts w:eastAsia="Calibri"/>
          <w:lang w:val="en-CA"/>
        </w:rPr>
        <w:t>.</w:t>
      </w:r>
      <w:r w:rsidRPr="00B52637">
        <w:rPr>
          <w:rStyle w:val="EndnoteReference"/>
          <w:rFonts w:eastAsia="Calibri"/>
          <w:lang w:val="en-CA"/>
        </w:rPr>
        <w:endnoteReference w:id="17"/>
      </w:r>
      <w:r w:rsidRPr="00B52637">
        <w:rPr>
          <w:rFonts w:eastAsia="Calibri"/>
          <w:lang w:val="en-CA"/>
        </w:rPr>
        <w:t xml:space="preserve"> </w:t>
      </w:r>
      <w:r w:rsidR="00ED7566" w:rsidRPr="00B52637">
        <w:rPr>
          <w:rFonts w:eastAsia="Calibri"/>
          <w:lang w:val="en-CA"/>
        </w:rPr>
        <w:t>In addition,</w:t>
      </w:r>
      <w:r w:rsidR="00484122" w:rsidRPr="00B52637">
        <w:rPr>
          <w:rFonts w:eastAsia="Calibri"/>
          <w:lang w:val="en-CA"/>
        </w:rPr>
        <w:t xml:space="preserve"> a</w:t>
      </w:r>
      <w:r w:rsidRPr="00B52637">
        <w:rPr>
          <w:rFonts w:eastAsia="Calibri"/>
          <w:lang w:val="en-CA"/>
        </w:rPr>
        <w:t xml:space="preserve">bout half of all </w:t>
      </w:r>
      <w:r w:rsidR="00ED7566" w:rsidRPr="00B52637">
        <w:rPr>
          <w:rFonts w:eastAsia="Calibri"/>
          <w:lang w:val="en-CA"/>
        </w:rPr>
        <w:t xml:space="preserve">adult </w:t>
      </w:r>
      <w:r w:rsidRPr="00B52637">
        <w:rPr>
          <w:rFonts w:eastAsia="Calibri"/>
          <w:lang w:val="en-CA"/>
        </w:rPr>
        <w:t>Canadians engaged in</w:t>
      </w:r>
      <w:r w:rsidR="00ED7566" w:rsidRPr="00B52637">
        <w:rPr>
          <w:rFonts w:eastAsia="Calibri"/>
          <w:lang w:val="en-CA"/>
        </w:rPr>
        <w:t xml:space="preserve"> active leisure, such as walking</w:t>
      </w:r>
      <w:r w:rsidRPr="00B52637">
        <w:rPr>
          <w:rFonts w:eastAsia="Calibri"/>
          <w:lang w:val="en-CA"/>
        </w:rPr>
        <w:t xml:space="preserve"> and jogging</w:t>
      </w:r>
      <w:r w:rsidR="00ED7566" w:rsidRPr="00B52637">
        <w:rPr>
          <w:rFonts w:eastAsia="Calibri"/>
          <w:lang w:val="en-CA"/>
        </w:rPr>
        <w:t>,</w:t>
      </w:r>
      <w:r w:rsidRPr="00B52637">
        <w:rPr>
          <w:rFonts w:eastAsia="Calibri"/>
          <w:lang w:val="en-CA"/>
        </w:rPr>
        <w:t xml:space="preserve"> as part of their </w:t>
      </w:r>
      <w:r w:rsidR="00ED7566" w:rsidRPr="00B52637">
        <w:rPr>
          <w:rFonts w:eastAsia="Calibri"/>
          <w:lang w:val="en-CA"/>
        </w:rPr>
        <w:t xml:space="preserve">daily </w:t>
      </w:r>
      <w:r w:rsidRPr="00B52637">
        <w:rPr>
          <w:rFonts w:eastAsia="Calibri"/>
          <w:lang w:val="en-CA"/>
        </w:rPr>
        <w:t>activ</w:t>
      </w:r>
      <w:r w:rsidR="00ED7566" w:rsidRPr="00B52637">
        <w:rPr>
          <w:rFonts w:eastAsia="Calibri"/>
          <w:lang w:val="en-CA"/>
        </w:rPr>
        <w:t>ity</w:t>
      </w:r>
      <w:r w:rsidR="00E951F8" w:rsidRPr="00B52637">
        <w:rPr>
          <w:rFonts w:eastAsia="Calibri"/>
          <w:lang w:val="en-CA"/>
        </w:rPr>
        <w:t xml:space="preserve"> </w:t>
      </w:r>
      <w:r w:rsidRPr="00B52637">
        <w:rPr>
          <w:rFonts w:eastAsia="Calibri"/>
          <w:lang w:val="en-CA"/>
        </w:rPr>
        <w:t>(see Exhibit 3).</w:t>
      </w:r>
    </w:p>
    <w:p w14:paraId="3314FFE5" w14:textId="77777777" w:rsidR="00B8750B" w:rsidRPr="00B52637" w:rsidRDefault="00B8750B" w:rsidP="00CB06D6">
      <w:pPr>
        <w:pStyle w:val="BodyTextMain"/>
        <w:rPr>
          <w:rFonts w:eastAsia="Calibri"/>
          <w:lang w:val="en-CA"/>
        </w:rPr>
      </w:pPr>
    </w:p>
    <w:p w14:paraId="00A14BC9" w14:textId="3B1D3DD7" w:rsidR="00B8750B" w:rsidRPr="00B52637" w:rsidRDefault="00B8750B" w:rsidP="00A81397">
      <w:pPr>
        <w:pStyle w:val="BodyTextMain"/>
        <w:rPr>
          <w:rFonts w:eastAsia="Calibri"/>
          <w:lang w:val="en-CA"/>
        </w:rPr>
      </w:pPr>
      <w:r w:rsidRPr="00B52637">
        <w:rPr>
          <w:rFonts w:eastAsia="Calibri"/>
          <w:lang w:val="en-CA"/>
        </w:rPr>
        <w:t>A different survey suggested Canada’s overall ski participation rate was around 12 per cent in 2019</w:t>
      </w:r>
      <w:r w:rsidR="00461EFD" w:rsidRPr="00B52637">
        <w:rPr>
          <w:rStyle w:val="EndnoteReference"/>
          <w:rFonts w:eastAsia="Calibri"/>
          <w:lang w:val="en-CA"/>
        </w:rPr>
        <w:endnoteReference w:id="18"/>
      </w:r>
      <w:r w:rsidR="00A81397" w:rsidRPr="00B52637">
        <w:rPr>
          <w:rFonts w:eastAsia="Calibri"/>
          <w:lang w:val="en-CA"/>
        </w:rPr>
        <w:t xml:space="preserve"> and would likely increase due to efforts by the </w:t>
      </w:r>
      <w:r w:rsidR="000B2C77" w:rsidRPr="00B52637">
        <w:rPr>
          <w:rFonts w:eastAsia="Calibri"/>
          <w:lang w:val="en-CA"/>
        </w:rPr>
        <w:t xml:space="preserve">Canadian ski industry </w:t>
      </w:r>
      <w:r w:rsidR="00A81397" w:rsidRPr="00B52637">
        <w:rPr>
          <w:rFonts w:eastAsia="Calibri"/>
          <w:lang w:val="en-CA"/>
        </w:rPr>
        <w:t xml:space="preserve">and Canadian government to promote skiing </w:t>
      </w:r>
      <w:r w:rsidR="0049048F" w:rsidRPr="00B52637">
        <w:rPr>
          <w:rFonts w:eastAsia="Calibri"/>
          <w:lang w:val="en-CA"/>
        </w:rPr>
        <w:t>to</w:t>
      </w:r>
      <w:r w:rsidRPr="00B52637">
        <w:rPr>
          <w:rFonts w:eastAsia="Calibri"/>
          <w:lang w:val="en-CA"/>
        </w:rPr>
        <w:t xml:space="preserve"> </w:t>
      </w:r>
      <w:r w:rsidR="00DE1ED0" w:rsidRPr="00B52637">
        <w:rPr>
          <w:rFonts w:eastAsia="Calibri"/>
          <w:lang w:val="en-CA"/>
        </w:rPr>
        <w:t xml:space="preserve">kids, </w:t>
      </w:r>
      <w:r w:rsidR="00A81397" w:rsidRPr="00B52637">
        <w:rPr>
          <w:rFonts w:eastAsia="Calibri"/>
          <w:lang w:val="en-CA"/>
        </w:rPr>
        <w:t xml:space="preserve">and </w:t>
      </w:r>
      <w:r w:rsidR="00E61F02" w:rsidRPr="00B52637">
        <w:rPr>
          <w:rFonts w:eastAsia="Calibri"/>
          <w:lang w:val="en-CA"/>
        </w:rPr>
        <w:t xml:space="preserve">to </w:t>
      </w:r>
      <w:r w:rsidR="00A81397" w:rsidRPr="00B52637">
        <w:rPr>
          <w:rFonts w:eastAsia="Calibri"/>
          <w:lang w:val="en-CA"/>
        </w:rPr>
        <w:t xml:space="preserve">Canada’s increasingly </w:t>
      </w:r>
      <w:r w:rsidRPr="00B52637">
        <w:rPr>
          <w:rFonts w:eastAsia="Calibri"/>
          <w:lang w:val="en-CA"/>
        </w:rPr>
        <w:t>urban</w:t>
      </w:r>
      <w:r w:rsidR="00E61F02" w:rsidRPr="00B52637">
        <w:rPr>
          <w:rFonts w:eastAsia="Calibri"/>
          <w:lang w:val="en-CA"/>
        </w:rPr>
        <w:t xml:space="preserve"> </w:t>
      </w:r>
      <w:r w:rsidRPr="00B52637">
        <w:rPr>
          <w:rFonts w:eastAsia="Calibri"/>
          <w:lang w:val="en-CA"/>
        </w:rPr>
        <w:t>and multicultural populations.</w:t>
      </w:r>
      <w:r w:rsidR="00DE1ED0" w:rsidRPr="00B52637">
        <w:rPr>
          <w:rStyle w:val="EndnoteReference"/>
          <w:rFonts w:eastAsia="Calibri"/>
          <w:lang w:val="en-CA"/>
        </w:rPr>
        <w:endnoteReference w:id="19"/>
      </w:r>
      <w:r w:rsidRPr="00B52637">
        <w:rPr>
          <w:rFonts w:eastAsia="Calibri"/>
          <w:lang w:val="en-CA"/>
        </w:rPr>
        <w:t xml:space="preserve"> However, even at this higher rate, the absolute numbers of skiers was lower in Canada than in many countries (see Exhibit 4).</w:t>
      </w:r>
    </w:p>
    <w:p w14:paraId="46E4FCE4" w14:textId="3939FEBE" w:rsidR="00B8750B" w:rsidRPr="00B52637" w:rsidRDefault="00B8750B" w:rsidP="00CB06D6">
      <w:pPr>
        <w:pStyle w:val="BodyTextMain"/>
        <w:rPr>
          <w:rFonts w:eastAsia="Calibri"/>
          <w:u w:val="single"/>
          <w:lang w:val="en-CA"/>
        </w:rPr>
      </w:pPr>
    </w:p>
    <w:p w14:paraId="00EE817D" w14:textId="77777777" w:rsidR="00B8750B" w:rsidRPr="00B52637" w:rsidRDefault="00B8750B" w:rsidP="00CB06D6">
      <w:pPr>
        <w:pStyle w:val="BodyTextMain"/>
        <w:rPr>
          <w:rFonts w:eastAsia="Calibri"/>
          <w:u w:val="single"/>
          <w:lang w:val="en-CA"/>
        </w:rPr>
      </w:pPr>
    </w:p>
    <w:p w14:paraId="59C68A60" w14:textId="77777777" w:rsidR="00B8750B" w:rsidRPr="00B52637" w:rsidRDefault="00B8750B" w:rsidP="00CB06D6">
      <w:pPr>
        <w:pStyle w:val="Casehead1"/>
        <w:rPr>
          <w:rFonts w:eastAsia="Calibri"/>
          <w:lang w:val="en-CA"/>
        </w:rPr>
      </w:pPr>
      <w:r w:rsidRPr="00B52637">
        <w:rPr>
          <w:rFonts w:eastAsia="Calibri"/>
          <w:lang w:val="en-CA"/>
        </w:rPr>
        <w:t>Sporting Goods Market</w:t>
      </w:r>
    </w:p>
    <w:p w14:paraId="30B7581F" w14:textId="77777777" w:rsidR="00B8750B" w:rsidRPr="00B52637" w:rsidRDefault="00B8750B" w:rsidP="002C18FF">
      <w:pPr>
        <w:pStyle w:val="BodyTextMain"/>
        <w:rPr>
          <w:rFonts w:eastAsia="Calibri"/>
          <w:lang w:val="en-CA"/>
        </w:rPr>
      </w:pPr>
    </w:p>
    <w:p w14:paraId="04BC6F89" w14:textId="184A5356" w:rsidR="00B8750B" w:rsidRPr="00B52637" w:rsidRDefault="00B8750B" w:rsidP="00CB06D6">
      <w:pPr>
        <w:pStyle w:val="BodyTextMain"/>
        <w:rPr>
          <w:rFonts w:eastAsia="Calibri"/>
          <w:lang w:val="en-CA"/>
        </w:rPr>
      </w:pPr>
      <w:r w:rsidRPr="00B52637">
        <w:rPr>
          <w:rFonts w:eastAsia="Calibri"/>
          <w:lang w:val="en-CA"/>
        </w:rPr>
        <w:t>In 2019, 4,374 Canad</w:t>
      </w:r>
      <w:r w:rsidR="00E61F02" w:rsidRPr="00B52637">
        <w:rPr>
          <w:rFonts w:eastAsia="Calibri"/>
          <w:lang w:val="en-CA"/>
        </w:rPr>
        <w:t>i</w:t>
      </w:r>
      <w:r w:rsidRPr="00B52637">
        <w:rPr>
          <w:rFonts w:eastAsia="Calibri"/>
          <w:lang w:val="en-CA"/>
        </w:rPr>
        <w:t>a</w:t>
      </w:r>
      <w:r w:rsidR="00E61F02" w:rsidRPr="00B52637">
        <w:rPr>
          <w:rFonts w:eastAsia="Calibri"/>
          <w:lang w:val="en-CA"/>
        </w:rPr>
        <w:t>n</w:t>
      </w:r>
      <w:r w:rsidRPr="00B52637">
        <w:rPr>
          <w:rFonts w:eastAsia="Calibri"/>
          <w:lang w:val="en-CA"/>
        </w:rPr>
        <w:t xml:space="preserve"> sporting goods retailers (excluding e-tailers) shared</w:t>
      </w:r>
      <w:r w:rsidRPr="00B52637">
        <w:rPr>
          <w:rFonts w:eastAsia="Calibri"/>
          <w:bCs/>
          <w:lang w:val="en-CA"/>
        </w:rPr>
        <w:t xml:space="preserve"> CA</w:t>
      </w:r>
      <w:r w:rsidRPr="00B52637">
        <w:rPr>
          <w:rFonts w:eastAsia="Calibri"/>
          <w:lang w:val="en-CA"/>
        </w:rPr>
        <w:t>$6.7 billion</w:t>
      </w:r>
      <w:r w:rsidRPr="00B52637">
        <w:rPr>
          <w:rStyle w:val="EndnoteReference"/>
          <w:rFonts w:eastAsia="Calibri"/>
          <w:lang w:val="en-CA"/>
        </w:rPr>
        <w:endnoteReference w:id="20"/>
      </w:r>
      <w:r w:rsidRPr="00B52637">
        <w:rPr>
          <w:rFonts w:eastAsia="Calibri"/>
          <w:lang w:val="en-CA"/>
        </w:rPr>
        <w:t xml:space="preserve"> in revenues, 19.1 per cent of which was for athletic clothing and apparel</w:t>
      </w:r>
      <w:r w:rsidR="00DA28AC" w:rsidRPr="00B52637">
        <w:rPr>
          <w:rFonts w:eastAsia="Calibri"/>
          <w:lang w:val="en-CA"/>
        </w:rPr>
        <w:t xml:space="preserve">. </w:t>
      </w:r>
      <w:r w:rsidR="00C06994" w:rsidRPr="00B52637">
        <w:rPr>
          <w:rFonts w:eastAsia="Calibri"/>
          <w:lang w:val="en-CA"/>
        </w:rPr>
        <w:t xml:space="preserve">Brick-and-mortar sporting goods stores accounted for 65.9 </w:t>
      </w:r>
      <w:r w:rsidR="00E61F02" w:rsidRPr="00B52637">
        <w:rPr>
          <w:rFonts w:eastAsia="Calibri"/>
          <w:lang w:val="en-CA"/>
        </w:rPr>
        <w:t>per cent</w:t>
      </w:r>
      <w:r w:rsidR="00C06994" w:rsidRPr="00B52637">
        <w:rPr>
          <w:rFonts w:eastAsia="Calibri"/>
          <w:lang w:val="en-CA"/>
        </w:rPr>
        <w:t xml:space="preserve"> of industry sales.</w:t>
      </w:r>
      <w:r w:rsidR="00C06994" w:rsidRPr="00B52637" w:rsidDel="00C06994">
        <w:rPr>
          <w:rFonts w:eastAsia="Calibri"/>
          <w:lang w:val="en-CA"/>
        </w:rPr>
        <w:t xml:space="preserve"> </w:t>
      </w:r>
      <w:r w:rsidRPr="00B52637">
        <w:rPr>
          <w:rFonts w:eastAsia="Calibri"/>
          <w:lang w:val="en-CA"/>
        </w:rPr>
        <w:t xml:space="preserve">Annual industry growth averaged 3.1 per cent from 2014 to 2019 and was predicted to grow around 1.9 per cent annually over the next five years. </w:t>
      </w:r>
      <w:r w:rsidRPr="00162B6E">
        <w:rPr>
          <w:rFonts w:eastAsia="Calibri"/>
          <w:lang w:val="en-CA"/>
        </w:rPr>
        <w:t xml:space="preserve">Average net margin for </w:t>
      </w:r>
      <w:r w:rsidRPr="00162B6E">
        <w:rPr>
          <w:rFonts w:eastAsia="Calibri"/>
          <w:lang w:val="en-CA"/>
        </w:rPr>
        <w:t xml:space="preserve">retailers was </w:t>
      </w:r>
      <w:r w:rsidR="00162B6E" w:rsidRPr="002A1346">
        <w:rPr>
          <w:rFonts w:eastAsia="Calibri"/>
          <w:lang w:val="en-CA"/>
        </w:rPr>
        <w:t>4.5</w:t>
      </w:r>
      <w:r w:rsidRPr="00162B6E">
        <w:rPr>
          <w:rFonts w:eastAsia="Calibri"/>
          <w:lang w:val="en-CA"/>
        </w:rPr>
        <w:t xml:space="preserve"> per cent.</w:t>
      </w:r>
      <w:r w:rsidRPr="00162B6E">
        <w:rPr>
          <w:rStyle w:val="EndnoteReference"/>
          <w:rFonts w:eastAsia="Calibri"/>
          <w:lang w:val="en-CA"/>
        </w:rPr>
        <w:endnoteReference w:id="21"/>
      </w:r>
    </w:p>
    <w:p w14:paraId="4C0F9F2E" w14:textId="77777777" w:rsidR="00B8750B" w:rsidRPr="00B52637" w:rsidRDefault="00B8750B" w:rsidP="00CB06D6">
      <w:pPr>
        <w:pStyle w:val="BodyTextMain"/>
        <w:rPr>
          <w:rFonts w:eastAsia="Calibri"/>
          <w:lang w:val="en-CA"/>
        </w:rPr>
      </w:pPr>
    </w:p>
    <w:p w14:paraId="0E5A7B56" w14:textId="79C65DA2" w:rsidR="00B8750B" w:rsidRPr="00B52637" w:rsidRDefault="00B8750B" w:rsidP="00CB06D6">
      <w:pPr>
        <w:pStyle w:val="BodyTextMain"/>
        <w:rPr>
          <w:rFonts w:eastAsia="Calibri"/>
          <w:lang w:val="en-CA"/>
        </w:rPr>
      </w:pPr>
      <w:r w:rsidRPr="00B52637">
        <w:rPr>
          <w:rFonts w:eastAsia="Calibri"/>
          <w:lang w:val="en-CA"/>
        </w:rPr>
        <w:t xml:space="preserve">Canadian Tire held 31.4 per cent market share, which included markets captured by the company’s various subsidiary store banners: Canadian Tire, </w:t>
      </w:r>
      <w:proofErr w:type="spellStart"/>
      <w:r w:rsidRPr="00B52637">
        <w:rPr>
          <w:rFonts w:eastAsia="Calibri"/>
          <w:lang w:val="en-CA"/>
        </w:rPr>
        <w:t>SportChek</w:t>
      </w:r>
      <w:proofErr w:type="spellEnd"/>
      <w:r w:rsidRPr="00B52637">
        <w:rPr>
          <w:rFonts w:eastAsia="Calibri"/>
          <w:lang w:val="en-CA"/>
        </w:rPr>
        <w:t xml:space="preserve">, Sports Experts, Atmosphere, and Pro Hockey Life, </w:t>
      </w:r>
      <w:r w:rsidRPr="00B52637">
        <w:rPr>
          <w:rFonts w:eastAsia="Calibri"/>
          <w:lang w:val="en-CA"/>
        </w:rPr>
        <w:lastRenderedPageBreak/>
        <w:t>among others. Sporting Life Inc., with 12 stores, had 0.5 per cent of the market. While there were some smaller multi-store retailers—for example, Quebec-based SAIL Outdoors Inc. with 12 retail locations</w:t>
      </w:r>
      <w:r w:rsidRPr="00B52637">
        <w:rPr>
          <w:rStyle w:val="EndnoteReference"/>
          <w:rFonts w:eastAsia="Calibri"/>
          <w:lang w:val="en-CA"/>
        </w:rPr>
        <w:endnoteReference w:id="22"/>
      </w:r>
      <w:r w:rsidRPr="00B52637">
        <w:rPr>
          <w:rFonts w:eastAsia="Calibri"/>
          <w:lang w:val="en-CA"/>
        </w:rPr>
        <w:t xml:space="preserve"> and MEC with 21 locations</w:t>
      </w:r>
      <w:r w:rsidRPr="00B52637">
        <w:rPr>
          <w:rStyle w:val="EndnoteReference"/>
          <w:rFonts w:eastAsia="Calibri"/>
          <w:lang w:val="en-CA"/>
        </w:rPr>
        <w:endnoteReference w:id="23"/>
      </w:r>
      <w:r w:rsidRPr="00B52637">
        <w:rPr>
          <w:rFonts w:eastAsia="Calibri"/>
          <w:lang w:val="en-CA"/>
        </w:rPr>
        <w:t>—most brick-and-mortar retailers had only one or a few locations and often specialized in a particular sport</w:t>
      </w:r>
      <w:r w:rsidR="00E61F02" w:rsidRPr="00B52637">
        <w:rPr>
          <w:rFonts w:eastAsia="Calibri"/>
          <w:lang w:val="en-CA"/>
        </w:rPr>
        <w:t xml:space="preserve">; </w:t>
      </w:r>
      <w:r w:rsidRPr="00B52637">
        <w:rPr>
          <w:rFonts w:eastAsia="Calibri"/>
          <w:lang w:val="en-CA"/>
        </w:rPr>
        <w:t>for example, Montreal’s Austrian Ski Shop.</w:t>
      </w:r>
      <w:r w:rsidRPr="00B52637">
        <w:rPr>
          <w:rStyle w:val="EndnoteReference"/>
          <w:rFonts w:eastAsia="Calibri"/>
          <w:lang w:val="en-CA"/>
        </w:rPr>
        <w:endnoteReference w:id="24"/>
      </w:r>
      <w:r w:rsidRPr="00B52637">
        <w:rPr>
          <w:rFonts w:eastAsia="Calibri"/>
          <w:iCs/>
          <w:lang w:val="en-CA"/>
        </w:rPr>
        <w:t xml:space="preserve"> </w:t>
      </w:r>
      <w:r w:rsidRPr="00B52637">
        <w:rPr>
          <w:rFonts w:eastAsia="Calibri"/>
          <w:lang w:val="en-CA"/>
        </w:rPr>
        <w:t>This fragmentation highlighted the importance of brand recognition and loyalty.</w:t>
      </w:r>
      <w:r w:rsidRPr="00B52637">
        <w:rPr>
          <w:rStyle w:val="EndnoteReference"/>
          <w:rFonts w:eastAsia="Calibri"/>
          <w:lang w:val="en-CA"/>
        </w:rPr>
        <w:endnoteReference w:id="25"/>
      </w:r>
    </w:p>
    <w:p w14:paraId="0B829C19" w14:textId="77777777" w:rsidR="00B8750B" w:rsidRPr="00B52637" w:rsidRDefault="00B8750B" w:rsidP="00CB06D6">
      <w:pPr>
        <w:pStyle w:val="BodyTextMain"/>
        <w:rPr>
          <w:rFonts w:eastAsia="Calibri"/>
          <w:lang w:val="en-CA"/>
        </w:rPr>
      </w:pPr>
    </w:p>
    <w:p w14:paraId="14E808A9" w14:textId="349419B2" w:rsidR="00B8750B" w:rsidRPr="00B52637" w:rsidRDefault="00B8750B" w:rsidP="00CB06D6">
      <w:pPr>
        <w:pStyle w:val="BodyTextMain"/>
        <w:rPr>
          <w:rFonts w:eastAsia="Calibri"/>
          <w:lang w:val="en-CA"/>
        </w:rPr>
      </w:pPr>
      <w:r w:rsidRPr="00B52637">
        <w:rPr>
          <w:rFonts w:eastAsia="Calibri"/>
          <w:lang w:val="en-CA"/>
        </w:rPr>
        <w:t>Some retailers developed their own brands to sell alongside other products. About 50 per cent of MEC’s sales were MEC products.</w:t>
      </w:r>
      <w:r w:rsidRPr="00B52637">
        <w:rPr>
          <w:rStyle w:val="EndnoteReference"/>
          <w:rFonts w:eastAsia="Calibri"/>
          <w:lang w:val="en-CA"/>
        </w:rPr>
        <w:endnoteReference w:id="26"/>
      </w:r>
      <w:r w:rsidRPr="00B52637">
        <w:rPr>
          <w:rFonts w:eastAsia="Calibri"/>
          <w:lang w:val="en-CA"/>
        </w:rPr>
        <w:t xml:space="preserve"> Canadian Tire created the brands Woods, Outbound, and Frank, which were only available at Canadian Tire.</w:t>
      </w:r>
      <w:r w:rsidRPr="00B52637">
        <w:rPr>
          <w:rStyle w:val="EndnoteReference"/>
          <w:rFonts w:eastAsia="Calibri"/>
          <w:lang w:val="en-CA"/>
        </w:rPr>
        <w:endnoteReference w:id="27"/>
      </w:r>
      <w:r w:rsidRPr="00B52637">
        <w:rPr>
          <w:rFonts w:eastAsia="Calibri"/>
          <w:lang w:val="en-CA"/>
        </w:rPr>
        <w:t xml:space="preserve"> Competitive private label brands were one way that retailers could compete against the increasing power of mass merchandizers and e-tailers, which held 19.0 per cent and 15.1 per cent of the retail market</w:t>
      </w:r>
      <w:r w:rsidR="00E61F02" w:rsidRPr="00B52637">
        <w:rPr>
          <w:rFonts w:eastAsia="Calibri"/>
          <w:lang w:val="en-CA"/>
        </w:rPr>
        <w:t>,</w:t>
      </w:r>
      <w:r w:rsidRPr="00B52637">
        <w:rPr>
          <w:rFonts w:eastAsia="Calibri"/>
          <w:lang w:val="en-CA"/>
        </w:rPr>
        <w:t xml:space="preserve"> respectively</w:t>
      </w:r>
      <w:r w:rsidR="00E61F02" w:rsidRPr="00B52637">
        <w:rPr>
          <w:rFonts w:eastAsia="Calibri"/>
          <w:lang w:val="en-CA"/>
        </w:rPr>
        <w:t>,</w:t>
      </w:r>
      <w:r w:rsidRPr="00B52637">
        <w:rPr>
          <w:rFonts w:eastAsia="Calibri"/>
          <w:lang w:val="en-CA"/>
        </w:rPr>
        <w:t xml:space="preserve"> and were likely to grow.</w:t>
      </w:r>
      <w:r w:rsidRPr="00B52637">
        <w:rPr>
          <w:rStyle w:val="EndnoteReference"/>
          <w:rFonts w:eastAsia="Calibri"/>
          <w:lang w:val="en-CA"/>
        </w:rPr>
        <w:endnoteReference w:id="28"/>
      </w:r>
    </w:p>
    <w:p w14:paraId="24A0EA87" w14:textId="77777777" w:rsidR="00B8750B" w:rsidRPr="00B52637" w:rsidRDefault="00B8750B" w:rsidP="00CB06D6">
      <w:pPr>
        <w:pStyle w:val="BodyTextMain"/>
        <w:rPr>
          <w:rFonts w:eastAsia="Calibri"/>
          <w:lang w:val="en-CA"/>
        </w:rPr>
      </w:pPr>
    </w:p>
    <w:p w14:paraId="4C51FA2F" w14:textId="7A800E56" w:rsidR="00B8750B" w:rsidRPr="00B52637" w:rsidRDefault="00A01D98" w:rsidP="00CB06D6">
      <w:pPr>
        <w:pStyle w:val="BodyTextMain"/>
        <w:rPr>
          <w:rFonts w:eastAsia="Calibri"/>
          <w:lang w:val="en-CA"/>
        </w:rPr>
      </w:pPr>
      <w:r>
        <w:rPr>
          <w:rFonts w:eastAsia="Calibri"/>
          <w:lang w:val="en-CA"/>
        </w:rPr>
        <w:t xml:space="preserve">In 2019, </w:t>
      </w:r>
      <w:r w:rsidR="00B8750B" w:rsidRPr="00B52637">
        <w:rPr>
          <w:rFonts w:eastAsia="Calibri"/>
          <w:lang w:val="en-CA"/>
        </w:rPr>
        <w:t xml:space="preserve">Canadian sporting equipment wholesaler revenues </w:t>
      </w:r>
      <w:r w:rsidR="00B8750B" w:rsidRPr="00162B6E">
        <w:rPr>
          <w:rFonts w:eastAsia="Calibri"/>
          <w:lang w:val="en-CA"/>
        </w:rPr>
        <w:t xml:space="preserve">were $3.9 billion with an average net margin of </w:t>
      </w:r>
      <w:r w:rsidR="00162B6E">
        <w:rPr>
          <w:rFonts w:eastAsia="Calibri"/>
          <w:lang w:val="en-CA"/>
        </w:rPr>
        <w:t>3.7</w:t>
      </w:r>
      <w:r w:rsidR="00B8750B" w:rsidRPr="00162B6E">
        <w:rPr>
          <w:rFonts w:eastAsia="Calibri"/>
          <w:lang w:val="en-CA"/>
        </w:rPr>
        <w:t xml:space="preserve"> per cent.</w:t>
      </w:r>
      <w:r w:rsidR="00B96CF0">
        <w:rPr>
          <w:rStyle w:val="EndnoteReference"/>
          <w:rFonts w:eastAsia="Calibri"/>
          <w:lang w:val="en-CA"/>
        </w:rPr>
        <w:endnoteReference w:id="29"/>
      </w:r>
      <w:r w:rsidR="00B8750B" w:rsidRPr="00162B6E">
        <w:rPr>
          <w:rFonts w:eastAsia="Calibri"/>
          <w:lang w:val="en-CA"/>
        </w:rPr>
        <w:t xml:space="preserve"> </w:t>
      </w:r>
      <w:r w:rsidR="00B8750B" w:rsidRPr="00B52637">
        <w:rPr>
          <w:rFonts w:eastAsia="Calibri"/>
          <w:lang w:val="en-CA"/>
        </w:rPr>
        <w:t>Although revenue growth was slow due to low</w:t>
      </w:r>
      <w:r w:rsidR="00E61F02" w:rsidRPr="00B52637">
        <w:rPr>
          <w:rFonts w:eastAsia="Calibri"/>
          <w:lang w:val="en-CA"/>
        </w:rPr>
        <w:t>-</w:t>
      </w:r>
      <w:r w:rsidR="00B8750B" w:rsidRPr="00B52637">
        <w:rPr>
          <w:rFonts w:eastAsia="Calibri"/>
          <w:lang w:val="en-CA"/>
        </w:rPr>
        <w:t>price, high</w:t>
      </w:r>
      <w:r w:rsidR="00E61F02" w:rsidRPr="00B52637">
        <w:rPr>
          <w:rFonts w:eastAsia="Calibri"/>
          <w:lang w:val="en-CA"/>
        </w:rPr>
        <w:t>-</w:t>
      </w:r>
      <w:r w:rsidR="00B8750B" w:rsidRPr="00B52637">
        <w:rPr>
          <w:rFonts w:eastAsia="Calibri"/>
          <w:lang w:val="en-CA"/>
        </w:rPr>
        <w:t>volume supply contracts, demand was expected to increase in line with retail growth, which also included the possibility of manufacturing products under retailers’ private label brands.</w:t>
      </w:r>
    </w:p>
    <w:p w14:paraId="7FF7BF4D" w14:textId="2B5ED751" w:rsidR="00B8750B" w:rsidRPr="00B52637" w:rsidRDefault="00B8750B" w:rsidP="00CB06D6">
      <w:pPr>
        <w:pStyle w:val="BodyTextMain"/>
        <w:rPr>
          <w:rFonts w:eastAsia="Calibri"/>
          <w:lang w:val="en-CA"/>
        </w:rPr>
      </w:pPr>
    </w:p>
    <w:p w14:paraId="7076FE69" w14:textId="77777777" w:rsidR="00B8750B" w:rsidRPr="00B52637" w:rsidRDefault="00B8750B" w:rsidP="00CB06D6">
      <w:pPr>
        <w:pStyle w:val="BodyTextMain"/>
        <w:rPr>
          <w:rFonts w:eastAsia="Calibri"/>
          <w:lang w:val="en-CA"/>
        </w:rPr>
      </w:pPr>
    </w:p>
    <w:p w14:paraId="5E72F232" w14:textId="4310093A" w:rsidR="00B8750B" w:rsidRPr="00B52637" w:rsidRDefault="00B8750B" w:rsidP="00CB06D6">
      <w:pPr>
        <w:pStyle w:val="Casehead2"/>
        <w:rPr>
          <w:rFonts w:eastAsia="Calibri"/>
          <w:lang w:val="en-CA"/>
        </w:rPr>
      </w:pPr>
      <w:r w:rsidRPr="00B52637">
        <w:rPr>
          <w:rFonts w:eastAsia="Calibri"/>
          <w:lang w:val="en-CA"/>
        </w:rPr>
        <w:t>E-Commerce</w:t>
      </w:r>
    </w:p>
    <w:p w14:paraId="1526D3E5" w14:textId="77777777" w:rsidR="00B8750B" w:rsidRPr="00B52637" w:rsidRDefault="00B8750B" w:rsidP="002C18FF">
      <w:pPr>
        <w:pStyle w:val="BodyTextMain"/>
        <w:rPr>
          <w:rFonts w:eastAsia="Calibri"/>
          <w:lang w:val="en-CA"/>
        </w:rPr>
      </w:pPr>
    </w:p>
    <w:p w14:paraId="7AC24080" w14:textId="73C2770F" w:rsidR="00B8750B" w:rsidRPr="00057EB6" w:rsidRDefault="00B8750B" w:rsidP="00CB06D6">
      <w:pPr>
        <w:pStyle w:val="BodyTextMain"/>
        <w:rPr>
          <w:rFonts w:eastAsia="Calibri"/>
          <w:spacing w:val="-2"/>
          <w:lang w:val="en-CA"/>
        </w:rPr>
      </w:pPr>
      <w:r w:rsidRPr="00057EB6">
        <w:rPr>
          <w:rFonts w:eastAsia="Calibri"/>
          <w:spacing w:val="-2"/>
          <w:lang w:val="en-CA"/>
        </w:rPr>
        <w:t xml:space="preserve">Wholesalers and retailers both created </w:t>
      </w:r>
      <w:r w:rsidR="00D41F0C" w:rsidRPr="00057EB6">
        <w:rPr>
          <w:rFonts w:eastAsia="Calibri"/>
          <w:spacing w:val="-2"/>
          <w:lang w:val="en-CA"/>
        </w:rPr>
        <w:t xml:space="preserve">an </w:t>
      </w:r>
      <w:r w:rsidRPr="00057EB6">
        <w:rPr>
          <w:rFonts w:eastAsia="Calibri"/>
          <w:spacing w:val="-2"/>
          <w:lang w:val="en-CA"/>
        </w:rPr>
        <w:t xml:space="preserve">online presence to compete with e-tailers. </w:t>
      </w:r>
      <w:r w:rsidR="00A81397" w:rsidRPr="00057EB6">
        <w:rPr>
          <w:rFonts w:eastAsia="Calibri"/>
          <w:spacing w:val="-2"/>
          <w:lang w:val="en-CA"/>
        </w:rPr>
        <w:t>For w</w:t>
      </w:r>
      <w:r w:rsidRPr="00057EB6">
        <w:rPr>
          <w:rFonts w:eastAsia="Calibri"/>
          <w:spacing w:val="-2"/>
          <w:lang w:val="en-CA"/>
        </w:rPr>
        <w:t>holesalers</w:t>
      </w:r>
      <w:r w:rsidR="00A81397" w:rsidRPr="00057EB6">
        <w:rPr>
          <w:rFonts w:eastAsia="Calibri"/>
          <w:spacing w:val="-2"/>
          <w:lang w:val="en-CA"/>
        </w:rPr>
        <w:t xml:space="preserve">, this offered direct customer interactions and </w:t>
      </w:r>
      <w:r w:rsidRPr="00057EB6">
        <w:rPr>
          <w:rFonts w:eastAsia="Calibri"/>
          <w:spacing w:val="-2"/>
          <w:lang w:val="en-CA"/>
        </w:rPr>
        <w:t xml:space="preserve">increased margins by bypassing retailers. However, retailers and e-tailers </w:t>
      </w:r>
      <w:r w:rsidR="001B686B" w:rsidRPr="00057EB6">
        <w:rPr>
          <w:rFonts w:eastAsia="Calibri"/>
          <w:spacing w:val="-2"/>
          <w:lang w:val="en-CA"/>
        </w:rPr>
        <w:t xml:space="preserve">could </w:t>
      </w:r>
      <w:r w:rsidR="00A81397" w:rsidRPr="00057EB6">
        <w:rPr>
          <w:rFonts w:eastAsia="Calibri"/>
          <w:spacing w:val="-2"/>
          <w:lang w:val="en-CA"/>
        </w:rPr>
        <w:t xml:space="preserve">offer </w:t>
      </w:r>
      <w:r w:rsidRPr="00057EB6">
        <w:rPr>
          <w:rFonts w:eastAsia="Calibri"/>
          <w:spacing w:val="-2"/>
          <w:lang w:val="en-CA"/>
        </w:rPr>
        <w:t xml:space="preserve">greater shopping ease as </w:t>
      </w:r>
      <w:r w:rsidR="001B686B" w:rsidRPr="00057EB6">
        <w:rPr>
          <w:rFonts w:eastAsia="Calibri"/>
          <w:spacing w:val="-2"/>
          <w:lang w:val="en-CA"/>
        </w:rPr>
        <w:t xml:space="preserve">by providing customers </w:t>
      </w:r>
      <w:r w:rsidRPr="00057EB6">
        <w:rPr>
          <w:rFonts w:eastAsia="Calibri"/>
          <w:spacing w:val="-2"/>
          <w:lang w:val="en-CA"/>
        </w:rPr>
        <w:t xml:space="preserve">a single </w:t>
      </w:r>
      <w:r w:rsidR="001B686B" w:rsidRPr="00057EB6">
        <w:rPr>
          <w:rFonts w:eastAsia="Calibri"/>
          <w:spacing w:val="-2"/>
          <w:lang w:val="en-CA"/>
        </w:rPr>
        <w:t xml:space="preserve">sales point for </w:t>
      </w:r>
      <w:r w:rsidRPr="00057EB6">
        <w:rPr>
          <w:rFonts w:eastAsia="Calibri"/>
          <w:spacing w:val="-2"/>
          <w:lang w:val="en-CA"/>
        </w:rPr>
        <w:t>multiple brands</w:t>
      </w:r>
      <w:r w:rsidR="00D41F0C" w:rsidRPr="00057EB6">
        <w:rPr>
          <w:rFonts w:eastAsia="Calibri"/>
          <w:spacing w:val="-2"/>
          <w:lang w:val="en-CA"/>
        </w:rPr>
        <w:t>,</w:t>
      </w:r>
      <w:r w:rsidR="001B686B" w:rsidRPr="00057EB6">
        <w:rPr>
          <w:rFonts w:eastAsia="Calibri"/>
          <w:spacing w:val="-2"/>
          <w:lang w:val="en-CA"/>
        </w:rPr>
        <w:t xml:space="preserve"> </w:t>
      </w:r>
      <w:r w:rsidRPr="00057EB6">
        <w:rPr>
          <w:rFonts w:eastAsia="Calibri"/>
          <w:spacing w:val="-2"/>
          <w:lang w:val="en-CA"/>
        </w:rPr>
        <w:t>and</w:t>
      </w:r>
      <w:r w:rsidR="005E3260" w:rsidRPr="00057EB6">
        <w:rPr>
          <w:rFonts w:eastAsia="Calibri"/>
          <w:spacing w:val="-2"/>
          <w:lang w:val="en-CA"/>
        </w:rPr>
        <w:t xml:space="preserve"> due to </w:t>
      </w:r>
      <w:r w:rsidR="001B686B" w:rsidRPr="00057EB6">
        <w:rPr>
          <w:rFonts w:eastAsia="Calibri"/>
          <w:spacing w:val="-2"/>
          <w:lang w:val="en-CA"/>
        </w:rPr>
        <w:t xml:space="preserve">higher customer </w:t>
      </w:r>
      <w:r w:rsidR="005E3260" w:rsidRPr="00057EB6">
        <w:rPr>
          <w:rFonts w:eastAsia="Calibri"/>
          <w:spacing w:val="-2"/>
          <w:lang w:val="en-CA"/>
        </w:rPr>
        <w:t>volumes</w:t>
      </w:r>
      <w:r w:rsidR="001B686B" w:rsidRPr="00057EB6">
        <w:rPr>
          <w:rFonts w:eastAsia="Calibri"/>
          <w:spacing w:val="-2"/>
          <w:lang w:val="en-CA"/>
        </w:rPr>
        <w:t>,</w:t>
      </w:r>
      <w:r w:rsidRPr="00057EB6">
        <w:rPr>
          <w:rFonts w:eastAsia="Calibri"/>
          <w:spacing w:val="-2"/>
          <w:lang w:val="en-CA"/>
        </w:rPr>
        <w:t xml:space="preserve"> </w:t>
      </w:r>
      <w:r w:rsidR="00D41F0C" w:rsidRPr="00057EB6">
        <w:rPr>
          <w:rFonts w:eastAsia="Calibri"/>
          <w:spacing w:val="-2"/>
          <w:lang w:val="en-CA"/>
        </w:rPr>
        <w:t xml:space="preserve">they </w:t>
      </w:r>
      <w:r w:rsidRPr="00057EB6">
        <w:rPr>
          <w:rFonts w:eastAsia="Calibri"/>
          <w:spacing w:val="-2"/>
          <w:lang w:val="en-CA"/>
        </w:rPr>
        <w:t>could sell the same products at a discount</w:t>
      </w:r>
      <w:r w:rsidR="00A01D98">
        <w:rPr>
          <w:rFonts w:eastAsia="Calibri"/>
          <w:spacing w:val="-2"/>
          <w:lang w:val="en-CA"/>
        </w:rPr>
        <w:t>ed price</w:t>
      </w:r>
      <w:r w:rsidRPr="00057EB6">
        <w:rPr>
          <w:rFonts w:eastAsia="Calibri"/>
          <w:spacing w:val="-2"/>
          <w:lang w:val="en-CA"/>
        </w:rPr>
        <w:t xml:space="preserve"> (see Exhibit 5).</w:t>
      </w:r>
    </w:p>
    <w:p w14:paraId="093174A0" w14:textId="200B06FF" w:rsidR="00B8750B" w:rsidRPr="00B52637" w:rsidRDefault="00B8750B" w:rsidP="00CB06D6">
      <w:pPr>
        <w:pStyle w:val="BodyTextMain"/>
        <w:rPr>
          <w:rFonts w:eastAsia="Calibri"/>
          <w:bCs/>
          <w:lang w:val="en-CA"/>
        </w:rPr>
      </w:pPr>
    </w:p>
    <w:p w14:paraId="62181A0F" w14:textId="77777777" w:rsidR="00B8750B" w:rsidRPr="00B52637" w:rsidRDefault="00B8750B" w:rsidP="00CB06D6">
      <w:pPr>
        <w:pStyle w:val="BodyTextMain"/>
        <w:rPr>
          <w:rFonts w:eastAsia="Calibri"/>
          <w:bCs/>
          <w:lang w:val="en-CA"/>
        </w:rPr>
      </w:pPr>
    </w:p>
    <w:p w14:paraId="4953D6FF" w14:textId="79E8895D" w:rsidR="00B8750B" w:rsidRPr="00B52637" w:rsidRDefault="00B8750B" w:rsidP="00CB06D6">
      <w:pPr>
        <w:pStyle w:val="Casehead2"/>
        <w:rPr>
          <w:rFonts w:eastAsia="Calibri"/>
          <w:lang w:val="en-CA"/>
        </w:rPr>
      </w:pPr>
      <w:r w:rsidRPr="00B52637">
        <w:rPr>
          <w:rFonts w:eastAsia="Calibri"/>
          <w:lang w:val="en-CA"/>
        </w:rPr>
        <w:t>Pop-Up Stores versus Brick and Mortar</w:t>
      </w:r>
    </w:p>
    <w:p w14:paraId="26E7BE60" w14:textId="77777777" w:rsidR="00B8750B" w:rsidRPr="00B52637" w:rsidRDefault="00B8750B" w:rsidP="00CB06D6">
      <w:pPr>
        <w:pStyle w:val="BodyTextMain"/>
        <w:rPr>
          <w:rFonts w:eastAsia="Calibri"/>
          <w:lang w:val="en-CA"/>
        </w:rPr>
      </w:pPr>
    </w:p>
    <w:p w14:paraId="306BC94F" w14:textId="065E6800" w:rsidR="00B8750B" w:rsidRPr="002C342B" w:rsidRDefault="00B8750B" w:rsidP="00CB06D6">
      <w:pPr>
        <w:pStyle w:val="BodyTextMain"/>
        <w:rPr>
          <w:rFonts w:eastAsia="Calibri"/>
          <w:spacing w:val="-2"/>
          <w:kern w:val="22"/>
          <w:lang w:val="en-CA"/>
        </w:rPr>
      </w:pPr>
      <w:r w:rsidRPr="002C342B">
        <w:rPr>
          <w:rFonts w:eastAsia="Calibri"/>
          <w:spacing w:val="-2"/>
          <w:kern w:val="22"/>
          <w:lang w:val="en-CA"/>
        </w:rPr>
        <w:t>Branded pop-up stores—temporary storefronts opened for only a short period of time—</w:t>
      </w:r>
      <w:r w:rsidR="00D41F0C" w:rsidRPr="002C342B">
        <w:rPr>
          <w:rFonts w:eastAsia="Calibri"/>
          <w:spacing w:val="-2"/>
          <w:kern w:val="22"/>
          <w:lang w:val="en-CA"/>
        </w:rPr>
        <w:t xml:space="preserve">had </w:t>
      </w:r>
      <w:r w:rsidRPr="002C342B">
        <w:rPr>
          <w:rFonts w:eastAsia="Calibri"/>
          <w:spacing w:val="-2"/>
          <w:kern w:val="22"/>
          <w:lang w:val="en-CA"/>
        </w:rPr>
        <w:t>also gained popularity in recent years. The</w:t>
      </w:r>
      <w:r w:rsidR="00D41F0C" w:rsidRPr="002C342B">
        <w:rPr>
          <w:rFonts w:eastAsia="Calibri"/>
          <w:spacing w:val="-2"/>
          <w:kern w:val="22"/>
          <w:lang w:val="en-CA"/>
        </w:rPr>
        <w:t>se</w:t>
      </w:r>
      <w:r w:rsidRPr="002C342B">
        <w:rPr>
          <w:rFonts w:eastAsia="Calibri"/>
          <w:spacing w:val="-2"/>
          <w:kern w:val="22"/>
          <w:lang w:val="en-CA"/>
        </w:rPr>
        <w:t xml:space="preserve"> took many forms, including both traditional storefronts and mobile units, with firms using the pop-up stores to test new markets and build brand awareness.</w:t>
      </w:r>
      <w:r w:rsidRPr="002C342B">
        <w:rPr>
          <w:rStyle w:val="EndnoteReference"/>
          <w:rFonts w:eastAsia="Calibri"/>
          <w:spacing w:val="-2"/>
          <w:kern w:val="22"/>
          <w:lang w:val="en-CA"/>
        </w:rPr>
        <w:endnoteReference w:id="30"/>
      </w:r>
      <w:r w:rsidRPr="002C342B">
        <w:rPr>
          <w:rFonts w:eastAsia="Calibri"/>
          <w:spacing w:val="-2"/>
          <w:kern w:val="22"/>
          <w:lang w:val="en-CA"/>
        </w:rPr>
        <w:t xml:space="preserve"> While pop-up store costs varied because of shorter lease terms and likely lower sales staff requirements, conventional retail costs for premium retail locations were typically around 10 per cent of revenue for rent and 3 per cent for utilities.</w:t>
      </w:r>
      <w:r w:rsidRPr="002C342B">
        <w:rPr>
          <w:rStyle w:val="EndnoteReference"/>
          <w:rFonts w:eastAsia="Calibri"/>
          <w:spacing w:val="-2"/>
          <w:kern w:val="22"/>
          <w:lang w:val="en-CA"/>
        </w:rPr>
        <w:endnoteReference w:id="31"/>
      </w:r>
    </w:p>
    <w:p w14:paraId="321698EB" w14:textId="608AC6EB" w:rsidR="00B8750B" w:rsidRPr="00B52637" w:rsidRDefault="00B8750B" w:rsidP="00CB06D6">
      <w:pPr>
        <w:pStyle w:val="BodyTextMain"/>
        <w:rPr>
          <w:rFonts w:eastAsia="Calibri"/>
          <w:lang w:val="en-CA"/>
        </w:rPr>
      </w:pPr>
    </w:p>
    <w:p w14:paraId="5FF948A6" w14:textId="77777777" w:rsidR="00B8750B" w:rsidRPr="00B52637" w:rsidRDefault="00B8750B" w:rsidP="00CB06D6">
      <w:pPr>
        <w:pStyle w:val="BodyTextMain"/>
        <w:rPr>
          <w:rFonts w:eastAsia="Calibri"/>
          <w:lang w:val="en-CA"/>
        </w:rPr>
      </w:pPr>
    </w:p>
    <w:p w14:paraId="27F53235" w14:textId="3226C5FC" w:rsidR="00B8750B" w:rsidRPr="00B52637" w:rsidRDefault="00B8750B" w:rsidP="00CB06D6">
      <w:pPr>
        <w:pStyle w:val="Casehead1"/>
        <w:rPr>
          <w:rFonts w:eastAsia="Calibri"/>
          <w:lang w:val="en-CA"/>
        </w:rPr>
      </w:pPr>
      <w:r w:rsidRPr="00B52637">
        <w:rPr>
          <w:rFonts w:eastAsia="Calibri"/>
          <w:lang w:val="en-CA"/>
        </w:rPr>
        <w:t>Kombi</w:t>
      </w:r>
    </w:p>
    <w:p w14:paraId="0493F5FF" w14:textId="77777777" w:rsidR="00B8750B" w:rsidRPr="00B52637" w:rsidRDefault="00B8750B" w:rsidP="00CB06D6">
      <w:pPr>
        <w:pStyle w:val="BodyTextMain"/>
        <w:rPr>
          <w:rFonts w:eastAsia="Calibri"/>
          <w:lang w:val="en-CA"/>
        </w:rPr>
      </w:pPr>
    </w:p>
    <w:p w14:paraId="3B50E9D7" w14:textId="168064A6" w:rsidR="00B8750B" w:rsidRPr="00B52637" w:rsidRDefault="00B8750B" w:rsidP="00CB06D6">
      <w:pPr>
        <w:pStyle w:val="BodyTextMain"/>
        <w:rPr>
          <w:rFonts w:eastAsia="Calibri"/>
          <w:lang w:val="en-CA"/>
        </w:rPr>
      </w:pPr>
      <w:r w:rsidRPr="00B52637">
        <w:rPr>
          <w:rFonts w:eastAsia="Calibri"/>
          <w:lang w:val="en-CA"/>
        </w:rPr>
        <w:t>Kombi began in 1911 as the Gold Glove Company, based in Montreal, Quebec. Founded by Isaac Gold, the company was renamed Gold Glove Ltd. in 1945 and became Kombi Sports Inc. in 1989.</w:t>
      </w:r>
      <w:r w:rsidRPr="00B52637">
        <w:rPr>
          <w:rStyle w:val="EndnoteReference"/>
          <w:rFonts w:eastAsia="Calibri"/>
          <w:lang w:val="en-CA"/>
        </w:rPr>
        <w:endnoteReference w:id="32"/>
      </w:r>
      <w:r w:rsidRPr="00B52637">
        <w:rPr>
          <w:rFonts w:eastAsia="Calibri"/>
          <w:lang w:val="en-CA"/>
        </w:rPr>
        <w:t xml:space="preserve"> Danny Gold, Isaac’s grandson and an active Montreal skier and ski organizer,</w:t>
      </w:r>
      <w:r w:rsidRPr="00B52637">
        <w:rPr>
          <w:rStyle w:val="EndnoteReference"/>
          <w:rFonts w:eastAsia="Calibri"/>
          <w:lang w:val="en-CA"/>
        </w:rPr>
        <w:endnoteReference w:id="33"/>
      </w:r>
      <w:r w:rsidRPr="00B52637">
        <w:rPr>
          <w:rFonts w:eastAsia="Calibri"/>
          <w:lang w:val="en-CA"/>
        </w:rPr>
        <w:t xml:space="preserve"> developed Kombi’s iconic ski glove with knuckle protection and had it made by his grandfather’s company, taking over the family business in 1961.</w:t>
      </w:r>
      <w:r w:rsidRPr="00B52637">
        <w:rPr>
          <w:rStyle w:val="EndnoteReference"/>
          <w:rFonts w:eastAsia="Calibri"/>
          <w:lang w:val="en-CA"/>
        </w:rPr>
        <w:endnoteReference w:id="34"/>
      </w:r>
      <w:r w:rsidRPr="00B52637">
        <w:rPr>
          <w:rFonts w:eastAsia="Calibri"/>
          <w:lang w:val="en-CA"/>
        </w:rPr>
        <w:t xml:space="preserve"> Danny developed and</w:t>
      </w:r>
      <w:r w:rsidRPr="00B52637">
        <w:rPr>
          <w:rFonts w:eastAsia="Calibri"/>
          <w:bCs/>
          <w:lang w:val="en-CA"/>
        </w:rPr>
        <w:t xml:space="preserve"> </w:t>
      </w:r>
      <w:r w:rsidRPr="00B52637">
        <w:rPr>
          <w:rFonts w:eastAsia="Calibri"/>
          <w:lang w:val="en-CA"/>
        </w:rPr>
        <w:t>patented many ski apparel innovations, including padded ski garments, gloves with attached heater packs, and the iconic gloves worn by celebrated Canadian skier Nancy Greene.</w:t>
      </w:r>
      <w:r w:rsidRPr="00B52637">
        <w:rPr>
          <w:rStyle w:val="EndnoteReference"/>
          <w:rFonts w:eastAsia="Calibri"/>
          <w:lang w:val="en-CA"/>
        </w:rPr>
        <w:endnoteReference w:id="35"/>
      </w:r>
      <w:r w:rsidRPr="00B52637">
        <w:rPr>
          <w:rFonts w:eastAsia="Calibri"/>
          <w:lang w:val="en-CA"/>
        </w:rPr>
        <w:t xml:space="preserve"> In 1969, Danny recruited Edward Pascal, a chartered professional accountant, to join the firm. Edward later purchased Kombi from the Gold family.</w:t>
      </w:r>
      <w:r w:rsidRPr="00B52637">
        <w:rPr>
          <w:rFonts w:eastAsia="Calibri"/>
          <w:bCs/>
          <w:lang w:val="en-CA"/>
        </w:rPr>
        <w:t xml:space="preserve"> </w:t>
      </w:r>
      <w:r w:rsidRPr="00B52637">
        <w:rPr>
          <w:rFonts w:eastAsia="Calibri"/>
          <w:lang w:val="en-CA"/>
        </w:rPr>
        <w:t>Mark, Edward’s son, joined Kombi in 1998 and was appointed president and CEO in 2018.</w:t>
      </w:r>
      <w:r w:rsidRPr="00B52637">
        <w:rPr>
          <w:rStyle w:val="EndnoteReference"/>
          <w:rFonts w:eastAsia="Calibri"/>
          <w:lang w:val="en-CA"/>
        </w:rPr>
        <w:endnoteReference w:id="36"/>
      </w:r>
    </w:p>
    <w:p w14:paraId="2A27AB68" w14:textId="77777777" w:rsidR="00B8750B" w:rsidRPr="00B52637" w:rsidRDefault="00B8750B" w:rsidP="00CB06D6">
      <w:pPr>
        <w:pStyle w:val="BodyTextMain"/>
        <w:rPr>
          <w:rFonts w:eastAsia="Calibri"/>
          <w:lang w:val="en-CA"/>
        </w:rPr>
      </w:pPr>
    </w:p>
    <w:p w14:paraId="4EE78780" w14:textId="6EC86AB0" w:rsidR="00B8750B" w:rsidRPr="00B52637" w:rsidRDefault="00B8750B" w:rsidP="00CB06D6">
      <w:pPr>
        <w:pStyle w:val="BodyTextMain"/>
        <w:rPr>
          <w:rFonts w:eastAsia="Calibri"/>
          <w:lang w:val="en-CA"/>
        </w:rPr>
      </w:pPr>
      <w:r w:rsidRPr="00B52637">
        <w:rPr>
          <w:rFonts w:eastAsia="Calibri"/>
          <w:lang w:val="en-CA"/>
        </w:rPr>
        <w:t>In 2013, the Pascals re-oriented Kombi’s brand around the qualities of family, warmth, and Canadian heritage.</w:t>
      </w:r>
      <w:r w:rsidRPr="00B52637">
        <w:rPr>
          <w:rStyle w:val="EndnoteReference"/>
          <w:rFonts w:eastAsia="Calibri"/>
          <w:lang w:val="en-CA"/>
        </w:rPr>
        <w:endnoteReference w:id="37"/>
      </w:r>
      <w:r w:rsidRPr="00B52637">
        <w:rPr>
          <w:rFonts w:eastAsia="Calibri"/>
          <w:lang w:val="en-CA"/>
        </w:rPr>
        <w:t xml:space="preserve"> This included redesigning the</w:t>
      </w:r>
      <w:r w:rsidR="000D5618" w:rsidRPr="00B52637">
        <w:rPr>
          <w:rFonts w:eastAsia="Calibri"/>
          <w:lang w:val="en-CA"/>
        </w:rPr>
        <w:t xml:space="preserve"> company’s</w:t>
      </w:r>
      <w:r w:rsidRPr="00B52637">
        <w:rPr>
          <w:rFonts w:eastAsia="Calibri"/>
          <w:lang w:val="en-CA"/>
        </w:rPr>
        <w:t xml:space="preserve"> website (KombiCanada.com) and adding a new blog </w:t>
      </w:r>
      <w:r w:rsidRPr="00B52637">
        <w:rPr>
          <w:rFonts w:eastAsia="Calibri"/>
          <w:lang w:val="en-CA"/>
        </w:rPr>
        <w:lastRenderedPageBreak/>
        <w:t>highlighting family-friendly outdoor winter activities and “winter hacks” around problems such as lost mittens. The website highlighted community and family in ways that reflected the firm’s explicitly stated core values of loyalty, humility, and caring.</w:t>
      </w:r>
      <w:r w:rsidRPr="00B52637">
        <w:rPr>
          <w:rStyle w:val="EndnoteReference"/>
          <w:rFonts w:eastAsia="Calibri"/>
          <w:lang w:val="en-CA"/>
        </w:rPr>
        <w:endnoteReference w:id="38"/>
      </w:r>
      <w:r w:rsidRPr="00B52637">
        <w:rPr>
          <w:rFonts w:eastAsia="Calibri"/>
          <w:lang w:val="en-CA"/>
        </w:rPr>
        <w:t xml:space="preserve"> Kombi’s leadership consciously reinforced these values by how they communicated the brand, engaged employees, and developed partnerships. Kombi ranked seventh in the 2017 Great Place to Work Canada survey.</w:t>
      </w:r>
      <w:r w:rsidRPr="00B52637">
        <w:rPr>
          <w:rStyle w:val="EndnoteReference"/>
          <w:rFonts w:eastAsia="Calibri"/>
          <w:lang w:val="en-CA"/>
        </w:rPr>
        <w:endnoteReference w:id="39"/>
      </w:r>
    </w:p>
    <w:p w14:paraId="234627B9" w14:textId="77777777" w:rsidR="00B8750B" w:rsidRPr="00B52637" w:rsidRDefault="00B8750B" w:rsidP="00CB06D6">
      <w:pPr>
        <w:pStyle w:val="BodyTextMain"/>
        <w:rPr>
          <w:rFonts w:eastAsia="Calibri"/>
          <w:lang w:val="en-CA"/>
        </w:rPr>
      </w:pPr>
    </w:p>
    <w:p w14:paraId="556E9F1A" w14:textId="58CFEA4E" w:rsidR="00B8750B" w:rsidRPr="00B52637" w:rsidRDefault="00B8750B">
      <w:pPr>
        <w:pStyle w:val="BodyTextMain"/>
        <w:rPr>
          <w:rFonts w:eastAsia="Calibri"/>
          <w:lang w:val="en-CA"/>
        </w:rPr>
      </w:pPr>
      <w:r w:rsidRPr="00B52637">
        <w:rPr>
          <w:rFonts w:eastAsia="Calibri"/>
          <w:lang w:val="en-CA"/>
        </w:rPr>
        <w:t>By 2020, Kombi was primarily a wholesale sporting goods company. All Kombi products were designed in</w:t>
      </w:r>
      <w:r w:rsidR="000D5618" w:rsidRPr="00B52637">
        <w:rPr>
          <w:rFonts w:eastAsia="Calibri"/>
          <w:lang w:val="en-CA"/>
        </w:rPr>
        <w:t>-</w:t>
      </w:r>
      <w:r w:rsidRPr="00B52637">
        <w:rPr>
          <w:rFonts w:eastAsia="Calibri"/>
          <w:lang w:val="en-CA"/>
        </w:rPr>
        <w:t xml:space="preserve">house in Montreal; manufacturing was contracted to one of Kombi’s long-term manufacturing partners, with a particular partner chosen based on the product’s characteristics. Kombi employed more than 40 design, marketing, and administration staff in </w:t>
      </w:r>
      <w:r w:rsidR="000D5618" w:rsidRPr="00B52637">
        <w:rPr>
          <w:rFonts w:eastAsia="Calibri"/>
          <w:lang w:val="en-CA"/>
        </w:rPr>
        <w:t>its</w:t>
      </w:r>
      <w:r w:rsidRPr="00B52637">
        <w:rPr>
          <w:rFonts w:eastAsia="Calibri"/>
          <w:lang w:val="en-CA"/>
        </w:rPr>
        <w:t xml:space="preserve"> Montreal headquarters, and eight supply-chain focused staff in </w:t>
      </w:r>
      <w:r w:rsidR="000D5618" w:rsidRPr="00B52637">
        <w:rPr>
          <w:rFonts w:eastAsia="Calibri"/>
          <w:lang w:val="en-CA"/>
        </w:rPr>
        <w:t>its</w:t>
      </w:r>
      <w:r w:rsidRPr="00B52637">
        <w:rPr>
          <w:rFonts w:eastAsia="Calibri"/>
          <w:lang w:val="en-CA"/>
        </w:rPr>
        <w:t xml:space="preserve"> Shanghai, China, office. Kombi’s production contracts represented between 10 and 100 per cent of a given manufacturer’s total annual production.</w:t>
      </w:r>
    </w:p>
    <w:p w14:paraId="0FDA7972" w14:textId="51AC9ED8" w:rsidR="00B8750B" w:rsidRPr="00B52637" w:rsidRDefault="00B8750B" w:rsidP="00CB06D6">
      <w:pPr>
        <w:pStyle w:val="BodyTextMain"/>
        <w:rPr>
          <w:rFonts w:eastAsia="Calibri"/>
          <w:lang w:val="en-CA"/>
        </w:rPr>
      </w:pPr>
    </w:p>
    <w:p w14:paraId="6656A5CC" w14:textId="77777777" w:rsidR="00B8750B" w:rsidRPr="00B52637" w:rsidRDefault="00B8750B" w:rsidP="00CB06D6">
      <w:pPr>
        <w:pStyle w:val="BodyTextMain"/>
        <w:rPr>
          <w:rFonts w:eastAsia="Calibri"/>
          <w:lang w:val="en-CA"/>
        </w:rPr>
      </w:pPr>
    </w:p>
    <w:p w14:paraId="4B71CB74" w14:textId="30B124F5" w:rsidR="00B8750B" w:rsidRPr="00B52637" w:rsidRDefault="00B8750B" w:rsidP="00CB06D6">
      <w:pPr>
        <w:pStyle w:val="Casehead2"/>
        <w:rPr>
          <w:rFonts w:eastAsia="Calibri"/>
          <w:lang w:val="en-CA"/>
        </w:rPr>
      </w:pPr>
      <w:r w:rsidRPr="00B52637">
        <w:rPr>
          <w:rFonts w:eastAsia="Calibri"/>
          <w:lang w:val="en-CA"/>
        </w:rPr>
        <w:t>Kombi Products and Lines</w:t>
      </w:r>
    </w:p>
    <w:p w14:paraId="6796EE17" w14:textId="77777777" w:rsidR="00B8750B" w:rsidRPr="00B52637" w:rsidRDefault="00B8750B" w:rsidP="00CB06D6">
      <w:pPr>
        <w:pStyle w:val="BodyTextMain"/>
        <w:rPr>
          <w:rFonts w:eastAsia="Calibri"/>
          <w:lang w:val="en-CA"/>
        </w:rPr>
      </w:pPr>
    </w:p>
    <w:p w14:paraId="2438D71A" w14:textId="7C6A50F9" w:rsidR="00B8750B" w:rsidRPr="00B52637" w:rsidRDefault="00B8750B" w:rsidP="00CB06D6">
      <w:pPr>
        <w:pStyle w:val="BodyTextMain"/>
        <w:rPr>
          <w:rFonts w:eastAsia="Calibri"/>
          <w:lang w:val="en-CA"/>
        </w:rPr>
      </w:pPr>
      <w:r w:rsidRPr="00B52637">
        <w:rPr>
          <w:rFonts w:eastAsia="Calibri"/>
          <w:lang w:val="en-CA"/>
        </w:rPr>
        <w:t xml:space="preserve">Kombi had expertise in product innovation, including being one of the first brands to partner with </w:t>
      </w:r>
      <w:r w:rsidR="008D66EE">
        <w:rPr>
          <w:rFonts w:eastAsia="Calibri"/>
          <w:lang w:val="en-CA"/>
        </w:rPr>
        <w:t xml:space="preserve">W.L. Gore &amp; Associates (makers of </w:t>
      </w:r>
      <w:r w:rsidR="008C340D" w:rsidRPr="00B52637">
        <w:rPr>
          <w:rFonts w:eastAsia="Calibri"/>
          <w:lang w:val="en-CA"/>
        </w:rPr>
        <w:t>G</w:t>
      </w:r>
      <w:r w:rsidR="00D30F0D" w:rsidRPr="00B52637">
        <w:rPr>
          <w:rFonts w:eastAsia="Calibri"/>
          <w:lang w:val="en-CA"/>
        </w:rPr>
        <w:t>ORE</w:t>
      </w:r>
      <w:r w:rsidR="008C340D" w:rsidRPr="00B52637">
        <w:rPr>
          <w:rFonts w:eastAsia="Calibri"/>
          <w:lang w:val="en-CA"/>
        </w:rPr>
        <w:t>-T</w:t>
      </w:r>
      <w:r w:rsidR="00D30F0D" w:rsidRPr="00B52637">
        <w:rPr>
          <w:rFonts w:eastAsia="Calibri"/>
          <w:lang w:val="en-CA"/>
        </w:rPr>
        <w:t>EX</w:t>
      </w:r>
      <w:r w:rsidR="008D66EE">
        <w:rPr>
          <w:rFonts w:eastAsia="Calibri"/>
          <w:lang w:val="en-CA"/>
        </w:rPr>
        <w:t>)</w:t>
      </w:r>
      <w:r w:rsidRPr="00B52637">
        <w:rPr>
          <w:rFonts w:eastAsia="Calibri"/>
          <w:lang w:val="en-CA"/>
        </w:rPr>
        <w:t xml:space="preserve"> in the 1980s</w:t>
      </w:r>
      <w:r w:rsidR="00D30F0D" w:rsidRPr="00B52637">
        <w:rPr>
          <w:rFonts w:eastAsia="Calibri"/>
          <w:lang w:val="en-CA"/>
        </w:rPr>
        <w:t>;</w:t>
      </w:r>
      <w:r w:rsidRPr="00B52637">
        <w:rPr>
          <w:rFonts w:eastAsia="Calibri"/>
          <w:lang w:val="en-CA"/>
        </w:rPr>
        <w:t xml:space="preserve"> more recently</w:t>
      </w:r>
      <w:r w:rsidR="00D30F0D" w:rsidRPr="00B52637">
        <w:rPr>
          <w:rFonts w:eastAsia="Calibri"/>
          <w:lang w:val="en-CA"/>
        </w:rPr>
        <w:t>, it</w:t>
      </w:r>
      <w:r w:rsidRPr="00B52637">
        <w:rPr>
          <w:rFonts w:eastAsia="Calibri"/>
          <w:lang w:val="en-CA"/>
        </w:rPr>
        <w:t xml:space="preserve"> </w:t>
      </w:r>
      <w:r w:rsidR="00D30F0D" w:rsidRPr="00B52637">
        <w:rPr>
          <w:rFonts w:eastAsia="Calibri"/>
          <w:lang w:val="en-CA"/>
        </w:rPr>
        <w:t>had incorporated</w:t>
      </w:r>
      <w:r w:rsidRPr="00B52637">
        <w:rPr>
          <w:rFonts w:eastAsia="Calibri"/>
          <w:lang w:val="en-CA"/>
        </w:rPr>
        <w:t xml:space="preserve"> proprietary textiles such as </w:t>
      </w:r>
      <w:proofErr w:type="spellStart"/>
      <w:r w:rsidRPr="00B52637">
        <w:rPr>
          <w:rFonts w:eastAsia="Calibri"/>
          <w:lang w:val="en-CA"/>
        </w:rPr>
        <w:t>Prima</w:t>
      </w:r>
      <w:r w:rsidR="008C340D" w:rsidRPr="00B52637">
        <w:rPr>
          <w:rFonts w:eastAsia="Calibri"/>
          <w:lang w:val="en-CA"/>
        </w:rPr>
        <w:t>L</w:t>
      </w:r>
      <w:r w:rsidRPr="00B52637">
        <w:rPr>
          <w:rFonts w:eastAsia="Calibri"/>
          <w:lang w:val="en-CA"/>
        </w:rPr>
        <w:t>oft</w:t>
      </w:r>
      <w:proofErr w:type="spellEnd"/>
      <w:r w:rsidR="00D30F0D" w:rsidRPr="00B52637">
        <w:rPr>
          <w:lang w:val="en-CA"/>
        </w:rPr>
        <w:t>®</w:t>
      </w:r>
      <w:r w:rsidRPr="00B52637">
        <w:rPr>
          <w:rFonts w:eastAsia="Calibri"/>
          <w:lang w:val="en-CA"/>
        </w:rPr>
        <w:t xml:space="preserve"> and </w:t>
      </w:r>
      <w:proofErr w:type="spellStart"/>
      <w:r w:rsidRPr="00B52637">
        <w:rPr>
          <w:rFonts w:eastAsia="Calibri"/>
          <w:lang w:val="en-CA"/>
        </w:rPr>
        <w:t>dri</w:t>
      </w:r>
      <w:r w:rsidRPr="00B52637">
        <w:rPr>
          <w:rFonts w:eastAsia="Calibri"/>
          <w:iCs/>
          <w:lang w:val="en-CA"/>
        </w:rPr>
        <w:t>release</w:t>
      </w:r>
      <w:proofErr w:type="spellEnd"/>
      <w:r w:rsidR="00D30F0D" w:rsidRPr="00B52637">
        <w:rPr>
          <w:lang w:val="en-CA"/>
        </w:rPr>
        <w:t>®</w:t>
      </w:r>
      <w:r w:rsidRPr="00B52637">
        <w:rPr>
          <w:rFonts w:eastAsia="Calibri"/>
          <w:lang w:val="en-CA"/>
        </w:rPr>
        <w:t xml:space="preserve"> and its own </w:t>
      </w:r>
      <w:proofErr w:type="spellStart"/>
      <w:r w:rsidR="000F353F" w:rsidRPr="00B52637">
        <w:rPr>
          <w:rFonts w:eastAsia="Calibri"/>
          <w:lang w:val="en-CA"/>
        </w:rPr>
        <w:t>Waterguard</w:t>
      </w:r>
      <w:proofErr w:type="spellEnd"/>
      <w:r w:rsidR="000F353F" w:rsidRPr="00B52637">
        <w:rPr>
          <w:rFonts w:eastAsia="Calibri"/>
          <w:lang w:val="en-CA"/>
        </w:rPr>
        <w:t xml:space="preserve"> </w:t>
      </w:r>
      <w:r w:rsidRPr="00B52637">
        <w:rPr>
          <w:rFonts w:eastAsia="Calibri"/>
          <w:lang w:val="en-CA"/>
        </w:rPr>
        <w:t xml:space="preserve">glove membrane technology, developed </w:t>
      </w:r>
      <w:r w:rsidR="00D30F0D" w:rsidRPr="00B52637">
        <w:rPr>
          <w:rFonts w:eastAsia="Calibri"/>
          <w:lang w:val="en-CA"/>
        </w:rPr>
        <w:t xml:space="preserve">collaboratively </w:t>
      </w:r>
      <w:r w:rsidRPr="00B52637">
        <w:rPr>
          <w:rFonts w:eastAsia="Calibri"/>
          <w:lang w:val="en-CA"/>
        </w:rPr>
        <w:t>with some of Kombi’s suppliers. These textiles supported developing innovations in Kombi products, such as breathability, waterproofness, wind protection, insulation, moisture management, and touch screen functionality.</w:t>
      </w:r>
    </w:p>
    <w:p w14:paraId="33A0C5C1" w14:textId="77777777" w:rsidR="00B8750B" w:rsidRPr="00B52637" w:rsidRDefault="00B8750B" w:rsidP="00CB06D6">
      <w:pPr>
        <w:pStyle w:val="BodyTextMain"/>
        <w:rPr>
          <w:rFonts w:eastAsia="Calibri"/>
          <w:lang w:val="en-CA"/>
        </w:rPr>
      </w:pPr>
    </w:p>
    <w:p w14:paraId="39CF57A1" w14:textId="1A188800" w:rsidR="00B8750B" w:rsidRPr="00B52637" w:rsidRDefault="00B8750B" w:rsidP="00CB06D6">
      <w:pPr>
        <w:pStyle w:val="BodyTextMain"/>
        <w:rPr>
          <w:rFonts w:eastAsia="Calibri"/>
          <w:lang w:val="en-CA"/>
        </w:rPr>
      </w:pPr>
      <w:r w:rsidRPr="00B52637">
        <w:rPr>
          <w:rFonts w:eastAsia="Calibri"/>
          <w:lang w:val="en-CA"/>
        </w:rPr>
        <w:t>Kombi sold over 500 different products for men, women, children, and infants in its collections (see Exhibits 6–</w:t>
      </w:r>
      <w:r w:rsidR="008C340D" w:rsidRPr="00B52637">
        <w:rPr>
          <w:rFonts w:eastAsia="Calibri"/>
          <w:lang w:val="en-CA"/>
        </w:rPr>
        <w:t>8</w:t>
      </w:r>
      <w:r w:rsidRPr="00B52637">
        <w:rPr>
          <w:rFonts w:eastAsia="Calibri"/>
          <w:lang w:val="en-CA"/>
        </w:rPr>
        <w:t>). Each collection included a variety of products and price points targeted to different customer segments by activity level and age. Kombi used pricing and labelling to signal quality, including, for example, the strategic decision not to produce gloves below a $25 retail price point.</w:t>
      </w:r>
    </w:p>
    <w:p w14:paraId="62617F26" w14:textId="25238171" w:rsidR="00B8750B" w:rsidRPr="00B52637" w:rsidRDefault="00B8750B" w:rsidP="00CB06D6">
      <w:pPr>
        <w:pStyle w:val="BodyTextMain"/>
        <w:rPr>
          <w:rFonts w:eastAsia="Calibri"/>
          <w:lang w:val="en-CA"/>
        </w:rPr>
      </w:pPr>
    </w:p>
    <w:p w14:paraId="5E2988F7" w14:textId="77777777" w:rsidR="00B8750B" w:rsidRPr="00B52637" w:rsidRDefault="00B8750B" w:rsidP="00CB06D6">
      <w:pPr>
        <w:pStyle w:val="BodyTextMain"/>
        <w:rPr>
          <w:rFonts w:eastAsia="Calibri"/>
          <w:lang w:val="en-CA"/>
        </w:rPr>
      </w:pPr>
    </w:p>
    <w:p w14:paraId="06943894" w14:textId="58825B5E" w:rsidR="00B8750B" w:rsidRPr="00B52637" w:rsidRDefault="00B8750B" w:rsidP="00563771">
      <w:pPr>
        <w:pStyle w:val="Casehead3"/>
        <w:rPr>
          <w:rFonts w:eastAsia="Calibri"/>
          <w:lang w:val="en-CA"/>
        </w:rPr>
      </w:pPr>
      <w:r w:rsidRPr="00B52637">
        <w:rPr>
          <w:rFonts w:eastAsia="Calibri"/>
          <w:lang w:val="en-CA"/>
        </w:rPr>
        <w:t>Product Collaboration and Customization</w:t>
      </w:r>
    </w:p>
    <w:p w14:paraId="1BF7FCD1" w14:textId="77777777" w:rsidR="00B8750B" w:rsidRPr="00B52637" w:rsidRDefault="00B8750B" w:rsidP="003F2DB7">
      <w:pPr>
        <w:pStyle w:val="BodyTextMain"/>
        <w:rPr>
          <w:rFonts w:eastAsia="Calibri"/>
          <w:lang w:val="en-CA"/>
        </w:rPr>
      </w:pPr>
    </w:p>
    <w:p w14:paraId="7F4B3E55" w14:textId="520AD62D" w:rsidR="00B8750B" w:rsidRPr="00B52637" w:rsidRDefault="00B8750B" w:rsidP="00563771">
      <w:pPr>
        <w:pStyle w:val="BodyTextMain"/>
        <w:rPr>
          <w:rFonts w:eastAsia="Calibri"/>
          <w:lang w:val="en-CA"/>
        </w:rPr>
      </w:pPr>
      <w:r w:rsidRPr="00B52637">
        <w:rPr>
          <w:rFonts w:eastAsia="Calibri"/>
          <w:lang w:val="en-CA"/>
        </w:rPr>
        <w:t xml:space="preserve">In addition to its own collections, Kombi actively collaborated with other firms to co-develop collections of interesting products that fit both companies’ brands. These collaborations helped Kombi expand beyond its traditional performance skiing base toward more urban and family-oriented customer segments. Some, like the </w:t>
      </w:r>
      <w:proofErr w:type="spellStart"/>
      <w:r w:rsidRPr="00B52637">
        <w:rPr>
          <w:rFonts w:eastAsia="Calibri"/>
          <w:i/>
          <w:lang w:val="en-CA"/>
        </w:rPr>
        <w:t>Snowtime</w:t>
      </w:r>
      <w:proofErr w:type="spellEnd"/>
      <w:r w:rsidRPr="00B52637">
        <w:rPr>
          <w:rFonts w:eastAsia="Calibri"/>
          <w:i/>
          <w:lang w:val="en-CA"/>
        </w:rPr>
        <w:t>!</w:t>
      </w:r>
      <w:r w:rsidRPr="00B52637">
        <w:rPr>
          <w:rFonts w:eastAsia="Calibri"/>
          <w:lang w:val="en-CA"/>
        </w:rPr>
        <w:t xml:space="preserve"> toques, were new Kombi-branded designs sold only by a particular retailer; others, like the </w:t>
      </w:r>
      <w:proofErr w:type="spellStart"/>
      <w:r w:rsidRPr="00B52637">
        <w:rPr>
          <w:rFonts w:eastAsia="Calibri"/>
          <w:lang w:val="en-CA"/>
        </w:rPr>
        <w:t>BeaverTails</w:t>
      </w:r>
      <w:proofErr w:type="spellEnd"/>
      <w:r w:rsidRPr="00B52637">
        <w:rPr>
          <w:rFonts w:eastAsia="Calibri"/>
          <w:lang w:val="en-CA"/>
        </w:rPr>
        <w:t xml:space="preserve"> flip mitt, were co-branded products sold by both firms through their respective outlets.</w:t>
      </w:r>
    </w:p>
    <w:p w14:paraId="4A969166" w14:textId="7A785F6B" w:rsidR="00B8750B" w:rsidRPr="003070E0" w:rsidRDefault="00B8750B" w:rsidP="00563771">
      <w:pPr>
        <w:pStyle w:val="BodyTextMain"/>
        <w:rPr>
          <w:rFonts w:eastAsia="Calibri"/>
          <w:sz w:val="20"/>
          <w:szCs w:val="14"/>
          <w:u w:val="single"/>
          <w:lang w:val="en-CA"/>
        </w:rPr>
      </w:pPr>
    </w:p>
    <w:p w14:paraId="76F17717" w14:textId="77777777" w:rsidR="00B8750B" w:rsidRPr="003070E0" w:rsidRDefault="00B8750B" w:rsidP="00563771">
      <w:pPr>
        <w:pStyle w:val="BodyTextMain"/>
        <w:rPr>
          <w:rFonts w:eastAsia="Calibri"/>
          <w:sz w:val="20"/>
          <w:szCs w:val="14"/>
          <w:u w:val="single"/>
          <w:lang w:val="en-CA"/>
        </w:rPr>
      </w:pPr>
    </w:p>
    <w:p w14:paraId="071D6546" w14:textId="0D54E46D" w:rsidR="00B8750B" w:rsidRPr="00B52637" w:rsidRDefault="00B8750B" w:rsidP="00563771">
      <w:pPr>
        <w:pStyle w:val="Casehead3"/>
        <w:rPr>
          <w:rFonts w:eastAsia="Calibri"/>
          <w:lang w:val="en-CA"/>
        </w:rPr>
      </w:pPr>
      <w:r w:rsidRPr="00B52637">
        <w:rPr>
          <w:rFonts w:eastAsia="Calibri"/>
          <w:lang w:val="en-CA"/>
        </w:rPr>
        <w:t>Retailing and Retailers</w:t>
      </w:r>
    </w:p>
    <w:p w14:paraId="0CCBF26E" w14:textId="77777777" w:rsidR="00B8750B" w:rsidRPr="003070E0" w:rsidRDefault="00B8750B" w:rsidP="00563771">
      <w:pPr>
        <w:pStyle w:val="BodyTextMain"/>
        <w:rPr>
          <w:rFonts w:eastAsia="Calibri"/>
          <w:sz w:val="20"/>
          <w:szCs w:val="14"/>
          <w:lang w:val="en-CA"/>
        </w:rPr>
      </w:pPr>
    </w:p>
    <w:p w14:paraId="0DC2D758" w14:textId="746FA2B9" w:rsidR="00B8750B" w:rsidRPr="00B52637" w:rsidRDefault="00B8750B" w:rsidP="00563771">
      <w:pPr>
        <w:pStyle w:val="BodyTextMain"/>
        <w:rPr>
          <w:rFonts w:eastAsia="Calibri"/>
          <w:spacing w:val="-2"/>
          <w:lang w:val="en-CA"/>
        </w:rPr>
      </w:pPr>
      <w:r w:rsidRPr="00B52637">
        <w:rPr>
          <w:rFonts w:eastAsia="Calibri"/>
          <w:spacing w:val="-2"/>
          <w:lang w:val="en-CA"/>
        </w:rPr>
        <w:t>Kombi products were sold primarily through more than 1,000 retail stores across Canada, although Kombi sold directly to customers through its website, seasonal pop-up shops, and brick-and-mortar stores at two Canadian ski resorts: Blue Mountain in Ontario and Mont Tremblant in Quebec. Mark felt these direct-to-customer (DTC) activities were important for communicating Kombi’s values and connecting with customers.</w:t>
      </w:r>
    </w:p>
    <w:p w14:paraId="06CC0531" w14:textId="77777777" w:rsidR="00B8750B" w:rsidRPr="003070E0" w:rsidRDefault="00B8750B" w:rsidP="00563771">
      <w:pPr>
        <w:pStyle w:val="BodyTextMain"/>
        <w:rPr>
          <w:rFonts w:eastAsia="Calibri"/>
          <w:sz w:val="20"/>
          <w:szCs w:val="14"/>
          <w:lang w:val="en-CA"/>
        </w:rPr>
      </w:pPr>
    </w:p>
    <w:p w14:paraId="5BEFE172" w14:textId="09F14D1E" w:rsidR="00B8750B" w:rsidRDefault="00B8750B" w:rsidP="00563771">
      <w:pPr>
        <w:pStyle w:val="BodyTextMain"/>
        <w:rPr>
          <w:rFonts w:eastAsia="Calibri"/>
          <w:lang w:val="en-CA"/>
        </w:rPr>
      </w:pPr>
      <w:r w:rsidRPr="00B52637">
        <w:rPr>
          <w:rFonts w:eastAsia="Calibri"/>
          <w:lang w:val="en-CA"/>
        </w:rPr>
        <w:t xml:space="preserve">Kombi’s first pop-up shop opened in 2017 in upscale Westmount in Montreal. The shop, staffed by relatives of Kombi’s employees, highlighted Kombi’s family values and family-oriented products. Kombi located </w:t>
      </w:r>
      <w:r w:rsidR="005E3260" w:rsidRPr="00B52637">
        <w:rPr>
          <w:rFonts w:eastAsia="Calibri"/>
          <w:lang w:val="en-CA"/>
        </w:rPr>
        <w:t xml:space="preserve">another </w:t>
      </w:r>
      <w:r w:rsidRPr="00B52637">
        <w:rPr>
          <w:rFonts w:eastAsia="Calibri"/>
          <w:lang w:val="en-CA"/>
        </w:rPr>
        <w:t>pop-up shop in 2018 in Toronto’s historic Union Station (the city’s central train station) to highlight the proud heritage and admired history shared by Kombi and Union Station.</w:t>
      </w:r>
      <w:r w:rsidRPr="00B52637">
        <w:rPr>
          <w:rStyle w:val="EndnoteReference"/>
          <w:rFonts w:eastAsia="Calibri"/>
          <w:lang w:val="en-CA"/>
        </w:rPr>
        <w:endnoteReference w:id="40"/>
      </w:r>
      <w:r w:rsidRPr="00B52637">
        <w:rPr>
          <w:rFonts w:eastAsia="Calibri"/>
          <w:lang w:val="en-CA"/>
        </w:rPr>
        <w:t xml:space="preserve"> Pop-up shops were oriented </w:t>
      </w:r>
      <w:r w:rsidRPr="00B52637">
        <w:rPr>
          <w:rFonts w:eastAsia="Calibri"/>
          <w:lang w:val="en-CA"/>
        </w:rPr>
        <w:lastRenderedPageBreak/>
        <w:t xml:space="preserve">toward the urban and family market segments and promoted brand values. Kombi’s two ski-resort retail locations focused more </w:t>
      </w:r>
      <w:r w:rsidRPr="00B52637">
        <w:rPr>
          <w:rFonts w:eastAsia="Calibri"/>
          <w:lang w:val="en-CA"/>
        </w:rPr>
        <w:t>directly on communicating the brand’s performance characteristics</w:t>
      </w:r>
      <w:r w:rsidR="00835452">
        <w:rPr>
          <w:rFonts w:eastAsia="Calibri"/>
          <w:lang w:val="en-CA"/>
        </w:rPr>
        <w:t xml:space="preserve"> to skiers</w:t>
      </w:r>
      <w:r w:rsidRPr="00B52637">
        <w:rPr>
          <w:rFonts w:eastAsia="Calibri"/>
          <w:lang w:val="en-CA"/>
        </w:rPr>
        <w:t>.</w:t>
      </w:r>
      <w:r w:rsidRPr="00B52637">
        <w:rPr>
          <w:rStyle w:val="EndnoteReference"/>
          <w:rFonts w:eastAsia="Calibri"/>
          <w:lang w:val="en-CA"/>
        </w:rPr>
        <w:endnoteReference w:id="41"/>
      </w:r>
    </w:p>
    <w:p w14:paraId="09281C3E" w14:textId="77777777" w:rsidR="00796E52" w:rsidRPr="00B52637" w:rsidRDefault="00796E52" w:rsidP="00563771">
      <w:pPr>
        <w:pStyle w:val="BodyTextMain"/>
        <w:rPr>
          <w:rFonts w:eastAsia="Calibri"/>
          <w:lang w:val="en-CA"/>
        </w:rPr>
      </w:pPr>
    </w:p>
    <w:p w14:paraId="0FBC7614" w14:textId="5DA9A181" w:rsidR="00B8750B" w:rsidRPr="00B52637" w:rsidRDefault="00B8750B" w:rsidP="00563771">
      <w:pPr>
        <w:pStyle w:val="BodyTextMain"/>
        <w:rPr>
          <w:rFonts w:eastAsia="Calibri"/>
          <w:lang w:val="en-CA"/>
        </w:rPr>
      </w:pPr>
      <w:r w:rsidRPr="00B52637">
        <w:rPr>
          <w:rFonts w:eastAsia="Calibri"/>
          <w:lang w:val="en-CA"/>
        </w:rPr>
        <w:t>Even with these DTC channels, Kom</w:t>
      </w:r>
      <w:r w:rsidRPr="00B52637">
        <w:rPr>
          <w:rFonts w:eastAsia="Calibri"/>
          <w:lang w:val="en-CA"/>
        </w:rPr>
        <w:t xml:space="preserve">bi continued to work with its retail partners. </w:t>
      </w:r>
      <w:r w:rsidR="00114AD2" w:rsidRPr="00B52637">
        <w:rPr>
          <w:rFonts w:eastAsia="Calibri"/>
          <w:lang w:val="en-CA"/>
        </w:rPr>
        <w:t>Kombi notified its retail partners b</w:t>
      </w:r>
      <w:r w:rsidRPr="00B52637">
        <w:rPr>
          <w:rFonts w:eastAsia="Calibri"/>
          <w:lang w:val="en-CA"/>
        </w:rPr>
        <w:t xml:space="preserve">efore opening its pop-up shops, including </w:t>
      </w:r>
      <w:r w:rsidR="00114AD2" w:rsidRPr="00B52637">
        <w:rPr>
          <w:rFonts w:eastAsia="Calibri"/>
          <w:lang w:val="en-CA"/>
        </w:rPr>
        <w:t>through</w:t>
      </w:r>
      <w:r w:rsidRPr="00B52637">
        <w:rPr>
          <w:rFonts w:eastAsia="Calibri"/>
          <w:lang w:val="en-CA"/>
        </w:rPr>
        <w:t xml:space="preserve"> the </w:t>
      </w:r>
      <w:r w:rsidR="00114AD2" w:rsidRPr="00B52637">
        <w:rPr>
          <w:rFonts w:eastAsia="Calibri"/>
          <w:lang w:val="en-CA"/>
        </w:rPr>
        <w:t>distribution of</w:t>
      </w:r>
      <w:r w:rsidRPr="00B52637">
        <w:rPr>
          <w:rFonts w:eastAsia="Calibri"/>
          <w:lang w:val="en-CA"/>
        </w:rPr>
        <w:t xml:space="preserve"> a 20-page presentation on why Kombi’s DTC sales were beneficial to the retail partners. Kombi also provided its retail partners with direct sales data from its pop-up and website sales as a way of sharing its insights regarding sales and trends.</w:t>
      </w:r>
    </w:p>
    <w:p w14:paraId="4C0A9EFA" w14:textId="07202EB8" w:rsidR="00B8750B" w:rsidRPr="00B52637" w:rsidRDefault="00B8750B" w:rsidP="00563771">
      <w:pPr>
        <w:pStyle w:val="BodyTextMain"/>
        <w:rPr>
          <w:rFonts w:eastAsia="Calibri"/>
          <w:lang w:val="en-CA"/>
        </w:rPr>
      </w:pPr>
    </w:p>
    <w:p w14:paraId="78AD0AA1" w14:textId="77777777" w:rsidR="00B8750B" w:rsidRPr="00B52637" w:rsidRDefault="00B8750B" w:rsidP="00563771">
      <w:pPr>
        <w:pStyle w:val="BodyTextMain"/>
        <w:rPr>
          <w:rFonts w:eastAsia="Calibri"/>
          <w:lang w:val="en-CA"/>
        </w:rPr>
      </w:pPr>
    </w:p>
    <w:p w14:paraId="4E81C21F" w14:textId="77777777" w:rsidR="00B8750B" w:rsidRPr="00B52637" w:rsidRDefault="00B8750B" w:rsidP="00563771">
      <w:pPr>
        <w:pStyle w:val="Casehead1"/>
        <w:rPr>
          <w:rFonts w:eastAsia="Calibri"/>
          <w:lang w:val="en-CA"/>
        </w:rPr>
      </w:pPr>
      <w:r w:rsidRPr="00B52637">
        <w:rPr>
          <w:rFonts w:eastAsia="Calibri"/>
          <w:lang w:val="en-CA"/>
        </w:rPr>
        <w:t>Competition</w:t>
      </w:r>
    </w:p>
    <w:p w14:paraId="63010F47" w14:textId="77777777" w:rsidR="00B8750B" w:rsidRPr="00B52637" w:rsidRDefault="00B8750B" w:rsidP="003F2DB7">
      <w:pPr>
        <w:pStyle w:val="BodyTextMain"/>
        <w:rPr>
          <w:rFonts w:eastAsia="Calibri"/>
          <w:lang w:val="en-CA"/>
        </w:rPr>
      </w:pPr>
    </w:p>
    <w:p w14:paraId="3AB405D6" w14:textId="2F31F109" w:rsidR="00B8750B" w:rsidRPr="00B52637" w:rsidRDefault="00B8750B" w:rsidP="00563771">
      <w:pPr>
        <w:pStyle w:val="Casehead2"/>
        <w:rPr>
          <w:rFonts w:eastAsia="Calibri"/>
          <w:lang w:val="en-CA"/>
        </w:rPr>
      </w:pPr>
      <w:r w:rsidRPr="00B52637">
        <w:rPr>
          <w:rFonts w:eastAsia="Calibri"/>
          <w:lang w:val="en-CA"/>
        </w:rPr>
        <w:t>MEC (www.mec.ca)</w:t>
      </w:r>
    </w:p>
    <w:p w14:paraId="6B80A69C" w14:textId="77777777" w:rsidR="00B8750B" w:rsidRPr="00B52637" w:rsidRDefault="00B8750B" w:rsidP="003F2DB7">
      <w:pPr>
        <w:pStyle w:val="BodyTextMain"/>
        <w:rPr>
          <w:rFonts w:eastAsia="Calibri"/>
          <w:lang w:val="en-CA"/>
        </w:rPr>
      </w:pPr>
    </w:p>
    <w:p w14:paraId="2750C3ED" w14:textId="553FE9D0" w:rsidR="00B8750B" w:rsidRPr="00B52637" w:rsidRDefault="00B8750B" w:rsidP="003F2DB7">
      <w:pPr>
        <w:pStyle w:val="BodyTextMain"/>
        <w:rPr>
          <w:rFonts w:eastAsia="Calibri"/>
          <w:lang w:val="en-CA"/>
        </w:rPr>
      </w:pPr>
      <w:r w:rsidRPr="00B52637">
        <w:rPr>
          <w:rFonts w:eastAsia="Calibri"/>
          <w:bCs/>
          <w:lang w:val="en-CA"/>
        </w:rPr>
        <w:t xml:space="preserve">MEC was a </w:t>
      </w:r>
      <w:r w:rsidR="00BC7461" w:rsidRPr="00B52637">
        <w:rPr>
          <w:rFonts w:eastAsia="Calibri"/>
          <w:bCs/>
          <w:lang w:val="en-CA"/>
        </w:rPr>
        <w:t>W</w:t>
      </w:r>
      <w:r w:rsidRPr="00B52637">
        <w:rPr>
          <w:rFonts w:eastAsia="Calibri"/>
          <w:bCs/>
          <w:lang w:val="en-CA"/>
        </w:rPr>
        <w:t xml:space="preserve">estern </w:t>
      </w:r>
      <w:r w:rsidRPr="00B52637">
        <w:rPr>
          <w:rFonts w:eastAsia="Calibri"/>
          <w:lang w:val="en-CA"/>
        </w:rPr>
        <w:t>Canadian-based retail co-operative (co-op), founded in 1971 as a way for co-op members to purchase expensive climbing gear at discounted prices</w:t>
      </w:r>
      <w:r w:rsidR="00AE7739" w:rsidRPr="00B52637">
        <w:rPr>
          <w:rFonts w:eastAsia="Calibri"/>
          <w:lang w:val="en-CA"/>
        </w:rPr>
        <w:t>.</w:t>
      </w:r>
      <w:r w:rsidR="00596329" w:rsidRPr="00B52637">
        <w:rPr>
          <w:rStyle w:val="EndnoteReference"/>
          <w:rFonts w:eastAsia="Calibri"/>
          <w:lang w:val="en-CA"/>
        </w:rPr>
        <w:endnoteReference w:id="42"/>
      </w:r>
      <w:r w:rsidRPr="00B52637">
        <w:rPr>
          <w:rFonts w:eastAsia="Calibri"/>
          <w:lang w:val="en-CA"/>
        </w:rPr>
        <w:t xml:space="preserve"> Building its association with wilderness exploration, environmental stewardship, and community</w:t>
      </w:r>
      <w:r w:rsidRPr="00B52637">
        <w:rPr>
          <w:rFonts w:eastAsia="Calibri"/>
          <w:bCs/>
          <w:lang w:val="en-CA"/>
        </w:rPr>
        <w:t xml:space="preserve">, MEC </w:t>
      </w:r>
      <w:r w:rsidRPr="00B52637">
        <w:rPr>
          <w:rFonts w:eastAsia="Calibri"/>
          <w:lang w:val="en-CA"/>
        </w:rPr>
        <w:t>sold outdoor gear and apparel from a variety of top brands and, with an in</w:t>
      </w:r>
      <w:r w:rsidR="00BC7461" w:rsidRPr="00B52637">
        <w:rPr>
          <w:rFonts w:eastAsia="Calibri"/>
          <w:lang w:val="en-CA"/>
        </w:rPr>
        <w:t>-</w:t>
      </w:r>
      <w:r w:rsidRPr="00B52637">
        <w:rPr>
          <w:rFonts w:eastAsia="Calibri"/>
          <w:lang w:val="en-CA"/>
        </w:rPr>
        <w:t>house design team established in 2003</w:t>
      </w:r>
      <w:r w:rsidR="00AE7739" w:rsidRPr="00B52637">
        <w:rPr>
          <w:rFonts w:eastAsia="Calibri"/>
          <w:lang w:val="en-CA"/>
        </w:rPr>
        <w:t>,</w:t>
      </w:r>
      <w:r w:rsidR="00596329" w:rsidRPr="00B52637">
        <w:rPr>
          <w:rStyle w:val="EndnoteReference"/>
          <w:rFonts w:eastAsia="Calibri"/>
          <w:lang w:val="en-CA"/>
        </w:rPr>
        <w:endnoteReference w:id="43"/>
      </w:r>
      <w:r w:rsidRPr="00B52637">
        <w:rPr>
          <w:rFonts w:eastAsia="Calibri"/>
          <w:lang w:val="en-CA"/>
        </w:rPr>
        <w:t xml:space="preserve"> developed its own branded line of outdoor products. MEC moved manufacturing overseas to support its goal of offering competitive performance</w:t>
      </w:r>
      <w:r w:rsidR="00114AD2" w:rsidRPr="00B52637">
        <w:rPr>
          <w:rFonts w:eastAsia="Calibri"/>
          <w:lang w:val="en-CA"/>
        </w:rPr>
        <w:t>,</w:t>
      </w:r>
      <w:r w:rsidR="00601F7D" w:rsidRPr="00B52637">
        <w:rPr>
          <w:rStyle w:val="EndnoteReference"/>
          <w:rFonts w:eastAsia="Calibri"/>
          <w:lang w:val="en-CA"/>
        </w:rPr>
        <w:endnoteReference w:id="44"/>
      </w:r>
      <w:r w:rsidRPr="00B52637">
        <w:rPr>
          <w:rFonts w:eastAsia="Calibri"/>
          <w:lang w:val="en-CA"/>
        </w:rPr>
        <w:t xml:space="preserve"> selling MEC </w:t>
      </w:r>
      <w:r w:rsidRPr="00B52637">
        <w:rPr>
          <w:rFonts w:eastAsia="Calibri"/>
          <w:lang w:val="en-CA"/>
        </w:rPr>
        <w:t xml:space="preserve">products at </w:t>
      </w:r>
      <w:r w:rsidR="00FC788C">
        <w:rPr>
          <w:rFonts w:eastAsia="Calibri"/>
          <w:lang w:val="en-CA"/>
        </w:rPr>
        <w:t>lower price</w:t>
      </w:r>
      <w:r w:rsidR="00FC788C">
        <w:rPr>
          <w:rFonts w:eastAsia="Calibri"/>
          <w:lang w:val="en-CA"/>
        </w:rPr>
        <w:t>s</w:t>
      </w:r>
      <w:r w:rsidR="00FC788C">
        <w:rPr>
          <w:rFonts w:eastAsia="Calibri"/>
          <w:lang w:val="en-CA"/>
        </w:rPr>
        <w:t xml:space="preserve"> </w:t>
      </w:r>
      <w:r w:rsidR="00F85226">
        <w:rPr>
          <w:rFonts w:eastAsia="Calibri"/>
          <w:lang w:val="en-CA"/>
        </w:rPr>
        <w:t>compared to</w:t>
      </w:r>
      <w:r w:rsidR="00796E52">
        <w:rPr>
          <w:rFonts w:eastAsia="Calibri"/>
          <w:lang w:val="en-CA"/>
        </w:rPr>
        <w:t xml:space="preserve"> </w:t>
      </w:r>
      <w:r w:rsidRPr="00B52637">
        <w:rPr>
          <w:rFonts w:eastAsia="Calibri"/>
          <w:lang w:val="en-CA"/>
        </w:rPr>
        <w:t>othe</w:t>
      </w:r>
      <w:r w:rsidR="00FC788C">
        <w:rPr>
          <w:rFonts w:eastAsia="Calibri"/>
          <w:lang w:val="en-CA"/>
        </w:rPr>
        <w:t>r popular</w:t>
      </w:r>
      <w:r w:rsidRPr="00B52637">
        <w:rPr>
          <w:rFonts w:eastAsia="Calibri"/>
          <w:lang w:val="en-CA"/>
        </w:rPr>
        <w:t xml:space="preserve"> brands; for example, MEC sold its Icefield Gloves </w:t>
      </w:r>
      <w:r w:rsidRPr="00B52637">
        <w:rPr>
          <w:rFonts w:eastAsia="Calibri"/>
          <w:lang w:val="en-CA"/>
        </w:rPr>
        <w:t>for $89.95</w:t>
      </w:r>
      <w:r w:rsidR="00AE7739" w:rsidRPr="00B52637">
        <w:rPr>
          <w:rFonts w:eastAsia="Calibri"/>
          <w:lang w:val="en-CA"/>
        </w:rPr>
        <w:t>;</w:t>
      </w:r>
      <w:r w:rsidR="00601F7D" w:rsidRPr="00B52637">
        <w:rPr>
          <w:rStyle w:val="EndnoteReference"/>
          <w:rFonts w:eastAsia="Calibri"/>
          <w:lang w:val="en-CA"/>
        </w:rPr>
        <w:endnoteReference w:id="45"/>
      </w:r>
      <w:r w:rsidRPr="00B52637">
        <w:rPr>
          <w:rFonts w:eastAsia="Calibri"/>
          <w:lang w:val="en-CA"/>
        </w:rPr>
        <w:t xml:space="preserve"> in comparison, Kombi’s Timeless Gloves sold for $94.95 (see Exhibit </w:t>
      </w:r>
      <w:r w:rsidR="008C340D" w:rsidRPr="00B52637">
        <w:rPr>
          <w:rFonts w:eastAsia="Calibri"/>
          <w:lang w:val="en-CA"/>
        </w:rPr>
        <w:t>9</w:t>
      </w:r>
      <w:r w:rsidRPr="00B52637">
        <w:rPr>
          <w:rFonts w:eastAsia="Calibri"/>
          <w:bCs/>
          <w:lang w:val="en-CA"/>
        </w:rPr>
        <w:t xml:space="preserve">). </w:t>
      </w:r>
      <w:r w:rsidRPr="00B52637">
        <w:rPr>
          <w:rFonts w:eastAsia="Calibri"/>
          <w:lang w:val="en-CA"/>
        </w:rPr>
        <w:t>As of 2020, MEC had 22 stores across Canada</w:t>
      </w:r>
      <w:r w:rsidR="00AE7739" w:rsidRPr="00B52637">
        <w:rPr>
          <w:rFonts w:eastAsia="Calibri"/>
          <w:lang w:val="en-CA"/>
        </w:rPr>
        <w:t>.</w:t>
      </w:r>
      <w:r w:rsidR="00601F7D" w:rsidRPr="00B52637">
        <w:rPr>
          <w:rStyle w:val="EndnoteReference"/>
          <w:rFonts w:eastAsia="Calibri"/>
          <w:lang w:val="en-CA"/>
        </w:rPr>
        <w:endnoteReference w:id="46"/>
      </w:r>
    </w:p>
    <w:p w14:paraId="60792520" w14:textId="2872AADD" w:rsidR="00B8750B" w:rsidRPr="00B52637" w:rsidRDefault="00B8750B" w:rsidP="003F2DB7">
      <w:pPr>
        <w:pStyle w:val="BodyTextMain"/>
        <w:rPr>
          <w:rFonts w:eastAsia="Calibri"/>
          <w:bCs/>
          <w:lang w:val="en-CA"/>
        </w:rPr>
      </w:pPr>
    </w:p>
    <w:p w14:paraId="52119D5A" w14:textId="77777777" w:rsidR="00B8750B" w:rsidRPr="00B52637" w:rsidRDefault="00B8750B" w:rsidP="003F2DB7">
      <w:pPr>
        <w:pStyle w:val="BodyTextMain"/>
        <w:rPr>
          <w:rFonts w:eastAsia="Calibri"/>
          <w:bCs/>
          <w:lang w:val="en-CA"/>
        </w:rPr>
      </w:pPr>
    </w:p>
    <w:p w14:paraId="029A6504" w14:textId="4FA553BB" w:rsidR="00B8750B" w:rsidRPr="00B52637" w:rsidRDefault="00B8750B" w:rsidP="00DA6BBE">
      <w:pPr>
        <w:pStyle w:val="Casehead2"/>
        <w:rPr>
          <w:rFonts w:eastAsia="Calibri"/>
          <w:bCs/>
          <w:lang w:val="en-CA"/>
        </w:rPr>
      </w:pPr>
      <w:r w:rsidRPr="00B52637">
        <w:rPr>
          <w:rFonts w:eastAsia="Calibri"/>
          <w:lang w:val="en-CA"/>
        </w:rPr>
        <w:t>Canada Goose Inc. (www.canadagoose.com)</w:t>
      </w:r>
    </w:p>
    <w:p w14:paraId="72EFE964" w14:textId="49CBFC67" w:rsidR="00B8750B" w:rsidRPr="00B52637" w:rsidRDefault="00B8750B" w:rsidP="003F2DB7">
      <w:pPr>
        <w:pStyle w:val="BodyTextMain"/>
        <w:rPr>
          <w:rFonts w:eastAsia="Calibri"/>
          <w:lang w:val="en-CA"/>
        </w:rPr>
      </w:pPr>
    </w:p>
    <w:p w14:paraId="13CA4AFC" w14:textId="7539358C" w:rsidR="00B8750B" w:rsidRPr="00B52637" w:rsidRDefault="00B8750B" w:rsidP="003F2DB7">
      <w:pPr>
        <w:pStyle w:val="BodyTextMain"/>
        <w:rPr>
          <w:rFonts w:eastAsia="Calibri"/>
          <w:lang w:val="en-CA"/>
        </w:rPr>
      </w:pPr>
      <w:r w:rsidRPr="00B52637">
        <w:rPr>
          <w:rFonts w:eastAsia="Calibri"/>
          <w:lang w:val="en-CA"/>
        </w:rPr>
        <w:t>Founded in Toronto in 1957 as Metro Sportswear Ltd., Canada Goose was a third-generation Canadian family business</w:t>
      </w:r>
      <w:r w:rsidR="00AE7739" w:rsidRPr="00B52637">
        <w:rPr>
          <w:rFonts w:eastAsia="Calibri"/>
          <w:lang w:val="en-CA"/>
        </w:rPr>
        <w:t>.</w:t>
      </w:r>
      <w:r w:rsidR="00601F7D" w:rsidRPr="00B52637">
        <w:rPr>
          <w:rStyle w:val="EndnoteReference"/>
          <w:rFonts w:eastAsia="Calibri"/>
          <w:lang w:val="en-CA"/>
        </w:rPr>
        <w:endnoteReference w:id="47"/>
      </w:r>
      <w:r w:rsidRPr="00B52637">
        <w:rPr>
          <w:rFonts w:eastAsia="Calibri"/>
          <w:lang w:val="en-CA"/>
        </w:rPr>
        <w:t xml:space="preserve"> Primarily a private label winter jacket manufacturer, Canada Goose moved fully into branded jackets and outerwear in 2001 with its Canada Goose line. With a focus on Canadian </w:t>
      </w:r>
      <w:r w:rsidR="00114AD2" w:rsidRPr="00B52637">
        <w:rPr>
          <w:rFonts w:eastAsia="Calibri"/>
          <w:lang w:val="en-CA"/>
        </w:rPr>
        <w:t>“</w:t>
      </w:r>
      <w:r w:rsidRPr="00B52637">
        <w:rPr>
          <w:rFonts w:eastAsia="Calibri"/>
          <w:lang w:val="en-CA"/>
        </w:rPr>
        <w:t xml:space="preserve">luxury” (many of </w:t>
      </w:r>
      <w:r w:rsidR="00114AD2" w:rsidRPr="00B52637">
        <w:rPr>
          <w:rFonts w:eastAsia="Calibri"/>
          <w:lang w:val="en-CA"/>
        </w:rPr>
        <w:t>its</w:t>
      </w:r>
      <w:r w:rsidRPr="00B52637">
        <w:rPr>
          <w:rFonts w:eastAsia="Calibri"/>
          <w:lang w:val="en-CA"/>
        </w:rPr>
        <w:t xml:space="preserve"> products were manufactured in Canada), the company went public in 2017.</w:t>
      </w:r>
      <w:r w:rsidR="00027EE5" w:rsidRPr="00B52637">
        <w:rPr>
          <w:rStyle w:val="EndnoteReference"/>
          <w:rFonts w:eastAsia="Calibri"/>
          <w:lang w:val="en-CA"/>
        </w:rPr>
        <w:endnoteReference w:id="48"/>
      </w:r>
    </w:p>
    <w:p w14:paraId="11411B57" w14:textId="77777777" w:rsidR="00B8750B" w:rsidRPr="00B52637" w:rsidRDefault="00B8750B" w:rsidP="003F2DB7">
      <w:pPr>
        <w:pStyle w:val="BodyTextMain"/>
        <w:rPr>
          <w:rFonts w:eastAsia="Calibri"/>
          <w:spacing w:val="-2"/>
          <w:lang w:val="en-CA"/>
        </w:rPr>
      </w:pPr>
    </w:p>
    <w:p w14:paraId="07BC3931" w14:textId="2EC82450" w:rsidR="00B8750B" w:rsidRPr="00B52637" w:rsidRDefault="00B8750B" w:rsidP="003F2DB7">
      <w:pPr>
        <w:pStyle w:val="BodyTextMain"/>
        <w:rPr>
          <w:rFonts w:eastAsia="Calibri"/>
          <w:spacing w:val="-2"/>
          <w:lang w:val="en-CA"/>
        </w:rPr>
      </w:pPr>
      <w:r w:rsidRPr="00B52637">
        <w:rPr>
          <w:rFonts w:eastAsia="Calibri"/>
          <w:spacing w:val="-2"/>
          <w:lang w:val="en-CA"/>
        </w:rPr>
        <w:t>Canada Goose sold DTC through websites and Canada Goose branded stores and sold wholesale to other retailers. In 2019, the company had approximately 2,700 employees and revenues of $830.5 million. Revenues by sales stream produced DTC gross profits of 75.3 per cent and wholesale profits of 48.1 per cent. DTC operating income (earnings before interest and taxes) was 54.4 per cent and wholesale was 37.3 per cent. As Canada Goose grew its retail operations through new stores in Canada and internationally a</w:t>
      </w:r>
      <w:r w:rsidR="00114AD2" w:rsidRPr="00B52637">
        <w:rPr>
          <w:rFonts w:eastAsia="Calibri"/>
          <w:spacing w:val="-2"/>
          <w:lang w:val="en-CA"/>
        </w:rPr>
        <w:t>s well as</w:t>
      </w:r>
      <w:r w:rsidRPr="00B52637">
        <w:rPr>
          <w:rFonts w:eastAsia="Calibri"/>
          <w:spacing w:val="-2"/>
          <w:lang w:val="en-CA"/>
        </w:rPr>
        <w:t xml:space="preserve"> through its websites, DTC sales grew from 28.5 to 51.9 per cent of total revenues from 2017 through 2019.</w:t>
      </w:r>
      <w:r w:rsidRPr="00B52637">
        <w:rPr>
          <w:rStyle w:val="EndnoteReference"/>
          <w:rFonts w:eastAsia="Calibri"/>
          <w:spacing w:val="-2"/>
          <w:lang w:val="en-CA"/>
        </w:rPr>
        <w:endnoteReference w:id="49"/>
      </w:r>
    </w:p>
    <w:p w14:paraId="46FCE70A" w14:textId="2650EF90" w:rsidR="00B8750B" w:rsidRPr="00B52637" w:rsidRDefault="00B8750B" w:rsidP="003F2DB7">
      <w:pPr>
        <w:pStyle w:val="BodyTextMain"/>
        <w:rPr>
          <w:rFonts w:eastAsia="Calibri"/>
          <w:lang w:val="en-CA"/>
        </w:rPr>
      </w:pPr>
    </w:p>
    <w:p w14:paraId="0A032030" w14:textId="77777777" w:rsidR="00B8750B" w:rsidRPr="00B52637" w:rsidRDefault="00B8750B" w:rsidP="003F2DB7">
      <w:pPr>
        <w:pStyle w:val="BodyTextMain"/>
        <w:rPr>
          <w:rFonts w:eastAsia="Calibri"/>
          <w:lang w:val="en-CA"/>
        </w:rPr>
      </w:pPr>
    </w:p>
    <w:p w14:paraId="22922826" w14:textId="478D6CBA" w:rsidR="00B8750B" w:rsidRPr="00B52637" w:rsidRDefault="00B8750B" w:rsidP="00563771">
      <w:pPr>
        <w:pStyle w:val="Casehead2"/>
        <w:rPr>
          <w:rFonts w:eastAsia="Calibri"/>
          <w:lang w:val="en-CA"/>
        </w:rPr>
      </w:pPr>
      <w:r w:rsidRPr="00B52637">
        <w:rPr>
          <w:rFonts w:eastAsia="Calibri"/>
          <w:lang w:val="en-CA"/>
        </w:rPr>
        <w:t>The North Face (</w:t>
      </w:r>
      <w:r w:rsidR="00926986" w:rsidRPr="00B52637">
        <w:rPr>
          <w:rFonts w:eastAsia="Calibri"/>
          <w:lang w:val="en-CA"/>
        </w:rPr>
        <w:t>www.thenorthface.com</w:t>
      </w:r>
      <w:r w:rsidRPr="00B52637">
        <w:rPr>
          <w:rFonts w:eastAsia="Calibri"/>
          <w:lang w:val="en-CA"/>
        </w:rPr>
        <w:t>)</w:t>
      </w:r>
    </w:p>
    <w:p w14:paraId="4B708120" w14:textId="77777777" w:rsidR="00B8750B" w:rsidRPr="00B52637" w:rsidRDefault="00B8750B" w:rsidP="003F2DB7">
      <w:pPr>
        <w:pStyle w:val="BodyTextMain"/>
        <w:rPr>
          <w:rFonts w:eastAsia="Calibri"/>
          <w:lang w:val="en-CA"/>
        </w:rPr>
      </w:pPr>
    </w:p>
    <w:p w14:paraId="10BEACDC" w14:textId="259B5A49" w:rsidR="00B8750B" w:rsidRPr="00B52637" w:rsidRDefault="00B8750B">
      <w:pPr>
        <w:pStyle w:val="BodyTextMain"/>
        <w:rPr>
          <w:rFonts w:eastAsia="Calibri"/>
          <w:lang w:val="en-CA"/>
        </w:rPr>
      </w:pPr>
      <w:r w:rsidRPr="00B52637">
        <w:rPr>
          <w:rFonts w:eastAsia="Calibri"/>
          <w:lang w:val="en-CA"/>
        </w:rPr>
        <w:t>Founded in San Francisco in 1966, The North Face started as a small retailer of climbing and backpacking equipment. By 1968, The North Face was developing its own innovative technical mountaineering apparel and equipment</w:t>
      </w:r>
      <w:r w:rsidR="001157B5" w:rsidRPr="00B52637">
        <w:rPr>
          <w:rFonts w:eastAsia="Calibri"/>
          <w:lang w:val="en-CA"/>
        </w:rPr>
        <w:t>.</w:t>
      </w:r>
      <w:r w:rsidR="000F45D4" w:rsidRPr="00B52637">
        <w:rPr>
          <w:rStyle w:val="EndnoteReference"/>
          <w:rFonts w:eastAsia="Calibri"/>
          <w:lang w:val="en-CA"/>
        </w:rPr>
        <w:endnoteReference w:id="50"/>
      </w:r>
      <w:r w:rsidRPr="00B52637">
        <w:rPr>
          <w:rFonts w:eastAsia="Calibri"/>
          <w:lang w:val="en-CA"/>
        </w:rPr>
        <w:t xml:space="preserve"> The quality of its products appealed to mountaineering enthusiasts, and its design flair appealed to more urban markets.</w:t>
      </w:r>
    </w:p>
    <w:p w14:paraId="0432FE49" w14:textId="77777777" w:rsidR="00B8750B" w:rsidRPr="00B52637" w:rsidRDefault="00B8750B">
      <w:pPr>
        <w:pStyle w:val="BodyTextMain"/>
        <w:rPr>
          <w:rFonts w:eastAsia="Calibri"/>
          <w:lang w:val="en-CA"/>
        </w:rPr>
      </w:pPr>
    </w:p>
    <w:p w14:paraId="31E0D7DE" w14:textId="11D23F49" w:rsidR="00B8750B" w:rsidRPr="002C342B" w:rsidRDefault="00B8750B">
      <w:pPr>
        <w:pStyle w:val="BodyTextMain"/>
        <w:rPr>
          <w:rFonts w:eastAsia="Calibri"/>
          <w:spacing w:val="-4"/>
          <w:kern w:val="22"/>
          <w:lang w:val="en-CA"/>
        </w:rPr>
      </w:pPr>
      <w:r w:rsidRPr="002C342B">
        <w:rPr>
          <w:rFonts w:eastAsia="Calibri"/>
          <w:spacing w:val="-4"/>
          <w:kern w:val="22"/>
          <w:lang w:val="en-CA"/>
        </w:rPr>
        <w:t>Throughout the 1990s, The North Face’s apparel became more broadly fashionable among “North Face Collectors,” such as rappers, urban school kids, and jacket aficionados.</w:t>
      </w:r>
      <w:r w:rsidRPr="002C342B">
        <w:rPr>
          <w:rStyle w:val="EndnoteReference"/>
          <w:rFonts w:eastAsia="Calibri"/>
          <w:spacing w:val="-4"/>
          <w:kern w:val="22"/>
          <w:lang w:val="en-CA"/>
        </w:rPr>
        <w:endnoteReference w:id="51"/>
      </w:r>
      <w:r w:rsidRPr="002C342B">
        <w:rPr>
          <w:rFonts w:eastAsia="Calibri"/>
          <w:spacing w:val="-4"/>
          <w:kern w:val="22"/>
          <w:lang w:val="en-CA"/>
        </w:rPr>
        <w:t xml:space="preserve"> In response, The North Face expanded its brand mantra of “Never Stop Exploring” to include artistic and creative exploration more broadly.</w:t>
      </w:r>
    </w:p>
    <w:p w14:paraId="64F43DF1" w14:textId="43B7478D" w:rsidR="00B8750B" w:rsidRPr="00796E52" w:rsidRDefault="00B8750B">
      <w:pPr>
        <w:pStyle w:val="BodyTextMain"/>
        <w:rPr>
          <w:rFonts w:eastAsia="Calibri"/>
          <w:sz w:val="20"/>
          <w:szCs w:val="14"/>
          <w:lang w:val="en-CA"/>
        </w:rPr>
      </w:pPr>
    </w:p>
    <w:p w14:paraId="470393C7" w14:textId="0F320C2B" w:rsidR="00B8750B" w:rsidRPr="00B52637" w:rsidRDefault="00B8750B">
      <w:pPr>
        <w:pStyle w:val="BodyTextMain"/>
        <w:rPr>
          <w:rFonts w:eastAsia="Calibri"/>
          <w:lang w:val="en-CA"/>
        </w:rPr>
      </w:pPr>
      <w:r w:rsidRPr="00B52637">
        <w:rPr>
          <w:rFonts w:eastAsia="Calibri"/>
          <w:lang w:val="en-CA"/>
        </w:rPr>
        <w:lastRenderedPageBreak/>
        <w:t>The brand had multiple product lines with different price points and performance characteristics. Its Summit Series and Steep Series lines were designed for extreme sports and conditions</w:t>
      </w:r>
      <w:r w:rsidR="001157B5" w:rsidRPr="00B52637">
        <w:rPr>
          <w:rFonts w:eastAsia="Calibri"/>
          <w:lang w:val="en-CA"/>
        </w:rPr>
        <w:t>.</w:t>
      </w:r>
      <w:r w:rsidR="000F45D4" w:rsidRPr="00B52637">
        <w:rPr>
          <w:rStyle w:val="EndnoteReference"/>
          <w:rFonts w:eastAsia="Calibri"/>
          <w:lang w:val="en-CA"/>
        </w:rPr>
        <w:endnoteReference w:id="52"/>
      </w:r>
      <w:r w:rsidRPr="00B52637">
        <w:rPr>
          <w:rFonts w:eastAsia="Calibri"/>
          <w:lang w:val="en-CA"/>
        </w:rPr>
        <w:t xml:space="preserve"> By 2019, The North Face products were sold in over 5,000 stores across 50 countries</w:t>
      </w:r>
      <w:r w:rsidR="001157B5" w:rsidRPr="00B52637">
        <w:rPr>
          <w:rFonts w:eastAsia="Calibri"/>
          <w:lang w:val="en-CA"/>
        </w:rPr>
        <w:t>.</w:t>
      </w:r>
      <w:r w:rsidR="006A1666" w:rsidRPr="00B52637">
        <w:rPr>
          <w:rStyle w:val="EndnoteReference"/>
          <w:rFonts w:eastAsia="Calibri"/>
          <w:lang w:val="en-CA"/>
        </w:rPr>
        <w:endnoteReference w:id="53"/>
      </w:r>
      <w:r w:rsidRPr="00B52637">
        <w:rPr>
          <w:rFonts w:eastAsia="Calibri"/>
          <w:lang w:val="en-CA"/>
        </w:rPr>
        <w:t xml:space="preserve"> In 2000, the brand was purchased by the publicly owned VFC Group (which included other brands such as </w:t>
      </w:r>
      <w:proofErr w:type="spellStart"/>
      <w:r w:rsidRPr="00B52637">
        <w:rPr>
          <w:rFonts w:eastAsia="Calibri"/>
          <w:lang w:val="en-CA"/>
        </w:rPr>
        <w:t>Jansport</w:t>
      </w:r>
      <w:proofErr w:type="spellEnd"/>
      <w:r w:rsidRPr="00B52637">
        <w:rPr>
          <w:rFonts w:eastAsia="Calibri"/>
          <w:lang w:val="en-CA"/>
        </w:rPr>
        <w:t xml:space="preserve">, Kodiak, and </w:t>
      </w:r>
      <w:proofErr w:type="spellStart"/>
      <w:r w:rsidRPr="00B52637">
        <w:rPr>
          <w:rFonts w:eastAsia="Calibri"/>
          <w:lang w:val="en-CA"/>
        </w:rPr>
        <w:t>Smartwool</w:t>
      </w:r>
      <w:proofErr w:type="spellEnd"/>
      <w:r w:rsidRPr="00B52637">
        <w:rPr>
          <w:rFonts w:eastAsia="Calibri"/>
          <w:lang w:val="en-CA"/>
        </w:rPr>
        <w:t>).</w:t>
      </w:r>
      <w:r w:rsidRPr="00B52637">
        <w:rPr>
          <w:rStyle w:val="EndnoteReference"/>
          <w:rFonts w:eastAsia="Calibri"/>
          <w:lang w:val="en-CA"/>
        </w:rPr>
        <w:endnoteReference w:id="54"/>
      </w:r>
    </w:p>
    <w:p w14:paraId="27D965F2" w14:textId="0FF9B8A4" w:rsidR="00191A2C" w:rsidRDefault="00191A2C" w:rsidP="00796E52">
      <w:pPr>
        <w:pStyle w:val="Casehead2"/>
        <w:keepNext w:val="0"/>
        <w:rPr>
          <w:rFonts w:eastAsia="Calibri"/>
          <w:lang w:val="en-CA"/>
        </w:rPr>
      </w:pPr>
    </w:p>
    <w:p w14:paraId="7A2D2A84" w14:textId="77777777" w:rsidR="00796E52" w:rsidRPr="00796E52" w:rsidRDefault="00796E52" w:rsidP="00796E52">
      <w:pPr>
        <w:pStyle w:val="BodyTextMain"/>
        <w:rPr>
          <w:rFonts w:eastAsia="Calibri"/>
          <w:lang w:val="en-CA"/>
        </w:rPr>
      </w:pPr>
    </w:p>
    <w:p w14:paraId="6141D317" w14:textId="0E0D1B35" w:rsidR="00B8750B" w:rsidRPr="00B52637" w:rsidRDefault="00B8750B" w:rsidP="00796E52">
      <w:pPr>
        <w:pStyle w:val="Casehead2"/>
        <w:keepNext w:val="0"/>
        <w:rPr>
          <w:rFonts w:eastAsia="Calibri"/>
          <w:lang w:val="en-CA"/>
        </w:rPr>
      </w:pPr>
      <w:proofErr w:type="spellStart"/>
      <w:r w:rsidRPr="00B52637">
        <w:rPr>
          <w:rFonts w:eastAsia="Calibri"/>
          <w:lang w:val="en-CA"/>
        </w:rPr>
        <w:t>Swany</w:t>
      </w:r>
      <w:proofErr w:type="spellEnd"/>
      <w:r w:rsidRPr="00B52637">
        <w:rPr>
          <w:rFonts w:eastAsia="Calibri"/>
          <w:lang w:val="en-CA"/>
        </w:rPr>
        <w:t xml:space="preserve"> America Corporation (www.swanyamerica.com)</w:t>
      </w:r>
    </w:p>
    <w:p w14:paraId="1A134FD5" w14:textId="77777777" w:rsidR="00B8750B" w:rsidRPr="00B52637" w:rsidRDefault="00B8750B" w:rsidP="003F2DB7">
      <w:pPr>
        <w:pStyle w:val="BodyTextMain"/>
        <w:rPr>
          <w:rFonts w:eastAsia="Calibri"/>
          <w:lang w:val="en-CA"/>
        </w:rPr>
      </w:pPr>
    </w:p>
    <w:p w14:paraId="46127061" w14:textId="556A8DD9" w:rsidR="00B8750B" w:rsidRPr="00B52637" w:rsidRDefault="00B8750B" w:rsidP="003F2DB7">
      <w:pPr>
        <w:pStyle w:val="BodyTextMain"/>
        <w:rPr>
          <w:rFonts w:eastAsia="Calibri"/>
          <w:lang w:val="en-CA"/>
        </w:rPr>
      </w:pPr>
      <w:r w:rsidRPr="00B52637">
        <w:rPr>
          <w:rFonts w:eastAsia="Calibri"/>
          <w:lang w:val="en-CA"/>
        </w:rPr>
        <w:t>A private company known for its innovative Toaster Mitts,</w:t>
      </w:r>
      <w:r w:rsidRPr="00B52637">
        <w:rPr>
          <w:rStyle w:val="EndnoteReference"/>
          <w:rFonts w:eastAsia="Calibri"/>
          <w:lang w:val="en-CA"/>
        </w:rPr>
        <w:endnoteReference w:id="55"/>
      </w:r>
      <w:r w:rsidRPr="00B52637">
        <w:rPr>
          <w:rFonts w:eastAsia="Calibri"/>
          <w:lang w:val="en-CA"/>
        </w:rPr>
        <w:t xml:space="preserve"> </w:t>
      </w:r>
      <w:proofErr w:type="spellStart"/>
      <w:r w:rsidRPr="00B52637">
        <w:rPr>
          <w:rFonts w:eastAsia="Calibri"/>
          <w:lang w:val="en-CA"/>
        </w:rPr>
        <w:t>Swany</w:t>
      </w:r>
      <w:proofErr w:type="spellEnd"/>
      <w:r w:rsidRPr="00B52637">
        <w:rPr>
          <w:rFonts w:eastAsia="Calibri"/>
          <w:lang w:val="en-CA"/>
        </w:rPr>
        <w:t xml:space="preserve"> America was created from a 1987 merger between Elmer Little &amp; Sons (founded in 1893) and </w:t>
      </w:r>
      <w:proofErr w:type="spellStart"/>
      <w:r w:rsidRPr="00B52637">
        <w:rPr>
          <w:rFonts w:eastAsia="Calibri"/>
          <w:lang w:val="en-CA"/>
        </w:rPr>
        <w:t>Swany</w:t>
      </w:r>
      <w:proofErr w:type="spellEnd"/>
      <w:r w:rsidRPr="00B52637">
        <w:rPr>
          <w:rFonts w:eastAsia="Calibri"/>
          <w:lang w:val="en-CA"/>
        </w:rPr>
        <w:t xml:space="preserve"> Corporation</w:t>
      </w:r>
      <w:r w:rsidR="00017031" w:rsidRPr="00B52637">
        <w:rPr>
          <w:rFonts w:eastAsia="Calibri"/>
          <w:lang w:val="en-CA"/>
        </w:rPr>
        <w:t>.</w:t>
      </w:r>
      <w:r w:rsidR="00CC1C27" w:rsidRPr="00B52637">
        <w:rPr>
          <w:rStyle w:val="EndnoteReference"/>
          <w:rFonts w:eastAsia="Calibri"/>
          <w:lang w:val="en-CA"/>
        </w:rPr>
        <w:endnoteReference w:id="56"/>
      </w:r>
    </w:p>
    <w:p w14:paraId="346908C0" w14:textId="77777777" w:rsidR="00B8750B" w:rsidRPr="00B52637" w:rsidRDefault="00B8750B" w:rsidP="003F2DB7">
      <w:pPr>
        <w:pStyle w:val="BodyTextMain"/>
        <w:rPr>
          <w:rFonts w:eastAsia="Calibri"/>
          <w:lang w:val="en-CA"/>
        </w:rPr>
      </w:pPr>
    </w:p>
    <w:p w14:paraId="44B25B87" w14:textId="73B5FB77" w:rsidR="001B6DFE" w:rsidRPr="00B52637" w:rsidRDefault="00B8750B" w:rsidP="003F2DB7">
      <w:pPr>
        <w:pStyle w:val="BodyTextMain"/>
        <w:rPr>
          <w:rFonts w:eastAsia="Calibri"/>
          <w:lang w:val="en-CA"/>
        </w:rPr>
      </w:pPr>
      <w:r w:rsidRPr="00B52637">
        <w:rPr>
          <w:rFonts w:eastAsia="Calibri"/>
          <w:lang w:val="en-CA"/>
        </w:rPr>
        <w:t xml:space="preserve">The company enjoyed early niche success in the 1980s with </w:t>
      </w:r>
      <w:proofErr w:type="spellStart"/>
      <w:r w:rsidRPr="00B52637">
        <w:rPr>
          <w:rFonts w:eastAsia="Calibri"/>
          <w:lang w:val="en-CA"/>
        </w:rPr>
        <w:t>Freezy</w:t>
      </w:r>
      <w:proofErr w:type="spellEnd"/>
      <w:r w:rsidRPr="00B52637">
        <w:rPr>
          <w:rFonts w:eastAsia="Calibri"/>
          <w:lang w:val="en-CA"/>
        </w:rPr>
        <w:t xml:space="preserve"> </w:t>
      </w:r>
      <w:proofErr w:type="spellStart"/>
      <w:r w:rsidRPr="00B52637">
        <w:rPr>
          <w:rFonts w:eastAsia="Calibri"/>
          <w:lang w:val="en-CA"/>
        </w:rPr>
        <w:t>Freakies</w:t>
      </w:r>
      <w:proofErr w:type="spellEnd"/>
      <w:r w:rsidRPr="00B52637">
        <w:rPr>
          <w:rFonts w:eastAsia="Calibri"/>
          <w:lang w:val="en-CA"/>
        </w:rPr>
        <w:t xml:space="preserve">, children’s gloves that changed colours with the ambient temperature. In 1990, </w:t>
      </w:r>
      <w:proofErr w:type="spellStart"/>
      <w:r w:rsidRPr="00B52637">
        <w:rPr>
          <w:rFonts w:eastAsia="Calibri"/>
          <w:lang w:val="en-CA"/>
        </w:rPr>
        <w:t>Swany</w:t>
      </w:r>
      <w:proofErr w:type="spellEnd"/>
      <w:r w:rsidRPr="00B52637">
        <w:rPr>
          <w:rFonts w:eastAsia="Calibri"/>
          <w:lang w:val="en-CA"/>
        </w:rPr>
        <w:t xml:space="preserve"> oriented primarily toward the high-quality ski glove market, focusing on textile technologies and functional glove designs. It was a relative latecomer to the performance segment, but the company gained brand awareness by selectively sponsoring and partnering with ski professionals and winter sport athletes in the United States, Canada, the United Kingdom, and Switzerland.</w:t>
      </w:r>
      <w:r w:rsidR="00FD64EA" w:rsidRPr="00B52637">
        <w:rPr>
          <w:rFonts w:eastAsia="Calibri"/>
          <w:lang w:val="en-CA"/>
        </w:rPr>
        <w:t xml:space="preserve"> </w:t>
      </w:r>
      <w:r w:rsidR="00CB06D6" w:rsidRPr="00B52637">
        <w:rPr>
          <w:rFonts w:eastAsia="Calibri"/>
          <w:lang w:val="en-CA"/>
        </w:rPr>
        <w:t xml:space="preserve">In recent years, </w:t>
      </w:r>
      <w:proofErr w:type="spellStart"/>
      <w:r w:rsidR="00CB06D6" w:rsidRPr="00B52637">
        <w:rPr>
          <w:rFonts w:eastAsia="Calibri"/>
          <w:lang w:val="en-CA"/>
        </w:rPr>
        <w:t>Swany</w:t>
      </w:r>
      <w:proofErr w:type="spellEnd"/>
      <w:r w:rsidR="00CB06D6" w:rsidRPr="00B52637">
        <w:rPr>
          <w:rFonts w:eastAsia="Calibri"/>
          <w:lang w:val="en-CA"/>
        </w:rPr>
        <w:t xml:space="preserve"> </w:t>
      </w:r>
      <w:r w:rsidR="00D46004" w:rsidRPr="00B52637">
        <w:rPr>
          <w:rFonts w:eastAsia="Calibri"/>
          <w:lang w:val="en-CA"/>
        </w:rPr>
        <w:t xml:space="preserve">had </w:t>
      </w:r>
      <w:r w:rsidR="00CB06D6" w:rsidRPr="00B52637">
        <w:rPr>
          <w:rFonts w:eastAsia="Calibri"/>
          <w:lang w:val="en-CA"/>
        </w:rPr>
        <w:t xml:space="preserve">expanded its glove lines to other </w:t>
      </w:r>
      <w:r w:rsidR="001B6DFE" w:rsidRPr="00B52637">
        <w:rPr>
          <w:rFonts w:eastAsia="Calibri"/>
          <w:lang w:val="en-CA"/>
        </w:rPr>
        <w:t>“</w:t>
      </w:r>
      <w:r w:rsidR="00CB06D6" w:rsidRPr="00B52637">
        <w:rPr>
          <w:rFonts w:eastAsia="Calibri"/>
          <w:lang w:val="en-CA"/>
        </w:rPr>
        <w:t>mountain culture</w:t>
      </w:r>
      <w:r w:rsidR="001B6DFE" w:rsidRPr="00B52637">
        <w:rPr>
          <w:rFonts w:eastAsia="Calibri"/>
          <w:lang w:val="en-CA"/>
        </w:rPr>
        <w:t>”</w:t>
      </w:r>
      <w:r w:rsidR="00CB06D6" w:rsidRPr="00B52637">
        <w:rPr>
          <w:rFonts w:eastAsia="Calibri"/>
          <w:lang w:val="en-CA"/>
        </w:rPr>
        <w:t xml:space="preserve"> activities such as mountain biking.</w:t>
      </w:r>
    </w:p>
    <w:p w14:paraId="5ECE4484" w14:textId="77777777" w:rsidR="001B6DFE" w:rsidRPr="00B52637" w:rsidRDefault="001B6DFE" w:rsidP="003F2DB7">
      <w:pPr>
        <w:pStyle w:val="BodyTextMain"/>
        <w:rPr>
          <w:rFonts w:eastAsia="Calibri"/>
          <w:lang w:val="en-CA"/>
        </w:rPr>
      </w:pPr>
    </w:p>
    <w:p w14:paraId="354C0E78" w14:textId="277CEB55" w:rsidR="00CB06D6" w:rsidRPr="00B52637" w:rsidRDefault="00CB06D6" w:rsidP="003F2DB7">
      <w:pPr>
        <w:pStyle w:val="BodyTextMain"/>
        <w:rPr>
          <w:rFonts w:eastAsia="Calibri"/>
          <w:lang w:val="en-CA"/>
        </w:rPr>
      </w:pPr>
      <w:proofErr w:type="spellStart"/>
      <w:r w:rsidRPr="00B52637">
        <w:rPr>
          <w:rFonts w:eastAsia="Calibri"/>
          <w:lang w:val="en-CA"/>
        </w:rPr>
        <w:t>Swany</w:t>
      </w:r>
      <w:proofErr w:type="spellEnd"/>
      <w:r w:rsidRPr="00B52637">
        <w:rPr>
          <w:rFonts w:eastAsia="Calibri"/>
          <w:lang w:val="en-CA"/>
        </w:rPr>
        <w:t xml:space="preserve"> was sold online </w:t>
      </w:r>
      <w:r w:rsidR="001B6DFE" w:rsidRPr="00B52637">
        <w:rPr>
          <w:rFonts w:eastAsia="Calibri"/>
          <w:lang w:val="en-CA"/>
        </w:rPr>
        <w:t xml:space="preserve">through its own website and through </w:t>
      </w:r>
      <w:r w:rsidRPr="00B52637">
        <w:rPr>
          <w:rFonts w:eastAsia="Calibri"/>
          <w:lang w:val="en-CA"/>
        </w:rPr>
        <w:t>retailers across the U</w:t>
      </w:r>
      <w:r w:rsidR="001B6DFE" w:rsidRPr="00B52637">
        <w:rPr>
          <w:rFonts w:eastAsia="Calibri"/>
          <w:lang w:val="en-CA"/>
        </w:rPr>
        <w:t xml:space="preserve">nited </w:t>
      </w:r>
      <w:r w:rsidRPr="00B52637">
        <w:rPr>
          <w:rFonts w:eastAsia="Calibri"/>
          <w:lang w:val="en-CA"/>
        </w:rPr>
        <w:t>S</w:t>
      </w:r>
      <w:r w:rsidR="001B6DFE" w:rsidRPr="00B52637">
        <w:rPr>
          <w:rFonts w:eastAsia="Calibri"/>
          <w:lang w:val="en-CA"/>
        </w:rPr>
        <w:t>tates</w:t>
      </w:r>
      <w:r w:rsidRPr="00B52637">
        <w:rPr>
          <w:rFonts w:eastAsia="Calibri"/>
          <w:lang w:val="en-CA"/>
        </w:rPr>
        <w:t xml:space="preserve"> and Canada. </w:t>
      </w:r>
      <w:r w:rsidRPr="00B52637">
        <w:rPr>
          <w:rFonts w:eastAsia="Calibri"/>
          <w:lang w:val="en-CA"/>
        </w:rPr>
        <w:t xml:space="preserve">Of </w:t>
      </w:r>
      <w:proofErr w:type="spellStart"/>
      <w:r w:rsidR="00D46004" w:rsidRPr="00B52637">
        <w:rPr>
          <w:rFonts w:eastAsia="Calibri"/>
          <w:lang w:val="en-CA"/>
        </w:rPr>
        <w:t>Swany’s</w:t>
      </w:r>
      <w:proofErr w:type="spellEnd"/>
      <w:r w:rsidR="00D46004" w:rsidRPr="00B52637">
        <w:rPr>
          <w:rFonts w:eastAsia="Calibri"/>
          <w:lang w:val="en-CA"/>
        </w:rPr>
        <w:t xml:space="preserve"> </w:t>
      </w:r>
      <w:r w:rsidRPr="00B52637">
        <w:rPr>
          <w:rFonts w:eastAsia="Calibri"/>
          <w:lang w:val="en-CA"/>
        </w:rPr>
        <w:t>120</w:t>
      </w:r>
      <w:r w:rsidR="00191A2C">
        <w:rPr>
          <w:rFonts w:eastAsia="Calibri"/>
          <w:lang w:val="en-CA"/>
        </w:rPr>
        <w:t>+</w:t>
      </w:r>
      <w:r w:rsidRPr="00B52637">
        <w:rPr>
          <w:rFonts w:eastAsia="Calibri"/>
          <w:lang w:val="en-CA"/>
        </w:rPr>
        <w:t xml:space="preserve"> products, only </w:t>
      </w:r>
      <w:r w:rsidR="001B6DFE" w:rsidRPr="00B52637">
        <w:rPr>
          <w:rFonts w:eastAsia="Calibri"/>
          <w:lang w:val="en-CA"/>
        </w:rPr>
        <w:t xml:space="preserve">nine </w:t>
      </w:r>
      <w:r w:rsidRPr="00B52637">
        <w:rPr>
          <w:rFonts w:eastAsia="Calibri"/>
          <w:lang w:val="en-CA"/>
        </w:rPr>
        <w:t>were neither gloves nor mitts</w:t>
      </w:r>
      <w:r w:rsidR="00017031" w:rsidRPr="00B52637">
        <w:rPr>
          <w:rFonts w:eastAsia="Calibri"/>
          <w:lang w:val="en-CA"/>
        </w:rPr>
        <w:t>.</w:t>
      </w:r>
      <w:r w:rsidR="00CC1C27" w:rsidRPr="00B52637">
        <w:rPr>
          <w:rStyle w:val="EndnoteReference"/>
          <w:rFonts w:eastAsia="Calibri"/>
          <w:lang w:val="en-CA"/>
        </w:rPr>
        <w:endnoteReference w:id="57"/>
      </w:r>
    </w:p>
    <w:p w14:paraId="41D3E7C3" w14:textId="21198A5C" w:rsidR="00CB06D6" w:rsidRPr="00B52637" w:rsidRDefault="00CB06D6">
      <w:pPr>
        <w:pStyle w:val="BodyTextMain"/>
        <w:rPr>
          <w:rFonts w:eastAsia="Calibri"/>
          <w:lang w:val="en-CA"/>
        </w:rPr>
      </w:pPr>
    </w:p>
    <w:p w14:paraId="6BDDBFF0" w14:textId="77777777" w:rsidR="00563771" w:rsidRPr="00B52637" w:rsidRDefault="00563771">
      <w:pPr>
        <w:pStyle w:val="BodyTextMain"/>
        <w:rPr>
          <w:rFonts w:eastAsia="Calibri"/>
          <w:lang w:val="en-CA"/>
        </w:rPr>
      </w:pPr>
    </w:p>
    <w:p w14:paraId="796EF954" w14:textId="6B84FDDB" w:rsidR="00CB06D6" w:rsidRPr="00B52637" w:rsidRDefault="00CB06D6" w:rsidP="00563771">
      <w:pPr>
        <w:pStyle w:val="Casehead1"/>
        <w:rPr>
          <w:rFonts w:eastAsia="Calibri"/>
          <w:lang w:val="en-CA"/>
        </w:rPr>
      </w:pPr>
      <w:r w:rsidRPr="00B52637">
        <w:rPr>
          <w:rFonts w:eastAsia="Calibri"/>
          <w:lang w:val="en-CA"/>
        </w:rPr>
        <w:t>Conclusion</w:t>
      </w:r>
    </w:p>
    <w:p w14:paraId="31601563" w14:textId="77777777" w:rsidR="00CB06D6" w:rsidRPr="00B52637" w:rsidRDefault="00CB06D6" w:rsidP="00563771">
      <w:pPr>
        <w:pStyle w:val="BodyTextMain"/>
        <w:rPr>
          <w:rFonts w:eastAsia="Calibri"/>
          <w:lang w:val="en-CA"/>
        </w:rPr>
      </w:pPr>
    </w:p>
    <w:p w14:paraId="4E2132D5" w14:textId="34E52465" w:rsidR="00223EF4" w:rsidRPr="00B52637" w:rsidRDefault="00CB06D6" w:rsidP="00563771">
      <w:pPr>
        <w:pStyle w:val="BodyTextMain"/>
        <w:rPr>
          <w:rFonts w:eastAsia="Calibri"/>
          <w:lang w:val="en-CA"/>
        </w:rPr>
      </w:pPr>
      <w:r w:rsidRPr="00B52637">
        <w:rPr>
          <w:rFonts w:eastAsia="Calibri"/>
          <w:lang w:val="en-CA"/>
        </w:rPr>
        <w:t>Kombi had successfully leveraged its history of innovation and Canadian identity to expand beyond performance ski products and into urban and family market segments. Yet its reliance on retailers weighed heavily on Mark</w:t>
      </w:r>
      <w:r w:rsidR="00D46004" w:rsidRPr="00B52637">
        <w:rPr>
          <w:rFonts w:eastAsia="Calibri"/>
          <w:lang w:val="en-CA"/>
        </w:rPr>
        <w:t>, the company’s CEO,</w:t>
      </w:r>
      <w:r w:rsidRPr="00B52637">
        <w:rPr>
          <w:rFonts w:eastAsia="Calibri"/>
          <w:lang w:val="en-CA"/>
        </w:rPr>
        <w:t xml:space="preserve"> given the changing retail industry. Mark</w:t>
      </w:r>
      <w:r w:rsidR="0015125F" w:rsidRPr="00B52637">
        <w:rPr>
          <w:rFonts w:eastAsia="Calibri"/>
          <w:lang w:val="en-CA"/>
        </w:rPr>
        <w:t xml:space="preserve"> </w:t>
      </w:r>
      <w:r w:rsidR="006F1209" w:rsidRPr="00B52637">
        <w:rPr>
          <w:rFonts w:eastAsia="Calibri"/>
          <w:lang w:val="en-CA"/>
        </w:rPr>
        <w:t xml:space="preserve">considered a </w:t>
      </w:r>
      <w:r w:rsidR="00D46004" w:rsidRPr="00B52637">
        <w:rPr>
          <w:rFonts w:eastAsia="Calibri"/>
          <w:lang w:val="en-CA"/>
        </w:rPr>
        <w:t>couple of</w:t>
      </w:r>
      <w:r w:rsidR="0015125F" w:rsidRPr="00B52637">
        <w:rPr>
          <w:rFonts w:eastAsia="Calibri"/>
          <w:lang w:val="en-CA"/>
        </w:rPr>
        <w:t xml:space="preserve"> </w:t>
      </w:r>
      <w:r w:rsidR="00D46004" w:rsidRPr="00B52637">
        <w:rPr>
          <w:rFonts w:eastAsia="Calibri"/>
          <w:lang w:val="en-CA"/>
        </w:rPr>
        <w:t xml:space="preserve">key </w:t>
      </w:r>
      <w:r w:rsidR="0015125F" w:rsidRPr="00B52637">
        <w:rPr>
          <w:rFonts w:eastAsia="Calibri"/>
          <w:lang w:val="en-CA"/>
        </w:rPr>
        <w:t>questions</w:t>
      </w:r>
      <w:r w:rsidR="006F1209" w:rsidRPr="00B52637">
        <w:rPr>
          <w:rFonts w:eastAsia="Calibri"/>
          <w:lang w:val="en-CA"/>
        </w:rPr>
        <w:t>:</w:t>
      </w:r>
      <w:r w:rsidR="0015125F" w:rsidRPr="00B52637">
        <w:rPr>
          <w:rFonts w:eastAsia="Calibri"/>
          <w:lang w:val="en-CA"/>
        </w:rPr>
        <w:t xml:space="preserve"> W</w:t>
      </w:r>
      <w:r w:rsidRPr="00B52637">
        <w:rPr>
          <w:rFonts w:eastAsia="Calibri"/>
          <w:lang w:val="en-CA"/>
        </w:rPr>
        <w:t xml:space="preserve">hat avenues </w:t>
      </w:r>
      <w:r w:rsidR="006F1209" w:rsidRPr="00B52637">
        <w:rPr>
          <w:rFonts w:eastAsia="Calibri"/>
          <w:lang w:val="en-CA"/>
        </w:rPr>
        <w:t xml:space="preserve">of </w:t>
      </w:r>
      <w:r w:rsidRPr="00B52637">
        <w:rPr>
          <w:rFonts w:eastAsia="Calibri"/>
          <w:lang w:val="en-CA"/>
        </w:rPr>
        <w:t>grow</w:t>
      </w:r>
      <w:r w:rsidR="0015125F" w:rsidRPr="00B52637">
        <w:rPr>
          <w:rFonts w:eastAsia="Calibri"/>
          <w:lang w:val="en-CA"/>
        </w:rPr>
        <w:t>th</w:t>
      </w:r>
      <w:r w:rsidRPr="00B52637">
        <w:rPr>
          <w:rFonts w:eastAsia="Calibri"/>
          <w:lang w:val="en-CA"/>
        </w:rPr>
        <w:t xml:space="preserve"> </w:t>
      </w:r>
      <w:r w:rsidR="006F1209" w:rsidRPr="00B52637">
        <w:rPr>
          <w:rFonts w:eastAsia="Calibri"/>
          <w:lang w:val="en-CA"/>
        </w:rPr>
        <w:t xml:space="preserve">could </w:t>
      </w:r>
      <w:r w:rsidR="0015125F" w:rsidRPr="00B52637">
        <w:rPr>
          <w:rFonts w:eastAsia="Calibri"/>
          <w:lang w:val="en-CA"/>
        </w:rPr>
        <w:t>Kombi</w:t>
      </w:r>
      <w:r w:rsidR="006F1209" w:rsidRPr="00B52637">
        <w:rPr>
          <w:rFonts w:eastAsia="Calibri"/>
          <w:lang w:val="en-CA"/>
        </w:rPr>
        <w:t xml:space="preserve"> pursue when it</w:t>
      </w:r>
      <w:r w:rsidR="0015125F" w:rsidRPr="00B52637">
        <w:rPr>
          <w:rFonts w:eastAsia="Calibri"/>
          <w:lang w:val="en-CA"/>
        </w:rPr>
        <w:t xml:space="preserve">s </w:t>
      </w:r>
      <w:r w:rsidRPr="00B52637">
        <w:rPr>
          <w:rFonts w:eastAsia="Calibri"/>
          <w:lang w:val="en-CA"/>
        </w:rPr>
        <w:t xml:space="preserve">retail partners were increasingly struggling? </w:t>
      </w:r>
      <w:r w:rsidR="0015125F" w:rsidRPr="00B52637">
        <w:rPr>
          <w:rFonts w:eastAsia="Calibri"/>
          <w:lang w:val="en-CA"/>
        </w:rPr>
        <w:t>W</w:t>
      </w:r>
      <w:r w:rsidRPr="00B52637">
        <w:rPr>
          <w:rFonts w:eastAsia="Calibri"/>
          <w:lang w:val="en-CA"/>
        </w:rPr>
        <w:t xml:space="preserve">here should </w:t>
      </w:r>
      <w:r w:rsidR="006F1209" w:rsidRPr="00B52637">
        <w:rPr>
          <w:rFonts w:eastAsia="Calibri"/>
          <w:lang w:val="en-CA"/>
        </w:rPr>
        <w:t xml:space="preserve">Mark </w:t>
      </w:r>
      <w:r w:rsidRPr="00B52637">
        <w:rPr>
          <w:rFonts w:eastAsia="Calibri"/>
          <w:lang w:val="en-CA"/>
        </w:rPr>
        <w:t xml:space="preserve">focus </w:t>
      </w:r>
      <w:r w:rsidR="006F1209" w:rsidRPr="00B52637">
        <w:rPr>
          <w:rFonts w:eastAsia="Calibri"/>
          <w:lang w:val="en-CA"/>
        </w:rPr>
        <w:t xml:space="preserve">Kombi’s </w:t>
      </w:r>
      <w:r w:rsidRPr="00B52637">
        <w:rPr>
          <w:rFonts w:eastAsia="Calibri"/>
          <w:lang w:val="en-CA"/>
        </w:rPr>
        <w:t xml:space="preserve">efforts to build </w:t>
      </w:r>
      <w:r w:rsidR="006F1209" w:rsidRPr="00B52637">
        <w:rPr>
          <w:rFonts w:eastAsia="Calibri"/>
          <w:lang w:val="en-CA"/>
        </w:rPr>
        <w:t xml:space="preserve">the brand </w:t>
      </w:r>
      <w:r w:rsidRPr="00B52637">
        <w:rPr>
          <w:rFonts w:eastAsia="Calibri"/>
          <w:lang w:val="en-CA"/>
        </w:rPr>
        <w:t xml:space="preserve">into the </w:t>
      </w:r>
      <w:r w:rsidR="005108DA" w:rsidRPr="00B52637">
        <w:rPr>
          <w:rFonts w:eastAsia="Calibri"/>
          <w:lang w:val="en-CA"/>
        </w:rPr>
        <w:t>“</w:t>
      </w:r>
      <w:r w:rsidRPr="00B52637">
        <w:rPr>
          <w:rFonts w:eastAsia="Calibri"/>
          <w:lang w:val="en-CA"/>
        </w:rPr>
        <w:t>the best-known winter accessory brand world-wide, starting with Canada</w:t>
      </w:r>
      <w:r w:rsidR="005108DA" w:rsidRPr="00B52637">
        <w:rPr>
          <w:rFonts w:eastAsia="Calibri"/>
          <w:lang w:val="en-CA"/>
        </w:rPr>
        <w:t>”</w:t>
      </w:r>
      <w:r w:rsidRPr="00B52637">
        <w:rPr>
          <w:rFonts w:eastAsia="Calibri"/>
          <w:lang w:val="en-CA"/>
        </w:rPr>
        <w:t>?</w:t>
      </w:r>
    </w:p>
    <w:p w14:paraId="638182B1" w14:textId="53E37264" w:rsidR="006262A2" w:rsidRPr="00B52637" w:rsidRDefault="006262A2" w:rsidP="00563771">
      <w:pPr>
        <w:pStyle w:val="BodyTextMain"/>
        <w:rPr>
          <w:rFonts w:eastAsia="Calibri"/>
          <w:lang w:val="en-CA"/>
        </w:rPr>
      </w:pPr>
      <w:r w:rsidRPr="00B52637">
        <w:rPr>
          <w:rFonts w:eastAsia="Calibri"/>
          <w:noProof/>
          <w:lang w:val="en-CA" w:eastAsia="en-CA"/>
        </w:rPr>
        <mc:AlternateContent>
          <mc:Choice Requires="wps">
            <w:drawing>
              <wp:anchor distT="45720" distB="45720" distL="114300" distR="114300" simplePos="0" relativeHeight="251659264" behindDoc="0" locked="0" layoutInCell="1" allowOverlap="1" wp14:anchorId="5588BED3" wp14:editId="57A8584B">
                <wp:simplePos x="0" y="0"/>
                <wp:positionH relativeFrom="margin">
                  <wp:align>right</wp:align>
                </wp:positionH>
                <wp:positionV relativeFrom="paragraph">
                  <wp:posOffset>340360</wp:posOffset>
                </wp:positionV>
                <wp:extent cx="591502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480591E0" w14:textId="54F64995" w:rsidR="009530C9" w:rsidRPr="006262A2" w:rsidRDefault="009530C9" w:rsidP="006262A2">
                            <w:pPr>
                              <w:jc w:val="center"/>
                              <w:rPr>
                                <w:rFonts w:ascii="Arial" w:hAnsi="Arial" w:cs="Arial"/>
                                <w:sz w:val="17"/>
                                <w:szCs w:val="17"/>
                              </w:rPr>
                            </w:pPr>
                            <w:r w:rsidRPr="006262A2">
                              <w:rPr>
                                <w:rFonts w:ascii="Arial" w:hAnsi="Arial" w:cs="Arial"/>
                                <w:sz w:val="17"/>
                                <w:szCs w:val="17"/>
                              </w:rPr>
                              <w:t>For the development of this case, the authors gratefully acknowledge the support of the Bob &amp; Raye Briscoe Centre in Business Ownership Studies, John Molson School of Business, Concordia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88BED3" id="_x0000_t202" coordsize="21600,21600" o:spt="202" path="m,l,21600r21600,l21600,xe">
                <v:stroke joinstyle="miter"/>
                <v:path gradientshapeok="t" o:connecttype="rect"/>
              </v:shapetype>
              <v:shape id="Text Box 2" o:spid="_x0000_s1026" type="#_x0000_t202" style="position:absolute;left:0;text-align:left;margin-left:414.55pt;margin-top:26.8pt;width:465.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">
                <v:textbox style="mso-fit-shape-to-text:t">
                  <w:txbxContent>
                    <w:p w14:paraId="480591E0" w14:textId="54F64995" w:rsidR="009530C9" w:rsidRPr="006262A2" w:rsidRDefault="009530C9" w:rsidP="006262A2">
                      <w:pPr>
                        <w:jc w:val="center"/>
                        <w:rPr>
                          <w:rFonts w:ascii="Arial" w:hAnsi="Arial" w:cs="Arial"/>
                          <w:sz w:val="17"/>
                          <w:szCs w:val="17"/>
                        </w:rPr>
                      </w:pPr>
                      <w:r w:rsidRPr="006262A2">
                        <w:rPr>
                          <w:rFonts w:ascii="Arial" w:hAnsi="Arial" w:cs="Arial"/>
                          <w:sz w:val="17"/>
                          <w:szCs w:val="17"/>
                        </w:rPr>
                        <w:t>For the development of this case, the authors gratefully acknowledge the support of the Bob &amp; Raye Briscoe Centre in Business Ownership Studies, John Molson School of Business, Concordia University.</w:t>
                      </w:r>
                    </w:p>
                  </w:txbxContent>
                </v:textbox>
                <w10:wrap type="square" anchorx="margin"/>
              </v:shape>
            </w:pict>
          </mc:Fallback>
        </mc:AlternateContent>
      </w:r>
    </w:p>
    <w:p w14:paraId="0D8DFA24" w14:textId="067AB880" w:rsidR="006262A2" w:rsidRPr="00B52637" w:rsidRDefault="006262A2" w:rsidP="00563771">
      <w:pPr>
        <w:pStyle w:val="BodyTextMain"/>
        <w:rPr>
          <w:rFonts w:eastAsia="Calibri"/>
          <w:lang w:val="en-CA"/>
        </w:rPr>
      </w:pPr>
    </w:p>
    <w:p w14:paraId="67FC697F" w14:textId="2E0EC86F" w:rsidR="00B36208" w:rsidRPr="00B52637" w:rsidRDefault="00223EF4" w:rsidP="003F2DB7">
      <w:pPr>
        <w:pStyle w:val="ExhibitHeading"/>
        <w:rPr>
          <w:rFonts w:eastAsia="Calibri"/>
          <w:lang w:val="en-CA"/>
        </w:rPr>
      </w:pPr>
      <w:r w:rsidRPr="00B52637">
        <w:rPr>
          <w:rFonts w:eastAsia="Calibri"/>
          <w:lang w:val="en-CA"/>
        </w:rPr>
        <w:br w:type="page"/>
      </w:r>
      <w:r w:rsidR="008F1DF7" w:rsidRPr="00B52637">
        <w:rPr>
          <w:rFonts w:eastAsia="Calibri"/>
          <w:lang w:val="en-CA"/>
        </w:rPr>
        <w:lastRenderedPageBreak/>
        <w:t>EXHIBIT 1: Immigrant population in Canada</w:t>
      </w:r>
    </w:p>
    <w:p w14:paraId="3308F7EA" w14:textId="77777777" w:rsidR="008F1DF7" w:rsidRPr="00B52637" w:rsidRDefault="008F1DF7" w:rsidP="003F2DB7">
      <w:pPr>
        <w:pStyle w:val="ExhibitText"/>
        <w:rPr>
          <w:rFonts w:eastAsia="Calibri"/>
          <w:lang w:val="en-CA"/>
        </w:rPr>
      </w:pPr>
    </w:p>
    <w:p w14:paraId="08418896" w14:textId="77777777" w:rsidR="00115CAB" w:rsidRPr="00B52637" w:rsidRDefault="00115CAB" w:rsidP="003F2DB7">
      <w:pPr>
        <w:pStyle w:val="ExhibitText"/>
        <w:rPr>
          <w:rFonts w:eastAsia="Calibri"/>
          <w:lang w:val="en-CA"/>
        </w:rPr>
      </w:pPr>
      <w:r w:rsidRPr="00B52637">
        <w:rPr>
          <w:rFonts w:eastAsia="Calibri"/>
          <w:noProof/>
          <w:lang w:val="en-CA" w:eastAsia="en-CA"/>
        </w:rPr>
        <w:drawing>
          <wp:inline distT="0" distB="0" distL="0" distR="0" wp14:anchorId="3B98E05E" wp14:editId="14FAC495">
            <wp:extent cx="5943600" cy="2244725"/>
            <wp:effectExtent l="0" t="0" r="0" b="317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44725"/>
                    </a:xfrm>
                    <a:prstGeom prst="rect">
                      <a:avLst/>
                    </a:prstGeom>
                  </pic:spPr>
                </pic:pic>
              </a:graphicData>
            </a:graphic>
          </wp:inline>
        </w:drawing>
      </w:r>
    </w:p>
    <w:p w14:paraId="0202199C" w14:textId="77777777" w:rsidR="00115CAB" w:rsidRPr="00B52637" w:rsidRDefault="00115CAB" w:rsidP="003F2DB7">
      <w:pPr>
        <w:pStyle w:val="ExhibitText"/>
        <w:rPr>
          <w:rFonts w:eastAsia="Calibri"/>
          <w:lang w:val="en-CA"/>
        </w:rPr>
      </w:pPr>
    </w:p>
    <w:p w14:paraId="6D30C96E" w14:textId="725E874B" w:rsidR="00B36208" w:rsidRPr="00B52637" w:rsidRDefault="008F1DF7" w:rsidP="00A21BEC">
      <w:pPr>
        <w:pStyle w:val="Footnote"/>
        <w:jc w:val="both"/>
        <w:rPr>
          <w:rFonts w:eastAsia="Calibri"/>
          <w:lang w:val="en-CA"/>
        </w:rPr>
      </w:pPr>
      <w:r w:rsidRPr="00B52637">
        <w:rPr>
          <w:rFonts w:eastAsia="Calibri"/>
          <w:lang w:val="en-CA"/>
        </w:rPr>
        <w:t xml:space="preserve">Source: </w:t>
      </w:r>
      <w:r w:rsidR="00B36208" w:rsidRPr="00B52637">
        <w:rPr>
          <w:rFonts w:eastAsia="Calibri"/>
          <w:lang w:val="en-CA"/>
        </w:rPr>
        <w:t xml:space="preserve">Reproduced under open licence from Statistics Canada, </w:t>
      </w:r>
      <w:r w:rsidR="00B36208" w:rsidRPr="00B52637">
        <w:rPr>
          <w:rFonts w:eastAsia="Calibri"/>
          <w:i/>
          <w:iCs/>
          <w:lang w:val="en-CA"/>
        </w:rPr>
        <w:t>2016 Census: Immigrant Population in Canada</w:t>
      </w:r>
      <w:r w:rsidR="00B36208" w:rsidRPr="00B52637">
        <w:rPr>
          <w:rFonts w:eastAsia="Calibri"/>
          <w:lang w:val="en-CA"/>
        </w:rPr>
        <w:t xml:space="preserve"> (infographic), catalogue number 11-627-M, accessed June 13, 2020, https://www150.statcan.gc.ca/n1/en/pub/11-627-m/11-627-m2017028-eng.pdf?st=z7EEBVwH.</w:t>
      </w:r>
    </w:p>
    <w:p w14:paraId="72A09033" w14:textId="77777777" w:rsidR="008F1DF7" w:rsidRPr="00B52637" w:rsidRDefault="008F1DF7" w:rsidP="003F2DB7">
      <w:pPr>
        <w:pStyle w:val="ExhibitText"/>
        <w:rPr>
          <w:rFonts w:eastAsia="Calibri"/>
          <w:lang w:val="en-CA"/>
        </w:rPr>
      </w:pPr>
    </w:p>
    <w:p w14:paraId="795695BA" w14:textId="77777777" w:rsidR="008F1DF7" w:rsidRPr="00B52637" w:rsidRDefault="008F1DF7" w:rsidP="003F2DB7">
      <w:pPr>
        <w:pStyle w:val="ExhibitText"/>
        <w:rPr>
          <w:rFonts w:eastAsia="Calibri"/>
          <w:lang w:val="en-CA"/>
        </w:rPr>
      </w:pPr>
    </w:p>
    <w:p w14:paraId="6AA7F43C" w14:textId="42751360" w:rsidR="004013AD" w:rsidRPr="00B52637" w:rsidRDefault="004013AD" w:rsidP="00223EF4">
      <w:pPr>
        <w:pStyle w:val="ExhibitHeading"/>
        <w:rPr>
          <w:rFonts w:eastAsia="Calibri"/>
          <w:lang w:val="en-CA"/>
        </w:rPr>
      </w:pPr>
      <w:r w:rsidRPr="00B52637">
        <w:rPr>
          <w:rFonts w:eastAsia="Calibri"/>
          <w:lang w:val="en-CA"/>
        </w:rPr>
        <w:t xml:space="preserve">EXHIBIT </w:t>
      </w:r>
      <w:r w:rsidR="008F1DF7" w:rsidRPr="00B52637">
        <w:rPr>
          <w:rFonts w:eastAsia="Calibri"/>
          <w:lang w:val="en-CA"/>
        </w:rPr>
        <w:t>2</w:t>
      </w:r>
      <w:r w:rsidRPr="00B52637">
        <w:rPr>
          <w:rFonts w:eastAsia="Calibri"/>
          <w:lang w:val="en-CA"/>
        </w:rPr>
        <w:t>: Active Adult Canadians, Participation Rate in Top Ten Sports</w:t>
      </w:r>
      <w:r w:rsidR="00A264AF" w:rsidRPr="00B52637">
        <w:rPr>
          <w:rFonts w:eastAsia="Calibri"/>
          <w:lang w:val="en-CA"/>
        </w:rPr>
        <w:t xml:space="preserve"> (in %)</w:t>
      </w:r>
    </w:p>
    <w:p w14:paraId="602288A6" w14:textId="77777777" w:rsidR="00A05DFB" w:rsidRPr="00B52637" w:rsidRDefault="00A05DFB" w:rsidP="003F2DB7">
      <w:pPr>
        <w:pStyle w:val="ExhibitText"/>
        <w:rPr>
          <w:lang w:val="en-CA"/>
        </w:rPr>
      </w:pPr>
    </w:p>
    <w:tbl>
      <w:tblPr>
        <w:tblW w:w="5000" w:type="pct"/>
        <w:tblBorders>
          <w:top w:val="single" w:sz="4" w:space="0" w:color="auto"/>
          <w:bottom w:val="single" w:sz="4" w:space="0" w:color="auto"/>
        </w:tblBorders>
        <w:tblLook w:val="04A0" w:firstRow="1" w:lastRow="0" w:firstColumn="1" w:lastColumn="0" w:noHBand="0" w:noVBand="1"/>
      </w:tblPr>
      <w:tblGrid>
        <w:gridCol w:w="1871"/>
        <w:gridCol w:w="1871"/>
        <w:gridCol w:w="1871"/>
        <w:gridCol w:w="1871"/>
        <w:gridCol w:w="1871"/>
      </w:tblGrid>
      <w:tr w:rsidR="00A91E23" w:rsidRPr="00B52637" w14:paraId="6DD5062C" w14:textId="77777777" w:rsidTr="001520D3">
        <w:trPr>
          <w:trHeight w:val="288"/>
        </w:trPr>
        <w:tc>
          <w:tcPr>
            <w:tcW w:w="1872" w:type="dxa"/>
            <w:tcBorders>
              <w:top w:val="nil"/>
              <w:bottom w:val="single" w:sz="4" w:space="0" w:color="auto"/>
              <w:right w:val="single" w:sz="4" w:space="0" w:color="auto"/>
            </w:tcBorders>
            <w:shd w:val="clear" w:color="auto" w:fill="auto"/>
            <w:vAlign w:val="center"/>
          </w:tcPr>
          <w:p w14:paraId="2C8A7E28" w14:textId="77777777" w:rsidR="00A91E23" w:rsidRPr="00B52637" w:rsidRDefault="00A91E23" w:rsidP="00601F7D">
            <w:pPr>
              <w:pStyle w:val="ExhibitText"/>
              <w:rPr>
                <w:lang w:val="en-CA"/>
              </w:rPr>
            </w:pPr>
          </w:p>
        </w:tc>
        <w:tc>
          <w:tcPr>
            <w:tcW w:w="37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16923B" w14:textId="77777777" w:rsidR="00A91E23" w:rsidRPr="00B52637" w:rsidRDefault="00A91E23" w:rsidP="00601F7D">
            <w:pPr>
              <w:pStyle w:val="ExhibitText"/>
              <w:jc w:val="center"/>
              <w:rPr>
                <w:lang w:val="en-CA"/>
              </w:rPr>
            </w:pPr>
            <w:r w:rsidRPr="00B52637">
              <w:rPr>
                <w:b/>
                <w:bCs/>
                <w:lang w:val="en-CA"/>
              </w:rPr>
              <w:t>1998</w:t>
            </w:r>
          </w:p>
        </w:tc>
        <w:tc>
          <w:tcPr>
            <w:tcW w:w="37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F4C922" w14:textId="77777777" w:rsidR="00A91E23" w:rsidRPr="00B52637" w:rsidRDefault="00A91E23" w:rsidP="00601F7D">
            <w:pPr>
              <w:pStyle w:val="ExhibitText"/>
              <w:jc w:val="center"/>
              <w:rPr>
                <w:lang w:val="en-CA"/>
              </w:rPr>
            </w:pPr>
            <w:r w:rsidRPr="00B52637">
              <w:rPr>
                <w:b/>
                <w:bCs/>
                <w:lang w:val="en-CA"/>
              </w:rPr>
              <w:t>2010</w:t>
            </w:r>
          </w:p>
        </w:tc>
      </w:tr>
      <w:tr w:rsidR="00A91E23" w:rsidRPr="00B52637" w14:paraId="5E293532" w14:textId="77777777" w:rsidTr="001520D3">
        <w:trPr>
          <w:trHeight w:val="288"/>
        </w:trPr>
        <w:tc>
          <w:tcPr>
            <w:tcW w:w="18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5ACAAF" w14:textId="12B8513B" w:rsidR="00A91E23" w:rsidRPr="00B52637" w:rsidRDefault="00A91E23" w:rsidP="00601F7D">
            <w:pPr>
              <w:pStyle w:val="ExhibitText"/>
              <w:rPr>
                <w:b/>
                <w:bCs/>
                <w:lang w:val="en-CA"/>
              </w:rPr>
            </w:pPr>
            <w:r w:rsidRPr="00B52637">
              <w:rPr>
                <w:b/>
                <w:bCs/>
                <w:lang w:val="en-CA"/>
              </w:rPr>
              <w:t>Sport</w:t>
            </w:r>
          </w:p>
        </w:tc>
        <w:tc>
          <w:tcPr>
            <w:tcW w:w="1872" w:type="dxa"/>
            <w:tcBorders>
              <w:top w:val="single" w:sz="4" w:space="0" w:color="auto"/>
              <w:left w:val="single" w:sz="4" w:space="0" w:color="auto"/>
              <w:bottom w:val="single" w:sz="4" w:space="0" w:color="auto"/>
            </w:tcBorders>
            <w:shd w:val="clear" w:color="auto" w:fill="auto"/>
            <w:vAlign w:val="center"/>
            <w:hideMark/>
          </w:tcPr>
          <w:p w14:paraId="561E696C" w14:textId="37406B6B" w:rsidR="00A91E23" w:rsidRPr="00B52637" w:rsidRDefault="00A91E23" w:rsidP="001520D3">
            <w:pPr>
              <w:pStyle w:val="ExhibitText"/>
              <w:jc w:val="center"/>
              <w:rPr>
                <w:b/>
                <w:bCs/>
                <w:lang w:val="en-CA"/>
              </w:rPr>
            </w:pPr>
            <w:r w:rsidRPr="00B52637">
              <w:rPr>
                <w:b/>
                <w:bCs/>
                <w:lang w:val="en-CA"/>
              </w:rPr>
              <w:t>Active Canadians</w:t>
            </w:r>
          </w:p>
        </w:tc>
        <w:tc>
          <w:tcPr>
            <w:tcW w:w="1872" w:type="dxa"/>
            <w:tcBorders>
              <w:top w:val="single" w:sz="4" w:space="0" w:color="auto"/>
              <w:bottom w:val="single" w:sz="4" w:space="0" w:color="auto"/>
              <w:right w:val="single" w:sz="4" w:space="0" w:color="auto"/>
            </w:tcBorders>
            <w:shd w:val="clear" w:color="auto" w:fill="auto"/>
            <w:vAlign w:val="center"/>
            <w:hideMark/>
          </w:tcPr>
          <w:p w14:paraId="67BF49DF" w14:textId="2EBBFF2E" w:rsidR="00A91E23" w:rsidRPr="00B52637" w:rsidRDefault="00A91E23" w:rsidP="001520D3">
            <w:pPr>
              <w:pStyle w:val="ExhibitText"/>
              <w:jc w:val="center"/>
              <w:rPr>
                <w:b/>
                <w:bCs/>
                <w:lang w:val="en-CA"/>
              </w:rPr>
            </w:pPr>
            <w:r w:rsidRPr="00B52637">
              <w:rPr>
                <w:b/>
                <w:bCs/>
                <w:lang w:val="en-CA"/>
              </w:rPr>
              <w:t>All Canadians</w:t>
            </w:r>
          </w:p>
        </w:tc>
        <w:tc>
          <w:tcPr>
            <w:tcW w:w="1872" w:type="dxa"/>
            <w:tcBorders>
              <w:top w:val="single" w:sz="4" w:space="0" w:color="auto"/>
              <w:left w:val="single" w:sz="4" w:space="0" w:color="auto"/>
              <w:bottom w:val="single" w:sz="4" w:space="0" w:color="auto"/>
            </w:tcBorders>
            <w:shd w:val="clear" w:color="auto" w:fill="auto"/>
            <w:vAlign w:val="center"/>
            <w:hideMark/>
          </w:tcPr>
          <w:p w14:paraId="3081D098" w14:textId="77777777" w:rsidR="00A91E23" w:rsidRPr="00B52637" w:rsidRDefault="00A91E23" w:rsidP="001520D3">
            <w:pPr>
              <w:pStyle w:val="ExhibitText"/>
              <w:jc w:val="center"/>
              <w:rPr>
                <w:b/>
                <w:bCs/>
                <w:lang w:val="en-CA"/>
              </w:rPr>
            </w:pPr>
            <w:r w:rsidRPr="00B52637">
              <w:rPr>
                <w:b/>
                <w:bCs/>
                <w:lang w:val="en-CA"/>
              </w:rPr>
              <w:t>Active Canadians</w:t>
            </w:r>
          </w:p>
        </w:tc>
        <w:tc>
          <w:tcPr>
            <w:tcW w:w="1872" w:type="dxa"/>
            <w:tcBorders>
              <w:top w:val="single" w:sz="4" w:space="0" w:color="auto"/>
              <w:bottom w:val="single" w:sz="4" w:space="0" w:color="auto"/>
              <w:right w:val="single" w:sz="4" w:space="0" w:color="auto"/>
            </w:tcBorders>
            <w:shd w:val="clear" w:color="auto" w:fill="auto"/>
            <w:vAlign w:val="center"/>
            <w:hideMark/>
          </w:tcPr>
          <w:p w14:paraId="7F2C3639" w14:textId="77777777" w:rsidR="00A91E23" w:rsidRPr="00B52637" w:rsidRDefault="00A91E23" w:rsidP="001520D3">
            <w:pPr>
              <w:pStyle w:val="ExhibitText"/>
              <w:jc w:val="center"/>
              <w:rPr>
                <w:b/>
                <w:bCs/>
                <w:lang w:val="en-CA"/>
              </w:rPr>
            </w:pPr>
            <w:r w:rsidRPr="00B52637">
              <w:rPr>
                <w:b/>
                <w:bCs/>
                <w:lang w:val="en-CA"/>
              </w:rPr>
              <w:t>All Canadians</w:t>
            </w:r>
          </w:p>
        </w:tc>
      </w:tr>
      <w:tr w:rsidR="00A6057E" w:rsidRPr="00B52637" w14:paraId="646C53A4" w14:textId="77777777" w:rsidTr="001520D3">
        <w:trPr>
          <w:trHeight w:val="288"/>
        </w:trPr>
        <w:tc>
          <w:tcPr>
            <w:tcW w:w="1872" w:type="dxa"/>
            <w:tcBorders>
              <w:top w:val="single" w:sz="4" w:space="0" w:color="auto"/>
              <w:left w:val="nil"/>
              <w:bottom w:val="nil"/>
              <w:right w:val="single" w:sz="4" w:space="0" w:color="auto"/>
            </w:tcBorders>
            <w:shd w:val="clear" w:color="auto" w:fill="auto"/>
            <w:noWrap/>
            <w:vAlign w:val="bottom"/>
            <w:hideMark/>
          </w:tcPr>
          <w:p w14:paraId="6DEAAF2E" w14:textId="09B404BF" w:rsidR="00A6057E" w:rsidRPr="00B52637" w:rsidRDefault="00A6057E" w:rsidP="00A6057E">
            <w:pPr>
              <w:pStyle w:val="ExhibitText"/>
              <w:rPr>
                <w:lang w:val="en-CA"/>
              </w:rPr>
            </w:pPr>
            <w:r w:rsidRPr="00B52637">
              <w:rPr>
                <w:color w:val="000000"/>
                <w:lang w:val="en-CA"/>
              </w:rPr>
              <w:t>Golf</w:t>
            </w:r>
          </w:p>
        </w:tc>
        <w:tc>
          <w:tcPr>
            <w:tcW w:w="1872" w:type="dxa"/>
            <w:tcBorders>
              <w:top w:val="single" w:sz="4" w:space="0" w:color="auto"/>
              <w:left w:val="single" w:sz="4" w:space="0" w:color="auto"/>
              <w:bottom w:val="nil"/>
              <w:right w:val="nil"/>
            </w:tcBorders>
            <w:shd w:val="clear" w:color="auto" w:fill="auto"/>
            <w:noWrap/>
            <w:vAlign w:val="bottom"/>
            <w:hideMark/>
          </w:tcPr>
          <w:p w14:paraId="5F4F66C1" w14:textId="013201F3" w:rsidR="00A6057E" w:rsidRPr="00B52637" w:rsidRDefault="00A6057E" w:rsidP="00A6057E">
            <w:pPr>
              <w:pStyle w:val="ExhibitText"/>
              <w:ind w:right="288"/>
              <w:jc w:val="right"/>
              <w:rPr>
                <w:lang w:val="en-CA"/>
              </w:rPr>
            </w:pPr>
            <w:r w:rsidRPr="00B52637">
              <w:rPr>
                <w:color w:val="000000"/>
                <w:lang w:val="en-CA"/>
              </w:rPr>
              <w:t>21.70</w:t>
            </w:r>
          </w:p>
        </w:tc>
        <w:tc>
          <w:tcPr>
            <w:tcW w:w="1872" w:type="dxa"/>
            <w:tcBorders>
              <w:top w:val="single" w:sz="4" w:space="0" w:color="auto"/>
              <w:left w:val="nil"/>
              <w:bottom w:val="nil"/>
              <w:right w:val="nil"/>
            </w:tcBorders>
            <w:shd w:val="clear" w:color="auto" w:fill="auto"/>
            <w:noWrap/>
            <w:vAlign w:val="bottom"/>
            <w:hideMark/>
          </w:tcPr>
          <w:p w14:paraId="0425DB73" w14:textId="39AAC33C" w:rsidR="00A6057E" w:rsidRPr="00B52637" w:rsidRDefault="00A6057E" w:rsidP="00A6057E">
            <w:pPr>
              <w:pStyle w:val="ExhibitText"/>
              <w:ind w:right="288"/>
              <w:jc w:val="right"/>
              <w:rPr>
                <w:lang w:val="en-CA"/>
              </w:rPr>
            </w:pPr>
            <w:r w:rsidRPr="00B52637">
              <w:rPr>
                <w:color w:val="000000"/>
                <w:lang w:val="en-CA"/>
              </w:rPr>
              <w:t>7.40</w:t>
            </w:r>
          </w:p>
        </w:tc>
        <w:tc>
          <w:tcPr>
            <w:tcW w:w="1872" w:type="dxa"/>
            <w:tcBorders>
              <w:top w:val="single" w:sz="4" w:space="0" w:color="auto"/>
              <w:left w:val="nil"/>
              <w:bottom w:val="nil"/>
              <w:right w:val="nil"/>
            </w:tcBorders>
            <w:shd w:val="clear" w:color="auto" w:fill="auto"/>
            <w:noWrap/>
            <w:vAlign w:val="bottom"/>
            <w:hideMark/>
          </w:tcPr>
          <w:p w14:paraId="3B607C61" w14:textId="1AFB63D7" w:rsidR="00A6057E" w:rsidRPr="00B52637" w:rsidRDefault="00A6057E" w:rsidP="00A6057E">
            <w:pPr>
              <w:pStyle w:val="ExhibitText"/>
              <w:ind w:right="288"/>
              <w:jc w:val="right"/>
              <w:rPr>
                <w:lang w:val="en-CA"/>
              </w:rPr>
            </w:pPr>
            <w:r w:rsidRPr="00B52637">
              <w:rPr>
                <w:color w:val="000000"/>
                <w:lang w:val="en-CA"/>
              </w:rPr>
              <w:t>20.30</w:t>
            </w:r>
          </w:p>
        </w:tc>
        <w:tc>
          <w:tcPr>
            <w:tcW w:w="1872" w:type="dxa"/>
            <w:tcBorders>
              <w:top w:val="single" w:sz="4" w:space="0" w:color="auto"/>
              <w:left w:val="nil"/>
              <w:bottom w:val="nil"/>
              <w:right w:val="nil"/>
            </w:tcBorders>
            <w:shd w:val="clear" w:color="auto" w:fill="auto"/>
            <w:noWrap/>
            <w:vAlign w:val="bottom"/>
            <w:hideMark/>
          </w:tcPr>
          <w:p w14:paraId="7F907884" w14:textId="25C046EC" w:rsidR="00A6057E" w:rsidRPr="00B52637" w:rsidRDefault="00A6057E" w:rsidP="00A6057E">
            <w:pPr>
              <w:pStyle w:val="ExhibitText"/>
              <w:ind w:right="288"/>
              <w:jc w:val="right"/>
              <w:rPr>
                <w:lang w:val="en-CA"/>
              </w:rPr>
            </w:pPr>
            <w:r w:rsidRPr="00B52637">
              <w:rPr>
                <w:color w:val="000000"/>
                <w:lang w:val="en-CA"/>
              </w:rPr>
              <w:t>5.20</w:t>
            </w:r>
          </w:p>
        </w:tc>
      </w:tr>
      <w:tr w:rsidR="00A6057E" w:rsidRPr="00B52637" w14:paraId="12C7925C" w14:textId="77777777" w:rsidTr="001520D3">
        <w:trPr>
          <w:trHeight w:val="288"/>
        </w:trPr>
        <w:tc>
          <w:tcPr>
            <w:tcW w:w="1872" w:type="dxa"/>
            <w:tcBorders>
              <w:top w:val="nil"/>
              <w:left w:val="nil"/>
              <w:bottom w:val="nil"/>
              <w:right w:val="single" w:sz="4" w:space="0" w:color="auto"/>
            </w:tcBorders>
            <w:shd w:val="clear" w:color="auto" w:fill="auto"/>
            <w:vAlign w:val="bottom"/>
            <w:hideMark/>
          </w:tcPr>
          <w:p w14:paraId="2AD1A5CD" w14:textId="4E7BEDFF" w:rsidR="00A6057E" w:rsidRPr="00B52637" w:rsidRDefault="00A6057E" w:rsidP="00A6057E">
            <w:pPr>
              <w:pStyle w:val="ExhibitText"/>
              <w:rPr>
                <w:lang w:val="en-CA"/>
              </w:rPr>
            </w:pPr>
            <w:r w:rsidRPr="00B52637">
              <w:rPr>
                <w:color w:val="000000"/>
                <w:lang w:val="en-CA"/>
              </w:rPr>
              <w:t>Hockey (Ice)</w:t>
            </w:r>
          </w:p>
        </w:tc>
        <w:tc>
          <w:tcPr>
            <w:tcW w:w="1872" w:type="dxa"/>
            <w:tcBorders>
              <w:top w:val="nil"/>
              <w:left w:val="single" w:sz="4" w:space="0" w:color="auto"/>
              <w:bottom w:val="nil"/>
              <w:right w:val="nil"/>
            </w:tcBorders>
            <w:shd w:val="clear" w:color="auto" w:fill="auto"/>
            <w:noWrap/>
            <w:vAlign w:val="bottom"/>
            <w:hideMark/>
          </w:tcPr>
          <w:p w14:paraId="47D2808A" w14:textId="2DB91F0C" w:rsidR="00A6057E" w:rsidRPr="00B52637" w:rsidRDefault="00A6057E" w:rsidP="00A6057E">
            <w:pPr>
              <w:pStyle w:val="ExhibitText"/>
              <w:ind w:right="288"/>
              <w:jc w:val="right"/>
              <w:rPr>
                <w:lang w:val="en-CA"/>
              </w:rPr>
            </w:pPr>
            <w:r w:rsidRPr="00B52637">
              <w:rPr>
                <w:color w:val="000000"/>
                <w:lang w:val="en-CA"/>
              </w:rPr>
              <w:t>18.00</w:t>
            </w:r>
          </w:p>
        </w:tc>
        <w:tc>
          <w:tcPr>
            <w:tcW w:w="1872" w:type="dxa"/>
            <w:tcBorders>
              <w:top w:val="nil"/>
              <w:left w:val="nil"/>
              <w:bottom w:val="nil"/>
              <w:right w:val="nil"/>
            </w:tcBorders>
            <w:shd w:val="clear" w:color="auto" w:fill="auto"/>
            <w:noWrap/>
            <w:vAlign w:val="bottom"/>
            <w:hideMark/>
          </w:tcPr>
          <w:p w14:paraId="719A0A84" w14:textId="43B829F2" w:rsidR="00A6057E" w:rsidRPr="00B52637" w:rsidRDefault="00A6057E" w:rsidP="00A6057E">
            <w:pPr>
              <w:pStyle w:val="ExhibitText"/>
              <w:ind w:right="288"/>
              <w:jc w:val="right"/>
              <w:rPr>
                <w:lang w:val="en-CA"/>
              </w:rPr>
            </w:pPr>
            <w:r w:rsidRPr="00B52637">
              <w:rPr>
                <w:color w:val="000000"/>
                <w:lang w:val="en-CA"/>
              </w:rPr>
              <w:t>6.20</w:t>
            </w:r>
          </w:p>
        </w:tc>
        <w:tc>
          <w:tcPr>
            <w:tcW w:w="1872" w:type="dxa"/>
            <w:tcBorders>
              <w:top w:val="nil"/>
              <w:left w:val="nil"/>
              <w:bottom w:val="nil"/>
              <w:right w:val="nil"/>
            </w:tcBorders>
            <w:shd w:val="clear" w:color="auto" w:fill="auto"/>
            <w:noWrap/>
            <w:vAlign w:val="bottom"/>
            <w:hideMark/>
          </w:tcPr>
          <w:p w14:paraId="3D9268BB" w14:textId="1B20F6B3" w:rsidR="00A6057E" w:rsidRPr="00B52637" w:rsidRDefault="00A6057E" w:rsidP="00A6057E">
            <w:pPr>
              <w:pStyle w:val="ExhibitText"/>
              <w:ind w:right="288"/>
              <w:jc w:val="right"/>
              <w:rPr>
                <w:lang w:val="en-CA"/>
              </w:rPr>
            </w:pPr>
            <w:r w:rsidRPr="00B52637">
              <w:rPr>
                <w:color w:val="000000"/>
                <w:lang w:val="en-CA"/>
              </w:rPr>
              <w:t>17.10</w:t>
            </w:r>
          </w:p>
        </w:tc>
        <w:tc>
          <w:tcPr>
            <w:tcW w:w="1872" w:type="dxa"/>
            <w:tcBorders>
              <w:top w:val="nil"/>
              <w:left w:val="nil"/>
              <w:bottom w:val="nil"/>
              <w:right w:val="nil"/>
            </w:tcBorders>
            <w:shd w:val="clear" w:color="auto" w:fill="auto"/>
            <w:noWrap/>
            <w:vAlign w:val="bottom"/>
            <w:hideMark/>
          </w:tcPr>
          <w:p w14:paraId="34C8B4A9" w14:textId="16FFB3EB" w:rsidR="00A6057E" w:rsidRPr="00B52637" w:rsidRDefault="00A6057E" w:rsidP="00A6057E">
            <w:pPr>
              <w:pStyle w:val="ExhibitText"/>
              <w:ind w:right="288"/>
              <w:jc w:val="right"/>
              <w:rPr>
                <w:lang w:val="en-CA"/>
              </w:rPr>
            </w:pPr>
            <w:r w:rsidRPr="00B52637">
              <w:rPr>
                <w:color w:val="000000"/>
                <w:lang w:val="en-CA"/>
              </w:rPr>
              <w:t>4.40</w:t>
            </w:r>
          </w:p>
        </w:tc>
      </w:tr>
      <w:tr w:rsidR="00A6057E" w:rsidRPr="00B52637" w14:paraId="21B4396D" w14:textId="77777777" w:rsidTr="001520D3">
        <w:trPr>
          <w:trHeight w:val="288"/>
        </w:trPr>
        <w:tc>
          <w:tcPr>
            <w:tcW w:w="1872" w:type="dxa"/>
            <w:tcBorders>
              <w:top w:val="nil"/>
              <w:left w:val="nil"/>
              <w:bottom w:val="nil"/>
              <w:right w:val="single" w:sz="4" w:space="0" w:color="auto"/>
            </w:tcBorders>
            <w:shd w:val="clear" w:color="auto" w:fill="auto"/>
            <w:vAlign w:val="bottom"/>
            <w:hideMark/>
          </w:tcPr>
          <w:p w14:paraId="0D469A88" w14:textId="32B0AE5C" w:rsidR="00A6057E" w:rsidRPr="00B52637" w:rsidRDefault="00A6057E" w:rsidP="00A6057E">
            <w:pPr>
              <w:pStyle w:val="ExhibitText"/>
              <w:rPr>
                <w:lang w:val="en-CA"/>
              </w:rPr>
            </w:pPr>
            <w:r w:rsidRPr="00B52637">
              <w:rPr>
                <w:color w:val="000000"/>
                <w:lang w:val="en-CA"/>
              </w:rPr>
              <w:t>Soccer</w:t>
            </w:r>
          </w:p>
        </w:tc>
        <w:tc>
          <w:tcPr>
            <w:tcW w:w="1872" w:type="dxa"/>
            <w:tcBorders>
              <w:top w:val="nil"/>
              <w:left w:val="single" w:sz="4" w:space="0" w:color="auto"/>
              <w:bottom w:val="nil"/>
              <w:right w:val="nil"/>
            </w:tcBorders>
            <w:shd w:val="clear" w:color="auto" w:fill="auto"/>
            <w:noWrap/>
            <w:vAlign w:val="bottom"/>
            <w:hideMark/>
          </w:tcPr>
          <w:p w14:paraId="68A31557" w14:textId="297EC03A" w:rsidR="00A6057E" w:rsidRPr="00B52637" w:rsidRDefault="00A6057E" w:rsidP="00A6057E">
            <w:pPr>
              <w:pStyle w:val="ExhibitText"/>
              <w:ind w:right="288"/>
              <w:jc w:val="right"/>
              <w:rPr>
                <w:lang w:val="en-CA"/>
              </w:rPr>
            </w:pPr>
            <w:r w:rsidRPr="00B52637">
              <w:rPr>
                <w:color w:val="000000"/>
                <w:lang w:val="en-CA"/>
              </w:rPr>
              <w:t>8.90</w:t>
            </w:r>
          </w:p>
        </w:tc>
        <w:tc>
          <w:tcPr>
            <w:tcW w:w="1872" w:type="dxa"/>
            <w:tcBorders>
              <w:top w:val="nil"/>
              <w:left w:val="nil"/>
              <w:bottom w:val="nil"/>
              <w:right w:val="nil"/>
            </w:tcBorders>
            <w:shd w:val="clear" w:color="auto" w:fill="auto"/>
            <w:noWrap/>
            <w:vAlign w:val="bottom"/>
            <w:hideMark/>
          </w:tcPr>
          <w:p w14:paraId="5376A4D0" w14:textId="137BB7DF" w:rsidR="00A6057E" w:rsidRPr="00B52637" w:rsidRDefault="00A6057E" w:rsidP="00A6057E">
            <w:pPr>
              <w:pStyle w:val="ExhibitText"/>
              <w:ind w:right="288"/>
              <w:jc w:val="right"/>
              <w:rPr>
                <w:lang w:val="en-CA"/>
              </w:rPr>
            </w:pPr>
            <w:r w:rsidRPr="00B52637">
              <w:rPr>
                <w:color w:val="000000"/>
                <w:lang w:val="en-CA"/>
              </w:rPr>
              <w:t>3.00</w:t>
            </w:r>
          </w:p>
        </w:tc>
        <w:tc>
          <w:tcPr>
            <w:tcW w:w="1872" w:type="dxa"/>
            <w:tcBorders>
              <w:top w:val="nil"/>
              <w:left w:val="nil"/>
              <w:bottom w:val="nil"/>
              <w:right w:val="nil"/>
            </w:tcBorders>
            <w:shd w:val="clear" w:color="auto" w:fill="auto"/>
            <w:noWrap/>
            <w:vAlign w:val="bottom"/>
            <w:hideMark/>
          </w:tcPr>
          <w:p w14:paraId="099DA339" w14:textId="5B818550" w:rsidR="00A6057E" w:rsidRPr="00B52637" w:rsidRDefault="00A6057E" w:rsidP="00A6057E">
            <w:pPr>
              <w:pStyle w:val="ExhibitText"/>
              <w:ind w:right="288"/>
              <w:jc w:val="right"/>
              <w:rPr>
                <w:lang w:val="en-CA"/>
              </w:rPr>
            </w:pPr>
            <w:r w:rsidRPr="00B52637">
              <w:rPr>
                <w:color w:val="000000"/>
                <w:lang w:val="en-CA"/>
              </w:rPr>
              <w:t>13.60</w:t>
            </w:r>
          </w:p>
        </w:tc>
        <w:tc>
          <w:tcPr>
            <w:tcW w:w="1872" w:type="dxa"/>
            <w:tcBorders>
              <w:top w:val="nil"/>
              <w:left w:val="nil"/>
              <w:bottom w:val="nil"/>
              <w:right w:val="nil"/>
            </w:tcBorders>
            <w:shd w:val="clear" w:color="auto" w:fill="auto"/>
            <w:noWrap/>
            <w:vAlign w:val="bottom"/>
            <w:hideMark/>
          </w:tcPr>
          <w:p w14:paraId="7F8B6525" w14:textId="5F74B419" w:rsidR="00A6057E" w:rsidRPr="00B52637" w:rsidRDefault="00A6057E" w:rsidP="00A6057E">
            <w:pPr>
              <w:pStyle w:val="ExhibitText"/>
              <w:ind w:right="288"/>
              <w:jc w:val="right"/>
              <w:rPr>
                <w:lang w:val="en-CA"/>
              </w:rPr>
            </w:pPr>
            <w:r w:rsidRPr="00B52637">
              <w:rPr>
                <w:color w:val="000000"/>
                <w:lang w:val="en-CA"/>
              </w:rPr>
              <w:t>3.50</w:t>
            </w:r>
          </w:p>
        </w:tc>
      </w:tr>
      <w:tr w:rsidR="00A6057E" w:rsidRPr="00B52637" w14:paraId="38EFBDCB" w14:textId="77777777" w:rsidTr="001520D3">
        <w:trPr>
          <w:trHeight w:val="288"/>
        </w:trPr>
        <w:tc>
          <w:tcPr>
            <w:tcW w:w="1872" w:type="dxa"/>
            <w:tcBorders>
              <w:top w:val="nil"/>
              <w:left w:val="nil"/>
              <w:bottom w:val="nil"/>
              <w:right w:val="single" w:sz="4" w:space="0" w:color="auto"/>
            </w:tcBorders>
            <w:shd w:val="clear" w:color="auto" w:fill="auto"/>
            <w:noWrap/>
            <w:vAlign w:val="bottom"/>
            <w:hideMark/>
          </w:tcPr>
          <w:p w14:paraId="1A0BBD2D" w14:textId="44630F7D" w:rsidR="00A6057E" w:rsidRPr="00B52637" w:rsidRDefault="00A6057E" w:rsidP="00A6057E">
            <w:pPr>
              <w:pStyle w:val="ExhibitText"/>
              <w:rPr>
                <w:lang w:val="en-CA"/>
              </w:rPr>
            </w:pPr>
            <w:r w:rsidRPr="00B52637">
              <w:rPr>
                <w:color w:val="000000"/>
                <w:lang w:val="en-CA"/>
              </w:rPr>
              <w:t>Baseball</w:t>
            </w:r>
          </w:p>
        </w:tc>
        <w:tc>
          <w:tcPr>
            <w:tcW w:w="1872" w:type="dxa"/>
            <w:tcBorders>
              <w:top w:val="nil"/>
              <w:left w:val="single" w:sz="4" w:space="0" w:color="auto"/>
              <w:bottom w:val="nil"/>
              <w:right w:val="nil"/>
            </w:tcBorders>
            <w:shd w:val="clear" w:color="auto" w:fill="auto"/>
            <w:noWrap/>
            <w:vAlign w:val="bottom"/>
            <w:hideMark/>
          </w:tcPr>
          <w:p w14:paraId="4F653220" w14:textId="159960E7" w:rsidR="00A6057E" w:rsidRPr="00B52637" w:rsidRDefault="00A6057E" w:rsidP="00A6057E">
            <w:pPr>
              <w:pStyle w:val="ExhibitText"/>
              <w:ind w:right="288"/>
              <w:jc w:val="right"/>
              <w:rPr>
                <w:lang w:val="en-CA"/>
              </w:rPr>
            </w:pPr>
            <w:r w:rsidRPr="00B52637">
              <w:rPr>
                <w:color w:val="000000"/>
                <w:lang w:val="en-CA"/>
              </w:rPr>
              <w:t>16.10</w:t>
            </w:r>
          </w:p>
        </w:tc>
        <w:tc>
          <w:tcPr>
            <w:tcW w:w="1872" w:type="dxa"/>
            <w:tcBorders>
              <w:top w:val="nil"/>
              <w:left w:val="nil"/>
              <w:bottom w:val="nil"/>
              <w:right w:val="nil"/>
            </w:tcBorders>
            <w:shd w:val="clear" w:color="auto" w:fill="auto"/>
            <w:noWrap/>
            <w:vAlign w:val="bottom"/>
            <w:hideMark/>
          </w:tcPr>
          <w:p w14:paraId="7840DA1A" w14:textId="7253DA9A" w:rsidR="00A6057E" w:rsidRPr="00B52637" w:rsidRDefault="00A6057E" w:rsidP="00A6057E">
            <w:pPr>
              <w:pStyle w:val="ExhibitText"/>
              <w:ind w:right="288"/>
              <w:jc w:val="right"/>
              <w:rPr>
                <w:lang w:val="en-CA"/>
              </w:rPr>
            </w:pPr>
            <w:r w:rsidRPr="00B52637">
              <w:rPr>
                <w:color w:val="000000"/>
                <w:lang w:val="en-CA"/>
              </w:rPr>
              <w:t>5.50</w:t>
            </w:r>
          </w:p>
        </w:tc>
        <w:tc>
          <w:tcPr>
            <w:tcW w:w="1872" w:type="dxa"/>
            <w:tcBorders>
              <w:top w:val="nil"/>
              <w:left w:val="nil"/>
              <w:bottom w:val="nil"/>
              <w:right w:val="nil"/>
            </w:tcBorders>
            <w:shd w:val="clear" w:color="auto" w:fill="auto"/>
            <w:noWrap/>
            <w:vAlign w:val="bottom"/>
            <w:hideMark/>
          </w:tcPr>
          <w:p w14:paraId="6AFC0789" w14:textId="27E21EF1" w:rsidR="00A6057E" w:rsidRPr="00B52637" w:rsidRDefault="00A6057E" w:rsidP="00A6057E">
            <w:pPr>
              <w:pStyle w:val="ExhibitText"/>
              <w:ind w:right="288"/>
              <w:jc w:val="right"/>
              <w:rPr>
                <w:lang w:val="en-CA"/>
              </w:rPr>
            </w:pPr>
            <w:r w:rsidRPr="00B52637">
              <w:rPr>
                <w:color w:val="000000"/>
                <w:lang w:val="en-CA"/>
              </w:rPr>
              <w:t>8.00</w:t>
            </w:r>
          </w:p>
        </w:tc>
        <w:tc>
          <w:tcPr>
            <w:tcW w:w="1872" w:type="dxa"/>
            <w:tcBorders>
              <w:top w:val="nil"/>
              <w:left w:val="nil"/>
              <w:bottom w:val="nil"/>
              <w:right w:val="nil"/>
            </w:tcBorders>
            <w:shd w:val="clear" w:color="auto" w:fill="auto"/>
            <w:noWrap/>
            <w:vAlign w:val="bottom"/>
            <w:hideMark/>
          </w:tcPr>
          <w:p w14:paraId="61BA08C8" w14:textId="1F36EAF6" w:rsidR="00A6057E" w:rsidRPr="00B52637" w:rsidRDefault="00A6057E" w:rsidP="00A6057E">
            <w:pPr>
              <w:pStyle w:val="ExhibitText"/>
              <w:ind w:right="288"/>
              <w:jc w:val="right"/>
              <w:rPr>
                <w:lang w:val="en-CA"/>
              </w:rPr>
            </w:pPr>
            <w:r w:rsidRPr="00B52637">
              <w:rPr>
                <w:color w:val="000000"/>
                <w:lang w:val="en-CA"/>
              </w:rPr>
              <w:t>2.10</w:t>
            </w:r>
          </w:p>
        </w:tc>
      </w:tr>
      <w:tr w:rsidR="00A6057E" w:rsidRPr="00B52637" w14:paraId="42525551" w14:textId="77777777" w:rsidTr="001520D3">
        <w:trPr>
          <w:trHeight w:val="288"/>
        </w:trPr>
        <w:tc>
          <w:tcPr>
            <w:tcW w:w="1872" w:type="dxa"/>
            <w:tcBorders>
              <w:top w:val="nil"/>
              <w:left w:val="nil"/>
              <w:bottom w:val="nil"/>
              <w:right w:val="single" w:sz="4" w:space="0" w:color="auto"/>
            </w:tcBorders>
            <w:shd w:val="clear" w:color="auto" w:fill="auto"/>
            <w:vAlign w:val="bottom"/>
            <w:hideMark/>
          </w:tcPr>
          <w:p w14:paraId="6050E61E" w14:textId="3988D257" w:rsidR="00A6057E" w:rsidRPr="00B52637" w:rsidRDefault="00A6057E" w:rsidP="00A6057E">
            <w:pPr>
              <w:pStyle w:val="ExhibitText"/>
              <w:rPr>
                <w:lang w:val="en-CA"/>
              </w:rPr>
            </w:pPr>
            <w:r w:rsidRPr="00B52637">
              <w:rPr>
                <w:color w:val="000000"/>
                <w:lang w:val="en-CA"/>
              </w:rPr>
              <w:t>Volleyball</w:t>
            </w:r>
          </w:p>
        </w:tc>
        <w:tc>
          <w:tcPr>
            <w:tcW w:w="1872" w:type="dxa"/>
            <w:tcBorders>
              <w:top w:val="nil"/>
              <w:left w:val="single" w:sz="4" w:space="0" w:color="auto"/>
              <w:bottom w:val="nil"/>
              <w:right w:val="nil"/>
            </w:tcBorders>
            <w:shd w:val="clear" w:color="auto" w:fill="auto"/>
            <w:noWrap/>
            <w:vAlign w:val="bottom"/>
            <w:hideMark/>
          </w:tcPr>
          <w:p w14:paraId="1A98F0C8" w14:textId="19068508" w:rsidR="00A6057E" w:rsidRPr="00B52637" w:rsidRDefault="00A6057E" w:rsidP="00A6057E">
            <w:pPr>
              <w:pStyle w:val="ExhibitText"/>
              <w:ind w:right="288"/>
              <w:jc w:val="right"/>
              <w:rPr>
                <w:lang w:val="en-CA"/>
              </w:rPr>
            </w:pPr>
            <w:r w:rsidRPr="00B52637">
              <w:rPr>
                <w:color w:val="000000"/>
                <w:lang w:val="en-CA"/>
              </w:rPr>
              <w:t>9.00</w:t>
            </w:r>
          </w:p>
        </w:tc>
        <w:tc>
          <w:tcPr>
            <w:tcW w:w="1872" w:type="dxa"/>
            <w:tcBorders>
              <w:top w:val="nil"/>
              <w:left w:val="nil"/>
              <w:bottom w:val="nil"/>
              <w:right w:val="nil"/>
            </w:tcBorders>
            <w:shd w:val="clear" w:color="auto" w:fill="auto"/>
            <w:noWrap/>
            <w:vAlign w:val="bottom"/>
            <w:hideMark/>
          </w:tcPr>
          <w:p w14:paraId="7859E100" w14:textId="12B8F0C7" w:rsidR="00A6057E" w:rsidRPr="00B52637" w:rsidRDefault="00A6057E" w:rsidP="00A6057E">
            <w:pPr>
              <w:pStyle w:val="ExhibitText"/>
              <w:ind w:right="288"/>
              <w:jc w:val="right"/>
              <w:rPr>
                <w:lang w:val="en-CA"/>
              </w:rPr>
            </w:pPr>
            <w:r w:rsidRPr="00B52637">
              <w:rPr>
                <w:color w:val="000000"/>
                <w:lang w:val="en-CA"/>
              </w:rPr>
              <w:t>3.10</w:t>
            </w:r>
          </w:p>
        </w:tc>
        <w:tc>
          <w:tcPr>
            <w:tcW w:w="1872" w:type="dxa"/>
            <w:tcBorders>
              <w:top w:val="nil"/>
              <w:left w:val="nil"/>
              <w:bottom w:val="nil"/>
              <w:right w:val="nil"/>
            </w:tcBorders>
            <w:shd w:val="clear" w:color="auto" w:fill="auto"/>
            <w:noWrap/>
            <w:vAlign w:val="bottom"/>
            <w:hideMark/>
          </w:tcPr>
          <w:p w14:paraId="2B19AD9E" w14:textId="1E6F409A" w:rsidR="00A6057E" w:rsidRPr="00B52637" w:rsidRDefault="00A6057E" w:rsidP="00516EB4">
            <w:pPr>
              <w:pStyle w:val="ExhibitText"/>
              <w:ind w:right="288"/>
              <w:jc w:val="right"/>
              <w:rPr>
                <w:lang w:val="en-CA"/>
              </w:rPr>
            </w:pPr>
            <w:r w:rsidRPr="00B52637">
              <w:rPr>
                <w:color w:val="000000"/>
                <w:lang w:val="en-CA"/>
              </w:rPr>
              <w:t>7.</w:t>
            </w:r>
            <w:r w:rsidR="00516EB4">
              <w:rPr>
                <w:color w:val="000000"/>
                <w:lang w:val="en-CA"/>
              </w:rPr>
              <w:t>3</w:t>
            </w:r>
            <w:r w:rsidR="00516EB4" w:rsidRPr="00B52637">
              <w:rPr>
                <w:color w:val="000000"/>
                <w:lang w:val="en-CA"/>
              </w:rPr>
              <w:t>0</w:t>
            </w:r>
          </w:p>
        </w:tc>
        <w:tc>
          <w:tcPr>
            <w:tcW w:w="1872" w:type="dxa"/>
            <w:tcBorders>
              <w:top w:val="nil"/>
              <w:left w:val="nil"/>
              <w:bottom w:val="nil"/>
              <w:right w:val="nil"/>
            </w:tcBorders>
            <w:shd w:val="clear" w:color="auto" w:fill="auto"/>
            <w:noWrap/>
            <w:vAlign w:val="bottom"/>
            <w:hideMark/>
          </w:tcPr>
          <w:p w14:paraId="1326608A" w14:textId="4898125E" w:rsidR="00A6057E" w:rsidRPr="00B52637" w:rsidRDefault="00A6057E" w:rsidP="00A6057E">
            <w:pPr>
              <w:pStyle w:val="ExhibitText"/>
              <w:ind w:right="288"/>
              <w:jc w:val="right"/>
              <w:rPr>
                <w:lang w:val="en-CA"/>
              </w:rPr>
            </w:pPr>
            <w:r w:rsidRPr="00B52637">
              <w:rPr>
                <w:color w:val="000000"/>
                <w:lang w:val="en-CA"/>
              </w:rPr>
              <w:t>1.90</w:t>
            </w:r>
          </w:p>
        </w:tc>
      </w:tr>
      <w:tr w:rsidR="00A6057E" w:rsidRPr="00B52637" w14:paraId="41CE02FE" w14:textId="77777777" w:rsidTr="001520D3">
        <w:trPr>
          <w:trHeight w:val="288"/>
        </w:trPr>
        <w:tc>
          <w:tcPr>
            <w:tcW w:w="1872" w:type="dxa"/>
            <w:tcBorders>
              <w:top w:val="nil"/>
              <w:left w:val="nil"/>
              <w:bottom w:val="nil"/>
              <w:right w:val="single" w:sz="4" w:space="0" w:color="auto"/>
            </w:tcBorders>
            <w:shd w:val="clear" w:color="auto" w:fill="auto"/>
            <w:vAlign w:val="bottom"/>
            <w:hideMark/>
          </w:tcPr>
          <w:p w14:paraId="6B9FCD54" w14:textId="2CCC55CD" w:rsidR="00A6057E" w:rsidRPr="00B52637" w:rsidRDefault="00A6057E" w:rsidP="00A6057E">
            <w:pPr>
              <w:pStyle w:val="ExhibitText"/>
              <w:rPr>
                <w:lang w:val="en-CA"/>
              </w:rPr>
            </w:pPr>
            <w:r w:rsidRPr="00B52637">
              <w:rPr>
                <w:color w:val="000000"/>
                <w:lang w:val="en-CA"/>
              </w:rPr>
              <w:t>Basketball</w:t>
            </w:r>
          </w:p>
        </w:tc>
        <w:tc>
          <w:tcPr>
            <w:tcW w:w="1872" w:type="dxa"/>
            <w:tcBorders>
              <w:top w:val="nil"/>
              <w:left w:val="single" w:sz="4" w:space="0" w:color="auto"/>
              <w:bottom w:val="nil"/>
              <w:right w:val="nil"/>
            </w:tcBorders>
            <w:shd w:val="clear" w:color="auto" w:fill="auto"/>
            <w:noWrap/>
            <w:vAlign w:val="bottom"/>
            <w:hideMark/>
          </w:tcPr>
          <w:p w14:paraId="6C95059A" w14:textId="01B99B8B" w:rsidR="00A6057E" w:rsidRPr="00B52637" w:rsidRDefault="00A6057E" w:rsidP="00A6057E">
            <w:pPr>
              <w:pStyle w:val="ExhibitText"/>
              <w:ind w:right="288"/>
              <w:jc w:val="right"/>
              <w:rPr>
                <w:lang w:val="en-CA"/>
              </w:rPr>
            </w:pPr>
            <w:r w:rsidRPr="00B52637">
              <w:rPr>
                <w:color w:val="000000"/>
                <w:lang w:val="en-CA"/>
              </w:rPr>
              <w:t>9.50</w:t>
            </w:r>
          </w:p>
        </w:tc>
        <w:tc>
          <w:tcPr>
            <w:tcW w:w="1872" w:type="dxa"/>
            <w:tcBorders>
              <w:top w:val="nil"/>
              <w:left w:val="nil"/>
              <w:bottom w:val="nil"/>
              <w:right w:val="nil"/>
            </w:tcBorders>
            <w:shd w:val="clear" w:color="auto" w:fill="auto"/>
            <w:noWrap/>
            <w:vAlign w:val="bottom"/>
            <w:hideMark/>
          </w:tcPr>
          <w:p w14:paraId="2C04C8FA" w14:textId="47CC0F9B" w:rsidR="00A6057E" w:rsidRPr="00B52637" w:rsidRDefault="00A6057E" w:rsidP="00A6057E">
            <w:pPr>
              <w:pStyle w:val="ExhibitText"/>
              <w:ind w:right="288"/>
              <w:jc w:val="right"/>
              <w:rPr>
                <w:lang w:val="en-CA"/>
              </w:rPr>
            </w:pPr>
            <w:r w:rsidRPr="00B52637">
              <w:rPr>
                <w:color w:val="000000"/>
                <w:lang w:val="en-CA"/>
              </w:rPr>
              <w:t>3.20</w:t>
            </w:r>
          </w:p>
        </w:tc>
        <w:tc>
          <w:tcPr>
            <w:tcW w:w="1872" w:type="dxa"/>
            <w:tcBorders>
              <w:top w:val="nil"/>
              <w:left w:val="nil"/>
              <w:bottom w:val="nil"/>
              <w:right w:val="nil"/>
            </w:tcBorders>
            <w:shd w:val="clear" w:color="auto" w:fill="auto"/>
            <w:noWrap/>
            <w:vAlign w:val="bottom"/>
            <w:hideMark/>
          </w:tcPr>
          <w:p w14:paraId="4E9EE52D" w14:textId="727DE4E1" w:rsidR="00A6057E" w:rsidRPr="00B52637" w:rsidRDefault="00A6057E" w:rsidP="00A6057E">
            <w:pPr>
              <w:pStyle w:val="ExhibitText"/>
              <w:ind w:right="288"/>
              <w:jc w:val="right"/>
              <w:rPr>
                <w:lang w:val="en-CA"/>
              </w:rPr>
            </w:pPr>
            <w:r w:rsidRPr="00B52637">
              <w:rPr>
                <w:color w:val="000000"/>
                <w:lang w:val="en-CA"/>
              </w:rPr>
              <w:t>7.10</w:t>
            </w:r>
          </w:p>
        </w:tc>
        <w:tc>
          <w:tcPr>
            <w:tcW w:w="1872" w:type="dxa"/>
            <w:tcBorders>
              <w:top w:val="nil"/>
              <w:left w:val="nil"/>
              <w:bottom w:val="nil"/>
              <w:right w:val="nil"/>
            </w:tcBorders>
            <w:shd w:val="clear" w:color="auto" w:fill="auto"/>
            <w:noWrap/>
            <w:vAlign w:val="bottom"/>
            <w:hideMark/>
          </w:tcPr>
          <w:p w14:paraId="40CADEB1" w14:textId="3C8597E8" w:rsidR="00A6057E" w:rsidRPr="00B52637" w:rsidRDefault="00A6057E" w:rsidP="00A6057E">
            <w:pPr>
              <w:pStyle w:val="ExhibitText"/>
              <w:ind w:right="288"/>
              <w:jc w:val="right"/>
              <w:rPr>
                <w:lang w:val="en-CA"/>
              </w:rPr>
            </w:pPr>
            <w:r w:rsidRPr="00B52637">
              <w:rPr>
                <w:color w:val="000000"/>
                <w:lang w:val="en-CA"/>
              </w:rPr>
              <w:t>1.80</w:t>
            </w:r>
          </w:p>
        </w:tc>
      </w:tr>
      <w:tr w:rsidR="00A6057E" w:rsidRPr="00B52637" w14:paraId="2D3B5B47" w14:textId="77777777" w:rsidTr="001520D3">
        <w:trPr>
          <w:trHeight w:val="288"/>
        </w:trPr>
        <w:tc>
          <w:tcPr>
            <w:tcW w:w="1872" w:type="dxa"/>
            <w:tcBorders>
              <w:top w:val="nil"/>
              <w:left w:val="nil"/>
              <w:bottom w:val="nil"/>
              <w:right w:val="single" w:sz="4" w:space="0" w:color="auto"/>
            </w:tcBorders>
            <w:shd w:val="clear" w:color="auto" w:fill="auto"/>
            <w:vAlign w:val="bottom"/>
            <w:hideMark/>
          </w:tcPr>
          <w:p w14:paraId="1755AA2F" w14:textId="607A95E5" w:rsidR="00A6057E" w:rsidRPr="00B52637" w:rsidRDefault="00A6057E" w:rsidP="00A6057E">
            <w:pPr>
              <w:pStyle w:val="ExhibitText"/>
              <w:rPr>
                <w:lang w:val="en-CA"/>
              </w:rPr>
            </w:pPr>
            <w:r w:rsidRPr="00B52637">
              <w:rPr>
                <w:color w:val="000000"/>
                <w:lang w:val="en-CA"/>
              </w:rPr>
              <w:t>Skiing (Downhill)</w:t>
            </w:r>
          </w:p>
        </w:tc>
        <w:tc>
          <w:tcPr>
            <w:tcW w:w="1872" w:type="dxa"/>
            <w:tcBorders>
              <w:top w:val="nil"/>
              <w:left w:val="single" w:sz="4" w:space="0" w:color="auto"/>
              <w:bottom w:val="nil"/>
              <w:right w:val="nil"/>
            </w:tcBorders>
            <w:shd w:val="clear" w:color="auto" w:fill="auto"/>
            <w:noWrap/>
            <w:vAlign w:val="bottom"/>
            <w:hideMark/>
          </w:tcPr>
          <w:p w14:paraId="4C6E93BB" w14:textId="428B95F9" w:rsidR="00A6057E" w:rsidRPr="00B52637" w:rsidRDefault="00A6057E" w:rsidP="00A6057E">
            <w:pPr>
              <w:pStyle w:val="ExhibitText"/>
              <w:ind w:right="288"/>
              <w:jc w:val="right"/>
              <w:rPr>
                <w:lang w:val="en-CA"/>
              </w:rPr>
            </w:pPr>
            <w:r w:rsidRPr="00B52637">
              <w:rPr>
                <w:color w:val="000000"/>
                <w:lang w:val="en-CA"/>
              </w:rPr>
              <w:t>7.90</w:t>
            </w:r>
          </w:p>
        </w:tc>
        <w:tc>
          <w:tcPr>
            <w:tcW w:w="1872" w:type="dxa"/>
            <w:tcBorders>
              <w:top w:val="nil"/>
              <w:left w:val="nil"/>
              <w:bottom w:val="nil"/>
              <w:right w:val="nil"/>
            </w:tcBorders>
            <w:shd w:val="clear" w:color="auto" w:fill="auto"/>
            <w:noWrap/>
            <w:vAlign w:val="bottom"/>
            <w:hideMark/>
          </w:tcPr>
          <w:p w14:paraId="492651C9" w14:textId="28E8B6A7" w:rsidR="00A6057E" w:rsidRPr="00B52637" w:rsidRDefault="00A6057E" w:rsidP="00A6057E">
            <w:pPr>
              <w:pStyle w:val="ExhibitText"/>
              <w:ind w:right="288"/>
              <w:jc w:val="right"/>
              <w:rPr>
                <w:lang w:val="en-CA"/>
              </w:rPr>
            </w:pPr>
            <w:r w:rsidRPr="00B52637">
              <w:rPr>
                <w:color w:val="000000"/>
                <w:lang w:val="en-CA"/>
              </w:rPr>
              <w:t>2.70</w:t>
            </w:r>
          </w:p>
        </w:tc>
        <w:tc>
          <w:tcPr>
            <w:tcW w:w="1872" w:type="dxa"/>
            <w:tcBorders>
              <w:top w:val="nil"/>
              <w:left w:val="nil"/>
              <w:bottom w:val="nil"/>
              <w:right w:val="nil"/>
            </w:tcBorders>
            <w:shd w:val="clear" w:color="auto" w:fill="auto"/>
            <w:noWrap/>
            <w:vAlign w:val="bottom"/>
            <w:hideMark/>
          </w:tcPr>
          <w:p w14:paraId="5E1C7897" w14:textId="521E8D98" w:rsidR="00A6057E" w:rsidRPr="00B52637" w:rsidRDefault="00A6057E" w:rsidP="00A6057E">
            <w:pPr>
              <w:pStyle w:val="ExhibitText"/>
              <w:ind w:right="288"/>
              <w:jc w:val="right"/>
              <w:rPr>
                <w:lang w:val="en-CA"/>
              </w:rPr>
            </w:pPr>
            <w:r w:rsidRPr="00B52637">
              <w:rPr>
                <w:color w:val="000000"/>
                <w:lang w:val="en-CA"/>
              </w:rPr>
              <w:t>6.10</w:t>
            </w:r>
          </w:p>
        </w:tc>
        <w:tc>
          <w:tcPr>
            <w:tcW w:w="1872" w:type="dxa"/>
            <w:tcBorders>
              <w:top w:val="nil"/>
              <w:left w:val="nil"/>
              <w:bottom w:val="nil"/>
              <w:right w:val="nil"/>
            </w:tcBorders>
            <w:shd w:val="clear" w:color="auto" w:fill="auto"/>
            <w:noWrap/>
            <w:vAlign w:val="bottom"/>
            <w:hideMark/>
          </w:tcPr>
          <w:p w14:paraId="054B1A44" w14:textId="55CA28FC" w:rsidR="00A6057E" w:rsidRPr="00B52637" w:rsidRDefault="00A6057E" w:rsidP="00A6057E">
            <w:pPr>
              <w:pStyle w:val="ExhibitText"/>
              <w:ind w:right="288"/>
              <w:jc w:val="right"/>
              <w:rPr>
                <w:lang w:val="en-CA"/>
              </w:rPr>
            </w:pPr>
            <w:r w:rsidRPr="00B52637">
              <w:rPr>
                <w:color w:val="000000"/>
                <w:lang w:val="en-CA"/>
              </w:rPr>
              <w:t>1.60</w:t>
            </w:r>
          </w:p>
        </w:tc>
      </w:tr>
      <w:tr w:rsidR="00A6057E" w:rsidRPr="00B52637" w14:paraId="6C0CDD3D" w14:textId="77777777" w:rsidTr="001520D3">
        <w:trPr>
          <w:trHeight w:val="288"/>
        </w:trPr>
        <w:tc>
          <w:tcPr>
            <w:tcW w:w="1872" w:type="dxa"/>
            <w:tcBorders>
              <w:top w:val="nil"/>
              <w:left w:val="nil"/>
              <w:bottom w:val="nil"/>
              <w:right w:val="single" w:sz="4" w:space="0" w:color="auto"/>
            </w:tcBorders>
            <w:shd w:val="clear" w:color="auto" w:fill="auto"/>
            <w:vAlign w:val="bottom"/>
            <w:hideMark/>
          </w:tcPr>
          <w:p w14:paraId="59296B96" w14:textId="0F1E7C64" w:rsidR="00A6057E" w:rsidRPr="00B52637" w:rsidRDefault="00A6057E" w:rsidP="00A6057E">
            <w:pPr>
              <w:pStyle w:val="ExhibitText"/>
              <w:rPr>
                <w:lang w:val="en-CA"/>
              </w:rPr>
            </w:pPr>
            <w:r w:rsidRPr="00B52637">
              <w:rPr>
                <w:color w:val="000000"/>
                <w:lang w:val="en-CA"/>
              </w:rPr>
              <w:t>Cycling</w:t>
            </w:r>
          </w:p>
        </w:tc>
        <w:tc>
          <w:tcPr>
            <w:tcW w:w="1872" w:type="dxa"/>
            <w:tcBorders>
              <w:top w:val="nil"/>
              <w:left w:val="single" w:sz="4" w:space="0" w:color="auto"/>
              <w:bottom w:val="nil"/>
              <w:right w:val="nil"/>
            </w:tcBorders>
            <w:shd w:val="clear" w:color="auto" w:fill="auto"/>
            <w:noWrap/>
            <w:vAlign w:val="bottom"/>
            <w:hideMark/>
          </w:tcPr>
          <w:p w14:paraId="25114D8F" w14:textId="0A6C7F94" w:rsidR="00A6057E" w:rsidRPr="00B52637" w:rsidRDefault="00A6057E" w:rsidP="00A6057E">
            <w:pPr>
              <w:pStyle w:val="ExhibitText"/>
              <w:ind w:right="288"/>
              <w:jc w:val="right"/>
              <w:rPr>
                <w:lang w:val="en-CA"/>
              </w:rPr>
            </w:pPr>
            <w:r w:rsidRPr="00B52637">
              <w:rPr>
                <w:color w:val="000000"/>
                <w:lang w:val="en-CA"/>
              </w:rPr>
              <w:t>7.30</w:t>
            </w:r>
          </w:p>
        </w:tc>
        <w:tc>
          <w:tcPr>
            <w:tcW w:w="1872" w:type="dxa"/>
            <w:tcBorders>
              <w:top w:val="nil"/>
              <w:left w:val="nil"/>
              <w:bottom w:val="nil"/>
              <w:right w:val="nil"/>
            </w:tcBorders>
            <w:shd w:val="clear" w:color="auto" w:fill="auto"/>
            <w:noWrap/>
            <w:vAlign w:val="bottom"/>
            <w:hideMark/>
          </w:tcPr>
          <w:p w14:paraId="23D9284A" w14:textId="7C197107" w:rsidR="00A6057E" w:rsidRPr="00B52637" w:rsidRDefault="00A6057E" w:rsidP="00A6057E">
            <w:pPr>
              <w:pStyle w:val="ExhibitText"/>
              <w:ind w:right="288"/>
              <w:jc w:val="right"/>
              <w:rPr>
                <w:lang w:val="en-CA"/>
              </w:rPr>
            </w:pPr>
            <w:r w:rsidRPr="00B52637">
              <w:rPr>
                <w:color w:val="000000"/>
                <w:lang w:val="en-CA"/>
              </w:rPr>
              <w:t>2.50</w:t>
            </w:r>
          </w:p>
        </w:tc>
        <w:tc>
          <w:tcPr>
            <w:tcW w:w="1872" w:type="dxa"/>
            <w:tcBorders>
              <w:top w:val="nil"/>
              <w:left w:val="nil"/>
              <w:bottom w:val="nil"/>
              <w:right w:val="nil"/>
            </w:tcBorders>
            <w:shd w:val="clear" w:color="auto" w:fill="auto"/>
            <w:noWrap/>
            <w:vAlign w:val="bottom"/>
            <w:hideMark/>
          </w:tcPr>
          <w:p w14:paraId="5CEB6158" w14:textId="3D7F0B81" w:rsidR="00A6057E" w:rsidRPr="00B52637" w:rsidRDefault="00A6057E" w:rsidP="00A6057E">
            <w:pPr>
              <w:pStyle w:val="ExhibitText"/>
              <w:ind w:right="288"/>
              <w:jc w:val="right"/>
              <w:rPr>
                <w:lang w:val="en-CA"/>
              </w:rPr>
            </w:pPr>
            <w:r w:rsidRPr="00B52637">
              <w:rPr>
                <w:color w:val="000000"/>
                <w:lang w:val="en-CA"/>
              </w:rPr>
              <w:t>5.50</w:t>
            </w:r>
          </w:p>
        </w:tc>
        <w:tc>
          <w:tcPr>
            <w:tcW w:w="1872" w:type="dxa"/>
            <w:tcBorders>
              <w:top w:val="nil"/>
              <w:left w:val="nil"/>
              <w:bottom w:val="nil"/>
              <w:right w:val="nil"/>
            </w:tcBorders>
            <w:shd w:val="clear" w:color="auto" w:fill="auto"/>
            <w:noWrap/>
            <w:vAlign w:val="bottom"/>
            <w:hideMark/>
          </w:tcPr>
          <w:p w14:paraId="4D024B3A" w14:textId="68C38C6E" w:rsidR="00A6057E" w:rsidRPr="00B52637" w:rsidRDefault="00A6057E" w:rsidP="00A6057E">
            <w:pPr>
              <w:pStyle w:val="ExhibitText"/>
              <w:ind w:right="288"/>
              <w:jc w:val="right"/>
              <w:rPr>
                <w:lang w:val="en-CA"/>
              </w:rPr>
            </w:pPr>
            <w:r w:rsidRPr="00B52637">
              <w:rPr>
                <w:color w:val="000000"/>
                <w:lang w:val="en-CA"/>
              </w:rPr>
              <w:t>1.40</w:t>
            </w:r>
          </w:p>
        </w:tc>
      </w:tr>
      <w:tr w:rsidR="00A6057E" w:rsidRPr="00B52637" w14:paraId="16A38BA2" w14:textId="77777777" w:rsidTr="001520D3">
        <w:trPr>
          <w:trHeight w:val="288"/>
        </w:trPr>
        <w:tc>
          <w:tcPr>
            <w:tcW w:w="1872" w:type="dxa"/>
            <w:tcBorders>
              <w:top w:val="nil"/>
              <w:left w:val="nil"/>
              <w:bottom w:val="nil"/>
              <w:right w:val="single" w:sz="4" w:space="0" w:color="auto"/>
            </w:tcBorders>
            <w:shd w:val="clear" w:color="auto" w:fill="auto"/>
            <w:noWrap/>
            <w:vAlign w:val="bottom"/>
            <w:hideMark/>
          </w:tcPr>
          <w:p w14:paraId="44905FF3" w14:textId="2E91B367" w:rsidR="00A6057E" w:rsidRPr="00B52637" w:rsidRDefault="00A6057E" w:rsidP="00A6057E">
            <w:pPr>
              <w:pStyle w:val="ExhibitText"/>
              <w:rPr>
                <w:lang w:val="en-CA"/>
              </w:rPr>
            </w:pPr>
            <w:r w:rsidRPr="00B52637">
              <w:rPr>
                <w:color w:val="000000"/>
                <w:lang w:val="en-CA"/>
              </w:rPr>
              <w:t>Swimming</w:t>
            </w:r>
          </w:p>
        </w:tc>
        <w:tc>
          <w:tcPr>
            <w:tcW w:w="1872" w:type="dxa"/>
            <w:tcBorders>
              <w:top w:val="nil"/>
              <w:left w:val="single" w:sz="4" w:space="0" w:color="auto"/>
              <w:bottom w:val="nil"/>
              <w:right w:val="nil"/>
            </w:tcBorders>
            <w:shd w:val="clear" w:color="auto" w:fill="auto"/>
            <w:noWrap/>
            <w:vAlign w:val="bottom"/>
            <w:hideMark/>
          </w:tcPr>
          <w:p w14:paraId="71BDD19B" w14:textId="137FD333" w:rsidR="00A6057E" w:rsidRPr="00B52637" w:rsidRDefault="00A6057E" w:rsidP="00A6057E">
            <w:pPr>
              <w:pStyle w:val="ExhibitText"/>
              <w:ind w:right="288"/>
              <w:jc w:val="right"/>
              <w:rPr>
                <w:lang w:val="en-CA"/>
              </w:rPr>
            </w:pPr>
            <w:r w:rsidRPr="00B52637">
              <w:rPr>
                <w:color w:val="000000"/>
                <w:lang w:val="en-CA"/>
              </w:rPr>
              <w:t>13.50</w:t>
            </w:r>
          </w:p>
        </w:tc>
        <w:tc>
          <w:tcPr>
            <w:tcW w:w="1872" w:type="dxa"/>
            <w:tcBorders>
              <w:top w:val="nil"/>
              <w:left w:val="nil"/>
              <w:bottom w:val="nil"/>
              <w:right w:val="nil"/>
            </w:tcBorders>
            <w:shd w:val="clear" w:color="auto" w:fill="auto"/>
            <w:noWrap/>
            <w:vAlign w:val="bottom"/>
            <w:hideMark/>
          </w:tcPr>
          <w:p w14:paraId="1A1F0978" w14:textId="5A0F69B6" w:rsidR="00A6057E" w:rsidRPr="00B52637" w:rsidRDefault="00A6057E" w:rsidP="00A6057E">
            <w:pPr>
              <w:pStyle w:val="ExhibitText"/>
              <w:ind w:right="288"/>
              <w:jc w:val="right"/>
              <w:rPr>
                <w:lang w:val="en-CA"/>
              </w:rPr>
            </w:pPr>
            <w:r w:rsidRPr="00B52637">
              <w:rPr>
                <w:color w:val="000000"/>
                <w:lang w:val="en-CA"/>
              </w:rPr>
              <w:t>4.60</w:t>
            </w:r>
          </w:p>
        </w:tc>
        <w:tc>
          <w:tcPr>
            <w:tcW w:w="1872" w:type="dxa"/>
            <w:tcBorders>
              <w:top w:val="nil"/>
              <w:left w:val="nil"/>
              <w:bottom w:val="nil"/>
              <w:right w:val="nil"/>
            </w:tcBorders>
            <w:shd w:val="clear" w:color="auto" w:fill="auto"/>
            <w:noWrap/>
            <w:vAlign w:val="bottom"/>
            <w:hideMark/>
          </w:tcPr>
          <w:p w14:paraId="33BAF246" w14:textId="32CD0779" w:rsidR="00A6057E" w:rsidRPr="00B52637" w:rsidRDefault="00A6057E" w:rsidP="00A6057E">
            <w:pPr>
              <w:pStyle w:val="ExhibitText"/>
              <w:ind w:right="288"/>
              <w:jc w:val="right"/>
              <w:rPr>
                <w:lang w:val="en-CA"/>
              </w:rPr>
            </w:pPr>
            <w:r w:rsidRPr="00B52637">
              <w:rPr>
                <w:color w:val="000000"/>
                <w:lang w:val="en-CA"/>
              </w:rPr>
              <w:t>5.30</w:t>
            </w:r>
          </w:p>
        </w:tc>
        <w:tc>
          <w:tcPr>
            <w:tcW w:w="1872" w:type="dxa"/>
            <w:tcBorders>
              <w:top w:val="nil"/>
              <w:left w:val="nil"/>
              <w:bottom w:val="nil"/>
              <w:right w:val="nil"/>
            </w:tcBorders>
            <w:shd w:val="clear" w:color="auto" w:fill="auto"/>
            <w:noWrap/>
            <w:vAlign w:val="bottom"/>
            <w:hideMark/>
          </w:tcPr>
          <w:p w14:paraId="25ED2B51" w14:textId="10FA73C5" w:rsidR="00A6057E" w:rsidRPr="00B52637" w:rsidRDefault="00A6057E" w:rsidP="00A6057E">
            <w:pPr>
              <w:pStyle w:val="ExhibitText"/>
              <w:ind w:right="288"/>
              <w:jc w:val="right"/>
              <w:rPr>
                <w:lang w:val="en-CA"/>
              </w:rPr>
            </w:pPr>
            <w:r w:rsidRPr="00B52637">
              <w:rPr>
                <w:color w:val="000000"/>
                <w:lang w:val="en-CA"/>
              </w:rPr>
              <w:t>1.40</w:t>
            </w:r>
          </w:p>
        </w:tc>
      </w:tr>
      <w:tr w:rsidR="00A6057E" w:rsidRPr="00B52637" w14:paraId="7419E898" w14:textId="77777777" w:rsidTr="001520D3">
        <w:trPr>
          <w:trHeight w:val="288"/>
        </w:trPr>
        <w:tc>
          <w:tcPr>
            <w:tcW w:w="1872" w:type="dxa"/>
            <w:tcBorders>
              <w:top w:val="nil"/>
              <w:left w:val="nil"/>
              <w:bottom w:val="single" w:sz="4" w:space="0" w:color="auto"/>
              <w:right w:val="single" w:sz="4" w:space="0" w:color="auto"/>
            </w:tcBorders>
            <w:shd w:val="clear" w:color="auto" w:fill="auto"/>
            <w:vAlign w:val="bottom"/>
            <w:hideMark/>
          </w:tcPr>
          <w:p w14:paraId="1B308B16" w14:textId="13808BF0" w:rsidR="00A6057E" w:rsidRPr="00B52637" w:rsidRDefault="00A6057E" w:rsidP="00A6057E">
            <w:pPr>
              <w:pStyle w:val="ExhibitText"/>
              <w:rPr>
                <w:lang w:val="en-CA"/>
              </w:rPr>
            </w:pPr>
            <w:r w:rsidRPr="00B52637">
              <w:rPr>
                <w:color w:val="000000"/>
                <w:lang w:val="en-CA"/>
              </w:rPr>
              <w:t>Badminton</w:t>
            </w:r>
          </w:p>
        </w:tc>
        <w:tc>
          <w:tcPr>
            <w:tcW w:w="1872" w:type="dxa"/>
            <w:tcBorders>
              <w:top w:val="nil"/>
              <w:left w:val="single" w:sz="4" w:space="0" w:color="auto"/>
              <w:bottom w:val="single" w:sz="4" w:space="0" w:color="auto"/>
              <w:right w:val="nil"/>
            </w:tcBorders>
            <w:shd w:val="clear" w:color="auto" w:fill="auto"/>
            <w:noWrap/>
            <w:vAlign w:val="bottom"/>
            <w:hideMark/>
          </w:tcPr>
          <w:p w14:paraId="30549E8A" w14:textId="3D0330E6" w:rsidR="00A6057E" w:rsidRPr="00B52637" w:rsidRDefault="00A6057E" w:rsidP="00A6057E">
            <w:pPr>
              <w:pStyle w:val="ExhibitText"/>
              <w:ind w:right="288"/>
              <w:jc w:val="right"/>
              <w:rPr>
                <w:lang w:val="en-CA"/>
              </w:rPr>
            </w:pPr>
            <w:r w:rsidRPr="00B52637">
              <w:rPr>
                <w:color w:val="000000"/>
                <w:lang w:val="en-CA"/>
              </w:rPr>
              <w:t>4.90</w:t>
            </w:r>
          </w:p>
        </w:tc>
        <w:tc>
          <w:tcPr>
            <w:tcW w:w="1872" w:type="dxa"/>
            <w:tcBorders>
              <w:top w:val="nil"/>
              <w:left w:val="nil"/>
              <w:bottom w:val="single" w:sz="4" w:space="0" w:color="auto"/>
              <w:right w:val="nil"/>
            </w:tcBorders>
            <w:shd w:val="clear" w:color="auto" w:fill="auto"/>
            <w:noWrap/>
            <w:vAlign w:val="bottom"/>
            <w:hideMark/>
          </w:tcPr>
          <w:p w14:paraId="3952DBEA" w14:textId="79CB4A42" w:rsidR="00A6057E" w:rsidRPr="00B52637" w:rsidRDefault="00A6057E" w:rsidP="00A6057E">
            <w:pPr>
              <w:pStyle w:val="ExhibitText"/>
              <w:ind w:right="288"/>
              <w:jc w:val="right"/>
              <w:rPr>
                <w:lang w:val="en-CA"/>
              </w:rPr>
            </w:pPr>
            <w:r w:rsidRPr="00B52637">
              <w:rPr>
                <w:color w:val="000000"/>
                <w:lang w:val="en-CA"/>
              </w:rPr>
              <w:t>1.70</w:t>
            </w:r>
          </w:p>
        </w:tc>
        <w:tc>
          <w:tcPr>
            <w:tcW w:w="1872" w:type="dxa"/>
            <w:tcBorders>
              <w:top w:val="nil"/>
              <w:left w:val="nil"/>
              <w:bottom w:val="single" w:sz="4" w:space="0" w:color="auto"/>
              <w:right w:val="nil"/>
            </w:tcBorders>
            <w:shd w:val="clear" w:color="auto" w:fill="auto"/>
            <w:noWrap/>
            <w:vAlign w:val="bottom"/>
            <w:hideMark/>
          </w:tcPr>
          <w:p w14:paraId="3ACB7A4C" w14:textId="41DB4B52" w:rsidR="00A6057E" w:rsidRPr="00B52637" w:rsidRDefault="00A6057E" w:rsidP="00A6057E">
            <w:pPr>
              <w:pStyle w:val="ExhibitText"/>
              <w:ind w:right="288"/>
              <w:jc w:val="right"/>
              <w:rPr>
                <w:lang w:val="en-CA"/>
              </w:rPr>
            </w:pPr>
            <w:r w:rsidRPr="00B52637">
              <w:rPr>
                <w:color w:val="000000"/>
                <w:lang w:val="en-CA"/>
              </w:rPr>
              <w:t>4.30</w:t>
            </w:r>
          </w:p>
        </w:tc>
        <w:tc>
          <w:tcPr>
            <w:tcW w:w="1872" w:type="dxa"/>
            <w:tcBorders>
              <w:top w:val="nil"/>
              <w:left w:val="nil"/>
              <w:bottom w:val="single" w:sz="4" w:space="0" w:color="auto"/>
              <w:right w:val="nil"/>
            </w:tcBorders>
            <w:shd w:val="clear" w:color="auto" w:fill="auto"/>
            <w:noWrap/>
            <w:vAlign w:val="bottom"/>
            <w:hideMark/>
          </w:tcPr>
          <w:p w14:paraId="2B1F8ABB" w14:textId="1CC54143" w:rsidR="00A6057E" w:rsidRPr="00B52637" w:rsidRDefault="00A6057E" w:rsidP="00A6057E">
            <w:pPr>
              <w:pStyle w:val="ExhibitText"/>
              <w:ind w:right="288"/>
              <w:jc w:val="right"/>
              <w:rPr>
                <w:lang w:val="en-CA"/>
              </w:rPr>
            </w:pPr>
            <w:r w:rsidRPr="00B52637">
              <w:rPr>
                <w:color w:val="000000"/>
                <w:lang w:val="en-CA"/>
              </w:rPr>
              <w:t>1.10</w:t>
            </w:r>
          </w:p>
        </w:tc>
      </w:tr>
    </w:tbl>
    <w:p w14:paraId="58970D0A" w14:textId="77777777" w:rsidR="00A91E23" w:rsidRPr="00B52637" w:rsidRDefault="00A91E23" w:rsidP="00F63C52">
      <w:pPr>
        <w:pStyle w:val="Footnote"/>
        <w:jc w:val="both"/>
        <w:rPr>
          <w:lang w:val="en-CA"/>
        </w:rPr>
      </w:pPr>
    </w:p>
    <w:p w14:paraId="7D395F4C" w14:textId="77777777" w:rsidR="00E068EE" w:rsidRPr="00B52637" w:rsidRDefault="00E068EE" w:rsidP="00F63C52">
      <w:pPr>
        <w:pStyle w:val="Footnote"/>
        <w:jc w:val="both"/>
        <w:rPr>
          <w:lang w:val="en-CA"/>
        </w:rPr>
      </w:pPr>
    </w:p>
    <w:p w14:paraId="5922ACD7" w14:textId="29FDD5D4" w:rsidR="001B686B" w:rsidRPr="00B52637" w:rsidRDefault="00E068EE" w:rsidP="00F63C52">
      <w:pPr>
        <w:pStyle w:val="Footnote"/>
        <w:jc w:val="both"/>
        <w:rPr>
          <w:lang w:val="en-CA"/>
        </w:rPr>
      </w:pPr>
      <w:r w:rsidRPr="00B52637">
        <w:rPr>
          <w:lang w:val="en-CA"/>
        </w:rPr>
        <w:t>Note:</w:t>
      </w:r>
      <w:r w:rsidR="001B686B" w:rsidRPr="00B52637">
        <w:rPr>
          <w:lang w:val="en-CA"/>
        </w:rPr>
        <w:t xml:space="preserve"> Active Participation</w:t>
      </w:r>
      <w:r w:rsidRPr="00B52637">
        <w:rPr>
          <w:lang w:val="en-CA"/>
        </w:rPr>
        <w:t xml:space="preserve"> was calculated by the authors based on 8,309,000 active adult Canadians (aged 15 years and older), </w:t>
      </w:r>
      <w:r w:rsidR="001B686B" w:rsidRPr="00B52637">
        <w:rPr>
          <w:lang w:val="en-CA"/>
        </w:rPr>
        <w:t>using the population</w:t>
      </w:r>
      <w:r w:rsidRPr="00B52637">
        <w:rPr>
          <w:lang w:val="en-CA"/>
        </w:rPr>
        <w:t xml:space="preserve"> </w:t>
      </w:r>
      <w:r w:rsidR="001B686B" w:rsidRPr="00B52637">
        <w:rPr>
          <w:lang w:val="en-CA"/>
        </w:rPr>
        <w:t>regularly participating in at least one sport</w:t>
      </w:r>
      <w:r w:rsidR="00041306" w:rsidRPr="00B52637">
        <w:rPr>
          <w:lang w:val="en-CA"/>
        </w:rPr>
        <w:t>.</w:t>
      </w:r>
    </w:p>
    <w:p w14:paraId="224D8AF3" w14:textId="0CAA9712" w:rsidR="001B686B" w:rsidRPr="00B52637" w:rsidRDefault="001B686B" w:rsidP="00F63C52">
      <w:pPr>
        <w:pStyle w:val="Footnote"/>
        <w:jc w:val="both"/>
        <w:rPr>
          <w:lang w:val="en-CA"/>
        </w:rPr>
      </w:pPr>
      <w:r w:rsidRPr="00B52637">
        <w:rPr>
          <w:lang w:val="en-CA"/>
        </w:rPr>
        <w:t xml:space="preserve">Source: Table created by </w:t>
      </w:r>
      <w:r w:rsidR="00E068EE" w:rsidRPr="00B52637">
        <w:rPr>
          <w:lang w:val="en-CA"/>
        </w:rPr>
        <w:t xml:space="preserve">the </w:t>
      </w:r>
      <w:r w:rsidRPr="00B52637">
        <w:rPr>
          <w:lang w:val="en-CA"/>
        </w:rPr>
        <w:t xml:space="preserve">authors based on data from Canadian Heritage, </w:t>
      </w:r>
      <w:r w:rsidRPr="00B52637">
        <w:rPr>
          <w:i/>
          <w:iCs/>
          <w:lang w:val="en-CA"/>
        </w:rPr>
        <w:t>Sport Participation 2010</w:t>
      </w:r>
      <w:r w:rsidRPr="00B52637">
        <w:rPr>
          <w:lang w:val="en-CA"/>
        </w:rPr>
        <w:t xml:space="preserve"> (Ottawa, </w:t>
      </w:r>
      <w:r w:rsidR="00E068EE" w:rsidRPr="00B52637">
        <w:rPr>
          <w:lang w:val="en-CA"/>
        </w:rPr>
        <w:t>ON</w:t>
      </w:r>
      <w:r w:rsidRPr="00B52637">
        <w:rPr>
          <w:lang w:val="en-CA"/>
        </w:rPr>
        <w:t xml:space="preserve">: Government of Canada, 2013), </w:t>
      </w:r>
      <w:r w:rsidR="00E068EE" w:rsidRPr="00B52637">
        <w:rPr>
          <w:lang w:val="en-CA"/>
        </w:rPr>
        <w:t xml:space="preserve">27, </w:t>
      </w:r>
      <w:r w:rsidR="00516EB4">
        <w:rPr>
          <w:lang w:val="en-CA"/>
        </w:rPr>
        <w:t xml:space="preserve">30, </w:t>
      </w:r>
      <w:r w:rsidR="00E068EE" w:rsidRPr="00B52637">
        <w:rPr>
          <w:lang w:val="en-CA"/>
        </w:rPr>
        <w:t>33</w:t>
      </w:r>
      <w:r w:rsidR="00E068EE" w:rsidRPr="00B52637">
        <w:rPr>
          <w:lang w:val="en-CA"/>
        </w:rPr>
        <w:sym w:font="Symbol" w:char="F02D"/>
      </w:r>
      <w:r w:rsidR="00E068EE" w:rsidRPr="00B52637">
        <w:rPr>
          <w:lang w:val="en-CA"/>
        </w:rPr>
        <w:t xml:space="preserve">34, </w:t>
      </w:r>
      <w:r w:rsidRPr="00B52637">
        <w:rPr>
          <w:lang w:val="en-CA"/>
        </w:rPr>
        <w:t>Research Paper Catalogue No. CH24-1/2012E-PDF, http://publications.gc.ca/collections/collection_2013/pc-ch/CH24-1-2012-eng.pdf</w:t>
      </w:r>
      <w:r w:rsidR="00E068EE" w:rsidRPr="00B52637">
        <w:rPr>
          <w:lang w:val="en-CA"/>
        </w:rPr>
        <w:t>.</w:t>
      </w:r>
      <w:r w:rsidRPr="00B52637">
        <w:rPr>
          <w:lang w:val="en-CA"/>
        </w:rPr>
        <w:t xml:space="preserve"> </w:t>
      </w:r>
    </w:p>
    <w:p w14:paraId="13D853C3" w14:textId="77777777" w:rsidR="001B686B" w:rsidRPr="00B52637" w:rsidRDefault="001B686B" w:rsidP="001B686B">
      <w:pPr>
        <w:pStyle w:val="Footnote"/>
        <w:rPr>
          <w:lang w:val="en-CA"/>
        </w:rPr>
      </w:pPr>
    </w:p>
    <w:p w14:paraId="6116460D" w14:textId="6D121E41" w:rsidR="001B686B" w:rsidRPr="00B52637" w:rsidRDefault="001B686B" w:rsidP="00017031">
      <w:pPr>
        <w:pStyle w:val="ExhibitHeading"/>
        <w:tabs>
          <w:tab w:val="left" w:pos="507"/>
        </w:tabs>
        <w:jc w:val="left"/>
        <w:rPr>
          <w:lang w:val="en-CA"/>
        </w:rPr>
      </w:pPr>
    </w:p>
    <w:p w14:paraId="58B8D93E" w14:textId="66B5A20A" w:rsidR="00B8750B" w:rsidRPr="00B52637" w:rsidRDefault="008F1DF7">
      <w:pPr>
        <w:pStyle w:val="ExhibitHeading"/>
        <w:rPr>
          <w:rFonts w:eastAsia="Calibri"/>
          <w:lang w:val="en-CA"/>
        </w:rPr>
      </w:pPr>
      <w:r w:rsidRPr="00B52637">
        <w:rPr>
          <w:lang w:val="en-CA"/>
        </w:rPr>
        <w:br w:type="page"/>
      </w:r>
      <w:r w:rsidR="00B8750B" w:rsidRPr="00B52637">
        <w:rPr>
          <w:rFonts w:eastAsia="Calibri"/>
          <w:lang w:val="en-CA"/>
        </w:rPr>
        <w:lastRenderedPageBreak/>
        <w:t>EXHIBIT 3: Changes in active leisure participation of Canadians on a given day</w:t>
      </w:r>
      <w:r w:rsidR="00172AC0" w:rsidRPr="00B52637">
        <w:rPr>
          <w:rFonts w:eastAsia="Calibri"/>
          <w:lang w:val="en-CA"/>
        </w:rPr>
        <w:t>,</w:t>
      </w:r>
      <w:r w:rsidR="00B8750B" w:rsidRPr="00B52637">
        <w:rPr>
          <w:rFonts w:eastAsia="Calibri"/>
          <w:lang w:val="en-CA"/>
        </w:rPr>
        <w:t xml:space="preserve"> from 1992 to 2010</w:t>
      </w:r>
      <w:r w:rsidR="00172AC0" w:rsidRPr="00B52637">
        <w:rPr>
          <w:rFonts w:eastAsia="Calibri"/>
          <w:lang w:val="en-CA"/>
        </w:rPr>
        <w:t xml:space="preserve"> (in %)</w:t>
      </w:r>
    </w:p>
    <w:p w14:paraId="4672F9F6" w14:textId="77777777" w:rsidR="00B8750B" w:rsidRPr="00B52637" w:rsidRDefault="00B8750B" w:rsidP="003F2DB7">
      <w:pPr>
        <w:pStyle w:val="ExhibitText"/>
        <w:rPr>
          <w:rFonts w:eastAsia="Calibri"/>
          <w:lang w:val="en-CA"/>
        </w:rPr>
      </w:pPr>
    </w:p>
    <w:tbl>
      <w:tblPr>
        <w:tblStyle w:val="TableGrid1"/>
        <w:tblW w:w="35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918"/>
        <w:gridCol w:w="918"/>
        <w:gridCol w:w="918"/>
        <w:gridCol w:w="918"/>
      </w:tblGrid>
      <w:tr w:rsidR="00B8750B" w:rsidRPr="00B52637" w14:paraId="799FF38F" w14:textId="77777777" w:rsidTr="00172AC0">
        <w:trPr>
          <w:trHeight w:val="288"/>
          <w:jc w:val="center"/>
        </w:trPr>
        <w:tc>
          <w:tcPr>
            <w:tcW w:w="0" w:type="auto"/>
            <w:tcBorders>
              <w:top w:val="single" w:sz="4" w:space="0" w:color="auto"/>
              <w:bottom w:val="single" w:sz="4" w:space="0" w:color="auto"/>
            </w:tcBorders>
            <w:noWrap/>
            <w:vAlign w:val="center"/>
            <w:hideMark/>
          </w:tcPr>
          <w:p w14:paraId="43EC356C" w14:textId="17EEE791" w:rsidR="00B8750B" w:rsidRPr="00B52637" w:rsidRDefault="00172AC0" w:rsidP="00172AC0">
            <w:pPr>
              <w:pStyle w:val="ExhibitText"/>
              <w:jc w:val="left"/>
              <w:rPr>
                <w:b/>
                <w:bCs/>
                <w:lang w:val="en-CA" w:eastAsia="en-CA"/>
              </w:rPr>
            </w:pPr>
            <w:r w:rsidRPr="00B52637">
              <w:rPr>
                <w:b/>
                <w:bCs/>
                <w:lang w:val="en-CA" w:eastAsia="en-CA"/>
              </w:rPr>
              <w:t>Sport</w:t>
            </w:r>
          </w:p>
        </w:tc>
        <w:tc>
          <w:tcPr>
            <w:tcW w:w="0" w:type="auto"/>
            <w:tcBorders>
              <w:top w:val="single" w:sz="4" w:space="0" w:color="auto"/>
              <w:bottom w:val="single" w:sz="4" w:space="0" w:color="auto"/>
            </w:tcBorders>
            <w:noWrap/>
            <w:vAlign w:val="center"/>
            <w:hideMark/>
          </w:tcPr>
          <w:p w14:paraId="57CA4F04" w14:textId="77777777" w:rsidR="00B8750B" w:rsidRPr="00B52637" w:rsidRDefault="00B8750B" w:rsidP="00172AC0">
            <w:pPr>
              <w:pStyle w:val="ExhibitText"/>
              <w:jc w:val="right"/>
              <w:rPr>
                <w:b/>
                <w:color w:val="000000"/>
                <w:lang w:val="en-CA" w:eastAsia="en-CA"/>
              </w:rPr>
            </w:pPr>
            <w:r w:rsidRPr="00B52637">
              <w:rPr>
                <w:b/>
                <w:color w:val="000000"/>
                <w:lang w:val="en-CA" w:eastAsia="en-CA"/>
              </w:rPr>
              <w:t>1992</w:t>
            </w:r>
          </w:p>
        </w:tc>
        <w:tc>
          <w:tcPr>
            <w:tcW w:w="0" w:type="auto"/>
            <w:tcBorders>
              <w:top w:val="single" w:sz="4" w:space="0" w:color="auto"/>
              <w:bottom w:val="single" w:sz="4" w:space="0" w:color="auto"/>
            </w:tcBorders>
            <w:noWrap/>
            <w:vAlign w:val="center"/>
            <w:hideMark/>
          </w:tcPr>
          <w:p w14:paraId="0746440B" w14:textId="77777777" w:rsidR="00B8750B" w:rsidRPr="00B52637" w:rsidRDefault="00B8750B" w:rsidP="00172AC0">
            <w:pPr>
              <w:pStyle w:val="ExhibitText"/>
              <w:jc w:val="right"/>
              <w:rPr>
                <w:b/>
                <w:color w:val="000000"/>
                <w:lang w:val="en-CA" w:eastAsia="en-CA"/>
              </w:rPr>
            </w:pPr>
            <w:r w:rsidRPr="00B52637">
              <w:rPr>
                <w:b/>
                <w:color w:val="000000"/>
                <w:lang w:val="en-CA" w:eastAsia="en-CA"/>
              </w:rPr>
              <w:t>1998</w:t>
            </w:r>
          </w:p>
        </w:tc>
        <w:tc>
          <w:tcPr>
            <w:tcW w:w="0" w:type="auto"/>
            <w:tcBorders>
              <w:top w:val="single" w:sz="4" w:space="0" w:color="auto"/>
              <w:bottom w:val="single" w:sz="4" w:space="0" w:color="auto"/>
            </w:tcBorders>
            <w:noWrap/>
            <w:vAlign w:val="center"/>
            <w:hideMark/>
          </w:tcPr>
          <w:p w14:paraId="2DAD0994" w14:textId="77777777" w:rsidR="00B8750B" w:rsidRPr="00B52637" w:rsidRDefault="00B8750B" w:rsidP="00172AC0">
            <w:pPr>
              <w:pStyle w:val="ExhibitText"/>
              <w:jc w:val="right"/>
              <w:rPr>
                <w:b/>
                <w:color w:val="000000"/>
                <w:lang w:val="en-CA" w:eastAsia="en-CA"/>
              </w:rPr>
            </w:pPr>
            <w:r w:rsidRPr="00B52637">
              <w:rPr>
                <w:b/>
                <w:color w:val="000000"/>
                <w:lang w:val="en-CA" w:eastAsia="en-CA"/>
              </w:rPr>
              <w:t>2005</w:t>
            </w:r>
          </w:p>
        </w:tc>
        <w:tc>
          <w:tcPr>
            <w:tcW w:w="0" w:type="auto"/>
            <w:tcBorders>
              <w:top w:val="single" w:sz="4" w:space="0" w:color="auto"/>
              <w:bottom w:val="single" w:sz="4" w:space="0" w:color="auto"/>
            </w:tcBorders>
            <w:noWrap/>
            <w:vAlign w:val="center"/>
            <w:hideMark/>
          </w:tcPr>
          <w:p w14:paraId="6255335A" w14:textId="77777777" w:rsidR="00B8750B" w:rsidRPr="00B52637" w:rsidRDefault="00B8750B" w:rsidP="00172AC0">
            <w:pPr>
              <w:pStyle w:val="ExhibitText"/>
              <w:jc w:val="right"/>
              <w:rPr>
                <w:b/>
                <w:color w:val="000000"/>
                <w:lang w:val="en-CA" w:eastAsia="en-CA"/>
              </w:rPr>
            </w:pPr>
            <w:r w:rsidRPr="00B52637">
              <w:rPr>
                <w:b/>
                <w:color w:val="000000"/>
                <w:lang w:val="en-CA" w:eastAsia="en-CA"/>
              </w:rPr>
              <w:t>2010</w:t>
            </w:r>
          </w:p>
        </w:tc>
      </w:tr>
      <w:tr w:rsidR="00B8750B" w:rsidRPr="00B52637" w14:paraId="6AFD7BD0" w14:textId="77777777" w:rsidTr="00172AC0">
        <w:trPr>
          <w:trHeight w:val="288"/>
          <w:jc w:val="center"/>
        </w:trPr>
        <w:tc>
          <w:tcPr>
            <w:tcW w:w="0" w:type="auto"/>
            <w:tcBorders>
              <w:top w:val="single" w:sz="4" w:space="0" w:color="auto"/>
            </w:tcBorders>
            <w:noWrap/>
            <w:vAlign w:val="center"/>
            <w:hideMark/>
          </w:tcPr>
          <w:p w14:paraId="084FBC6C" w14:textId="77777777" w:rsidR="00B8750B" w:rsidRPr="00B52637" w:rsidRDefault="00B8750B" w:rsidP="00172AC0">
            <w:pPr>
              <w:pStyle w:val="ExhibitText"/>
              <w:jc w:val="left"/>
              <w:rPr>
                <w:bCs/>
                <w:color w:val="000000"/>
                <w:lang w:val="en-CA" w:eastAsia="en-CA"/>
              </w:rPr>
            </w:pPr>
            <w:r w:rsidRPr="00B52637">
              <w:rPr>
                <w:bCs/>
                <w:color w:val="000000"/>
                <w:lang w:val="en-CA" w:eastAsia="en-CA"/>
              </w:rPr>
              <w:t>Cycling</w:t>
            </w:r>
          </w:p>
        </w:tc>
        <w:tc>
          <w:tcPr>
            <w:tcW w:w="0" w:type="auto"/>
            <w:tcBorders>
              <w:top w:val="single" w:sz="4" w:space="0" w:color="auto"/>
            </w:tcBorders>
            <w:noWrap/>
            <w:vAlign w:val="center"/>
            <w:hideMark/>
          </w:tcPr>
          <w:p w14:paraId="75FC3E4B" w14:textId="280A6B28" w:rsidR="00B8750B" w:rsidRPr="00B52637" w:rsidRDefault="00B8750B" w:rsidP="00172AC0">
            <w:pPr>
              <w:pStyle w:val="ExhibitText"/>
              <w:jc w:val="right"/>
              <w:rPr>
                <w:color w:val="000000"/>
                <w:lang w:val="en-CA" w:eastAsia="en-CA"/>
              </w:rPr>
            </w:pPr>
            <w:r w:rsidRPr="00B52637">
              <w:rPr>
                <w:color w:val="000000"/>
                <w:lang w:val="en-CA" w:eastAsia="en-CA"/>
              </w:rPr>
              <w:t>0.8</w:t>
            </w:r>
          </w:p>
        </w:tc>
        <w:tc>
          <w:tcPr>
            <w:tcW w:w="0" w:type="auto"/>
            <w:tcBorders>
              <w:top w:val="single" w:sz="4" w:space="0" w:color="auto"/>
            </w:tcBorders>
            <w:noWrap/>
            <w:vAlign w:val="center"/>
            <w:hideMark/>
          </w:tcPr>
          <w:p w14:paraId="68EEB2E3" w14:textId="32BD9F52" w:rsidR="00B8750B" w:rsidRPr="00B52637" w:rsidRDefault="00B8750B" w:rsidP="00172AC0">
            <w:pPr>
              <w:pStyle w:val="ExhibitText"/>
              <w:jc w:val="right"/>
              <w:rPr>
                <w:color w:val="000000"/>
                <w:lang w:val="en-CA" w:eastAsia="en-CA"/>
              </w:rPr>
            </w:pPr>
            <w:r w:rsidRPr="00B52637">
              <w:rPr>
                <w:color w:val="000000"/>
                <w:lang w:val="en-CA" w:eastAsia="en-CA"/>
              </w:rPr>
              <w:t>0.9</w:t>
            </w:r>
          </w:p>
        </w:tc>
        <w:tc>
          <w:tcPr>
            <w:tcW w:w="0" w:type="auto"/>
            <w:tcBorders>
              <w:top w:val="single" w:sz="4" w:space="0" w:color="auto"/>
            </w:tcBorders>
            <w:noWrap/>
            <w:vAlign w:val="center"/>
            <w:hideMark/>
          </w:tcPr>
          <w:p w14:paraId="2851A12F" w14:textId="2F95D2B3" w:rsidR="00B8750B" w:rsidRPr="00B52637" w:rsidRDefault="00B8750B" w:rsidP="00172AC0">
            <w:pPr>
              <w:pStyle w:val="ExhibitText"/>
              <w:jc w:val="right"/>
              <w:rPr>
                <w:color w:val="000000"/>
                <w:lang w:val="en-CA" w:eastAsia="en-CA"/>
              </w:rPr>
            </w:pPr>
            <w:r w:rsidRPr="00B52637">
              <w:rPr>
                <w:color w:val="000000"/>
                <w:lang w:val="en-CA" w:eastAsia="en-CA"/>
              </w:rPr>
              <w:t>1.0</w:t>
            </w:r>
          </w:p>
        </w:tc>
        <w:tc>
          <w:tcPr>
            <w:tcW w:w="0" w:type="auto"/>
            <w:tcBorders>
              <w:top w:val="single" w:sz="4" w:space="0" w:color="auto"/>
            </w:tcBorders>
            <w:noWrap/>
            <w:vAlign w:val="center"/>
            <w:hideMark/>
          </w:tcPr>
          <w:p w14:paraId="5EA13F12" w14:textId="21C0E290" w:rsidR="00B8750B" w:rsidRPr="00B52637" w:rsidRDefault="00B8750B" w:rsidP="00172AC0">
            <w:pPr>
              <w:pStyle w:val="ExhibitText"/>
              <w:jc w:val="right"/>
              <w:rPr>
                <w:color w:val="000000"/>
                <w:lang w:val="en-CA" w:eastAsia="en-CA"/>
              </w:rPr>
            </w:pPr>
            <w:r w:rsidRPr="00B52637">
              <w:rPr>
                <w:color w:val="000000"/>
                <w:lang w:val="en-CA" w:eastAsia="en-CA"/>
              </w:rPr>
              <w:t>0.9</w:t>
            </w:r>
          </w:p>
        </w:tc>
      </w:tr>
      <w:tr w:rsidR="00B8750B" w:rsidRPr="00B52637" w14:paraId="5E78264A" w14:textId="77777777" w:rsidTr="00172AC0">
        <w:trPr>
          <w:trHeight w:val="288"/>
          <w:jc w:val="center"/>
        </w:trPr>
        <w:tc>
          <w:tcPr>
            <w:tcW w:w="0" w:type="auto"/>
            <w:noWrap/>
            <w:vAlign w:val="center"/>
            <w:hideMark/>
          </w:tcPr>
          <w:p w14:paraId="1983D872" w14:textId="77777777" w:rsidR="00B8750B" w:rsidRPr="00B52637" w:rsidRDefault="00B8750B" w:rsidP="00172AC0">
            <w:pPr>
              <w:pStyle w:val="ExhibitText"/>
              <w:jc w:val="left"/>
              <w:rPr>
                <w:bCs/>
                <w:color w:val="000000"/>
                <w:lang w:val="en-CA" w:eastAsia="en-CA"/>
              </w:rPr>
            </w:pPr>
            <w:r w:rsidRPr="00B52637">
              <w:rPr>
                <w:bCs/>
                <w:color w:val="000000"/>
                <w:lang w:val="en-CA" w:eastAsia="en-CA"/>
              </w:rPr>
              <w:t>Outdoor Activity</w:t>
            </w:r>
          </w:p>
        </w:tc>
        <w:tc>
          <w:tcPr>
            <w:tcW w:w="0" w:type="auto"/>
            <w:noWrap/>
            <w:vAlign w:val="center"/>
            <w:hideMark/>
          </w:tcPr>
          <w:p w14:paraId="721346E2" w14:textId="7FC0775D" w:rsidR="00B8750B" w:rsidRPr="00B52637" w:rsidRDefault="00B8750B" w:rsidP="00172AC0">
            <w:pPr>
              <w:pStyle w:val="ExhibitText"/>
              <w:jc w:val="right"/>
              <w:rPr>
                <w:color w:val="000000"/>
                <w:lang w:val="en-CA" w:eastAsia="en-CA"/>
              </w:rPr>
            </w:pPr>
            <w:r w:rsidRPr="00B52637">
              <w:rPr>
                <w:color w:val="000000"/>
                <w:lang w:val="en-CA" w:eastAsia="en-CA"/>
              </w:rPr>
              <w:t>2.0</w:t>
            </w:r>
          </w:p>
        </w:tc>
        <w:tc>
          <w:tcPr>
            <w:tcW w:w="0" w:type="auto"/>
            <w:noWrap/>
            <w:vAlign w:val="center"/>
            <w:hideMark/>
          </w:tcPr>
          <w:p w14:paraId="68933227" w14:textId="15B02ED0" w:rsidR="00B8750B" w:rsidRPr="00B52637" w:rsidRDefault="00B8750B" w:rsidP="00172AC0">
            <w:pPr>
              <w:pStyle w:val="ExhibitText"/>
              <w:jc w:val="right"/>
              <w:rPr>
                <w:color w:val="000000"/>
                <w:lang w:val="en-CA" w:eastAsia="en-CA"/>
              </w:rPr>
            </w:pPr>
            <w:r w:rsidRPr="00B52637">
              <w:rPr>
                <w:color w:val="000000"/>
                <w:lang w:val="en-CA" w:eastAsia="en-CA"/>
              </w:rPr>
              <w:t>2.0</w:t>
            </w:r>
          </w:p>
        </w:tc>
        <w:tc>
          <w:tcPr>
            <w:tcW w:w="0" w:type="auto"/>
            <w:noWrap/>
            <w:vAlign w:val="center"/>
            <w:hideMark/>
          </w:tcPr>
          <w:p w14:paraId="71F7EB4A" w14:textId="23624130" w:rsidR="00B8750B" w:rsidRPr="00B52637" w:rsidRDefault="00B8750B" w:rsidP="00133915">
            <w:pPr>
              <w:pStyle w:val="ExhibitText"/>
              <w:jc w:val="right"/>
              <w:rPr>
                <w:color w:val="000000"/>
                <w:lang w:val="en-CA" w:eastAsia="en-CA"/>
              </w:rPr>
            </w:pPr>
            <w:r w:rsidRPr="00B52637">
              <w:rPr>
                <w:color w:val="000000"/>
                <w:lang w:val="en-CA" w:eastAsia="en-CA"/>
              </w:rPr>
              <w:t>2.</w:t>
            </w:r>
            <w:r w:rsidR="00133915" w:rsidRPr="00B52637">
              <w:rPr>
                <w:color w:val="000000"/>
                <w:lang w:val="en-CA" w:eastAsia="en-CA"/>
              </w:rPr>
              <w:t>2</w:t>
            </w:r>
          </w:p>
        </w:tc>
        <w:tc>
          <w:tcPr>
            <w:tcW w:w="0" w:type="auto"/>
            <w:noWrap/>
            <w:vAlign w:val="center"/>
            <w:hideMark/>
          </w:tcPr>
          <w:p w14:paraId="4F0A7004" w14:textId="68B2EEAE" w:rsidR="00B8750B" w:rsidRPr="00B52637" w:rsidRDefault="00B8750B" w:rsidP="00172AC0">
            <w:pPr>
              <w:pStyle w:val="ExhibitText"/>
              <w:jc w:val="right"/>
              <w:rPr>
                <w:color w:val="000000"/>
                <w:lang w:val="en-CA" w:eastAsia="en-CA"/>
              </w:rPr>
            </w:pPr>
            <w:r w:rsidRPr="00B52637">
              <w:rPr>
                <w:color w:val="000000"/>
                <w:lang w:val="en-CA" w:eastAsia="en-CA"/>
              </w:rPr>
              <w:t>3.0</w:t>
            </w:r>
          </w:p>
        </w:tc>
      </w:tr>
      <w:tr w:rsidR="00B8750B" w:rsidRPr="00B52637" w14:paraId="577070BF" w14:textId="77777777" w:rsidTr="00172AC0">
        <w:trPr>
          <w:trHeight w:val="288"/>
          <w:jc w:val="center"/>
        </w:trPr>
        <w:tc>
          <w:tcPr>
            <w:tcW w:w="0" w:type="auto"/>
            <w:noWrap/>
            <w:vAlign w:val="center"/>
            <w:hideMark/>
          </w:tcPr>
          <w:p w14:paraId="4261C0BF" w14:textId="77777777" w:rsidR="00B8750B" w:rsidRPr="00B52637" w:rsidRDefault="00B8750B" w:rsidP="00172AC0">
            <w:pPr>
              <w:pStyle w:val="ExhibitText"/>
              <w:jc w:val="left"/>
              <w:rPr>
                <w:bCs/>
                <w:color w:val="000000"/>
                <w:lang w:val="en-CA" w:eastAsia="en-CA"/>
              </w:rPr>
            </w:pPr>
            <w:r w:rsidRPr="00B52637">
              <w:rPr>
                <w:bCs/>
                <w:color w:val="000000"/>
                <w:lang w:val="en-CA" w:eastAsia="en-CA"/>
              </w:rPr>
              <w:t>Sports</w:t>
            </w:r>
          </w:p>
        </w:tc>
        <w:tc>
          <w:tcPr>
            <w:tcW w:w="0" w:type="auto"/>
            <w:noWrap/>
            <w:vAlign w:val="center"/>
            <w:hideMark/>
          </w:tcPr>
          <w:p w14:paraId="3B2C2D63" w14:textId="337B88AA" w:rsidR="00B8750B" w:rsidRPr="00B52637" w:rsidRDefault="00B8750B" w:rsidP="00172AC0">
            <w:pPr>
              <w:pStyle w:val="ExhibitText"/>
              <w:jc w:val="right"/>
              <w:rPr>
                <w:color w:val="000000"/>
                <w:lang w:val="en-CA" w:eastAsia="en-CA"/>
              </w:rPr>
            </w:pPr>
            <w:r w:rsidRPr="00B52637">
              <w:rPr>
                <w:color w:val="000000"/>
                <w:lang w:val="en-CA" w:eastAsia="en-CA"/>
              </w:rPr>
              <w:t>6.0</w:t>
            </w:r>
          </w:p>
        </w:tc>
        <w:tc>
          <w:tcPr>
            <w:tcW w:w="0" w:type="auto"/>
            <w:noWrap/>
            <w:vAlign w:val="center"/>
            <w:hideMark/>
          </w:tcPr>
          <w:p w14:paraId="28D60C2D" w14:textId="2536BA7A" w:rsidR="00B8750B" w:rsidRPr="00B52637" w:rsidRDefault="00B8750B" w:rsidP="00172AC0">
            <w:pPr>
              <w:pStyle w:val="ExhibitText"/>
              <w:jc w:val="right"/>
              <w:rPr>
                <w:color w:val="000000"/>
                <w:lang w:val="en-CA" w:eastAsia="en-CA"/>
              </w:rPr>
            </w:pPr>
            <w:r w:rsidRPr="00B52637">
              <w:rPr>
                <w:color w:val="000000"/>
                <w:lang w:val="en-CA" w:eastAsia="en-CA"/>
              </w:rPr>
              <w:t>6.5</w:t>
            </w:r>
          </w:p>
        </w:tc>
        <w:tc>
          <w:tcPr>
            <w:tcW w:w="0" w:type="auto"/>
            <w:noWrap/>
            <w:vAlign w:val="center"/>
            <w:hideMark/>
          </w:tcPr>
          <w:p w14:paraId="369DF2B0" w14:textId="3F9C9032" w:rsidR="00B8750B" w:rsidRPr="00B52637" w:rsidRDefault="00B8750B" w:rsidP="00172AC0">
            <w:pPr>
              <w:pStyle w:val="ExhibitText"/>
              <w:jc w:val="right"/>
              <w:rPr>
                <w:color w:val="000000"/>
                <w:lang w:val="en-CA" w:eastAsia="en-CA"/>
              </w:rPr>
            </w:pPr>
            <w:r w:rsidRPr="00B52637">
              <w:rPr>
                <w:color w:val="000000"/>
                <w:lang w:val="en-CA" w:eastAsia="en-CA"/>
              </w:rPr>
              <w:t>6.0</w:t>
            </w:r>
          </w:p>
        </w:tc>
        <w:tc>
          <w:tcPr>
            <w:tcW w:w="0" w:type="auto"/>
            <w:noWrap/>
            <w:vAlign w:val="center"/>
            <w:hideMark/>
          </w:tcPr>
          <w:p w14:paraId="647429B2" w14:textId="745498A4" w:rsidR="00B8750B" w:rsidRPr="00B52637" w:rsidRDefault="00B8750B" w:rsidP="00172AC0">
            <w:pPr>
              <w:pStyle w:val="ExhibitText"/>
              <w:jc w:val="right"/>
              <w:rPr>
                <w:color w:val="000000"/>
                <w:lang w:val="en-CA" w:eastAsia="en-CA"/>
              </w:rPr>
            </w:pPr>
            <w:r w:rsidRPr="00B52637">
              <w:rPr>
                <w:color w:val="000000"/>
                <w:lang w:val="en-CA" w:eastAsia="en-CA"/>
              </w:rPr>
              <w:t>5.0</w:t>
            </w:r>
          </w:p>
        </w:tc>
      </w:tr>
      <w:tr w:rsidR="00B8750B" w:rsidRPr="00B52637" w14:paraId="5ADAC286" w14:textId="77777777" w:rsidTr="00172AC0">
        <w:trPr>
          <w:trHeight w:val="288"/>
          <w:jc w:val="center"/>
        </w:trPr>
        <w:tc>
          <w:tcPr>
            <w:tcW w:w="0" w:type="auto"/>
            <w:noWrap/>
            <w:vAlign w:val="center"/>
            <w:hideMark/>
          </w:tcPr>
          <w:p w14:paraId="0FA23C7C" w14:textId="77777777" w:rsidR="00B8750B" w:rsidRPr="00B52637" w:rsidRDefault="00B8750B" w:rsidP="00172AC0">
            <w:pPr>
              <w:pStyle w:val="ExhibitText"/>
              <w:jc w:val="left"/>
              <w:rPr>
                <w:bCs/>
                <w:color w:val="000000"/>
                <w:lang w:val="en-CA" w:eastAsia="en-CA"/>
              </w:rPr>
            </w:pPr>
            <w:r w:rsidRPr="00B52637">
              <w:rPr>
                <w:bCs/>
                <w:color w:val="000000"/>
                <w:lang w:val="en-CA" w:eastAsia="en-CA"/>
              </w:rPr>
              <w:t>Exercise</w:t>
            </w:r>
          </w:p>
        </w:tc>
        <w:tc>
          <w:tcPr>
            <w:tcW w:w="0" w:type="auto"/>
            <w:noWrap/>
            <w:vAlign w:val="center"/>
            <w:hideMark/>
          </w:tcPr>
          <w:p w14:paraId="5DF72681" w14:textId="6C70BA8B" w:rsidR="00B8750B" w:rsidRPr="00B52637" w:rsidRDefault="00B8750B" w:rsidP="00172AC0">
            <w:pPr>
              <w:pStyle w:val="ExhibitText"/>
              <w:jc w:val="right"/>
              <w:rPr>
                <w:color w:val="000000"/>
                <w:lang w:val="en-CA" w:eastAsia="en-CA"/>
              </w:rPr>
            </w:pPr>
            <w:r w:rsidRPr="00B52637">
              <w:rPr>
                <w:color w:val="000000"/>
                <w:lang w:val="en-CA" w:eastAsia="en-CA"/>
              </w:rPr>
              <w:t>5.0</w:t>
            </w:r>
          </w:p>
        </w:tc>
        <w:tc>
          <w:tcPr>
            <w:tcW w:w="0" w:type="auto"/>
            <w:noWrap/>
            <w:vAlign w:val="center"/>
            <w:hideMark/>
          </w:tcPr>
          <w:p w14:paraId="6D8D0B50" w14:textId="3BB16726" w:rsidR="00B8750B" w:rsidRPr="00B52637" w:rsidRDefault="00B8750B" w:rsidP="00172AC0">
            <w:pPr>
              <w:pStyle w:val="ExhibitText"/>
              <w:jc w:val="right"/>
              <w:rPr>
                <w:color w:val="000000"/>
                <w:lang w:val="en-CA" w:eastAsia="en-CA"/>
              </w:rPr>
            </w:pPr>
            <w:r w:rsidRPr="00B52637">
              <w:rPr>
                <w:color w:val="000000"/>
                <w:lang w:val="en-CA" w:eastAsia="en-CA"/>
              </w:rPr>
              <w:t>5.0</w:t>
            </w:r>
          </w:p>
        </w:tc>
        <w:tc>
          <w:tcPr>
            <w:tcW w:w="0" w:type="auto"/>
            <w:noWrap/>
            <w:vAlign w:val="center"/>
            <w:hideMark/>
          </w:tcPr>
          <w:p w14:paraId="56F7DDD8" w14:textId="1FCEF200" w:rsidR="00B8750B" w:rsidRPr="00B52637" w:rsidRDefault="00B8750B" w:rsidP="00172AC0">
            <w:pPr>
              <w:pStyle w:val="ExhibitText"/>
              <w:jc w:val="right"/>
              <w:rPr>
                <w:color w:val="000000"/>
                <w:lang w:val="en-CA" w:eastAsia="en-CA"/>
              </w:rPr>
            </w:pPr>
            <w:r w:rsidRPr="00B52637">
              <w:rPr>
                <w:color w:val="000000"/>
                <w:lang w:val="en-CA" w:eastAsia="en-CA"/>
              </w:rPr>
              <w:t>6.0</w:t>
            </w:r>
          </w:p>
        </w:tc>
        <w:tc>
          <w:tcPr>
            <w:tcW w:w="0" w:type="auto"/>
            <w:noWrap/>
            <w:vAlign w:val="center"/>
            <w:hideMark/>
          </w:tcPr>
          <w:p w14:paraId="7E0682F4" w14:textId="6126B1A1" w:rsidR="00B8750B" w:rsidRPr="00B52637" w:rsidRDefault="00B8750B" w:rsidP="00172AC0">
            <w:pPr>
              <w:pStyle w:val="ExhibitText"/>
              <w:jc w:val="right"/>
              <w:rPr>
                <w:color w:val="000000"/>
                <w:lang w:val="en-CA" w:eastAsia="en-CA"/>
              </w:rPr>
            </w:pPr>
            <w:r w:rsidRPr="00B52637">
              <w:rPr>
                <w:color w:val="000000"/>
                <w:lang w:val="en-CA" w:eastAsia="en-CA"/>
              </w:rPr>
              <w:t>8.0</w:t>
            </w:r>
          </w:p>
        </w:tc>
      </w:tr>
      <w:tr w:rsidR="00B8750B" w:rsidRPr="00B52637" w14:paraId="62825007" w14:textId="77777777" w:rsidTr="00172AC0">
        <w:trPr>
          <w:trHeight w:val="288"/>
          <w:jc w:val="center"/>
        </w:trPr>
        <w:tc>
          <w:tcPr>
            <w:tcW w:w="0" w:type="auto"/>
            <w:tcBorders>
              <w:bottom w:val="single" w:sz="4" w:space="0" w:color="auto"/>
            </w:tcBorders>
            <w:noWrap/>
            <w:vAlign w:val="center"/>
            <w:hideMark/>
          </w:tcPr>
          <w:p w14:paraId="15658080" w14:textId="77777777" w:rsidR="00B8750B" w:rsidRPr="00B52637" w:rsidRDefault="00B8750B" w:rsidP="00172AC0">
            <w:pPr>
              <w:pStyle w:val="ExhibitText"/>
              <w:jc w:val="left"/>
              <w:rPr>
                <w:bCs/>
                <w:color w:val="000000"/>
                <w:lang w:val="en-CA" w:eastAsia="en-CA"/>
              </w:rPr>
            </w:pPr>
            <w:r w:rsidRPr="00B52637">
              <w:rPr>
                <w:bCs/>
                <w:color w:val="000000"/>
                <w:lang w:val="en-CA" w:eastAsia="en-CA"/>
              </w:rPr>
              <w:t>Walking and Jogging</w:t>
            </w:r>
          </w:p>
        </w:tc>
        <w:tc>
          <w:tcPr>
            <w:tcW w:w="0" w:type="auto"/>
            <w:tcBorders>
              <w:bottom w:val="single" w:sz="4" w:space="0" w:color="auto"/>
            </w:tcBorders>
            <w:noWrap/>
            <w:vAlign w:val="center"/>
            <w:hideMark/>
          </w:tcPr>
          <w:p w14:paraId="71FF5E9A" w14:textId="24796035" w:rsidR="00B8750B" w:rsidRPr="00B52637" w:rsidRDefault="00B8750B" w:rsidP="00172AC0">
            <w:pPr>
              <w:pStyle w:val="ExhibitText"/>
              <w:jc w:val="right"/>
              <w:rPr>
                <w:color w:val="000000"/>
                <w:lang w:val="en-CA" w:eastAsia="en-CA"/>
              </w:rPr>
            </w:pPr>
            <w:r w:rsidRPr="00B52637">
              <w:rPr>
                <w:color w:val="000000"/>
                <w:lang w:val="en-CA" w:eastAsia="en-CA"/>
              </w:rPr>
              <w:t>10.0</w:t>
            </w:r>
          </w:p>
        </w:tc>
        <w:tc>
          <w:tcPr>
            <w:tcW w:w="0" w:type="auto"/>
            <w:tcBorders>
              <w:bottom w:val="single" w:sz="4" w:space="0" w:color="auto"/>
            </w:tcBorders>
            <w:noWrap/>
            <w:vAlign w:val="center"/>
            <w:hideMark/>
          </w:tcPr>
          <w:p w14:paraId="6CDD2B4F" w14:textId="5F6C8840" w:rsidR="00B8750B" w:rsidRPr="00B52637" w:rsidRDefault="00B8750B" w:rsidP="00172AC0">
            <w:pPr>
              <w:pStyle w:val="ExhibitText"/>
              <w:jc w:val="right"/>
              <w:rPr>
                <w:color w:val="000000"/>
                <w:lang w:val="en-CA" w:eastAsia="en-CA"/>
              </w:rPr>
            </w:pPr>
            <w:r w:rsidRPr="00B52637">
              <w:rPr>
                <w:color w:val="000000"/>
                <w:lang w:val="en-CA" w:eastAsia="en-CA"/>
              </w:rPr>
              <w:t>11.0</w:t>
            </w:r>
          </w:p>
        </w:tc>
        <w:tc>
          <w:tcPr>
            <w:tcW w:w="0" w:type="auto"/>
            <w:tcBorders>
              <w:bottom w:val="single" w:sz="4" w:space="0" w:color="auto"/>
            </w:tcBorders>
            <w:noWrap/>
            <w:vAlign w:val="center"/>
            <w:hideMark/>
          </w:tcPr>
          <w:p w14:paraId="7BD36F28" w14:textId="61B3E586" w:rsidR="00B8750B" w:rsidRPr="00B52637" w:rsidRDefault="00B8750B" w:rsidP="00172AC0">
            <w:pPr>
              <w:pStyle w:val="ExhibitText"/>
              <w:jc w:val="right"/>
              <w:rPr>
                <w:color w:val="000000"/>
                <w:lang w:val="en-CA" w:eastAsia="en-CA"/>
              </w:rPr>
            </w:pPr>
            <w:r w:rsidRPr="00B52637">
              <w:rPr>
                <w:color w:val="000000"/>
                <w:lang w:val="en-CA" w:eastAsia="en-CA"/>
              </w:rPr>
              <w:t>12.5</w:t>
            </w:r>
          </w:p>
        </w:tc>
        <w:tc>
          <w:tcPr>
            <w:tcW w:w="0" w:type="auto"/>
            <w:tcBorders>
              <w:bottom w:val="single" w:sz="4" w:space="0" w:color="auto"/>
            </w:tcBorders>
            <w:noWrap/>
            <w:vAlign w:val="center"/>
            <w:hideMark/>
          </w:tcPr>
          <w:p w14:paraId="795C3C4D" w14:textId="4D79438F" w:rsidR="00B8750B" w:rsidRPr="00B52637" w:rsidRDefault="00B8750B" w:rsidP="00172AC0">
            <w:pPr>
              <w:pStyle w:val="ExhibitText"/>
              <w:jc w:val="right"/>
              <w:rPr>
                <w:color w:val="000000"/>
                <w:lang w:val="en-CA" w:eastAsia="en-CA"/>
              </w:rPr>
            </w:pPr>
            <w:r w:rsidRPr="00B52637">
              <w:rPr>
                <w:color w:val="000000"/>
                <w:lang w:val="en-CA" w:eastAsia="en-CA"/>
              </w:rPr>
              <w:t>12.0</w:t>
            </w:r>
          </w:p>
        </w:tc>
      </w:tr>
      <w:tr w:rsidR="00B8750B" w:rsidRPr="00B52637" w14:paraId="2DB3B8F5" w14:textId="77777777" w:rsidTr="00172AC0">
        <w:trPr>
          <w:trHeight w:val="288"/>
          <w:jc w:val="center"/>
        </w:trPr>
        <w:tc>
          <w:tcPr>
            <w:tcW w:w="0" w:type="auto"/>
            <w:tcBorders>
              <w:top w:val="single" w:sz="4" w:space="0" w:color="auto"/>
              <w:bottom w:val="single" w:sz="4" w:space="0" w:color="auto"/>
            </w:tcBorders>
            <w:noWrap/>
            <w:vAlign w:val="center"/>
            <w:hideMark/>
          </w:tcPr>
          <w:p w14:paraId="3C4518B3" w14:textId="77777777" w:rsidR="00B8750B" w:rsidRPr="00B52637" w:rsidRDefault="00B8750B" w:rsidP="00172AC0">
            <w:pPr>
              <w:pStyle w:val="ExhibitText"/>
              <w:jc w:val="left"/>
              <w:rPr>
                <w:bCs/>
                <w:color w:val="000000"/>
                <w:lang w:val="en-CA" w:eastAsia="en-CA"/>
              </w:rPr>
            </w:pPr>
            <w:r w:rsidRPr="00B52637">
              <w:rPr>
                <w:bCs/>
                <w:color w:val="000000"/>
                <w:lang w:val="en-CA" w:eastAsia="en-CA"/>
              </w:rPr>
              <w:t>All Activities</w:t>
            </w:r>
          </w:p>
        </w:tc>
        <w:tc>
          <w:tcPr>
            <w:tcW w:w="0" w:type="auto"/>
            <w:tcBorders>
              <w:top w:val="single" w:sz="4" w:space="0" w:color="auto"/>
              <w:bottom w:val="single" w:sz="4" w:space="0" w:color="auto"/>
            </w:tcBorders>
            <w:noWrap/>
            <w:vAlign w:val="center"/>
            <w:hideMark/>
          </w:tcPr>
          <w:p w14:paraId="41D1640B" w14:textId="4021A4C8" w:rsidR="00B8750B" w:rsidRPr="00B52637" w:rsidRDefault="00B8750B" w:rsidP="00172AC0">
            <w:pPr>
              <w:pStyle w:val="ExhibitText"/>
              <w:jc w:val="right"/>
              <w:rPr>
                <w:color w:val="000000"/>
                <w:lang w:val="en-CA" w:eastAsia="en-CA"/>
              </w:rPr>
            </w:pPr>
            <w:r w:rsidRPr="00B52637">
              <w:rPr>
                <w:color w:val="000000"/>
                <w:lang w:val="en-CA" w:eastAsia="en-CA"/>
              </w:rPr>
              <w:t>22.0</w:t>
            </w:r>
          </w:p>
        </w:tc>
        <w:tc>
          <w:tcPr>
            <w:tcW w:w="0" w:type="auto"/>
            <w:tcBorders>
              <w:top w:val="single" w:sz="4" w:space="0" w:color="auto"/>
              <w:bottom w:val="single" w:sz="4" w:space="0" w:color="auto"/>
            </w:tcBorders>
            <w:noWrap/>
            <w:vAlign w:val="center"/>
            <w:hideMark/>
          </w:tcPr>
          <w:p w14:paraId="18F7CBBF" w14:textId="65BB72B5" w:rsidR="00B8750B" w:rsidRPr="00B52637" w:rsidRDefault="00B8750B" w:rsidP="00172AC0">
            <w:pPr>
              <w:pStyle w:val="ExhibitText"/>
              <w:jc w:val="right"/>
              <w:rPr>
                <w:color w:val="000000"/>
                <w:lang w:val="en-CA" w:eastAsia="en-CA"/>
              </w:rPr>
            </w:pPr>
            <w:r w:rsidRPr="00B52637">
              <w:rPr>
                <w:color w:val="000000"/>
                <w:lang w:val="en-CA" w:eastAsia="en-CA"/>
              </w:rPr>
              <w:t>23.0</w:t>
            </w:r>
          </w:p>
        </w:tc>
        <w:tc>
          <w:tcPr>
            <w:tcW w:w="0" w:type="auto"/>
            <w:tcBorders>
              <w:top w:val="single" w:sz="4" w:space="0" w:color="auto"/>
              <w:bottom w:val="single" w:sz="4" w:space="0" w:color="auto"/>
            </w:tcBorders>
            <w:noWrap/>
            <w:vAlign w:val="center"/>
            <w:hideMark/>
          </w:tcPr>
          <w:p w14:paraId="75501861" w14:textId="632C72BA" w:rsidR="00B8750B" w:rsidRPr="00B52637" w:rsidRDefault="00B8750B" w:rsidP="00172AC0">
            <w:pPr>
              <w:pStyle w:val="ExhibitText"/>
              <w:jc w:val="right"/>
              <w:rPr>
                <w:color w:val="000000"/>
                <w:lang w:val="en-CA" w:eastAsia="en-CA"/>
              </w:rPr>
            </w:pPr>
            <w:r w:rsidRPr="00B52637">
              <w:rPr>
                <w:color w:val="000000"/>
                <w:lang w:val="en-CA" w:eastAsia="en-CA"/>
              </w:rPr>
              <w:t>24.5</w:t>
            </w:r>
          </w:p>
        </w:tc>
        <w:tc>
          <w:tcPr>
            <w:tcW w:w="0" w:type="auto"/>
            <w:tcBorders>
              <w:top w:val="single" w:sz="4" w:space="0" w:color="auto"/>
              <w:bottom w:val="single" w:sz="4" w:space="0" w:color="auto"/>
            </w:tcBorders>
            <w:noWrap/>
            <w:vAlign w:val="center"/>
            <w:hideMark/>
          </w:tcPr>
          <w:p w14:paraId="1CC431B5" w14:textId="3B3A35C4" w:rsidR="00B8750B" w:rsidRPr="00B52637" w:rsidRDefault="00B8750B" w:rsidP="00172AC0">
            <w:pPr>
              <w:pStyle w:val="ExhibitText"/>
              <w:jc w:val="right"/>
              <w:rPr>
                <w:color w:val="000000"/>
                <w:lang w:val="en-CA" w:eastAsia="en-CA"/>
              </w:rPr>
            </w:pPr>
            <w:r w:rsidRPr="00B52637">
              <w:rPr>
                <w:color w:val="000000"/>
                <w:lang w:val="en-CA" w:eastAsia="en-CA"/>
              </w:rPr>
              <w:t>26.0</w:t>
            </w:r>
          </w:p>
        </w:tc>
      </w:tr>
    </w:tbl>
    <w:p w14:paraId="62CB5E6D" w14:textId="77777777" w:rsidR="00B8750B" w:rsidRPr="00B52637" w:rsidRDefault="00B8750B" w:rsidP="003F2DB7">
      <w:pPr>
        <w:pStyle w:val="ExhibitText"/>
        <w:rPr>
          <w:rFonts w:eastAsia="Calibri"/>
          <w:lang w:val="en-CA"/>
        </w:rPr>
      </w:pPr>
    </w:p>
    <w:p w14:paraId="2EF26A1E" w14:textId="5A7E26D1" w:rsidR="00B8750B" w:rsidRPr="00B52637" w:rsidRDefault="00172AC0" w:rsidP="00041306">
      <w:pPr>
        <w:pStyle w:val="Footnote"/>
        <w:jc w:val="both"/>
        <w:rPr>
          <w:rFonts w:eastAsia="Calibri"/>
          <w:i/>
          <w:iCs/>
          <w:lang w:val="en-CA"/>
        </w:rPr>
      </w:pPr>
      <w:r w:rsidRPr="00B52637">
        <w:rPr>
          <w:lang w:val="en-CA"/>
        </w:rPr>
        <w:t xml:space="preserve">Source: </w:t>
      </w:r>
      <w:r w:rsidR="0062393F" w:rsidRPr="00B52637">
        <w:rPr>
          <w:lang w:val="en-CA"/>
        </w:rPr>
        <w:t xml:space="preserve">Table created by </w:t>
      </w:r>
      <w:r w:rsidR="00E068EE" w:rsidRPr="00B52637">
        <w:rPr>
          <w:lang w:val="en-CA"/>
        </w:rPr>
        <w:t xml:space="preserve">the </w:t>
      </w:r>
      <w:r w:rsidR="0062393F" w:rsidRPr="00B52637">
        <w:rPr>
          <w:lang w:val="en-CA"/>
        </w:rPr>
        <w:t xml:space="preserve">authors based </w:t>
      </w:r>
      <w:r w:rsidR="001B686B" w:rsidRPr="00B52637">
        <w:rPr>
          <w:lang w:val="en-CA"/>
        </w:rPr>
        <w:t xml:space="preserve">on </w:t>
      </w:r>
      <w:r w:rsidR="0062393F" w:rsidRPr="00B52637">
        <w:rPr>
          <w:lang w:val="en-CA"/>
        </w:rPr>
        <w:t xml:space="preserve">data from </w:t>
      </w:r>
      <w:r w:rsidRPr="00B52637">
        <w:rPr>
          <w:lang w:val="en-CA"/>
        </w:rPr>
        <w:t xml:space="preserve">Canadian Heritage, </w:t>
      </w:r>
      <w:r w:rsidRPr="00B52637">
        <w:rPr>
          <w:i/>
          <w:iCs/>
          <w:lang w:val="en-CA"/>
        </w:rPr>
        <w:t>Sport Participation 2010</w:t>
      </w:r>
      <w:r w:rsidRPr="00B52637">
        <w:rPr>
          <w:lang w:val="en-CA"/>
        </w:rPr>
        <w:t xml:space="preserve"> (Ottawa, </w:t>
      </w:r>
      <w:r w:rsidR="00E068EE" w:rsidRPr="00B52637">
        <w:rPr>
          <w:lang w:val="en-CA"/>
        </w:rPr>
        <w:t>ON</w:t>
      </w:r>
      <w:r w:rsidRPr="00B52637">
        <w:rPr>
          <w:lang w:val="en-CA"/>
        </w:rPr>
        <w:t xml:space="preserve">: Government of Canada, 2013), </w:t>
      </w:r>
      <w:r w:rsidR="00E068EE" w:rsidRPr="00B52637">
        <w:rPr>
          <w:lang w:val="en-CA"/>
        </w:rPr>
        <w:t xml:space="preserve">17, </w:t>
      </w:r>
      <w:r w:rsidRPr="00B52637">
        <w:rPr>
          <w:lang w:val="en-CA"/>
        </w:rPr>
        <w:t>Research Paper Catalogue No. CH24-1/2012E-PDF,</w:t>
      </w:r>
      <w:r w:rsidR="00041306" w:rsidRPr="00B52637">
        <w:rPr>
          <w:lang w:val="en-CA"/>
        </w:rPr>
        <w:t xml:space="preserve"> http://publications.gc.ca/collections/collection_2013/pc-ch/CH24-1-2012-eng.pdf.</w:t>
      </w:r>
    </w:p>
    <w:p w14:paraId="43F6DE42" w14:textId="79B6162E" w:rsidR="008F1DF7" w:rsidRPr="00B52637" w:rsidRDefault="008F1DF7" w:rsidP="002B77A1">
      <w:pPr>
        <w:pStyle w:val="ExhibitText"/>
        <w:rPr>
          <w:lang w:val="en-CA"/>
        </w:rPr>
      </w:pPr>
    </w:p>
    <w:p w14:paraId="597DEC81" w14:textId="77777777" w:rsidR="002B77A1" w:rsidRPr="00B52637" w:rsidRDefault="002B77A1" w:rsidP="003F2DB7">
      <w:pPr>
        <w:pStyle w:val="ExhibitText"/>
        <w:rPr>
          <w:lang w:val="en-CA"/>
        </w:rPr>
      </w:pPr>
    </w:p>
    <w:p w14:paraId="3157EE74" w14:textId="443719B2" w:rsidR="004013AD" w:rsidRPr="00B52637" w:rsidRDefault="004013AD" w:rsidP="008D3098">
      <w:pPr>
        <w:pStyle w:val="ExhibitHeading"/>
        <w:rPr>
          <w:rFonts w:eastAsia="Calibri"/>
          <w:lang w:val="en-CA"/>
        </w:rPr>
      </w:pPr>
      <w:r w:rsidRPr="00B52637">
        <w:rPr>
          <w:rFonts w:eastAsia="Calibri"/>
          <w:lang w:val="en-CA"/>
        </w:rPr>
        <w:t>EXHIBIT</w:t>
      </w:r>
      <w:r w:rsidR="008F1DF7" w:rsidRPr="00B52637">
        <w:rPr>
          <w:rFonts w:eastAsia="Calibri"/>
          <w:lang w:val="en-CA"/>
        </w:rPr>
        <w:t xml:space="preserve"> </w:t>
      </w:r>
      <w:r w:rsidR="00B8750B" w:rsidRPr="00B52637">
        <w:rPr>
          <w:rFonts w:eastAsia="Calibri"/>
          <w:lang w:val="en-CA"/>
        </w:rPr>
        <w:t>4</w:t>
      </w:r>
      <w:r w:rsidRPr="00B52637">
        <w:rPr>
          <w:rFonts w:eastAsia="Calibri"/>
          <w:lang w:val="en-CA"/>
        </w:rPr>
        <w:t>: Sampling of Global Ski Participation, 2019</w:t>
      </w:r>
    </w:p>
    <w:p w14:paraId="621E687C" w14:textId="77777777" w:rsidR="008D3098" w:rsidRPr="00B52637" w:rsidRDefault="008D3098" w:rsidP="003F2DB7">
      <w:pPr>
        <w:pStyle w:val="ExhibitText"/>
        <w:rPr>
          <w:rFonts w:eastAsia="Calibri"/>
          <w:lang w:val="en-CA"/>
        </w:rPr>
      </w:pPr>
    </w:p>
    <w:tbl>
      <w:tblPr>
        <w:tblW w:w="5000" w:type="pct"/>
        <w:tblBorders>
          <w:top w:val="single" w:sz="4" w:space="0" w:color="auto"/>
          <w:bottom w:val="single" w:sz="4" w:space="0" w:color="auto"/>
        </w:tblBorders>
        <w:tblLook w:val="04A0" w:firstRow="1" w:lastRow="0" w:firstColumn="1" w:lastColumn="0" w:noHBand="0" w:noVBand="1"/>
      </w:tblPr>
      <w:tblGrid>
        <w:gridCol w:w="1800"/>
        <w:gridCol w:w="2520"/>
        <w:gridCol w:w="2520"/>
        <w:gridCol w:w="2520"/>
      </w:tblGrid>
      <w:tr w:rsidR="00BA4999" w:rsidRPr="00B52637" w14:paraId="04D871CB" w14:textId="77777777" w:rsidTr="008D3098">
        <w:trPr>
          <w:trHeight w:val="288"/>
        </w:trPr>
        <w:tc>
          <w:tcPr>
            <w:tcW w:w="962" w:type="pct"/>
            <w:tcBorders>
              <w:top w:val="single" w:sz="4" w:space="0" w:color="auto"/>
              <w:bottom w:val="single" w:sz="4" w:space="0" w:color="auto"/>
            </w:tcBorders>
            <w:shd w:val="clear" w:color="000000" w:fill="FFFFFF"/>
            <w:noWrap/>
            <w:vAlign w:val="center"/>
            <w:hideMark/>
          </w:tcPr>
          <w:p w14:paraId="3491AECA" w14:textId="4BEDDC45" w:rsidR="00BA4999" w:rsidRPr="00B52637" w:rsidRDefault="008D3098" w:rsidP="008D3098">
            <w:pPr>
              <w:pStyle w:val="ExhibitText"/>
              <w:rPr>
                <w:b/>
                <w:bCs/>
                <w:lang w:val="en-CA" w:eastAsia="en-CA"/>
              </w:rPr>
            </w:pPr>
            <w:r w:rsidRPr="00B52637">
              <w:rPr>
                <w:b/>
                <w:bCs/>
                <w:lang w:val="en-CA" w:eastAsia="en-CA"/>
              </w:rPr>
              <w:t>Country</w:t>
            </w:r>
          </w:p>
        </w:tc>
        <w:tc>
          <w:tcPr>
            <w:tcW w:w="1346" w:type="pct"/>
            <w:tcBorders>
              <w:top w:val="single" w:sz="4" w:space="0" w:color="auto"/>
              <w:bottom w:val="single" w:sz="4" w:space="0" w:color="auto"/>
            </w:tcBorders>
            <w:shd w:val="clear" w:color="000000" w:fill="FFFFFF"/>
            <w:vAlign w:val="center"/>
            <w:hideMark/>
          </w:tcPr>
          <w:p w14:paraId="53EB5CA4" w14:textId="3F87B7AE" w:rsidR="00BA4999" w:rsidRPr="00B52637" w:rsidRDefault="00BA4999" w:rsidP="008D3098">
            <w:pPr>
              <w:pStyle w:val="ExhibitText"/>
              <w:jc w:val="center"/>
              <w:rPr>
                <w:b/>
                <w:bCs/>
                <w:lang w:val="en-CA" w:eastAsia="en-CA"/>
              </w:rPr>
            </w:pPr>
            <w:r w:rsidRPr="00B52637">
              <w:rPr>
                <w:b/>
                <w:bCs/>
                <w:lang w:val="en-CA" w:eastAsia="en-CA"/>
              </w:rPr>
              <w:t>Number of National Skiers (</w:t>
            </w:r>
            <w:r w:rsidR="008D3098" w:rsidRPr="00B52637">
              <w:rPr>
                <w:b/>
                <w:bCs/>
                <w:lang w:val="en-CA" w:eastAsia="en-CA"/>
              </w:rPr>
              <w:t>‘000</w:t>
            </w:r>
            <w:r w:rsidR="00055108" w:rsidRPr="00B52637">
              <w:rPr>
                <w:b/>
                <w:bCs/>
                <w:lang w:val="en-CA" w:eastAsia="en-CA"/>
              </w:rPr>
              <w:t>s</w:t>
            </w:r>
            <w:r w:rsidRPr="00B52637">
              <w:rPr>
                <w:b/>
                <w:bCs/>
                <w:lang w:val="en-CA" w:eastAsia="en-CA"/>
              </w:rPr>
              <w:t>)</w:t>
            </w:r>
          </w:p>
        </w:tc>
        <w:tc>
          <w:tcPr>
            <w:tcW w:w="1346" w:type="pct"/>
            <w:tcBorders>
              <w:top w:val="single" w:sz="4" w:space="0" w:color="auto"/>
              <w:bottom w:val="single" w:sz="4" w:space="0" w:color="auto"/>
            </w:tcBorders>
            <w:shd w:val="clear" w:color="000000" w:fill="FFFFFF"/>
            <w:vAlign w:val="center"/>
            <w:hideMark/>
          </w:tcPr>
          <w:p w14:paraId="7141BF88" w14:textId="2B229C99" w:rsidR="008D3098" w:rsidRPr="00B52637" w:rsidRDefault="00BA4999" w:rsidP="008D3098">
            <w:pPr>
              <w:pStyle w:val="ExhibitText"/>
              <w:jc w:val="center"/>
              <w:rPr>
                <w:b/>
                <w:bCs/>
                <w:lang w:val="en-CA" w:eastAsia="en-CA"/>
              </w:rPr>
            </w:pPr>
            <w:r w:rsidRPr="00B52637">
              <w:rPr>
                <w:b/>
                <w:bCs/>
                <w:lang w:val="en-CA" w:eastAsia="en-CA"/>
              </w:rPr>
              <w:t>Number of Major Resorts</w:t>
            </w:r>
          </w:p>
          <w:p w14:paraId="074DD094" w14:textId="3FF32861" w:rsidR="00BA4999" w:rsidRPr="00B52637" w:rsidRDefault="00BA4999" w:rsidP="008D3098">
            <w:pPr>
              <w:pStyle w:val="ExhibitText"/>
              <w:jc w:val="center"/>
              <w:rPr>
                <w:b/>
                <w:bCs/>
                <w:lang w:val="en-CA" w:eastAsia="en-CA"/>
              </w:rPr>
            </w:pPr>
            <w:r w:rsidRPr="00B52637">
              <w:rPr>
                <w:b/>
                <w:bCs/>
                <w:lang w:val="en-CA" w:eastAsia="en-CA"/>
              </w:rPr>
              <w:t xml:space="preserve">(&gt; 1 </w:t>
            </w:r>
            <w:r w:rsidR="008D3098" w:rsidRPr="00B52637">
              <w:rPr>
                <w:b/>
                <w:bCs/>
                <w:lang w:val="en-CA" w:eastAsia="en-CA"/>
              </w:rPr>
              <w:t>m</w:t>
            </w:r>
            <w:r w:rsidRPr="00B52637">
              <w:rPr>
                <w:b/>
                <w:bCs/>
                <w:lang w:val="en-CA" w:eastAsia="en-CA"/>
              </w:rPr>
              <w:t>illion visits)</w:t>
            </w:r>
          </w:p>
        </w:tc>
        <w:tc>
          <w:tcPr>
            <w:tcW w:w="1346" w:type="pct"/>
            <w:tcBorders>
              <w:top w:val="single" w:sz="4" w:space="0" w:color="auto"/>
              <w:bottom w:val="single" w:sz="4" w:space="0" w:color="auto"/>
            </w:tcBorders>
            <w:shd w:val="clear" w:color="000000" w:fill="FFFFFF"/>
            <w:vAlign w:val="center"/>
            <w:hideMark/>
          </w:tcPr>
          <w:p w14:paraId="4F477ECE" w14:textId="77777777" w:rsidR="00BA4999" w:rsidRPr="00B52637" w:rsidRDefault="00BA4999" w:rsidP="008D3098">
            <w:pPr>
              <w:pStyle w:val="ExhibitText"/>
              <w:jc w:val="center"/>
              <w:rPr>
                <w:b/>
                <w:bCs/>
                <w:lang w:val="en-CA" w:eastAsia="en-CA"/>
              </w:rPr>
            </w:pPr>
            <w:r w:rsidRPr="00B52637">
              <w:rPr>
                <w:b/>
                <w:bCs/>
                <w:lang w:val="en-CA" w:eastAsia="en-CA"/>
              </w:rPr>
              <w:t>National Skiers as Percentage of Population</w:t>
            </w:r>
          </w:p>
        </w:tc>
      </w:tr>
      <w:tr w:rsidR="00BA4999" w:rsidRPr="00B52637" w14:paraId="26F7BD26" w14:textId="77777777" w:rsidTr="008D3098">
        <w:trPr>
          <w:trHeight w:val="288"/>
        </w:trPr>
        <w:tc>
          <w:tcPr>
            <w:tcW w:w="962" w:type="pct"/>
            <w:tcBorders>
              <w:top w:val="single" w:sz="4" w:space="0" w:color="auto"/>
            </w:tcBorders>
            <w:shd w:val="clear" w:color="000000" w:fill="FFFFFF"/>
            <w:noWrap/>
            <w:vAlign w:val="center"/>
            <w:hideMark/>
          </w:tcPr>
          <w:p w14:paraId="7E921AC3" w14:textId="788954C7" w:rsidR="00BA4999" w:rsidRPr="00B52637" w:rsidRDefault="00BA4999" w:rsidP="008D3098">
            <w:pPr>
              <w:pStyle w:val="ExhibitText"/>
              <w:rPr>
                <w:lang w:val="en-CA" w:eastAsia="en-CA"/>
              </w:rPr>
            </w:pPr>
            <w:r w:rsidRPr="00B52637">
              <w:rPr>
                <w:lang w:val="en-CA" w:eastAsia="en-CA"/>
              </w:rPr>
              <w:t>Switzerland</w:t>
            </w:r>
          </w:p>
        </w:tc>
        <w:tc>
          <w:tcPr>
            <w:tcW w:w="1346" w:type="pct"/>
            <w:tcBorders>
              <w:top w:val="single" w:sz="4" w:space="0" w:color="auto"/>
            </w:tcBorders>
            <w:shd w:val="clear" w:color="000000" w:fill="FFFFFF"/>
            <w:noWrap/>
            <w:vAlign w:val="center"/>
            <w:hideMark/>
          </w:tcPr>
          <w:p w14:paraId="46199683" w14:textId="053BAB36" w:rsidR="00BA4999" w:rsidRPr="00B52637" w:rsidRDefault="00BA4999" w:rsidP="008D3098">
            <w:pPr>
              <w:pStyle w:val="ExhibitText"/>
              <w:ind w:right="720"/>
              <w:jc w:val="right"/>
              <w:rPr>
                <w:lang w:val="en-CA" w:eastAsia="en-CA"/>
              </w:rPr>
            </w:pPr>
            <w:r w:rsidRPr="00B52637">
              <w:rPr>
                <w:lang w:val="en-CA" w:eastAsia="en-CA"/>
              </w:rPr>
              <w:t>2,959</w:t>
            </w:r>
          </w:p>
        </w:tc>
        <w:tc>
          <w:tcPr>
            <w:tcW w:w="1346" w:type="pct"/>
            <w:tcBorders>
              <w:top w:val="single" w:sz="4" w:space="0" w:color="auto"/>
            </w:tcBorders>
            <w:shd w:val="clear" w:color="000000" w:fill="FFFFFF"/>
            <w:noWrap/>
            <w:vAlign w:val="center"/>
            <w:hideMark/>
          </w:tcPr>
          <w:p w14:paraId="5EAFFA2D" w14:textId="77777777" w:rsidR="00BA4999" w:rsidRPr="00B52637" w:rsidRDefault="00BA4999" w:rsidP="008D3098">
            <w:pPr>
              <w:pStyle w:val="ExhibitText"/>
              <w:ind w:right="720"/>
              <w:jc w:val="right"/>
              <w:rPr>
                <w:lang w:val="en-CA" w:eastAsia="en-CA"/>
              </w:rPr>
            </w:pPr>
            <w:r w:rsidRPr="00B52637">
              <w:rPr>
                <w:lang w:val="en-CA" w:eastAsia="en-CA"/>
              </w:rPr>
              <w:t>5</w:t>
            </w:r>
          </w:p>
        </w:tc>
        <w:tc>
          <w:tcPr>
            <w:tcW w:w="1346" w:type="pct"/>
            <w:tcBorders>
              <w:top w:val="single" w:sz="4" w:space="0" w:color="auto"/>
            </w:tcBorders>
            <w:shd w:val="clear" w:color="000000" w:fill="FFFFFF"/>
            <w:noWrap/>
            <w:vAlign w:val="center"/>
            <w:hideMark/>
          </w:tcPr>
          <w:p w14:paraId="201D8157" w14:textId="77777777" w:rsidR="00BA4999" w:rsidRPr="00B52637" w:rsidRDefault="00BA4999" w:rsidP="008D3098">
            <w:pPr>
              <w:pStyle w:val="ExhibitText"/>
              <w:ind w:right="720"/>
              <w:jc w:val="right"/>
              <w:rPr>
                <w:lang w:val="en-CA" w:eastAsia="en-CA"/>
              </w:rPr>
            </w:pPr>
            <w:r w:rsidRPr="00B52637">
              <w:rPr>
                <w:lang w:val="en-CA" w:eastAsia="en-CA"/>
              </w:rPr>
              <w:t>35%</w:t>
            </w:r>
          </w:p>
        </w:tc>
      </w:tr>
      <w:tr w:rsidR="00BA4999" w:rsidRPr="00B52637" w14:paraId="2FF556A9" w14:textId="77777777" w:rsidTr="008D3098">
        <w:trPr>
          <w:trHeight w:val="288"/>
        </w:trPr>
        <w:tc>
          <w:tcPr>
            <w:tcW w:w="962" w:type="pct"/>
            <w:shd w:val="clear" w:color="000000" w:fill="FFFFFF"/>
            <w:noWrap/>
            <w:vAlign w:val="center"/>
            <w:hideMark/>
          </w:tcPr>
          <w:p w14:paraId="09202CC8" w14:textId="77777777" w:rsidR="00BA4999" w:rsidRPr="00B52637" w:rsidRDefault="00BA4999" w:rsidP="008D3098">
            <w:pPr>
              <w:pStyle w:val="ExhibitText"/>
              <w:rPr>
                <w:lang w:val="en-CA" w:eastAsia="en-CA"/>
              </w:rPr>
            </w:pPr>
            <w:r w:rsidRPr="00B52637">
              <w:rPr>
                <w:lang w:val="en-CA" w:eastAsia="en-CA"/>
              </w:rPr>
              <w:t>Austria</w:t>
            </w:r>
          </w:p>
        </w:tc>
        <w:tc>
          <w:tcPr>
            <w:tcW w:w="1346" w:type="pct"/>
            <w:shd w:val="clear" w:color="000000" w:fill="FFFFFF"/>
            <w:noWrap/>
            <w:vAlign w:val="center"/>
            <w:hideMark/>
          </w:tcPr>
          <w:p w14:paraId="32629D32" w14:textId="487BEE00" w:rsidR="00BA4999" w:rsidRPr="00B52637" w:rsidRDefault="00BA4999" w:rsidP="008D3098">
            <w:pPr>
              <w:pStyle w:val="ExhibitText"/>
              <w:ind w:right="720"/>
              <w:jc w:val="right"/>
              <w:rPr>
                <w:lang w:val="en-CA" w:eastAsia="en-CA"/>
              </w:rPr>
            </w:pPr>
            <w:r w:rsidRPr="00B52637">
              <w:rPr>
                <w:lang w:val="en-CA" w:eastAsia="en-CA"/>
              </w:rPr>
              <w:t>2,960</w:t>
            </w:r>
          </w:p>
        </w:tc>
        <w:tc>
          <w:tcPr>
            <w:tcW w:w="1346" w:type="pct"/>
            <w:shd w:val="clear" w:color="000000" w:fill="FFFFFF"/>
            <w:noWrap/>
            <w:vAlign w:val="center"/>
            <w:hideMark/>
          </w:tcPr>
          <w:p w14:paraId="0C3544E9" w14:textId="77777777" w:rsidR="00BA4999" w:rsidRPr="00B52637" w:rsidRDefault="00BA4999" w:rsidP="008D3098">
            <w:pPr>
              <w:pStyle w:val="ExhibitText"/>
              <w:ind w:right="720"/>
              <w:jc w:val="right"/>
              <w:rPr>
                <w:lang w:val="en-CA" w:eastAsia="en-CA"/>
              </w:rPr>
            </w:pPr>
            <w:r w:rsidRPr="00B52637">
              <w:rPr>
                <w:lang w:val="en-CA" w:eastAsia="en-CA"/>
              </w:rPr>
              <w:t>16</w:t>
            </w:r>
          </w:p>
        </w:tc>
        <w:tc>
          <w:tcPr>
            <w:tcW w:w="1346" w:type="pct"/>
            <w:shd w:val="clear" w:color="000000" w:fill="FFFFFF"/>
            <w:noWrap/>
            <w:vAlign w:val="center"/>
            <w:hideMark/>
          </w:tcPr>
          <w:p w14:paraId="72A14588" w14:textId="77777777" w:rsidR="00BA4999" w:rsidRPr="00B52637" w:rsidRDefault="00BA4999" w:rsidP="008D3098">
            <w:pPr>
              <w:pStyle w:val="ExhibitText"/>
              <w:ind w:right="720"/>
              <w:jc w:val="right"/>
              <w:rPr>
                <w:lang w:val="en-CA" w:eastAsia="en-CA"/>
              </w:rPr>
            </w:pPr>
            <w:r w:rsidRPr="00B52637">
              <w:rPr>
                <w:lang w:val="en-CA" w:eastAsia="en-CA"/>
              </w:rPr>
              <w:t>34%</w:t>
            </w:r>
          </w:p>
        </w:tc>
      </w:tr>
      <w:tr w:rsidR="00BA4999" w:rsidRPr="00B52637" w14:paraId="7298A5D7" w14:textId="77777777" w:rsidTr="008D3098">
        <w:trPr>
          <w:trHeight w:val="288"/>
        </w:trPr>
        <w:tc>
          <w:tcPr>
            <w:tcW w:w="962" w:type="pct"/>
            <w:shd w:val="clear" w:color="000000" w:fill="FFFFFF"/>
            <w:noWrap/>
            <w:vAlign w:val="center"/>
            <w:hideMark/>
          </w:tcPr>
          <w:p w14:paraId="720A6CBB" w14:textId="77777777" w:rsidR="00BA4999" w:rsidRPr="00B52637" w:rsidRDefault="00BA4999" w:rsidP="008D3098">
            <w:pPr>
              <w:pStyle w:val="ExhibitText"/>
              <w:rPr>
                <w:lang w:val="en-CA" w:eastAsia="en-CA"/>
              </w:rPr>
            </w:pPr>
            <w:r w:rsidRPr="00B52637">
              <w:rPr>
                <w:lang w:val="en-CA" w:eastAsia="en-CA"/>
              </w:rPr>
              <w:t>Germany</w:t>
            </w:r>
          </w:p>
        </w:tc>
        <w:tc>
          <w:tcPr>
            <w:tcW w:w="1346" w:type="pct"/>
            <w:shd w:val="clear" w:color="000000" w:fill="FFFFFF"/>
            <w:noWrap/>
            <w:vAlign w:val="center"/>
            <w:hideMark/>
          </w:tcPr>
          <w:p w14:paraId="14FA2BE3" w14:textId="4F992DB8" w:rsidR="00BA4999" w:rsidRPr="00B52637" w:rsidRDefault="00BA4999" w:rsidP="008D3098">
            <w:pPr>
              <w:pStyle w:val="ExhibitText"/>
              <w:ind w:right="720"/>
              <w:jc w:val="right"/>
              <w:rPr>
                <w:lang w:val="en-CA" w:eastAsia="en-CA"/>
              </w:rPr>
            </w:pPr>
            <w:r w:rsidRPr="00B52637">
              <w:rPr>
                <w:lang w:val="en-CA" w:eastAsia="en-CA"/>
              </w:rPr>
              <w:t>14,607</w:t>
            </w:r>
          </w:p>
        </w:tc>
        <w:tc>
          <w:tcPr>
            <w:tcW w:w="1346" w:type="pct"/>
            <w:shd w:val="clear" w:color="000000" w:fill="FFFFFF"/>
            <w:noWrap/>
            <w:vAlign w:val="center"/>
            <w:hideMark/>
          </w:tcPr>
          <w:p w14:paraId="5C7250F2" w14:textId="77777777" w:rsidR="00BA4999" w:rsidRPr="00B52637" w:rsidRDefault="00BA4999" w:rsidP="008D3098">
            <w:pPr>
              <w:pStyle w:val="ExhibitText"/>
              <w:ind w:right="720"/>
              <w:jc w:val="right"/>
              <w:rPr>
                <w:lang w:val="en-CA" w:eastAsia="en-CA"/>
              </w:rPr>
            </w:pPr>
            <w:r w:rsidRPr="00B52637">
              <w:rPr>
                <w:lang w:val="en-CA" w:eastAsia="en-CA"/>
              </w:rPr>
              <w:t>0</w:t>
            </w:r>
          </w:p>
        </w:tc>
        <w:tc>
          <w:tcPr>
            <w:tcW w:w="1346" w:type="pct"/>
            <w:shd w:val="clear" w:color="000000" w:fill="FFFFFF"/>
            <w:noWrap/>
            <w:vAlign w:val="center"/>
            <w:hideMark/>
          </w:tcPr>
          <w:p w14:paraId="28983792" w14:textId="77777777" w:rsidR="00BA4999" w:rsidRPr="00B52637" w:rsidRDefault="00BA4999" w:rsidP="008D3098">
            <w:pPr>
              <w:pStyle w:val="ExhibitText"/>
              <w:ind w:right="720"/>
              <w:jc w:val="right"/>
              <w:rPr>
                <w:lang w:val="en-CA" w:eastAsia="en-CA"/>
              </w:rPr>
            </w:pPr>
            <w:r w:rsidRPr="00B52637">
              <w:rPr>
                <w:lang w:val="en-CA" w:eastAsia="en-CA"/>
              </w:rPr>
              <w:t>18%</w:t>
            </w:r>
          </w:p>
        </w:tc>
      </w:tr>
      <w:tr w:rsidR="00BA4999" w:rsidRPr="00B52637" w14:paraId="54C56411" w14:textId="77777777" w:rsidTr="008D3098">
        <w:trPr>
          <w:trHeight w:val="288"/>
        </w:trPr>
        <w:tc>
          <w:tcPr>
            <w:tcW w:w="962" w:type="pct"/>
            <w:shd w:val="clear" w:color="000000" w:fill="FFFFFF"/>
            <w:noWrap/>
            <w:vAlign w:val="center"/>
            <w:hideMark/>
          </w:tcPr>
          <w:p w14:paraId="651F2615" w14:textId="77777777" w:rsidR="00BA4999" w:rsidRPr="00B52637" w:rsidRDefault="00BA4999" w:rsidP="008D3098">
            <w:pPr>
              <w:pStyle w:val="ExhibitText"/>
              <w:rPr>
                <w:lang w:val="en-CA" w:eastAsia="en-CA"/>
              </w:rPr>
            </w:pPr>
            <w:r w:rsidRPr="00B52637">
              <w:rPr>
                <w:lang w:val="en-CA" w:eastAsia="en-CA"/>
              </w:rPr>
              <w:t>France</w:t>
            </w:r>
          </w:p>
        </w:tc>
        <w:tc>
          <w:tcPr>
            <w:tcW w:w="1346" w:type="pct"/>
            <w:shd w:val="clear" w:color="000000" w:fill="FFFFFF"/>
            <w:noWrap/>
            <w:vAlign w:val="center"/>
            <w:hideMark/>
          </w:tcPr>
          <w:p w14:paraId="7704F2EE" w14:textId="21B4B83D" w:rsidR="00BA4999" w:rsidRPr="00B52637" w:rsidRDefault="00BA4999" w:rsidP="008D3098">
            <w:pPr>
              <w:pStyle w:val="ExhibitText"/>
              <w:ind w:right="720"/>
              <w:jc w:val="right"/>
              <w:rPr>
                <w:lang w:val="en-CA" w:eastAsia="en-CA"/>
              </w:rPr>
            </w:pPr>
            <w:r w:rsidRPr="00B52637">
              <w:rPr>
                <w:lang w:val="en-CA" w:eastAsia="en-CA"/>
              </w:rPr>
              <w:t>8,574</w:t>
            </w:r>
          </w:p>
        </w:tc>
        <w:tc>
          <w:tcPr>
            <w:tcW w:w="1346" w:type="pct"/>
            <w:shd w:val="clear" w:color="000000" w:fill="FFFFFF"/>
            <w:noWrap/>
            <w:vAlign w:val="center"/>
            <w:hideMark/>
          </w:tcPr>
          <w:p w14:paraId="13E8859B" w14:textId="77777777" w:rsidR="00BA4999" w:rsidRPr="00B52637" w:rsidRDefault="00BA4999" w:rsidP="008D3098">
            <w:pPr>
              <w:pStyle w:val="ExhibitText"/>
              <w:ind w:right="720"/>
              <w:jc w:val="right"/>
              <w:rPr>
                <w:lang w:val="en-CA" w:eastAsia="en-CA"/>
              </w:rPr>
            </w:pPr>
            <w:r w:rsidRPr="00B52637">
              <w:rPr>
                <w:lang w:val="en-CA" w:eastAsia="en-CA"/>
              </w:rPr>
              <w:t>13</w:t>
            </w:r>
          </w:p>
        </w:tc>
        <w:tc>
          <w:tcPr>
            <w:tcW w:w="1346" w:type="pct"/>
            <w:shd w:val="clear" w:color="000000" w:fill="FFFFFF"/>
            <w:noWrap/>
            <w:vAlign w:val="center"/>
            <w:hideMark/>
          </w:tcPr>
          <w:p w14:paraId="5A5A4993" w14:textId="77777777" w:rsidR="00BA4999" w:rsidRPr="00B52637" w:rsidRDefault="00BA4999" w:rsidP="008D3098">
            <w:pPr>
              <w:pStyle w:val="ExhibitText"/>
              <w:ind w:right="720"/>
              <w:jc w:val="right"/>
              <w:rPr>
                <w:lang w:val="en-CA" w:eastAsia="en-CA"/>
              </w:rPr>
            </w:pPr>
            <w:r w:rsidRPr="00B52637">
              <w:rPr>
                <w:lang w:val="en-CA" w:eastAsia="en-CA"/>
              </w:rPr>
              <w:t>13%</w:t>
            </w:r>
          </w:p>
        </w:tc>
      </w:tr>
      <w:tr w:rsidR="00BA4999" w:rsidRPr="00B52637" w14:paraId="57BF901D" w14:textId="77777777" w:rsidTr="008D3098">
        <w:trPr>
          <w:trHeight w:val="288"/>
        </w:trPr>
        <w:tc>
          <w:tcPr>
            <w:tcW w:w="962" w:type="pct"/>
            <w:shd w:val="clear" w:color="000000" w:fill="FFFFFF"/>
            <w:noWrap/>
            <w:vAlign w:val="center"/>
            <w:hideMark/>
          </w:tcPr>
          <w:p w14:paraId="339CCDF2" w14:textId="77777777" w:rsidR="00BA4999" w:rsidRPr="00B52637" w:rsidRDefault="00BA4999" w:rsidP="008D3098">
            <w:pPr>
              <w:pStyle w:val="ExhibitText"/>
              <w:rPr>
                <w:lang w:val="en-CA" w:eastAsia="en-CA"/>
              </w:rPr>
            </w:pPr>
            <w:r w:rsidRPr="00B52637">
              <w:rPr>
                <w:lang w:val="en-CA" w:eastAsia="en-CA"/>
              </w:rPr>
              <w:t>Italy</w:t>
            </w:r>
          </w:p>
        </w:tc>
        <w:tc>
          <w:tcPr>
            <w:tcW w:w="1346" w:type="pct"/>
            <w:shd w:val="clear" w:color="000000" w:fill="FFFFFF"/>
            <w:noWrap/>
            <w:vAlign w:val="center"/>
            <w:hideMark/>
          </w:tcPr>
          <w:p w14:paraId="21959ABA" w14:textId="5E83864D" w:rsidR="00BA4999" w:rsidRPr="00B52637" w:rsidRDefault="00BA4999" w:rsidP="008D3098">
            <w:pPr>
              <w:pStyle w:val="ExhibitText"/>
              <w:ind w:right="720"/>
              <w:jc w:val="right"/>
              <w:rPr>
                <w:lang w:val="en-CA" w:eastAsia="en-CA"/>
              </w:rPr>
            </w:pPr>
            <w:r w:rsidRPr="00B52637">
              <w:rPr>
                <w:lang w:val="en-CA" w:eastAsia="en-CA"/>
              </w:rPr>
              <w:t>7,266</w:t>
            </w:r>
          </w:p>
        </w:tc>
        <w:tc>
          <w:tcPr>
            <w:tcW w:w="1346" w:type="pct"/>
            <w:shd w:val="clear" w:color="000000" w:fill="FFFFFF"/>
            <w:noWrap/>
            <w:vAlign w:val="center"/>
            <w:hideMark/>
          </w:tcPr>
          <w:p w14:paraId="035D94EF" w14:textId="77777777" w:rsidR="00BA4999" w:rsidRPr="00B52637" w:rsidRDefault="00BA4999" w:rsidP="008D3098">
            <w:pPr>
              <w:pStyle w:val="ExhibitText"/>
              <w:ind w:right="720"/>
              <w:jc w:val="right"/>
              <w:rPr>
                <w:lang w:val="en-CA" w:eastAsia="en-CA"/>
              </w:rPr>
            </w:pPr>
            <w:r w:rsidRPr="00B52637">
              <w:rPr>
                <w:lang w:val="en-CA" w:eastAsia="en-CA"/>
              </w:rPr>
              <w:t>7</w:t>
            </w:r>
          </w:p>
        </w:tc>
        <w:tc>
          <w:tcPr>
            <w:tcW w:w="1346" w:type="pct"/>
            <w:shd w:val="clear" w:color="000000" w:fill="FFFFFF"/>
            <w:noWrap/>
            <w:vAlign w:val="center"/>
            <w:hideMark/>
          </w:tcPr>
          <w:p w14:paraId="3827539D" w14:textId="77777777" w:rsidR="00BA4999" w:rsidRPr="00B52637" w:rsidRDefault="00BA4999" w:rsidP="008D3098">
            <w:pPr>
              <w:pStyle w:val="ExhibitText"/>
              <w:ind w:right="720"/>
              <w:jc w:val="right"/>
              <w:rPr>
                <w:lang w:val="en-CA" w:eastAsia="en-CA"/>
              </w:rPr>
            </w:pPr>
            <w:r w:rsidRPr="00B52637">
              <w:rPr>
                <w:lang w:val="en-CA" w:eastAsia="en-CA"/>
              </w:rPr>
              <w:t>12%</w:t>
            </w:r>
          </w:p>
        </w:tc>
      </w:tr>
      <w:tr w:rsidR="00BA4999" w:rsidRPr="00B52637" w14:paraId="05EC68FC" w14:textId="77777777" w:rsidTr="008D3098">
        <w:trPr>
          <w:trHeight w:val="288"/>
        </w:trPr>
        <w:tc>
          <w:tcPr>
            <w:tcW w:w="962" w:type="pct"/>
            <w:shd w:val="clear" w:color="000000" w:fill="FFFFFF"/>
            <w:noWrap/>
            <w:vAlign w:val="center"/>
            <w:hideMark/>
          </w:tcPr>
          <w:p w14:paraId="6B089FD2" w14:textId="77777777" w:rsidR="00BA4999" w:rsidRPr="00B52637" w:rsidRDefault="00BA4999" w:rsidP="008D3098">
            <w:pPr>
              <w:pStyle w:val="ExhibitText"/>
              <w:rPr>
                <w:lang w:val="en-CA" w:eastAsia="en-CA"/>
              </w:rPr>
            </w:pPr>
            <w:r w:rsidRPr="00B52637">
              <w:rPr>
                <w:lang w:val="en-CA" w:eastAsia="en-CA"/>
              </w:rPr>
              <w:t>Canada</w:t>
            </w:r>
          </w:p>
        </w:tc>
        <w:tc>
          <w:tcPr>
            <w:tcW w:w="1346" w:type="pct"/>
            <w:shd w:val="clear" w:color="000000" w:fill="FFFFFF"/>
            <w:noWrap/>
            <w:vAlign w:val="center"/>
            <w:hideMark/>
          </w:tcPr>
          <w:p w14:paraId="44E81BB9" w14:textId="5F72961D" w:rsidR="00BA4999" w:rsidRPr="00B52637" w:rsidRDefault="00BA4999" w:rsidP="008D3098">
            <w:pPr>
              <w:pStyle w:val="ExhibitText"/>
              <w:ind w:right="720"/>
              <w:jc w:val="right"/>
              <w:rPr>
                <w:lang w:val="en-CA" w:eastAsia="en-CA"/>
              </w:rPr>
            </w:pPr>
            <w:r w:rsidRPr="00B52637">
              <w:rPr>
                <w:lang w:val="en-CA" w:eastAsia="en-CA"/>
              </w:rPr>
              <w:t>4,307</w:t>
            </w:r>
          </w:p>
        </w:tc>
        <w:tc>
          <w:tcPr>
            <w:tcW w:w="1346" w:type="pct"/>
            <w:shd w:val="clear" w:color="000000" w:fill="FFFFFF"/>
            <w:noWrap/>
            <w:vAlign w:val="center"/>
            <w:hideMark/>
          </w:tcPr>
          <w:p w14:paraId="177C595B" w14:textId="77777777" w:rsidR="00BA4999" w:rsidRPr="00B52637" w:rsidRDefault="00BA4999" w:rsidP="008D3098">
            <w:pPr>
              <w:pStyle w:val="ExhibitText"/>
              <w:ind w:right="720"/>
              <w:jc w:val="right"/>
              <w:rPr>
                <w:lang w:val="en-CA" w:eastAsia="en-CA"/>
              </w:rPr>
            </w:pPr>
            <w:r w:rsidRPr="00B52637">
              <w:rPr>
                <w:lang w:val="en-CA" w:eastAsia="en-CA"/>
              </w:rPr>
              <w:t>1</w:t>
            </w:r>
          </w:p>
        </w:tc>
        <w:tc>
          <w:tcPr>
            <w:tcW w:w="1346" w:type="pct"/>
            <w:shd w:val="clear" w:color="000000" w:fill="FFFFFF"/>
            <w:noWrap/>
            <w:vAlign w:val="center"/>
            <w:hideMark/>
          </w:tcPr>
          <w:p w14:paraId="187CC709" w14:textId="77777777" w:rsidR="00BA4999" w:rsidRPr="00B52637" w:rsidRDefault="00BA4999" w:rsidP="008D3098">
            <w:pPr>
              <w:pStyle w:val="ExhibitText"/>
              <w:ind w:right="720"/>
              <w:jc w:val="right"/>
              <w:rPr>
                <w:lang w:val="en-CA" w:eastAsia="en-CA"/>
              </w:rPr>
            </w:pPr>
            <w:r w:rsidRPr="00B52637">
              <w:rPr>
                <w:lang w:val="en-CA" w:eastAsia="en-CA"/>
              </w:rPr>
              <w:t>12%</w:t>
            </w:r>
          </w:p>
        </w:tc>
      </w:tr>
      <w:tr w:rsidR="00BA4999" w:rsidRPr="00B52637" w14:paraId="184B9150" w14:textId="77777777" w:rsidTr="008D3098">
        <w:trPr>
          <w:trHeight w:val="288"/>
        </w:trPr>
        <w:tc>
          <w:tcPr>
            <w:tcW w:w="962" w:type="pct"/>
            <w:shd w:val="clear" w:color="000000" w:fill="FFFFFF"/>
            <w:noWrap/>
            <w:vAlign w:val="center"/>
            <w:hideMark/>
          </w:tcPr>
          <w:p w14:paraId="59842E50" w14:textId="77777777" w:rsidR="00BA4999" w:rsidRPr="00B52637" w:rsidRDefault="00BA4999" w:rsidP="008D3098">
            <w:pPr>
              <w:pStyle w:val="ExhibitText"/>
              <w:rPr>
                <w:lang w:val="en-CA" w:eastAsia="en-CA"/>
              </w:rPr>
            </w:pPr>
            <w:r w:rsidRPr="00B52637">
              <w:rPr>
                <w:lang w:val="en-CA" w:eastAsia="en-CA"/>
              </w:rPr>
              <w:t>Japan</w:t>
            </w:r>
          </w:p>
        </w:tc>
        <w:tc>
          <w:tcPr>
            <w:tcW w:w="1346" w:type="pct"/>
            <w:shd w:val="clear" w:color="000000" w:fill="FFFFFF"/>
            <w:noWrap/>
            <w:vAlign w:val="center"/>
            <w:hideMark/>
          </w:tcPr>
          <w:p w14:paraId="3EF197B1" w14:textId="7581363F" w:rsidR="00BA4999" w:rsidRPr="00B52637" w:rsidRDefault="00BA4999" w:rsidP="008D3098">
            <w:pPr>
              <w:pStyle w:val="ExhibitText"/>
              <w:ind w:right="720"/>
              <w:jc w:val="right"/>
              <w:rPr>
                <w:lang w:val="en-CA" w:eastAsia="en-CA"/>
              </w:rPr>
            </w:pPr>
            <w:r w:rsidRPr="00B52637">
              <w:rPr>
                <w:lang w:val="en-CA" w:eastAsia="en-CA"/>
              </w:rPr>
              <w:t>11,411</w:t>
            </w:r>
          </w:p>
        </w:tc>
        <w:tc>
          <w:tcPr>
            <w:tcW w:w="1346" w:type="pct"/>
            <w:shd w:val="clear" w:color="000000" w:fill="FFFFFF"/>
            <w:noWrap/>
            <w:vAlign w:val="center"/>
            <w:hideMark/>
          </w:tcPr>
          <w:p w14:paraId="555538F7" w14:textId="77777777" w:rsidR="00BA4999" w:rsidRPr="00B52637" w:rsidRDefault="00BA4999" w:rsidP="008D3098">
            <w:pPr>
              <w:pStyle w:val="ExhibitText"/>
              <w:ind w:right="720"/>
              <w:jc w:val="right"/>
              <w:rPr>
                <w:lang w:val="en-CA" w:eastAsia="en-CA"/>
              </w:rPr>
            </w:pPr>
            <w:r w:rsidRPr="00B52637">
              <w:rPr>
                <w:lang w:val="en-CA" w:eastAsia="en-CA"/>
              </w:rPr>
              <w:t>0</w:t>
            </w:r>
          </w:p>
        </w:tc>
        <w:tc>
          <w:tcPr>
            <w:tcW w:w="1346" w:type="pct"/>
            <w:shd w:val="clear" w:color="000000" w:fill="FFFFFF"/>
            <w:noWrap/>
            <w:vAlign w:val="center"/>
            <w:hideMark/>
          </w:tcPr>
          <w:p w14:paraId="41774980" w14:textId="77777777" w:rsidR="00BA4999" w:rsidRPr="00B52637" w:rsidRDefault="00BA4999" w:rsidP="008D3098">
            <w:pPr>
              <w:pStyle w:val="ExhibitText"/>
              <w:ind w:right="720"/>
              <w:jc w:val="right"/>
              <w:rPr>
                <w:lang w:val="en-CA" w:eastAsia="en-CA"/>
              </w:rPr>
            </w:pPr>
            <w:r w:rsidRPr="00B52637">
              <w:rPr>
                <w:lang w:val="en-CA" w:eastAsia="en-CA"/>
              </w:rPr>
              <w:t>9%</w:t>
            </w:r>
          </w:p>
        </w:tc>
      </w:tr>
      <w:tr w:rsidR="00BA4999" w:rsidRPr="00B52637" w14:paraId="7C678C96" w14:textId="77777777" w:rsidTr="008D3098">
        <w:trPr>
          <w:trHeight w:val="288"/>
        </w:trPr>
        <w:tc>
          <w:tcPr>
            <w:tcW w:w="962" w:type="pct"/>
            <w:shd w:val="clear" w:color="000000" w:fill="FFFFFF"/>
            <w:noWrap/>
            <w:vAlign w:val="center"/>
            <w:hideMark/>
          </w:tcPr>
          <w:p w14:paraId="26126D6D" w14:textId="77777777" w:rsidR="00BA4999" w:rsidRPr="00B52637" w:rsidRDefault="00BA4999" w:rsidP="008D3098">
            <w:pPr>
              <w:pStyle w:val="ExhibitText"/>
              <w:rPr>
                <w:lang w:val="en-CA" w:eastAsia="en-CA"/>
              </w:rPr>
            </w:pPr>
            <w:r w:rsidRPr="00B52637">
              <w:rPr>
                <w:lang w:val="en-CA" w:eastAsia="en-CA"/>
              </w:rPr>
              <w:t>United States</w:t>
            </w:r>
          </w:p>
        </w:tc>
        <w:tc>
          <w:tcPr>
            <w:tcW w:w="1346" w:type="pct"/>
            <w:shd w:val="clear" w:color="000000" w:fill="FFFFFF"/>
            <w:noWrap/>
            <w:vAlign w:val="center"/>
            <w:hideMark/>
          </w:tcPr>
          <w:p w14:paraId="2BFCAD64" w14:textId="359CD624" w:rsidR="00BA4999" w:rsidRPr="00B52637" w:rsidRDefault="00BA4999" w:rsidP="008D3098">
            <w:pPr>
              <w:pStyle w:val="ExhibitText"/>
              <w:ind w:right="720"/>
              <w:jc w:val="right"/>
              <w:rPr>
                <w:lang w:val="en-CA" w:eastAsia="en-CA"/>
              </w:rPr>
            </w:pPr>
            <w:r w:rsidRPr="00B52637">
              <w:rPr>
                <w:lang w:val="en-CA" w:eastAsia="en-CA"/>
              </w:rPr>
              <w:t>25,017</w:t>
            </w:r>
          </w:p>
        </w:tc>
        <w:tc>
          <w:tcPr>
            <w:tcW w:w="1346" w:type="pct"/>
            <w:shd w:val="clear" w:color="000000" w:fill="FFFFFF"/>
            <w:noWrap/>
            <w:vAlign w:val="center"/>
            <w:hideMark/>
          </w:tcPr>
          <w:p w14:paraId="1794910C" w14:textId="77777777" w:rsidR="00BA4999" w:rsidRPr="00B52637" w:rsidRDefault="00BA4999" w:rsidP="008D3098">
            <w:pPr>
              <w:pStyle w:val="ExhibitText"/>
              <w:ind w:right="720"/>
              <w:jc w:val="right"/>
              <w:rPr>
                <w:lang w:val="en-CA" w:eastAsia="en-CA"/>
              </w:rPr>
            </w:pPr>
            <w:r w:rsidRPr="00B52637">
              <w:rPr>
                <w:lang w:val="en-CA" w:eastAsia="en-CA"/>
              </w:rPr>
              <w:t>6</w:t>
            </w:r>
          </w:p>
        </w:tc>
        <w:tc>
          <w:tcPr>
            <w:tcW w:w="1346" w:type="pct"/>
            <w:shd w:val="clear" w:color="000000" w:fill="FFFFFF"/>
            <w:noWrap/>
            <w:vAlign w:val="center"/>
            <w:hideMark/>
          </w:tcPr>
          <w:p w14:paraId="398D4A48" w14:textId="77777777" w:rsidR="00BA4999" w:rsidRPr="00B52637" w:rsidRDefault="00BA4999" w:rsidP="008D3098">
            <w:pPr>
              <w:pStyle w:val="ExhibitText"/>
              <w:ind w:right="720"/>
              <w:jc w:val="right"/>
              <w:rPr>
                <w:lang w:val="en-CA" w:eastAsia="en-CA"/>
              </w:rPr>
            </w:pPr>
            <w:r w:rsidRPr="00B52637">
              <w:rPr>
                <w:lang w:val="en-CA" w:eastAsia="en-CA"/>
              </w:rPr>
              <w:t>8%</w:t>
            </w:r>
          </w:p>
        </w:tc>
      </w:tr>
      <w:tr w:rsidR="00BA4999" w:rsidRPr="00B52637" w14:paraId="4BABE640" w14:textId="77777777" w:rsidTr="008D3098">
        <w:trPr>
          <w:trHeight w:val="288"/>
        </w:trPr>
        <w:tc>
          <w:tcPr>
            <w:tcW w:w="962" w:type="pct"/>
            <w:shd w:val="clear" w:color="000000" w:fill="FFFFFF"/>
            <w:noWrap/>
            <w:vAlign w:val="center"/>
            <w:hideMark/>
          </w:tcPr>
          <w:p w14:paraId="2B894DEE" w14:textId="77777777" w:rsidR="00BA4999" w:rsidRPr="00B52637" w:rsidRDefault="00BA4999" w:rsidP="008D3098">
            <w:pPr>
              <w:pStyle w:val="ExhibitText"/>
              <w:rPr>
                <w:lang w:val="en-CA" w:eastAsia="en-CA"/>
              </w:rPr>
            </w:pPr>
            <w:r w:rsidRPr="00B52637">
              <w:rPr>
                <w:lang w:val="en-CA" w:eastAsia="en-CA"/>
              </w:rPr>
              <w:t>China</w:t>
            </w:r>
          </w:p>
        </w:tc>
        <w:tc>
          <w:tcPr>
            <w:tcW w:w="1346" w:type="pct"/>
            <w:shd w:val="clear" w:color="000000" w:fill="FFFFFF"/>
            <w:noWrap/>
            <w:vAlign w:val="center"/>
            <w:hideMark/>
          </w:tcPr>
          <w:p w14:paraId="4D7F6B9E" w14:textId="31E19826" w:rsidR="00BA4999" w:rsidRPr="00B52637" w:rsidRDefault="00BA4999" w:rsidP="008D3098">
            <w:pPr>
              <w:pStyle w:val="ExhibitText"/>
              <w:ind w:right="720"/>
              <w:jc w:val="right"/>
              <w:rPr>
                <w:lang w:val="en-CA" w:eastAsia="en-CA"/>
              </w:rPr>
            </w:pPr>
            <w:r w:rsidRPr="00B52637">
              <w:rPr>
                <w:lang w:val="en-CA" w:eastAsia="en-CA"/>
              </w:rPr>
              <w:t>13,050</w:t>
            </w:r>
          </w:p>
        </w:tc>
        <w:tc>
          <w:tcPr>
            <w:tcW w:w="1346" w:type="pct"/>
            <w:shd w:val="clear" w:color="000000" w:fill="FFFFFF"/>
            <w:noWrap/>
            <w:vAlign w:val="center"/>
            <w:hideMark/>
          </w:tcPr>
          <w:p w14:paraId="2C50632B" w14:textId="77777777" w:rsidR="00BA4999" w:rsidRPr="00B52637" w:rsidRDefault="00BA4999" w:rsidP="008D3098">
            <w:pPr>
              <w:pStyle w:val="ExhibitText"/>
              <w:ind w:right="720"/>
              <w:jc w:val="right"/>
              <w:rPr>
                <w:lang w:val="en-CA" w:eastAsia="en-CA"/>
              </w:rPr>
            </w:pPr>
            <w:r w:rsidRPr="00B52637">
              <w:rPr>
                <w:lang w:val="en-CA" w:eastAsia="en-CA"/>
              </w:rPr>
              <w:t>0</w:t>
            </w:r>
          </w:p>
        </w:tc>
        <w:tc>
          <w:tcPr>
            <w:tcW w:w="1346" w:type="pct"/>
            <w:shd w:val="clear" w:color="000000" w:fill="FFFFFF"/>
            <w:noWrap/>
            <w:vAlign w:val="center"/>
            <w:hideMark/>
          </w:tcPr>
          <w:p w14:paraId="22F92923" w14:textId="77777777" w:rsidR="00BA4999" w:rsidRPr="00B52637" w:rsidRDefault="00BA4999" w:rsidP="008D3098">
            <w:pPr>
              <w:pStyle w:val="ExhibitText"/>
              <w:ind w:right="720"/>
              <w:jc w:val="right"/>
              <w:rPr>
                <w:lang w:val="en-CA" w:eastAsia="en-CA"/>
              </w:rPr>
            </w:pPr>
            <w:r w:rsidRPr="00B52637">
              <w:rPr>
                <w:lang w:val="en-CA" w:eastAsia="en-CA"/>
              </w:rPr>
              <w:t>1%</w:t>
            </w:r>
          </w:p>
        </w:tc>
      </w:tr>
    </w:tbl>
    <w:p w14:paraId="0766D258" w14:textId="1A70CABE" w:rsidR="005140F7" w:rsidRPr="00B52637" w:rsidRDefault="005140F7" w:rsidP="003F2DB7">
      <w:pPr>
        <w:pStyle w:val="ExhibitText"/>
        <w:rPr>
          <w:rFonts w:eastAsia="Calibri"/>
          <w:lang w:val="en-CA"/>
        </w:rPr>
      </w:pPr>
    </w:p>
    <w:p w14:paraId="2A2F9353" w14:textId="76494BE9" w:rsidR="008F1DF7" w:rsidRPr="00B52637" w:rsidRDefault="0062393F" w:rsidP="00041306">
      <w:pPr>
        <w:pStyle w:val="Footnote"/>
        <w:jc w:val="both"/>
        <w:rPr>
          <w:rFonts w:eastAsia="Calibri"/>
          <w:lang w:val="en-CA"/>
        </w:rPr>
      </w:pPr>
      <w:r w:rsidRPr="00B52637">
        <w:rPr>
          <w:lang w:val="en-CA"/>
        </w:rPr>
        <w:t xml:space="preserve">Source: Table created by </w:t>
      </w:r>
      <w:r w:rsidR="00E068EE" w:rsidRPr="00B52637">
        <w:rPr>
          <w:lang w:val="en-CA"/>
        </w:rPr>
        <w:t xml:space="preserve">the </w:t>
      </w:r>
      <w:r w:rsidRPr="00B52637">
        <w:rPr>
          <w:lang w:val="en-CA"/>
        </w:rPr>
        <w:t xml:space="preserve">authors based </w:t>
      </w:r>
      <w:r w:rsidR="001B686B" w:rsidRPr="00B52637">
        <w:rPr>
          <w:lang w:val="en-CA"/>
        </w:rPr>
        <w:t xml:space="preserve">on </w:t>
      </w:r>
      <w:r w:rsidRPr="00B52637">
        <w:rPr>
          <w:lang w:val="en-CA"/>
        </w:rPr>
        <w:t xml:space="preserve">data from </w:t>
      </w:r>
      <w:r w:rsidR="008D3098" w:rsidRPr="00B52637">
        <w:rPr>
          <w:lang w:val="en-CA"/>
        </w:rPr>
        <w:t xml:space="preserve">Laurent </w:t>
      </w:r>
      <w:proofErr w:type="spellStart"/>
      <w:r w:rsidR="008D3098" w:rsidRPr="00B52637">
        <w:rPr>
          <w:lang w:val="en-CA"/>
        </w:rPr>
        <w:t>Vanat</w:t>
      </w:r>
      <w:proofErr w:type="spellEnd"/>
      <w:r w:rsidR="008D3098" w:rsidRPr="00B52637">
        <w:rPr>
          <w:lang w:val="en-CA"/>
        </w:rPr>
        <w:t xml:space="preserve">, </w:t>
      </w:r>
      <w:r w:rsidR="008D3098" w:rsidRPr="00B52637">
        <w:rPr>
          <w:i/>
          <w:iCs/>
          <w:lang w:val="en-CA"/>
        </w:rPr>
        <w:t>2020 International Report on Snow and Mountain Tourism: Overview of the Key Industry Figures for Ski Resorts</w:t>
      </w:r>
      <w:r w:rsidR="008D3098" w:rsidRPr="00B52637">
        <w:rPr>
          <w:lang w:val="en-CA"/>
        </w:rPr>
        <w:t xml:space="preserve">, 12th ed. (Geneva, Switzerland: Laurent </w:t>
      </w:r>
      <w:proofErr w:type="spellStart"/>
      <w:r w:rsidR="008D3098" w:rsidRPr="00B52637">
        <w:rPr>
          <w:lang w:val="en-CA"/>
        </w:rPr>
        <w:t>Vanat</w:t>
      </w:r>
      <w:proofErr w:type="spellEnd"/>
      <w:r w:rsidR="008D3098" w:rsidRPr="00B52637">
        <w:rPr>
          <w:lang w:val="en-CA"/>
        </w:rPr>
        <w:t>, 2020), https://www.vanat.ch/RM-world-report-2020.pdf</w:t>
      </w:r>
      <w:r w:rsidR="004013AD" w:rsidRPr="00B52637">
        <w:rPr>
          <w:rFonts w:eastAsia="Calibri"/>
          <w:lang w:val="en-CA"/>
        </w:rPr>
        <w:t>.</w:t>
      </w:r>
    </w:p>
    <w:p w14:paraId="5B4058B9" w14:textId="377132EA" w:rsidR="004013AD" w:rsidRPr="00B52637" w:rsidRDefault="004013AD" w:rsidP="004013AD">
      <w:pPr>
        <w:rPr>
          <w:rFonts w:eastAsia="Calibri"/>
          <w:i/>
          <w:iCs/>
          <w:sz w:val="22"/>
          <w:szCs w:val="22"/>
        </w:rPr>
      </w:pPr>
      <w:r w:rsidRPr="00B52637">
        <w:rPr>
          <w:rFonts w:eastAsia="Calibri"/>
          <w:i/>
          <w:iCs/>
          <w:sz w:val="22"/>
          <w:szCs w:val="22"/>
        </w:rPr>
        <w:br w:type="page"/>
      </w:r>
    </w:p>
    <w:p w14:paraId="4E98983C" w14:textId="4CFD93A2" w:rsidR="004013AD" w:rsidRPr="00B52637" w:rsidRDefault="004013AD">
      <w:pPr>
        <w:pStyle w:val="ExhibitHeading"/>
        <w:rPr>
          <w:rFonts w:eastAsia="Calibri"/>
          <w:lang w:val="en-CA"/>
        </w:rPr>
      </w:pPr>
      <w:r w:rsidRPr="00B52637">
        <w:rPr>
          <w:rFonts w:eastAsia="Calibri"/>
          <w:lang w:val="en-CA"/>
        </w:rPr>
        <w:lastRenderedPageBreak/>
        <w:t xml:space="preserve">EXHIBIT </w:t>
      </w:r>
      <w:r w:rsidR="00B8750B" w:rsidRPr="00B52637">
        <w:rPr>
          <w:rFonts w:eastAsia="Calibri"/>
          <w:lang w:val="en-CA"/>
        </w:rPr>
        <w:t>5</w:t>
      </w:r>
      <w:r w:rsidRPr="00B52637">
        <w:rPr>
          <w:rFonts w:eastAsia="Calibri"/>
          <w:lang w:val="en-CA"/>
        </w:rPr>
        <w:t xml:space="preserve">: Online Prices for the </w:t>
      </w:r>
      <w:r w:rsidRPr="00B52637">
        <w:rPr>
          <w:rFonts w:eastAsia="Calibri"/>
          <w:iCs/>
          <w:lang w:val="en-CA"/>
        </w:rPr>
        <w:t xml:space="preserve">Kombi </w:t>
      </w:r>
      <w:r w:rsidR="009E5263" w:rsidRPr="00B52637">
        <w:rPr>
          <w:rFonts w:eastAsia="Calibri"/>
          <w:iCs/>
          <w:lang w:val="en-CA"/>
        </w:rPr>
        <w:t>GORE-TEX</w:t>
      </w:r>
      <w:r w:rsidRPr="00B52637">
        <w:rPr>
          <w:rFonts w:eastAsia="Calibri"/>
          <w:iCs/>
          <w:lang w:val="en-CA"/>
        </w:rPr>
        <w:t xml:space="preserve"> Patroller Glove</w:t>
      </w:r>
    </w:p>
    <w:p w14:paraId="4F150645" w14:textId="77777777" w:rsidR="004013AD" w:rsidRPr="00B52637" w:rsidRDefault="004013AD" w:rsidP="003F2DB7">
      <w:pPr>
        <w:pStyle w:val="ExhibitText"/>
        <w:rPr>
          <w:rFonts w:eastAsia="Calibri"/>
          <w:lang w:val="en-CA"/>
        </w:rPr>
      </w:pPr>
    </w:p>
    <w:p w14:paraId="749E620D" w14:textId="77777777" w:rsidR="004013AD" w:rsidRPr="00B52637" w:rsidRDefault="004013AD" w:rsidP="003F2DB7">
      <w:pPr>
        <w:pStyle w:val="ExhibitText"/>
        <w:jc w:val="center"/>
        <w:rPr>
          <w:rFonts w:eastAsia="Calibri"/>
          <w:lang w:val="en-CA"/>
        </w:rPr>
      </w:pPr>
      <w:r w:rsidRPr="00B52637">
        <w:rPr>
          <w:rFonts w:eastAsia="Calibri"/>
          <w:noProof/>
          <w:lang w:val="en-CA" w:eastAsia="en-CA"/>
        </w:rPr>
        <w:drawing>
          <wp:inline distT="0" distB="0" distL="0" distR="0" wp14:anchorId="69F623D1" wp14:editId="09E76A49">
            <wp:extent cx="5766336" cy="4309353"/>
            <wp:effectExtent l="0" t="0" r="6350" b="0"/>
            <wp:docPr id="16669156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780802" cy="4320164"/>
                    </a:xfrm>
                    <a:prstGeom prst="rect">
                      <a:avLst/>
                    </a:prstGeom>
                  </pic:spPr>
                </pic:pic>
              </a:graphicData>
            </a:graphic>
          </wp:inline>
        </w:drawing>
      </w:r>
    </w:p>
    <w:p w14:paraId="7B247685" w14:textId="77777777" w:rsidR="004013AD" w:rsidRPr="00B52637" w:rsidRDefault="004013AD" w:rsidP="003F2DB7">
      <w:pPr>
        <w:pStyle w:val="ExhibitText"/>
        <w:rPr>
          <w:rFonts w:eastAsia="Calibri"/>
          <w:lang w:val="en-CA"/>
        </w:rPr>
      </w:pPr>
    </w:p>
    <w:tbl>
      <w:tblPr>
        <w:tblStyle w:val="TableGrid1"/>
        <w:tblW w:w="9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4140"/>
        <w:gridCol w:w="1080"/>
        <w:gridCol w:w="2340"/>
      </w:tblGrid>
      <w:tr w:rsidR="004013AD" w:rsidRPr="00B52637" w14:paraId="7C2A66D0" w14:textId="77777777" w:rsidTr="003F2DB7">
        <w:trPr>
          <w:trHeight w:val="288"/>
        </w:trPr>
        <w:tc>
          <w:tcPr>
            <w:tcW w:w="1800" w:type="dxa"/>
            <w:tcBorders>
              <w:top w:val="single" w:sz="4" w:space="0" w:color="auto"/>
              <w:bottom w:val="single" w:sz="4" w:space="0" w:color="auto"/>
            </w:tcBorders>
            <w:noWrap/>
            <w:vAlign w:val="center"/>
            <w:hideMark/>
          </w:tcPr>
          <w:p w14:paraId="5A6995E5" w14:textId="77777777" w:rsidR="004013AD" w:rsidRPr="00B52637" w:rsidRDefault="004013AD" w:rsidP="001520D3">
            <w:pPr>
              <w:pStyle w:val="ExhibitText"/>
              <w:jc w:val="center"/>
              <w:rPr>
                <w:b/>
                <w:bCs/>
                <w:sz w:val="18"/>
                <w:szCs w:val="18"/>
                <w:lang w:val="en-CA"/>
              </w:rPr>
            </w:pPr>
            <w:r w:rsidRPr="00B52637">
              <w:rPr>
                <w:b/>
                <w:bCs/>
                <w:sz w:val="18"/>
                <w:szCs w:val="18"/>
                <w:lang w:val="en-CA"/>
              </w:rPr>
              <w:t>Source</w:t>
            </w:r>
          </w:p>
        </w:tc>
        <w:tc>
          <w:tcPr>
            <w:tcW w:w="4140" w:type="dxa"/>
            <w:tcBorders>
              <w:top w:val="single" w:sz="4" w:space="0" w:color="auto"/>
              <w:bottom w:val="single" w:sz="4" w:space="0" w:color="auto"/>
            </w:tcBorders>
            <w:noWrap/>
            <w:vAlign w:val="center"/>
            <w:hideMark/>
          </w:tcPr>
          <w:p w14:paraId="1FA86356" w14:textId="77777777" w:rsidR="004013AD" w:rsidRPr="00B52637" w:rsidRDefault="004013AD" w:rsidP="001520D3">
            <w:pPr>
              <w:pStyle w:val="ExhibitText"/>
              <w:jc w:val="center"/>
              <w:rPr>
                <w:b/>
                <w:bCs/>
                <w:sz w:val="18"/>
                <w:szCs w:val="18"/>
                <w:lang w:val="en-CA"/>
              </w:rPr>
            </w:pPr>
            <w:r w:rsidRPr="00B52637">
              <w:rPr>
                <w:b/>
                <w:bCs/>
                <w:sz w:val="18"/>
                <w:szCs w:val="18"/>
                <w:lang w:val="en-CA"/>
              </w:rPr>
              <w:t>Glove Name Given</w:t>
            </w:r>
          </w:p>
        </w:tc>
        <w:tc>
          <w:tcPr>
            <w:tcW w:w="1080" w:type="dxa"/>
            <w:tcBorders>
              <w:top w:val="single" w:sz="4" w:space="0" w:color="auto"/>
              <w:bottom w:val="single" w:sz="4" w:space="0" w:color="auto"/>
            </w:tcBorders>
            <w:noWrap/>
            <w:vAlign w:val="center"/>
            <w:hideMark/>
          </w:tcPr>
          <w:p w14:paraId="19F7985C" w14:textId="77777777" w:rsidR="004013AD" w:rsidRPr="00B52637" w:rsidRDefault="004013AD" w:rsidP="00DB69DA">
            <w:pPr>
              <w:pStyle w:val="ExhibitText"/>
              <w:jc w:val="center"/>
              <w:rPr>
                <w:b/>
                <w:bCs/>
                <w:sz w:val="18"/>
                <w:szCs w:val="18"/>
                <w:lang w:val="en-CA"/>
              </w:rPr>
            </w:pPr>
            <w:r w:rsidRPr="00B52637">
              <w:rPr>
                <w:b/>
                <w:bCs/>
                <w:sz w:val="18"/>
                <w:szCs w:val="18"/>
                <w:lang w:val="en-CA"/>
              </w:rPr>
              <w:t>Price</w:t>
            </w:r>
          </w:p>
        </w:tc>
        <w:tc>
          <w:tcPr>
            <w:tcW w:w="2340" w:type="dxa"/>
            <w:tcBorders>
              <w:top w:val="single" w:sz="4" w:space="0" w:color="auto"/>
              <w:bottom w:val="single" w:sz="4" w:space="0" w:color="auto"/>
            </w:tcBorders>
            <w:noWrap/>
            <w:vAlign w:val="center"/>
            <w:hideMark/>
          </w:tcPr>
          <w:p w14:paraId="4A9CCB27" w14:textId="77777777" w:rsidR="004013AD" w:rsidRPr="00B52637" w:rsidRDefault="004013AD" w:rsidP="00E61F02">
            <w:pPr>
              <w:pStyle w:val="ExhibitText"/>
              <w:jc w:val="center"/>
              <w:rPr>
                <w:b/>
                <w:bCs/>
                <w:sz w:val="18"/>
                <w:szCs w:val="18"/>
                <w:lang w:val="en-CA"/>
              </w:rPr>
            </w:pPr>
            <w:r w:rsidRPr="00B52637">
              <w:rPr>
                <w:b/>
                <w:bCs/>
                <w:sz w:val="18"/>
                <w:szCs w:val="18"/>
                <w:lang w:val="en-CA"/>
              </w:rPr>
              <w:t>Alternative Price Listed</w:t>
            </w:r>
          </w:p>
        </w:tc>
      </w:tr>
      <w:tr w:rsidR="004013AD" w:rsidRPr="00B52637" w14:paraId="60BA7927" w14:textId="77777777" w:rsidTr="003F2DB7">
        <w:trPr>
          <w:trHeight w:val="288"/>
        </w:trPr>
        <w:tc>
          <w:tcPr>
            <w:tcW w:w="1800" w:type="dxa"/>
            <w:tcBorders>
              <w:top w:val="single" w:sz="4" w:space="0" w:color="auto"/>
            </w:tcBorders>
            <w:noWrap/>
            <w:vAlign w:val="center"/>
            <w:hideMark/>
          </w:tcPr>
          <w:p w14:paraId="01B73CFE" w14:textId="77777777" w:rsidR="004013AD" w:rsidRPr="00B52637" w:rsidRDefault="004013AD" w:rsidP="003F2DB7">
            <w:pPr>
              <w:pStyle w:val="ExhibitText"/>
              <w:rPr>
                <w:bCs/>
                <w:sz w:val="18"/>
                <w:szCs w:val="18"/>
                <w:lang w:val="en-CA"/>
              </w:rPr>
            </w:pPr>
            <w:r w:rsidRPr="00B52637">
              <w:rPr>
                <w:bCs/>
                <w:sz w:val="18"/>
                <w:szCs w:val="18"/>
                <w:lang w:val="en-CA"/>
              </w:rPr>
              <w:t>KombiCanada.ca</w:t>
            </w:r>
          </w:p>
        </w:tc>
        <w:tc>
          <w:tcPr>
            <w:tcW w:w="4140" w:type="dxa"/>
            <w:tcBorders>
              <w:top w:val="single" w:sz="4" w:space="0" w:color="auto"/>
            </w:tcBorders>
            <w:noWrap/>
            <w:vAlign w:val="center"/>
            <w:hideMark/>
          </w:tcPr>
          <w:p w14:paraId="6DAB8076" w14:textId="524528FA" w:rsidR="004013AD" w:rsidRPr="00B52637" w:rsidRDefault="004013AD" w:rsidP="003F2DB7">
            <w:pPr>
              <w:pStyle w:val="ExhibitText"/>
              <w:rPr>
                <w:sz w:val="18"/>
                <w:szCs w:val="18"/>
                <w:lang w:val="en-CA"/>
              </w:rPr>
            </w:pPr>
            <w:r w:rsidRPr="00B52637">
              <w:rPr>
                <w:sz w:val="18"/>
                <w:szCs w:val="18"/>
                <w:lang w:val="en-CA"/>
              </w:rPr>
              <w:t xml:space="preserve">Patroller </w:t>
            </w:r>
            <w:r w:rsidR="009E5263" w:rsidRPr="00B52637">
              <w:rPr>
                <w:sz w:val="18"/>
                <w:szCs w:val="18"/>
                <w:lang w:val="en-CA"/>
              </w:rPr>
              <w:t>GORE-TEX</w:t>
            </w:r>
            <w:r w:rsidRPr="00B52637">
              <w:rPr>
                <w:sz w:val="18"/>
                <w:szCs w:val="18"/>
                <w:lang w:val="en-CA"/>
              </w:rPr>
              <w:t xml:space="preserve"> Gloves</w:t>
            </w:r>
            <w:r w:rsidR="00F94A79" w:rsidRPr="00B52637">
              <w:rPr>
                <w:sz w:val="18"/>
                <w:szCs w:val="18"/>
                <w:lang w:val="en-CA"/>
              </w:rPr>
              <w:t>—</w:t>
            </w:r>
            <w:r w:rsidRPr="00B52637">
              <w:rPr>
                <w:sz w:val="18"/>
                <w:szCs w:val="18"/>
                <w:lang w:val="en-CA"/>
              </w:rPr>
              <w:t>Men</w:t>
            </w:r>
          </w:p>
        </w:tc>
        <w:tc>
          <w:tcPr>
            <w:tcW w:w="1080" w:type="dxa"/>
            <w:tcBorders>
              <w:top w:val="single" w:sz="4" w:space="0" w:color="auto"/>
            </w:tcBorders>
            <w:noWrap/>
            <w:vAlign w:val="center"/>
            <w:hideMark/>
          </w:tcPr>
          <w:p w14:paraId="676C24CE" w14:textId="5EB9EE47" w:rsidR="004013AD" w:rsidRPr="00B52637" w:rsidRDefault="004013AD" w:rsidP="003F2DB7">
            <w:pPr>
              <w:pStyle w:val="ExhibitText"/>
              <w:jc w:val="right"/>
              <w:rPr>
                <w:sz w:val="18"/>
                <w:szCs w:val="18"/>
                <w:lang w:val="en-CA"/>
              </w:rPr>
            </w:pPr>
            <w:r w:rsidRPr="00B52637">
              <w:rPr>
                <w:sz w:val="18"/>
                <w:szCs w:val="18"/>
                <w:lang w:val="en-CA"/>
              </w:rPr>
              <w:t>$149.95</w:t>
            </w:r>
          </w:p>
        </w:tc>
        <w:tc>
          <w:tcPr>
            <w:tcW w:w="2340" w:type="dxa"/>
            <w:tcBorders>
              <w:top w:val="single" w:sz="4" w:space="0" w:color="auto"/>
            </w:tcBorders>
            <w:noWrap/>
            <w:vAlign w:val="center"/>
            <w:hideMark/>
          </w:tcPr>
          <w:p w14:paraId="3ACCE002" w14:textId="77777777" w:rsidR="004013AD" w:rsidRPr="00B52637" w:rsidRDefault="004013AD" w:rsidP="003F2DB7">
            <w:pPr>
              <w:pStyle w:val="ExhibitText"/>
              <w:jc w:val="center"/>
              <w:rPr>
                <w:sz w:val="18"/>
                <w:szCs w:val="18"/>
                <w:lang w:val="en-CA"/>
              </w:rPr>
            </w:pPr>
            <w:r w:rsidRPr="00B52637">
              <w:rPr>
                <w:sz w:val="18"/>
                <w:szCs w:val="18"/>
                <w:lang w:val="en-CA"/>
              </w:rPr>
              <w:t>no</w:t>
            </w:r>
          </w:p>
        </w:tc>
      </w:tr>
      <w:tr w:rsidR="004013AD" w:rsidRPr="00B52637" w14:paraId="697710C5" w14:textId="77777777" w:rsidTr="003F2DB7">
        <w:trPr>
          <w:trHeight w:val="288"/>
        </w:trPr>
        <w:tc>
          <w:tcPr>
            <w:tcW w:w="1800" w:type="dxa"/>
            <w:noWrap/>
            <w:vAlign w:val="center"/>
            <w:hideMark/>
          </w:tcPr>
          <w:p w14:paraId="6CC6B17F" w14:textId="77777777" w:rsidR="004013AD" w:rsidRPr="00B52637" w:rsidRDefault="004013AD" w:rsidP="003F2DB7">
            <w:pPr>
              <w:pStyle w:val="ExhibitText"/>
              <w:rPr>
                <w:bCs/>
                <w:sz w:val="18"/>
                <w:szCs w:val="18"/>
                <w:lang w:val="en-CA"/>
              </w:rPr>
            </w:pPr>
            <w:r w:rsidRPr="00B52637">
              <w:rPr>
                <w:bCs/>
                <w:sz w:val="18"/>
                <w:szCs w:val="18"/>
                <w:lang w:val="en-CA"/>
              </w:rPr>
              <w:t>Cabelas.ca</w:t>
            </w:r>
          </w:p>
        </w:tc>
        <w:tc>
          <w:tcPr>
            <w:tcW w:w="4140" w:type="dxa"/>
            <w:noWrap/>
            <w:vAlign w:val="center"/>
            <w:hideMark/>
          </w:tcPr>
          <w:p w14:paraId="1D94374C" w14:textId="756922CF" w:rsidR="004013AD" w:rsidRPr="00B52637" w:rsidRDefault="004013AD" w:rsidP="003F2DB7">
            <w:pPr>
              <w:pStyle w:val="ExhibitText"/>
              <w:rPr>
                <w:sz w:val="18"/>
                <w:szCs w:val="18"/>
                <w:lang w:val="en-CA"/>
              </w:rPr>
            </w:pPr>
            <w:r w:rsidRPr="00B52637">
              <w:rPr>
                <w:sz w:val="18"/>
                <w:szCs w:val="18"/>
                <w:lang w:val="en-CA"/>
              </w:rPr>
              <w:t>Kombi Men</w:t>
            </w:r>
            <w:r w:rsidR="00BF5709" w:rsidRPr="00B52637">
              <w:rPr>
                <w:sz w:val="18"/>
                <w:szCs w:val="18"/>
                <w:lang w:val="en-CA"/>
              </w:rPr>
              <w:t>’</w:t>
            </w:r>
            <w:r w:rsidRPr="00B52637">
              <w:rPr>
                <w:sz w:val="18"/>
                <w:szCs w:val="18"/>
                <w:lang w:val="en-CA"/>
              </w:rPr>
              <w:t xml:space="preserve">s Patroller </w:t>
            </w:r>
            <w:r w:rsidR="009E5263" w:rsidRPr="00B52637">
              <w:rPr>
                <w:sz w:val="18"/>
                <w:szCs w:val="18"/>
                <w:lang w:val="en-CA"/>
              </w:rPr>
              <w:t>GORE-TEX</w:t>
            </w:r>
            <w:r w:rsidRPr="00B52637">
              <w:rPr>
                <w:sz w:val="18"/>
                <w:szCs w:val="18"/>
                <w:lang w:val="en-CA"/>
              </w:rPr>
              <w:t xml:space="preserve"> Gloves</w:t>
            </w:r>
          </w:p>
        </w:tc>
        <w:tc>
          <w:tcPr>
            <w:tcW w:w="1080" w:type="dxa"/>
            <w:noWrap/>
            <w:vAlign w:val="center"/>
            <w:hideMark/>
          </w:tcPr>
          <w:p w14:paraId="5A1A1049" w14:textId="1DF70637" w:rsidR="004013AD" w:rsidRPr="00B52637" w:rsidRDefault="004013AD" w:rsidP="003F2DB7">
            <w:pPr>
              <w:pStyle w:val="ExhibitText"/>
              <w:jc w:val="right"/>
              <w:rPr>
                <w:sz w:val="18"/>
                <w:szCs w:val="18"/>
                <w:lang w:val="en-CA"/>
              </w:rPr>
            </w:pPr>
            <w:r w:rsidRPr="00B52637">
              <w:rPr>
                <w:sz w:val="18"/>
                <w:szCs w:val="18"/>
                <w:lang w:val="en-CA"/>
              </w:rPr>
              <w:t>$149.99</w:t>
            </w:r>
          </w:p>
        </w:tc>
        <w:tc>
          <w:tcPr>
            <w:tcW w:w="2340" w:type="dxa"/>
            <w:noWrap/>
            <w:vAlign w:val="center"/>
            <w:hideMark/>
          </w:tcPr>
          <w:p w14:paraId="34EFAAC5" w14:textId="77777777" w:rsidR="004013AD" w:rsidRPr="00B52637" w:rsidRDefault="004013AD" w:rsidP="003F2DB7">
            <w:pPr>
              <w:pStyle w:val="ExhibitText"/>
              <w:jc w:val="center"/>
              <w:rPr>
                <w:sz w:val="18"/>
                <w:szCs w:val="18"/>
                <w:lang w:val="en-CA"/>
              </w:rPr>
            </w:pPr>
            <w:r w:rsidRPr="00B52637">
              <w:rPr>
                <w:sz w:val="18"/>
                <w:szCs w:val="18"/>
                <w:lang w:val="en-CA"/>
              </w:rPr>
              <w:t>no</w:t>
            </w:r>
          </w:p>
        </w:tc>
      </w:tr>
      <w:tr w:rsidR="004013AD" w:rsidRPr="00B52637" w14:paraId="5135FCCC" w14:textId="77777777" w:rsidTr="003F2DB7">
        <w:trPr>
          <w:trHeight w:val="288"/>
        </w:trPr>
        <w:tc>
          <w:tcPr>
            <w:tcW w:w="1800" w:type="dxa"/>
            <w:noWrap/>
            <w:vAlign w:val="center"/>
            <w:hideMark/>
          </w:tcPr>
          <w:p w14:paraId="17CB412B" w14:textId="77777777" w:rsidR="004013AD" w:rsidRPr="00B52637" w:rsidRDefault="004013AD" w:rsidP="003F2DB7">
            <w:pPr>
              <w:pStyle w:val="ExhibitText"/>
              <w:rPr>
                <w:bCs/>
                <w:sz w:val="18"/>
                <w:szCs w:val="18"/>
                <w:lang w:val="en-CA"/>
              </w:rPr>
            </w:pPr>
            <w:r w:rsidRPr="00B52637">
              <w:rPr>
                <w:bCs/>
                <w:sz w:val="18"/>
                <w:szCs w:val="18"/>
                <w:lang w:val="en-CA"/>
              </w:rPr>
              <w:t>SportsExperts.ca</w:t>
            </w:r>
          </w:p>
        </w:tc>
        <w:tc>
          <w:tcPr>
            <w:tcW w:w="4140" w:type="dxa"/>
            <w:noWrap/>
            <w:vAlign w:val="center"/>
            <w:hideMark/>
          </w:tcPr>
          <w:p w14:paraId="6B8FBBCD" w14:textId="6A9BCC32" w:rsidR="004013AD" w:rsidRPr="00B52637" w:rsidRDefault="004013AD" w:rsidP="003F2DB7">
            <w:pPr>
              <w:pStyle w:val="ExhibitText"/>
              <w:rPr>
                <w:sz w:val="18"/>
                <w:szCs w:val="18"/>
                <w:lang w:val="en-CA"/>
              </w:rPr>
            </w:pPr>
            <w:r w:rsidRPr="00B52637">
              <w:rPr>
                <w:sz w:val="18"/>
                <w:szCs w:val="18"/>
                <w:lang w:val="en-CA"/>
              </w:rPr>
              <w:t>Kombi</w:t>
            </w:r>
            <w:r w:rsidR="00F94A79" w:rsidRPr="00B52637">
              <w:rPr>
                <w:sz w:val="18"/>
                <w:szCs w:val="18"/>
                <w:lang w:val="en-CA"/>
              </w:rPr>
              <w:t>,</w:t>
            </w:r>
            <w:r w:rsidRPr="00B52637">
              <w:rPr>
                <w:sz w:val="18"/>
                <w:szCs w:val="18"/>
                <w:lang w:val="en-CA"/>
              </w:rPr>
              <w:t xml:space="preserve"> The Patroller</w:t>
            </w:r>
          </w:p>
        </w:tc>
        <w:tc>
          <w:tcPr>
            <w:tcW w:w="1080" w:type="dxa"/>
            <w:noWrap/>
            <w:vAlign w:val="center"/>
            <w:hideMark/>
          </w:tcPr>
          <w:p w14:paraId="0424959F" w14:textId="28B63F74" w:rsidR="004013AD" w:rsidRPr="00B52637" w:rsidRDefault="004013AD" w:rsidP="003F2DB7">
            <w:pPr>
              <w:pStyle w:val="ExhibitText"/>
              <w:jc w:val="right"/>
              <w:rPr>
                <w:sz w:val="18"/>
                <w:szCs w:val="18"/>
                <w:lang w:val="en-CA"/>
              </w:rPr>
            </w:pPr>
            <w:r w:rsidRPr="00B52637">
              <w:rPr>
                <w:sz w:val="18"/>
                <w:szCs w:val="18"/>
                <w:lang w:val="en-CA"/>
              </w:rPr>
              <w:t>$119.99</w:t>
            </w:r>
          </w:p>
        </w:tc>
        <w:tc>
          <w:tcPr>
            <w:tcW w:w="2340" w:type="dxa"/>
            <w:noWrap/>
            <w:vAlign w:val="center"/>
            <w:hideMark/>
          </w:tcPr>
          <w:p w14:paraId="0A8CA8D7" w14:textId="7E49760A" w:rsidR="004013AD" w:rsidRPr="00B52637" w:rsidRDefault="00F94A79" w:rsidP="003F2DB7">
            <w:pPr>
              <w:pStyle w:val="ExhibitText"/>
              <w:jc w:val="center"/>
              <w:rPr>
                <w:sz w:val="18"/>
                <w:szCs w:val="18"/>
                <w:lang w:val="en-CA"/>
              </w:rPr>
            </w:pPr>
            <w:r w:rsidRPr="00B52637">
              <w:rPr>
                <w:sz w:val="18"/>
                <w:szCs w:val="18"/>
                <w:lang w:val="en-CA"/>
              </w:rPr>
              <w:t>y</w:t>
            </w:r>
            <w:r w:rsidR="004013AD" w:rsidRPr="00B52637">
              <w:rPr>
                <w:sz w:val="18"/>
                <w:szCs w:val="18"/>
                <w:lang w:val="en-CA"/>
              </w:rPr>
              <w:t>es, $149.99</w:t>
            </w:r>
          </w:p>
        </w:tc>
      </w:tr>
      <w:tr w:rsidR="004013AD" w:rsidRPr="00B52637" w14:paraId="58980770" w14:textId="77777777" w:rsidTr="003F2DB7">
        <w:trPr>
          <w:trHeight w:val="288"/>
        </w:trPr>
        <w:tc>
          <w:tcPr>
            <w:tcW w:w="1800" w:type="dxa"/>
            <w:noWrap/>
            <w:vAlign w:val="center"/>
            <w:hideMark/>
          </w:tcPr>
          <w:p w14:paraId="1F2FFCE5" w14:textId="24E5EDDA" w:rsidR="004013AD" w:rsidRPr="00B52637" w:rsidRDefault="00F94A79" w:rsidP="003F2DB7">
            <w:pPr>
              <w:pStyle w:val="ExhibitText"/>
              <w:rPr>
                <w:bCs/>
                <w:sz w:val="18"/>
                <w:szCs w:val="18"/>
                <w:lang w:val="en-CA"/>
              </w:rPr>
            </w:pPr>
            <w:r w:rsidRPr="00B52637">
              <w:rPr>
                <w:bCs/>
                <w:sz w:val="18"/>
                <w:szCs w:val="18"/>
                <w:lang w:val="en-CA"/>
              </w:rPr>
              <w:t>A</w:t>
            </w:r>
            <w:r w:rsidR="004013AD" w:rsidRPr="00B52637">
              <w:rPr>
                <w:bCs/>
                <w:sz w:val="18"/>
                <w:szCs w:val="18"/>
                <w:lang w:val="en-CA"/>
              </w:rPr>
              <w:t>mazon.ca</w:t>
            </w:r>
          </w:p>
        </w:tc>
        <w:tc>
          <w:tcPr>
            <w:tcW w:w="4140" w:type="dxa"/>
            <w:noWrap/>
            <w:vAlign w:val="center"/>
            <w:hideMark/>
          </w:tcPr>
          <w:p w14:paraId="0F05AE6B" w14:textId="23E294AC" w:rsidR="004013AD" w:rsidRPr="00B52637" w:rsidRDefault="00F94A79" w:rsidP="003F2DB7">
            <w:pPr>
              <w:pStyle w:val="ExhibitText"/>
              <w:rPr>
                <w:sz w:val="18"/>
                <w:szCs w:val="18"/>
                <w:lang w:val="en-CA"/>
              </w:rPr>
            </w:pPr>
            <w:r w:rsidRPr="00B52637">
              <w:rPr>
                <w:sz w:val="18"/>
                <w:szCs w:val="18"/>
                <w:lang w:val="en-CA"/>
              </w:rPr>
              <w:t xml:space="preserve">Kombi, </w:t>
            </w:r>
            <w:r w:rsidR="004013AD" w:rsidRPr="00B52637">
              <w:rPr>
                <w:sz w:val="18"/>
                <w:szCs w:val="18"/>
                <w:lang w:val="en-CA"/>
              </w:rPr>
              <w:t>The Patroller Men</w:t>
            </w:r>
            <w:r w:rsidR="00BF5709" w:rsidRPr="00B52637">
              <w:rPr>
                <w:sz w:val="18"/>
                <w:szCs w:val="18"/>
                <w:lang w:val="en-CA"/>
              </w:rPr>
              <w:t>’</w:t>
            </w:r>
            <w:r w:rsidR="004013AD" w:rsidRPr="00B52637">
              <w:rPr>
                <w:sz w:val="18"/>
                <w:szCs w:val="18"/>
                <w:lang w:val="en-CA"/>
              </w:rPr>
              <w:t>s Glove</w:t>
            </w:r>
          </w:p>
        </w:tc>
        <w:tc>
          <w:tcPr>
            <w:tcW w:w="1080" w:type="dxa"/>
            <w:noWrap/>
            <w:vAlign w:val="center"/>
            <w:hideMark/>
          </w:tcPr>
          <w:p w14:paraId="6800EE73" w14:textId="72AD05F3" w:rsidR="004013AD" w:rsidRPr="00B52637" w:rsidRDefault="004013AD" w:rsidP="003F2DB7">
            <w:pPr>
              <w:pStyle w:val="ExhibitText"/>
              <w:jc w:val="right"/>
              <w:rPr>
                <w:sz w:val="18"/>
                <w:szCs w:val="18"/>
                <w:lang w:val="en-CA"/>
              </w:rPr>
            </w:pPr>
            <w:r w:rsidRPr="00B52637">
              <w:rPr>
                <w:sz w:val="18"/>
                <w:szCs w:val="18"/>
                <w:lang w:val="en-CA"/>
              </w:rPr>
              <w:t>$134.96</w:t>
            </w:r>
          </w:p>
        </w:tc>
        <w:tc>
          <w:tcPr>
            <w:tcW w:w="2340" w:type="dxa"/>
            <w:noWrap/>
            <w:vAlign w:val="center"/>
            <w:hideMark/>
          </w:tcPr>
          <w:p w14:paraId="06C898BC" w14:textId="77777777" w:rsidR="004013AD" w:rsidRPr="00B52637" w:rsidRDefault="004013AD" w:rsidP="003F2DB7">
            <w:pPr>
              <w:pStyle w:val="ExhibitText"/>
              <w:jc w:val="center"/>
              <w:rPr>
                <w:sz w:val="18"/>
                <w:szCs w:val="18"/>
                <w:lang w:val="en-CA"/>
              </w:rPr>
            </w:pPr>
            <w:r w:rsidRPr="00B52637">
              <w:rPr>
                <w:sz w:val="18"/>
                <w:szCs w:val="18"/>
                <w:lang w:val="en-CA"/>
              </w:rPr>
              <w:t>no</w:t>
            </w:r>
          </w:p>
        </w:tc>
      </w:tr>
    </w:tbl>
    <w:p w14:paraId="5B6234CB" w14:textId="77777777" w:rsidR="004013AD" w:rsidRPr="00B52637" w:rsidRDefault="004013AD" w:rsidP="003F2DB7">
      <w:pPr>
        <w:pStyle w:val="ExhibitText"/>
        <w:rPr>
          <w:rFonts w:eastAsia="Calibri"/>
          <w:lang w:val="en-CA"/>
        </w:rPr>
      </w:pPr>
    </w:p>
    <w:p w14:paraId="6CDC5A5A" w14:textId="2F891810" w:rsidR="00C76CCC" w:rsidRPr="00B52637" w:rsidRDefault="004013AD" w:rsidP="00F63C52">
      <w:pPr>
        <w:pStyle w:val="Footnote"/>
        <w:jc w:val="both"/>
        <w:rPr>
          <w:rFonts w:eastAsia="Calibri"/>
          <w:lang w:val="en-CA"/>
        </w:rPr>
      </w:pPr>
      <w:r w:rsidRPr="00B52637">
        <w:rPr>
          <w:rFonts w:eastAsia="Calibri"/>
          <w:lang w:val="en-CA"/>
        </w:rPr>
        <w:t xml:space="preserve">Source: </w:t>
      </w:r>
      <w:r w:rsidR="00F94A79" w:rsidRPr="00B52637">
        <w:rPr>
          <w:rFonts w:eastAsia="Calibri"/>
          <w:lang w:val="en-CA"/>
        </w:rPr>
        <w:t xml:space="preserve">Image from company files; </w:t>
      </w:r>
      <w:r w:rsidR="005108DA" w:rsidRPr="00B52637">
        <w:rPr>
          <w:rFonts w:eastAsia="Calibri"/>
          <w:lang w:val="en-CA"/>
        </w:rPr>
        <w:t>“</w:t>
      </w:r>
      <w:r w:rsidR="00F94A79" w:rsidRPr="00B52637">
        <w:rPr>
          <w:rFonts w:eastAsia="Calibri"/>
          <w:lang w:val="en-CA"/>
        </w:rPr>
        <w:t>Patroller</w:t>
      </w:r>
      <w:r w:rsidRPr="00B52637">
        <w:rPr>
          <w:rFonts w:eastAsia="Calibri"/>
          <w:lang w:val="en-CA"/>
        </w:rPr>
        <w:t xml:space="preserve"> </w:t>
      </w:r>
      <w:r w:rsidR="009E5263" w:rsidRPr="00B52637">
        <w:rPr>
          <w:rFonts w:eastAsia="Calibri"/>
          <w:lang w:val="en-CA"/>
        </w:rPr>
        <w:t>GORE-TEX</w:t>
      </w:r>
      <w:r w:rsidRPr="00B52637">
        <w:rPr>
          <w:rFonts w:eastAsia="Calibri"/>
          <w:lang w:val="en-CA"/>
        </w:rPr>
        <w:t xml:space="preserve"> Gloves</w:t>
      </w:r>
      <w:r w:rsidR="00F94A79" w:rsidRPr="00B52637">
        <w:rPr>
          <w:rFonts w:eastAsia="Calibri"/>
          <w:lang w:val="en-CA"/>
        </w:rPr>
        <w:t>—</w:t>
      </w:r>
      <w:r w:rsidRPr="00B52637">
        <w:rPr>
          <w:rFonts w:eastAsia="Calibri"/>
          <w:lang w:val="en-CA"/>
        </w:rPr>
        <w:t>Men</w:t>
      </w:r>
      <w:r w:rsidR="00F94A79" w:rsidRPr="00B52637">
        <w:rPr>
          <w:rFonts w:eastAsia="Calibri"/>
          <w:lang w:val="en-CA"/>
        </w:rPr>
        <w:t>,</w:t>
      </w:r>
      <w:r w:rsidR="005108DA" w:rsidRPr="00B52637">
        <w:rPr>
          <w:rFonts w:eastAsia="Calibri"/>
          <w:lang w:val="en-CA"/>
        </w:rPr>
        <w:t>”</w:t>
      </w:r>
      <w:r w:rsidRPr="00B52637">
        <w:rPr>
          <w:rFonts w:eastAsia="Calibri"/>
          <w:lang w:val="en-CA"/>
        </w:rPr>
        <w:t xml:space="preserve"> </w:t>
      </w:r>
      <w:r w:rsidR="00F94A79" w:rsidRPr="00B52637">
        <w:rPr>
          <w:rFonts w:eastAsia="Calibri"/>
          <w:lang w:val="en-CA"/>
        </w:rPr>
        <w:t xml:space="preserve">Kombi, </w:t>
      </w:r>
      <w:r w:rsidRPr="00B52637">
        <w:rPr>
          <w:rFonts w:eastAsia="Calibri"/>
          <w:lang w:val="en-CA"/>
        </w:rPr>
        <w:t>accessed March 4, 2020</w:t>
      </w:r>
      <w:r w:rsidR="00F94A79" w:rsidRPr="00B52637">
        <w:rPr>
          <w:rFonts w:eastAsia="Calibri"/>
          <w:lang w:val="en-CA"/>
        </w:rPr>
        <w:t>,</w:t>
      </w:r>
      <w:r w:rsidRPr="00B52637">
        <w:rPr>
          <w:rFonts w:eastAsia="Calibri"/>
          <w:lang w:val="en-CA"/>
        </w:rPr>
        <w:t xml:space="preserve"> </w:t>
      </w:r>
      <w:r w:rsidR="00041306" w:rsidRPr="00B52637">
        <w:rPr>
          <w:lang w:val="en-CA"/>
        </w:rPr>
        <w:t>https://shop.kombicanada.com/products/the-patroller-gore-tex-mens-glove</w:t>
      </w:r>
      <w:r w:rsidR="00F94A79" w:rsidRPr="00B52637">
        <w:rPr>
          <w:rFonts w:eastAsia="Calibri"/>
          <w:lang w:val="en-CA"/>
        </w:rPr>
        <w:t xml:space="preserve">; </w:t>
      </w:r>
      <w:r w:rsidR="005108DA" w:rsidRPr="00B52637">
        <w:rPr>
          <w:rFonts w:eastAsia="Calibri"/>
          <w:lang w:val="en-CA"/>
        </w:rPr>
        <w:t>“</w:t>
      </w:r>
      <w:r w:rsidRPr="00B52637">
        <w:rPr>
          <w:rFonts w:eastAsia="Calibri"/>
          <w:lang w:val="en-CA"/>
        </w:rPr>
        <w:t>Kombi Men</w:t>
      </w:r>
      <w:r w:rsidR="00BF5709" w:rsidRPr="00B52637">
        <w:rPr>
          <w:rFonts w:eastAsia="Calibri"/>
          <w:lang w:val="en-CA"/>
        </w:rPr>
        <w:t>’</w:t>
      </w:r>
      <w:r w:rsidRPr="00B52637">
        <w:rPr>
          <w:rFonts w:eastAsia="Calibri"/>
          <w:lang w:val="en-CA"/>
        </w:rPr>
        <w:t xml:space="preserve">s Patroller </w:t>
      </w:r>
      <w:r w:rsidR="00F94A79" w:rsidRPr="00B52637">
        <w:rPr>
          <w:rFonts w:eastAsia="Calibri"/>
          <w:lang w:val="en-CA"/>
        </w:rPr>
        <w:t>Gore-Tex</w:t>
      </w:r>
      <w:r w:rsidRPr="00B52637">
        <w:rPr>
          <w:rFonts w:eastAsia="Calibri"/>
          <w:lang w:val="en-CA"/>
        </w:rPr>
        <w:t xml:space="preserve"> Gloves</w:t>
      </w:r>
      <w:r w:rsidR="00F94A79" w:rsidRPr="00B52637">
        <w:rPr>
          <w:rFonts w:eastAsia="Calibri"/>
          <w:lang w:val="en-CA"/>
        </w:rPr>
        <w:t>,</w:t>
      </w:r>
      <w:r w:rsidR="005108DA" w:rsidRPr="00B52637">
        <w:rPr>
          <w:rFonts w:eastAsia="Calibri"/>
          <w:lang w:val="en-CA"/>
        </w:rPr>
        <w:t>”</w:t>
      </w:r>
      <w:r w:rsidRPr="00B52637">
        <w:rPr>
          <w:rFonts w:eastAsia="Calibri"/>
          <w:lang w:val="en-CA"/>
        </w:rPr>
        <w:t xml:space="preserve"> </w:t>
      </w:r>
      <w:r w:rsidR="00F94A79" w:rsidRPr="00B52637">
        <w:rPr>
          <w:rFonts w:eastAsia="Calibri"/>
          <w:lang w:val="en-CA"/>
        </w:rPr>
        <w:t>Cabela</w:t>
      </w:r>
      <w:r w:rsidR="00A5601D" w:rsidRPr="00B52637">
        <w:rPr>
          <w:rFonts w:eastAsia="Calibri"/>
          <w:lang w:val="en-CA"/>
        </w:rPr>
        <w:t>’s</w:t>
      </w:r>
      <w:r w:rsidR="00F94A79" w:rsidRPr="00B52637">
        <w:rPr>
          <w:rFonts w:eastAsia="Calibri"/>
          <w:lang w:val="en-CA"/>
        </w:rPr>
        <w:t xml:space="preserve">, </w:t>
      </w:r>
      <w:r w:rsidRPr="00B52637">
        <w:rPr>
          <w:rFonts w:eastAsia="Calibri"/>
          <w:lang w:val="en-CA"/>
        </w:rPr>
        <w:t>accessed March 4, 2020</w:t>
      </w:r>
      <w:r w:rsidR="00F94A79" w:rsidRPr="00B52637">
        <w:rPr>
          <w:rFonts w:eastAsia="Calibri"/>
          <w:lang w:val="en-CA"/>
        </w:rPr>
        <w:t>, cabelas.ca</w:t>
      </w:r>
      <w:r w:rsidRPr="00B52637">
        <w:rPr>
          <w:rFonts w:eastAsia="Calibri"/>
          <w:lang w:val="en-CA"/>
        </w:rPr>
        <w:t xml:space="preserve">; </w:t>
      </w:r>
      <w:r w:rsidR="005108DA" w:rsidRPr="00B52637">
        <w:rPr>
          <w:rFonts w:eastAsia="Calibri"/>
          <w:lang w:val="en-CA"/>
        </w:rPr>
        <w:t>“</w:t>
      </w:r>
      <w:r w:rsidRPr="00B52637">
        <w:rPr>
          <w:rFonts w:eastAsia="Calibri"/>
          <w:lang w:val="en-CA"/>
        </w:rPr>
        <w:t xml:space="preserve">Kombi </w:t>
      </w:r>
      <w:proofErr w:type="gramStart"/>
      <w:r w:rsidRPr="00B52637">
        <w:rPr>
          <w:rFonts w:eastAsia="Calibri"/>
          <w:lang w:val="en-CA"/>
        </w:rPr>
        <w:t>The</w:t>
      </w:r>
      <w:proofErr w:type="gramEnd"/>
      <w:r w:rsidRPr="00B52637">
        <w:rPr>
          <w:rFonts w:eastAsia="Calibri"/>
          <w:lang w:val="en-CA"/>
        </w:rPr>
        <w:t xml:space="preserve"> Patroller</w:t>
      </w:r>
      <w:r w:rsidR="00F94A79" w:rsidRPr="00B52637">
        <w:rPr>
          <w:rFonts w:eastAsia="Calibri"/>
          <w:lang w:val="en-CA"/>
        </w:rPr>
        <w:t>,</w:t>
      </w:r>
      <w:r w:rsidR="005108DA" w:rsidRPr="00B52637">
        <w:rPr>
          <w:rFonts w:eastAsia="Calibri"/>
          <w:lang w:val="en-CA"/>
        </w:rPr>
        <w:t>”</w:t>
      </w:r>
      <w:r w:rsidR="00F94A79" w:rsidRPr="00B52637">
        <w:rPr>
          <w:rFonts w:eastAsia="Calibri"/>
          <w:lang w:val="en-CA"/>
        </w:rPr>
        <w:t xml:space="preserve"> Sports Experts,</w:t>
      </w:r>
      <w:r w:rsidRPr="00B52637">
        <w:rPr>
          <w:rFonts w:eastAsia="Calibri"/>
          <w:lang w:val="en-CA"/>
        </w:rPr>
        <w:t xml:space="preserve"> accessed March 4, 2020</w:t>
      </w:r>
      <w:r w:rsidR="00F94A79" w:rsidRPr="00B52637">
        <w:rPr>
          <w:rFonts w:eastAsia="Calibri"/>
          <w:lang w:val="en-CA"/>
        </w:rPr>
        <w:t>, sportsexperts.ca</w:t>
      </w:r>
      <w:r w:rsidRPr="00B52637">
        <w:rPr>
          <w:rFonts w:eastAsia="Calibri"/>
          <w:lang w:val="en-CA"/>
        </w:rPr>
        <w:t xml:space="preserve">; </w:t>
      </w:r>
      <w:r w:rsidR="005108DA" w:rsidRPr="00B52637">
        <w:rPr>
          <w:rFonts w:eastAsia="Calibri"/>
          <w:lang w:val="en-CA"/>
        </w:rPr>
        <w:t>“</w:t>
      </w:r>
      <w:r w:rsidRPr="00B52637">
        <w:rPr>
          <w:rFonts w:eastAsia="Calibri"/>
          <w:lang w:val="en-CA"/>
        </w:rPr>
        <w:t>Kombi The Patroller Men</w:t>
      </w:r>
      <w:r w:rsidR="00BF5709" w:rsidRPr="00B52637">
        <w:rPr>
          <w:rFonts w:eastAsia="Calibri"/>
          <w:lang w:val="en-CA"/>
        </w:rPr>
        <w:t>’</w:t>
      </w:r>
      <w:r w:rsidRPr="00B52637">
        <w:rPr>
          <w:rFonts w:eastAsia="Calibri"/>
          <w:lang w:val="en-CA"/>
        </w:rPr>
        <w:t>s Glove</w:t>
      </w:r>
      <w:r w:rsidR="00F94A79" w:rsidRPr="00B52637">
        <w:rPr>
          <w:rFonts w:eastAsia="Calibri"/>
          <w:lang w:val="en-CA"/>
        </w:rPr>
        <w:t>,</w:t>
      </w:r>
      <w:r w:rsidR="005108DA" w:rsidRPr="00B52637">
        <w:rPr>
          <w:rFonts w:eastAsia="Calibri"/>
          <w:lang w:val="en-CA"/>
        </w:rPr>
        <w:t>”</w:t>
      </w:r>
      <w:r w:rsidR="00F94A79" w:rsidRPr="00B52637">
        <w:rPr>
          <w:rFonts w:eastAsia="Calibri"/>
          <w:lang w:val="en-CA"/>
        </w:rPr>
        <w:t xml:space="preserve"> Amazon, </w:t>
      </w:r>
      <w:r w:rsidRPr="00B52637">
        <w:rPr>
          <w:rFonts w:eastAsia="Calibri"/>
          <w:lang w:val="en-CA"/>
        </w:rPr>
        <w:t>accessed March 4, 2020</w:t>
      </w:r>
      <w:r w:rsidR="00F94A79" w:rsidRPr="00B52637">
        <w:rPr>
          <w:rFonts w:eastAsia="Calibri"/>
          <w:lang w:val="en-CA"/>
        </w:rPr>
        <w:t>, amazon.ca.</w:t>
      </w:r>
    </w:p>
    <w:p w14:paraId="62E7440B" w14:textId="30261AFE" w:rsidR="00106473" w:rsidRPr="00B52637" w:rsidRDefault="00106473">
      <w:pPr>
        <w:spacing w:after="200" w:line="276" w:lineRule="auto"/>
        <w:rPr>
          <w:rFonts w:ascii="Arial" w:eastAsia="Calibri" w:hAnsi="Arial" w:cs="Arial"/>
          <w:b/>
          <w:caps/>
        </w:rPr>
      </w:pPr>
      <w:r w:rsidRPr="00B52637">
        <w:rPr>
          <w:rFonts w:eastAsia="Calibri"/>
          <w:b/>
          <w:caps/>
        </w:rPr>
        <w:br w:type="page"/>
      </w:r>
    </w:p>
    <w:p w14:paraId="383378DB" w14:textId="0E33AF94" w:rsidR="004013AD" w:rsidRPr="00B52637" w:rsidRDefault="004013AD" w:rsidP="00C76CCC">
      <w:pPr>
        <w:pStyle w:val="Footnote"/>
        <w:jc w:val="center"/>
        <w:rPr>
          <w:rFonts w:eastAsia="Calibri"/>
          <w:b/>
          <w:caps/>
          <w:sz w:val="20"/>
          <w:szCs w:val="20"/>
          <w:lang w:val="en-CA"/>
        </w:rPr>
      </w:pPr>
      <w:r w:rsidRPr="00B52637">
        <w:rPr>
          <w:rFonts w:eastAsia="Calibri"/>
          <w:b/>
          <w:caps/>
          <w:sz w:val="20"/>
          <w:szCs w:val="20"/>
          <w:lang w:val="en-CA"/>
        </w:rPr>
        <w:lastRenderedPageBreak/>
        <w:t xml:space="preserve">EXHIBIT </w:t>
      </w:r>
      <w:r w:rsidR="00B8750B" w:rsidRPr="00B52637">
        <w:rPr>
          <w:rFonts w:eastAsia="Calibri"/>
          <w:b/>
          <w:caps/>
          <w:sz w:val="20"/>
          <w:szCs w:val="20"/>
          <w:lang w:val="en-CA"/>
        </w:rPr>
        <w:t>6</w:t>
      </w:r>
      <w:r w:rsidRPr="00B52637">
        <w:rPr>
          <w:rFonts w:eastAsia="Calibri"/>
          <w:b/>
          <w:caps/>
          <w:sz w:val="20"/>
          <w:szCs w:val="20"/>
          <w:lang w:val="en-CA"/>
        </w:rPr>
        <w:t>: Kombi Product Mix</w:t>
      </w:r>
    </w:p>
    <w:p w14:paraId="4699F3DA" w14:textId="77777777" w:rsidR="00C76CCC" w:rsidRPr="00B52637" w:rsidRDefault="00C76CCC" w:rsidP="003F2DB7">
      <w:pPr>
        <w:pStyle w:val="ExhibitText"/>
        <w:rPr>
          <w:rFonts w:eastAsia="Calibri"/>
          <w:lang w:val="en-CA"/>
        </w:rPr>
      </w:pPr>
    </w:p>
    <w:tbl>
      <w:tblPr>
        <w:tblW w:w="5000" w:type="pct"/>
        <w:jc w:val="center"/>
        <w:tblBorders>
          <w:top w:val="single" w:sz="4" w:space="0" w:color="auto"/>
          <w:bottom w:val="single" w:sz="4" w:space="0" w:color="auto"/>
        </w:tblBorders>
        <w:tblLayout w:type="fixed"/>
        <w:tblLook w:val="04A0" w:firstRow="1" w:lastRow="0" w:firstColumn="1" w:lastColumn="0" w:noHBand="0" w:noVBand="1"/>
      </w:tblPr>
      <w:tblGrid>
        <w:gridCol w:w="2430"/>
        <w:gridCol w:w="1386"/>
        <w:gridCol w:w="1386"/>
        <w:gridCol w:w="1386"/>
        <w:gridCol w:w="1386"/>
        <w:gridCol w:w="1386"/>
      </w:tblGrid>
      <w:tr w:rsidR="005C04A0" w:rsidRPr="00B52637" w14:paraId="69BF7DCD" w14:textId="77777777" w:rsidTr="003F2DB7">
        <w:trPr>
          <w:trHeight w:val="288"/>
          <w:jc w:val="center"/>
        </w:trPr>
        <w:tc>
          <w:tcPr>
            <w:tcW w:w="2430" w:type="dxa"/>
            <w:tcBorders>
              <w:bottom w:val="nil"/>
            </w:tcBorders>
            <w:shd w:val="clear" w:color="000000" w:fill="FFFFFF"/>
            <w:noWrap/>
            <w:vAlign w:val="center"/>
          </w:tcPr>
          <w:p w14:paraId="42ACD703" w14:textId="77777777" w:rsidR="005C04A0" w:rsidRPr="00B52637" w:rsidRDefault="005C04A0" w:rsidP="003F2DB7">
            <w:pPr>
              <w:pStyle w:val="ExhibitText"/>
              <w:jc w:val="left"/>
              <w:rPr>
                <w:b/>
                <w:bCs/>
                <w:lang w:val="en-CA"/>
              </w:rPr>
            </w:pPr>
          </w:p>
        </w:tc>
        <w:tc>
          <w:tcPr>
            <w:tcW w:w="6930" w:type="dxa"/>
            <w:gridSpan w:val="5"/>
            <w:tcBorders>
              <w:top w:val="single" w:sz="4" w:space="0" w:color="auto"/>
              <w:bottom w:val="dotted" w:sz="4" w:space="0" w:color="auto"/>
            </w:tcBorders>
            <w:shd w:val="clear" w:color="000000" w:fill="FFFFFF"/>
            <w:noWrap/>
            <w:vAlign w:val="center"/>
          </w:tcPr>
          <w:p w14:paraId="1F06FA5D" w14:textId="75142617" w:rsidR="005C04A0" w:rsidRPr="00B52637" w:rsidRDefault="005C04A0" w:rsidP="003F2DB7">
            <w:pPr>
              <w:pStyle w:val="ExhibitText"/>
              <w:jc w:val="center"/>
              <w:rPr>
                <w:b/>
                <w:bCs/>
                <w:lang w:val="en-CA"/>
              </w:rPr>
            </w:pPr>
            <w:r w:rsidRPr="00B52637">
              <w:rPr>
                <w:b/>
                <w:bCs/>
                <w:lang w:val="en-CA"/>
              </w:rPr>
              <w:t>Number of Product Designs</w:t>
            </w:r>
          </w:p>
        </w:tc>
      </w:tr>
      <w:tr w:rsidR="00F94A79" w:rsidRPr="00B52637" w14:paraId="721AF234" w14:textId="77777777" w:rsidTr="003F2DB7">
        <w:trPr>
          <w:trHeight w:val="288"/>
          <w:jc w:val="center"/>
        </w:trPr>
        <w:tc>
          <w:tcPr>
            <w:tcW w:w="2430" w:type="dxa"/>
            <w:tcBorders>
              <w:top w:val="nil"/>
              <w:bottom w:val="single" w:sz="4" w:space="0" w:color="auto"/>
            </w:tcBorders>
            <w:shd w:val="clear" w:color="000000" w:fill="FFFFFF"/>
            <w:noWrap/>
            <w:vAlign w:val="center"/>
            <w:hideMark/>
          </w:tcPr>
          <w:p w14:paraId="3340478B" w14:textId="36B78307" w:rsidR="007B7556" w:rsidRPr="00B52637" w:rsidRDefault="007B7556" w:rsidP="003F2DB7">
            <w:pPr>
              <w:pStyle w:val="ExhibitText"/>
              <w:jc w:val="left"/>
              <w:rPr>
                <w:b/>
                <w:bCs/>
                <w:lang w:val="en-CA"/>
              </w:rPr>
            </w:pPr>
            <w:r w:rsidRPr="00B52637">
              <w:rPr>
                <w:b/>
                <w:bCs/>
                <w:lang w:val="en-CA"/>
              </w:rPr>
              <w:t> </w:t>
            </w:r>
            <w:r w:rsidR="00F94A79" w:rsidRPr="00B52637">
              <w:rPr>
                <w:b/>
                <w:bCs/>
                <w:lang w:val="en-CA"/>
              </w:rPr>
              <w:t>Product</w:t>
            </w:r>
          </w:p>
        </w:tc>
        <w:tc>
          <w:tcPr>
            <w:tcW w:w="1386" w:type="dxa"/>
            <w:tcBorders>
              <w:top w:val="dotted" w:sz="4" w:space="0" w:color="auto"/>
              <w:bottom w:val="single" w:sz="4" w:space="0" w:color="auto"/>
            </w:tcBorders>
            <w:shd w:val="clear" w:color="000000" w:fill="FFFFFF"/>
            <w:noWrap/>
            <w:vAlign w:val="center"/>
            <w:hideMark/>
          </w:tcPr>
          <w:p w14:paraId="440568DA" w14:textId="77777777" w:rsidR="007B7556" w:rsidRPr="00B52637" w:rsidRDefault="007B7556">
            <w:pPr>
              <w:pStyle w:val="ExhibitText"/>
              <w:jc w:val="center"/>
              <w:rPr>
                <w:b/>
                <w:bCs/>
                <w:lang w:val="en-CA"/>
              </w:rPr>
            </w:pPr>
            <w:r w:rsidRPr="00B52637">
              <w:rPr>
                <w:b/>
                <w:bCs/>
                <w:lang w:val="en-CA"/>
              </w:rPr>
              <w:t>Men</w:t>
            </w:r>
          </w:p>
        </w:tc>
        <w:tc>
          <w:tcPr>
            <w:tcW w:w="1386" w:type="dxa"/>
            <w:tcBorders>
              <w:top w:val="dotted" w:sz="4" w:space="0" w:color="auto"/>
              <w:bottom w:val="single" w:sz="4" w:space="0" w:color="auto"/>
            </w:tcBorders>
            <w:shd w:val="clear" w:color="000000" w:fill="FFFFFF"/>
            <w:noWrap/>
            <w:vAlign w:val="center"/>
            <w:hideMark/>
          </w:tcPr>
          <w:p w14:paraId="1E94465E" w14:textId="77777777" w:rsidR="007B7556" w:rsidRPr="00B52637" w:rsidRDefault="007B7556">
            <w:pPr>
              <w:pStyle w:val="ExhibitText"/>
              <w:jc w:val="center"/>
              <w:rPr>
                <w:b/>
                <w:bCs/>
                <w:lang w:val="en-CA"/>
              </w:rPr>
            </w:pPr>
            <w:r w:rsidRPr="00B52637">
              <w:rPr>
                <w:b/>
                <w:bCs/>
                <w:lang w:val="en-CA"/>
              </w:rPr>
              <w:t>Women</w:t>
            </w:r>
          </w:p>
        </w:tc>
        <w:tc>
          <w:tcPr>
            <w:tcW w:w="1386" w:type="dxa"/>
            <w:tcBorders>
              <w:top w:val="dotted" w:sz="4" w:space="0" w:color="auto"/>
              <w:bottom w:val="single" w:sz="4" w:space="0" w:color="auto"/>
            </w:tcBorders>
            <w:shd w:val="clear" w:color="000000" w:fill="FFFFFF"/>
            <w:noWrap/>
            <w:vAlign w:val="center"/>
            <w:hideMark/>
          </w:tcPr>
          <w:p w14:paraId="395C4F74" w14:textId="77777777" w:rsidR="007B7556" w:rsidRPr="00B52637" w:rsidRDefault="007B7556">
            <w:pPr>
              <w:pStyle w:val="ExhibitText"/>
              <w:jc w:val="center"/>
              <w:rPr>
                <w:b/>
                <w:bCs/>
                <w:lang w:val="en-CA"/>
              </w:rPr>
            </w:pPr>
            <w:r w:rsidRPr="00B52637">
              <w:rPr>
                <w:b/>
                <w:bCs/>
                <w:lang w:val="en-CA"/>
              </w:rPr>
              <w:t>Junior</w:t>
            </w:r>
          </w:p>
        </w:tc>
        <w:tc>
          <w:tcPr>
            <w:tcW w:w="1386" w:type="dxa"/>
            <w:tcBorders>
              <w:top w:val="dotted" w:sz="4" w:space="0" w:color="auto"/>
              <w:bottom w:val="single" w:sz="4" w:space="0" w:color="auto"/>
            </w:tcBorders>
            <w:shd w:val="clear" w:color="000000" w:fill="FFFFFF"/>
            <w:noWrap/>
            <w:vAlign w:val="center"/>
            <w:hideMark/>
          </w:tcPr>
          <w:p w14:paraId="2560DDAC" w14:textId="77777777" w:rsidR="007B7556" w:rsidRPr="00B52637" w:rsidRDefault="007B7556">
            <w:pPr>
              <w:pStyle w:val="ExhibitText"/>
              <w:jc w:val="center"/>
              <w:rPr>
                <w:b/>
                <w:bCs/>
                <w:lang w:val="en-CA"/>
              </w:rPr>
            </w:pPr>
            <w:r w:rsidRPr="00B52637">
              <w:rPr>
                <w:b/>
                <w:bCs/>
                <w:lang w:val="en-CA"/>
              </w:rPr>
              <w:t>Kids</w:t>
            </w:r>
          </w:p>
        </w:tc>
        <w:tc>
          <w:tcPr>
            <w:tcW w:w="1386" w:type="dxa"/>
            <w:tcBorders>
              <w:top w:val="dotted" w:sz="4" w:space="0" w:color="auto"/>
              <w:bottom w:val="single" w:sz="4" w:space="0" w:color="auto"/>
            </w:tcBorders>
            <w:shd w:val="clear" w:color="000000" w:fill="FFFFFF"/>
            <w:noWrap/>
            <w:vAlign w:val="center"/>
            <w:hideMark/>
          </w:tcPr>
          <w:p w14:paraId="1024E2BC" w14:textId="77777777" w:rsidR="007B7556" w:rsidRPr="00B52637" w:rsidRDefault="007B7556">
            <w:pPr>
              <w:pStyle w:val="ExhibitText"/>
              <w:jc w:val="center"/>
              <w:rPr>
                <w:b/>
                <w:bCs/>
                <w:lang w:val="en-CA"/>
              </w:rPr>
            </w:pPr>
            <w:r w:rsidRPr="00B52637">
              <w:rPr>
                <w:b/>
                <w:bCs/>
                <w:lang w:val="en-CA"/>
              </w:rPr>
              <w:t>Infants</w:t>
            </w:r>
          </w:p>
        </w:tc>
      </w:tr>
      <w:tr w:rsidR="00F94A79" w:rsidRPr="00B52637" w14:paraId="3BB83836" w14:textId="77777777" w:rsidTr="003F2DB7">
        <w:trPr>
          <w:trHeight w:val="288"/>
          <w:jc w:val="center"/>
        </w:trPr>
        <w:tc>
          <w:tcPr>
            <w:tcW w:w="2430" w:type="dxa"/>
            <w:tcBorders>
              <w:top w:val="single" w:sz="4" w:space="0" w:color="auto"/>
            </w:tcBorders>
            <w:shd w:val="clear" w:color="000000" w:fill="FFFFFF"/>
            <w:noWrap/>
            <w:vAlign w:val="center"/>
            <w:hideMark/>
          </w:tcPr>
          <w:p w14:paraId="0ECA9FAB" w14:textId="77777777" w:rsidR="007B7556" w:rsidRPr="00B52637" w:rsidRDefault="007B7556" w:rsidP="003F2DB7">
            <w:pPr>
              <w:pStyle w:val="ExhibitText"/>
              <w:jc w:val="left"/>
              <w:rPr>
                <w:lang w:val="en-CA"/>
              </w:rPr>
            </w:pPr>
            <w:r w:rsidRPr="00B52637">
              <w:rPr>
                <w:lang w:val="en-CA"/>
              </w:rPr>
              <w:t>Gloves and Mittens</w:t>
            </w:r>
          </w:p>
        </w:tc>
        <w:tc>
          <w:tcPr>
            <w:tcW w:w="1386" w:type="dxa"/>
            <w:tcBorders>
              <w:top w:val="single" w:sz="4" w:space="0" w:color="auto"/>
            </w:tcBorders>
            <w:shd w:val="clear" w:color="000000" w:fill="FFFFFF"/>
            <w:noWrap/>
            <w:vAlign w:val="center"/>
            <w:hideMark/>
          </w:tcPr>
          <w:p w14:paraId="0E5C1075" w14:textId="77777777" w:rsidR="007B7556" w:rsidRPr="00B52637" w:rsidRDefault="007B7556">
            <w:pPr>
              <w:pStyle w:val="ExhibitText"/>
              <w:ind w:right="288"/>
              <w:jc w:val="right"/>
              <w:rPr>
                <w:lang w:val="en-CA"/>
              </w:rPr>
            </w:pPr>
            <w:r w:rsidRPr="00B52637">
              <w:rPr>
                <w:lang w:val="en-CA"/>
              </w:rPr>
              <w:t>60</w:t>
            </w:r>
          </w:p>
        </w:tc>
        <w:tc>
          <w:tcPr>
            <w:tcW w:w="1386" w:type="dxa"/>
            <w:tcBorders>
              <w:top w:val="single" w:sz="4" w:space="0" w:color="auto"/>
            </w:tcBorders>
            <w:shd w:val="clear" w:color="000000" w:fill="FFFFFF"/>
            <w:noWrap/>
            <w:vAlign w:val="center"/>
            <w:hideMark/>
          </w:tcPr>
          <w:p w14:paraId="7CF007DB" w14:textId="77777777" w:rsidR="007B7556" w:rsidRPr="00B52637" w:rsidRDefault="007B7556">
            <w:pPr>
              <w:pStyle w:val="ExhibitText"/>
              <w:ind w:right="288"/>
              <w:jc w:val="right"/>
              <w:rPr>
                <w:lang w:val="en-CA"/>
              </w:rPr>
            </w:pPr>
            <w:r w:rsidRPr="00B52637">
              <w:rPr>
                <w:lang w:val="en-CA"/>
              </w:rPr>
              <w:t>65</w:t>
            </w:r>
          </w:p>
        </w:tc>
        <w:tc>
          <w:tcPr>
            <w:tcW w:w="1386" w:type="dxa"/>
            <w:tcBorders>
              <w:top w:val="single" w:sz="4" w:space="0" w:color="auto"/>
            </w:tcBorders>
            <w:shd w:val="clear" w:color="000000" w:fill="FFFFFF"/>
            <w:noWrap/>
            <w:vAlign w:val="center"/>
            <w:hideMark/>
          </w:tcPr>
          <w:p w14:paraId="1F6A54F8" w14:textId="77777777" w:rsidR="007B7556" w:rsidRPr="00B52637" w:rsidRDefault="007B7556">
            <w:pPr>
              <w:pStyle w:val="ExhibitText"/>
              <w:ind w:right="288"/>
              <w:jc w:val="right"/>
              <w:rPr>
                <w:lang w:val="en-CA"/>
              </w:rPr>
            </w:pPr>
            <w:r w:rsidRPr="00B52637">
              <w:rPr>
                <w:lang w:val="en-CA"/>
              </w:rPr>
              <w:t>29</w:t>
            </w:r>
          </w:p>
        </w:tc>
        <w:tc>
          <w:tcPr>
            <w:tcW w:w="1386" w:type="dxa"/>
            <w:tcBorders>
              <w:top w:val="single" w:sz="4" w:space="0" w:color="auto"/>
            </w:tcBorders>
            <w:shd w:val="clear" w:color="000000" w:fill="FFFFFF"/>
            <w:noWrap/>
            <w:vAlign w:val="center"/>
            <w:hideMark/>
          </w:tcPr>
          <w:p w14:paraId="4D4A8409" w14:textId="77777777" w:rsidR="007B7556" w:rsidRPr="00B52637" w:rsidRDefault="007B7556">
            <w:pPr>
              <w:pStyle w:val="ExhibitText"/>
              <w:ind w:right="288"/>
              <w:jc w:val="right"/>
              <w:rPr>
                <w:lang w:val="en-CA"/>
              </w:rPr>
            </w:pPr>
            <w:r w:rsidRPr="00B52637">
              <w:rPr>
                <w:lang w:val="en-CA"/>
              </w:rPr>
              <w:t>29</w:t>
            </w:r>
          </w:p>
        </w:tc>
        <w:tc>
          <w:tcPr>
            <w:tcW w:w="1386" w:type="dxa"/>
            <w:tcBorders>
              <w:top w:val="single" w:sz="4" w:space="0" w:color="auto"/>
            </w:tcBorders>
            <w:shd w:val="clear" w:color="000000" w:fill="FFFFFF"/>
            <w:noWrap/>
            <w:vAlign w:val="center"/>
            <w:hideMark/>
          </w:tcPr>
          <w:p w14:paraId="3EB83439" w14:textId="77777777" w:rsidR="007B7556" w:rsidRPr="00B52637" w:rsidRDefault="007B7556">
            <w:pPr>
              <w:pStyle w:val="ExhibitText"/>
              <w:ind w:right="288"/>
              <w:jc w:val="right"/>
              <w:rPr>
                <w:lang w:val="en-CA"/>
              </w:rPr>
            </w:pPr>
            <w:r w:rsidRPr="00B52637">
              <w:rPr>
                <w:lang w:val="en-CA"/>
              </w:rPr>
              <w:t>6</w:t>
            </w:r>
          </w:p>
        </w:tc>
      </w:tr>
      <w:tr w:rsidR="00F94A79" w:rsidRPr="00B52637" w14:paraId="651813A7" w14:textId="77777777" w:rsidTr="003F2DB7">
        <w:trPr>
          <w:trHeight w:val="288"/>
          <w:jc w:val="center"/>
        </w:trPr>
        <w:tc>
          <w:tcPr>
            <w:tcW w:w="2430" w:type="dxa"/>
            <w:shd w:val="clear" w:color="000000" w:fill="FFFFFF"/>
            <w:noWrap/>
            <w:vAlign w:val="center"/>
            <w:hideMark/>
          </w:tcPr>
          <w:p w14:paraId="255150BA" w14:textId="77777777" w:rsidR="007B7556" w:rsidRPr="00B52637" w:rsidRDefault="007B7556" w:rsidP="003F2DB7">
            <w:pPr>
              <w:pStyle w:val="ExhibitText"/>
              <w:jc w:val="left"/>
              <w:rPr>
                <w:lang w:val="en-CA"/>
              </w:rPr>
            </w:pPr>
            <w:r w:rsidRPr="00B52637">
              <w:rPr>
                <w:lang w:val="en-CA"/>
              </w:rPr>
              <w:t>Toques</w:t>
            </w:r>
          </w:p>
        </w:tc>
        <w:tc>
          <w:tcPr>
            <w:tcW w:w="1386" w:type="dxa"/>
            <w:shd w:val="clear" w:color="000000" w:fill="FFFFFF"/>
            <w:noWrap/>
            <w:vAlign w:val="center"/>
            <w:hideMark/>
          </w:tcPr>
          <w:p w14:paraId="3B92B2A2" w14:textId="77777777" w:rsidR="007B7556" w:rsidRPr="00B52637" w:rsidRDefault="007B7556">
            <w:pPr>
              <w:pStyle w:val="ExhibitText"/>
              <w:ind w:right="288"/>
              <w:jc w:val="right"/>
              <w:rPr>
                <w:lang w:val="en-CA"/>
              </w:rPr>
            </w:pPr>
            <w:r w:rsidRPr="00B52637">
              <w:rPr>
                <w:lang w:val="en-CA"/>
              </w:rPr>
              <w:t>22</w:t>
            </w:r>
          </w:p>
        </w:tc>
        <w:tc>
          <w:tcPr>
            <w:tcW w:w="1386" w:type="dxa"/>
            <w:shd w:val="clear" w:color="000000" w:fill="FFFFFF"/>
            <w:noWrap/>
            <w:vAlign w:val="center"/>
            <w:hideMark/>
          </w:tcPr>
          <w:p w14:paraId="05DBBA23" w14:textId="77777777" w:rsidR="007B7556" w:rsidRPr="00B52637" w:rsidRDefault="007B7556">
            <w:pPr>
              <w:pStyle w:val="ExhibitText"/>
              <w:ind w:right="288"/>
              <w:jc w:val="right"/>
              <w:rPr>
                <w:lang w:val="en-CA"/>
              </w:rPr>
            </w:pPr>
            <w:r w:rsidRPr="00B52637">
              <w:rPr>
                <w:lang w:val="en-CA"/>
              </w:rPr>
              <w:t>31</w:t>
            </w:r>
          </w:p>
        </w:tc>
        <w:tc>
          <w:tcPr>
            <w:tcW w:w="1386" w:type="dxa"/>
            <w:shd w:val="clear" w:color="000000" w:fill="FFFFFF"/>
            <w:noWrap/>
            <w:vAlign w:val="center"/>
            <w:hideMark/>
          </w:tcPr>
          <w:p w14:paraId="5980768D" w14:textId="77777777" w:rsidR="007B7556" w:rsidRPr="00B52637" w:rsidRDefault="007B7556">
            <w:pPr>
              <w:pStyle w:val="ExhibitText"/>
              <w:ind w:right="288"/>
              <w:jc w:val="right"/>
              <w:rPr>
                <w:lang w:val="en-CA"/>
              </w:rPr>
            </w:pPr>
            <w:r w:rsidRPr="00B52637">
              <w:rPr>
                <w:lang w:val="en-CA"/>
              </w:rPr>
              <w:t>17</w:t>
            </w:r>
          </w:p>
        </w:tc>
        <w:tc>
          <w:tcPr>
            <w:tcW w:w="1386" w:type="dxa"/>
            <w:shd w:val="clear" w:color="000000" w:fill="FFFFFF"/>
            <w:noWrap/>
            <w:vAlign w:val="center"/>
            <w:hideMark/>
          </w:tcPr>
          <w:p w14:paraId="3050F503" w14:textId="77777777" w:rsidR="007B7556" w:rsidRPr="00B52637" w:rsidRDefault="007B7556">
            <w:pPr>
              <w:pStyle w:val="ExhibitText"/>
              <w:ind w:right="288"/>
              <w:jc w:val="right"/>
              <w:rPr>
                <w:lang w:val="en-CA"/>
              </w:rPr>
            </w:pPr>
            <w:r w:rsidRPr="00B52637">
              <w:rPr>
                <w:lang w:val="en-CA"/>
              </w:rPr>
              <w:t>12</w:t>
            </w:r>
          </w:p>
        </w:tc>
        <w:tc>
          <w:tcPr>
            <w:tcW w:w="1386" w:type="dxa"/>
            <w:shd w:val="clear" w:color="000000" w:fill="FFFFFF"/>
            <w:noWrap/>
            <w:vAlign w:val="center"/>
            <w:hideMark/>
          </w:tcPr>
          <w:p w14:paraId="2CD43C3F" w14:textId="77777777" w:rsidR="007B7556" w:rsidRPr="00B52637" w:rsidRDefault="007B7556">
            <w:pPr>
              <w:pStyle w:val="ExhibitText"/>
              <w:ind w:right="288"/>
              <w:jc w:val="right"/>
              <w:rPr>
                <w:lang w:val="en-CA"/>
              </w:rPr>
            </w:pPr>
            <w:r w:rsidRPr="00B52637">
              <w:rPr>
                <w:lang w:val="en-CA"/>
              </w:rPr>
              <w:t>9</w:t>
            </w:r>
          </w:p>
        </w:tc>
      </w:tr>
      <w:tr w:rsidR="00F94A79" w:rsidRPr="00B52637" w14:paraId="38BCCEC3" w14:textId="77777777" w:rsidTr="003F2DB7">
        <w:trPr>
          <w:trHeight w:val="288"/>
          <w:jc w:val="center"/>
        </w:trPr>
        <w:tc>
          <w:tcPr>
            <w:tcW w:w="2430" w:type="dxa"/>
            <w:shd w:val="clear" w:color="000000" w:fill="FFFFFF"/>
            <w:noWrap/>
            <w:vAlign w:val="center"/>
            <w:hideMark/>
          </w:tcPr>
          <w:p w14:paraId="67B6D48B" w14:textId="77777777" w:rsidR="007B7556" w:rsidRPr="00B52637" w:rsidRDefault="007B7556" w:rsidP="003F2DB7">
            <w:pPr>
              <w:pStyle w:val="ExhibitText"/>
              <w:jc w:val="left"/>
              <w:rPr>
                <w:lang w:val="en-CA"/>
              </w:rPr>
            </w:pPr>
            <w:r w:rsidRPr="00B52637">
              <w:rPr>
                <w:lang w:val="en-CA"/>
              </w:rPr>
              <w:t>Accessories</w:t>
            </w:r>
          </w:p>
        </w:tc>
        <w:tc>
          <w:tcPr>
            <w:tcW w:w="1386" w:type="dxa"/>
            <w:shd w:val="clear" w:color="000000" w:fill="FFFFFF"/>
            <w:noWrap/>
            <w:vAlign w:val="center"/>
            <w:hideMark/>
          </w:tcPr>
          <w:p w14:paraId="6C04C165" w14:textId="77777777" w:rsidR="007B7556" w:rsidRPr="00B52637" w:rsidRDefault="007B7556">
            <w:pPr>
              <w:pStyle w:val="ExhibitText"/>
              <w:ind w:right="288"/>
              <w:jc w:val="right"/>
              <w:rPr>
                <w:lang w:val="en-CA"/>
              </w:rPr>
            </w:pPr>
            <w:r w:rsidRPr="00B52637">
              <w:rPr>
                <w:lang w:val="en-CA"/>
              </w:rPr>
              <w:t>24</w:t>
            </w:r>
          </w:p>
        </w:tc>
        <w:tc>
          <w:tcPr>
            <w:tcW w:w="1386" w:type="dxa"/>
            <w:shd w:val="clear" w:color="000000" w:fill="FFFFFF"/>
            <w:noWrap/>
            <w:vAlign w:val="center"/>
            <w:hideMark/>
          </w:tcPr>
          <w:p w14:paraId="0D7C24EC" w14:textId="77777777" w:rsidR="007B7556" w:rsidRPr="00B52637" w:rsidRDefault="007B7556">
            <w:pPr>
              <w:pStyle w:val="ExhibitText"/>
              <w:ind w:right="288"/>
              <w:jc w:val="right"/>
              <w:rPr>
                <w:lang w:val="en-CA"/>
              </w:rPr>
            </w:pPr>
            <w:r w:rsidRPr="00B52637">
              <w:rPr>
                <w:lang w:val="en-CA"/>
              </w:rPr>
              <w:t>24</w:t>
            </w:r>
          </w:p>
        </w:tc>
        <w:tc>
          <w:tcPr>
            <w:tcW w:w="1386" w:type="dxa"/>
            <w:shd w:val="clear" w:color="000000" w:fill="FFFFFF"/>
            <w:noWrap/>
            <w:vAlign w:val="center"/>
            <w:hideMark/>
          </w:tcPr>
          <w:p w14:paraId="6EA1347E" w14:textId="77777777" w:rsidR="007B7556" w:rsidRPr="00B52637" w:rsidRDefault="007B7556">
            <w:pPr>
              <w:pStyle w:val="ExhibitText"/>
              <w:ind w:right="288"/>
              <w:jc w:val="right"/>
              <w:rPr>
                <w:lang w:val="en-CA"/>
              </w:rPr>
            </w:pPr>
            <w:r w:rsidRPr="00B52637">
              <w:rPr>
                <w:lang w:val="en-CA"/>
              </w:rPr>
              <w:t>4</w:t>
            </w:r>
          </w:p>
        </w:tc>
        <w:tc>
          <w:tcPr>
            <w:tcW w:w="1386" w:type="dxa"/>
            <w:shd w:val="clear" w:color="000000" w:fill="FFFFFF"/>
            <w:noWrap/>
            <w:vAlign w:val="center"/>
            <w:hideMark/>
          </w:tcPr>
          <w:p w14:paraId="3967BFE8" w14:textId="77777777" w:rsidR="007B7556" w:rsidRPr="00B52637" w:rsidRDefault="007B7556">
            <w:pPr>
              <w:pStyle w:val="ExhibitText"/>
              <w:ind w:right="288"/>
              <w:jc w:val="right"/>
              <w:rPr>
                <w:lang w:val="en-CA"/>
              </w:rPr>
            </w:pPr>
            <w:r w:rsidRPr="00B52637">
              <w:rPr>
                <w:lang w:val="en-CA"/>
              </w:rPr>
              <w:t>16</w:t>
            </w:r>
          </w:p>
        </w:tc>
        <w:tc>
          <w:tcPr>
            <w:tcW w:w="1386" w:type="dxa"/>
            <w:shd w:val="clear" w:color="000000" w:fill="FFFFFF"/>
            <w:noWrap/>
            <w:vAlign w:val="center"/>
            <w:hideMark/>
          </w:tcPr>
          <w:p w14:paraId="5C3A041E" w14:textId="77777777" w:rsidR="007B7556" w:rsidRPr="00B52637" w:rsidRDefault="007B7556">
            <w:pPr>
              <w:pStyle w:val="ExhibitText"/>
              <w:ind w:right="288"/>
              <w:jc w:val="right"/>
              <w:rPr>
                <w:lang w:val="en-CA"/>
              </w:rPr>
            </w:pPr>
            <w:r w:rsidRPr="00B52637">
              <w:rPr>
                <w:lang w:val="en-CA"/>
              </w:rPr>
              <w:t>14</w:t>
            </w:r>
          </w:p>
        </w:tc>
      </w:tr>
      <w:tr w:rsidR="00F94A79" w:rsidRPr="00B52637" w14:paraId="52C288D5" w14:textId="77777777" w:rsidTr="003F2DB7">
        <w:trPr>
          <w:trHeight w:val="288"/>
          <w:jc w:val="center"/>
        </w:trPr>
        <w:tc>
          <w:tcPr>
            <w:tcW w:w="2430" w:type="dxa"/>
            <w:shd w:val="clear" w:color="000000" w:fill="FFFFFF"/>
            <w:noWrap/>
            <w:vAlign w:val="center"/>
            <w:hideMark/>
          </w:tcPr>
          <w:p w14:paraId="3E54DCD7" w14:textId="53C6F906" w:rsidR="007B7556" w:rsidRPr="00B52637" w:rsidRDefault="007B7556" w:rsidP="003F2DB7">
            <w:pPr>
              <w:pStyle w:val="ExhibitText"/>
              <w:jc w:val="left"/>
              <w:rPr>
                <w:lang w:val="en-CA"/>
              </w:rPr>
            </w:pPr>
            <w:r w:rsidRPr="00B52637">
              <w:rPr>
                <w:lang w:val="en-CA"/>
              </w:rPr>
              <w:t xml:space="preserve">Balaclavas </w:t>
            </w:r>
            <w:r w:rsidR="005C04A0" w:rsidRPr="00B52637">
              <w:rPr>
                <w:lang w:val="en-CA"/>
              </w:rPr>
              <w:t xml:space="preserve">and </w:t>
            </w:r>
            <w:r w:rsidRPr="00B52637">
              <w:rPr>
                <w:lang w:val="en-CA"/>
              </w:rPr>
              <w:t>Masks</w:t>
            </w:r>
          </w:p>
        </w:tc>
        <w:tc>
          <w:tcPr>
            <w:tcW w:w="1386" w:type="dxa"/>
            <w:shd w:val="clear" w:color="000000" w:fill="FFFFFF"/>
            <w:noWrap/>
            <w:vAlign w:val="center"/>
            <w:hideMark/>
          </w:tcPr>
          <w:p w14:paraId="58A90151" w14:textId="77777777" w:rsidR="007B7556" w:rsidRPr="00B52637" w:rsidRDefault="007B7556">
            <w:pPr>
              <w:pStyle w:val="ExhibitText"/>
              <w:ind w:right="288"/>
              <w:jc w:val="right"/>
              <w:rPr>
                <w:lang w:val="en-CA"/>
              </w:rPr>
            </w:pPr>
            <w:r w:rsidRPr="00B52637">
              <w:rPr>
                <w:lang w:val="en-CA"/>
              </w:rPr>
              <w:t>16</w:t>
            </w:r>
          </w:p>
        </w:tc>
        <w:tc>
          <w:tcPr>
            <w:tcW w:w="1386" w:type="dxa"/>
            <w:shd w:val="clear" w:color="000000" w:fill="FFFFFF"/>
            <w:noWrap/>
            <w:vAlign w:val="center"/>
            <w:hideMark/>
          </w:tcPr>
          <w:p w14:paraId="66A458C4" w14:textId="77777777" w:rsidR="007B7556" w:rsidRPr="00B52637" w:rsidRDefault="007B7556">
            <w:pPr>
              <w:pStyle w:val="ExhibitText"/>
              <w:ind w:right="288"/>
              <w:jc w:val="right"/>
              <w:rPr>
                <w:lang w:val="en-CA"/>
              </w:rPr>
            </w:pPr>
            <w:r w:rsidRPr="00B52637">
              <w:rPr>
                <w:lang w:val="en-CA"/>
              </w:rPr>
              <w:t>19</w:t>
            </w:r>
          </w:p>
        </w:tc>
        <w:tc>
          <w:tcPr>
            <w:tcW w:w="1386" w:type="dxa"/>
            <w:shd w:val="clear" w:color="000000" w:fill="FFFFFF"/>
            <w:noWrap/>
            <w:vAlign w:val="center"/>
            <w:hideMark/>
          </w:tcPr>
          <w:p w14:paraId="49EE36F6" w14:textId="77777777" w:rsidR="007B7556" w:rsidRPr="00B52637" w:rsidRDefault="007B7556">
            <w:pPr>
              <w:pStyle w:val="ExhibitText"/>
              <w:ind w:right="288"/>
              <w:jc w:val="right"/>
              <w:rPr>
                <w:lang w:val="en-CA"/>
              </w:rPr>
            </w:pPr>
            <w:r w:rsidRPr="00B52637">
              <w:rPr>
                <w:lang w:val="en-CA"/>
              </w:rPr>
              <w:t>7</w:t>
            </w:r>
          </w:p>
        </w:tc>
        <w:tc>
          <w:tcPr>
            <w:tcW w:w="1386" w:type="dxa"/>
            <w:shd w:val="clear" w:color="000000" w:fill="FFFFFF"/>
            <w:noWrap/>
            <w:vAlign w:val="center"/>
            <w:hideMark/>
          </w:tcPr>
          <w:p w14:paraId="52BF5A73" w14:textId="77777777" w:rsidR="007B7556" w:rsidRPr="00B52637" w:rsidRDefault="007B7556">
            <w:pPr>
              <w:pStyle w:val="ExhibitText"/>
              <w:ind w:right="288"/>
              <w:jc w:val="right"/>
              <w:rPr>
                <w:lang w:val="en-CA"/>
              </w:rPr>
            </w:pPr>
            <w:r w:rsidRPr="00B52637">
              <w:rPr>
                <w:lang w:val="en-CA"/>
              </w:rPr>
              <w:t>6</w:t>
            </w:r>
          </w:p>
        </w:tc>
        <w:tc>
          <w:tcPr>
            <w:tcW w:w="1386" w:type="dxa"/>
            <w:shd w:val="clear" w:color="000000" w:fill="FFFFFF"/>
            <w:noWrap/>
            <w:vAlign w:val="center"/>
            <w:hideMark/>
          </w:tcPr>
          <w:p w14:paraId="11FDDAE0" w14:textId="77777777" w:rsidR="007B7556" w:rsidRPr="00B52637" w:rsidRDefault="007B7556">
            <w:pPr>
              <w:pStyle w:val="ExhibitText"/>
              <w:ind w:right="288"/>
              <w:jc w:val="right"/>
              <w:rPr>
                <w:lang w:val="en-CA"/>
              </w:rPr>
            </w:pPr>
            <w:r w:rsidRPr="00B52637">
              <w:rPr>
                <w:lang w:val="en-CA"/>
              </w:rPr>
              <w:t>0</w:t>
            </w:r>
          </w:p>
        </w:tc>
      </w:tr>
      <w:tr w:rsidR="00F94A79" w:rsidRPr="00B52637" w14:paraId="5C4350D5" w14:textId="77777777" w:rsidTr="003F2DB7">
        <w:trPr>
          <w:trHeight w:val="288"/>
          <w:jc w:val="center"/>
        </w:trPr>
        <w:tc>
          <w:tcPr>
            <w:tcW w:w="2430" w:type="dxa"/>
            <w:shd w:val="clear" w:color="000000" w:fill="FFFFFF"/>
            <w:noWrap/>
            <w:vAlign w:val="center"/>
            <w:hideMark/>
          </w:tcPr>
          <w:p w14:paraId="0C083BD5" w14:textId="77777777" w:rsidR="007B7556" w:rsidRPr="00B52637" w:rsidRDefault="007B7556" w:rsidP="003F2DB7">
            <w:pPr>
              <w:pStyle w:val="ExhibitText"/>
              <w:jc w:val="left"/>
              <w:rPr>
                <w:lang w:val="en-CA"/>
              </w:rPr>
            </w:pPr>
            <w:r w:rsidRPr="00B52637">
              <w:rPr>
                <w:lang w:val="en-CA"/>
              </w:rPr>
              <w:t>Socks</w:t>
            </w:r>
          </w:p>
        </w:tc>
        <w:tc>
          <w:tcPr>
            <w:tcW w:w="1386" w:type="dxa"/>
            <w:shd w:val="clear" w:color="000000" w:fill="FFFFFF"/>
            <w:noWrap/>
            <w:vAlign w:val="center"/>
            <w:hideMark/>
          </w:tcPr>
          <w:p w14:paraId="32EC15CC" w14:textId="77777777" w:rsidR="007B7556" w:rsidRPr="00B52637" w:rsidRDefault="007B7556">
            <w:pPr>
              <w:pStyle w:val="ExhibitText"/>
              <w:ind w:right="288"/>
              <w:jc w:val="right"/>
              <w:rPr>
                <w:lang w:val="en-CA"/>
              </w:rPr>
            </w:pPr>
            <w:r w:rsidRPr="00B52637">
              <w:rPr>
                <w:lang w:val="en-CA"/>
              </w:rPr>
              <w:t>14</w:t>
            </w:r>
          </w:p>
        </w:tc>
        <w:tc>
          <w:tcPr>
            <w:tcW w:w="1386" w:type="dxa"/>
            <w:shd w:val="clear" w:color="000000" w:fill="FFFFFF"/>
            <w:noWrap/>
            <w:vAlign w:val="center"/>
            <w:hideMark/>
          </w:tcPr>
          <w:p w14:paraId="260D0E86" w14:textId="77777777" w:rsidR="007B7556" w:rsidRPr="00B52637" w:rsidRDefault="007B7556">
            <w:pPr>
              <w:pStyle w:val="ExhibitText"/>
              <w:ind w:right="288"/>
              <w:jc w:val="right"/>
              <w:rPr>
                <w:lang w:val="en-CA"/>
              </w:rPr>
            </w:pPr>
            <w:r w:rsidRPr="00B52637">
              <w:rPr>
                <w:lang w:val="en-CA"/>
              </w:rPr>
              <w:t>18</w:t>
            </w:r>
          </w:p>
        </w:tc>
        <w:tc>
          <w:tcPr>
            <w:tcW w:w="1386" w:type="dxa"/>
            <w:shd w:val="clear" w:color="000000" w:fill="FFFFFF"/>
            <w:noWrap/>
            <w:vAlign w:val="center"/>
            <w:hideMark/>
          </w:tcPr>
          <w:p w14:paraId="5DF2F53B" w14:textId="77777777" w:rsidR="007B7556" w:rsidRPr="00B52637" w:rsidRDefault="007B7556">
            <w:pPr>
              <w:pStyle w:val="ExhibitText"/>
              <w:ind w:right="288"/>
              <w:jc w:val="right"/>
              <w:rPr>
                <w:lang w:val="en-CA"/>
              </w:rPr>
            </w:pPr>
            <w:r w:rsidRPr="00B52637">
              <w:rPr>
                <w:lang w:val="en-CA"/>
              </w:rPr>
              <w:t>12</w:t>
            </w:r>
          </w:p>
        </w:tc>
        <w:tc>
          <w:tcPr>
            <w:tcW w:w="1386" w:type="dxa"/>
            <w:shd w:val="clear" w:color="000000" w:fill="FFFFFF"/>
            <w:noWrap/>
            <w:vAlign w:val="center"/>
            <w:hideMark/>
          </w:tcPr>
          <w:p w14:paraId="4CB6CE5F" w14:textId="77777777" w:rsidR="007B7556" w:rsidRPr="00B52637" w:rsidRDefault="007B7556">
            <w:pPr>
              <w:pStyle w:val="ExhibitText"/>
              <w:ind w:right="288"/>
              <w:jc w:val="right"/>
              <w:rPr>
                <w:lang w:val="en-CA"/>
              </w:rPr>
            </w:pPr>
            <w:r w:rsidRPr="00B52637">
              <w:rPr>
                <w:lang w:val="en-CA"/>
              </w:rPr>
              <w:t>12</w:t>
            </w:r>
          </w:p>
        </w:tc>
        <w:tc>
          <w:tcPr>
            <w:tcW w:w="1386" w:type="dxa"/>
            <w:shd w:val="clear" w:color="000000" w:fill="FFFFFF"/>
            <w:noWrap/>
            <w:vAlign w:val="center"/>
            <w:hideMark/>
          </w:tcPr>
          <w:p w14:paraId="1C17E89B" w14:textId="77777777" w:rsidR="007B7556" w:rsidRPr="00B52637" w:rsidRDefault="007B7556">
            <w:pPr>
              <w:pStyle w:val="ExhibitText"/>
              <w:ind w:right="288"/>
              <w:jc w:val="right"/>
              <w:rPr>
                <w:lang w:val="en-CA"/>
              </w:rPr>
            </w:pPr>
            <w:r w:rsidRPr="00B52637">
              <w:rPr>
                <w:lang w:val="en-CA"/>
              </w:rPr>
              <w:t>6</w:t>
            </w:r>
          </w:p>
        </w:tc>
      </w:tr>
      <w:tr w:rsidR="00F94A79" w:rsidRPr="00B52637" w14:paraId="1AF3C757" w14:textId="77777777" w:rsidTr="003F2DB7">
        <w:trPr>
          <w:trHeight w:val="288"/>
          <w:jc w:val="center"/>
        </w:trPr>
        <w:tc>
          <w:tcPr>
            <w:tcW w:w="2430" w:type="dxa"/>
            <w:shd w:val="clear" w:color="000000" w:fill="FFFFFF"/>
            <w:noWrap/>
            <w:vAlign w:val="center"/>
            <w:hideMark/>
          </w:tcPr>
          <w:p w14:paraId="1D80E302" w14:textId="77777777" w:rsidR="007B7556" w:rsidRPr="00B52637" w:rsidRDefault="007B7556" w:rsidP="003F2DB7">
            <w:pPr>
              <w:pStyle w:val="ExhibitText"/>
              <w:jc w:val="left"/>
              <w:rPr>
                <w:lang w:val="en-CA"/>
              </w:rPr>
            </w:pPr>
            <w:r w:rsidRPr="00B52637">
              <w:rPr>
                <w:lang w:val="en-CA"/>
              </w:rPr>
              <w:t>Base Layers</w:t>
            </w:r>
          </w:p>
        </w:tc>
        <w:tc>
          <w:tcPr>
            <w:tcW w:w="1386" w:type="dxa"/>
            <w:shd w:val="clear" w:color="000000" w:fill="FFFFFF"/>
            <w:noWrap/>
            <w:vAlign w:val="center"/>
            <w:hideMark/>
          </w:tcPr>
          <w:p w14:paraId="74917F37" w14:textId="77777777" w:rsidR="007B7556" w:rsidRPr="00B52637" w:rsidRDefault="007B7556">
            <w:pPr>
              <w:pStyle w:val="ExhibitText"/>
              <w:ind w:right="288"/>
              <w:jc w:val="right"/>
              <w:rPr>
                <w:lang w:val="en-CA"/>
              </w:rPr>
            </w:pPr>
            <w:r w:rsidRPr="00B52637">
              <w:rPr>
                <w:lang w:val="en-CA"/>
              </w:rPr>
              <w:t>13</w:t>
            </w:r>
          </w:p>
        </w:tc>
        <w:tc>
          <w:tcPr>
            <w:tcW w:w="1386" w:type="dxa"/>
            <w:shd w:val="clear" w:color="000000" w:fill="FFFFFF"/>
            <w:noWrap/>
            <w:vAlign w:val="center"/>
            <w:hideMark/>
          </w:tcPr>
          <w:p w14:paraId="0CCA69BA" w14:textId="77777777" w:rsidR="007B7556" w:rsidRPr="00B52637" w:rsidRDefault="007B7556">
            <w:pPr>
              <w:pStyle w:val="ExhibitText"/>
              <w:ind w:right="288"/>
              <w:jc w:val="right"/>
              <w:rPr>
                <w:lang w:val="en-CA"/>
              </w:rPr>
            </w:pPr>
            <w:r w:rsidRPr="00B52637">
              <w:rPr>
                <w:lang w:val="en-CA"/>
              </w:rPr>
              <w:t>17</w:t>
            </w:r>
          </w:p>
        </w:tc>
        <w:tc>
          <w:tcPr>
            <w:tcW w:w="1386" w:type="dxa"/>
            <w:shd w:val="clear" w:color="000000" w:fill="FFFFFF"/>
            <w:noWrap/>
            <w:vAlign w:val="center"/>
            <w:hideMark/>
          </w:tcPr>
          <w:p w14:paraId="4C46CB14" w14:textId="77777777" w:rsidR="007B7556" w:rsidRPr="00B52637" w:rsidRDefault="007B7556">
            <w:pPr>
              <w:pStyle w:val="ExhibitText"/>
              <w:ind w:right="288"/>
              <w:jc w:val="right"/>
              <w:rPr>
                <w:lang w:val="en-CA"/>
              </w:rPr>
            </w:pPr>
            <w:r w:rsidRPr="00B52637">
              <w:rPr>
                <w:lang w:val="en-CA"/>
              </w:rPr>
              <w:t>7</w:t>
            </w:r>
          </w:p>
        </w:tc>
        <w:tc>
          <w:tcPr>
            <w:tcW w:w="1386" w:type="dxa"/>
            <w:shd w:val="clear" w:color="000000" w:fill="FFFFFF"/>
            <w:noWrap/>
            <w:vAlign w:val="center"/>
            <w:hideMark/>
          </w:tcPr>
          <w:p w14:paraId="52E9952E" w14:textId="77777777" w:rsidR="007B7556" w:rsidRPr="00B52637" w:rsidRDefault="007B7556">
            <w:pPr>
              <w:pStyle w:val="ExhibitText"/>
              <w:ind w:right="288"/>
              <w:jc w:val="right"/>
              <w:rPr>
                <w:lang w:val="en-CA"/>
              </w:rPr>
            </w:pPr>
            <w:r w:rsidRPr="00B52637">
              <w:rPr>
                <w:lang w:val="en-CA"/>
              </w:rPr>
              <w:t>7</w:t>
            </w:r>
          </w:p>
        </w:tc>
        <w:tc>
          <w:tcPr>
            <w:tcW w:w="1386" w:type="dxa"/>
            <w:shd w:val="clear" w:color="000000" w:fill="FFFFFF"/>
            <w:noWrap/>
            <w:vAlign w:val="center"/>
            <w:hideMark/>
          </w:tcPr>
          <w:p w14:paraId="660CFA86" w14:textId="77777777" w:rsidR="007B7556" w:rsidRPr="00B52637" w:rsidRDefault="007B7556">
            <w:pPr>
              <w:pStyle w:val="ExhibitText"/>
              <w:ind w:right="288"/>
              <w:jc w:val="right"/>
              <w:rPr>
                <w:lang w:val="en-CA"/>
              </w:rPr>
            </w:pPr>
            <w:r w:rsidRPr="00B52637">
              <w:rPr>
                <w:lang w:val="en-CA"/>
              </w:rPr>
              <w:t>0</w:t>
            </w:r>
          </w:p>
        </w:tc>
      </w:tr>
      <w:tr w:rsidR="00F94A79" w:rsidRPr="00B52637" w14:paraId="066A7B52" w14:textId="77777777" w:rsidTr="003F2DB7">
        <w:trPr>
          <w:trHeight w:val="288"/>
          <w:jc w:val="center"/>
        </w:trPr>
        <w:tc>
          <w:tcPr>
            <w:tcW w:w="2430" w:type="dxa"/>
            <w:shd w:val="clear" w:color="000000" w:fill="FFFFFF"/>
            <w:noWrap/>
            <w:vAlign w:val="center"/>
            <w:hideMark/>
          </w:tcPr>
          <w:p w14:paraId="15331439" w14:textId="02615BBE" w:rsidR="007B7556" w:rsidRPr="00B52637" w:rsidRDefault="007B7556" w:rsidP="003F2DB7">
            <w:pPr>
              <w:pStyle w:val="ExhibitText"/>
              <w:jc w:val="left"/>
              <w:rPr>
                <w:lang w:val="en-CA"/>
              </w:rPr>
            </w:pPr>
            <w:r w:rsidRPr="00B52637">
              <w:rPr>
                <w:lang w:val="en-CA"/>
              </w:rPr>
              <w:t>Turtle</w:t>
            </w:r>
            <w:r w:rsidR="00F94A79" w:rsidRPr="00B52637">
              <w:rPr>
                <w:lang w:val="en-CA"/>
              </w:rPr>
              <w:t>n</w:t>
            </w:r>
            <w:r w:rsidRPr="00B52637">
              <w:rPr>
                <w:lang w:val="en-CA"/>
              </w:rPr>
              <w:t>ecks</w:t>
            </w:r>
          </w:p>
        </w:tc>
        <w:tc>
          <w:tcPr>
            <w:tcW w:w="1386" w:type="dxa"/>
            <w:shd w:val="clear" w:color="000000" w:fill="FFFFFF"/>
            <w:noWrap/>
            <w:vAlign w:val="center"/>
            <w:hideMark/>
          </w:tcPr>
          <w:p w14:paraId="639B8A59" w14:textId="77777777" w:rsidR="007B7556" w:rsidRPr="00B52637" w:rsidRDefault="007B7556">
            <w:pPr>
              <w:pStyle w:val="ExhibitText"/>
              <w:ind w:right="288"/>
              <w:jc w:val="right"/>
              <w:rPr>
                <w:lang w:val="en-CA"/>
              </w:rPr>
            </w:pPr>
            <w:r w:rsidRPr="00B52637">
              <w:rPr>
                <w:lang w:val="en-CA"/>
              </w:rPr>
              <w:t>2</w:t>
            </w:r>
          </w:p>
        </w:tc>
        <w:tc>
          <w:tcPr>
            <w:tcW w:w="1386" w:type="dxa"/>
            <w:shd w:val="clear" w:color="000000" w:fill="FFFFFF"/>
            <w:noWrap/>
            <w:vAlign w:val="center"/>
            <w:hideMark/>
          </w:tcPr>
          <w:p w14:paraId="611768A6" w14:textId="77777777" w:rsidR="007B7556" w:rsidRPr="00B52637" w:rsidRDefault="007B7556">
            <w:pPr>
              <w:pStyle w:val="ExhibitText"/>
              <w:ind w:right="288"/>
              <w:jc w:val="right"/>
              <w:rPr>
                <w:lang w:val="en-CA"/>
              </w:rPr>
            </w:pPr>
            <w:r w:rsidRPr="00B52637">
              <w:rPr>
                <w:lang w:val="en-CA"/>
              </w:rPr>
              <w:t>2</w:t>
            </w:r>
          </w:p>
        </w:tc>
        <w:tc>
          <w:tcPr>
            <w:tcW w:w="1386" w:type="dxa"/>
            <w:shd w:val="clear" w:color="000000" w:fill="FFFFFF"/>
            <w:noWrap/>
            <w:vAlign w:val="center"/>
            <w:hideMark/>
          </w:tcPr>
          <w:p w14:paraId="5A168CDB" w14:textId="77777777" w:rsidR="007B7556" w:rsidRPr="00B52637" w:rsidRDefault="007B7556">
            <w:pPr>
              <w:pStyle w:val="ExhibitText"/>
              <w:ind w:right="288"/>
              <w:jc w:val="right"/>
              <w:rPr>
                <w:lang w:val="en-CA"/>
              </w:rPr>
            </w:pPr>
            <w:r w:rsidRPr="00B52637">
              <w:rPr>
                <w:lang w:val="en-CA"/>
              </w:rPr>
              <w:t>0</w:t>
            </w:r>
          </w:p>
        </w:tc>
        <w:tc>
          <w:tcPr>
            <w:tcW w:w="1386" w:type="dxa"/>
            <w:shd w:val="clear" w:color="000000" w:fill="FFFFFF"/>
            <w:noWrap/>
            <w:vAlign w:val="center"/>
            <w:hideMark/>
          </w:tcPr>
          <w:p w14:paraId="2E26A49F" w14:textId="77777777" w:rsidR="007B7556" w:rsidRPr="00B52637" w:rsidRDefault="007B7556">
            <w:pPr>
              <w:pStyle w:val="ExhibitText"/>
              <w:ind w:right="288"/>
              <w:jc w:val="right"/>
              <w:rPr>
                <w:lang w:val="en-CA"/>
              </w:rPr>
            </w:pPr>
            <w:r w:rsidRPr="00B52637">
              <w:rPr>
                <w:lang w:val="en-CA"/>
              </w:rPr>
              <w:t>0</w:t>
            </w:r>
          </w:p>
        </w:tc>
        <w:tc>
          <w:tcPr>
            <w:tcW w:w="1386" w:type="dxa"/>
            <w:shd w:val="clear" w:color="000000" w:fill="FFFFFF"/>
            <w:noWrap/>
            <w:vAlign w:val="center"/>
            <w:hideMark/>
          </w:tcPr>
          <w:p w14:paraId="1B86334B" w14:textId="77777777" w:rsidR="007B7556" w:rsidRPr="00B52637" w:rsidRDefault="007B7556">
            <w:pPr>
              <w:pStyle w:val="ExhibitText"/>
              <w:ind w:right="288"/>
              <w:jc w:val="right"/>
              <w:rPr>
                <w:lang w:val="en-CA"/>
              </w:rPr>
            </w:pPr>
            <w:r w:rsidRPr="00B52637">
              <w:rPr>
                <w:lang w:val="en-CA"/>
              </w:rPr>
              <w:t>0</w:t>
            </w:r>
          </w:p>
        </w:tc>
      </w:tr>
    </w:tbl>
    <w:p w14:paraId="6A0DD21D" w14:textId="3EA78B43" w:rsidR="004013AD" w:rsidRPr="00B52637" w:rsidRDefault="004013AD" w:rsidP="003F2DB7">
      <w:pPr>
        <w:pStyle w:val="ExhibitText"/>
        <w:rPr>
          <w:rFonts w:eastAsia="Calibri"/>
          <w:lang w:val="en-CA"/>
        </w:rPr>
      </w:pPr>
    </w:p>
    <w:p w14:paraId="26734BFC" w14:textId="534C408B" w:rsidR="004013AD" w:rsidRPr="00B52637" w:rsidRDefault="004013AD" w:rsidP="00CC02EB">
      <w:pPr>
        <w:pStyle w:val="Footnote"/>
        <w:rPr>
          <w:rFonts w:eastAsia="Calibri"/>
          <w:lang w:val="en-CA"/>
        </w:rPr>
      </w:pPr>
      <w:r w:rsidRPr="00B52637">
        <w:rPr>
          <w:rFonts w:eastAsia="Calibri"/>
          <w:lang w:val="en-CA"/>
        </w:rPr>
        <w:t xml:space="preserve">Source: </w:t>
      </w:r>
      <w:r w:rsidR="005108DA" w:rsidRPr="00B52637">
        <w:rPr>
          <w:rFonts w:eastAsia="Calibri"/>
          <w:lang w:val="en-CA"/>
        </w:rPr>
        <w:t>“</w:t>
      </w:r>
      <w:r w:rsidR="005C04A0" w:rsidRPr="00B52637">
        <w:rPr>
          <w:rFonts w:eastAsia="Calibri"/>
          <w:lang w:val="en-CA"/>
        </w:rPr>
        <w:t>C</w:t>
      </w:r>
      <w:r w:rsidRPr="00B52637">
        <w:rPr>
          <w:rFonts w:eastAsia="Calibri"/>
          <w:lang w:val="en-CA"/>
        </w:rPr>
        <w:t>ollections</w:t>
      </w:r>
      <w:r w:rsidR="005C04A0" w:rsidRPr="00B52637">
        <w:rPr>
          <w:rFonts w:eastAsia="Calibri"/>
          <w:lang w:val="en-CA"/>
        </w:rPr>
        <w:t>,</w:t>
      </w:r>
      <w:r w:rsidR="005108DA" w:rsidRPr="00B52637">
        <w:rPr>
          <w:rFonts w:eastAsia="Calibri"/>
          <w:lang w:val="en-CA"/>
        </w:rPr>
        <w:t>”</w:t>
      </w:r>
      <w:r w:rsidRPr="00B52637">
        <w:rPr>
          <w:rFonts w:eastAsia="Calibri"/>
          <w:lang w:val="en-CA"/>
        </w:rPr>
        <w:t xml:space="preserve"> Kombi, accessed March 1, 2020, https://shop.Kombicanada.com/collections.</w:t>
      </w:r>
    </w:p>
    <w:p w14:paraId="58F47D0E" w14:textId="77777777" w:rsidR="00106473" w:rsidRPr="00B52637" w:rsidRDefault="00106473" w:rsidP="003F2DB7">
      <w:pPr>
        <w:pStyle w:val="ExhibitText"/>
        <w:rPr>
          <w:rFonts w:eastAsia="Calibri"/>
          <w:lang w:val="en-CA"/>
        </w:rPr>
      </w:pPr>
    </w:p>
    <w:p w14:paraId="46C8B6BB" w14:textId="77777777" w:rsidR="00106473" w:rsidRPr="00B52637" w:rsidRDefault="00106473" w:rsidP="003F2DB7">
      <w:pPr>
        <w:pStyle w:val="ExhibitText"/>
        <w:rPr>
          <w:rFonts w:eastAsia="Calibri"/>
          <w:lang w:val="en-CA"/>
        </w:rPr>
      </w:pPr>
    </w:p>
    <w:p w14:paraId="746CEE7E" w14:textId="2F54FD19" w:rsidR="00676EEE" w:rsidRPr="00B52637" w:rsidRDefault="00676EEE" w:rsidP="00676EEE">
      <w:pPr>
        <w:pStyle w:val="ExhibitHeading"/>
        <w:rPr>
          <w:rFonts w:eastAsia="Calibri"/>
          <w:lang w:val="en-CA"/>
        </w:rPr>
      </w:pPr>
      <w:r w:rsidRPr="00B52637">
        <w:rPr>
          <w:rFonts w:eastAsia="Calibri"/>
          <w:lang w:val="en-CA"/>
        </w:rPr>
        <w:t xml:space="preserve">EXHIBIT </w:t>
      </w:r>
      <w:r w:rsidR="008C340D" w:rsidRPr="00B52637">
        <w:rPr>
          <w:rFonts w:eastAsia="Calibri"/>
          <w:lang w:val="en-CA"/>
        </w:rPr>
        <w:t>7</w:t>
      </w:r>
      <w:r w:rsidRPr="00B52637">
        <w:rPr>
          <w:rFonts w:eastAsia="Calibri"/>
          <w:lang w:val="en-CA"/>
        </w:rPr>
        <w:t>: Kombi Product COLLECTIONS</w:t>
      </w:r>
    </w:p>
    <w:p w14:paraId="51978725" w14:textId="77777777" w:rsidR="00A05DFB" w:rsidRPr="00B52637" w:rsidRDefault="00A05DFB" w:rsidP="003F2DB7">
      <w:pPr>
        <w:pStyle w:val="ExhibitText"/>
        <w:rPr>
          <w:rFonts w:eastAsia="Calibri"/>
          <w:lang w:val="en-CA"/>
        </w:rPr>
      </w:pPr>
    </w:p>
    <w:tbl>
      <w:tblPr>
        <w:tblStyle w:val="TableGrid"/>
        <w:tblW w:w="5000" w:type="pct"/>
        <w:tblBorders>
          <w:left w:val="none" w:sz="0" w:space="0" w:color="auto"/>
          <w:right w:val="none" w:sz="0" w:space="0" w:color="auto"/>
          <w:insideH w:val="none" w:sz="0" w:space="0" w:color="auto"/>
          <w:insideV w:val="none" w:sz="0" w:space="0" w:color="auto"/>
        </w:tblBorders>
        <w:tblCellMar>
          <w:top w:w="58" w:type="dxa"/>
          <w:bottom w:w="58" w:type="dxa"/>
        </w:tblCellMar>
        <w:tblLook w:val="04A0" w:firstRow="1" w:lastRow="0" w:firstColumn="1" w:lastColumn="0" w:noHBand="0" w:noVBand="1"/>
      </w:tblPr>
      <w:tblGrid>
        <w:gridCol w:w="4680"/>
        <w:gridCol w:w="4680"/>
      </w:tblGrid>
      <w:tr w:rsidR="005C04A0" w:rsidRPr="00B52637" w14:paraId="0FDAAA5B" w14:textId="77777777" w:rsidTr="003F2DB7">
        <w:trPr>
          <w:trHeight w:val="288"/>
        </w:trPr>
        <w:tc>
          <w:tcPr>
            <w:tcW w:w="4680" w:type="dxa"/>
            <w:tcBorders>
              <w:top w:val="single" w:sz="4" w:space="0" w:color="auto"/>
              <w:bottom w:val="single" w:sz="4" w:space="0" w:color="auto"/>
              <w:right w:val="single" w:sz="4" w:space="0" w:color="auto"/>
            </w:tcBorders>
            <w:vAlign w:val="center"/>
          </w:tcPr>
          <w:p w14:paraId="28BB0D41" w14:textId="1B531177" w:rsidR="005C04A0" w:rsidRPr="00B52637" w:rsidRDefault="005C04A0" w:rsidP="001520D3">
            <w:pPr>
              <w:pStyle w:val="ExhibitText"/>
              <w:jc w:val="center"/>
              <w:rPr>
                <w:rFonts w:eastAsia="Calibri"/>
                <w:b/>
                <w:bCs/>
                <w:lang w:val="en-CA"/>
              </w:rPr>
            </w:pPr>
            <w:r w:rsidRPr="00B52637">
              <w:rPr>
                <w:rFonts w:eastAsia="Calibri"/>
                <w:b/>
                <w:bCs/>
                <w:lang w:val="en-CA"/>
              </w:rPr>
              <w:t>For Adults</w:t>
            </w:r>
          </w:p>
        </w:tc>
        <w:tc>
          <w:tcPr>
            <w:tcW w:w="4680" w:type="dxa"/>
            <w:tcBorders>
              <w:top w:val="single" w:sz="4" w:space="0" w:color="auto"/>
              <w:left w:val="single" w:sz="4" w:space="0" w:color="auto"/>
              <w:bottom w:val="single" w:sz="4" w:space="0" w:color="auto"/>
            </w:tcBorders>
            <w:vAlign w:val="center"/>
          </w:tcPr>
          <w:p w14:paraId="2AF83A20" w14:textId="313266C7" w:rsidR="005C04A0" w:rsidRPr="00B52637" w:rsidRDefault="005C04A0" w:rsidP="001520D3">
            <w:pPr>
              <w:pStyle w:val="ExhibitText"/>
              <w:jc w:val="center"/>
              <w:rPr>
                <w:rFonts w:eastAsia="Calibri"/>
                <w:b/>
                <w:bCs/>
                <w:lang w:val="en-CA"/>
              </w:rPr>
            </w:pPr>
            <w:r w:rsidRPr="00B52637">
              <w:rPr>
                <w:rFonts w:eastAsia="Calibri"/>
                <w:b/>
                <w:bCs/>
                <w:lang w:val="en-CA"/>
              </w:rPr>
              <w:t>For Juniors, Children, and Infants</w:t>
            </w:r>
          </w:p>
        </w:tc>
      </w:tr>
      <w:tr w:rsidR="00A05DFB" w:rsidRPr="00B52637" w14:paraId="0A59BB2D" w14:textId="77777777" w:rsidTr="003F2DB7">
        <w:trPr>
          <w:trHeight w:val="288"/>
        </w:trPr>
        <w:tc>
          <w:tcPr>
            <w:tcW w:w="4680" w:type="dxa"/>
            <w:tcBorders>
              <w:top w:val="single" w:sz="4" w:space="0" w:color="auto"/>
              <w:right w:val="single" w:sz="4" w:space="0" w:color="auto"/>
            </w:tcBorders>
            <w:vAlign w:val="center"/>
          </w:tcPr>
          <w:p w14:paraId="0D82AE94" w14:textId="2A601569" w:rsidR="00A05DFB" w:rsidRPr="00B52637" w:rsidRDefault="00A05DFB" w:rsidP="005C04A0">
            <w:pPr>
              <w:pStyle w:val="ExhibitText"/>
              <w:numPr>
                <w:ilvl w:val="0"/>
                <w:numId w:val="30"/>
              </w:numPr>
              <w:jc w:val="left"/>
              <w:rPr>
                <w:rFonts w:eastAsia="Calibri"/>
                <w:lang w:val="en-CA"/>
              </w:rPr>
            </w:pPr>
            <w:r w:rsidRPr="00B52637">
              <w:rPr>
                <w:rFonts w:eastAsia="Calibri"/>
                <w:i/>
                <w:iCs/>
                <w:lang w:val="en-CA"/>
              </w:rPr>
              <w:t>Elite Collection</w:t>
            </w:r>
            <w:r w:rsidR="005C04A0" w:rsidRPr="00B52637">
              <w:rPr>
                <w:rFonts w:eastAsia="Calibri"/>
                <w:i/>
                <w:iCs/>
                <w:lang w:val="en-CA"/>
              </w:rPr>
              <w:t>—</w:t>
            </w:r>
            <w:r w:rsidRPr="00B52637">
              <w:rPr>
                <w:rFonts w:eastAsia="Calibri"/>
                <w:lang w:val="en-CA"/>
              </w:rPr>
              <w:t>premium athletic performance</w:t>
            </w:r>
          </w:p>
          <w:p w14:paraId="69700ABA" w14:textId="5A65AB58" w:rsidR="00A05DFB" w:rsidRPr="00B52637" w:rsidRDefault="00A05DFB" w:rsidP="005C04A0">
            <w:pPr>
              <w:pStyle w:val="ExhibitText"/>
              <w:numPr>
                <w:ilvl w:val="0"/>
                <w:numId w:val="30"/>
              </w:numPr>
              <w:jc w:val="left"/>
              <w:rPr>
                <w:rFonts w:eastAsia="Calibri"/>
                <w:lang w:val="en-CA"/>
              </w:rPr>
            </w:pPr>
            <w:r w:rsidRPr="00B52637">
              <w:rPr>
                <w:rFonts w:eastAsia="Calibri"/>
                <w:i/>
                <w:iCs/>
                <w:lang w:val="en-CA"/>
              </w:rPr>
              <w:t>Multi Collection</w:t>
            </w:r>
            <w:r w:rsidR="005C04A0" w:rsidRPr="00B52637">
              <w:rPr>
                <w:rFonts w:eastAsia="Calibri"/>
                <w:i/>
                <w:iCs/>
                <w:lang w:val="en-CA"/>
              </w:rPr>
              <w:t>—</w:t>
            </w:r>
            <w:r w:rsidRPr="00B52637">
              <w:rPr>
                <w:rFonts w:eastAsia="Calibri"/>
                <w:lang w:val="en-CA"/>
              </w:rPr>
              <w:t>wide range of styles</w:t>
            </w:r>
            <w:r w:rsidR="005C04A0" w:rsidRPr="00B52637">
              <w:rPr>
                <w:rFonts w:eastAsia="Calibri"/>
                <w:lang w:val="en-CA"/>
              </w:rPr>
              <w:t xml:space="preserve"> </w:t>
            </w:r>
            <w:r w:rsidRPr="00B52637">
              <w:rPr>
                <w:rFonts w:eastAsia="Calibri"/>
                <w:lang w:val="en-CA"/>
              </w:rPr>
              <w:t>depending on the weather</w:t>
            </w:r>
          </w:p>
          <w:p w14:paraId="0A586CCC" w14:textId="6024A834" w:rsidR="00A05DFB" w:rsidRPr="00B52637" w:rsidRDefault="00A05DFB" w:rsidP="005C04A0">
            <w:pPr>
              <w:pStyle w:val="ExhibitText"/>
              <w:numPr>
                <w:ilvl w:val="0"/>
                <w:numId w:val="30"/>
              </w:numPr>
              <w:jc w:val="left"/>
              <w:rPr>
                <w:rFonts w:eastAsia="Calibri"/>
                <w:lang w:val="en-CA"/>
              </w:rPr>
            </w:pPr>
            <w:r w:rsidRPr="00B52637">
              <w:rPr>
                <w:rFonts w:eastAsia="Calibri"/>
                <w:i/>
                <w:iCs/>
                <w:lang w:val="en-CA"/>
              </w:rPr>
              <w:t>Metro Collection</w:t>
            </w:r>
            <w:r w:rsidR="005C04A0" w:rsidRPr="00B52637">
              <w:rPr>
                <w:rFonts w:eastAsia="Calibri"/>
                <w:i/>
                <w:iCs/>
                <w:lang w:val="en-CA"/>
              </w:rPr>
              <w:t>—</w:t>
            </w:r>
            <w:r w:rsidRPr="00B52637">
              <w:rPr>
                <w:rFonts w:eastAsia="Calibri"/>
                <w:lang w:val="en-CA"/>
              </w:rPr>
              <w:t xml:space="preserve">urban </w:t>
            </w:r>
            <w:r w:rsidR="005A3891" w:rsidRPr="00B52637">
              <w:rPr>
                <w:rFonts w:eastAsia="Calibri"/>
                <w:lang w:val="en-CA"/>
              </w:rPr>
              <w:t>a</w:t>
            </w:r>
            <w:r w:rsidRPr="00B52637">
              <w:rPr>
                <w:rFonts w:eastAsia="Calibri"/>
                <w:lang w:val="en-CA"/>
              </w:rPr>
              <w:t>esthetic</w:t>
            </w:r>
          </w:p>
          <w:p w14:paraId="1FE69138" w14:textId="4D071D73" w:rsidR="00A05DFB" w:rsidRPr="00B52637" w:rsidRDefault="00A05DFB" w:rsidP="003F2DB7">
            <w:pPr>
              <w:pStyle w:val="ExhibitText"/>
              <w:numPr>
                <w:ilvl w:val="0"/>
                <w:numId w:val="30"/>
              </w:numPr>
              <w:jc w:val="left"/>
              <w:rPr>
                <w:rFonts w:eastAsia="Calibri"/>
                <w:lang w:val="en-CA"/>
              </w:rPr>
            </w:pPr>
            <w:r w:rsidRPr="00B52637">
              <w:rPr>
                <w:rFonts w:eastAsia="Calibri"/>
                <w:i/>
                <w:iCs/>
                <w:lang w:val="en-CA"/>
              </w:rPr>
              <w:t>Active Collection</w:t>
            </w:r>
            <w:r w:rsidR="005C04A0" w:rsidRPr="00B52637">
              <w:rPr>
                <w:rFonts w:eastAsia="Calibri"/>
                <w:i/>
                <w:iCs/>
                <w:lang w:val="en-CA"/>
              </w:rPr>
              <w:t>—</w:t>
            </w:r>
            <w:r w:rsidRPr="00B52637">
              <w:rPr>
                <w:rFonts w:eastAsia="Calibri"/>
                <w:lang w:val="en-CA"/>
              </w:rPr>
              <w:t xml:space="preserve">lightweight, breathable activewear </w:t>
            </w:r>
          </w:p>
        </w:tc>
        <w:tc>
          <w:tcPr>
            <w:tcW w:w="4680" w:type="dxa"/>
            <w:tcBorders>
              <w:top w:val="single" w:sz="4" w:space="0" w:color="auto"/>
              <w:left w:val="single" w:sz="4" w:space="0" w:color="auto"/>
              <w:bottom w:val="single" w:sz="4" w:space="0" w:color="auto"/>
            </w:tcBorders>
            <w:vAlign w:val="center"/>
          </w:tcPr>
          <w:p w14:paraId="66C2BF0E" w14:textId="7489017A" w:rsidR="00A05DFB" w:rsidRPr="00B52637" w:rsidRDefault="00A05DFB" w:rsidP="005C04A0">
            <w:pPr>
              <w:pStyle w:val="ExhibitText"/>
              <w:numPr>
                <w:ilvl w:val="0"/>
                <w:numId w:val="30"/>
              </w:numPr>
              <w:jc w:val="left"/>
              <w:rPr>
                <w:rFonts w:eastAsia="Calibri"/>
                <w:lang w:val="en-CA"/>
              </w:rPr>
            </w:pPr>
            <w:r w:rsidRPr="00B52637">
              <w:rPr>
                <w:rFonts w:eastAsia="Calibri"/>
                <w:lang w:val="en-CA"/>
              </w:rPr>
              <w:t>Ski Collection</w:t>
            </w:r>
          </w:p>
          <w:p w14:paraId="5828698E" w14:textId="7A246966" w:rsidR="00A05DFB" w:rsidRPr="00B52637" w:rsidRDefault="00A05DFB" w:rsidP="005C04A0">
            <w:pPr>
              <w:pStyle w:val="ExhibitText"/>
              <w:numPr>
                <w:ilvl w:val="0"/>
                <w:numId w:val="30"/>
              </w:numPr>
              <w:jc w:val="left"/>
              <w:rPr>
                <w:rFonts w:eastAsia="Calibri"/>
                <w:lang w:val="en-CA"/>
              </w:rPr>
            </w:pPr>
            <w:r w:rsidRPr="00B52637">
              <w:rPr>
                <w:rFonts w:eastAsia="Calibri"/>
                <w:lang w:val="en-CA"/>
              </w:rPr>
              <w:t>Play Collection</w:t>
            </w:r>
          </w:p>
          <w:p w14:paraId="216654E3" w14:textId="19590FD4" w:rsidR="00A05DFB" w:rsidRPr="00B52637" w:rsidRDefault="00A05DFB" w:rsidP="005C04A0">
            <w:pPr>
              <w:pStyle w:val="ExhibitText"/>
              <w:numPr>
                <w:ilvl w:val="0"/>
                <w:numId w:val="30"/>
              </w:numPr>
              <w:jc w:val="left"/>
              <w:rPr>
                <w:rFonts w:eastAsia="Calibri"/>
                <w:lang w:val="en-CA"/>
              </w:rPr>
            </w:pPr>
            <w:r w:rsidRPr="00B52637">
              <w:rPr>
                <w:rFonts w:eastAsia="Calibri"/>
                <w:lang w:val="en-CA"/>
              </w:rPr>
              <w:t>Baby Animal Collection</w:t>
            </w:r>
          </w:p>
          <w:p w14:paraId="6DD35C4F" w14:textId="6E759728" w:rsidR="00A05DFB" w:rsidRPr="00B52637" w:rsidRDefault="00A05DFB" w:rsidP="005C04A0">
            <w:pPr>
              <w:pStyle w:val="ExhibitText"/>
              <w:numPr>
                <w:ilvl w:val="0"/>
                <w:numId w:val="30"/>
              </w:numPr>
              <w:jc w:val="left"/>
              <w:rPr>
                <w:rFonts w:eastAsia="Calibri"/>
                <w:lang w:val="en-CA"/>
              </w:rPr>
            </w:pPr>
            <w:r w:rsidRPr="00B52637">
              <w:rPr>
                <w:rFonts w:eastAsia="Calibri"/>
                <w:lang w:val="en-CA"/>
              </w:rPr>
              <w:t>Animal Family Collection</w:t>
            </w:r>
          </w:p>
          <w:p w14:paraId="6089265A" w14:textId="667C381E" w:rsidR="00A05DFB" w:rsidRPr="00B52637" w:rsidRDefault="00A05DFB" w:rsidP="005C04A0">
            <w:pPr>
              <w:pStyle w:val="ExhibitText"/>
              <w:numPr>
                <w:ilvl w:val="0"/>
                <w:numId w:val="30"/>
              </w:numPr>
              <w:jc w:val="left"/>
              <w:rPr>
                <w:rFonts w:eastAsia="Calibri"/>
                <w:lang w:val="en-CA"/>
              </w:rPr>
            </w:pPr>
            <w:r w:rsidRPr="00B52637">
              <w:rPr>
                <w:rFonts w:eastAsia="Calibri"/>
                <w:lang w:val="en-CA"/>
              </w:rPr>
              <w:t>Imaginary Friends Collection</w:t>
            </w:r>
          </w:p>
          <w:p w14:paraId="6B5DD8F9" w14:textId="6671C9DD" w:rsidR="00A05DFB" w:rsidRPr="00B52637" w:rsidRDefault="00A05DFB" w:rsidP="003F2DB7">
            <w:pPr>
              <w:pStyle w:val="ExhibitText"/>
              <w:numPr>
                <w:ilvl w:val="0"/>
                <w:numId w:val="30"/>
              </w:numPr>
              <w:jc w:val="left"/>
              <w:rPr>
                <w:rFonts w:eastAsia="Calibri"/>
                <w:lang w:val="en-CA"/>
              </w:rPr>
            </w:pPr>
            <w:r w:rsidRPr="00B52637">
              <w:rPr>
                <w:rFonts w:eastAsia="Calibri"/>
                <w:lang w:val="en-CA"/>
              </w:rPr>
              <w:t xml:space="preserve">Candy Man Collection </w:t>
            </w:r>
          </w:p>
        </w:tc>
      </w:tr>
    </w:tbl>
    <w:p w14:paraId="5132A9F2" w14:textId="77777777" w:rsidR="00C76CCC" w:rsidRPr="00B52637" w:rsidRDefault="00C76CCC" w:rsidP="003F2DB7">
      <w:pPr>
        <w:pStyle w:val="ExhibitText"/>
        <w:rPr>
          <w:rFonts w:eastAsia="Calibri"/>
          <w:lang w:val="en-CA"/>
        </w:rPr>
      </w:pPr>
    </w:p>
    <w:p w14:paraId="5035CBD3" w14:textId="33AF12E4" w:rsidR="00676EEE" w:rsidRPr="00B52637" w:rsidRDefault="00676EEE" w:rsidP="003F2DB7">
      <w:pPr>
        <w:pStyle w:val="Footnote"/>
        <w:rPr>
          <w:rFonts w:eastAsia="Calibri"/>
          <w:lang w:val="en-CA"/>
        </w:rPr>
      </w:pPr>
      <w:r w:rsidRPr="00B52637">
        <w:rPr>
          <w:rFonts w:eastAsia="Calibri"/>
          <w:lang w:val="en-CA"/>
        </w:rPr>
        <w:t xml:space="preserve">Source: </w:t>
      </w:r>
      <w:r w:rsidR="005108DA" w:rsidRPr="00B52637">
        <w:rPr>
          <w:rFonts w:eastAsia="Calibri"/>
          <w:lang w:val="en-CA"/>
        </w:rPr>
        <w:t>“</w:t>
      </w:r>
      <w:r w:rsidRPr="00B52637">
        <w:rPr>
          <w:rFonts w:eastAsia="Calibri"/>
          <w:lang w:val="en-CA"/>
        </w:rPr>
        <w:t>Women, Men, Juniors, Children, Infants,</w:t>
      </w:r>
      <w:r w:rsidR="005108DA" w:rsidRPr="00B52637">
        <w:rPr>
          <w:rFonts w:eastAsia="Calibri"/>
          <w:lang w:val="en-CA"/>
        </w:rPr>
        <w:t>”</w:t>
      </w:r>
      <w:r w:rsidRPr="00B52637">
        <w:rPr>
          <w:rFonts w:eastAsia="Calibri"/>
          <w:lang w:val="en-CA"/>
        </w:rPr>
        <w:t xml:space="preserve"> Kombi</w:t>
      </w:r>
      <w:r w:rsidR="005C04A0" w:rsidRPr="00B52637">
        <w:rPr>
          <w:rFonts w:eastAsia="Calibri"/>
          <w:lang w:val="en-CA"/>
        </w:rPr>
        <w:t xml:space="preserve">, </w:t>
      </w:r>
      <w:r w:rsidRPr="00B52637">
        <w:rPr>
          <w:rFonts w:eastAsia="Calibri"/>
          <w:lang w:val="en-CA"/>
        </w:rPr>
        <w:t>accessed February 3, 2020, www.KombiCanada.com.</w:t>
      </w:r>
    </w:p>
    <w:p w14:paraId="2CE8CE8A" w14:textId="38BE9E5F" w:rsidR="00C76CCC" w:rsidRPr="00B52637" w:rsidRDefault="00C76CCC">
      <w:pPr>
        <w:spacing w:after="200" w:line="276" w:lineRule="auto"/>
        <w:rPr>
          <w:rFonts w:eastAsia="Calibri"/>
        </w:rPr>
        <w:sectPr w:rsidR="00C76CCC" w:rsidRPr="00B52637" w:rsidSect="000578FF">
          <w:headerReference w:type="default" r:id="rId12"/>
          <w:endnotePr>
            <w:numFmt w:val="decimal"/>
          </w:endnotePr>
          <w:pgSz w:w="12240" w:h="15840" w:code="1"/>
          <w:pgMar w:top="1080" w:right="1440" w:bottom="1440" w:left="1440" w:header="1080" w:footer="720" w:gutter="0"/>
          <w:cols w:space="720"/>
          <w:titlePg/>
          <w:docGrid w:linePitch="360"/>
        </w:sectPr>
      </w:pPr>
      <w:r w:rsidRPr="00B52637">
        <w:rPr>
          <w:rFonts w:eastAsia="Calibri"/>
        </w:rPr>
        <w:br w:type="page"/>
      </w:r>
    </w:p>
    <w:p w14:paraId="1A0FEE15" w14:textId="34E61215" w:rsidR="005438B2" w:rsidRPr="00B52637" w:rsidRDefault="004013AD" w:rsidP="005438B2">
      <w:pPr>
        <w:pStyle w:val="ExhibitHeading"/>
        <w:rPr>
          <w:rFonts w:eastAsia="Calibri"/>
          <w:bCs/>
          <w:lang w:val="en-CA"/>
        </w:rPr>
      </w:pPr>
      <w:r w:rsidRPr="00B52637">
        <w:rPr>
          <w:rFonts w:eastAsia="Calibri"/>
          <w:lang w:val="en-CA"/>
        </w:rPr>
        <w:lastRenderedPageBreak/>
        <w:t xml:space="preserve">EXHIBIT </w:t>
      </w:r>
      <w:r w:rsidR="008C340D" w:rsidRPr="00B52637">
        <w:rPr>
          <w:rFonts w:eastAsia="Calibri"/>
          <w:lang w:val="en-CA"/>
        </w:rPr>
        <w:t>8</w:t>
      </w:r>
      <w:r w:rsidRPr="00B52637">
        <w:rPr>
          <w:rFonts w:eastAsia="Calibri"/>
          <w:lang w:val="en-CA"/>
        </w:rPr>
        <w:t xml:space="preserve">: </w:t>
      </w:r>
      <w:r w:rsidR="005438B2" w:rsidRPr="00B52637">
        <w:rPr>
          <w:rFonts w:eastAsia="Calibri"/>
          <w:bCs/>
          <w:lang w:val="en-CA"/>
        </w:rPr>
        <w:t>Kombi Product Mix by Collection and Highest Priced Item per Collection</w:t>
      </w:r>
    </w:p>
    <w:p w14:paraId="005E5A60" w14:textId="77777777" w:rsidR="007E2162" w:rsidRPr="00B52637" w:rsidRDefault="007E2162" w:rsidP="003F2DB7">
      <w:pPr>
        <w:pStyle w:val="ExhibitText"/>
        <w:rPr>
          <w:rFonts w:eastAsia="Calibri"/>
          <w:lang w:val="en-CA"/>
        </w:rPr>
      </w:pPr>
    </w:p>
    <w:p w14:paraId="432A79B7" w14:textId="54D59C3D" w:rsidR="004013AD" w:rsidRPr="00B52637" w:rsidRDefault="007E2162" w:rsidP="003F2DB7">
      <w:pPr>
        <w:pStyle w:val="ExhibitText"/>
        <w:rPr>
          <w:rFonts w:eastAsia="Calibri"/>
          <w:lang w:val="en-CA"/>
        </w:rPr>
      </w:pPr>
      <w:r w:rsidRPr="00B52637">
        <w:rPr>
          <w:noProof/>
          <w:lang w:val="en-CA" w:eastAsia="en-CA"/>
        </w:rPr>
        <w:drawing>
          <wp:inline distT="0" distB="0" distL="0" distR="0" wp14:anchorId="21D7A8F4" wp14:editId="791B2B7F">
            <wp:extent cx="8229600" cy="4674063"/>
            <wp:effectExtent l="0" t="0" r="0" b="12700"/>
            <wp:docPr id="2" name="Chart 2">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CB77E0" w14:textId="77777777" w:rsidR="007E2162" w:rsidRPr="00B52637" w:rsidRDefault="007E2162" w:rsidP="003F2DB7">
      <w:pPr>
        <w:pStyle w:val="ExhibitText"/>
        <w:rPr>
          <w:rFonts w:eastAsia="Calibri"/>
          <w:lang w:val="en-CA"/>
        </w:rPr>
      </w:pPr>
    </w:p>
    <w:p w14:paraId="741485B4" w14:textId="22FEA40F" w:rsidR="001E4521" w:rsidRPr="00B52637" w:rsidRDefault="001E4521" w:rsidP="001E4521">
      <w:pPr>
        <w:pStyle w:val="Footnote"/>
        <w:rPr>
          <w:rFonts w:eastAsia="Calibri"/>
          <w:lang w:val="en-CA"/>
        </w:rPr>
      </w:pPr>
      <w:r w:rsidRPr="00B52637">
        <w:rPr>
          <w:rFonts w:eastAsia="Calibri"/>
          <w:lang w:val="en-CA"/>
        </w:rPr>
        <w:t xml:space="preserve">Note: * Collection does not include hats, </w:t>
      </w:r>
      <w:r w:rsidR="007E2162" w:rsidRPr="00B52637">
        <w:rPr>
          <w:rFonts w:eastAsia="Calibri"/>
          <w:lang w:val="en-CA"/>
        </w:rPr>
        <w:t>b</w:t>
      </w:r>
      <w:r w:rsidRPr="00B52637">
        <w:rPr>
          <w:rFonts w:eastAsia="Calibri"/>
          <w:lang w:val="en-CA"/>
        </w:rPr>
        <w:t xml:space="preserve">alaclavas </w:t>
      </w:r>
      <w:r w:rsidR="007E2162" w:rsidRPr="00B52637">
        <w:rPr>
          <w:rFonts w:eastAsia="Calibri"/>
          <w:lang w:val="en-CA"/>
        </w:rPr>
        <w:t>and m</w:t>
      </w:r>
      <w:r w:rsidRPr="00B52637">
        <w:rPr>
          <w:rFonts w:eastAsia="Calibri"/>
          <w:lang w:val="en-CA"/>
        </w:rPr>
        <w:t xml:space="preserve">asks, or </w:t>
      </w:r>
      <w:r w:rsidR="007E2162" w:rsidRPr="00B52637">
        <w:rPr>
          <w:rFonts w:eastAsia="Calibri"/>
          <w:lang w:val="en-CA"/>
        </w:rPr>
        <w:t>a</w:t>
      </w:r>
      <w:r w:rsidRPr="00B52637">
        <w:rPr>
          <w:rFonts w:eastAsia="Calibri"/>
          <w:lang w:val="en-CA"/>
        </w:rPr>
        <w:t xml:space="preserve">ccessories; ** Collection does not include </w:t>
      </w:r>
      <w:r w:rsidR="007E2162" w:rsidRPr="00B52637">
        <w:rPr>
          <w:rFonts w:eastAsia="Calibri"/>
          <w:lang w:val="en-CA"/>
        </w:rPr>
        <w:t>b</w:t>
      </w:r>
      <w:r w:rsidRPr="00B52637">
        <w:rPr>
          <w:rFonts w:eastAsia="Calibri"/>
          <w:lang w:val="en-CA"/>
        </w:rPr>
        <w:t xml:space="preserve">alaclavas </w:t>
      </w:r>
      <w:r w:rsidR="007E2162" w:rsidRPr="00B52637">
        <w:rPr>
          <w:rFonts w:eastAsia="Calibri"/>
          <w:lang w:val="en-CA"/>
        </w:rPr>
        <w:t>and m</w:t>
      </w:r>
      <w:r w:rsidRPr="00B52637">
        <w:rPr>
          <w:rFonts w:eastAsia="Calibri"/>
          <w:lang w:val="en-CA"/>
        </w:rPr>
        <w:t xml:space="preserve">asks, or </w:t>
      </w:r>
      <w:r w:rsidR="007E2162" w:rsidRPr="00B52637">
        <w:rPr>
          <w:rFonts w:eastAsia="Calibri"/>
          <w:lang w:val="en-CA"/>
        </w:rPr>
        <w:t>a</w:t>
      </w:r>
      <w:r w:rsidRPr="00B52637">
        <w:rPr>
          <w:rFonts w:eastAsia="Calibri"/>
          <w:lang w:val="en-CA"/>
        </w:rPr>
        <w:t xml:space="preserve">ccessories; *** Collection does not include </w:t>
      </w:r>
      <w:r w:rsidR="007E2162" w:rsidRPr="00B52637">
        <w:rPr>
          <w:rFonts w:eastAsia="Calibri"/>
          <w:lang w:val="en-CA"/>
        </w:rPr>
        <w:t>a</w:t>
      </w:r>
      <w:r w:rsidRPr="00B52637">
        <w:rPr>
          <w:rFonts w:eastAsia="Calibri"/>
          <w:lang w:val="en-CA"/>
        </w:rPr>
        <w:t>ccessories.</w:t>
      </w:r>
    </w:p>
    <w:p w14:paraId="65BC8A60" w14:textId="3F4F1889" w:rsidR="00BF5A1A" w:rsidRPr="00B52637" w:rsidRDefault="006E176B" w:rsidP="006E176B">
      <w:pPr>
        <w:pStyle w:val="Footnote"/>
        <w:rPr>
          <w:rFonts w:eastAsia="Calibri"/>
          <w:lang w:val="en-CA"/>
        </w:rPr>
        <w:sectPr w:rsidR="00BF5A1A" w:rsidRPr="00B52637" w:rsidSect="00A30ACB">
          <w:endnotePr>
            <w:numFmt w:val="decimal"/>
          </w:endnotePr>
          <w:pgSz w:w="15840" w:h="12240" w:orient="landscape" w:code="1"/>
          <w:pgMar w:top="1440" w:right="1440" w:bottom="1440" w:left="1440" w:header="1080" w:footer="720" w:gutter="0"/>
          <w:cols w:space="720"/>
          <w:docGrid w:linePitch="360"/>
        </w:sectPr>
      </w:pPr>
      <w:r w:rsidRPr="00B52637">
        <w:rPr>
          <w:rFonts w:eastAsia="Calibri"/>
          <w:lang w:val="en-CA"/>
        </w:rPr>
        <w:t xml:space="preserve">Source: </w:t>
      </w:r>
      <w:r w:rsidR="005108DA" w:rsidRPr="00B52637">
        <w:rPr>
          <w:rFonts w:eastAsia="Calibri"/>
          <w:lang w:val="en-CA"/>
        </w:rPr>
        <w:t>“</w:t>
      </w:r>
      <w:r w:rsidR="007E2162" w:rsidRPr="00B52637">
        <w:rPr>
          <w:rFonts w:eastAsia="Calibri"/>
          <w:lang w:val="en-CA"/>
        </w:rPr>
        <w:t>C</w:t>
      </w:r>
      <w:r w:rsidR="004013AD" w:rsidRPr="00B52637">
        <w:rPr>
          <w:rFonts w:eastAsia="Calibri"/>
          <w:lang w:val="en-CA"/>
        </w:rPr>
        <w:t>ollections</w:t>
      </w:r>
      <w:r w:rsidR="007E2162" w:rsidRPr="00B52637">
        <w:rPr>
          <w:rFonts w:eastAsia="Calibri"/>
          <w:lang w:val="en-CA"/>
        </w:rPr>
        <w:t>,</w:t>
      </w:r>
      <w:r w:rsidR="005108DA" w:rsidRPr="00B52637">
        <w:rPr>
          <w:rFonts w:eastAsia="Calibri"/>
          <w:lang w:val="en-CA"/>
        </w:rPr>
        <w:t>”</w:t>
      </w:r>
      <w:r w:rsidR="004013AD" w:rsidRPr="00B52637">
        <w:rPr>
          <w:rFonts w:eastAsia="Calibri"/>
          <w:lang w:val="en-CA"/>
        </w:rPr>
        <w:t xml:space="preserve"> Kombi, accessed March 1, 2020, https://shop.Kombicanada.com/collections.</w:t>
      </w:r>
    </w:p>
    <w:p w14:paraId="64ADBD39" w14:textId="31D8E1EC" w:rsidR="008D5963" w:rsidRPr="00B52637" w:rsidRDefault="008D5963" w:rsidP="008D5963">
      <w:pPr>
        <w:pStyle w:val="ExhibitHeading"/>
        <w:rPr>
          <w:rFonts w:eastAsia="Calibri"/>
          <w:lang w:val="en-CA"/>
        </w:rPr>
      </w:pPr>
      <w:r w:rsidRPr="00B52637">
        <w:rPr>
          <w:rFonts w:eastAsia="Calibri"/>
          <w:lang w:val="en-CA"/>
        </w:rPr>
        <w:lastRenderedPageBreak/>
        <w:t xml:space="preserve">EXHIBIT </w:t>
      </w:r>
      <w:r w:rsidR="008C340D" w:rsidRPr="00B52637">
        <w:rPr>
          <w:rFonts w:eastAsia="Calibri"/>
          <w:lang w:val="en-CA"/>
        </w:rPr>
        <w:t>9</w:t>
      </w:r>
      <w:r w:rsidRPr="00B52637">
        <w:rPr>
          <w:rFonts w:eastAsia="Calibri"/>
          <w:lang w:val="en-CA"/>
        </w:rPr>
        <w:t>: Price Comparison for Windproof, Waterproof, Winter Gloves</w:t>
      </w:r>
    </w:p>
    <w:p w14:paraId="784111F7" w14:textId="77777777" w:rsidR="008D5963" w:rsidRPr="00B52637" w:rsidRDefault="008D5963" w:rsidP="003F2DB7">
      <w:pPr>
        <w:pStyle w:val="ExhibitText"/>
        <w:rPr>
          <w:rFonts w:eastAsia="Calibri"/>
          <w:lang w:val="en-CA"/>
        </w:rPr>
      </w:pPr>
    </w:p>
    <w:tbl>
      <w:tblPr>
        <w:tblStyle w:val="TableGrid1"/>
        <w:tblW w:w="5000" w:type="pct"/>
        <w:jc w:val="center"/>
        <w:tblBorders>
          <w:left w:val="none" w:sz="0" w:space="0" w:color="auto"/>
          <w:right w:val="none" w:sz="0" w:space="0" w:color="auto"/>
          <w:insideH w:val="none" w:sz="0" w:space="0" w:color="auto"/>
          <w:insideV w:val="none" w:sz="0" w:space="0" w:color="auto"/>
        </w:tblBorders>
        <w:tblCellMar>
          <w:top w:w="58" w:type="dxa"/>
          <w:bottom w:w="58" w:type="dxa"/>
        </w:tblCellMar>
        <w:tblLook w:val="04A0" w:firstRow="1" w:lastRow="0" w:firstColumn="1" w:lastColumn="0" w:noHBand="0" w:noVBand="1"/>
      </w:tblPr>
      <w:tblGrid>
        <w:gridCol w:w="1440"/>
        <w:gridCol w:w="1980"/>
        <w:gridCol w:w="1980"/>
        <w:gridCol w:w="1980"/>
        <w:gridCol w:w="1980"/>
      </w:tblGrid>
      <w:tr w:rsidR="008D5963" w:rsidRPr="00B52637" w14:paraId="46A08B9A" w14:textId="77777777" w:rsidTr="00004BEA">
        <w:trPr>
          <w:trHeight w:val="288"/>
          <w:jc w:val="center"/>
        </w:trPr>
        <w:tc>
          <w:tcPr>
            <w:tcW w:w="1440" w:type="dxa"/>
            <w:tcBorders>
              <w:top w:val="single" w:sz="4" w:space="0" w:color="auto"/>
              <w:bottom w:val="single" w:sz="4" w:space="0" w:color="auto"/>
            </w:tcBorders>
            <w:vAlign w:val="center"/>
          </w:tcPr>
          <w:p w14:paraId="735B1DE6" w14:textId="685FE4B0" w:rsidR="008D5963" w:rsidRPr="00B52637" w:rsidRDefault="008D5963" w:rsidP="00004BEA">
            <w:pPr>
              <w:pStyle w:val="ExhibitText"/>
              <w:jc w:val="left"/>
              <w:rPr>
                <w:rFonts w:eastAsia="Calibri"/>
                <w:b/>
                <w:bCs/>
                <w:lang w:val="en-CA"/>
              </w:rPr>
            </w:pPr>
          </w:p>
        </w:tc>
        <w:tc>
          <w:tcPr>
            <w:tcW w:w="1980" w:type="dxa"/>
            <w:tcBorders>
              <w:top w:val="single" w:sz="4" w:space="0" w:color="auto"/>
              <w:bottom w:val="single" w:sz="4" w:space="0" w:color="auto"/>
            </w:tcBorders>
            <w:vAlign w:val="center"/>
          </w:tcPr>
          <w:p w14:paraId="0996F36C" w14:textId="77777777" w:rsidR="008D5963" w:rsidRPr="00B52637" w:rsidRDefault="008D5963" w:rsidP="00004BEA">
            <w:pPr>
              <w:pStyle w:val="ExhibitText"/>
              <w:jc w:val="left"/>
              <w:rPr>
                <w:rFonts w:eastAsia="Calibri"/>
                <w:b/>
                <w:bCs/>
                <w:lang w:val="en-CA"/>
              </w:rPr>
            </w:pPr>
            <w:r w:rsidRPr="00B52637">
              <w:rPr>
                <w:rFonts w:eastAsia="Calibri"/>
                <w:b/>
                <w:bCs/>
                <w:lang w:val="en-CA"/>
              </w:rPr>
              <w:t>The North Face</w:t>
            </w:r>
          </w:p>
        </w:tc>
        <w:tc>
          <w:tcPr>
            <w:tcW w:w="1980" w:type="dxa"/>
            <w:tcBorders>
              <w:top w:val="single" w:sz="4" w:space="0" w:color="auto"/>
              <w:bottom w:val="single" w:sz="4" w:space="0" w:color="auto"/>
            </w:tcBorders>
            <w:vAlign w:val="center"/>
          </w:tcPr>
          <w:p w14:paraId="7F053B3D" w14:textId="77777777" w:rsidR="008D5963" w:rsidRPr="00B52637" w:rsidRDefault="008D5963" w:rsidP="00004BEA">
            <w:pPr>
              <w:pStyle w:val="ExhibitText"/>
              <w:jc w:val="left"/>
              <w:rPr>
                <w:rFonts w:eastAsia="Calibri"/>
                <w:b/>
                <w:bCs/>
                <w:lang w:val="en-CA"/>
              </w:rPr>
            </w:pPr>
            <w:r w:rsidRPr="00B52637">
              <w:rPr>
                <w:rFonts w:eastAsia="Calibri"/>
                <w:b/>
                <w:bCs/>
                <w:lang w:val="en-CA"/>
              </w:rPr>
              <w:t>MEC</w:t>
            </w:r>
          </w:p>
        </w:tc>
        <w:tc>
          <w:tcPr>
            <w:tcW w:w="1980" w:type="dxa"/>
            <w:tcBorders>
              <w:top w:val="single" w:sz="4" w:space="0" w:color="auto"/>
              <w:bottom w:val="single" w:sz="4" w:space="0" w:color="auto"/>
            </w:tcBorders>
            <w:vAlign w:val="center"/>
          </w:tcPr>
          <w:p w14:paraId="06BE9E88" w14:textId="77777777" w:rsidR="008D5963" w:rsidRPr="00B52637" w:rsidRDefault="008D5963" w:rsidP="00004BEA">
            <w:pPr>
              <w:pStyle w:val="ExhibitText"/>
              <w:jc w:val="left"/>
              <w:rPr>
                <w:rFonts w:eastAsia="Calibri"/>
                <w:b/>
                <w:bCs/>
                <w:lang w:val="en-CA"/>
              </w:rPr>
            </w:pPr>
            <w:r w:rsidRPr="00B52637">
              <w:rPr>
                <w:rFonts w:eastAsia="Calibri"/>
                <w:b/>
                <w:bCs/>
                <w:lang w:val="en-CA"/>
              </w:rPr>
              <w:t>Kombi</w:t>
            </w:r>
          </w:p>
        </w:tc>
        <w:tc>
          <w:tcPr>
            <w:tcW w:w="1980" w:type="dxa"/>
            <w:tcBorders>
              <w:top w:val="single" w:sz="4" w:space="0" w:color="auto"/>
              <w:bottom w:val="single" w:sz="4" w:space="0" w:color="auto"/>
            </w:tcBorders>
            <w:vAlign w:val="center"/>
          </w:tcPr>
          <w:p w14:paraId="59D47530" w14:textId="77777777" w:rsidR="008D5963" w:rsidRPr="00B52637" w:rsidRDefault="008D5963" w:rsidP="00004BEA">
            <w:pPr>
              <w:pStyle w:val="ExhibitText"/>
              <w:jc w:val="left"/>
              <w:rPr>
                <w:rFonts w:eastAsia="Calibri"/>
                <w:b/>
                <w:bCs/>
                <w:lang w:val="en-CA"/>
              </w:rPr>
            </w:pPr>
            <w:proofErr w:type="spellStart"/>
            <w:r w:rsidRPr="00B52637">
              <w:rPr>
                <w:rFonts w:eastAsia="Calibri"/>
                <w:b/>
                <w:bCs/>
                <w:lang w:val="en-CA"/>
              </w:rPr>
              <w:t>Swany</w:t>
            </w:r>
            <w:proofErr w:type="spellEnd"/>
          </w:p>
        </w:tc>
      </w:tr>
      <w:tr w:rsidR="008D5963" w:rsidRPr="00B52637" w14:paraId="12EBF3A1" w14:textId="77777777" w:rsidTr="00004BEA">
        <w:trPr>
          <w:trHeight w:val="288"/>
          <w:jc w:val="center"/>
        </w:trPr>
        <w:tc>
          <w:tcPr>
            <w:tcW w:w="1440" w:type="dxa"/>
            <w:tcBorders>
              <w:top w:val="single" w:sz="4" w:space="0" w:color="auto"/>
              <w:bottom w:val="dotted" w:sz="4" w:space="0" w:color="auto"/>
            </w:tcBorders>
            <w:vAlign w:val="center"/>
          </w:tcPr>
          <w:p w14:paraId="181872A2" w14:textId="77777777" w:rsidR="008D5963" w:rsidRPr="00B52637" w:rsidRDefault="008D5963" w:rsidP="00004BEA">
            <w:pPr>
              <w:pStyle w:val="ExhibitText"/>
              <w:jc w:val="left"/>
              <w:rPr>
                <w:rFonts w:eastAsia="Calibri"/>
                <w:lang w:val="en-CA"/>
              </w:rPr>
            </w:pPr>
            <w:r w:rsidRPr="00B52637">
              <w:rPr>
                <w:rFonts w:eastAsia="Calibri"/>
                <w:lang w:val="en-CA"/>
              </w:rPr>
              <w:t>Glove</w:t>
            </w:r>
          </w:p>
        </w:tc>
        <w:tc>
          <w:tcPr>
            <w:tcW w:w="1980" w:type="dxa"/>
            <w:tcBorders>
              <w:top w:val="single" w:sz="4" w:space="0" w:color="auto"/>
              <w:bottom w:val="dotted" w:sz="4" w:space="0" w:color="auto"/>
            </w:tcBorders>
            <w:vAlign w:val="center"/>
          </w:tcPr>
          <w:p w14:paraId="7CF2629A" w14:textId="31CD66C5" w:rsidR="008D5963" w:rsidRPr="00B52637" w:rsidRDefault="008D5963" w:rsidP="00004BEA">
            <w:pPr>
              <w:pStyle w:val="ExhibitText"/>
              <w:jc w:val="left"/>
              <w:rPr>
                <w:rFonts w:eastAsia="Calibri"/>
                <w:i/>
                <w:iCs/>
                <w:lang w:val="en-CA"/>
              </w:rPr>
            </w:pPr>
            <w:r w:rsidRPr="00B52637">
              <w:rPr>
                <w:rFonts w:eastAsia="Calibri"/>
                <w:i/>
                <w:iCs/>
                <w:lang w:val="en-CA"/>
              </w:rPr>
              <w:t xml:space="preserve">Montana </w:t>
            </w:r>
            <w:proofErr w:type="spellStart"/>
            <w:r w:rsidRPr="00B52637">
              <w:rPr>
                <w:rFonts w:eastAsia="Calibri"/>
                <w:i/>
                <w:iCs/>
                <w:lang w:val="en-CA"/>
              </w:rPr>
              <w:t>Futurelight</w:t>
            </w:r>
            <w:proofErr w:type="spellEnd"/>
            <w:r w:rsidRPr="00B52637">
              <w:rPr>
                <w:rFonts w:eastAsia="Calibri"/>
                <w:i/>
                <w:iCs/>
                <w:lang w:val="en-CA"/>
              </w:rPr>
              <w:t xml:space="preserve"> </w:t>
            </w:r>
            <w:r w:rsidR="00004BEA" w:rsidRPr="00B52637">
              <w:rPr>
                <w:rFonts w:eastAsia="Calibri"/>
                <w:i/>
                <w:iCs/>
                <w:lang w:val="en-CA"/>
              </w:rPr>
              <w:t>e-T</w:t>
            </w:r>
            <w:r w:rsidRPr="00B52637">
              <w:rPr>
                <w:rFonts w:eastAsia="Calibri"/>
                <w:i/>
                <w:iCs/>
                <w:lang w:val="en-CA"/>
              </w:rPr>
              <w:t>ip</w:t>
            </w:r>
          </w:p>
        </w:tc>
        <w:tc>
          <w:tcPr>
            <w:tcW w:w="1980" w:type="dxa"/>
            <w:tcBorders>
              <w:top w:val="single" w:sz="4" w:space="0" w:color="auto"/>
              <w:bottom w:val="dotted" w:sz="4" w:space="0" w:color="auto"/>
            </w:tcBorders>
            <w:vAlign w:val="center"/>
          </w:tcPr>
          <w:p w14:paraId="79BD9F29" w14:textId="77777777" w:rsidR="008D5963" w:rsidRPr="00B52637" w:rsidRDefault="008D5963" w:rsidP="00004BEA">
            <w:pPr>
              <w:pStyle w:val="ExhibitText"/>
              <w:jc w:val="left"/>
              <w:rPr>
                <w:rFonts w:eastAsia="Calibri"/>
                <w:i/>
                <w:iCs/>
                <w:lang w:val="en-CA"/>
              </w:rPr>
            </w:pPr>
            <w:r w:rsidRPr="00B52637">
              <w:rPr>
                <w:rFonts w:eastAsia="Calibri"/>
                <w:i/>
                <w:iCs/>
                <w:lang w:val="en-CA"/>
              </w:rPr>
              <w:t>Icefields</w:t>
            </w:r>
          </w:p>
        </w:tc>
        <w:tc>
          <w:tcPr>
            <w:tcW w:w="1980" w:type="dxa"/>
            <w:tcBorders>
              <w:top w:val="single" w:sz="4" w:space="0" w:color="auto"/>
              <w:bottom w:val="dotted" w:sz="4" w:space="0" w:color="auto"/>
            </w:tcBorders>
            <w:vAlign w:val="center"/>
          </w:tcPr>
          <w:p w14:paraId="7A8FD36A" w14:textId="77777777" w:rsidR="008D5963" w:rsidRPr="00B52637" w:rsidRDefault="008D5963" w:rsidP="00004BEA">
            <w:pPr>
              <w:pStyle w:val="ExhibitText"/>
              <w:jc w:val="left"/>
              <w:rPr>
                <w:rFonts w:eastAsia="Calibri"/>
                <w:i/>
                <w:iCs/>
                <w:lang w:val="en-CA"/>
              </w:rPr>
            </w:pPr>
            <w:r w:rsidRPr="00B52637">
              <w:rPr>
                <w:rFonts w:eastAsia="Calibri"/>
                <w:i/>
                <w:iCs/>
                <w:lang w:val="en-CA"/>
              </w:rPr>
              <w:t>Timeless</w:t>
            </w:r>
          </w:p>
        </w:tc>
        <w:tc>
          <w:tcPr>
            <w:tcW w:w="1980" w:type="dxa"/>
            <w:tcBorders>
              <w:top w:val="single" w:sz="4" w:space="0" w:color="auto"/>
              <w:bottom w:val="dotted" w:sz="4" w:space="0" w:color="auto"/>
            </w:tcBorders>
            <w:vAlign w:val="center"/>
          </w:tcPr>
          <w:p w14:paraId="7AAE7C85" w14:textId="77777777" w:rsidR="008D5963" w:rsidRPr="00B52637" w:rsidRDefault="008D5963" w:rsidP="00004BEA">
            <w:pPr>
              <w:pStyle w:val="ExhibitText"/>
              <w:jc w:val="left"/>
              <w:rPr>
                <w:rFonts w:eastAsia="Calibri"/>
                <w:i/>
                <w:iCs/>
                <w:lang w:val="en-CA"/>
              </w:rPr>
            </w:pPr>
            <w:r w:rsidRPr="00B52637">
              <w:rPr>
                <w:rFonts w:eastAsia="Calibri"/>
                <w:i/>
                <w:iCs/>
                <w:lang w:val="en-CA"/>
              </w:rPr>
              <w:t>X-Change</w:t>
            </w:r>
          </w:p>
        </w:tc>
      </w:tr>
      <w:tr w:rsidR="008D5963" w:rsidRPr="00B52637" w14:paraId="588A0D33" w14:textId="77777777" w:rsidTr="00004BEA">
        <w:trPr>
          <w:trHeight w:val="288"/>
          <w:jc w:val="center"/>
        </w:trPr>
        <w:tc>
          <w:tcPr>
            <w:tcW w:w="1440" w:type="dxa"/>
            <w:tcBorders>
              <w:top w:val="dotted" w:sz="4" w:space="0" w:color="auto"/>
              <w:bottom w:val="dotted" w:sz="4" w:space="0" w:color="auto"/>
            </w:tcBorders>
            <w:vAlign w:val="center"/>
          </w:tcPr>
          <w:p w14:paraId="00EE1DF7" w14:textId="77777777" w:rsidR="008D5963" w:rsidRPr="00B52637" w:rsidRDefault="008D5963" w:rsidP="00004BEA">
            <w:pPr>
              <w:pStyle w:val="ExhibitText"/>
              <w:jc w:val="left"/>
              <w:rPr>
                <w:rFonts w:eastAsia="Calibri"/>
                <w:lang w:val="en-CA"/>
              </w:rPr>
            </w:pPr>
            <w:r w:rsidRPr="00B52637">
              <w:rPr>
                <w:rFonts w:eastAsia="Calibri"/>
                <w:lang w:val="en-CA"/>
              </w:rPr>
              <w:t>Price</w:t>
            </w:r>
          </w:p>
        </w:tc>
        <w:tc>
          <w:tcPr>
            <w:tcW w:w="1980" w:type="dxa"/>
            <w:tcBorders>
              <w:top w:val="dotted" w:sz="4" w:space="0" w:color="auto"/>
              <w:bottom w:val="dotted" w:sz="4" w:space="0" w:color="auto"/>
            </w:tcBorders>
            <w:vAlign w:val="center"/>
          </w:tcPr>
          <w:p w14:paraId="4A00423B" w14:textId="77777777" w:rsidR="008D5963" w:rsidRPr="00B52637" w:rsidRDefault="008D5963" w:rsidP="00004BEA">
            <w:pPr>
              <w:pStyle w:val="ExhibitText"/>
              <w:jc w:val="left"/>
              <w:rPr>
                <w:rFonts w:eastAsia="Calibri"/>
                <w:bCs/>
                <w:lang w:val="en-CA"/>
              </w:rPr>
            </w:pPr>
            <w:r w:rsidRPr="00B52637">
              <w:rPr>
                <w:rFonts w:eastAsia="Calibri"/>
                <w:bCs/>
                <w:lang w:val="en-CA"/>
              </w:rPr>
              <w:t>$89.99</w:t>
            </w:r>
          </w:p>
        </w:tc>
        <w:tc>
          <w:tcPr>
            <w:tcW w:w="1980" w:type="dxa"/>
            <w:tcBorders>
              <w:top w:val="dotted" w:sz="4" w:space="0" w:color="auto"/>
              <w:bottom w:val="dotted" w:sz="4" w:space="0" w:color="auto"/>
            </w:tcBorders>
            <w:vAlign w:val="center"/>
          </w:tcPr>
          <w:p w14:paraId="06F99F70" w14:textId="77777777" w:rsidR="008D5963" w:rsidRPr="00B52637" w:rsidRDefault="008D5963" w:rsidP="00004BEA">
            <w:pPr>
              <w:pStyle w:val="ExhibitText"/>
              <w:jc w:val="left"/>
              <w:rPr>
                <w:rFonts w:eastAsia="Calibri"/>
                <w:bCs/>
                <w:lang w:val="en-CA"/>
              </w:rPr>
            </w:pPr>
            <w:r w:rsidRPr="00B52637">
              <w:rPr>
                <w:rFonts w:eastAsia="Calibri"/>
                <w:bCs/>
                <w:lang w:val="en-CA"/>
              </w:rPr>
              <w:t>$89.95</w:t>
            </w:r>
          </w:p>
        </w:tc>
        <w:tc>
          <w:tcPr>
            <w:tcW w:w="1980" w:type="dxa"/>
            <w:tcBorders>
              <w:top w:val="dotted" w:sz="4" w:space="0" w:color="auto"/>
              <w:bottom w:val="dotted" w:sz="4" w:space="0" w:color="auto"/>
            </w:tcBorders>
            <w:vAlign w:val="center"/>
          </w:tcPr>
          <w:p w14:paraId="31664E00" w14:textId="77777777" w:rsidR="008D5963" w:rsidRPr="00B52637" w:rsidRDefault="008D5963" w:rsidP="00004BEA">
            <w:pPr>
              <w:pStyle w:val="ExhibitText"/>
              <w:jc w:val="left"/>
              <w:rPr>
                <w:rFonts w:eastAsia="Calibri"/>
                <w:bCs/>
                <w:lang w:val="en-CA"/>
              </w:rPr>
            </w:pPr>
            <w:r w:rsidRPr="00B52637">
              <w:rPr>
                <w:rFonts w:eastAsia="Calibri"/>
                <w:bCs/>
                <w:lang w:val="en-CA"/>
              </w:rPr>
              <w:t>$94.95</w:t>
            </w:r>
          </w:p>
        </w:tc>
        <w:tc>
          <w:tcPr>
            <w:tcW w:w="1980" w:type="dxa"/>
            <w:tcBorders>
              <w:top w:val="dotted" w:sz="4" w:space="0" w:color="auto"/>
              <w:bottom w:val="dotted" w:sz="4" w:space="0" w:color="auto"/>
            </w:tcBorders>
            <w:vAlign w:val="center"/>
          </w:tcPr>
          <w:p w14:paraId="3CCB2653" w14:textId="77777777" w:rsidR="008D5963" w:rsidRPr="00B52637" w:rsidRDefault="008D5963" w:rsidP="00004BEA">
            <w:pPr>
              <w:pStyle w:val="ExhibitText"/>
              <w:jc w:val="left"/>
              <w:rPr>
                <w:rFonts w:eastAsia="Calibri"/>
                <w:bCs/>
                <w:lang w:val="en-CA"/>
              </w:rPr>
            </w:pPr>
            <w:r w:rsidRPr="00B52637">
              <w:rPr>
                <w:rFonts w:eastAsia="Calibri"/>
                <w:bCs/>
                <w:lang w:val="en-CA"/>
              </w:rPr>
              <w:t>$147.50</w:t>
            </w:r>
          </w:p>
        </w:tc>
      </w:tr>
      <w:tr w:rsidR="008D5963" w:rsidRPr="00B52637" w14:paraId="2817A9CF" w14:textId="77777777" w:rsidTr="00004BEA">
        <w:trPr>
          <w:trHeight w:val="288"/>
          <w:jc w:val="center"/>
        </w:trPr>
        <w:tc>
          <w:tcPr>
            <w:tcW w:w="1440" w:type="dxa"/>
            <w:tcBorders>
              <w:top w:val="dotted" w:sz="4" w:space="0" w:color="auto"/>
              <w:bottom w:val="dotted" w:sz="4" w:space="0" w:color="auto"/>
            </w:tcBorders>
            <w:vAlign w:val="center"/>
          </w:tcPr>
          <w:p w14:paraId="43294F91" w14:textId="77777777" w:rsidR="008D5963" w:rsidRPr="00B52637" w:rsidRDefault="008D5963" w:rsidP="00004BEA">
            <w:pPr>
              <w:pStyle w:val="ExhibitText"/>
              <w:jc w:val="left"/>
              <w:rPr>
                <w:rFonts w:eastAsia="Calibri"/>
                <w:lang w:val="en-CA"/>
              </w:rPr>
            </w:pPr>
            <w:r w:rsidRPr="00B52637">
              <w:rPr>
                <w:rFonts w:eastAsia="Calibri"/>
                <w:lang w:val="en-CA"/>
              </w:rPr>
              <w:t xml:space="preserve">Listed for </w:t>
            </w:r>
          </w:p>
        </w:tc>
        <w:tc>
          <w:tcPr>
            <w:tcW w:w="1980" w:type="dxa"/>
            <w:tcBorders>
              <w:top w:val="dotted" w:sz="4" w:space="0" w:color="auto"/>
              <w:bottom w:val="dotted" w:sz="4" w:space="0" w:color="auto"/>
            </w:tcBorders>
            <w:vAlign w:val="center"/>
          </w:tcPr>
          <w:p w14:paraId="22DE590D" w14:textId="77777777" w:rsidR="008D5963" w:rsidRPr="00B52637" w:rsidRDefault="008D5963" w:rsidP="00004BEA">
            <w:pPr>
              <w:pStyle w:val="ExhibitText"/>
              <w:jc w:val="left"/>
              <w:rPr>
                <w:rFonts w:eastAsia="Calibri"/>
                <w:bCs/>
                <w:lang w:val="en-CA"/>
              </w:rPr>
            </w:pPr>
            <w:r w:rsidRPr="00B52637">
              <w:rPr>
                <w:rFonts w:eastAsia="Calibri"/>
                <w:bCs/>
                <w:lang w:val="en-CA"/>
              </w:rPr>
              <w:t>Skiing</w:t>
            </w:r>
          </w:p>
        </w:tc>
        <w:tc>
          <w:tcPr>
            <w:tcW w:w="1980" w:type="dxa"/>
            <w:tcBorders>
              <w:top w:val="dotted" w:sz="4" w:space="0" w:color="auto"/>
              <w:bottom w:val="dotted" w:sz="4" w:space="0" w:color="auto"/>
            </w:tcBorders>
            <w:vAlign w:val="center"/>
          </w:tcPr>
          <w:p w14:paraId="470B065D" w14:textId="77777777" w:rsidR="008D5963" w:rsidRPr="00B52637" w:rsidRDefault="008D5963" w:rsidP="00004BEA">
            <w:pPr>
              <w:pStyle w:val="ExhibitText"/>
              <w:jc w:val="left"/>
              <w:rPr>
                <w:rFonts w:eastAsia="Calibri"/>
                <w:bCs/>
                <w:lang w:val="en-CA"/>
              </w:rPr>
            </w:pPr>
            <w:r w:rsidRPr="00B52637">
              <w:rPr>
                <w:rFonts w:eastAsia="Calibri"/>
                <w:bCs/>
                <w:lang w:val="en-CA"/>
              </w:rPr>
              <w:t>Skiing</w:t>
            </w:r>
          </w:p>
        </w:tc>
        <w:tc>
          <w:tcPr>
            <w:tcW w:w="1980" w:type="dxa"/>
            <w:tcBorders>
              <w:top w:val="dotted" w:sz="4" w:space="0" w:color="auto"/>
              <w:bottom w:val="dotted" w:sz="4" w:space="0" w:color="auto"/>
            </w:tcBorders>
            <w:vAlign w:val="center"/>
          </w:tcPr>
          <w:p w14:paraId="0CFFF1EF" w14:textId="77777777" w:rsidR="008D5963" w:rsidRPr="00B52637" w:rsidRDefault="008D5963" w:rsidP="00004BEA">
            <w:pPr>
              <w:pStyle w:val="ExhibitText"/>
              <w:jc w:val="left"/>
              <w:rPr>
                <w:rFonts w:eastAsia="Calibri"/>
                <w:bCs/>
                <w:lang w:val="en-CA"/>
              </w:rPr>
            </w:pPr>
            <w:r w:rsidRPr="00B52637">
              <w:rPr>
                <w:rFonts w:eastAsia="Calibri"/>
                <w:bCs/>
                <w:lang w:val="en-CA"/>
              </w:rPr>
              <w:t>Skiing, climbing</w:t>
            </w:r>
          </w:p>
        </w:tc>
        <w:tc>
          <w:tcPr>
            <w:tcW w:w="1980" w:type="dxa"/>
            <w:tcBorders>
              <w:top w:val="dotted" w:sz="4" w:space="0" w:color="auto"/>
              <w:bottom w:val="dotted" w:sz="4" w:space="0" w:color="auto"/>
            </w:tcBorders>
            <w:vAlign w:val="center"/>
          </w:tcPr>
          <w:p w14:paraId="51F110A0" w14:textId="77777777" w:rsidR="008D5963" w:rsidRPr="00B52637" w:rsidRDefault="008D5963" w:rsidP="00004BEA">
            <w:pPr>
              <w:pStyle w:val="ExhibitText"/>
              <w:jc w:val="left"/>
              <w:rPr>
                <w:rFonts w:eastAsia="Calibri"/>
                <w:bCs/>
                <w:lang w:val="en-CA"/>
              </w:rPr>
            </w:pPr>
            <w:r w:rsidRPr="00B52637">
              <w:rPr>
                <w:rFonts w:eastAsia="Calibri"/>
                <w:bCs/>
                <w:lang w:val="en-CA"/>
              </w:rPr>
              <w:t>Skiing</w:t>
            </w:r>
          </w:p>
        </w:tc>
      </w:tr>
      <w:tr w:rsidR="008D5963" w:rsidRPr="00B52637" w14:paraId="4F00476A" w14:textId="77777777" w:rsidTr="00004BEA">
        <w:trPr>
          <w:trHeight w:val="288"/>
          <w:jc w:val="center"/>
        </w:trPr>
        <w:tc>
          <w:tcPr>
            <w:tcW w:w="1440" w:type="dxa"/>
            <w:tcBorders>
              <w:top w:val="dotted" w:sz="4" w:space="0" w:color="auto"/>
              <w:bottom w:val="dotted" w:sz="4" w:space="0" w:color="auto"/>
            </w:tcBorders>
            <w:vAlign w:val="center"/>
          </w:tcPr>
          <w:p w14:paraId="2EDA4251" w14:textId="77777777" w:rsidR="008D5963" w:rsidRPr="00B52637" w:rsidRDefault="008D5963" w:rsidP="00004BEA">
            <w:pPr>
              <w:pStyle w:val="ExhibitText"/>
              <w:jc w:val="left"/>
              <w:rPr>
                <w:rFonts w:eastAsia="Calibri"/>
                <w:lang w:val="en-CA"/>
              </w:rPr>
            </w:pPr>
            <w:r w:rsidRPr="00B52637">
              <w:rPr>
                <w:rFonts w:eastAsia="Calibri"/>
                <w:lang w:val="en-CA"/>
              </w:rPr>
              <w:t>Insulation</w:t>
            </w:r>
          </w:p>
        </w:tc>
        <w:tc>
          <w:tcPr>
            <w:tcW w:w="1980" w:type="dxa"/>
            <w:tcBorders>
              <w:top w:val="dotted" w:sz="4" w:space="0" w:color="auto"/>
              <w:bottom w:val="dotted" w:sz="4" w:space="0" w:color="auto"/>
            </w:tcBorders>
            <w:vAlign w:val="center"/>
          </w:tcPr>
          <w:p w14:paraId="062EE848" w14:textId="77777777" w:rsidR="008D5963" w:rsidRPr="00B52637" w:rsidRDefault="008D5963" w:rsidP="00004BEA">
            <w:pPr>
              <w:pStyle w:val="ExhibitText"/>
              <w:jc w:val="left"/>
              <w:rPr>
                <w:rFonts w:eastAsia="Calibri"/>
                <w:bCs/>
                <w:lang w:val="en-CA"/>
              </w:rPr>
            </w:pPr>
            <w:r w:rsidRPr="00B52637">
              <w:rPr>
                <w:rFonts w:eastAsia="Calibri"/>
                <w:bCs/>
                <w:lang w:val="en-CA"/>
              </w:rPr>
              <w:t>Heavy; fleece</w:t>
            </w:r>
          </w:p>
        </w:tc>
        <w:tc>
          <w:tcPr>
            <w:tcW w:w="1980" w:type="dxa"/>
            <w:tcBorders>
              <w:top w:val="dotted" w:sz="4" w:space="0" w:color="auto"/>
              <w:bottom w:val="dotted" w:sz="4" w:space="0" w:color="auto"/>
            </w:tcBorders>
            <w:vAlign w:val="center"/>
          </w:tcPr>
          <w:p w14:paraId="5091D73D" w14:textId="77777777" w:rsidR="008D5963" w:rsidRPr="00B52637" w:rsidRDefault="008D5963" w:rsidP="00004BEA">
            <w:pPr>
              <w:pStyle w:val="ExhibitText"/>
              <w:jc w:val="left"/>
              <w:rPr>
                <w:rFonts w:eastAsia="Calibri"/>
                <w:bCs/>
                <w:lang w:val="en-CA"/>
              </w:rPr>
            </w:pPr>
            <w:r w:rsidRPr="00B52637">
              <w:rPr>
                <w:rFonts w:eastAsia="Calibri"/>
                <w:bCs/>
                <w:lang w:val="en-CA"/>
              </w:rPr>
              <w:t>Medium</w:t>
            </w:r>
          </w:p>
        </w:tc>
        <w:tc>
          <w:tcPr>
            <w:tcW w:w="1980" w:type="dxa"/>
            <w:tcBorders>
              <w:top w:val="dotted" w:sz="4" w:space="0" w:color="auto"/>
              <w:bottom w:val="dotted" w:sz="4" w:space="0" w:color="auto"/>
            </w:tcBorders>
            <w:vAlign w:val="center"/>
          </w:tcPr>
          <w:p w14:paraId="05FB2B23" w14:textId="77777777" w:rsidR="008D5963" w:rsidRPr="00B52637" w:rsidRDefault="008D5963" w:rsidP="00004BEA">
            <w:pPr>
              <w:pStyle w:val="ExhibitText"/>
              <w:jc w:val="left"/>
              <w:rPr>
                <w:rFonts w:eastAsia="Calibri"/>
                <w:bCs/>
                <w:lang w:val="en-CA"/>
              </w:rPr>
            </w:pPr>
            <w:r w:rsidRPr="00B52637">
              <w:rPr>
                <w:rFonts w:eastAsia="Calibri"/>
                <w:bCs/>
                <w:lang w:val="en-CA"/>
              </w:rPr>
              <w:t>Extra heavy</w:t>
            </w:r>
          </w:p>
        </w:tc>
        <w:tc>
          <w:tcPr>
            <w:tcW w:w="1980" w:type="dxa"/>
            <w:tcBorders>
              <w:top w:val="dotted" w:sz="4" w:space="0" w:color="auto"/>
              <w:bottom w:val="dotted" w:sz="4" w:space="0" w:color="auto"/>
            </w:tcBorders>
            <w:vAlign w:val="center"/>
          </w:tcPr>
          <w:p w14:paraId="0FB28761" w14:textId="77777777" w:rsidR="008D5963" w:rsidRPr="00B52637" w:rsidRDefault="008D5963" w:rsidP="00004BEA">
            <w:pPr>
              <w:pStyle w:val="ExhibitText"/>
              <w:jc w:val="left"/>
              <w:rPr>
                <w:rFonts w:eastAsia="Calibri"/>
                <w:bCs/>
                <w:lang w:val="en-CA"/>
              </w:rPr>
            </w:pPr>
            <w:r w:rsidRPr="00B52637">
              <w:rPr>
                <w:rFonts w:eastAsia="Calibri"/>
                <w:bCs/>
                <w:lang w:val="en-CA"/>
              </w:rPr>
              <w:t>Heavy; triple insulated</w:t>
            </w:r>
          </w:p>
        </w:tc>
      </w:tr>
      <w:tr w:rsidR="008D5963" w:rsidRPr="00B52637" w14:paraId="46DEB880" w14:textId="77777777" w:rsidTr="00004BEA">
        <w:trPr>
          <w:trHeight w:val="288"/>
          <w:jc w:val="center"/>
        </w:trPr>
        <w:tc>
          <w:tcPr>
            <w:tcW w:w="1440" w:type="dxa"/>
            <w:tcBorders>
              <w:top w:val="dotted" w:sz="4" w:space="0" w:color="auto"/>
              <w:bottom w:val="dotted" w:sz="4" w:space="0" w:color="auto"/>
            </w:tcBorders>
            <w:vAlign w:val="center"/>
          </w:tcPr>
          <w:p w14:paraId="58C089AB" w14:textId="77777777" w:rsidR="008D5963" w:rsidRPr="00B52637" w:rsidRDefault="008D5963" w:rsidP="00004BEA">
            <w:pPr>
              <w:pStyle w:val="ExhibitText"/>
              <w:jc w:val="left"/>
              <w:rPr>
                <w:rFonts w:eastAsia="Calibri"/>
                <w:lang w:val="en-CA"/>
              </w:rPr>
            </w:pPr>
            <w:r w:rsidRPr="00B52637">
              <w:rPr>
                <w:rFonts w:eastAsia="Calibri"/>
                <w:lang w:val="en-CA"/>
              </w:rPr>
              <w:t>Material</w:t>
            </w:r>
          </w:p>
        </w:tc>
        <w:tc>
          <w:tcPr>
            <w:tcW w:w="1980" w:type="dxa"/>
            <w:tcBorders>
              <w:top w:val="dotted" w:sz="4" w:space="0" w:color="auto"/>
              <w:bottom w:val="dotted" w:sz="4" w:space="0" w:color="auto"/>
            </w:tcBorders>
            <w:vAlign w:val="center"/>
          </w:tcPr>
          <w:p w14:paraId="6D6E4EFE" w14:textId="2462B379" w:rsidR="008D5963" w:rsidRPr="00B52637" w:rsidRDefault="009E5263" w:rsidP="00004BEA">
            <w:pPr>
              <w:pStyle w:val="ExhibitText"/>
              <w:jc w:val="left"/>
              <w:rPr>
                <w:rFonts w:eastAsia="Calibri"/>
                <w:bCs/>
                <w:lang w:val="en-CA"/>
              </w:rPr>
            </w:pPr>
            <w:r w:rsidRPr="00B52637">
              <w:rPr>
                <w:rFonts w:eastAsia="Calibri"/>
                <w:bCs/>
                <w:lang w:val="en-CA"/>
              </w:rPr>
              <w:t>GORE-TEX</w:t>
            </w:r>
            <w:r w:rsidR="008D5963" w:rsidRPr="00B52637">
              <w:rPr>
                <w:rFonts w:eastAsia="Calibri"/>
                <w:bCs/>
                <w:lang w:val="en-CA"/>
              </w:rPr>
              <w:t xml:space="preserve">; </w:t>
            </w:r>
            <w:proofErr w:type="spellStart"/>
            <w:r w:rsidR="008D5963" w:rsidRPr="00B52637">
              <w:rPr>
                <w:rFonts w:eastAsia="Calibri"/>
                <w:bCs/>
                <w:lang w:val="en-CA"/>
              </w:rPr>
              <w:t>Heakseeker</w:t>
            </w:r>
            <w:proofErr w:type="spellEnd"/>
            <w:r w:rsidR="008D5963" w:rsidRPr="00B52637">
              <w:rPr>
                <w:rFonts w:eastAsia="Calibri"/>
                <w:bCs/>
                <w:lang w:val="en-CA"/>
              </w:rPr>
              <w:t xml:space="preserve"> ECO polyester; nylon</w:t>
            </w:r>
          </w:p>
        </w:tc>
        <w:tc>
          <w:tcPr>
            <w:tcW w:w="1980" w:type="dxa"/>
            <w:tcBorders>
              <w:top w:val="dotted" w:sz="4" w:space="0" w:color="auto"/>
              <w:bottom w:val="dotted" w:sz="4" w:space="0" w:color="auto"/>
            </w:tcBorders>
            <w:vAlign w:val="center"/>
          </w:tcPr>
          <w:p w14:paraId="3BD9595D" w14:textId="6DF08E55" w:rsidR="008D5963" w:rsidRPr="00B52637" w:rsidRDefault="008D5963" w:rsidP="00004BEA">
            <w:pPr>
              <w:pStyle w:val="ExhibitText"/>
              <w:jc w:val="left"/>
              <w:rPr>
                <w:rFonts w:eastAsia="Calibri"/>
                <w:bCs/>
                <w:lang w:val="en-CA"/>
              </w:rPr>
            </w:pPr>
            <w:r w:rsidRPr="00B52637">
              <w:rPr>
                <w:rFonts w:eastAsia="Calibri"/>
                <w:bCs/>
                <w:lang w:val="en-CA"/>
              </w:rPr>
              <w:t xml:space="preserve">Leather; </w:t>
            </w:r>
            <w:proofErr w:type="spellStart"/>
            <w:r w:rsidRPr="00B52637">
              <w:rPr>
                <w:rFonts w:eastAsia="Calibri"/>
                <w:bCs/>
                <w:lang w:val="en-CA"/>
              </w:rPr>
              <w:t>Thermolite</w:t>
            </w:r>
            <w:proofErr w:type="spellEnd"/>
            <w:r w:rsidRPr="00B52637">
              <w:rPr>
                <w:rFonts w:eastAsia="Calibri"/>
                <w:bCs/>
                <w:lang w:val="en-CA"/>
              </w:rPr>
              <w:t xml:space="preserve"> insulation; nylon; spandex</w:t>
            </w:r>
          </w:p>
        </w:tc>
        <w:tc>
          <w:tcPr>
            <w:tcW w:w="1980" w:type="dxa"/>
            <w:tcBorders>
              <w:top w:val="dotted" w:sz="4" w:space="0" w:color="auto"/>
              <w:bottom w:val="dotted" w:sz="4" w:space="0" w:color="auto"/>
            </w:tcBorders>
            <w:vAlign w:val="center"/>
          </w:tcPr>
          <w:p w14:paraId="1C461EA0" w14:textId="062139AA" w:rsidR="008D5963" w:rsidRPr="00B52637" w:rsidRDefault="009E5263" w:rsidP="00004BEA">
            <w:pPr>
              <w:pStyle w:val="ExhibitText"/>
              <w:jc w:val="left"/>
              <w:rPr>
                <w:rFonts w:eastAsia="Calibri"/>
                <w:bCs/>
                <w:lang w:val="en-CA"/>
              </w:rPr>
            </w:pPr>
            <w:r w:rsidRPr="00B52637">
              <w:rPr>
                <w:rFonts w:eastAsia="Calibri"/>
                <w:bCs/>
                <w:lang w:val="en-CA"/>
              </w:rPr>
              <w:t>GORE-TEX</w:t>
            </w:r>
            <w:r w:rsidR="008D5963" w:rsidRPr="00B52637">
              <w:rPr>
                <w:rFonts w:eastAsia="Calibri"/>
                <w:bCs/>
                <w:lang w:val="en-CA"/>
              </w:rPr>
              <w:t xml:space="preserve">; </w:t>
            </w:r>
            <w:proofErr w:type="spellStart"/>
            <w:r w:rsidR="008D5963" w:rsidRPr="00B52637">
              <w:rPr>
                <w:rFonts w:eastAsia="Calibri"/>
                <w:bCs/>
                <w:lang w:val="en-CA"/>
              </w:rPr>
              <w:t>Prima</w:t>
            </w:r>
            <w:r w:rsidR="005A3891" w:rsidRPr="00B52637">
              <w:rPr>
                <w:rFonts w:eastAsia="Calibri"/>
                <w:bCs/>
                <w:lang w:val="en-CA"/>
              </w:rPr>
              <w:t>L</w:t>
            </w:r>
            <w:r w:rsidR="008D5963" w:rsidRPr="00B52637">
              <w:rPr>
                <w:rFonts w:eastAsia="Calibri"/>
                <w:bCs/>
                <w:lang w:val="en-CA"/>
              </w:rPr>
              <w:t>oft</w:t>
            </w:r>
            <w:proofErr w:type="spellEnd"/>
            <w:r w:rsidR="008D5963" w:rsidRPr="00B52637">
              <w:rPr>
                <w:rFonts w:eastAsia="Calibri"/>
                <w:bCs/>
                <w:lang w:val="en-CA"/>
              </w:rPr>
              <w:t xml:space="preserve"> gold insulation; leather; synthetic; wool-blend</w:t>
            </w:r>
          </w:p>
        </w:tc>
        <w:tc>
          <w:tcPr>
            <w:tcW w:w="1980" w:type="dxa"/>
            <w:tcBorders>
              <w:top w:val="dotted" w:sz="4" w:space="0" w:color="auto"/>
              <w:bottom w:val="dotted" w:sz="4" w:space="0" w:color="auto"/>
            </w:tcBorders>
            <w:vAlign w:val="center"/>
          </w:tcPr>
          <w:p w14:paraId="4911B1CC" w14:textId="02109164" w:rsidR="008D5963" w:rsidRPr="00B52637" w:rsidRDefault="008D5963" w:rsidP="00004BEA">
            <w:pPr>
              <w:pStyle w:val="ExhibitText"/>
              <w:jc w:val="left"/>
              <w:rPr>
                <w:rFonts w:eastAsia="Calibri"/>
                <w:bCs/>
                <w:lang w:val="en-CA"/>
              </w:rPr>
            </w:pPr>
            <w:proofErr w:type="spellStart"/>
            <w:r w:rsidRPr="00B52637">
              <w:rPr>
                <w:rFonts w:eastAsia="Calibri"/>
                <w:bCs/>
                <w:lang w:val="en-CA"/>
              </w:rPr>
              <w:t>Dryfinger</w:t>
            </w:r>
            <w:proofErr w:type="spellEnd"/>
            <w:r w:rsidRPr="00B52637">
              <w:rPr>
                <w:rFonts w:eastAsia="Calibri"/>
                <w:bCs/>
                <w:lang w:val="en-CA"/>
              </w:rPr>
              <w:t xml:space="preserve">; </w:t>
            </w:r>
            <w:r w:rsidR="00004BEA" w:rsidRPr="00B52637">
              <w:rPr>
                <w:rFonts w:eastAsia="Calibri"/>
                <w:bCs/>
                <w:lang w:val="en-CA"/>
              </w:rPr>
              <w:t>l</w:t>
            </w:r>
            <w:r w:rsidRPr="00B52637">
              <w:rPr>
                <w:rFonts w:eastAsia="Calibri"/>
                <w:bCs/>
                <w:lang w:val="en-CA"/>
              </w:rPr>
              <w:t>eather; synthetic</w:t>
            </w:r>
          </w:p>
        </w:tc>
      </w:tr>
      <w:tr w:rsidR="008D5963" w:rsidRPr="00B52637" w14:paraId="659DE6EB" w14:textId="77777777" w:rsidTr="00004BEA">
        <w:trPr>
          <w:trHeight w:val="288"/>
          <w:jc w:val="center"/>
        </w:trPr>
        <w:tc>
          <w:tcPr>
            <w:tcW w:w="1440" w:type="dxa"/>
            <w:tcBorders>
              <w:top w:val="dotted" w:sz="4" w:space="0" w:color="auto"/>
              <w:bottom w:val="dotted" w:sz="4" w:space="0" w:color="auto"/>
            </w:tcBorders>
            <w:vAlign w:val="center"/>
          </w:tcPr>
          <w:p w14:paraId="6958D4B9" w14:textId="77777777" w:rsidR="008D5963" w:rsidRPr="00B52637" w:rsidRDefault="008D5963" w:rsidP="00004BEA">
            <w:pPr>
              <w:pStyle w:val="ExhibitText"/>
              <w:jc w:val="left"/>
              <w:rPr>
                <w:rFonts w:eastAsia="Calibri"/>
                <w:lang w:val="en-CA"/>
              </w:rPr>
            </w:pPr>
            <w:r w:rsidRPr="00B52637">
              <w:rPr>
                <w:rFonts w:eastAsia="Calibri"/>
                <w:lang w:val="en-CA"/>
              </w:rPr>
              <w:t>Features</w:t>
            </w:r>
          </w:p>
        </w:tc>
        <w:tc>
          <w:tcPr>
            <w:tcW w:w="1980" w:type="dxa"/>
            <w:tcBorders>
              <w:top w:val="dotted" w:sz="4" w:space="0" w:color="auto"/>
              <w:bottom w:val="dotted" w:sz="4" w:space="0" w:color="auto"/>
            </w:tcBorders>
            <w:vAlign w:val="center"/>
          </w:tcPr>
          <w:p w14:paraId="0FE5AF53" w14:textId="00BE0C1F" w:rsidR="008D5963" w:rsidRPr="00B52637" w:rsidRDefault="008D5963" w:rsidP="00004BEA">
            <w:pPr>
              <w:pStyle w:val="ExhibitText"/>
              <w:jc w:val="left"/>
              <w:rPr>
                <w:rFonts w:eastAsia="Calibri"/>
                <w:bCs/>
                <w:lang w:val="en-CA"/>
              </w:rPr>
            </w:pPr>
            <w:r w:rsidRPr="00B52637">
              <w:rPr>
                <w:rFonts w:eastAsia="Calibri"/>
                <w:bCs/>
                <w:lang w:val="en-CA"/>
              </w:rPr>
              <w:t>Recycled content</w:t>
            </w:r>
            <w:r w:rsidR="00004BEA" w:rsidRPr="00B52637">
              <w:rPr>
                <w:rFonts w:eastAsia="Calibri"/>
                <w:bCs/>
                <w:lang w:val="en-CA"/>
              </w:rPr>
              <w:t>;</w:t>
            </w:r>
            <w:r w:rsidRPr="00B52637">
              <w:rPr>
                <w:rFonts w:eastAsia="Calibri"/>
                <w:bCs/>
                <w:lang w:val="en-CA"/>
              </w:rPr>
              <w:t xml:space="preserve"> touch screen compatible</w:t>
            </w:r>
          </w:p>
        </w:tc>
        <w:tc>
          <w:tcPr>
            <w:tcW w:w="1980" w:type="dxa"/>
            <w:tcBorders>
              <w:top w:val="dotted" w:sz="4" w:space="0" w:color="auto"/>
              <w:bottom w:val="dotted" w:sz="4" w:space="0" w:color="auto"/>
            </w:tcBorders>
            <w:vAlign w:val="center"/>
          </w:tcPr>
          <w:p w14:paraId="7983CF20" w14:textId="24AC9377" w:rsidR="008D5963" w:rsidRPr="00B52637" w:rsidRDefault="008D5963" w:rsidP="00004BEA">
            <w:pPr>
              <w:pStyle w:val="ExhibitText"/>
              <w:jc w:val="left"/>
              <w:rPr>
                <w:rFonts w:eastAsia="Calibri"/>
                <w:lang w:val="en-CA"/>
              </w:rPr>
            </w:pPr>
            <w:r w:rsidRPr="00B52637">
              <w:rPr>
                <w:rFonts w:eastAsia="Calibri"/>
                <w:bCs/>
                <w:lang w:val="en-CA"/>
              </w:rPr>
              <w:t xml:space="preserve">Hand warmer pocket; </w:t>
            </w:r>
            <w:proofErr w:type="spellStart"/>
            <w:r w:rsidRPr="00B52637">
              <w:rPr>
                <w:rFonts w:eastAsia="Calibri"/>
                <w:bCs/>
                <w:lang w:val="en-CA"/>
              </w:rPr>
              <w:t>Bluesign</w:t>
            </w:r>
            <w:proofErr w:type="spellEnd"/>
            <w:r w:rsidRPr="00B52637">
              <w:rPr>
                <w:rFonts w:eastAsia="Calibri"/>
                <w:bCs/>
                <w:lang w:val="en-CA"/>
              </w:rPr>
              <w:t xml:space="preserve"> </w:t>
            </w:r>
            <w:r w:rsidR="00004BEA" w:rsidRPr="00B52637">
              <w:rPr>
                <w:rFonts w:eastAsia="Calibri"/>
                <w:bCs/>
                <w:lang w:val="en-CA"/>
              </w:rPr>
              <w:t>a</w:t>
            </w:r>
            <w:r w:rsidRPr="00B52637">
              <w:rPr>
                <w:rFonts w:eastAsia="Calibri"/>
                <w:bCs/>
                <w:lang w:val="en-CA"/>
              </w:rPr>
              <w:t xml:space="preserve">pproved </w:t>
            </w:r>
            <w:r w:rsidR="00004BEA" w:rsidRPr="00B52637">
              <w:rPr>
                <w:rFonts w:eastAsia="Calibri"/>
                <w:bCs/>
                <w:lang w:val="en-CA"/>
              </w:rPr>
              <w:t>m</w:t>
            </w:r>
            <w:r w:rsidRPr="00B52637">
              <w:rPr>
                <w:rFonts w:eastAsia="Calibri"/>
                <w:bCs/>
                <w:lang w:val="en-CA"/>
              </w:rPr>
              <w:t>aterial</w:t>
            </w:r>
          </w:p>
        </w:tc>
        <w:tc>
          <w:tcPr>
            <w:tcW w:w="1980" w:type="dxa"/>
            <w:tcBorders>
              <w:top w:val="dotted" w:sz="4" w:space="0" w:color="auto"/>
              <w:bottom w:val="dotted" w:sz="4" w:space="0" w:color="auto"/>
            </w:tcBorders>
            <w:vAlign w:val="center"/>
          </w:tcPr>
          <w:p w14:paraId="50AE05DF" w14:textId="77777777" w:rsidR="008D5963" w:rsidRPr="00B52637" w:rsidRDefault="008D5963" w:rsidP="00004BEA">
            <w:pPr>
              <w:pStyle w:val="ExhibitText"/>
              <w:jc w:val="left"/>
              <w:rPr>
                <w:rFonts w:eastAsia="Calibri"/>
                <w:bCs/>
                <w:lang w:val="en-CA"/>
              </w:rPr>
            </w:pPr>
            <w:r w:rsidRPr="00B52637">
              <w:rPr>
                <w:rFonts w:eastAsia="Calibri"/>
                <w:bCs/>
                <w:lang w:val="en-CA"/>
              </w:rPr>
              <w:t>Nose wipe</w:t>
            </w:r>
          </w:p>
        </w:tc>
        <w:tc>
          <w:tcPr>
            <w:tcW w:w="1980" w:type="dxa"/>
            <w:tcBorders>
              <w:top w:val="dotted" w:sz="4" w:space="0" w:color="auto"/>
              <w:bottom w:val="dotted" w:sz="4" w:space="0" w:color="auto"/>
            </w:tcBorders>
            <w:vAlign w:val="center"/>
          </w:tcPr>
          <w:p w14:paraId="3F24109B" w14:textId="77777777" w:rsidR="008D5963" w:rsidRPr="00B52637" w:rsidRDefault="008D5963" w:rsidP="00004BEA">
            <w:pPr>
              <w:pStyle w:val="ExhibitText"/>
              <w:jc w:val="left"/>
              <w:rPr>
                <w:rFonts w:eastAsia="Calibri"/>
                <w:bCs/>
                <w:lang w:val="en-CA"/>
              </w:rPr>
            </w:pPr>
            <w:r w:rsidRPr="00B52637">
              <w:rPr>
                <w:rFonts w:eastAsia="Calibri"/>
                <w:bCs/>
                <w:lang w:val="en-CA"/>
              </w:rPr>
              <w:t>Hand warmer pocket</w:t>
            </w:r>
          </w:p>
        </w:tc>
      </w:tr>
      <w:tr w:rsidR="008D5963" w:rsidRPr="00B52637" w14:paraId="01F955D3" w14:textId="77777777" w:rsidTr="00004BEA">
        <w:trPr>
          <w:trHeight w:val="288"/>
          <w:jc w:val="center"/>
        </w:trPr>
        <w:tc>
          <w:tcPr>
            <w:tcW w:w="1440" w:type="dxa"/>
            <w:tcBorders>
              <w:top w:val="dotted" w:sz="4" w:space="0" w:color="auto"/>
              <w:bottom w:val="single" w:sz="4" w:space="0" w:color="auto"/>
            </w:tcBorders>
            <w:vAlign w:val="center"/>
          </w:tcPr>
          <w:p w14:paraId="75B0B2B0" w14:textId="77777777" w:rsidR="008D5963" w:rsidRPr="00B52637" w:rsidRDefault="008D5963" w:rsidP="00004BEA">
            <w:pPr>
              <w:pStyle w:val="ExhibitText"/>
              <w:jc w:val="left"/>
              <w:rPr>
                <w:rFonts w:eastAsia="Calibri"/>
                <w:lang w:val="en-CA"/>
              </w:rPr>
            </w:pPr>
            <w:r w:rsidRPr="00B52637">
              <w:rPr>
                <w:rFonts w:eastAsia="Calibri"/>
                <w:lang w:val="en-CA"/>
              </w:rPr>
              <w:t>Made in</w:t>
            </w:r>
          </w:p>
        </w:tc>
        <w:tc>
          <w:tcPr>
            <w:tcW w:w="1980" w:type="dxa"/>
            <w:tcBorders>
              <w:top w:val="dotted" w:sz="4" w:space="0" w:color="auto"/>
              <w:bottom w:val="single" w:sz="4" w:space="0" w:color="auto"/>
            </w:tcBorders>
            <w:vAlign w:val="center"/>
          </w:tcPr>
          <w:p w14:paraId="16C40AAB" w14:textId="77777777" w:rsidR="008D5963" w:rsidRPr="00B52637" w:rsidRDefault="008D5963" w:rsidP="00004BEA">
            <w:pPr>
              <w:pStyle w:val="ExhibitText"/>
              <w:jc w:val="left"/>
              <w:rPr>
                <w:rFonts w:eastAsia="Calibri"/>
                <w:bCs/>
                <w:lang w:val="en-CA"/>
              </w:rPr>
            </w:pPr>
            <w:r w:rsidRPr="00B52637">
              <w:rPr>
                <w:rFonts w:eastAsia="Calibri"/>
                <w:bCs/>
                <w:lang w:val="en-CA"/>
              </w:rPr>
              <w:t>Vietnam</w:t>
            </w:r>
          </w:p>
        </w:tc>
        <w:tc>
          <w:tcPr>
            <w:tcW w:w="1980" w:type="dxa"/>
            <w:tcBorders>
              <w:top w:val="dotted" w:sz="4" w:space="0" w:color="auto"/>
              <w:bottom w:val="single" w:sz="4" w:space="0" w:color="auto"/>
            </w:tcBorders>
            <w:vAlign w:val="center"/>
          </w:tcPr>
          <w:p w14:paraId="79D9F7FE" w14:textId="77777777" w:rsidR="008D5963" w:rsidRPr="00B52637" w:rsidRDefault="008D5963" w:rsidP="00004BEA">
            <w:pPr>
              <w:pStyle w:val="ExhibitText"/>
              <w:jc w:val="left"/>
              <w:rPr>
                <w:rFonts w:eastAsia="Calibri"/>
                <w:bCs/>
                <w:lang w:val="en-CA"/>
              </w:rPr>
            </w:pPr>
            <w:r w:rsidRPr="00B52637">
              <w:rPr>
                <w:rFonts w:eastAsia="Calibri"/>
                <w:bCs/>
                <w:lang w:val="en-CA"/>
              </w:rPr>
              <w:t>Cambodia</w:t>
            </w:r>
          </w:p>
        </w:tc>
        <w:tc>
          <w:tcPr>
            <w:tcW w:w="1980" w:type="dxa"/>
            <w:tcBorders>
              <w:top w:val="dotted" w:sz="4" w:space="0" w:color="auto"/>
              <w:bottom w:val="single" w:sz="4" w:space="0" w:color="auto"/>
            </w:tcBorders>
            <w:vAlign w:val="center"/>
          </w:tcPr>
          <w:p w14:paraId="3A0BBC1E" w14:textId="77777777" w:rsidR="008D5963" w:rsidRPr="00B52637" w:rsidRDefault="008D5963" w:rsidP="00004BEA">
            <w:pPr>
              <w:pStyle w:val="ExhibitText"/>
              <w:jc w:val="left"/>
              <w:rPr>
                <w:rFonts w:eastAsia="Calibri"/>
                <w:bCs/>
                <w:lang w:val="en-CA"/>
              </w:rPr>
            </w:pPr>
            <w:r w:rsidRPr="00B52637">
              <w:rPr>
                <w:rFonts w:eastAsia="Calibri"/>
                <w:bCs/>
                <w:lang w:val="en-CA"/>
              </w:rPr>
              <w:t>China</w:t>
            </w:r>
          </w:p>
        </w:tc>
        <w:tc>
          <w:tcPr>
            <w:tcW w:w="1980" w:type="dxa"/>
            <w:tcBorders>
              <w:top w:val="dotted" w:sz="4" w:space="0" w:color="auto"/>
              <w:bottom w:val="single" w:sz="4" w:space="0" w:color="auto"/>
            </w:tcBorders>
            <w:vAlign w:val="center"/>
          </w:tcPr>
          <w:p w14:paraId="6F3C93A7" w14:textId="34A41783" w:rsidR="008D5963" w:rsidRPr="00B52637" w:rsidRDefault="005670C4" w:rsidP="00004BEA">
            <w:pPr>
              <w:pStyle w:val="ExhibitText"/>
              <w:jc w:val="left"/>
              <w:rPr>
                <w:rFonts w:eastAsia="Calibri"/>
                <w:bCs/>
                <w:lang w:val="en-CA"/>
              </w:rPr>
            </w:pPr>
            <w:r w:rsidRPr="00B52637">
              <w:rPr>
                <w:rFonts w:eastAsia="Calibri"/>
                <w:bCs/>
                <w:lang w:val="en-CA"/>
              </w:rPr>
              <w:t>N</w:t>
            </w:r>
            <w:r w:rsidR="008D5963" w:rsidRPr="00B52637">
              <w:rPr>
                <w:rFonts w:eastAsia="Calibri"/>
                <w:bCs/>
                <w:lang w:val="en-CA"/>
              </w:rPr>
              <w:t>ot stated</w:t>
            </w:r>
          </w:p>
        </w:tc>
      </w:tr>
    </w:tbl>
    <w:p w14:paraId="555E1F59" w14:textId="77777777" w:rsidR="008D5963" w:rsidRPr="00B52637" w:rsidRDefault="008D5963" w:rsidP="003F2DB7">
      <w:pPr>
        <w:pStyle w:val="ExhibitText"/>
        <w:rPr>
          <w:rFonts w:eastAsia="Calibri"/>
          <w:lang w:val="en-CA"/>
        </w:rPr>
      </w:pPr>
    </w:p>
    <w:p w14:paraId="6880F3D1" w14:textId="6759E2D2" w:rsidR="00004BEA" w:rsidRPr="00B52637" w:rsidRDefault="00004BEA" w:rsidP="008D5963">
      <w:pPr>
        <w:pStyle w:val="Footnote"/>
        <w:rPr>
          <w:rFonts w:eastAsia="Calibri"/>
          <w:lang w:val="en-CA"/>
        </w:rPr>
      </w:pPr>
      <w:r w:rsidRPr="00B52637">
        <w:rPr>
          <w:rFonts w:eastAsia="Calibri"/>
          <w:lang w:val="en-CA"/>
        </w:rPr>
        <w:t xml:space="preserve">Note: Prices </w:t>
      </w:r>
      <w:r w:rsidR="005670C4" w:rsidRPr="00B52637">
        <w:rPr>
          <w:rFonts w:eastAsia="Calibri"/>
          <w:lang w:val="en-CA"/>
        </w:rPr>
        <w:t xml:space="preserve">are </w:t>
      </w:r>
      <w:r w:rsidRPr="00B52637">
        <w:rPr>
          <w:rFonts w:eastAsia="Calibri"/>
          <w:lang w:val="en-CA"/>
        </w:rPr>
        <w:t>in Canadian dollars.</w:t>
      </w:r>
    </w:p>
    <w:p w14:paraId="16E56CCF" w14:textId="42B805AB" w:rsidR="008D5963" w:rsidRPr="00B52637" w:rsidRDefault="008D5963" w:rsidP="00F63C52">
      <w:pPr>
        <w:pStyle w:val="Footnote"/>
        <w:jc w:val="both"/>
        <w:rPr>
          <w:rFonts w:eastAsia="Calibri"/>
          <w:lang w:val="en-CA"/>
        </w:rPr>
      </w:pPr>
      <w:r w:rsidRPr="00B52637">
        <w:rPr>
          <w:rFonts w:eastAsia="Calibri"/>
          <w:lang w:val="en-CA"/>
        </w:rPr>
        <w:t xml:space="preserve">Source: </w:t>
      </w:r>
      <w:r w:rsidR="001B686B" w:rsidRPr="00B52637">
        <w:rPr>
          <w:lang w:val="en-CA"/>
        </w:rPr>
        <w:t xml:space="preserve">Table created by </w:t>
      </w:r>
      <w:r w:rsidR="005670C4" w:rsidRPr="00B52637">
        <w:rPr>
          <w:lang w:val="en-CA"/>
        </w:rPr>
        <w:t xml:space="preserve">the </w:t>
      </w:r>
      <w:r w:rsidR="001B686B" w:rsidRPr="00B52637">
        <w:rPr>
          <w:lang w:val="en-CA"/>
        </w:rPr>
        <w:t xml:space="preserve">authors based on data from </w:t>
      </w:r>
      <w:r w:rsidR="005670C4" w:rsidRPr="00B52637">
        <w:rPr>
          <w:lang w:val="en-CA"/>
        </w:rPr>
        <w:t>“</w:t>
      </w:r>
      <w:r w:rsidR="002A46BE" w:rsidRPr="00B52637">
        <w:rPr>
          <w:lang w:val="en-CA"/>
        </w:rPr>
        <w:t>Kombi Timeless Gloves-Men,</w:t>
      </w:r>
      <w:r w:rsidR="005670C4" w:rsidRPr="00B52637">
        <w:rPr>
          <w:lang w:val="en-CA"/>
        </w:rPr>
        <w:t>”</w:t>
      </w:r>
      <w:r w:rsidR="002A46BE" w:rsidRPr="00B52637">
        <w:rPr>
          <w:lang w:val="en-CA"/>
        </w:rPr>
        <w:t xml:space="preserve"> MEC, </w:t>
      </w:r>
      <w:r w:rsidR="002A46BE" w:rsidRPr="00B52637">
        <w:rPr>
          <w:rFonts w:eastAsia="Calibri"/>
          <w:lang w:val="en-CA"/>
        </w:rPr>
        <w:t>accessed July 25, 2020</w:t>
      </w:r>
      <w:r w:rsidR="005670C4" w:rsidRPr="00B52637">
        <w:rPr>
          <w:rFonts w:eastAsia="Calibri"/>
          <w:lang w:val="en-CA"/>
        </w:rPr>
        <w:t>,</w:t>
      </w:r>
      <w:r w:rsidR="002A46BE" w:rsidRPr="00B52637">
        <w:rPr>
          <w:rFonts w:eastAsia="Calibri"/>
          <w:lang w:val="en-CA"/>
        </w:rPr>
        <w:t xml:space="preserve"> </w:t>
      </w:r>
      <w:r w:rsidR="002A46BE" w:rsidRPr="00B52637">
        <w:rPr>
          <w:lang w:val="en-CA"/>
        </w:rPr>
        <w:t>https://www.mec.ca/en/product/5063-351/Timeless-Gloves</w:t>
      </w:r>
      <w:r w:rsidR="001B686B" w:rsidRPr="00B52637">
        <w:rPr>
          <w:lang w:val="en-CA"/>
        </w:rPr>
        <w:t>;</w:t>
      </w:r>
      <w:r w:rsidR="002A46BE" w:rsidRPr="00B52637">
        <w:rPr>
          <w:lang w:val="en-CA"/>
        </w:rPr>
        <w:t xml:space="preserve"> </w:t>
      </w:r>
      <w:r w:rsidR="005670C4" w:rsidRPr="00B52637">
        <w:rPr>
          <w:lang w:val="en-CA"/>
        </w:rPr>
        <w:t>“</w:t>
      </w:r>
      <w:r w:rsidR="002A46BE" w:rsidRPr="00B52637">
        <w:rPr>
          <w:lang w:val="en-CA"/>
        </w:rPr>
        <w:t xml:space="preserve">The North Face Montana </w:t>
      </w:r>
      <w:proofErr w:type="spellStart"/>
      <w:r w:rsidR="002A46BE" w:rsidRPr="00B52637">
        <w:rPr>
          <w:lang w:val="en-CA"/>
        </w:rPr>
        <w:t>Futurelight</w:t>
      </w:r>
      <w:proofErr w:type="spellEnd"/>
      <w:r w:rsidR="002A46BE" w:rsidRPr="00B52637">
        <w:rPr>
          <w:lang w:val="en-CA"/>
        </w:rPr>
        <w:t xml:space="preserve"> </w:t>
      </w:r>
      <w:proofErr w:type="spellStart"/>
      <w:r w:rsidR="002A46BE" w:rsidRPr="00B52637">
        <w:rPr>
          <w:lang w:val="en-CA"/>
        </w:rPr>
        <w:t>Etip</w:t>
      </w:r>
      <w:proofErr w:type="spellEnd"/>
      <w:r w:rsidR="001B686B" w:rsidRPr="00B52637">
        <w:rPr>
          <w:lang w:val="en-CA"/>
        </w:rPr>
        <w:t xml:space="preserve"> </w:t>
      </w:r>
      <w:r w:rsidR="002A46BE" w:rsidRPr="00B52637">
        <w:rPr>
          <w:lang w:val="en-CA"/>
        </w:rPr>
        <w:t>Gloves-Men’s,</w:t>
      </w:r>
      <w:r w:rsidR="005670C4" w:rsidRPr="00B52637">
        <w:rPr>
          <w:lang w:val="en-CA"/>
        </w:rPr>
        <w:t>”</w:t>
      </w:r>
      <w:r w:rsidR="002A46BE" w:rsidRPr="00B52637">
        <w:rPr>
          <w:lang w:val="en-CA"/>
        </w:rPr>
        <w:t xml:space="preserve"> MEC, accessed July 25, 2020, https://www.mec.ca/en/product/6001-832/Montana-Futurelight-Etip-Gloves</w:t>
      </w:r>
      <w:r w:rsidR="001B686B" w:rsidRPr="00B52637">
        <w:rPr>
          <w:rFonts w:eastAsia="Calibri"/>
          <w:lang w:val="en-CA"/>
        </w:rPr>
        <w:t xml:space="preserve">; </w:t>
      </w:r>
      <w:r w:rsidR="005670C4" w:rsidRPr="00B52637">
        <w:rPr>
          <w:rFonts w:eastAsia="Calibri"/>
          <w:lang w:val="en-CA"/>
        </w:rPr>
        <w:t>“</w:t>
      </w:r>
      <w:r w:rsidR="002A46BE" w:rsidRPr="00B52637">
        <w:rPr>
          <w:rFonts w:eastAsia="Calibri"/>
          <w:lang w:val="en-CA"/>
        </w:rPr>
        <w:t>MEC Icefields Glove-Unisex,</w:t>
      </w:r>
      <w:r w:rsidR="005670C4" w:rsidRPr="00B52637">
        <w:rPr>
          <w:rFonts w:eastAsia="Calibri"/>
          <w:lang w:val="en-CA"/>
        </w:rPr>
        <w:t>”</w:t>
      </w:r>
      <w:r w:rsidR="002A46BE" w:rsidRPr="00B52637">
        <w:rPr>
          <w:rFonts w:eastAsia="Calibri"/>
          <w:lang w:val="en-CA"/>
        </w:rPr>
        <w:t xml:space="preserve"> MEC, accessed July 25, 2020, </w:t>
      </w:r>
      <w:r w:rsidR="002A46BE" w:rsidRPr="00B52637">
        <w:rPr>
          <w:lang w:val="en-CA"/>
        </w:rPr>
        <w:t>https://www.mec.ca/en/product/5061-737/Icefields-Gloves</w:t>
      </w:r>
      <w:r w:rsidR="002A46BE" w:rsidRPr="00B52637">
        <w:rPr>
          <w:rFonts w:eastAsia="Calibri"/>
          <w:lang w:val="en-CA"/>
        </w:rPr>
        <w:t xml:space="preserve">; </w:t>
      </w:r>
      <w:r w:rsidR="005670C4" w:rsidRPr="00B52637">
        <w:rPr>
          <w:rFonts w:eastAsia="Calibri"/>
          <w:lang w:val="en-CA"/>
        </w:rPr>
        <w:t>“</w:t>
      </w:r>
      <w:r w:rsidR="002A46BE" w:rsidRPr="00B52637">
        <w:rPr>
          <w:rFonts w:eastAsia="Calibri"/>
          <w:lang w:val="en-CA"/>
        </w:rPr>
        <w:t>X-Change Glove,</w:t>
      </w:r>
      <w:r w:rsidR="005670C4" w:rsidRPr="00B52637">
        <w:rPr>
          <w:rFonts w:eastAsia="Calibri"/>
          <w:lang w:val="en-CA"/>
        </w:rPr>
        <w:t>”</w:t>
      </w:r>
      <w:r w:rsidR="002A46BE" w:rsidRPr="00B52637">
        <w:rPr>
          <w:rFonts w:eastAsia="Calibri"/>
          <w:lang w:val="en-CA"/>
        </w:rPr>
        <w:t xml:space="preserve"> </w:t>
      </w:r>
      <w:proofErr w:type="spellStart"/>
      <w:r w:rsidR="002A46BE" w:rsidRPr="00B52637">
        <w:rPr>
          <w:rFonts w:eastAsia="Calibri"/>
          <w:lang w:val="en-CA"/>
        </w:rPr>
        <w:t>Swany</w:t>
      </w:r>
      <w:proofErr w:type="spellEnd"/>
      <w:r w:rsidR="002A46BE" w:rsidRPr="00B52637">
        <w:rPr>
          <w:rFonts w:eastAsia="Calibri"/>
          <w:lang w:val="en-CA"/>
        </w:rPr>
        <w:t>, accessed July 25, 2020</w:t>
      </w:r>
      <w:r w:rsidR="005670C4" w:rsidRPr="00B52637">
        <w:rPr>
          <w:rFonts w:eastAsia="Calibri"/>
          <w:lang w:val="en-CA"/>
        </w:rPr>
        <w:t>,</w:t>
      </w:r>
      <w:r w:rsidR="002A46BE" w:rsidRPr="00B52637">
        <w:rPr>
          <w:rFonts w:eastAsia="Calibri"/>
          <w:lang w:val="en-CA"/>
        </w:rPr>
        <w:t xml:space="preserve"> https://www.swanyamerica.com/product/w-change</w:t>
      </w:r>
      <w:r w:rsidR="00F63C52" w:rsidRPr="00B52637">
        <w:rPr>
          <w:rFonts w:eastAsia="Calibri"/>
          <w:lang w:val="en-CA"/>
        </w:rPr>
        <w:t>/.</w:t>
      </w:r>
    </w:p>
    <w:p w14:paraId="1928DE60" w14:textId="77777777" w:rsidR="00603A3C" w:rsidRPr="00B52637" w:rsidRDefault="00603A3C" w:rsidP="008D5963">
      <w:pPr>
        <w:spacing w:after="200" w:line="276" w:lineRule="auto"/>
        <w:rPr>
          <w:rFonts w:eastAsia="Calibri"/>
        </w:rPr>
      </w:pPr>
    </w:p>
    <w:p w14:paraId="3C05BCA0" w14:textId="670A0A90" w:rsidR="00603A3C" w:rsidRPr="00B52637" w:rsidRDefault="00603A3C" w:rsidP="008D5963">
      <w:pPr>
        <w:spacing w:after="200" w:line="276" w:lineRule="auto"/>
        <w:rPr>
          <w:rFonts w:eastAsia="Calibri"/>
        </w:rPr>
      </w:pPr>
    </w:p>
    <w:p w14:paraId="65E8C602" w14:textId="1386AA72" w:rsidR="008D5963" w:rsidRPr="00B52637" w:rsidRDefault="008D5963" w:rsidP="008D5963">
      <w:pPr>
        <w:spacing w:after="200" w:line="276" w:lineRule="auto"/>
        <w:rPr>
          <w:rFonts w:eastAsia="Calibri"/>
        </w:rPr>
        <w:sectPr w:rsidR="008D5963" w:rsidRPr="00B52637" w:rsidSect="00C76CCC">
          <w:headerReference w:type="default" r:id="rId14"/>
          <w:endnotePr>
            <w:numFmt w:val="decimal"/>
          </w:endnotePr>
          <w:pgSz w:w="12240" w:h="15840" w:code="1"/>
          <w:pgMar w:top="1440" w:right="1440" w:bottom="1440" w:left="1440" w:header="1080" w:footer="720" w:gutter="0"/>
          <w:cols w:space="720"/>
          <w:docGrid w:linePitch="360"/>
        </w:sectPr>
      </w:pPr>
      <w:r w:rsidRPr="00B52637">
        <w:rPr>
          <w:rFonts w:eastAsia="Calibri"/>
        </w:rPr>
        <w:br w:type="page"/>
      </w:r>
    </w:p>
    <w:p w14:paraId="54B0B953" w14:textId="387C26E8" w:rsidR="004013AD" w:rsidRPr="00B52637" w:rsidRDefault="00BF5A1A" w:rsidP="002B40FF">
      <w:pPr>
        <w:pStyle w:val="Casehead1"/>
        <w:rPr>
          <w:lang w:val="en-CA"/>
        </w:rPr>
      </w:pPr>
      <w:r w:rsidRPr="00B52637">
        <w:rPr>
          <w:lang w:val="en-CA"/>
        </w:rPr>
        <w:lastRenderedPageBreak/>
        <w:t>ENDNOTES</w:t>
      </w:r>
    </w:p>
    <w:sectPr w:rsidR="004013AD" w:rsidRPr="00B52637" w:rsidSect="00BF5A1A">
      <w:headerReference w:type="default" r:id="rId15"/>
      <w:endnotePr>
        <w:numFmt w:val="decimal"/>
      </w:endnotePr>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8D92C" w14:textId="77777777" w:rsidR="009530C9" w:rsidRDefault="009530C9" w:rsidP="00D75295">
      <w:r>
        <w:separator/>
      </w:r>
    </w:p>
  </w:endnote>
  <w:endnote w:type="continuationSeparator" w:id="0">
    <w:p w14:paraId="24E6F40E" w14:textId="77777777" w:rsidR="009530C9" w:rsidRDefault="009530C9" w:rsidP="00D75295">
      <w:r>
        <w:continuationSeparator/>
      </w:r>
    </w:p>
  </w:endnote>
  <w:endnote w:id="1">
    <w:p w14:paraId="1A961787" w14:textId="5BBD328F" w:rsidR="009530C9" w:rsidRPr="00B62D5C" w:rsidRDefault="009530C9" w:rsidP="00B62D5C">
      <w:pPr>
        <w:pStyle w:val="Footnote"/>
        <w:jc w:val="both"/>
      </w:pPr>
      <w:r w:rsidRPr="00B62D5C">
        <w:rPr>
          <w:rStyle w:val="EndnoteReference"/>
        </w:rPr>
        <w:endnoteRef/>
      </w:r>
      <w:r w:rsidRPr="00B62D5C">
        <w:t xml:space="preserve"> As quoted in Ellen Teitelbaum, “Merchants of Warmth,” Kombi (blog), August 18, 2015, accessed May 5, 2021, https://www.kombicanada.com/blog/merchants-of-warmth.  </w:t>
      </w:r>
    </w:p>
  </w:endnote>
  <w:endnote w:id="2">
    <w:p w14:paraId="09816B75" w14:textId="3ED807F7" w:rsidR="009530C9" w:rsidRPr="00B62D5C" w:rsidRDefault="009530C9" w:rsidP="00B62D5C">
      <w:pPr>
        <w:pStyle w:val="Footnote"/>
        <w:jc w:val="both"/>
        <w:rPr>
          <w:lang w:val="en-CA"/>
        </w:rPr>
      </w:pPr>
      <w:r w:rsidRPr="00B62D5C">
        <w:rPr>
          <w:rStyle w:val="EndnoteReference"/>
        </w:rPr>
        <w:endnoteRef/>
      </w:r>
      <w:r w:rsidRPr="00B62D5C">
        <w:t xml:space="preserve"> Mark Pascal (president and chief executive officer, Kombi Sports Inc.), in discussion with the case authors, June 18, 2020</w:t>
      </w:r>
      <w:r w:rsidRPr="00B62D5C">
        <w:rPr>
          <w:lang w:val="en-CA"/>
        </w:rPr>
        <w:t>.</w:t>
      </w:r>
    </w:p>
  </w:endnote>
  <w:endnote w:id="3">
    <w:p w14:paraId="4F1C0A9C" w14:textId="5963E060" w:rsidR="009530C9" w:rsidRPr="00B62D5C" w:rsidRDefault="009530C9" w:rsidP="00B62D5C">
      <w:pPr>
        <w:pStyle w:val="Footnote"/>
        <w:jc w:val="both"/>
        <w:rPr>
          <w:lang w:val="fr-CA"/>
        </w:rPr>
      </w:pPr>
      <w:r w:rsidRPr="00B62D5C">
        <w:rPr>
          <w:rStyle w:val="EndnoteReference"/>
        </w:rPr>
        <w:endnoteRef/>
      </w:r>
      <w:r w:rsidRPr="00B62D5C">
        <w:rPr>
          <w:lang w:val="fr-CA"/>
        </w:rPr>
        <w:t xml:space="preserve"> Marie-Renée Grondin, “</w:t>
      </w:r>
      <w:proofErr w:type="spellStart"/>
      <w:r w:rsidRPr="00B62D5C">
        <w:rPr>
          <w:lang w:val="fr-CA"/>
        </w:rPr>
        <w:t>Kombi</w:t>
      </w:r>
      <w:proofErr w:type="spellEnd"/>
      <w:r w:rsidRPr="00B62D5C">
        <w:rPr>
          <w:lang w:val="fr-CA"/>
        </w:rPr>
        <w:t xml:space="preserve"> lance des tuques édition spéciale</w:t>
      </w:r>
      <w:proofErr w:type="gramStart"/>
      <w:r w:rsidRPr="00B62D5C">
        <w:rPr>
          <w:lang w:val="fr-CA"/>
        </w:rPr>
        <w:t xml:space="preserve"> «La</w:t>
      </w:r>
      <w:proofErr w:type="gramEnd"/>
      <w:r w:rsidRPr="00B62D5C">
        <w:rPr>
          <w:lang w:val="fr-CA"/>
        </w:rPr>
        <w:t xml:space="preserve"> Guerre des Tuques 3D»,</w:t>
      </w:r>
      <w:r w:rsidRPr="00B62D5C">
        <w:t>”</w:t>
      </w:r>
      <w:r w:rsidRPr="00B62D5C">
        <w:rPr>
          <w:lang w:val="fr-CA"/>
        </w:rPr>
        <w:t xml:space="preserve"> Le Sac de Chips, </w:t>
      </w:r>
      <w:proofErr w:type="spellStart"/>
      <w:r w:rsidRPr="00B62D5C">
        <w:rPr>
          <w:lang w:val="fr-CA"/>
        </w:rPr>
        <w:t>October</w:t>
      </w:r>
      <w:proofErr w:type="spellEnd"/>
      <w:r w:rsidRPr="00B62D5C">
        <w:rPr>
          <w:lang w:val="fr-CA"/>
        </w:rPr>
        <w:t xml:space="preserve"> 21, 2015, </w:t>
      </w:r>
      <w:r w:rsidRPr="00B62D5C">
        <w:t xml:space="preserve">accessed May 5, 2021, </w:t>
      </w:r>
      <w:r w:rsidRPr="00B62D5C">
        <w:rPr>
          <w:lang w:val="fr-CA"/>
        </w:rPr>
        <w:t>https://www.lesacdechips.com/2015/10/21/kombi-lance-des-tuques-edition-speciale-la-guerre-des-tuques.</w:t>
      </w:r>
    </w:p>
  </w:endnote>
  <w:endnote w:id="4">
    <w:p w14:paraId="01CFE056" w14:textId="44D7F157" w:rsidR="009530C9" w:rsidRPr="00B62D5C" w:rsidRDefault="009530C9" w:rsidP="00B62D5C">
      <w:pPr>
        <w:pStyle w:val="Footnote"/>
        <w:jc w:val="both"/>
      </w:pPr>
      <w:r w:rsidRPr="00B62D5C">
        <w:rPr>
          <w:rStyle w:val="EndnoteReference"/>
        </w:rPr>
        <w:endnoteRef/>
      </w:r>
      <w:r w:rsidRPr="00B62D5C">
        <w:t xml:space="preserve"> “Snack-and-Go Flip Mittens,” </w:t>
      </w:r>
      <w:proofErr w:type="spellStart"/>
      <w:r w:rsidRPr="00B62D5C">
        <w:t>BeaverTails</w:t>
      </w:r>
      <w:proofErr w:type="spellEnd"/>
      <w:r w:rsidRPr="00B62D5C">
        <w:t>, accessed July 19, 2020, https://shop.beavertails.com/products/snack-and-go-flip-mittens.</w:t>
      </w:r>
    </w:p>
  </w:endnote>
  <w:endnote w:id="5">
    <w:p w14:paraId="1EDDF8AB" w14:textId="67A39A9D" w:rsidR="009530C9" w:rsidRPr="00B62D5C" w:rsidRDefault="009530C9" w:rsidP="00B62D5C">
      <w:pPr>
        <w:pStyle w:val="Footnote"/>
        <w:jc w:val="both"/>
        <w:rPr>
          <w:lang w:val="en-CA"/>
        </w:rPr>
      </w:pPr>
      <w:r w:rsidRPr="00B62D5C">
        <w:rPr>
          <w:rStyle w:val="EndnoteReference"/>
        </w:rPr>
        <w:endnoteRef/>
      </w:r>
      <w:r w:rsidRPr="00B62D5C">
        <w:t xml:space="preserve"> Yvette </w:t>
      </w:r>
      <w:proofErr w:type="spellStart"/>
      <w:r w:rsidRPr="00B62D5C">
        <w:t>Brend</w:t>
      </w:r>
      <w:proofErr w:type="spellEnd"/>
      <w:r w:rsidRPr="00B62D5C">
        <w:t xml:space="preserve">, “MEC Loses $11m as New CEO Braces against Storm of Competition,” CBC News, November 28, 2019, accessed May 5, 2021, https://www.cbc.ca/news/canada/british-columbia/mec-11m-outdoor-gear-mountain-equipment-co-op-1.5375846. The co-operative was sold to Kingswood Capital Management LP in September 2020; after the sale, it operated as MEC Mountain Equipment Company Ltd.: Susan </w:t>
      </w:r>
      <w:proofErr w:type="spellStart"/>
      <w:r w:rsidRPr="00B62D5C">
        <w:t>Krashinsky</w:t>
      </w:r>
      <w:proofErr w:type="spellEnd"/>
      <w:r w:rsidRPr="00B62D5C">
        <w:t xml:space="preserve"> Robertson, “Outdoor Recreation Retailer MEC Sold to U.S. Private Investment Firm,” </w:t>
      </w:r>
      <w:r w:rsidRPr="00B62D5C">
        <w:rPr>
          <w:i/>
        </w:rPr>
        <w:t xml:space="preserve">The </w:t>
      </w:r>
      <w:r w:rsidRPr="00B62D5C">
        <w:rPr>
          <w:i/>
          <w:iCs/>
        </w:rPr>
        <w:t>Globe and Mail</w:t>
      </w:r>
      <w:r w:rsidRPr="00B62D5C">
        <w:t>, September 14, 2020, accessed May 5, 2021, https://www.theglobeandmail.com/business/article-outdoor-recreation-retailer-mec-sold-to-us-private-investment-firm.</w:t>
      </w:r>
    </w:p>
  </w:endnote>
  <w:endnote w:id="6">
    <w:p w14:paraId="4FAFF381" w14:textId="2C5653A1" w:rsidR="009530C9" w:rsidRPr="00B62D5C" w:rsidRDefault="009530C9" w:rsidP="00B62D5C">
      <w:pPr>
        <w:pStyle w:val="Footnote"/>
        <w:jc w:val="both"/>
      </w:pPr>
      <w:r w:rsidRPr="00B62D5C">
        <w:rPr>
          <w:rStyle w:val="EndnoteReference"/>
        </w:rPr>
        <w:endnoteRef/>
      </w:r>
      <w:r w:rsidRPr="00B62D5C">
        <w:t xml:space="preserve"> Andrew Denning, “How Skiing Went from the Alps to the Masses,” </w:t>
      </w:r>
      <w:r w:rsidRPr="00B62D5C">
        <w:rPr>
          <w:i/>
          <w:iCs/>
        </w:rPr>
        <w:t>Atlantic</w:t>
      </w:r>
      <w:r w:rsidRPr="00B62D5C">
        <w:t>, February 23, 2015, accessed May 5, 2021, https://www.theatlantic.com/business/archive/2015/02/how-skiing-went-from-the-alps-to-the-masses/385691.</w:t>
      </w:r>
    </w:p>
  </w:endnote>
  <w:endnote w:id="7">
    <w:p w14:paraId="3B8A2800" w14:textId="06D3169E" w:rsidR="009530C9" w:rsidRPr="00B62D5C" w:rsidRDefault="009530C9" w:rsidP="00B62D5C">
      <w:pPr>
        <w:pStyle w:val="Footnote"/>
        <w:jc w:val="both"/>
      </w:pPr>
      <w:r w:rsidRPr="00B62D5C">
        <w:rPr>
          <w:rStyle w:val="EndnoteReference"/>
        </w:rPr>
        <w:endnoteRef/>
      </w:r>
      <w:r w:rsidRPr="00B62D5C">
        <w:t xml:space="preserve"> Michel Beaudry, “All or Nothing: Nancy Greene’s 1967 World Cup,” International Skiing History Association, April 5, 2017, accessed May 5, 2021, https://skiinghistory.org/news/all-or-nothing-nancy-greenes-1967-world-cup.</w:t>
      </w:r>
      <w:r w:rsidRPr="00B62D5C" w:rsidDel="00AA1693">
        <w:t xml:space="preserve"> </w:t>
      </w:r>
    </w:p>
  </w:endnote>
  <w:endnote w:id="8">
    <w:p w14:paraId="2784DEA6" w14:textId="6B1757AE" w:rsidR="009530C9" w:rsidRPr="00B62D5C" w:rsidRDefault="009530C9" w:rsidP="00B62D5C">
      <w:pPr>
        <w:pStyle w:val="Footnote"/>
        <w:jc w:val="both"/>
        <w:rPr>
          <w:rStyle w:val="Hyperlink"/>
          <w:color w:val="000000" w:themeColor="text1"/>
          <w:lang w:val="en-CA"/>
        </w:rPr>
      </w:pPr>
      <w:r w:rsidRPr="00B62D5C">
        <w:rPr>
          <w:rStyle w:val="EndnoteReference"/>
        </w:rPr>
        <w:endnoteRef/>
      </w:r>
      <w:r w:rsidRPr="00B62D5C">
        <w:t xml:space="preserve"> Canadian Tire Corp., “Canadian Tire Embraces the Power of Sport,” press release, January 23, 2013, accessed May 5, 2021, https://corp.canadiantire.ca/English/media/news-releases/press-release-details/2013/Canadian-Tire-Embraces-the-Power-of-Sport/default.aspx. </w:t>
      </w:r>
    </w:p>
  </w:endnote>
  <w:endnote w:id="9">
    <w:p w14:paraId="24DEBF82" w14:textId="7AF1B564" w:rsidR="009530C9" w:rsidRPr="00B62D5C" w:rsidRDefault="009530C9" w:rsidP="00B62D5C">
      <w:pPr>
        <w:pStyle w:val="Footnote"/>
        <w:jc w:val="both"/>
      </w:pPr>
      <w:r w:rsidRPr="00B62D5C">
        <w:rPr>
          <w:rStyle w:val="EndnoteReference"/>
        </w:rPr>
        <w:endnoteRef/>
      </w:r>
      <w:r w:rsidRPr="00B62D5C">
        <w:t xml:space="preserve"> “Our Athletes,” The North Face, accessed April 13, 2021, accessed May 5, 2021, https://www.thenorthface.com/en_ca/about-us/athletes.html. </w:t>
      </w:r>
    </w:p>
  </w:endnote>
  <w:endnote w:id="10">
    <w:p w14:paraId="6CAB5B1A" w14:textId="4A05230C" w:rsidR="009530C9" w:rsidRPr="00B62D5C" w:rsidRDefault="009530C9" w:rsidP="00B62D5C">
      <w:pPr>
        <w:pStyle w:val="Footnote"/>
        <w:jc w:val="both"/>
      </w:pPr>
      <w:r w:rsidRPr="00B62D5C">
        <w:rPr>
          <w:rStyle w:val="EndnoteReference"/>
        </w:rPr>
        <w:endnoteRef/>
      </w:r>
      <w:r w:rsidRPr="00B62D5C">
        <w:t xml:space="preserve"> Paul Attfield, “Former Ski-Racer </w:t>
      </w:r>
      <w:proofErr w:type="spellStart"/>
      <w:r w:rsidRPr="00B62D5C">
        <w:t>Grandi</w:t>
      </w:r>
      <w:proofErr w:type="spellEnd"/>
      <w:r w:rsidRPr="00B62D5C">
        <w:t xml:space="preserve"> Brings Business Smarts to Alpine Canada,” </w:t>
      </w:r>
      <w:r w:rsidRPr="00B62D5C">
        <w:rPr>
          <w:i/>
        </w:rPr>
        <w:t xml:space="preserve">The </w:t>
      </w:r>
      <w:r w:rsidRPr="00B62D5C">
        <w:rPr>
          <w:i/>
          <w:iCs/>
        </w:rPr>
        <w:t>Globe and Mail</w:t>
      </w:r>
      <w:r w:rsidRPr="00B62D5C">
        <w:t>, February 6, 2018, accessed May 5, 2021, https://www.theglobeandmail.com/report-on-business/careers/business-education/former-ski-racer-grandi-brings-business-smarts-to-alpine-canada/article37870540.</w:t>
      </w:r>
    </w:p>
  </w:endnote>
  <w:endnote w:id="11">
    <w:p w14:paraId="16B7786A" w14:textId="34D217A6" w:rsidR="00B62D5C" w:rsidRPr="00B62D5C" w:rsidRDefault="00B62D5C" w:rsidP="00B62D5C">
      <w:pPr>
        <w:pStyle w:val="EndnoteText"/>
        <w:jc w:val="both"/>
        <w:rPr>
          <w:rFonts w:ascii="Arial" w:hAnsi="Arial" w:cs="Arial"/>
          <w:sz w:val="17"/>
          <w:szCs w:val="17"/>
          <w:lang w:val="en-US"/>
        </w:rPr>
      </w:pPr>
      <w:r w:rsidRPr="00B62D5C">
        <w:rPr>
          <w:rStyle w:val="EndnoteReference"/>
          <w:rFonts w:ascii="Arial" w:hAnsi="Arial" w:cs="Arial"/>
          <w:sz w:val="17"/>
          <w:szCs w:val="17"/>
        </w:rPr>
        <w:endnoteRef/>
      </w:r>
      <w:r w:rsidRPr="00B62D5C">
        <w:rPr>
          <w:rFonts w:ascii="Arial" w:hAnsi="Arial" w:cs="Arial"/>
          <w:sz w:val="17"/>
          <w:szCs w:val="17"/>
        </w:rPr>
        <w:t xml:space="preserve"> </w:t>
      </w:r>
      <w:proofErr w:type="spellStart"/>
      <w:r w:rsidRPr="00B62D5C">
        <w:rPr>
          <w:rFonts w:ascii="Arial" w:eastAsia="Times New Roman" w:hAnsi="Arial" w:cs="Arial"/>
          <w:i/>
          <w:iCs/>
          <w:sz w:val="17"/>
          <w:szCs w:val="17"/>
        </w:rPr>
        <w:t>Canadiana</w:t>
      </w:r>
      <w:proofErr w:type="spellEnd"/>
      <w:r w:rsidRPr="00B62D5C">
        <w:rPr>
          <w:rFonts w:ascii="Arial" w:eastAsia="Times New Roman" w:hAnsi="Arial" w:cs="Arial"/>
          <w:sz w:val="17"/>
          <w:szCs w:val="17"/>
        </w:rPr>
        <w:t xml:space="preserve"> consisted of publications, art, and artefacts depicting the history and culture of Canada.</w:t>
      </w:r>
    </w:p>
  </w:endnote>
  <w:endnote w:id="12">
    <w:p w14:paraId="7AA9E31C" w14:textId="025D9691" w:rsidR="009530C9" w:rsidRPr="00B62D5C" w:rsidRDefault="009530C9" w:rsidP="00B62D5C">
      <w:pPr>
        <w:pStyle w:val="Footnote"/>
        <w:jc w:val="both"/>
      </w:pPr>
      <w:r w:rsidRPr="00B62D5C">
        <w:rPr>
          <w:rStyle w:val="EndnoteReference"/>
        </w:rPr>
        <w:endnoteRef/>
      </w:r>
      <w:r w:rsidRPr="00B62D5C">
        <w:t xml:space="preserve"> Chic Scott, </w:t>
      </w:r>
      <w:r w:rsidRPr="00B62D5C">
        <w:rPr>
          <w:i/>
          <w:iCs/>
        </w:rPr>
        <w:t>Pushing the Limits: The Story of Canadian Mountaineering</w:t>
      </w:r>
      <w:r w:rsidRPr="00B62D5C">
        <w:t xml:space="preserve"> (Calgary, AB: Rocky Mountain Books, 2000), 29, 55–56. </w:t>
      </w:r>
    </w:p>
  </w:endnote>
  <w:endnote w:id="13">
    <w:p w14:paraId="5250807A" w14:textId="421E636B" w:rsidR="009530C9" w:rsidRPr="00B62D5C" w:rsidRDefault="009530C9" w:rsidP="00B62D5C">
      <w:pPr>
        <w:pStyle w:val="Footnote"/>
        <w:jc w:val="both"/>
      </w:pPr>
      <w:r w:rsidRPr="00B62D5C">
        <w:rPr>
          <w:rStyle w:val="EndnoteReference"/>
        </w:rPr>
        <w:endnoteRef/>
      </w:r>
      <w:r w:rsidRPr="00B62D5C">
        <w:t xml:space="preserve"> “Canadian Population Born in Europe and United States, 1871 to 2011” chart 3 in “150 Years of Immigration in Canada,” Statistics Canada, June 29, 2016, accessed May 5, 2021, </w:t>
      </w:r>
      <w:r w:rsidRPr="00B62D5C">
        <w:rPr>
          <w:rFonts w:eastAsia="Calibri"/>
        </w:rPr>
        <w:t>https://www150.statcan.gc.ca/n1/pub/11-630-x/11-630-x2016006-eng.htm.</w:t>
      </w:r>
    </w:p>
  </w:endnote>
  <w:endnote w:id="14">
    <w:p w14:paraId="40CD990C" w14:textId="03CF539F" w:rsidR="009530C9" w:rsidRPr="00B62D5C" w:rsidRDefault="009530C9" w:rsidP="00B62D5C">
      <w:pPr>
        <w:pStyle w:val="Footnote"/>
        <w:jc w:val="both"/>
      </w:pPr>
      <w:r w:rsidRPr="00B62D5C">
        <w:rPr>
          <w:rStyle w:val="EndnoteReference"/>
        </w:rPr>
        <w:endnoteRef/>
      </w:r>
      <w:r w:rsidRPr="00B62D5C">
        <w:t xml:space="preserve"> </w:t>
      </w:r>
      <w:r w:rsidRPr="00B62D5C">
        <w:rPr>
          <w:rFonts w:eastAsia="Calibri"/>
        </w:rPr>
        <w:t xml:space="preserve">Statistics Canada, </w:t>
      </w:r>
      <w:r w:rsidRPr="00B62D5C">
        <w:rPr>
          <w:rFonts w:eastAsia="Calibri"/>
          <w:i/>
          <w:iCs/>
        </w:rPr>
        <w:t>2016 Census: Immigrant Population in Canada</w:t>
      </w:r>
      <w:r w:rsidRPr="00B62D5C">
        <w:rPr>
          <w:rFonts w:eastAsia="Calibri"/>
        </w:rPr>
        <w:t xml:space="preserve"> (infographic), catalogue number 11-627-M, accessed June 13, 2020, https://www150.statcan.gc.ca/n1/en/pub/11-627-m/11-627-m2017028-eng.pdf?st=z7EEBVwH.</w:t>
      </w:r>
    </w:p>
  </w:endnote>
  <w:endnote w:id="15">
    <w:p w14:paraId="5A145342" w14:textId="0A6F6DC7" w:rsidR="009530C9" w:rsidRPr="00B62D5C" w:rsidRDefault="009530C9" w:rsidP="00B62D5C">
      <w:pPr>
        <w:pStyle w:val="Footnote"/>
        <w:jc w:val="both"/>
      </w:pPr>
      <w:r w:rsidRPr="00B62D5C">
        <w:rPr>
          <w:rStyle w:val="EndnoteReference"/>
        </w:rPr>
        <w:endnoteRef/>
      </w:r>
      <w:r w:rsidRPr="00B62D5C">
        <w:t xml:space="preserve"> Canadian Heritage, </w:t>
      </w:r>
      <w:r w:rsidRPr="00B62D5C">
        <w:rPr>
          <w:i/>
          <w:iCs/>
        </w:rPr>
        <w:t>Sport Participation 2010</w:t>
      </w:r>
      <w:r w:rsidRPr="00B62D5C">
        <w:t xml:space="preserve"> (Ottawa, ON: Government of Canada, 2013), Research Paper Catalogue No. CH24-1/2012E-PDF, accessed May 5, 2021, 30, http://publications.gc.ca/collections/collection_2013/pc-ch/CH24-1-2012-eng.pdf. </w:t>
      </w:r>
    </w:p>
  </w:endnote>
  <w:endnote w:id="16">
    <w:p w14:paraId="39599EA4" w14:textId="071D1D0C" w:rsidR="009530C9" w:rsidRPr="00B62D5C" w:rsidRDefault="009530C9" w:rsidP="00B62D5C">
      <w:pPr>
        <w:pStyle w:val="Footnote"/>
        <w:jc w:val="both"/>
      </w:pPr>
      <w:r w:rsidRPr="00B62D5C">
        <w:rPr>
          <w:rStyle w:val="EndnoteReference"/>
        </w:rPr>
        <w:endnoteRef/>
      </w:r>
      <w:r w:rsidRPr="00B62D5C">
        <w:t xml:space="preserve"> Ibid., 14, 36.</w:t>
      </w:r>
    </w:p>
  </w:endnote>
  <w:endnote w:id="17">
    <w:p w14:paraId="22E0DF0E" w14:textId="62BE4120" w:rsidR="009530C9" w:rsidRPr="00B62D5C" w:rsidRDefault="009530C9" w:rsidP="00B62D5C">
      <w:pPr>
        <w:pStyle w:val="Footnote"/>
        <w:jc w:val="both"/>
      </w:pPr>
      <w:r w:rsidRPr="00B62D5C">
        <w:rPr>
          <w:rStyle w:val="EndnoteReference"/>
        </w:rPr>
        <w:endnoteRef/>
      </w:r>
      <w:r w:rsidRPr="00B62D5C">
        <w:t xml:space="preserve"> </w:t>
      </w:r>
      <w:r w:rsidRPr="00B62D5C">
        <w:rPr>
          <w:rFonts w:eastAsia="Calibri"/>
        </w:rPr>
        <w:t xml:space="preserve">Fidelis </w:t>
      </w:r>
      <w:proofErr w:type="spellStart"/>
      <w:r w:rsidRPr="00B62D5C">
        <w:rPr>
          <w:rFonts w:eastAsia="Calibri"/>
        </w:rPr>
        <w:t>Ifedi</w:t>
      </w:r>
      <w:proofErr w:type="spellEnd"/>
      <w:r w:rsidRPr="00B62D5C">
        <w:rPr>
          <w:rFonts w:eastAsia="Calibri"/>
        </w:rPr>
        <w:t xml:space="preserve">, “Active Participation Rates in the Top Ten Sports by Sex, 2005,” chart 10 in </w:t>
      </w:r>
      <w:r w:rsidRPr="00B62D5C">
        <w:rPr>
          <w:rFonts w:eastAsia="Calibri"/>
          <w:i/>
          <w:iCs/>
        </w:rPr>
        <w:t>Culture,</w:t>
      </w:r>
      <w:r w:rsidRPr="00B62D5C">
        <w:rPr>
          <w:rFonts w:eastAsia="Calibri"/>
        </w:rPr>
        <w:t xml:space="preserve"> </w:t>
      </w:r>
      <w:r w:rsidRPr="00B62D5C">
        <w:rPr>
          <w:rFonts w:eastAsia="Calibri"/>
          <w:i/>
          <w:iCs/>
        </w:rPr>
        <w:t>Tourism and the Centre for Education Statistics</w:t>
      </w:r>
      <w:r w:rsidRPr="00B62D5C">
        <w:rPr>
          <w:rFonts w:eastAsia="Calibri"/>
        </w:rPr>
        <w:t xml:space="preserve"> (Ottawa, ON: Statistic Canada, 2005), </w:t>
      </w:r>
      <w:r w:rsidRPr="00B62D5C">
        <w:t xml:space="preserve">accessed May 5, 2021, </w:t>
      </w:r>
      <w:r w:rsidRPr="00B62D5C">
        <w:rPr>
          <w:rFonts w:eastAsia="Calibri"/>
        </w:rPr>
        <w:t>https://www150.statcan.gc.ca/n1/pub/81-595-m/81-595-m2008060-eng.htm</w:t>
      </w:r>
      <w:r w:rsidRPr="00B62D5C">
        <w:t xml:space="preserve">; and Canadian Heritage, </w:t>
      </w:r>
      <w:r w:rsidRPr="00B62D5C">
        <w:rPr>
          <w:i/>
          <w:iCs/>
        </w:rPr>
        <w:t>Sport Participation 2010</w:t>
      </w:r>
      <w:r w:rsidRPr="00B62D5C">
        <w:t xml:space="preserve">, op. cit. 36. </w:t>
      </w:r>
      <w:r w:rsidRPr="00B62D5C">
        <w:rPr>
          <w:rFonts w:eastAsia="Calibri"/>
        </w:rPr>
        <w:t xml:space="preserve"> </w:t>
      </w:r>
    </w:p>
  </w:endnote>
  <w:endnote w:id="18">
    <w:p w14:paraId="6BA1CBCA" w14:textId="563A5D68" w:rsidR="009530C9" w:rsidRPr="00B62D5C" w:rsidRDefault="009530C9" w:rsidP="00B62D5C">
      <w:pPr>
        <w:pStyle w:val="Footnote"/>
        <w:jc w:val="both"/>
      </w:pPr>
      <w:r w:rsidRPr="00B62D5C">
        <w:rPr>
          <w:rStyle w:val="EndnoteReference"/>
        </w:rPr>
        <w:endnoteRef/>
      </w:r>
      <w:r w:rsidRPr="00B62D5C">
        <w:t xml:space="preserve"> Laurent </w:t>
      </w:r>
      <w:proofErr w:type="spellStart"/>
      <w:r w:rsidRPr="00B62D5C">
        <w:t>Vanat</w:t>
      </w:r>
      <w:proofErr w:type="spellEnd"/>
      <w:r w:rsidRPr="00B62D5C">
        <w:t xml:space="preserve">, </w:t>
      </w:r>
      <w:r w:rsidRPr="00B62D5C">
        <w:rPr>
          <w:i/>
          <w:iCs/>
        </w:rPr>
        <w:t>2020 International Report on Snow and Mountain Tourism: Overview of the Key Industry Figures for Ski Resorts</w:t>
      </w:r>
      <w:r w:rsidRPr="00B62D5C">
        <w:t>, 12th ed.</w:t>
      </w:r>
      <w:r w:rsidRPr="00B62D5C">
        <w:rPr>
          <w:lang w:val="en-CA"/>
        </w:rPr>
        <w:t xml:space="preserve">, </w:t>
      </w:r>
      <w:r w:rsidRPr="00B62D5C">
        <w:t xml:space="preserve">(Geneva, Switzerland: Laurent </w:t>
      </w:r>
      <w:proofErr w:type="spellStart"/>
      <w:r w:rsidRPr="00B62D5C">
        <w:t>Vanat</w:t>
      </w:r>
      <w:proofErr w:type="spellEnd"/>
      <w:r w:rsidRPr="00B62D5C">
        <w:t>, 2020), accessed May 5, 2021, 154, https://www.vanat.ch/RM-world-report-2020.pdf.</w:t>
      </w:r>
    </w:p>
  </w:endnote>
  <w:endnote w:id="19">
    <w:p w14:paraId="3A74BC6B" w14:textId="03213480" w:rsidR="009530C9" w:rsidRPr="00B62D5C" w:rsidRDefault="009530C9" w:rsidP="00B62D5C">
      <w:pPr>
        <w:pStyle w:val="Footnote"/>
        <w:jc w:val="both"/>
      </w:pPr>
      <w:r w:rsidRPr="00B62D5C">
        <w:rPr>
          <w:rStyle w:val="EndnoteReference"/>
        </w:rPr>
        <w:endnoteRef/>
      </w:r>
      <w:r w:rsidRPr="00B62D5C">
        <w:t xml:space="preserve"> </w:t>
      </w:r>
      <w:r w:rsidRPr="00B62D5C">
        <w:rPr>
          <w:lang w:val="en-CA"/>
        </w:rPr>
        <w:t>Ibid., 218</w:t>
      </w:r>
      <w:r w:rsidRPr="00B62D5C">
        <w:rPr>
          <w:lang w:val="en-CA"/>
        </w:rPr>
        <w:sym w:font="Symbol" w:char="F02D"/>
      </w:r>
      <w:r w:rsidRPr="00B62D5C">
        <w:rPr>
          <w:lang w:val="en-CA"/>
        </w:rPr>
        <w:t>219;</w:t>
      </w:r>
      <w:r w:rsidRPr="00B62D5C">
        <w:t xml:space="preserve"> Louise Dore, Nicole Laity</w:t>
      </w:r>
      <w:r w:rsidRPr="00B62D5C">
        <w:rPr>
          <w:lang w:val="en-CA"/>
        </w:rPr>
        <w:t xml:space="preserve">, </w:t>
      </w:r>
      <w:r w:rsidRPr="00B62D5C">
        <w:rPr>
          <w:i/>
        </w:rPr>
        <w:t>Canada: Ski and Snowboard Market</w:t>
      </w:r>
      <w:r w:rsidRPr="00B62D5C">
        <w:rPr>
          <w:i/>
          <w:lang w:val="en-CA"/>
        </w:rPr>
        <w:t>,</w:t>
      </w:r>
      <w:r w:rsidRPr="00B62D5C">
        <w:t xml:space="preserve"> U.S. Commercial Service, United States of America Department of Commerce, April 2015, accessed February 17, 2020, 1</w:t>
      </w:r>
      <w:r w:rsidRPr="00B62D5C">
        <w:sym w:font="Symbol" w:char="F02D"/>
      </w:r>
      <w:r w:rsidRPr="00B62D5C">
        <w:t xml:space="preserve">2, </w:t>
      </w:r>
      <w:hyperlink r:id="rId1" w:history="1">
        <w:r w:rsidRPr="00B62D5C">
          <w:t>http://files.export.gov/x_4051391.pdf</w:t>
        </w:r>
      </w:hyperlink>
      <w:r w:rsidRPr="00B62D5C">
        <w:t>.</w:t>
      </w:r>
    </w:p>
  </w:endnote>
  <w:endnote w:id="20">
    <w:p w14:paraId="7249F6BA" w14:textId="50B44A74" w:rsidR="009530C9" w:rsidRPr="00B62D5C" w:rsidRDefault="009530C9" w:rsidP="00B62D5C">
      <w:pPr>
        <w:pStyle w:val="Footnote"/>
        <w:jc w:val="both"/>
      </w:pPr>
      <w:r w:rsidRPr="00B62D5C">
        <w:rPr>
          <w:rStyle w:val="EndnoteReference"/>
        </w:rPr>
        <w:endnoteRef/>
      </w:r>
      <w:r w:rsidRPr="00B62D5C">
        <w:t xml:space="preserve"> All dollar amounts are in Canadian dollars unless otherwise specified.</w:t>
      </w:r>
    </w:p>
  </w:endnote>
  <w:endnote w:id="21">
    <w:p w14:paraId="5533CBB0" w14:textId="4B91F3B2" w:rsidR="009530C9" w:rsidRPr="00B62D5C" w:rsidRDefault="009530C9" w:rsidP="00B62D5C">
      <w:pPr>
        <w:pStyle w:val="Footnote"/>
        <w:jc w:val="both"/>
      </w:pPr>
      <w:r w:rsidRPr="00B62D5C">
        <w:rPr>
          <w:rStyle w:val="EndnoteReference"/>
        </w:rPr>
        <w:endnoteRef/>
      </w:r>
      <w:r w:rsidRPr="00B62D5C">
        <w:t xml:space="preserve"> Olivia Ross, </w:t>
      </w:r>
      <w:r w:rsidRPr="00B62D5C">
        <w:rPr>
          <w:i/>
          <w:iCs/>
        </w:rPr>
        <w:t xml:space="preserve">Sporting Goods Stores in Canada: Nothing </w:t>
      </w:r>
      <w:proofErr w:type="gramStart"/>
      <w:r w:rsidRPr="00B62D5C">
        <w:rPr>
          <w:i/>
          <w:iCs/>
        </w:rPr>
        <w:t>But</w:t>
      </w:r>
      <w:proofErr w:type="gramEnd"/>
      <w:r w:rsidRPr="00B62D5C">
        <w:rPr>
          <w:i/>
          <w:iCs/>
        </w:rPr>
        <w:t xml:space="preserve"> Net—An Improved Retail Environment Is Expected to Boost Industry Revenue</w:t>
      </w:r>
      <w:r w:rsidRPr="00B62D5C">
        <w:t xml:space="preserve">, IBISWorld Industry Report 45111CA, July 2019, accessed May 5, 2021, https://www.ibisworld.com/canada/market-research-reports/sporting-goods-stores-industry.  </w:t>
      </w:r>
    </w:p>
  </w:endnote>
  <w:endnote w:id="22">
    <w:p w14:paraId="3F1A0032" w14:textId="6E5A7F02" w:rsidR="009530C9" w:rsidRPr="00B62D5C" w:rsidRDefault="009530C9" w:rsidP="00B62D5C">
      <w:pPr>
        <w:pStyle w:val="Footnote"/>
        <w:jc w:val="both"/>
      </w:pPr>
      <w:r w:rsidRPr="00B62D5C">
        <w:rPr>
          <w:rStyle w:val="EndnoteReference"/>
        </w:rPr>
        <w:endnoteRef/>
      </w:r>
      <w:r w:rsidRPr="00B62D5C">
        <w:t xml:space="preserve"> “Store Locator,” SAIL, accessed September 17, 2020, https://www.sail.ca/en/our-stores.</w:t>
      </w:r>
    </w:p>
  </w:endnote>
  <w:endnote w:id="23">
    <w:p w14:paraId="35E9C9BA" w14:textId="559CD572" w:rsidR="009530C9" w:rsidRPr="00B62D5C" w:rsidRDefault="009530C9" w:rsidP="00B62D5C">
      <w:pPr>
        <w:pStyle w:val="Footnote"/>
        <w:jc w:val="both"/>
      </w:pPr>
      <w:r w:rsidRPr="00B62D5C">
        <w:rPr>
          <w:rStyle w:val="EndnoteReference"/>
        </w:rPr>
        <w:endnoteRef/>
      </w:r>
      <w:r w:rsidRPr="00B62D5C">
        <w:t xml:space="preserve"> “Stores,” MEC, accessed April 13, 2021, https://www.mec.ca/en/stores.</w:t>
      </w:r>
    </w:p>
  </w:endnote>
  <w:endnote w:id="24">
    <w:p w14:paraId="63864F29" w14:textId="21BC3452" w:rsidR="009530C9" w:rsidRPr="00B62D5C" w:rsidRDefault="009530C9" w:rsidP="00B62D5C">
      <w:pPr>
        <w:pStyle w:val="Footnote"/>
        <w:jc w:val="both"/>
      </w:pPr>
      <w:r w:rsidRPr="00B62D5C">
        <w:rPr>
          <w:rStyle w:val="EndnoteReference"/>
        </w:rPr>
        <w:endnoteRef/>
      </w:r>
      <w:r w:rsidRPr="00B62D5C">
        <w:t xml:space="preserve"> Austrian Ski Shop, accessed September 17, 2020, https://cargocollective.com/austrianskishop.</w:t>
      </w:r>
    </w:p>
  </w:endnote>
  <w:endnote w:id="25">
    <w:p w14:paraId="3297BF4C" w14:textId="61DE05FB" w:rsidR="009530C9" w:rsidRPr="00B62D5C" w:rsidRDefault="009530C9" w:rsidP="00B62D5C">
      <w:pPr>
        <w:pStyle w:val="Footnote"/>
        <w:jc w:val="both"/>
      </w:pPr>
      <w:r w:rsidRPr="00B62D5C">
        <w:rPr>
          <w:rStyle w:val="EndnoteReference"/>
        </w:rPr>
        <w:endnoteRef/>
      </w:r>
      <w:r w:rsidRPr="00B62D5C">
        <w:t xml:space="preserve"> Ross, </w:t>
      </w:r>
      <w:r w:rsidRPr="00B62D5C">
        <w:rPr>
          <w:i/>
          <w:iCs/>
        </w:rPr>
        <w:t>Sporting Goods Stores in Canada</w:t>
      </w:r>
      <w:r w:rsidRPr="00B62D5C">
        <w:t xml:space="preserve">, </w:t>
      </w:r>
      <w:proofErr w:type="spellStart"/>
      <w:r w:rsidRPr="00B62D5C">
        <w:t>op.cit</w:t>
      </w:r>
      <w:proofErr w:type="spellEnd"/>
      <w:r w:rsidRPr="00B62D5C">
        <w:t xml:space="preserve">.  </w:t>
      </w:r>
    </w:p>
  </w:endnote>
  <w:endnote w:id="26">
    <w:p w14:paraId="02929391" w14:textId="0385A161" w:rsidR="009530C9" w:rsidRPr="00B62D5C" w:rsidRDefault="009530C9" w:rsidP="00B62D5C">
      <w:pPr>
        <w:pStyle w:val="Footnote"/>
        <w:jc w:val="both"/>
      </w:pPr>
      <w:r w:rsidRPr="00B62D5C">
        <w:rPr>
          <w:rStyle w:val="EndnoteReference"/>
        </w:rPr>
        <w:endnoteRef/>
      </w:r>
      <w:r w:rsidRPr="00B62D5C">
        <w:t xml:space="preserve"> Matthew Thomson and Ken Mark, </w:t>
      </w:r>
      <w:r w:rsidRPr="00B62D5C">
        <w:rPr>
          <w:i/>
          <w:iCs/>
        </w:rPr>
        <w:t>Mountain Equipment Co-op: The Private-Label Strategy</w:t>
      </w:r>
      <w:r w:rsidRPr="00B62D5C">
        <w:t xml:space="preserve"> (London, ON: Ivey Publishing, 2012), 3. Available from Ivey Publishing, product no. 9B12A028.</w:t>
      </w:r>
    </w:p>
  </w:endnote>
  <w:endnote w:id="27">
    <w:p w14:paraId="26965C4C" w14:textId="6F47B318" w:rsidR="009530C9" w:rsidRPr="00B62D5C" w:rsidRDefault="009530C9" w:rsidP="00B62D5C">
      <w:pPr>
        <w:pStyle w:val="Footnote"/>
        <w:jc w:val="both"/>
        <w:rPr>
          <w:lang w:val="en-US"/>
        </w:rPr>
      </w:pPr>
      <w:r w:rsidRPr="00B62D5C">
        <w:rPr>
          <w:rStyle w:val="EndnoteReference"/>
        </w:rPr>
        <w:endnoteRef/>
      </w:r>
      <w:r w:rsidRPr="00B62D5C">
        <w:t xml:space="preserve"> Olivia Ross, </w:t>
      </w:r>
      <w:r w:rsidRPr="00B62D5C">
        <w:rPr>
          <w:i/>
          <w:iCs/>
        </w:rPr>
        <w:t>Sporting Goods Wholesaling in Canada: Game Changer—Higher Participation in Fitness Will Likely Spur Industry Demand</w:t>
      </w:r>
      <w:r w:rsidRPr="00B62D5C">
        <w:t>,</w:t>
      </w:r>
      <w:r w:rsidRPr="00B62D5C">
        <w:rPr>
          <w:i/>
          <w:iCs/>
        </w:rPr>
        <w:t xml:space="preserve"> </w:t>
      </w:r>
      <w:r w:rsidRPr="00B62D5C">
        <w:t>IBISWorld Industry Report 41447CA, August 2019, accessed May 5, 2021, https://www.ibisworld.com/canada/market-research-reports/sporting-goods-wholesaling-industry</w:t>
      </w:r>
      <w:r w:rsidRPr="00B62D5C">
        <w:rPr>
          <w:lang w:val="en-US"/>
        </w:rPr>
        <w:t xml:space="preserve">; and </w:t>
      </w:r>
      <w:r w:rsidRPr="00B62D5C">
        <w:t xml:space="preserve">Marina Strauss, “Private Labels a Tool in Battle with Amazon,” </w:t>
      </w:r>
      <w:r w:rsidRPr="00B62D5C">
        <w:rPr>
          <w:i/>
        </w:rPr>
        <w:t xml:space="preserve">The </w:t>
      </w:r>
      <w:r w:rsidRPr="00B62D5C">
        <w:rPr>
          <w:i/>
          <w:iCs/>
        </w:rPr>
        <w:t>Globe and Mail</w:t>
      </w:r>
      <w:r w:rsidRPr="00B62D5C">
        <w:t>, September 25, 2016, accessed May 5, 2021, https://www.theglobeandmail.com/report-on-business/private-labels-a-tool-in-battle-with-amazon/article32043712.</w:t>
      </w:r>
    </w:p>
  </w:endnote>
  <w:endnote w:id="28">
    <w:p w14:paraId="4C33C3B1" w14:textId="20EC1312" w:rsidR="009530C9" w:rsidRPr="00B62D5C" w:rsidRDefault="009530C9" w:rsidP="00B62D5C">
      <w:pPr>
        <w:pStyle w:val="Footnote"/>
        <w:jc w:val="both"/>
      </w:pPr>
      <w:r w:rsidRPr="00B62D5C">
        <w:rPr>
          <w:rStyle w:val="EndnoteReference"/>
        </w:rPr>
        <w:endnoteRef/>
      </w:r>
      <w:r w:rsidRPr="00B62D5C">
        <w:t xml:space="preserve"> Ross, </w:t>
      </w:r>
      <w:r w:rsidRPr="00B62D5C">
        <w:rPr>
          <w:i/>
          <w:iCs/>
        </w:rPr>
        <w:t>Sporting Goods Stores in Canada</w:t>
      </w:r>
      <w:r w:rsidRPr="00B62D5C">
        <w:t>, op. cit.</w:t>
      </w:r>
    </w:p>
  </w:endnote>
  <w:endnote w:id="29">
    <w:p w14:paraId="7E3ACB31" w14:textId="24FF5EC8" w:rsidR="009530C9" w:rsidRPr="00B62D5C" w:rsidRDefault="009530C9" w:rsidP="00B62D5C">
      <w:pPr>
        <w:pStyle w:val="EndnoteText"/>
        <w:jc w:val="both"/>
        <w:rPr>
          <w:rFonts w:ascii="Arial" w:hAnsi="Arial" w:cs="Arial"/>
          <w:sz w:val="17"/>
          <w:szCs w:val="17"/>
          <w:lang w:val="en-US"/>
        </w:rPr>
      </w:pPr>
      <w:r w:rsidRPr="00B62D5C">
        <w:rPr>
          <w:rStyle w:val="EndnoteReference"/>
          <w:rFonts w:ascii="Arial" w:hAnsi="Arial" w:cs="Arial"/>
          <w:sz w:val="17"/>
          <w:szCs w:val="17"/>
        </w:rPr>
        <w:endnoteRef/>
      </w:r>
      <w:r w:rsidRPr="00B62D5C">
        <w:rPr>
          <w:rFonts w:ascii="Arial" w:hAnsi="Arial" w:cs="Arial"/>
          <w:sz w:val="17"/>
          <w:szCs w:val="17"/>
        </w:rPr>
        <w:t xml:space="preserve"> </w:t>
      </w:r>
      <w:r w:rsidRPr="00B62D5C">
        <w:rPr>
          <w:rFonts w:ascii="Arial" w:eastAsia="Times New Roman" w:hAnsi="Arial" w:cs="Arial"/>
          <w:sz w:val="17"/>
          <w:szCs w:val="17"/>
          <w:lang w:val="en-GB" w:eastAsia="en-US"/>
        </w:rPr>
        <w:t xml:space="preserve">Ross, </w:t>
      </w:r>
      <w:r w:rsidRPr="00B62D5C">
        <w:rPr>
          <w:rFonts w:ascii="Arial" w:eastAsia="Times New Roman" w:hAnsi="Arial" w:cs="Arial"/>
          <w:i/>
          <w:sz w:val="17"/>
          <w:szCs w:val="17"/>
          <w:lang w:val="en-GB" w:eastAsia="en-US"/>
        </w:rPr>
        <w:t xml:space="preserve">Sporting </w:t>
      </w:r>
      <w:r w:rsidRPr="00B62D5C">
        <w:rPr>
          <w:rFonts w:ascii="Arial" w:eastAsia="Times New Roman" w:hAnsi="Arial" w:cs="Arial"/>
          <w:i/>
          <w:iCs/>
          <w:sz w:val="17"/>
          <w:szCs w:val="17"/>
          <w:lang w:val="en-GB" w:eastAsia="en-US"/>
        </w:rPr>
        <w:t>Goods Wholesaling in Canada: Game Changer—Higher Participation in Fitness Will Likely Spur Industry Demand</w:t>
      </w:r>
      <w:r w:rsidRPr="00B62D5C">
        <w:rPr>
          <w:rFonts w:ascii="Arial" w:eastAsia="Times New Roman" w:hAnsi="Arial" w:cs="Arial"/>
          <w:sz w:val="17"/>
          <w:szCs w:val="17"/>
          <w:lang w:val="en-GB" w:eastAsia="en-US"/>
        </w:rPr>
        <w:t xml:space="preserve">, </w:t>
      </w:r>
      <w:r w:rsidR="00866398" w:rsidRPr="00B62D5C">
        <w:rPr>
          <w:rFonts w:ascii="Arial" w:eastAsia="Times New Roman" w:hAnsi="Arial" w:cs="Arial"/>
          <w:sz w:val="17"/>
          <w:szCs w:val="17"/>
          <w:lang w:val="en-GB" w:eastAsia="en-US"/>
        </w:rPr>
        <w:t>op. cit.</w:t>
      </w:r>
    </w:p>
  </w:endnote>
  <w:endnote w:id="30">
    <w:p w14:paraId="57D9567D" w14:textId="1BA45363" w:rsidR="009530C9" w:rsidRPr="00B62D5C" w:rsidRDefault="009530C9" w:rsidP="00B62D5C">
      <w:pPr>
        <w:pStyle w:val="Footnote"/>
        <w:jc w:val="both"/>
      </w:pPr>
      <w:r w:rsidRPr="00B62D5C">
        <w:rPr>
          <w:rStyle w:val="EndnoteReference"/>
        </w:rPr>
        <w:endnoteRef/>
      </w:r>
      <w:r w:rsidRPr="00B62D5C">
        <w:t xml:space="preserve"> “Our Program,”</w:t>
      </w:r>
      <w:r w:rsidRPr="00B62D5C">
        <w:rPr>
          <w:i/>
          <w:iCs/>
        </w:rPr>
        <w:t xml:space="preserve"> </w:t>
      </w:r>
      <w:r w:rsidRPr="00B62D5C">
        <w:t xml:space="preserve">MRA, accessed February 3, 2020, www.gomra.com/our-program. </w:t>
      </w:r>
    </w:p>
  </w:endnote>
  <w:endnote w:id="31">
    <w:p w14:paraId="47D7DBDE" w14:textId="7E0E21B8" w:rsidR="009530C9" w:rsidRPr="00B62D5C" w:rsidRDefault="009530C9" w:rsidP="00B62D5C">
      <w:pPr>
        <w:pStyle w:val="Footnote"/>
        <w:jc w:val="both"/>
      </w:pPr>
      <w:r w:rsidRPr="00B62D5C">
        <w:rPr>
          <w:rStyle w:val="EndnoteReference"/>
        </w:rPr>
        <w:endnoteRef/>
      </w:r>
      <w:r w:rsidRPr="00B62D5C">
        <w:t xml:space="preserve"> Ross, </w:t>
      </w:r>
      <w:r w:rsidRPr="00B62D5C">
        <w:rPr>
          <w:i/>
        </w:rPr>
        <w:t>Sporting Goods Stores in Canada</w:t>
      </w:r>
      <w:r w:rsidRPr="00B62D5C">
        <w:t>, op. cit.</w:t>
      </w:r>
    </w:p>
  </w:endnote>
  <w:endnote w:id="32">
    <w:p w14:paraId="7BA13B8C" w14:textId="58A37908" w:rsidR="009530C9" w:rsidRPr="00B62D5C" w:rsidRDefault="009530C9" w:rsidP="00B62D5C">
      <w:pPr>
        <w:pStyle w:val="Footnote"/>
        <w:jc w:val="both"/>
      </w:pPr>
      <w:r w:rsidRPr="00B62D5C">
        <w:rPr>
          <w:rStyle w:val="EndnoteReference"/>
        </w:rPr>
        <w:endnoteRef/>
      </w:r>
      <w:r w:rsidRPr="00B62D5C">
        <w:t xml:space="preserve"> “Federal Corporation Information: Kombi Sports Inc.,” Government of Canada, accessed February 29, 2020, https://www.ic.gc.ca/app/scr/cc/CorporationsCanada/fdrlCrpDtls.html?corpId=444146.</w:t>
      </w:r>
    </w:p>
  </w:endnote>
  <w:endnote w:id="33">
    <w:p w14:paraId="727B59E6" w14:textId="12670186" w:rsidR="009530C9" w:rsidRPr="00B62D5C" w:rsidRDefault="009530C9" w:rsidP="00B62D5C">
      <w:pPr>
        <w:pStyle w:val="Footnote"/>
        <w:jc w:val="both"/>
      </w:pPr>
      <w:r w:rsidRPr="00B62D5C">
        <w:rPr>
          <w:rStyle w:val="EndnoteReference"/>
        </w:rPr>
        <w:endnoteRef/>
      </w:r>
      <w:r w:rsidRPr="00B62D5C">
        <w:t xml:space="preserve"> McGill University, </w:t>
      </w:r>
      <w:r w:rsidRPr="00B62D5C">
        <w:rPr>
          <w:i/>
          <w:iCs/>
        </w:rPr>
        <w:t>Old McGill 1959</w:t>
      </w:r>
      <w:r w:rsidRPr="00B62D5C">
        <w:t xml:space="preserve"> (Toronto, ON: Yearbook House, 1959), 142. </w:t>
      </w:r>
    </w:p>
  </w:endnote>
  <w:endnote w:id="34">
    <w:p w14:paraId="796ACB49" w14:textId="5E52E266" w:rsidR="009530C9" w:rsidRPr="00B62D5C" w:rsidRDefault="009530C9" w:rsidP="00B62D5C">
      <w:pPr>
        <w:pStyle w:val="Footnote"/>
        <w:jc w:val="both"/>
      </w:pPr>
      <w:r w:rsidRPr="00B62D5C">
        <w:rPr>
          <w:rStyle w:val="EndnoteReference"/>
        </w:rPr>
        <w:endnoteRef/>
      </w:r>
      <w:r w:rsidRPr="00B62D5C">
        <w:t xml:space="preserve"> “Kombi Sports Inc.,” </w:t>
      </w:r>
      <w:proofErr w:type="spellStart"/>
      <w:r w:rsidRPr="00B62D5C">
        <w:t>Encyclo</w:t>
      </w:r>
      <w:proofErr w:type="spellEnd"/>
      <w:r w:rsidRPr="00B62D5C">
        <w:t xml:space="preserve"> Fashion,” accessed April 13, 2021, https://encyclomodeqc.musee-mccord.qc.ca/en/entry/kombi-sports-inc.</w:t>
      </w:r>
    </w:p>
  </w:endnote>
  <w:endnote w:id="35">
    <w:p w14:paraId="1FC74576" w14:textId="12ACB12B" w:rsidR="009530C9" w:rsidRPr="00B62D5C" w:rsidRDefault="009530C9" w:rsidP="00B62D5C">
      <w:pPr>
        <w:pStyle w:val="Footnote"/>
        <w:jc w:val="both"/>
      </w:pPr>
      <w:r w:rsidRPr="00B62D5C">
        <w:rPr>
          <w:rStyle w:val="EndnoteReference"/>
        </w:rPr>
        <w:endnoteRef/>
      </w:r>
      <w:r w:rsidRPr="00B62D5C">
        <w:t xml:space="preserve"> “About Us,” Kombi Sports, accessed April 13, 2021, https://www.kombicanada.com/about-us; and “Ski Racing Gloves,” Google Patents, accessed March 20, 2020, https://patents.google.com/patent/US4757555A/en?oq=US4757555.</w:t>
      </w:r>
    </w:p>
  </w:endnote>
  <w:endnote w:id="36">
    <w:p w14:paraId="04664506" w14:textId="2DB30244" w:rsidR="009530C9" w:rsidRPr="00B62D5C" w:rsidRDefault="009530C9" w:rsidP="00B62D5C">
      <w:pPr>
        <w:pStyle w:val="Footnote"/>
        <w:jc w:val="both"/>
      </w:pPr>
      <w:r w:rsidRPr="00B62D5C">
        <w:rPr>
          <w:rStyle w:val="EndnoteReference"/>
        </w:rPr>
        <w:endnoteRef/>
      </w:r>
      <w:r w:rsidRPr="00B62D5C">
        <w:t xml:space="preserve"> Kombi, “Mark Pascal’s Appointment President &amp; CEO of KOMBI Sports Inc.,” press release, Canadian Sporting Goods Association, April 5, 2018, accessed May 5, 2021, https://csga.ca/mark-pascals-appointment-president-ceo-kombi-sports-inc.</w:t>
      </w:r>
    </w:p>
  </w:endnote>
  <w:endnote w:id="37">
    <w:p w14:paraId="6272A9E8" w14:textId="332DBA31" w:rsidR="009530C9" w:rsidRPr="00B62D5C" w:rsidRDefault="009530C9" w:rsidP="00B62D5C">
      <w:pPr>
        <w:pStyle w:val="Footnote"/>
        <w:jc w:val="both"/>
        <w:rPr>
          <w:b/>
          <w:i/>
          <w:iCs/>
        </w:rPr>
      </w:pPr>
      <w:r w:rsidRPr="00B62D5C">
        <w:rPr>
          <w:rStyle w:val="EndnoteReference"/>
        </w:rPr>
        <w:endnoteRef/>
      </w:r>
      <w:r w:rsidRPr="00B62D5C">
        <w:t xml:space="preserve"> “The Kombi Story,” Kombi, accessed March 20, 2020, https://www.kombicanada.com/blog/the-Kombi-story; and “Home,” Kombi, accessed May 28, 2020, www.kombicanada.com.</w:t>
      </w:r>
    </w:p>
  </w:endnote>
  <w:endnote w:id="38">
    <w:p w14:paraId="63ED01FF" w14:textId="6D4DCB7D" w:rsidR="009530C9" w:rsidRPr="00B62D5C" w:rsidRDefault="009530C9" w:rsidP="00B62D5C">
      <w:pPr>
        <w:pStyle w:val="Footnote"/>
        <w:jc w:val="both"/>
      </w:pPr>
      <w:r w:rsidRPr="00B62D5C">
        <w:rPr>
          <w:rStyle w:val="EndnoteReference"/>
        </w:rPr>
        <w:endnoteRef/>
      </w:r>
      <w:r w:rsidRPr="00B62D5C">
        <w:t xml:space="preserve"> Kombi (@kombi-sports-inc), “About,” LinkedIn, accessed May 20, 2020, https://www.linkedin.com/company/kombi-sports-inc-/about.</w:t>
      </w:r>
    </w:p>
  </w:endnote>
  <w:endnote w:id="39">
    <w:p w14:paraId="16726FE0" w14:textId="61992CFE" w:rsidR="009530C9" w:rsidRPr="00B62D5C" w:rsidRDefault="009530C9" w:rsidP="00B62D5C">
      <w:pPr>
        <w:pStyle w:val="Footnote"/>
        <w:jc w:val="both"/>
      </w:pPr>
      <w:r w:rsidRPr="00B62D5C">
        <w:rPr>
          <w:rStyle w:val="EndnoteReference"/>
        </w:rPr>
        <w:endnoteRef/>
      </w:r>
      <w:r w:rsidRPr="00B62D5C">
        <w:t xml:space="preserve"> Kombi, “Kombi Places 7th at the Great Place to Work</w:t>
      </w:r>
      <w:r w:rsidRPr="00B62D5C">
        <w:rPr>
          <w:bCs/>
        </w:rPr>
        <w:t xml:space="preserve">® </w:t>
      </w:r>
      <w:r w:rsidRPr="00B62D5C">
        <w:t>Canada Awards Ceremony,” press release, September 2017, accessed May 5, 2021, https://www.kombicanada.com/wp-content/uploads/2017/09/KOMBI_Press-Release-Great-Place-to-work_ENG_Final.pdf.</w:t>
      </w:r>
    </w:p>
  </w:endnote>
  <w:endnote w:id="40">
    <w:p w14:paraId="1D6543F5" w14:textId="17398AA1" w:rsidR="009530C9" w:rsidRPr="00B62D5C" w:rsidRDefault="009530C9" w:rsidP="00B62D5C">
      <w:pPr>
        <w:pStyle w:val="Footnote"/>
        <w:jc w:val="both"/>
      </w:pPr>
      <w:r w:rsidRPr="00B62D5C">
        <w:rPr>
          <w:rStyle w:val="EndnoteReference"/>
        </w:rPr>
        <w:endnoteRef/>
      </w:r>
      <w:r w:rsidRPr="00B62D5C">
        <w:t xml:space="preserve"> Kombi, “KOMBI Opens Its First-Ever Toronto Pop-Up Shop in Union Station,” press release, Canadian Sporting Goods Association, November 28, 2018, accessed May 5, 2021, https://csga.ca/kombi-opens-its-first-ever-toronto-pop-up-shop-in-union-station.</w:t>
      </w:r>
    </w:p>
  </w:endnote>
  <w:endnote w:id="41">
    <w:p w14:paraId="50ECDE1A" w14:textId="7F307DE9" w:rsidR="009530C9" w:rsidRPr="00B62D5C" w:rsidRDefault="009530C9" w:rsidP="00B62D5C">
      <w:pPr>
        <w:pStyle w:val="Footnote"/>
        <w:jc w:val="both"/>
        <w:rPr>
          <w:u w:val="single"/>
        </w:rPr>
      </w:pPr>
      <w:r w:rsidRPr="00B62D5C">
        <w:rPr>
          <w:rStyle w:val="EndnoteReference"/>
        </w:rPr>
        <w:endnoteRef/>
      </w:r>
      <w:r w:rsidRPr="00B62D5C">
        <w:t xml:space="preserve"> </w:t>
      </w:r>
      <w:proofErr w:type="spellStart"/>
      <w:r w:rsidRPr="00B62D5C">
        <w:t>Kobmi</w:t>
      </w:r>
      <w:proofErr w:type="spellEnd"/>
      <w:r w:rsidRPr="00B62D5C">
        <w:t>, “KOMBI Opens First Resort-Based Retail Store at Mont-Tremblant,” press release, Canadian Sporting Goods Association, January 9, 2017, accessed May 5, 2021, https://csga.ca/kombi-opens-first-resort-based-retail-store-mont-tremblant.</w:t>
      </w:r>
    </w:p>
  </w:endnote>
  <w:endnote w:id="42">
    <w:p w14:paraId="62D4A463" w14:textId="025B4D68" w:rsidR="009530C9" w:rsidRPr="00B62D5C" w:rsidRDefault="009530C9" w:rsidP="00B62D5C">
      <w:pPr>
        <w:pStyle w:val="Footnote"/>
        <w:jc w:val="both"/>
      </w:pPr>
      <w:r w:rsidRPr="00B62D5C">
        <w:rPr>
          <w:rStyle w:val="EndnoteReference"/>
        </w:rPr>
        <w:endnoteRef/>
      </w:r>
      <w:r w:rsidRPr="00B62D5C">
        <w:t xml:space="preserve"> “About MEC,” MEC accessed January 24, 2020, https://www.mec.ca/en/explore/about-mec.</w:t>
      </w:r>
    </w:p>
  </w:endnote>
  <w:endnote w:id="43">
    <w:p w14:paraId="7E6DEC8D" w14:textId="57F6249C" w:rsidR="009530C9" w:rsidRPr="00B62D5C" w:rsidRDefault="009530C9" w:rsidP="00B62D5C">
      <w:pPr>
        <w:pStyle w:val="Footnote"/>
        <w:jc w:val="both"/>
      </w:pPr>
      <w:r w:rsidRPr="00B62D5C">
        <w:rPr>
          <w:rStyle w:val="EndnoteReference"/>
        </w:rPr>
        <w:endnoteRef/>
      </w:r>
      <w:r w:rsidRPr="00B62D5C">
        <w:t xml:space="preserve"> Matthew Thomson and Ken Mark, </w:t>
      </w:r>
      <w:r w:rsidRPr="00B62D5C">
        <w:rPr>
          <w:i/>
        </w:rPr>
        <w:t>Mountain Equipment Co-op-The Private-Label Strategy</w:t>
      </w:r>
      <w:r w:rsidRPr="00B62D5C">
        <w:t xml:space="preserve"> (London, ON: Ivey Publishing, 2012), 3. Available from Ivey Publishing, product no. 9B12A028.</w:t>
      </w:r>
    </w:p>
  </w:endnote>
  <w:endnote w:id="44">
    <w:p w14:paraId="2216E124" w14:textId="4C703B42" w:rsidR="009530C9" w:rsidRPr="00B62D5C" w:rsidRDefault="009530C9" w:rsidP="00B62D5C">
      <w:pPr>
        <w:pStyle w:val="Footnote"/>
        <w:jc w:val="both"/>
        <w:rPr>
          <w:lang w:val="en-CA"/>
        </w:rPr>
      </w:pPr>
      <w:r w:rsidRPr="00B62D5C">
        <w:rPr>
          <w:rStyle w:val="EndnoteReference"/>
        </w:rPr>
        <w:endnoteRef/>
      </w:r>
      <w:r w:rsidRPr="00B62D5C">
        <w:t xml:space="preserve"> Ibid.</w:t>
      </w:r>
    </w:p>
  </w:endnote>
  <w:endnote w:id="45">
    <w:p w14:paraId="63EED1DA" w14:textId="031DFDB9" w:rsidR="009530C9" w:rsidRPr="00B62D5C" w:rsidRDefault="009530C9" w:rsidP="00B62D5C">
      <w:pPr>
        <w:pStyle w:val="Footnote"/>
        <w:jc w:val="both"/>
        <w:rPr>
          <w:lang w:val="en-CA"/>
        </w:rPr>
      </w:pPr>
      <w:r w:rsidRPr="00B62D5C">
        <w:rPr>
          <w:rStyle w:val="EndnoteReference"/>
        </w:rPr>
        <w:endnoteRef/>
      </w:r>
      <w:r w:rsidRPr="00B62D5C">
        <w:rPr>
          <w:lang w:val="en-CA"/>
        </w:rPr>
        <w:t xml:space="preserve"> “Products,” MEC, accessed January 24, 2020, </w:t>
      </w:r>
      <w:r w:rsidRPr="00B62D5C">
        <w:t>https://www.mec.ca/en/search?org_text=icefield%20gloves&amp;text=icefield%20gloves</w:t>
      </w:r>
      <w:r w:rsidRPr="00B62D5C">
        <w:rPr>
          <w:lang w:val="en-CA"/>
        </w:rPr>
        <w:t>.</w:t>
      </w:r>
    </w:p>
  </w:endnote>
  <w:endnote w:id="46">
    <w:p w14:paraId="76F4C22D" w14:textId="309B6412" w:rsidR="009530C9" w:rsidRPr="00B62D5C" w:rsidRDefault="009530C9" w:rsidP="00B62D5C">
      <w:pPr>
        <w:pStyle w:val="Footnote"/>
        <w:jc w:val="both"/>
      </w:pPr>
      <w:r w:rsidRPr="00B62D5C">
        <w:rPr>
          <w:rStyle w:val="EndnoteReference"/>
        </w:rPr>
        <w:endnoteRef/>
      </w:r>
      <w:r w:rsidRPr="00B62D5C">
        <w:t xml:space="preserve"> </w:t>
      </w:r>
      <w:r w:rsidRPr="00B62D5C">
        <w:rPr>
          <w:lang w:val="en-CA"/>
        </w:rPr>
        <w:t xml:space="preserve">“Stores,” accessed January 24, 2020, </w:t>
      </w:r>
      <w:r w:rsidRPr="00B62D5C">
        <w:t>https://www.mec.ca/en/stores.</w:t>
      </w:r>
    </w:p>
  </w:endnote>
  <w:endnote w:id="47">
    <w:p w14:paraId="6F68A62E" w14:textId="545AD36B" w:rsidR="009530C9" w:rsidRPr="00B62D5C" w:rsidRDefault="009530C9" w:rsidP="00B62D5C">
      <w:pPr>
        <w:pStyle w:val="Footnote"/>
        <w:jc w:val="both"/>
        <w:rPr>
          <w:lang w:val="en-CA"/>
        </w:rPr>
      </w:pPr>
      <w:r w:rsidRPr="00B62D5C">
        <w:rPr>
          <w:rStyle w:val="EndnoteReference"/>
        </w:rPr>
        <w:endnoteRef/>
      </w:r>
      <w:r w:rsidRPr="00B62D5C">
        <w:t xml:space="preserve"> </w:t>
      </w:r>
      <w:r w:rsidRPr="00B62D5C">
        <w:rPr>
          <w:lang w:val="en-CA"/>
        </w:rPr>
        <w:t xml:space="preserve">“Our History,” Canada Goose, accessed March 14, 2021, </w:t>
      </w:r>
      <w:r w:rsidRPr="00B62D5C">
        <w:t>https://www.canadagoose.com/ca/en/our-history.html</w:t>
      </w:r>
      <w:r w:rsidRPr="00B62D5C">
        <w:rPr>
          <w:lang w:val="en-CA"/>
        </w:rPr>
        <w:t>.</w:t>
      </w:r>
    </w:p>
  </w:endnote>
  <w:endnote w:id="48">
    <w:p w14:paraId="49369EC6" w14:textId="74123F3E" w:rsidR="009530C9" w:rsidRPr="00B62D5C" w:rsidRDefault="009530C9" w:rsidP="00B62D5C">
      <w:pPr>
        <w:pStyle w:val="Footnote"/>
        <w:jc w:val="both"/>
        <w:rPr>
          <w:lang w:val="en-US"/>
        </w:rPr>
      </w:pPr>
      <w:r w:rsidRPr="00B62D5C">
        <w:rPr>
          <w:rStyle w:val="EndnoteReference"/>
        </w:rPr>
        <w:endnoteRef/>
      </w:r>
      <w:r w:rsidRPr="00B62D5C">
        <w:t xml:space="preserve"> </w:t>
      </w:r>
      <w:r w:rsidRPr="00B62D5C">
        <w:rPr>
          <w:lang w:val="en-US"/>
        </w:rPr>
        <w:t xml:space="preserve">Business Wire, “Canada Goose Reports Results for Fiscal Year 2019,” </w:t>
      </w:r>
      <w:r w:rsidRPr="00B62D5C">
        <w:rPr>
          <w:i/>
          <w:iCs/>
          <w:lang w:val="en-US"/>
        </w:rPr>
        <w:t>Financial Post</w:t>
      </w:r>
      <w:r w:rsidRPr="00B62D5C">
        <w:rPr>
          <w:lang w:val="en-US"/>
        </w:rPr>
        <w:t xml:space="preserve">, May 29, 2019, accessed May 5, 2021, </w:t>
      </w:r>
      <w:r w:rsidRPr="00B62D5C">
        <w:t>https://financialpost.com/pmn/press-releases-pmn/business-wire-news-releases-pmn/canada-goose-reports-results-for-fiscal-year-2019</w:t>
      </w:r>
      <w:r w:rsidRPr="00B62D5C">
        <w:rPr>
          <w:lang w:val="en-US"/>
        </w:rPr>
        <w:t xml:space="preserve">; and Dani Reiss, “The CEO of Canada Goose on Creating a Homegrown Luxury Brand,” </w:t>
      </w:r>
      <w:r w:rsidRPr="00B62D5C">
        <w:rPr>
          <w:i/>
          <w:iCs/>
          <w:lang w:val="en-US"/>
        </w:rPr>
        <w:t>Harvard Business Review</w:t>
      </w:r>
      <w:r w:rsidRPr="00B62D5C">
        <w:rPr>
          <w:lang w:val="en-US"/>
        </w:rPr>
        <w:t>, September–October 2019. Available from Ivey Publishing, product no. R1905A; “Craftsmanship,” Canada Goose, accessed April 24, 2021, https://www.canadagoose.com/ca/en/canadian-craftsmanship/craftsmanship.html.</w:t>
      </w:r>
    </w:p>
  </w:endnote>
  <w:endnote w:id="49">
    <w:p w14:paraId="3DD75D29" w14:textId="0AF038BB" w:rsidR="009530C9" w:rsidRPr="00B62D5C" w:rsidRDefault="009530C9" w:rsidP="00B62D5C">
      <w:pPr>
        <w:pStyle w:val="Footnote"/>
        <w:jc w:val="both"/>
        <w:rPr>
          <w:lang w:val="en-US"/>
        </w:rPr>
      </w:pPr>
      <w:r w:rsidRPr="00B62D5C">
        <w:rPr>
          <w:rStyle w:val="EndnoteReference"/>
        </w:rPr>
        <w:endnoteRef/>
      </w:r>
      <w:r w:rsidRPr="00B62D5C">
        <w:t xml:space="preserve"> </w:t>
      </w:r>
      <w:r w:rsidRPr="00B62D5C">
        <w:rPr>
          <w:lang w:val="en-US"/>
        </w:rPr>
        <w:t>Business Wire, op. cit.; and Dani Reiss, op. cit.</w:t>
      </w:r>
    </w:p>
  </w:endnote>
  <w:endnote w:id="50">
    <w:p w14:paraId="49509896" w14:textId="02ABAEF2" w:rsidR="009530C9" w:rsidRPr="00B62D5C" w:rsidRDefault="009530C9" w:rsidP="00B62D5C">
      <w:pPr>
        <w:pStyle w:val="Footnote"/>
        <w:jc w:val="both"/>
        <w:rPr>
          <w:lang w:val="en-CA"/>
        </w:rPr>
      </w:pPr>
      <w:r w:rsidRPr="00B62D5C">
        <w:rPr>
          <w:rStyle w:val="EndnoteReference"/>
        </w:rPr>
        <w:endnoteRef/>
      </w:r>
      <w:r w:rsidRPr="00B62D5C">
        <w:t xml:space="preserve"> “About Us: Our Story—Behind the Brand,” The North Face, accessed April 15, 2021, https://www.thenorthface.com/about-us/our-story.html</w:t>
      </w:r>
      <w:r w:rsidRPr="00B62D5C">
        <w:rPr>
          <w:lang w:val="en-CA"/>
        </w:rPr>
        <w:t>.</w:t>
      </w:r>
    </w:p>
  </w:endnote>
  <w:endnote w:id="51">
    <w:p w14:paraId="0A35C876" w14:textId="57DC75A1" w:rsidR="009530C9" w:rsidRPr="00B62D5C" w:rsidRDefault="009530C9" w:rsidP="00B62D5C">
      <w:pPr>
        <w:pStyle w:val="Footnote"/>
        <w:jc w:val="both"/>
        <w:rPr>
          <w:rStyle w:val="FootnoteChar"/>
          <w:rFonts w:eastAsia="Calibri"/>
        </w:rPr>
      </w:pPr>
      <w:r w:rsidRPr="00B62D5C">
        <w:rPr>
          <w:rStyle w:val="EndnoteReference"/>
        </w:rPr>
        <w:endnoteRef/>
      </w:r>
      <w:r w:rsidRPr="00B62D5C">
        <w:t xml:space="preserve"> Lei </w:t>
      </w:r>
      <w:proofErr w:type="spellStart"/>
      <w:r w:rsidRPr="00B62D5C">
        <w:t>Takanashi</w:t>
      </w:r>
      <w:proofErr w:type="spellEnd"/>
      <w:r w:rsidRPr="00B62D5C">
        <w:t xml:space="preserve">, “How </w:t>
      </w:r>
      <w:proofErr w:type="gramStart"/>
      <w:r w:rsidRPr="00B62D5C">
        <w:t>The</w:t>
      </w:r>
      <w:proofErr w:type="gramEnd"/>
      <w:r w:rsidRPr="00B62D5C">
        <w:t xml:space="preserve"> North Face Took Over ‘90s New York,” </w:t>
      </w:r>
      <w:r w:rsidRPr="00B62D5C">
        <w:rPr>
          <w:i/>
          <w:iCs/>
        </w:rPr>
        <w:t>The Cut</w:t>
      </w:r>
      <w:r w:rsidRPr="00B62D5C">
        <w:t xml:space="preserve">, October 31, 2018, accessed May 5, 2021, </w:t>
      </w:r>
      <w:r w:rsidRPr="00B62D5C">
        <w:rPr>
          <w:rStyle w:val="FootnoteChar"/>
          <w:rFonts w:eastAsia="Calibri"/>
        </w:rPr>
        <w:t>https://www.thecut.com/2018/10/the-north-face-new-york-style.html.</w:t>
      </w:r>
    </w:p>
  </w:endnote>
  <w:endnote w:id="52">
    <w:p w14:paraId="38AE9BC2" w14:textId="5BC627F2" w:rsidR="009530C9" w:rsidRPr="00B62D5C" w:rsidRDefault="009530C9" w:rsidP="00B62D5C">
      <w:pPr>
        <w:pStyle w:val="Footnote"/>
        <w:jc w:val="both"/>
      </w:pPr>
      <w:r w:rsidRPr="00B62D5C">
        <w:rPr>
          <w:rStyle w:val="EndnoteReference"/>
        </w:rPr>
        <w:endnoteRef/>
      </w:r>
      <w:r w:rsidRPr="00B62D5C">
        <w:t xml:space="preserve"> Marc Richardson “The Many Faces of The North Face,” </w:t>
      </w:r>
      <w:proofErr w:type="spellStart"/>
      <w:r w:rsidRPr="00B62D5C">
        <w:t>Grailed</w:t>
      </w:r>
      <w:proofErr w:type="spellEnd"/>
      <w:r w:rsidRPr="00B62D5C">
        <w:t>, April 5, 2018, accessed May 5, 2021, https://www.grailed.com/drycleanonly/the-north-face-brand-family.</w:t>
      </w:r>
    </w:p>
  </w:endnote>
  <w:endnote w:id="53">
    <w:p w14:paraId="639AEC0D" w14:textId="3BB2B306" w:rsidR="009530C9" w:rsidRPr="00B62D5C" w:rsidRDefault="009530C9" w:rsidP="00B62D5C">
      <w:pPr>
        <w:pStyle w:val="Footnote"/>
        <w:jc w:val="both"/>
      </w:pPr>
      <w:r w:rsidRPr="00B62D5C">
        <w:rPr>
          <w:rStyle w:val="EndnoteReference"/>
        </w:rPr>
        <w:endnoteRef/>
      </w:r>
      <w:r w:rsidRPr="00B62D5C">
        <w:t xml:space="preserve"> “Talented, Smart, Flexible, Confident,” VFC Group, accessed July 13, 2020, accessed May 5, 2021, https://www.vfc.com/brands/the-north-face.</w:t>
      </w:r>
    </w:p>
  </w:endnote>
  <w:endnote w:id="54">
    <w:p w14:paraId="7F68B277" w14:textId="518AC91E" w:rsidR="009530C9" w:rsidRPr="00B62D5C" w:rsidRDefault="009530C9" w:rsidP="00B62D5C">
      <w:pPr>
        <w:pStyle w:val="Footnote"/>
        <w:jc w:val="both"/>
      </w:pPr>
      <w:r w:rsidRPr="00B62D5C">
        <w:rPr>
          <w:rStyle w:val="EndnoteReference"/>
        </w:rPr>
        <w:endnoteRef/>
      </w:r>
      <w:r w:rsidRPr="00B62D5C">
        <w:t xml:space="preserve"> “Our Brands”, VFC Group, accessed July 13, 2020, https://www.vfc.com/brands.</w:t>
      </w:r>
      <w:r w:rsidRPr="00B62D5C" w:rsidDel="00926986">
        <w:t xml:space="preserve"> </w:t>
      </w:r>
    </w:p>
  </w:endnote>
  <w:endnote w:id="55">
    <w:p w14:paraId="7E906C0A" w14:textId="7D4B812E" w:rsidR="009530C9" w:rsidRPr="00B62D5C" w:rsidRDefault="009530C9" w:rsidP="00B62D5C">
      <w:pPr>
        <w:pStyle w:val="Footnote"/>
        <w:jc w:val="both"/>
      </w:pPr>
      <w:r w:rsidRPr="00B62D5C">
        <w:rPr>
          <w:rStyle w:val="EndnoteReference"/>
        </w:rPr>
        <w:endnoteRef/>
      </w:r>
      <w:r w:rsidRPr="00B62D5C">
        <w:t xml:space="preserve"> Toaster Mitts were mittens with a side zipper that allowed users to expose lightly gloved fingers for fine motor tasks: “Legend,” </w:t>
      </w:r>
      <w:proofErr w:type="spellStart"/>
      <w:r w:rsidRPr="00B62D5C">
        <w:t>Swany</w:t>
      </w:r>
      <w:proofErr w:type="spellEnd"/>
      <w:r w:rsidRPr="00B62D5C">
        <w:t>, accessed April 15, 2021, https://www.swanyamerica.com/product/legend.</w:t>
      </w:r>
    </w:p>
  </w:endnote>
  <w:endnote w:id="56">
    <w:p w14:paraId="6962E28D" w14:textId="3AD64BE3" w:rsidR="009530C9" w:rsidRPr="00B62D5C" w:rsidRDefault="009530C9" w:rsidP="00B62D5C">
      <w:pPr>
        <w:pStyle w:val="Footnote"/>
        <w:jc w:val="both"/>
      </w:pPr>
      <w:r w:rsidRPr="00B62D5C">
        <w:rPr>
          <w:rStyle w:val="EndnoteReference"/>
        </w:rPr>
        <w:endnoteRef/>
      </w:r>
      <w:r w:rsidRPr="00B62D5C">
        <w:t xml:space="preserve"> “Our Story,” </w:t>
      </w:r>
      <w:proofErr w:type="spellStart"/>
      <w:r w:rsidRPr="00B62D5C">
        <w:t>Swany</w:t>
      </w:r>
      <w:proofErr w:type="spellEnd"/>
      <w:r w:rsidRPr="00B62D5C">
        <w:t xml:space="preserve"> America, accessed July 13, 2020, https://www.swanyamerica.com/explore/our-story/.</w:t>
      </w:r>
    </w:p>
  </w:endnote>
  <w:endnote w:id="57">
    <w:p w14:paraId="615B96FC" w14:textId="4A2A23BF" w:rsidR="009530C9" w:rsidRPr="00B62D5C" w:rsidRDefault="009530C9" w:rsidP="00B62D5C">
      <w:pPr>
        <w:pStyle w:val="Footnote"/>
        <w:jc w:val="both"/>
      </w:pPr>
      <w:r w:rsidRPr="00B62D5C">
        <w:rPr>
          <w:rStyle w:val="EndnoteReference"/>
        </w:rPr>
        <w:endnoteRef/>
      </w:r>
      <w:r w:rsidRPr="00B62D5C">
        <w:t xml:space="preserve"> “Gloves,” </w:t>
      </w:r>
      <w:proofErr w:type="spellStart"/>
      <w:r w:rsidRPr="00B62D5C">
        <w:t>Swany</w:t>
      </w:r>
      <w:proofErr w:type="spellEnd"/>
      <w:r w:rsidRPr="00B62D5C">
        <w:t xml:space="preserve"> America, accessed July 13, 2020, https://www.swanyamerica.com/gloves/ (the case authors manually counted the products offered).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2DAB2" w14:textId="77777777" w:rsidR="009530C9" w:rsidRDefault="009530C9" w:rsidP="00D75295">
      <w:r>
        <w:separator/>
      </w:r>
    </w:p>
  </w:footnote>
  <w:footnote w:type="continuationSeparator" w:id="0">
    <w:p w14:paraId="1A57F0EB" w14:textId="77777777" w:rsidR="009530C9" w:rsidRDefault="009530C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C5731" w14:textId="676C003C" w:rsidR="009530C9" w:rsidRPr="001520D3" w:rsidRDefault="009530C9" w:rsidP="005438B2">
    <w:pPr>
      <w:pBdr>
        <w:bottom w:val="single" w:sz="18" w:space="1" w:color="auto"/>
      </w:pBdr>
      <w:tabs>
        <w:tab w:val="left" w:pos="-1440"/>
        <w:tab w:val="left" w:pos="-720"/>
        <w:tab w:val="right" w:pos="12960"/>
      </w:tabs>
      <w:rPr>
        <w:sz w:val="20"/>
        <w:szCs w:val="20"/>
      </w:rPr>
    </w:pPr>
    <w:r w:rsidRPr="001520D3">
      <w:rPr>
        <w:rFonts w:ascii="Arial" w:hAnsi="Arial"/>
        <w:b/>
        <w:sz w:val="20"/>
        <w:szCs w:val="20"/>
      </w:rPr>
      <w:t xml:space="preserve">Page </w:t>
    </w:r>
    <w:r w:rsidRPr="001520D3">
      <w:rPr>
        <w:rFonts w:ascii="Arial" w:hAnsi="Arial"/>
        <w:b/>
        <w:sz w:val="20"/>
        <w:szCs w:val="20"/>
      </w:rPr>
      <w:fldChar w:fldCharType="begin"/>
    </w:r>
    <w:r w:rsidRPr="001520D3">
      <w:rPr>
        <w:rFonts w:ascii="Arial" w:hAnsi="Arial"/>
        <w:b/>
        <w:sz w:val="20"/>
        <w:szCs w:val="20"/>
      </w:rPr>
      <w:instrText>PAGE</w:instrText>
    </w:r>
    <w:r w:rsidRPr="001520D3">
      <w:rPr>
        <w:rFonts w:ascii="Arial" w:hAnsi="Arial"/>
        <w:b/>
        <w:sz w:val="20"/>
        <w:szCs w:val="20"/>
      </w:rPr>
      <w:fldChar w:fldCharType="separate"/>
    </w:r>
    <w:r>
      <w:rPr>
        <w:rFonts w:ascii="Arial" w:hAnsi="Arial"/>
        <w:b/>
        <w:noProof/>
        <w:sz w:val="20"/>
        <w:szCs w:val="20"/>
      </w:rPr>
      <w:t>3</w:t>
    </w:r>
    <w:r w:rsidRPr="001520D3">
      <w:rPr>
        <w:rFonts w:ascii="Arial" w:hAnsi="Arial"/>
        <w:b/>
        <w:sz w:val="20"/>
        <w:szCs w:val="20"/>
      </w:rPr>
      <w:fldChar w:fldCharType="end"/>
    </w:r>
    <w:r w:rsidRPr="001520D3">
      <w:rPr>
        <w:rFonts w:ascii="Arial" w:hAnsi="Arial"/>
        <w:b/>
        <w:sz w:val="20"/>
        <w:szCs w:val="20"/>
      </w:rPr>
      <w:tab/>
    </w:r>
    <w:r w:rsidR="00F1125F">
      <w:rPr>
        <w:rFonts w:ascii="Arial" w:hAnsi="Arial"/>
        <w:b/>
        <w:sz w:val="20"/>
        <w:szCs w:val="20"/>
      </w:rPr>
      <w:t>9B21M063</w:t>
    </w:r>
  </w:p>
  <w:p w14:paraId="6C79CAB0" w14:textId="77777777" w:rsidR="009530C9" w:rsidRDefault="009530C9" w:rsidP="005438B2">
    <w:pPr>
      <w:pStyle w:val="Header"/>
      <w:tabs>
        <w:tab w:val="clear" w:pos="4680"/>
        <w:tab w:val="clear" w:pos="9360"/>
        <w:tab w:val="right" w:pos="12960"/>
      </w:tabs>
      <w:rPr>
        <w:sz w:val="18"/>
        <w:szCs w:val="18"/>
      </w:rPr>
    </w:pPr>
  </w:p>
  <w:p w14:paraId="1761C49E" w14:textId="77777777" w:rsidR="009530C9" w:rsidRDefault="009530C9" w:rsidP="005438B2">
    <w:pPr>
      <w:tabs>
        <w:tab w:val="right" w:pos="129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136BC" w14:textId="2F5A4D9D" w:rsidR="009530C9" w:rsidRPr="00C92CC4" w:rsidRDefault="009530C9" w:rsidP="005438B2">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12</w:t>
    </w:r>
    <w:r>
      <w:rPr>
        <w:rFonts w:ascii="Arial" w:hAnsi="Arial"/>
        <w:b/>
      </w:rPr>
      <w:fldChar w:fldCharType="end"/>
    </w:r>
    <w:r>
      <w:rPr>
        <w:rFonts w:ascii="Arial" w:hAnsi="Arial"/>
        <w:b/>
      </w:rPr>
      <w:tab/>
      <w:t>*</w:t>
    </w:r>
  </w:p>
  <w:p w14:paraId="7F9D955F" w14:textId="77777777" w:rsidR="009530C9" w:rsidRDefault="009530C9" w:rsidP="005438B2">
    <w:pPr>
      <w:pStyle w:val="Header"/>
      <w:tabs>
        <w:tab w:val="clear" w:pos="4680"/>
        <w:tab w:val="clear" w:pos="9360"/>
        <w:tab w:val="right" w:pos="12960"/>
      </w:tabs>
      <w:rPr>
        <w:sz w:val="18"/>
        <w:szCs w:val="18"/>
      </w:rPr>
    </w:pPr>
  </w:p>
  <w:p w14:paraId="5B785DDD" w14:textId="77777777" w:rsidR="009530C9" w:rsidRDefault="009530C9" w:rsidP="005438B2">
    <w:pPr>
      <w:tabs>
        <w:tab w:val="right" w:pos="129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91B6" w14:textId="0C2395A6" w:rsidR="009530C9" w:rsidRPr="00C92CC4" w:rsidRDefault="009530C9" w:rsidP="00BF5A1A">
    <w:pPr>
      <w:pBdr>
        <w:bottom w:val="single" w:sz="18" w:space="1" w:color="auto"/>
      </w:pBdr>
      <w:tabs>
        <w:tab w:val="left" w:pos="-1440"/>
        <w:tab w:val="left" w:pos="-720"/>
        <w:tab w:val="right" w:pos="9360"/>
      </w:tabs>
      <w:rPr>
        <w:sz w:val="18"/>
        <w:szCs w:val="18"/>
      </w:rPr>
    </w:pPr>
    <w:r w:rsidRPr="001520D3">
      <w:rPr>
        <w:rFonts w:ascii="Arial" w:hAnsi="Arial"/>
        <w:b/>
        <w:sz w:val="20"/>
        <w:szCs w:val="20"/>
      </w:rPr>
      <w:t xml:space="preserve">Page </w:t>
    </w:r>
    <w:r w:rsidRPr="001520D3">
      <w:rPr>
        <w:rFonts w:ascii="Arial" w:hAnsi="Arial"/>
        <w:b/>
        <w:sz w:val="20"/>
        <w:szCs w:val="20"/>
      </w:rPr>
      <w:fldChar w:fldCharType="begin"/>
    </w:r>
    <w:r w:rsidRPr="001520D3">
      <w:rPr>
        <w:rFonts w:ascii="Arial" w:hAnsi="Arial"/>
        <w:b/>
        <w:sz w:val="20"/>
        <w:szCs w:val="20"/>
      </w:rPr>
      <w:instrText>PAGE</w:instrText>
    </w:r>
    <w:r w:rsidRPr="001520D3">
      <w:rPr>
        <w:rFonts w:ascii="Arial" w:hAnsi="Arial"/>
        <w:b/>
        <w:sz w:val="20"/>
        <w:szCs w:val="20"/>
      </w:rPr>
      <w:fldChar w:fldCharType="separate"/>
    </w:r>
    <w:r>
      <w:rPr>
        <w:rFonts w:ascii="Arial" w:hAnsi="Arial"/>
        <w:b/>
        <w:noProof/>
        <w:sz w:val="20"/>
        <w:szCs w:val="20"/>
      </w:rPr>
      <w:t>14</w:t>
    </w:r>
    <w:r w:rsidRPr="001520D3">
      <w:rPr>
        <w:rFonts w:ascii="Arial" w:hAnsi="Arial"/>
        <w:b/>
        <w:sz w:val="20"/>
        <w:szCs w:val="20"/>
      </w:rPr>
      <w:fldChar w:fldCharType="end"/>
    </w:r>
    <w:r>
      <w:rPr>
        <w:rFonts w:ascii="Arial" w:hAnsi="Arial"/>
        <w:b/>
      </w:rPr>
      <w:tab/>
      <w:t>*</w:t>
    </w:r>
  </w:p>
  <w:p w14:paraId="4BD8C264" w14:textId="77777777" w:rsidR="009530C9" w:rsidRDefault="009530C9" w:rsidP="00BF5A1A">
    <w:pPr>
      <w:pStyle w:val="Header"/>
      <w:tabs>
        <w:tab w:val="clear" w:pos="4680"/>
      </w:tabs>
      <w:rPr>
        <w:sz w:val="18"/>
        <w:szCs w:val="18"/>
      </w:rPr>
    </w:pPr>
  </w:p>
  <w:p w14:paraId="55A656E9" w14:textId="77777777" w:rsidR="009530C9" w:rsidRDefault="009530C9" w:rsidP="00BF5A1A">
    <w:pP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9C4A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642D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D24F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960E0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661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E4A3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F232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C21C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E052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5CC6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B0144A"/>
    <w:multiLevelType w:val="hybridMultilevel"/>
    <w:tmpl w:val="380450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08B5EC1"/>
    <w:multiLevelType w:val="hybridMultilevel"/>
    <w:tmpl w:val="CDB08E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1272C6"/>
    <w:multiLevelType w:val="hybridMultilevel"/>
    <w:tmpl w:val="1EEE0FFC"/>
    <w:lvl w:ilvl="0" w:tplc="3B48A896">
      <w:start w:val="1"/>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12ED"/>
    <w:multiLevelType w:val="hybridMultilevel"/>
    <w:tmpl w:val="95A209D0"/>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1C134A"/>
    <w:multiLevelType w:val="hybridMultilevel"/>
    <w:tmpl w:val="752814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58A48D1"/>
    <w:multiLevelType w:val="multilevel"/>
    <w:tmpl w:val="8D009F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7302446"/>
    <w:multiLevelType w:val="hybridMultilevel"/>
    <w:tmpl w:val="59FEBDFA"/>
    <w:lvl w:ilvl="0" w:tplc="066CAE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C3E25"/>
    <w:multiLevelType w:val="hybridMultilevel"/>
    <w:tmpl w:val="6D7C993C"/>
    <w:lvl w:ilvl="0" w:tplc="5E7C4CB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16"/>
  </w:num>
  <w:num w:numId="4">
    <w:abstractNumId w:val="27"/>
  </w:num>
  <w:num w:numId="5">
    <w:abstractNumId w:val="17"/>
  </w:num>
  <w:num w:numId="6">
    <w:abstractNumId w:val="24"/>
  </w:num>
  <w:num w:numId="7">
    <w:abstractNumId w:val="12"/>
  </w:num>
  <w:num w:numId="8">
    <w:abstractNumId w:val="29"/>
  </w:num>
  <w:num w:numId="9">
    <w:abstractNumId w:val="25"/>
  </w:num>
  <w:num w:numId="10">
    <w:abstractNumId w:val="14"/>
  </w:num>
  <w:num w:numId="11">
    <w:abstractNumId w:val="22"/>
  </w:num>
  <w:num w:numId="12">
    <w:abstractNumId w:val="23"/>
  </w:num>
  <w:num w:numId="13">
    <w:abstractNumId w:val="9"/>
  </w:num>
  <w:num w:numId="14">
    <w:abstractNumId w:val="11"/>
  </w:num>
  <w:num w:numId="15">
    <w:abstractNumId w:val="15"/>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8"/>
  </w:num>
  <w:num w:numId="20">
    <w:abstractNumId w:val="10"/>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6"/>
  </w:num>
  <w:num w:numId="31">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BEA"/>
    <w:rsid w:val="0000741A"/>
    <w:rsid w:val="00013360"/>
    <w:rsid w:val="00016759"/>
    <w:rsid w:val="00017031"/>
    <w:rsid w:val="000216CE"/>
    <w:rsid w:val="00024ED4"/>
    <w:rsid w:val="00025DC7"/>
    <w:rsid w:val="00027EE5"/>
    <w:rsid w:val="00035F09"/>
    <w:rsid w:val="00036724"/>
    <w:rsid w:val="00041306"/>
    <w:rsid w:val="00044ECC"/>
    <w:rsid w:val="000531D3"/>
    <w:rsid w:val="00055108"/>
    <w:rsid w:val="0005646B"/>
    <w:rsid w:val="000578FF"/>
    <w:rsid w:val="00057EB6"/>
    <w:rsid w:val="00060705"/>
    <w:rsid w:val="000615D1"/>
    <w:rsid w:val="00071C6F"/>
    <w:rsid w:val="00077E8F"/>
    <w:rsid w:val="0008102D"/>
    <w:rsid w:val="00083D9A"/>
    <w:rsid w:val="00086B26"/>
    <w:rsid w:val="00094C0E"/>
    <w:rsid w:val="00095366"/>
    <w:rsid w:val="000A146D"/>
    <w:rsid w:val="000A234C"/>
    <w:rsid w:val="000A635B"/>
    <w:rsid w:val="000B2C77"/>
    <w:rsid w:val="000B3E10"/>
    <w:rsid w:val="000D2A2F"/>
    <w:rsid w:val="000D5618"/>
    <w:rsid w:val="000D7091"/>
    <w:rsid w:val="000E3BB7"/>
    <w:rsid w:val="000E7F16"/>
    <w:rsid w:val="000F0C22"/>
    <w:rsid w:val="000F353F"/>
    <w:rsid w:val="000F45D4"/>
    <w:rsid w:val="000F6B09"/>
    <w:rsid w:val="000F6FDC"/>
    <w:rsid w:val="00102E37"/>
    <w:rsid w:val="00103663"/>
    <w:rsid w:val="00104567"/>
    <w:rsid w:val="0010456E"/>
    <w:rsid w:val="00104916"/>
    <w:rsid w:val="00104AA7"/>
    <w:rsid w:val="0010536F"/>
    <w:rsid w:val="00106473"/>
    <w:rsid w:val="00114AD2"/>
    <w:rsid w:val="001157B5"/>
    <w:rsid w:val="00115CAB"/>
    <w:rsid w:val="0012732D"/>
    <w:rsid w:val="001337C1"/>
    <w:rsid w:val="00133915"/>
    <w:rsid w:val="00143F25"/>
    <w:rsid w:val="00144294"/>
    <w:rsid w:val="0014529D"/>
    <w:rsid w:val="001464CC"/>
    <w:rsid w:val="001472FF"/>
    <w:rsid w:val="00147622"/>
    <w:rsid w:val="0015125F"/>
    <w:rsid w:val="001520D3"/>
    <w:rsid w:val="00152682"/>
    <w:rsid w:val="00154FC9"/>
    <w:rsid w:val="00155674"/>
    <w:rsid w:val="00160B23"/>
    <w:rsid w:val="00162B6E"/>
    <w:rsid w:val="00172AC0"/>
    <w:rsid w:val="001901C0"/>
    <w:rsid w:val="00191A2C"/>
    <w:rsid w:val="0019241A"/>
    <w:rsid w:val="00192A18"/>
    <w:rsid w:val="00194A28"/>
    <w:rsid w:val="001A139B"/>
    <w:rsid w:val="001A22D1"/>
    <w:rsid w:val="001A5E5B"/>
    <w:rsid w:val="001A752D"/>
    <w:rsid w:val="001A757E"/>
    <w:rsid w:val="001B2C50"/>
    <w:rsid w:val="001B5032"/>
    <w:rsid w:val="001B686B"/>
    <w:rsid w:val="001B6DFE"/>
    <w:rsid w:val="001C7777"/>
    <w:rsid w:val="001D2238"/>
    <w:rsid w:val="001D344B"/>
    <w:rsid w:val="001D4CF3"/>
    <w:rsid w:val="001E1612"/>
    <w:rsid w:val="001E364F"/>
    <w:rsid w:val="001E4521"/>
    <w:rsid w:val="001F4222"/>
    <w:rsid w:val="00203AA1"/>
    <w:rsid w:val="00204205"/>
    <w:rsid w:val="002044DF"/>
    <w:rsid w:val="002065E4"/>
    <w:rsid w:val="0021092D"/>
    <w:rsid w:val="00213E98"/>
    <w:rsid w:val="00223A61"/>
    <w:rsid w:val="00223EF4"/>
    <w:rsid w:val="00230150"/>
    <w:rsid w:val="0023081A"/>
    <w:rsid w:val="00233111"/>
    <w:rsid w:val="0023753F"/>
    <w:rsid w:val="00246E67"/>
    <w:rsid w:val="00250809"/>
    <w:rsid w:val="00265FA8"/>
    <w:rsid w:val="002664E2"/>
    <w:rsid w:val="0026731D"/>
    <w:rsid w:val="002949B4"/>
    <w:rsid w:val="002978D4"/>
    <w:rsid w:val="002A1346"/>
    <w:rsid w:val="002A46BE"/>
    <w:rsid w:val="002B3E06"/>
    <w:rsid w:val="002B40FF"/>
    <w:rsid w:val="002B4D46"/>
    <w:rsid w:val="002B77A1"/>
    <w:rsid w:val="002C18FF"/>
    <w:rsid w:val="002C2A5C"/>
    <w:rsid w:val="002C342B"/>
    <w:rsid w:val="002C4E29"/>
    <w:rsid w:val="002D2761"/>
    <w:rsid w:val="002D4A2D"/>
    <w:rsid w:val="002F017D"/>
    <w:rsid w:val="002F460C"/>
    <w:rsid w:val="002F48D6"/>
    <w:rsid w:val="003070E0"/>
    <w:rsid w:val="003171AB"/>
    <w:rsid w:val="00317391"/>
    <w:rsid w:val="0032005F"/>
    <w:rsid w:val="00326216"/>
    <w:rsid w:val="00326ED2"/>
    <w:rsid w:val="00327380"/>
    <w:rsid w:val="003361F6"/>
    <w:rsid w:val="00336580"/>
    <w:rsid w:val="00340805"/>
    <w:rsid w:val="00341ABF"/>
    <w:rsid w:val="00343D16"/>
    <w:rsid w:val="00350746"/>
    <w:rsid w:val="00354899"/>
    <w:rsid w:val="00355FD6"/>
    <w:rsid w:val="00364A5C"/>
    <w:rsid w:val="00373FB1"/>
    <w:rsid w:val="003779BB"/>
    <w:rsid w:val="003945F3"/>
    <w:rsid w:val="00396C76"/>
    <w:rsid w:val="003A24FB"/>
    <w:rsid w:val="003A453A"/>
    <w:rsid w:val="003B30D8"/>
    <w:rsid w:val="003B7EF2"/>
    <w:rsid w:val="003C3FA4"/>
    <w:rsid w:val="003C4623"/>
    <w:rsid w:val="003C792E"/>
    <w:rsid w:val="003D0BA1"/>
    <w:rsid w:val="003E3F74"/>
    <w:rsid w:val="003F2B0C"/>
    <w:rsid w:val="003F2DB7"/>
    <w:rsid w:val="003F2DD1"/>
    <w:rsid w:val="004013AD"/>
    <w:rsid w:val="004105B2"/>
    <w:rsid w:val="0041145A"/>
    <w:rsid w:val="00412900"/>
    <w:rsid w:val="00412B75"/>
    <w:rsid w:val="00413287"/>
    <w:rsid w:val="004221E4"/>
    <w:rsid w:val="00425282"/>
    <w:rsid w:val="004273F8"/>
    <w:rsid w:val="004355A3"/>
    <w:rsid w:val="004400D2"/>
    <w:rsid w:val="00446546"/>
    <w:rsid w:val="00452769"/>
    <w:rsid w:val="004548DF"/>
    <w:rsid w:val="00454FA7"/>
    <w:rsid w:val="00461EFD"/>
    <w:rsid w:val="00465348"/>
    <w:rsid w:val="004702BC"/>
    <w:rsid w:val="00481A30"/>
    <w:rsid w:val="00484122"/>
    <w:rsid w:val="00484960"/>
    <w:rsid w:val="004876F3"/>
    <w:rsid w:val="00490414"/>
    <w:rsid w:val="0049048F"/>
    <w:rsid w:val="00496F49"/>
    <w:rsid w:val="004979A5"/>
    <w:rsid w:val="004A25E0"/>
    <w:rsid w:val="004B1CCB"/>
    <w:rsid w:val="004B632F"/>
    <w:rsid w:val="004C1EB7"/>
    <w:rsid w:val="004D3FB1"/>
    <w:rsid w:val="004D6F21"/>
    <w:rsid w:val="004D73A5"/>
    <w:rsid w:val="004E5B6D"/>
    <w:rsid w:val="004F5A66"/>
    <w:rsid w:val="004F7FA1"/>
    <w:rsid w:val="00501AF3"/>
    <w:rsid w:val="005108DA"/>
    <w:rsid w:val="0051136F"/>
    <w:rsid w:val="005140F7"/>
    <w:rsid w:val="005160F1"/>
    <w:rsid w:val="00516EB4"/>
    <w:rsid w:val="0052258E"/>
    <w:rsid w:val="00524F2F"/>
    <w:rsid w:val="00527E5C"/>
    <w:rsid w:val="00532CF5"/>
    <w:rsid w:val="0054055B"/>
    <w:rsid w:val="005438B2"/>
    <w:rsid w:val="00544508"/>
    <w:rsid w:val="005528CB"/>
    <w:rsid w:val="00563771"/>
    <w:rsid w:val="00563CF6"/>
    <w:rsid w:val="00566771"/>
    <w:rsid w:val="005670C4"/>
    <w:rsid w:val="005804AB"/>
    <w:rsid w:val="00581E2E"/>
    <w:rsid w:val="00584F15"/>
    <w:rsid w:val="00590637"/>
    <w:rsid w:val="0059514B"/>
    <w:rsid w:val="00596329"/>
    <w:rsid w:val="005A1B0F"/>
    <w:rsid w:val="005A2A9D"/>
    <w:rsid w:val="005A3891"/>
    <w:rsid w:val="005B4CE6"/>
    <w:rsid w:val="005B5EFE"/>
    <w:rsid w:val="005C04A0"/>
    <w:rsid w:val="005C7B0A"/>
    <w:rsid w:val="005D33D2"/>
    <w:rsid w:val="005D3F40"/>
    <w:rsid w:val="005E3260"/>
    <w:rsid w:val="005F08BB"/>
    <w:rsid w:val="00601F7D"/>
    <w:rsid w:val="00603A3C"/>
    <w:rsid w:val="006163F7"/>
    <w:rsid w:val="0062268C"/>
    <w:rsid w:val="00622C53"/>
    <w:rsid w:val="0062393F"/>
    <w:rsid w:val="00624D3F"/>
    <w:rsid w:val="006262A2"/>
    <w:rsid w:val="00627C63"/>
    <w:rsid w:val="0063350B"/>
    <w:rsid w:val="00637F35"/>
    <w:rsid w:val="00640DB7"/>
    <w:rsid w:val="00652606"/>
    <w:rsid w:val="00653FE3"/>
    <w:rsid w:val="00656B25"/>
    <w:rsid w:val="006628AF"/>
    <w:rsid w:val="006653F2"/>
    <w:rsid w:val="00674B67"/>
    <w:rsid w:val="00676EEE"/>
    <w:rsid w:val="006946EE"/>
    <w:rsid w:val="0069679F"/>
    <w:rsid w:val="006A05F2"/>
    <w:rsid w:val="006A1666"/>
    <w:rsid w:val="006A58A9"/>
    <w:rsid w:val="006A606D"/>
    <w:rsid w:val="006C0371"/>
    <w:rsid w:val="006C08B6"/>
    <w:rsid w:val="006C0B1A"/>
    <w:rsid w:val="006C6065"/>
    <w:rsid w:val="006C7F9F"/>
    <w:rsid w:val="006D50B7"/>
    <w:rsid w:val="006E176B"/>
    <w:rsid w:val="006E2F6D"/>
    <w:rsid w:val="006E58F6"/>
    <w:rsid w:val="006E77E1"/>
    <w:rsid w:val="006F0BE5"/>
    <w:rsid w:val="006F1209"/>
    <w:rsid w:val="006F131D"/>
    <w:rsid w:val="0070271D"/>
    <w:rsid w:val="007054B2"/>
    <w:rsid w:val="00711642"/>
    <w:rsid w:val="0072069C"/>
    <w:rsid w:val="00727DE0"/>
    <w:rsid w:val="00734911"/>
    <w:rsid w:val="00735455"/>
    <w:rsid w:val="00742023"/>
    <w:rsid w:val="00744F84"/>
    <w:rsid w:val="007507C6"/>
    <w:rsid w:val="0075106C"/>
    <w:rsid w:val="00751E0B"/>
    <w:rsid w:val="00752BCD"/>
    <w:rsid w:val="00753890"/>
    <w:rsid w:val="0075434F"/>
    <w:rsid w:val="00761B55"/>
    <w:rsid w:val="00766DA1"/>
    <w:rsid w:val="00780D94"/>
    <w:rsid w:val="007866A6"/>
    <w:rsid w:val="00796E52"/>
    <w:rsid w:val="007A130D"/>
    <w:rsid w:val="007A704C"/>
    <w:rsid w:val="007B49B8"/>
    <w:rsid w:val="007B7556"/>
    <w:rsid w:val="007C0272"/>
    <w:rsid w:val="007C4E95"/>
    <w:rsid w:val="007D1A2D"/>
    <w:rsid w:val="007D32E6"/>
    <w:rsid w:val="007D4102"/>
    <w:rsid w:val="007E2162"/>
    <w:rsid w:val="007E54A7"/>
    <w:rsid w:val="007E58CA"/>
    <w:rsid w:val="007E657B"/>
    <w:rsid w:val="007F2BED"/>
    <w:rsid w:val="007F3963"/>
    <w:rsid w:val="007F43B7"/>
    <w:rsid w:val="00812EC0"/>
    <w:rsid w:val="00816D38"/>
    <w:rsid w:val="00821FFC"/>
    <w:rsid w:val="008271CA"/>
    <w:rsid w:val="00835452"/>
    <w:rsid w:val="008467D5"/>
    <w:rsid w:val="0085015A"/>
    <w:rsid w:val="00865226"/>
    <w:rsid w:val="00866398"/>
    <w:rsid w:val="008713A9"/>
    <w:rsid w:val="008744F7"/>
    <w:rsid w:val="008859D8"/>
    <w:rsid w:val="0089551B"/>
    <w:rsid w:val="008968FD"/>
    <w:rsid w:val="00897EE6"/>
    <w:rsid w:val="008A4DC4"/>
    <w:rsid w:val="008B438C"/>
    <w:rsid w:val="008C007E"/>
    <w:rsid w:val="008C340D"/>
    <w:rsid w:val="008D06CA"/>
    <w:rsid w:val="008D3098"/>
    <w:rsid w:val="008D3A46"/>
    <w:rsid w:val="008D5963"/>
    <w:rsid w:val="008D66EE"/>
    <w:rsid w:val="008F1DF7"/>
    <w:rsid w:val="008F2385"/>
    <w:rsid w:val="009067A4"/>
    <w:rsid w:val="00911483"/>
    <w:rsid w:val="00926986"/>
    <w:rsid w:val="00930885"/>
    <w:rsid w:val="00933D68"/>
    <w:rsid w:val="009340DB"/>
    <w:rsid w:val="0094618C"/>
    <w:rsid w:val="009530C9"/>
    <w:rsid w:val="0095684B"/>
    <w:rsid w:val="00964502"/>
    <w:rsid w:val="00964861"/>
    <w:rsid w:val="00972498"/>
    <w:rsid w:val="0097481F"/>
    <w:rsid w:val="00974CC6"/>
    <w:rsid w:val="00976AD4"/>
    <w:rsid w:val="00980E54"/>
    <w:rsid w:val="009945A6"/>
    <w:rsid w:val="00995547"/>
    <w:rsid w:val="009A312F"/>
    <w:rsid w:val="009A40D5"/>
    <w:rsid w:val="009A4B78"/>
    <w:rsid w:val="009A5348"/>
    <w:rsid w:val="009A5812"/>
    <w:rsid w:val="009B0AB7"/>
    <w:rsid w:val="009C76D5"/>
    <w:rsid w:val="009E5263"/>
    <w:rsid w:val="009F010B"/>
    <w:rsid w:val="009F1AE2"/>
    <w:rsid w:val="009F7AA4"/>
    <w:rsid w:val="00A0046B"/>
    <w:rsid w:val="00A01D98"/>
    <w:rsid w:val="00A05DFB"/>
    <w:rsid w:val="00A10AD7"/>
    <w:rsid w:val="00A14509"/>
    <w:rsid w:val="00A21BEC"/>
    <w:rsid w:val="00A23454"/>
    <w:rsid w:val="00A264AF"/>
    <w:rsid w:val="00A30ACB"/>
    <w:rsid w:val="00A323B0"/>
    <w:rsid w:val="00A33548"/>
    <w:rsid w:val="00A444C9"/>
    <w:rsid w:val="00A51F3D"/>
    <w:rsid w:val="00A559DB"/>
    <w:rsid w:val="00A55E5C"/>
    <w:rsid w:val="00A5601D"/>
    <w:rsid w:val="00A569EA"/>
    <w:rsid w:val="00A6057E"/>
    <w:rsid w:val="00A676A0"/>
    <w:rsid w:val="00A7058D"/>
    <w:rsid w:val="00A73757"/>
    <w:rsid w:val="00A81397"/>
    <w:rsid w:val="00A91E23"/>
    <w:rsid w:val="00A9477A"/>
    <w:rsid w:val="00AA1693"/>
    <w:rsid w:val="00AA6438"/>
    <w:rsid w:val="00AB2B31"/>
    <w:rsid w:val="00AB3695"/>
    <w:rsid w:val="00AC5883"/>
    <w:rsid w:val="00AD5D8D"/>
    <w:rsid w:val="00AE5FB8"/>
    <w:rsid w:val="00AE6BB6"/>
    <w:rsid w:val="00AE7739"/>
    <w:rsid w:val="00AF0892"/>
    <w:rsid w:val="00AF35FC"/>
    <w:rsid w:val="00AF4FD2"/>
    <w:rsid w:val="00AF5556"/>
    <w:rsid w:val="00B00578"/>
    <w:rsid w:val="00B01931"/>
    <w:rsid w:val="00B03639"/>
    <w:rsid w:val="00B04CEB"/>
    <w:rsid w:val="00B0652A"/>
    <w:rsid w:val="00B1649B"/>
    <w:rsid w:val="00B26F3C"/>
    <w:rsid w:val="00B30B40"/>
    <w:rsid w:val="00B30E60"/>
    <w:rsid w:val="00B33F5E"/>
    <w:rsid w:val="00B36208"/>
    <w:rsid w:val="00B40937"/>
    <w:rsid w:val="00B423EF"/>
    <w:rsid w:val="00B44FF4"/>
    <w:rsid w:val="00B453DE"/>
    <w:rsid w:val="00B52637"/>
    <w:rsid w:val="00B61295"/>
    <w:rsid w:val="00B62497"/>
    <w:rsid w:val="00B62D5C"/>
    <w:rsid w:val="00B72597"/>
    <w:rsid w:val="00B75681"/>
    <w:rsid w:val="00B8750B"/>
    <w:rsid w:val="00B87DC0"/>
    <w:rsid w:val="00B901F9"/>
    <w:rsid w:val="00B94806"/>
    <w:rsid w:val="00B96CF0"/>
    <w:rsid w:val="00BA33B6"/>
    <w:rsid w:val="00BA4999"/>
    <w:rsid w:val="00BC0280"/>
    <w:rsid w:val="00BC4D98"/>
    <w:rsid w:val="00BC7461"/>
    <w:rsid w:val="00BD5525"/>
    <w:rsid w:val="00BD6EFB"/>
    <w:rsid w:val="00BD7ABF"/>
    <w:rsid w:val="00BE373B"/>
    <w:rsid w:val="00BE3B9B"/>
    <w:rsid w:val="00BE3DF5"/>
    <w:rsid w:val="00BF5709"/>
    <w:rsid w:val="00BF5A1A"/>
    <w:rsid w:val="00BF5EAB"/>
    <w:rsid w:val="00C00661"/>
    <w:rsid w:val="00C02410"/>
    <w:rsid w:val="00C06994"/>
    <w:rsid w:val="00C06B51"/>
    <w:rsid w:val="00C1584D"/>
    <w:rsid w:val="00C15BE2"/>
    <w:rsid w:val="00C16C15"/>
    <w:rsid w:val="00C266C7"/>
    <w:rsid w:val="00C3447F"/>
    <w:rsid w:val="00C41694"/>
    <w:rsid w:val="00C4454A"/>
    <w:rsid w:val="00C44714"/>
    <w:rsid w:val="00C64DD0"/>
    <w:rsid w:val="00C67102"/>
    <w:rsid w:val="00C70EF3"/>
    <w:rsid w:val="00C76CCC"/>
    <w:rsid w:val="00C81491"/>
    <w:rsid w:val="00C81676"/>
    <w:rsid w:val="00C85C5D"/>
    <w:rsid w:val="00C92CC4"/>
    <w:rsid w:val="00C96765"/>
    <w:rsid w:val="00CA0AFB"/>
    <w:rsid w:val="00CA0BD3"/>
    <w:rsid w:val="00CA2CE1"/>
    <w:rsid w:val="00CA3976"/>
    <w:rsid w:val="00CA50E3"/>
    <w:rsid w:val="00CA757B"/>
    <w:rsid w:val="00CB06D6"/>
    <w:rsid w:val="00CC02EB"/>
    <w:rsid w:val="00CC1787"/>
    <w:rsid w:val="00CC182C"/>
    <w:rsid w:val="00CC1C27"/>
    <w:rsid w:val="00CD0824"/>
    <w:rsid w:val="00CD2908"/>
    <w:rsid w:val="00CD6E61"/>
    <w:rsid w:val="00CE37E1"/>
    <w:rsid w:val="00CE4050"/>
    <w:rsid w:val="00CF3BBE"/>
    <w:rsid w:val="00CF7391"/>
    <w:rsid w:val="00D0090A"/>
    <w:rsid w:val="00D026AC"/>
    <w:rsid w:val="00D03A82"/>
    <w:rsid w:val="00D13667"/>
    <w:rsid w:val="00D15344"/>
    <w:rsid w:val="00D15740"/>
    <w:rsid w:val="00D23F57"/>
    <w:rsid w:val="00D30F0D"/>
    <w:rsid w:val="00D31BEC"/>
    <w:rsid w:val="00D3612C"/>
    <w:rsid w:val="00D37E72"/>
    <w:rsid w:val="00D41F0C"/>
    <w:rsid w:val="00D425D3"/>
    <w:rsid w:val="00D46004"/>
    <w:rsid w:val="00D5546E"/>
    <w:rsid w:val="00D568EA"/>
    <w:rsid w:val="00D63150"/>
    <w:rsid w:val="00D636BA"/>
    <w:rsid w:val="00D64A32"/>
    <w:rsid w:val="00D64EFC"/>
    <w:rsid w:val="00D65A1F"/>
    <w:rsid w:val="00D70198"/>
    <w:rsid w:val="00D70FF6"/>
    <w:rsid w:val="00D75295"/>
    <w:rsid w:val="00D76CE9"/>
    <w:rsid w:val="00D818E8"/>
    <w:rsid w:val="00D878F2"/>
    <w:rsid w:val="00D91E90"/>
    <w:rsid w:val="00D97F12"/>
    <w:rsid w:val="00DA28AC"/>
    <w:rsid w:val="00DA5584"/>
    <w:rsid w:val="00DA6095"/>
    <w:rsid w:val="00DA6BBE"/>
    <w:rsid w:val="00DA6BCC"/>
    <w:rsid w:val="00DB42E7"/>
    <w:rsid w:val="00DB434B"/>
    <w:rsid w:val="00DB69DA"/>
    <w:rsid w:val="00DC036E"/>
    <w:rsid w:val="00DC09D8"/>
    <w:rsid w:val="00DC6899"/>
    <w:rsid w:val="00DD0E04"/>
    <w:rsid w:val="00DD3A43"/>
    <w:rsid w:val="00DE01A6"/>
    <w:rsid w:val="00DE1ED0"/>
    <w:rsid w:val="00DE5D02"/>
    <w:rsid w:val="00DE7A98"/>
    <w:rsid w:val="00DF32C2"/>
    <w:rsid w:val="00E01C83"/>
    <w:rsid w:val="00E068EE"/>
    <w:rsid w:val="00E20E02"/>
    <w:rsid w:val="00E34033"/>
    <w:rsid w:val="00E41545"/>
    <w:rsid w:val="00E460FD"/>
    <w:rsid w:val="00E471A7"/>
    <w:rsid w:val="00E554B8"/>
    <w:rsid w:val="00E569B4"/>
    <w:rsid w:val="00E57B0A"/>
    <w:rsid w:val="00E61F02"/>
    <w:rsid w:val="00E621C2"/>
    <w:rsid w:val="00E635CF"/>
    <w:rsid w:val="00E653EF"/>
    <w:rsid w:val="00E7038C"/>
    <w:rsid w:val="00E75ABD"/>
    <w:rsid w:val="00E951F8"/>
    <w:rsid w:val="00E95D2E"/>
    <w:rsid w:val="00EB1E3B"/>
    <w:rsid w:val="00EC6E0A"/>
    <w:rsid w:val="00ED4E18"/>
    <w:rsid w:val="00ED68E6"/>
    <w:rsid w:val="00ED7566"/>
    <w:rsid w:val="00ED7922"/>
    <w:rsid w:val="00EE02C4"/>
    <w:rsid w:val="00EE1F37"/>
    <w:rsid w:val="00EF1D0F"/>
    <w:rsid w:val="00F0159C"/>
    <w:rsid w:val="00F03D7D"/>
    <w:rsid w:val="00F105B7"/>
    <w:rsid w:val="00F1125F"/>
    <w:rsid w:val="00F12803"/>
    <w:rsid w:val="00F13220"/>
    <w:rsid w:val="00F17A21"/>
    <w:rsid w:val="00F2231C"/>
    <w:rsid w:val="00F32394"/>
    <w:rsid w:val="00F36FC2"/>
    <w:rsid w:val="00F37B27"/>
    <w:rsid w:val="00F4304B"/>
    <w:rsid w:val="00F443BB"/>
    <w:rsid w:val="00F46556"/>
    <w:rsid w:val="00F50E91"/>
    <w:rsid w:val="00F56799"/>
    <w:rsid w:val="00F57D29"/>
    <w:rsid w:val="00F60171"/>
    <w:rsid w:val="00F60786"/>
    <w:rsid w:val="00F63C52"/>
    <w:rsid w:val="00F65C32"/>
    <w:rsid w:val="00F73C94"/>
    <w:rsid w:val="00F77002"/>
    <w:rsid w:val="00F85226"/>
    <w:rsid w:val="00F91BC7"/>
    <w:rsid w:val="00F94A79"/>
    <w:rsid w:val="00F9561E"/>
    <w:rsid w:val="00F96201"/>
    <w:rsid w:val="00FA1BBC"/>
    <w:rsid w:val="00FA3004"/>
    <w:rsid w:val="00FA38C7"/>
    <w:rsid w:val="00FB0143"/>
    <w:rsid w:val="00FB427F"/>
    <w:rsid w:val="00FC0154"/>
    <w:rsid w:val="00FC788C"/>
    <w:rsid w:val="00FD0B18"/>
    <w:rsid w:val="00FD2FAD"/>
    <w:rsid w:val="00FD64EA"/>
    <w:rsid w:val="00FD6AFE"/>
    <w:rsid w:val="00FE2B10"/>
    <w:rsid w:val="00FE66CD"/>
    <w:rsid w:val="00FE6895"/>
    <w:rsid w:val="00FE714F"/>
    <w:rsid w:val="00FF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4AF"/>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 w:val="20"/>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 w:val="20"/>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sz w:val="20"/>
      <w:szCs w:val="20"/>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sz w:val="20"/>
      <w:szCs w:val="20"/>
      <w:lang w:val="en-GB"/>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sz w:val="20"/>
      <w:szCs w:val="20"/>
      <w:lang w:val="en-GB"/>
    </w:rPr>
  </w:style>
  <w:style w:type="paragraph" w:styleId="Heading7">
    <w:name w:val="heading 7"/>
    <w:basedOn w:val="Normal"/>
    <w:next w:val="Normal"/>
    <w:link w:val="Heading7Char"/>
    <w:qFormat/>
    <w:rsid w:val="004273F8"/>
    <w:pPr>
      <w:keepNext/>
      <w:outlineLvl w:val="6"/>
    </w:pPr>
    <w:rPr>
      <w:b/>
      <w:bCs/>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szCs w:val="20"/>
      <w:lang w:val="en-AU"/>
    </w:rPr>
  </w:style>
  <w:style w:type="paragraph" w:styleId="Heading9">
    <w:name w:val="heading 9"/>
    <w:basedOn w:val="Normal"/>
    <w:next w:val="Normal"/>
    <w:link w:val="Heading9Char"/>
    <w:qFormat/>
    <w:rsid w:val="00711642"/>
    <w:pPr>
      <w:spacing w:before="40" w:after="40"/>
      <w:outlineLvl w:val="8"/>
    </w:pPr>
    <w:rPr>
      <w:b/>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lang w:val="en-GB"/>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7C0272"/>
    <w:pPr>
      <w:keepNext/>
    </w:pPr>
    <w:rPr>
      <w:rFonts w:ascii="Arial" w:hAnsi="Arial" w:cs="Arial"/>
      <w:b/>
      <w:caps/>
      <w:sz w:val="20"/>
      <w:szCs w:val="20"/>
    </w:rPr>
  </w:style>
  <w:style w:type="character" w:customStyle="1" w:styleId="Casehead1Char">
    <w:name w:val="Casehead 1 Char"/>
    <w:basedOn w:val="BodyTextMainChar"/>
    <w:link w:val="Casehead1"/>
    <w:rsid w:val="007C0272"/>
    <w:rPr>
      <w:rFonts w:ascii="Arial" w:eastAsia="Times New Roman" w:hAnsi="Arial" w:cs="Arial"/>
      <w:b/>
      <w:caps/>
      <w:sz w:val="20"/>
      <w:szCs w:val="20"/>
    </w:rPr>
  </w:style>
  <w:style w:type="paragraph" w:customStyle="1" w:styleId="Casehead2">
    <w:name w:val="Casehead 2"/>
    <w:basedOn w:val="Casehead1"/>
    <w:next w:val="BodyTextMain"/>
    <w:link w:val="Casehead2Char"/>
    <w:qFormat/>
    <w:rsid w:val="007C0272"/>
    <w:rPr>
      <w:caps w:val="0"/>
    </w:rPr>
  </w:style>
  <w:style w:type="character" w:customStyle="1" w:styleId="Casehead2Char">
    <w:name w:val="Casehead 2 Char"/>
    <w:basedOn w:val="Casehead1Char"/>
    <w:link w:val="Casehead2"/>
    <w:rsid w:val="007C0272"/>
    <w:rPr>
      <w:rFonts w:ascii="Arial" w:eastAsia="Times New Roman" w:hAnsi="Arial" w:cs="Arial"/>
      <w:b/>
      <w:caps w:val="0"/>
      <w:sz w:val="20"/>
      <w:szCs w:val="20"/>
    </w:rPr>
  </w:style>
  <w:style w:type="paragraph" w:customStyle="1" w:styleId="Casehead3">
    <w:name w:val="Casehead 3"/>
    <w:basedOn w:val="Casehead2"/>
    <w:next w:val="BodyTextMain"/>
    <w:link w:val="Casehead3Char"/>
    <w:qFormat/>
    <w:rsid w:val="007C0272"/>
    <w:rPr>
      <w:rFonts w:ascii="Times New Roman" w:hAnsi="Times New Roman" w:cs="Times New Roman"/>
      <w:b w:val="0"/>
      <w:sz w:val="22"/>
      <w:szCs w:val="22"/>
      <w:u w:val="single"/>
    </w:rPr>
  </w:style>
  <w:style w:type="character" w:customStyle="1" w:styleId="Casehead3Char">
    <w:name w:val="Casehead 3 Char"/>
    <w:basedOn w:val="Casehead2Char"/>
    <w:link w:val="Casehead3"/>
    <w:rsid w:val="007C0272"/>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sz w:val="20"/>
      <w:szCs w:val="20"/>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B8750B"/>
    <w:rPr>
      <w:b w:val="0"/>
      <w:color w:val="auto"/>
      <w:vertAlign w:val="superscript"/>
    </w:rPr>
  </w:style>
  <w:style w:type="paragraph" w:customStyle="1" w:styleId="Footnote">
    <w:name w:val="Footnote"/>
    <w:basedOn w:val="FootnoteText"/>
    <w:link w:val="FootnoteChar"/>
    <w:qFormat/>
    <w:rsid w:val="00B8750B"/>
    <w:rPr>
      <w:rFonts w:ascii="Arial" w:hAnsi="Arial" w:cs="Arial"/>
      <w:sz w:val="17"/>
      <w:szCs w:val="17"/>
    </w:rPr>
  </w:style>
  <w:style w:type="character" w:customStyle="1" w:styleId="FootnoteChar">
    <w:name w:val="Footnote Char"/>
    <w:basedOn w:val="FootnoteTextChar"/>
    <w:link w:val="Footnote"/>
    <w:rsid w:val="00B8750B"/>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7C0272"/>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7C0272"/>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1"/>
    <w:unhideWhenUsed/>
    <w:qFormat/>
    <w:rsid w:val="00CA3976"/>
    <w:pPr>
      <w:spacing w:after="120"/>
    </w:pPr>
    <w:rPr>
      <w:sz w:val="20"/>
      <w:szCs w:val="20"/>
      <w:lang w:val="en-GB"/>
    </w:rPr>
  </w:style>
  <w:style w:type="character" w:customStyle="1" w:styleId="BodyTextChar">
    <w:name w:val="Body Text Char"/>
    <w:basedOn w:val="DefaultParagraphFont"/>
    <w:link w:val="BodyText"/>
    <w:uiPriority w:val="1"/>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sz w:val="20"/>
      <w:szCs w:val="20"/>
      <w:lang w:val="en-GB"/>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lang w:val="en-GB"/>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sz w:val="20"/>
      <w:szCs w:val="20"/>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B8750B"/>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Cs w:val="20"/>
      <w:lang w:val="en-GB"/>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sz w:val="20"/>
      <w:szCs w:val="20"/>
      <w:lang w:val="en-GB"/>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sz w:val="20"/>
      <w:szCs w:val="20"/>
      <w:lang w:val="en-AU"/>
    </w:rPr>
  </w:style>
  <w:style w:type="paragraph" w:styleId="BodyTextIndent3">
    <w:name w:val="Body Text Indent 3"/>
    <w:basedOn w:val="Normal"/>
    <w:link w:val="BodyTextIndent3Char"/>
    <w:rsid w:val="00711642"/>
    <w:pPr>
      <w:spacing w:after="120"/>
      <w:ind w:left="360"/>
    </w:pPr>
    <w:rPr>
      <w:sz w:val="16"/>
      <w:szCs w:val="16"/>
      <w:lang w:val="en-GB"/>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Cs w:val="20"/>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sz w:val="20"/>
      <w:szCs w:val="20"/>
      <w:lang w:val="en-GB" w:eastAsia="en-CA"/>
    </w:rPr>
  </w:style>
  <w:style w:type="paragraph" w:customStyle="1" w:styleId="casehead20">
    <w:name w:val="casehead2"/>
    <w:basedOn w:val="Normal"/>
    <w:next w:val="BodyText"/>
    <w:rsid w:val="001C7777"/>
    <w:rPr>
      <w:rFonts w:ascii="Arial" w:hAnsi="Arial"/>
      <w:b/>
      <w:sz w:val="20"/>
      <w:szCs w:val="20"/>
      <w:lang w:val="en-GB"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rPr>
      <w:sz w:val="20"/>
      <w:szCs w:val="20"/>
      <w:lang w:val="en-GB"/>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lang w:val="en-GB"/>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lang w:val="en-GB"/>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uiPriority w:val="39"/>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lang w:val="en-GB"/>
    </w:rPr>
  </w:style>
  <w:style w:type="numbering" w:customStyle="1" w:styleId="NoList1">
    <w:name w:val="No List1"/>
    <w:next w:val="NoList"/>
    <w:uiPriority w:val="99"/>
    <w:semiHidden/>
    <w:unhideWhenUsed/>
    <w:rsid w:val="004013AD"/>
  </w:style>
  <w:style w:type="character" w:customStyle="1" w:styleId="UnresolvedMention1">
    <w:name w:val="Unresolved Mention1"/>
    <w:basedOn w:val="DefaultParagraphFont"/>
    <w:uiPriority w:val="99"/>
    <w:rsid w:val="004013AD"/>
    <w:rPr>
      <w:color w:val="605E5C"/>
      <w:shd w:val="clear" w:color="auto" w:fill="E1DFDD"/>
    </w:rPr>
  </w:style>
  <w:style w:type="table" w:customStyle="1" w:styleId="TableGrid1">
    <w:name w:val="Table Grid1"/>
    <w:basedOn w:val="TableNormal"/>
    <w:next w:val="TableGrid"/>
    <w:uiPriority w:val="39"/>
    <w:rsid w:val="004013A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AD"/>
    <w:pPr>
      <w:spacing w:after="100"/>
      <w:ind w:left="240"/>
    </w:pPr>
    <w:rPr>
      <w:rFonts w:ascii="Calibri" w:eastAsia="Calibri" w:hAnsi="Calibri"/>
      <w:lang w:val="en-GB"/>
    </w:rPr>
  </w:style>
  <w:style w:type="paragraph" w:styleId="TOC1">
    <w:name w:val="toc 1"/>
    <w:basedOn w:val="Normal"/>
    <w:next w:val="Normal"/>
    <w:autoRedefine/>
    <w:uiPriority w:val="39"/>
    <w:unhideWhenUsed/>
    <w:rsid w:val="004013AD"/>
    <w:pPr>
      <w:spacing w:after="100"/>
    </w:pPr>
    <w:rPr>
      <w:rFonts w:ascii="Calibri" w:eastAsia="Calibri" w:hAnsi="Calibri"/>
      <w:lang w:val="en-GB"/>
    </w:rPr>
  </w:style>
  <w:style w:type="paragraph" w:styleId="TOC3">
    <w:name w:val="toc 3"/>
    <w:basedOn w:val="Normal"/>
    <w:next w:val="Normal"/>
    <w:autoRedefine/>
    <w:uiPriority w:val="39"/>
    <w:unhideWhenUsed/>
    <w:rsid w:val="004013AD"/>
    <w:pPr>
      <w:spacing w:after="100"/>
      <w:ind w:left="480"/>
    </w:pPr>
    <w:rPr>
      <w:rFonts w:ascii="Calibri" w:eastAsia="Calibri" w:hAnsi="Calibri"/>
      <w:lang w:val="en-GB"/>
    </w:rPr>
  </w:style>
  <w:style w:type="paragraph" w:styleId="ListBullet">
    <w:name w:val="List Bullet"/>
    <w:basedOn w:val="Normal"/>
    <w:uiPriority w:val="99"/>
    <w:unhideWhenUsed/>
    <w:rsid w:val="004013AD"/>
    <w:pPr>
      <w:numPr>
        <w:numId w:val="13"/>
      </w:numPr>
      <w:tabs>
        <w:tab w:val="clear" w:pos="360"/>
      </w:tabs>
      <w:contextualSpacing/>
    </w:pPr>
    <w:rPr>
      <w:rFonts w:ascii="Calibri" w:eastAsia="Calibri" w:hAnsi="Calibri"/>
      <w:lang w:val="en-GB"/>
    </w:rPr>
  </w:style>
  <w:style w:type="table" w:styleId="PlainTable5">
    <w:name w:val="Plain Table 5"/>
    <w:basedOn w:val="TableNormal"/>
    <w:uiPriority w:val="45"/>
    <w:rsid w:val="002D276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D27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155674"/>
    <w:rPr>
      <w:color w:val="605E5C"/>
      <w:shd w:val="clear" w:color="auto" w:fill="E1DFDD"/>
    </w:rPr>
  </w:style>
  <w:style w:type="character" w:customStyle="1" w:styleId="UnresolvedMention3">
    <w:name w:val="Unresolved Mention3"/>
    <w:basedOn w:val="DefaultParagraphFont"/>
    <w:uiPriority w:val="99"/>
    <w:semiHidden/>
    <w:unhideWhenUsed/>
    <w:rsid w:val="001B6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90891">
      <w:bodyDiv w:val="1"/>
      <w:marLeft w:val="0"/>
      <w:marRight w:val="0"/>
      <w:marTop w:val="0"/>
      <w:marBottom w:val="0"/>
      <w:divBdr>
        <w:top w:val="none" w:sz="0" w:space="0" w:color="auto"/>
        <w:left w:val="none" w:sz="0" w:space="0" w:color="auto"/>
        <w:bottom w:val="none" w:sz="0" w:space="0" w:color="auto"/>
        <w:right w:val="none" w:sz="0" w:space="0" w:color="auto"/>
      </w:divBdr>
    </w:div>
    <w:div w:id="627131660">
      <w:bodyDiv w:val="1"/>
      <w:marLeft w:val="0"/>
      <w:marRight w:val="0"/>
      <w:marTop w:val="0"/>
      <w:marBottom w:val="0"/>
      <w:divBdr>
        <w:top w:val="none" w:sz="0" w:space="0" w:color="auto"/>
        <w:left w:val="none" w:sz="0" w:space="0" w:color="auto"/>
        <w:bottom w:val="none" w:sz="0" w:space="0" w:color="auto"/>
        <w:right w:val="none" w:sz="0" w:space="0" w:color="auto"/>
      </w:divBdr>
    </w:div>
    <w:div w:id="670959764">
      <w:bodyDiv w:val="1"/>
      <w:marLeft w:val="0"/>
      <w:marRight w:val="0"/>
      <w:marTop w:val="0"/>
      <w:marBottom w:val="0"/>
      <w:divBdr>
        <w:top w:val="none" w:sz="0" w:space="0" w:color="auto"/>
        <w:left w:val="none" w:sz="0" w:space="0" w:color="auto"/>
        <w:bottom w:val="none" w:sz="0" w:space="0" w:color="auto"/>
        <w:right w:val="none" w:sz="0" w:space="0" w:color="auto"/>
      </w:divBdr>
    </w:div>
    <w:div w:id="704603485">
      <w:bodyDiv w:val="1"/>
      <w:marLeft w:val="0"/>
      <w:marRight w:val="0"/>
      <w:marTop w:val="0"/>
      <w:marBottom w:val="0"/>
      <w:divBdr>
        <w:top w:val="none" w:sz="0" w:space="0" w:color="auto"/>
        <w:left w:val="none" w:sz="0" w:space="0" w:color="auto"/>
        <w:bottom w:val="none" w:sz="0" w:space="0" w:color="auto"/>
        <w:right w:val="none" w:sz="0" w:space="0" w:color="auto"/>
      </w:divBdr>
    </w:div>
    <w:div w:id="804662210">
      <w:bodyDiv w:val="1"/>
      <w:marLeft w:val="0"/>
      <w:marRight w:val="0"/>
      <w:marTop w:val="0"/>
      <w:marBottom w:val="0"/>
      <w:divBdr>
        <w:top w:val="none" w:sz="0" w:space="0" w:color="auto"/>
        <w:left w:val="none" w:sz="0" w:space="0" w:color="auto"/>
        <w:bottom w:val="none" w:sz="0" w:space="0" w:color="auto"/>
        <w:right w:val="none" w:sz="0" w:space="0" w:color="auto"/>
      </w:divBdr>
    </w:div>
    <w:div w:id="849947376">
      <w:bodyDiv w:val="1"/>
      <w:marLeft w:val="0"/>
      <w:marRight w:val="0"/>
      <w:marTop w:val="0"/>
      <w:marBottom w:val="0"/>
      <w:divBdr>
        <w:top w:val="none" w:sz="0" w:space="0" w:color="auto"/>
        <w:left w:val="none" w:sz="0" w:space="0" w:color="auto"/>
        <w:bottom w:val="none" w:sz="0" w:space="0" w:color="auto"/>
        <w:right w:val="none" w:sz="0" w:space="0" w:color="auto"/>
      </w:divBdr>
    </w:div>
    <w:div w:id="957026275">
      <w:bodyDiv w:val="1"/>
      <w:marLeft w:val="0"/>
      <w:marRight w:val="0"/>
      <w:marTop w:val="0"/>
      <w:marBottom w:val="0"/>
      <w:divBdr>
        <w:top w:val="none" w:sz="0" w:space="0" w:color="auto"/>
        <w:left w:val="none" w:sz="0" w:space="0" w:color="auto"/>
        <w:bottom w:val="none" w:sz="0" w:space="0" w:color="auto"/>
        <w:right w:val="none" w:sz="0" w:space="0" w:color="auto"/>
      </w:divBdr>
    </w:div>
    <w:div w:id="1002657444">
      <w:bodyDiv w:val="1"/>
      <w:marLeft w:val="0"/>
      <w:marRight w:val="0"/>
      <w:marTop w:val="0"/>
      <w:marBottom w:val="0"/>
      <w:divBdr>
        <w:top w:val="none" w:sz="0" w:space="0" w:color="auto"/>
        <w:left w:val="none" w:sz="0" w:space="0" w:color="auto"/>
        <w:bottom w:val="none" w:sz="0" w:space="0" w:color="auto"/>
        <w:right w:val="none" w:sz="0" w:space="0" w:color="auto"/>
      </w:divBdr>
    </w:div>
    <w:div w:id="103307412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50132371">
      <w:bodyDiv w:val="1"/>
      <w:marLeft w:val="0"/>
      <w:marRight w:val="0"/>
      <w:marTop w:val="0"/>
      <w:marBottom w:val="0"/>
      <w:divBdr>
        <w:top w:val="none" w:sz="0" w:space="0" w:color="auto"/>
        <w:left w:val="none" w:sz="0" w:space="0" w:color="auto"/>
        <w:bottom w:val="none" w:sz="0" w:space="0" w:color="auto"/>
        <w:right w:val="none" w:sz="0" w:space="0" w:color="auto"/>
      </w:divBdr>
    </w:div>
    <w:div w:id="179616829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hyperlink" Target="http://files.export.gov/x_4051391.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ivey.ca\pubsshared\CASES\A-CasesPending\Kombi_Sports_Inc.,_Staying_Ahead_of_the_Curve(REV-000009252)\Kombi%20Exhibits%20(for%20Ive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9989213618337395E-2"/>
          <c:y val="4.7334248356570109E-2"/>
          <c:w val="0.8382091192444181"/>
          <c:h val="0.85760504707553753"/>
        </c:manualLayout>
      </c:layout>
      <c:barChart>
        <c:barDir val="col"/>
        <c:grouping val="clustered"/>
        <c:varyColors val="0"/>
        <c:ser>
          <c:idx val="0"/>
          <c:order val="0"/>
          <c:tx>
            <c:strRef>
              <c:f>'data for 7_8'!$B$14</c:f>
              <c:strCache>
                <c:ptCount val="1"/>
                <c:pt idx="0">
                  <c:v>Men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4"/>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362E-3842-A286-AD21A0FC6DA3}"/>
              </c:ext>
            </c:extLst>
          </c:dPt>
          <c:cat>
            <c:strRef>
              <c:f>'data for 7_8'!$A$15:$A$20</c:f>
              <c:strCache>
                <c:ptCount val="6"/>
                <c:pt idx="0">
                  <c:v>The Elite Collection*</c:v>
                </c:pt>
                <c:pt idx="1">
                  <c:v>The Multi Collection*</c:v>
                </c:pt>
                <c:pt idx="2">
                  <c:v>The Ski Collection***</c:v>
                </c:pt>
                <c:pt idx="3">
                  <c:v>The Metro Collection**</c:v>
                </c:pt>
                <c:pt idx="4">
                  <c:v>The Active Collection*</c:v>
                </c:pt>
                <c:pt idx="5">
                  <c:v>The Play Collection***</c:v>
                </c:pt>
              </c:strCache>
            </c:strRef>
          </c:cat>
          <c:val>
            <c:numRef>
              <c:f>'data for 7_8'!$B$15:$B$20</c:f>
              <c:numCache>
                <c:formatCode>General</c:formatCode>
                <c:ptCount val="6"/>
                <c:pt idx="0">
                  <c:v>30</c:v>
                </c:pt>
                <c:pt idx="1">
                  <c:v>30</c:v>
                </c:pt>
                <c:pt idx="2">
                  <c:v>0</c:v>
                </c:pt>
                <c:pt idx="3">
                  <c:v>31</c:v>
                </c:pt>
                <c:pt idx="4">
                  <c:v>14</c:v>
                </c:pt>
                <c:pt idx="5">
                  <c:v>0</c:v>
                </c:pt>
              </c:numCache>
            </c:numRef>
          </c:val>
          <c:extLst>
            <c:ext xmlns:c16="http://schemas.microsoft.com/office/drawing/2014/chart" uri="{C3380CC4-5D6E-409C-BE32-E72D297353CC}">
              <c16:uniqueId val="{00000002-362E-3842-A286-AD21A0FC6DA3}"/>
            </c:ext>
          </c:extLst>
        </c:ser>
        <c:ser>
          <c:idx val="1"/>
          <c:order val="1"/>
          <c:tx>
            <c:strRef>
              <c:f>'data for 7_8'!$C$14</c:f>
              <c:strCache>
                <c:ptCount val="1"/>
                <c:pt idx="0">
                  <c:v>Women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'data for 7_8'!$A$15:$A$20</c:f>
              <c:strCache>
                <c:ptCount val="6"/>
                <c:pt idx="0">
                  <c:v>The Elite Collection*</c:v>
                </c:pt>
                <c:pt idx="1">
                  <c:v>The Multi Collection*</c:v>
                </c:pt>
                <c:pt idx="2">
                  <c:v>The Ski Collection***</c:v>
                </c:pt>
                <c:pt idx="3">
                  <c:v>The Metro Collection**</c:v>
                </c:pt>
                <c:pt idx="4">
                  <c:v>The Active Collection*</c:v>
                </c:pt>
                <c:pt idx="5">
                  <c:v>The Play Collection***</c:v>
                </c:pt>
              </c:strCache>
            </c:strRef>
          </c:cat>
          <c:val>
            <c:numRef>
              <c:f>'data for 7_8'!$C$15:$C$20</c:f>
              <c:numCache>
                <c:formatCode>General</c:formatCode>
                <c:ptCount val="6"/>
                <c:pt idx="0">
                  <c:v>29</c:v>
                </c:pt>
                <c:pt idx="1">
                  <c:v>35</c:v>
                </c:pt>
                <c:pt idx="2">
                  <c:v>0</c:v>
                </c:pt>
                <c:pt idx="3">
                  <c:v>31</c:v>
                </c:pt>
                <c:pt idx="4">
                  <c:v>16</c:v>
                </c:pt>
                <c:pt idx="5">
                  <c:v>0</c:v>
                </c:pt>
              </c:numCache>
            </c:numRef>
          </c:val>
          <c:extLst>
            <c:ext xmlns:c16="http://schemas.microsoft.com/office/drawing/2014/chart" uri="{C3380CC4-5D6E-409C-BE32-E72D297353CC}">
              <c16:uniqueId val="{00000003-362E-3842-A286-AD21A0FC6DA3}"/>
            </c:ext>
          </c:extLst>
        </c:ser>
        <c:ser>
          <c:idx val="2"/>
          <c:order val="2"/>
          <c:tx>
            <c:strRef>
              <c:f>'data for 7_8'!$D$14</c:f>
              <c:strCache>
                <c:ptCount val="1"/>
                <c:pt idx="0">
                  <c:v>Junior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'data for 7_8'!$A$15:$A$20</c:f>
              <c:strCache>
                <c:ptCount val="6"/>
                <c:pt idx="0">
                  <c:v>The Elite Collection*</c:v>
                </c:pt>
                <c:pt idx="1">
                  <c:v>The Multi Collection*</c:v>
                </c:pt>
                <c:pt idx="2">
                  <c:v>The Ski Collection***</c:v>
                </c:pt>
                <c:pt idx="3">
                  <c:v>The Metro Collection**</c:v>
                </c:pt>
                <c:pt idx="4">
                  <c:v>The Active Collection*</c:v>
                </c:pt>
                <c:pt idx="5">
                  <c:v>The Play Collection***</c:v>
                </c:pt>
              </c:strCache>
            </c:strRef>
          </c:cat>
          <c:val>
            <c:numRef>
              <c:f>'data for 7_8'!$D$15:$D$20</c:f>
              <c:numCache>
                <c:formatCode>General</c:formatCode>
                <c:ptCount val="6"/>
                <c:pt idx="0">
                  <c:v>0</c:v>
                </c:pt>
                <c:pt idx="1">
                  <c:v>0</c:v>
                </c:pt>
                <c:pt idx="2">
                  <c:v>19</c:v>
                </c:pt>
                <c:pt idx="3">
                  <c:v>0</c:v>
                </c:pt>
                <c:pt idx="4">
                  <c:v>0</c:v>
                </c:pt>
                <c:pt idx="5">
                  <c:v>43</c:v>
                </c:pt>
              </c:numCache>
            </c:numRef>
          </c:val>
          <c:extLst>
            <c:ext xmlns:c16="http://schemas.microsoft.com/office/drawing/2014/chart" uri="{C3380CC4-5D6E-409C-BE32-E72D297353CC}">
              <c16:uniqueId val="{00000004-362E-3842-A286-AD21A0FC6DA3}"/>
            </c:ext>
          </c:extLst>
        </c:ser>
        <c:dLbls>
          <c:showLegendKey val="0"/>
          <c:showVal val="0"/>
          <c:showCatName val="0"/>
          <c:showSerName val="0"/>
          <c:showPercent val="0"/>
          <c:showBubbleSize val="0"/>
        </c:dLbls>
        <c:gapWidth val="269"/>
        <c:axId val="392927560"/>
        <c:axId val="392924424"/>
      </c:barChart>
      <c:lineChart>
        <c:grouping val="standard"/>
        <c:varyColors val="0"/>
        <c:dLbls>
          <c:showLegendKey val="0"/>
          <c:showVal val="0"/>
          <c:showCatName val="0"/>
          <c:showSerName val="0"/>
          <c:showPercent val="0"/>
          <c:showBubbleSize val="0"/>
        </c:dLbls>
        <c:marker val="1"/>
        <c:smooth val="0"/>
        <c:axId val="392927560"/>
        <c:axId val="392924424"/>
        <c:extLst>
          <c:ext xmlns:c15="http://schemas.microsoft.com/office/drawing/2012/chart" uri="{02D57815-91ED-43cb-92C2-25804820EDAC}">
            <c15:filteredLineSeries>
              <c15:ser>
                <c:idx val="4"/>
                <c:order val="4"/>
                <c:tx>
                  <c:strRef>
                    <c:extLst>
                      <c:ext uri="{02D57815-91ED-43cb-92C2-25804820EDAC}">
                        <c15:formulaRef>
                          <c15:sqref>'data for 7_8'!$F$14</c15:sqref>
                        </c15:formulaRef>
                      </c:ext>
                    </c:extLst>
                    <c:strCache>
                      <c:ptCount val="1"/>
                      <c:pt idx="0">
                        <c:v>what</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extLst>
                      <c:ext uri="{02D57815-91ED-43cb-92C2-25804820EDAC}">
                        <c15:formulaRef>
                          <c15:sqref>'data for 7_8'!$A$15:$A$20</c15:sqref>
                        </c15:formulaRef>
                      </c:ext>
                    </c:extLst>
                    <c:strCache>
                      <c:ptCount val="6"/>
                      <c:pt idx="0">
                        <c:v>The Elite Collection*</c:v>
                      </c:pt>
                      <c:pt idx="1">
                        <c:v>The Multi Collection*</c:v>
                      </c:pt>
                      <c:pt idx="2">
                        <c:v>The Ski Collection***</c:v>
                      </c:pt>
                      <c:pt idx="3">
                        <c:v>The Metro Collection**</c:v>
                      </c:pt>
                      <c:pt idx="4">
                        <c:v>The Active Collection*</c:v>
                      </c:pt>
                      <c:pt idx="5">
                        <c:v>The Play Collection***</c:v>
                      </c:pt>
                    </c:strCache>
                  </c:strRef>
                </c:cat>
                <c:val>
                  <c:numRef>
                    <c:extLst>
                      <c:ext uri="{02D57815-91ED-43cb-92C2-25804820EDAC}">
                        <c15:formulaRef>
                          <c15:sqref>'data for 7_8'!$F$15:$F$20</c15:sqref>
                        </c15:formulaRef>
                      </c:ext>
                    </c:extLst>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C-362E-3842-A286-AD21A0FC6DA3}"/>
                  </c:ext>
                </c:extLst>
              </c15:ser>
            </c15:filteredLineSeries>
          </c:ext>
        </c:extLst>
      </c:lineChart>
      <c:scatterChart>
        <c:scatterStyle val="lineMarker"/>
        <c:varyColors val="0"/>
        <c:ser>
          <c:idx val="3"/>
          <c:order val="3"/>
          <c:tx>
            <c:strRef>
              <c:f>'data for 7_8'!$E$14</c:f>
              <c:strCache>
                <c:ptCount val="1"/>
                <c:pt idx="0">
                  <c:v>highest price item</c:v>
                </c:pt>
              </c:strCache>
            </c:strRef>
          </c:tx>
          <c:spPr>
            <a:ln w="25400" cap="rnd">
              <a:noFill/>
              <a:round/>
            </a:ln>
            <a:effectLst>
              <a:outerShdw blurRad="57150" dist="19050" dir="5400000" algn="ctr" rotWithShape="0">
                <a:srgbClr val="000000">
                  <a:alpha val="63000"/>
                </a:srgbClr>
              </a:outerShdw>
            </a:effectLst>
          </c:spPr>
          <c:marker>
            <c:symbol val="dash"/>
            <c:size val="5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s>
            <c:dLbl>
              <c:idx val="0"/>
              <c:layout>
                <c:manualLayout>
                  <c:x val="7.3239439218878008E-3"/>
                  <c:y val="-6.0582527235900747E-2"/>
                </c:manualLayout>
              </c:layout>
              <c:tx>
                <c:rich>
                  <a:bodyPr/>
                  <a:lstStyle/>
                  <a:p>
                    <a:fld id="{1BDE3738-ECF6-4DE8-938C-1F3D73B8E61B}" type="CELLRANGE">
                      <a:rPr lang="en-US" baseline="0"/>
                      <a:pPr/>
                      <a:t>[CELLRANGE]</a:t>
                    </a:fld>
                    <a:r>
                      <a:rPr lang="en-US" baseline="0"/>
                      <a:t>, </a:t>
                    </a:r>
                    <a:fld id="{45EEBADB-D5FB-4A1E-9740-22DE25443A11}" type="XVALUE">
                      <a:rPr lang="en-US" baseline="0"/>
                      <a:pPr/>
                      <a:t>[X VALUE]</a:t>
                    </a:fld>
                    <a:r>
                      <a:rPr lang="en-US" baseline="0"/>
                      <a:t>, </a:t>
                    </a:r>
                    <a:fld id="{BE58ABF8-F20E-482D-AFCF-2D4B7875E977}" type="YVALUE">
                      <a:rPr lang="en-US" baseline="0"/>
                      <a:pPr/>
                      <a:t>[Y 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5B35-4536-B355-52F3684E3AE2}"/>
                </c:ext>
              </c:extLst>
            </c:dLbl>
            <c:dLbl>
              <c:idx val="1"/>
              <c:layout>
                <c:manualLayout>
                  <c:x val="-2.6366198118795984E-2"/>
                  <c:y val="-0.10097087872650122"/>
                </c:manualLayout>
              </c:layout>
              <c:tx>
                <c:rich>
                  <a:bodyPr/>
                  <a:lstStyle/>
                  <a:p>
                    <a:fld id="{421D71AC-E3C4-4320-BBF3-8B8A6F4A9C72}" type="CELLRANGE">
                      <a:rPr lang="en-US" baseline="0"/>
                      <a:pPr/>
                      <a:t>[CELLRANGE]</a:t>
                    </a:fld>
                    <a:r>
                      <a:rPr lang="en-US" baseline="0"/>
                      <a:t>, </a:t>
                    </a:r>
                    <a:fld id="{CD86C9EA-58A2-4179-8B5C-E4B884D80DA7}" type="XVALUE">
                      <a:rPr lang="en-US" baseline="0"/>
                      <a:pPr/>
                      <a:t>[X VALUE]</a:t>
                    </a:fld>
                    <a:r>
                      <a:rPr lang="en-US" baseline="0"/>
                      <a:t>, </a:t>
                    </a:r>
                    <a:fld id="{1AFAD588-CF14-44E8-8E4D-00BE3F706B34}" type="YVALUE">
                      <a:rPr lang="en-US" baseline="0"/>
                      <a:pPr/>
                      <a:t>[Y 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362E-3842-A286-AD21A0FC6DA3}"/>
                </c:ext>
              </c:extLst>
            </c:dLbl>
            <c:dLbl>
              <c:idx val="2"/>
              <c:layout>
                <c:manualLayout>
                  <c:x val="-0.16698592141904128"/>
                  <c:y val="9.0873790853851097E-2"/>
                </c:manualLayout>
              </c:layout>
              <c:tx>
                <c:rich>
                  <a:bodyPr/>
                  <a:lstStyle/>
                  <a:p>
                    <a:fld id="{302E9288-7983-400A-88D1-1CB74C343B46}" type="CELLRANGE">
                      <a:rPr lang="en-US" baseline="0"/>
                      <a:pPr/>
                      <a:t>[CELLRANGE]</a:t>
                    </a:fld>
                    <a:r>
                      <a:rPr lang="en-US" baseline="0"/>
                      <a:t>, </a:t>
                    </a:r>
                    <a:fld id="{435D3917-2933-487B-87C7-4EEB08490E7F}" type="XVALUE">
                      <a:rPr lang="en-US" baseline="0"/>
                      <a:pPr/>
                      <a:t>[X VALUE]</a:t>
                    </a:fld>
                    <a:r>
                      <a:rPr lang="en-US" baseline="0"/>
                      <a:t>, </a:t>
                    </a:r>
                    <a:fld id="{E1900861-CB9C-4DA0-9920-8B7304141106}" type="YVALUE">
                      <a:rPr lang="en-US" baseline="0"/>
                      <a:pPr/>
                      <a:t>[Y 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362E-3842-A286-AD21A0FC6DA3}"/>
                </c:ext>
              </c:extLst>
            </c:dLbl>
            <c:dLbl>
              <c:idx val="3"/>
              <c:layout>
                <c:manualLayout>
                  <c:x val="-2.4901409334418537E-2"/>
                  <c:y val="-0.10904854902462131"/>
                </c:manualLayout>
              </c:layout>
              <c:tx>
                <c:rich>
                  <a:bodyPr/>
                  <a:lstStyle/>
                  <a:p>
                    <a:fld id="{C1DDFDC0-57DB-4610-84B5-938B6996F8E5}" type="CELLRANGE">
                      <a:rPr lang="en-US" baseline="0"/>
                      <a:pPr/>
                      <a:t>[CELLRANGE]</a:t>
                    </a:fld>
                    <a:r>
                      <a:rPr lang="en-US" baseline="0"/>
                      <a:t>, </a:t>
                    </a:r>
                    <a:fld id="{B0716F34-9659-4A9B-9ED9-0D12CA1F57E5}" type="XVALUE">
                      <a:rPr lang="en-US" baseline="0"/>
                      <a:pPr/>
                      <a:t>[X VALUE]</a:t>
                    </a:fld>
                    <a:r>
                      <a:rPr lang="en-US" baseline="0"/>
                      <a:t>, </a:t>
                    </a:r>
                    <a:fld id="{3CF75C44-A29B-4201-8968-EE40A7BE70BC}" type="YVALUE">
                      <a:rPr lang="en-US" baseline="0"/>
                      <a:pPr/>
                      <a:t>[Y 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362E-3842-A286-AD21A0FC6DA3}"/>
                </c:ext>
              </c:extLst>
            </c:dLbl>
            <c:dLbl>
              <c:idx val="4"/>
              <c:layout>
                <c:manualLayout>
                  <c:x val="-2.6366198118796091E-2"/>
                  <c:y val="-6.2601944810430757E-2"/>
                </c:manualLayout>
              </c:layout>
              <c:tx>
                <c:rich>
                  <a:bodyPr/>
                  <a:lstStyle/>
                  <a:p>
                    <a:fld id="{ED6151B0-6657-4492-933C-2274E6F86895}" type="CELLRANGE">
                      <a:rPr lang="en-US" baseline="0"/>
                      <a:pPr/>
                      <a:t>[CELLRANGE]</a:t>
                    </a:fld>
                    <a:r>
                      <a:rPr lang="en-US" baseline="0"/>
                      <a:t>, </a:t>
                    </a:r>
                    <a:fld id="{BEDBC540-1AB5-442A-ABEB-F91A435E1B89}" type="XVALUE">
                      <a:rPr lang="en-US" baseline="0"/>
                      <a:pPr/>
                      <a:t>[X VALUE]</a:t>
                    </a:fld>
                    <a:r>
                      <a:rPr lang="en-US" baseline="0"/>
                      <a:t>, </a:t>
                    </a:r>
                    <a:fld id="{0122245F-75C4-4A1B-B18A-C010D403BB80}" type="YVALUE">
                      <a:rPr lang="en-US" baseline="0"/>
                      <a:pPr/>
                      <a:t>[Y 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362E-3842-A286-AD21A0FC6DA3}"/>
                </c:ext>
              </c:extLst>
            </c:dLbl>
            <c:dLbl>
              <c:idx val="5"/>
              <c:layout>
                <c:manualLayout>
                  <c:x val="-3.808450839381642E-2"/>
                  <c:y val="7.067961510855085E-2"/>
                </c:manualLayout>
              </c:layout>
              <c:tx>
                <c:rich>
                  <a:bodyPr/>
                  <a:lstStyle/>
                  <a:p>
                    <a:r>
                      <a: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rPr>
                      <a:t>GORE-TEX</a:t>
                    </a:r>
                    <a:endParaRPr lang="en-US" baseline="0"/>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62E-3842-A286-AD21A0FC6DA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DataLabelsRange val="1"/>
                <c15:showLeaderLines val="0"/>
              </c:ext>
            </c:extLst>
          </c:dLbls>
          <c:xVal>
            <c:strRef>
              <c:f>'data for 7_8'!$A$15:$A$20</c:f>
              <c:strCache>
                <c:ptCount val="6"/>
                <c:pt idx="0">
                  <c:v>The Elite Collection*</c:v>
                </c:pt>
                <c:pt idx="1">
                  <c:v>The Multi Collection*</c:v>
                </c:pt>
                <c:pt idx="2">
                  <c:v>The Ski Collection***</c:v>
                </c:pt>
                <c:pt idx="3">
                  <c:v>The Metro Collection**</c:v>
                </c:pt>
                <c:pt idx="4">
                  <c:v>The Active Collection*</c:v>
                </c:pt>
                <c:pt idx="5">
                  <c:v>The Play Collection***</c:v>
                </c:pt>
              </c:strCache>
            </c:strRef>
          </c:xVal>
          <c:yVal>
            <c:numRef>
              <c:f>'data for 7_8'!$E$15:$E$20</c:f>
              <c:numCache>
                <c:formatCode>"$"#,##0.00_);[Red]\("$"#,##0.00\)</c:formatCode>
                <c:ptCount val="6"/>
                <c:pt idx="0">
                  <c:v>319.95</c:v>
                </c:pt>
                <c:pt idx="1">
                  <c:v>109.95</c:v>
                </c:pt>
                <c:pt idx="2">
                  <c:v>89.95</c:v>
                </c:pt>
                <c:pt idx="3">
                  <c:v>84.95</c:v>
                </c:pt>
                <c:pt idx="4">
                  <c:v>69.95</c:v>
                </c:pt>
                <c:pt idx="5">
                  <c:v>59.95</c:v>
                </c:pt>
              </c:numCache>
            </c:numRef>
          </c:yVal>
          <c:smooth val="0"/>
          <c:extLst>
            <c:ext xmlns:c15="http://schemas.microsoft.com/office/drawing/2012/chart" uri="{02D57815-91ED-43cb-92C2-25804820EDAC}">
              <c15:datalabelsRange>
                <c15:f>'data for 7_8'!$F$15:$F$20</c15:f>
                <c15:dlblRangeCache>
                  <c:ptCount val="6"/>
                  <c:pt idx="0">
                    <c:v>Warm-up Heated Mittens </c:v>
                  </c:pt>
                  <c:pt idx="1">
                    <c:v>Fireplace Down Mittens</c:v>
                  </c:pt>
                  <c:pt idx="2">
                    <c:v>Summit GORE-TEX Mittens</c:v>
                  </c:pt>
                  <c:pt idx="3">
                    <c:v>Handsome Leather Gloves</c:v>
                  </c:pt>
                  <c:pt idx="4">
                    <c:v>Outdoorsy GORE-TEX INFINIUM Gloves</c:v>
                  </c:pt>
                  <c:pt idx="5">
                    <c:v>Estelle/Storm Down Mittens</c:v>
                  </c:pt>
                </c15:dlblRangeCache>
              </c15:datalabelsRange>
            </c:ext>
            <c:ext xmlns:c16="http://schemas.microsoft.com/office/drawing/2014/chart" uri="{C3380CC4-5D6E-409C-BE32-E72D297353CC}">
              <c16:uniqueId val="{0000000B-362E-3842-A286-AD21A0FC6DA3}"/>
            </c:ext>
          </c:extLst>
        </c:ser>
        <c:dLbls>
          <c:showLegendKey val="0"/>
          <c:showVal val="0"/>
          <c:showCatName val="0"/>
          <c:showSerName val="0"/>
          <c:showPercent val="0"/>
          <c:showBubbleSize val="0"/>
        </c:dLbls>
        <c:axId val="392924816"/>
        <c:axId val="392925208"/>
      </c:scatterChart>
      <c:catAx>
        <c:axId val="392927560"/>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2924424"/>
        <c:crosses val="autoZero"/>
        <c:auto val="1"/>
        <c:lblAlgn val="ctr"/>
        <c:lblOffset val="100"/>
        <c:noMultiLvlLbl val="0"/>
      </c:catAx>
      <c:valAx>
        <c:axId val="392924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r>
                  <a:rPr lang="en-CA"/>
                  <a:t>Number of Products Offered per Collection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2927560"/>
        <c:crosses val="autoZero"/>
        <c:crossBetween val="between"/>
      </c:valAx>
      <c:valAx>
        <c:axId val="392925208"/>
        <c:scaling>
          <c:orientation val="minMax"/>
        </c:scaling>
        <c:delete val="0"/>
        <c:axPos val="r"/>
        <c:title>
          <c:tx>
            <c:rich>
              <a:bodyPr rot="-54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r>
                  <a:rPr lang="en-US"/>
                  <a:t>Highest Priced Item per Collection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quot;$&quot;#,##0.00_);[Red]\(&quot;$&quot;#,##0.00\)" sourceLinked="1"/>
        <c:majorTickMark val="out"/>
        <c:minorTickMark val="none"/>
        <c:tickLblPos val="nextTo"/>
        <c:spPr>
          <a:solidFill>
            <a:schemeClr val="bg1"/>
          </a:solid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2924816"/>
        <c:crosses val="max"/>
        <c:crossBetween val="midCat"/>
      </c:valAx>
      <c:valAx>
        <c:axId val="392924816"/>
        <c:scaling>
          <c:orientation val="minMax"/>
        </c:scaling>
        <c:delete val="1"/>
        <c:axPos val="t"/>
        <c:numFmt formatCode="General" sourceLinked="1"/>
        <c:majorTickMark val="out"/>
        <c:minorTickMark val="none"/>
        <c:tickLblPos val="nextTo"/>
        <c:crossAx val="392925208"/>
        <c:crosses val="max"/>
        <c:crossBetween val="midCat"/>
      </c:valAx>
      <c:spPr>
        <a:noFill/>
        <a:ln>
          <a:noFill/>
        </a:ln>
        <a:effectLst/>
      </c:spPr>
    </c:plotArea>
    <c:legend>
      <c:legendPos val="b"/>
      <c:layout>
        <c:manualLayout>
          <c:xMode val="edge"/>
          <c:yMode val="edge"/>
          <c:x val="0.33808469887210046"/>
          <c:y val="0.95642205584957618"/>
          <c:w val="0.32383060225579913"/>
          <c:h val="4.3577944150423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1ECB2F-1EB0-9C45-B208-D50A030144C0}">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7968B-6FB4-4595-9B30-8D28445BF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3723</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6</cp:revision>
  <cp:lastPrinted>2015-03-04T20:34:00Z</cp:lastPrinted>
  <dcterms:created xsi:type="dcterms:W3CDTF">2021-06-21T14:14:00Z</dcterms:created>
  <dcterms:modified xsi:type="dcterms:W3CDTF">2021-06-21T15:03:00Z</dcterms:modified>
</cp:coreProperties>
</file>